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49317D" w14:textId="77777777" w:rsidR="002B3E10" w:rsidRDefault="002B3E10" w:rsidP="002B3E10">
      <w:pPr>
        <w:spacing w:after="0"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The Hospital Frailty Risk Score and its association with in-hospital mortality, cost, length of stay and discharge location</w:t>
      </w:r>
      <w:r w:rsidRPr="00951937">
        <w:rPr>
          <w:rFonts w:ascii="Times New Roman" w:hAnsi="Times New Roman" w:cs="Times New Roman"/>
          <w:b/>
          <w:sz w:val="24"/>
          <w:szCs w:val="24"/>
          <w:lang w:val="en-US"/>
        </w:rPr>
        <w:t xml:space="preserve"> in </w:t>
      </w:r>
      <w:r>
        <w:rPr>
          <w:rFonts w:ascii="Times New Roman" w:hAnsi="Times New Roman" w:cs="Times New Roman"/>
          <w:b/>
          <w:sz w:val="24"/>
          <w:szCs w:val="24"/>
          <w:lang w:val="en-US"/>
        </w:rPr>
        <w:t>patients with heart failure</w:t>
      </w:r>
    </w:p>
    <w:p w14:paraId="6BFC4FAA" w14:textId="77777777" w:rsidR="002B3E10" w:rsidRDefault="002B3E10" w:rsidP="002B3E10">
      <w:pPr>
        <w:spacing w:after="0" w:line="240" w:lineRule="auto"/>
        <w:jc w:val="both"/>
        <w:rPr>
          <w:rFonts w:ascii="Times New Roman" w:hAnsi="Times New Roman" w:cs="Times New Roman"/>
          <w:b/>
          <w:sz w:val="24"/>
          <w:szCs w:val="24"/>
          <w:lang w:val="en-US"/>
        </w:rPr>
      </w:pPr>
    </w:p>
    <w:p w14:paraId="498922FF" w14:textId="77777777" w:rsidR="002B3E10" w:rsidRPr="00594FF1" w:rsidRDefault="002B3E10" w:rsidP="002B3E10">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Short running title: Frailty and outcomes in heart failure</w:t>
      </w:r>
    </w:p>
    <w:p w14:paraId="2D105C64" w14:textId="77777777" w:rsidR="002B3E10" w:rsidRDefault="002B3E10" w:rsidP="002B3E10">
      <w:pPr>
        <w:spacing w:after="0" w:line="240" w:lineRule="auto"/>
        <w:jc w:val="both"/>
        <w:rPr>
          <w:rFonts w:ascii="Times New Roman" w:hAnsi="Times New Roman" w:cs="Times New Roman"/>
          <w:b/>
          <w:sz w:val="24"/>
          <w:szCs w:val="24"/>
          <w:lang w:val="en-US"/>
        </w:rPr>
      </w:pPr>
    </w:p>
    <w:p w14:paraId="67B5344E" w14:textId="7F2D8A75" w:rsidR="002B3E10" w:rsidRPr="00951937" w:rsidRDefault="002B3E10" w:rsidP="002B3E10">
      <w:pPr>
        <w:spacing w:after="0" w:line="240" w:lineRule="auto"/>
        <w:jc w:val="both"/>
        <w:rPr>
          <w:rFonts w:ascii="Times New Roman" w:hAnsi="Times New Roman" w:cs="Times New Roman"/>
          <w:sz w:val="24"/>
          <w:szCs w:val="24"/>
          <w:lang w:val="en-US"/>
        </w:rPr>
      </w:pPr>
      <w:r w:rsidRPr="00951937">
        <w:rPr>
          <w:rFonts w:ascii="Times New Roman" w:hAnsi="Times New Roman" w:cs="Times New Roman"/>
          <w:sz w:val="24"/>
          <w:szCs w:val="24"/>
          <w:lang w:val="en-US"/>
        </w:rPr>
        <w:t>Chun Shing Kwok,</w:t>
      </w:r>
      <w:r>
        <w:rPr>
          <w:rFonts w:ascii="Times New Roman" w:hAnsi="Times New Roman" w:cs="Times New Roman"/>
          <w:sz w:val="24"/>
          <w:szCs w:val="24"/>
          <w:vertAlign w:val="superscript"/>
          <w:lang w:val="en-US"/>
        </w:rPr>
        <w:t>1</w:t>
      </w:r>
      <w:r w:rsidRPr="00951937">
        <w:rPr>
          <w:rFonts w:ascii="Times New Roman" w:hAnsi="Times New Roman" w:cs="Times New Roman"/>
          <w:sz w:val="24"/>
          <w:szCs w:val="24"/>
          <w:lang w:val="en-US"/>
        </w:rPr>
        <w:t xml:space="preserve"> </w:t>
      </w:r>
      <w:r>
        <w:rPr>
          <w:rFonts w:ascii="Times New Roman" w:hAnsi="Times New Roman" w:cs="Times New Roman"/>
          <w:sz w:val="24"/>
          <w:szCs w:val="24"/>
          <w:lang w:val="en-US"/>
        </w:rPr>
        <w:t>Shelley Zieroth,</w:t>
      </w:r>
      <w:r>
        <w:rPr>
          <w:rFonts w:ascii="Times New Roman" w:hAnsi="Times New Roman" w:cs="Times New Roman"/>
          <w:sz w:val="24"/>
          <w:szCs w:val="24"/>
          <w:vertAlign w:val="superscript"/>
          <w:lang w:val="en-US"/>
        </w:rPr>
        <w:t>2</w:t>
      </w:r>
      <w:r>
        <w:rPr>
          <w:rFonts w:ascii="Times New Roman" w:hAnsi="Times New Roman" w:cs="Times New Roman"/>
          <w:sz w:val="24"/>
          <w:szCs w:val="24"/>
          <w:lang w:val="en-US"/>
        </w:rPr>
        <w:t xml:space="preserve"> Harriette G.C. Van Spall,</w:t>
      </w:r>
      <w:r>
        <w:rPr>
          <w:rFonts w:ascii="Times New Roman" w:hAnsi="Times New Roman" w:cs="Times New Roman"/>
          <w:sz w:val="24"/>
          <w:szCs w:val="24"/>
          <w:vertAlign w:val="superscript"/>
          <w:lang w:val="en-US"/>
        </w:rPr>
        <w:t>3</w:t>
      </w:r>
      <w:r>
        <w:rPr>
          <w:rFonts w:ascii="Times New Roman" w:hAnsi="Times New Roman" w:cs="Times New Roman"/>
          <w:sz w:val="24"/>
          <w:szCs w:val="24"/>
          <w:lang w:val="en-US"/>
        </w:rPr>
        <w:t xml:space="preserve"> Toby Helliwell,</w:t>
      </w:r>
      <w:r>
        <w:rPr>
          <w:rFonts w:ascii="Times New Roman" w:hAnsi="Times New Roman" w:cs="Times New Roman"/>
          <w:sz w:val="24"/>
          <w:szCs w:val="24"/>
          <w:vertAlign w:val="superscript"/>
          <w:lang w:val="en-US"/>
        </w:rPr>
        <w:t>4</w:t>
      </w:r>
      <w:r>
        <w:rPr>
          <w:rFonts w:ascii="Times New Roman" w:hAnsi="Times New Roman" w:cs="Times New Roman"/>
          <w:sz w:val="24"/>
          <w:szCs w:val="24"/>
          <w:lang w:val="en-US"/>
        </w:rPr>
        <w:t xml:space="preserve"> Lorna Clarson,</w:t>
      </w:r>
      <w:r>
        <w:rPr>
          <w:rFonts w:ascii="Times New Roman" w:hAnsi="Times New Roman" w:cs="Times New Roman"/>
          <w:sz w:val="24"/>
          <w:szCs w:val="24"/>
          <w:vertAlign w:val="superscript"/>
          <w:lang w:val="en-US"/>
        </w:rPr>
        <w:t>5</w:t>
      </w:r>
      <w:r>
        <w:rPr>
          <w:rFonts w:ascii="Times New Roman" w:hAnsi="Times New Roman" w:cs="Times New Roman"/>
          <w:sz w:val="24"/>
          <w:szCs w:val="24"/>
          <w:lang w:val="en-US"/>
        </w:rPr>
        <w:t xml:space="preserve"> </w:t>
      </w:r>
      <w:r w:rsidR="001968D4">
        <w:rPr>
          <w:rFonts w:ascii="Times New Roman" w:hAnsi="Times New Roman" w:cs="Times New Roman"/>
          <w:sz w:val="24"/>
          <w:szCs w:val="24"/>
          <w:lang w:val="en-US"/>
        </w:rPr>
        <w:t>Mohamed Mohamed,</w:t>
      </w:r>
      <w:r w:rsidR="001968D4" w:rsidRPr="001968D4">
        <w:rPr>
          <w:rFonts w:ascii="Times New Roman" w:hAnsi="Times New Roman" w:cs="Times New Roman"/>
          <w:sz w:val="24"/>
          <w:szCs w:val="24"/>
          <w:vertAlign w:val="superscript"/>
          <w:lang w:val="en-US"/>
        </w:rPr>
        <w:t>6</w:t>
      </w:r>
      <w:r w:rsidR="001968D4">
        <w:rPr>
          <w:rFonts w:ascii="Times New Roman" w:hAnsi="Times New Roman" w:cs="Times New Roman"/>
          <w:sz w:val="24"/>
          <w:szCs w:val="24"/>
          <w:lang w:val="en-US"/>
        </w:rPr>
        <w:t xml:space="preserve"> </w:t>
      </w:r>
      <w:r>
        <w:rPr>
          <w:rFonts w:ascii="Times New Roman" w:hAnsi="Times New Roman" w:cs="Times New Roman"/>
          <w:sz w:val="24"/>
          <w:szCs w:val="24"/>
          <w:lang w:val="en-US"/>
        </w:rPr>
        <w:t>Christian Mallen,</w:t>
      </w:r>
      <w:r w:rsidR="001968D4">
        <w:rPr>
          <w:rFonts w:ascii="Times New Roman" w:hAnsi="Times New Roman" w:cs="Times New Roman"/>
          <w:sz w:val="24"/>
          <w:szCs w:val="24"/>
          <w:vertAlign w:val="superscript"/>
          <w:lang w:val="en-US"/>
        </w:rPr>
        <w:t>7</w:t>
      </w:r>
      <w:r>
        <w:rPr>
          <w:rFonts w:ascii="Times New Roman" w:hAnsi="Times New Roman" w:cs="Times New Roman"/>
          <w:sz w:val="24"/>
          <w:szCs w:val="24"/>
          <w:lang w:val="en-US"/>
        </w:rPr>
        <w:t xml:space="preserve"> Simon Duckett,</w:t>
      </w:r>
      <w:r w:rsidR="001968D4">
        <w:rPr>
          <w:rFonts w:ascii="Times New Roman" w:hAnsi="Times New Roman" w:cs="Times New Roman"/>
          <w:sz w:val="24"/>
          <w:szCs w:val="24"/>
          <w:vertAlign w:val="superscript"/>
          <w:lang w:val="en-US"/>
        </w:rPr>
        <w:t>8</w:t>
      </w:r>
      <w:r>
        <w:rPr>
          <w:rFonts w:ascii="Times New Roman" w:hAnsi="Times New Roman" w:cs="Times New Roman"/>
          <w:sz w:val="24"/>
          <w:szCs w:val="24"/>
          <w:lang w:val="en-US"/>
        </w:rPr>
        <w:t xml:space="preserve"> </w:t>
      </w:r>
      <w:r w:rsidRPr="00951937">
        <w:rPr>
          <w:rFonts w:ascii="Times New Roman" w:hAnsi="Times New Roman" w:cs="Times New Roman"/>
          <w:sz w:val="24"/>
          <w:szCs w:val="24"/>
          <w:lang w:val="en-US"/>
        </w:rPr>
        <w:t>Mamas A</w:t>
      </w:r>
      <w:r>
        <w:rPr>
          <w:rFonts w:ascii="Times New Roman" w:hAnsi="Times New Roman" w:cs="Times New Roman"/>
          <w:sz w:val="24"/>
          <w:szCs w:val="24"/>
          <w:lang w:val="en-US"/>
        </w:rPr>
        <w:t>.</w:t>
      </w:r>
      <w:r w:rsidRPr="00951937">
        <w:rPr>
          <w:rFonts w:ascii="Times New Roman" w:hAnsi="Times New Roman" w:cs="Times New Roman"/>
          <w:sz w:val="24"/>
          <w:szCs w:val="24"/>
          <w:lang w:val="en-US"/>
        </w:rPr>
        <w:t xml:space="preserve"> Mamas</w:t>
      </w:r>
      <w:r w:rsidR="001968D4">
        <w:rPr>
          <w:rFonts w:ascii="Times New Roman" w:hAnsi="Times New Roman" w:cs="Times New Roman"/>
          <w:sz w:val="24"/>
          <w:szCs w:val="24"/>
          <w:vertAlign w:val="superscript"/>
          <w:lang w:val="en-US"/>
        </w:rPr>
        <w:t>9</w:t>
      </w:r>
    </w:p>
    <w:p w14:paraId="2DA47538" w14:textId="77777777" w:rsidR="002B3E10" w:rsidRDefault="002B3E10" w:rsidP="002B3E10">
      <w:pPr>
        <w:spacing w:after="0" w:line="240" w:lineRule="auto"/>
        <w:rPr>
          <w:rFonts w:ascii="Times New Roman" w:hAnsi="Times New Roman" w:cs="Times New Roman"/>
          <w:sz w:val="24"/>
          <w:szCs w:val="24"/>
          <w:lang w:val="en-US"/>
        </w:rPr>
      </w:pPr>
    </w:p>
    <w:p w14:paraId="1931B9DE" w14:textId="77777777" w:rsidR="002B3E10" w:rsidRPr="00594FF1" w:rsidRDefault="002B3E10" w:rsidP="002B3E10">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1. </w:t>
      </w:r>
      <w:r w:rsidRPr="00594FF1">
        <w:rPr>
          <w:rFonts w:ascii="Times New Roman" w:hAnsi="Times New Roman" w:cs="Times New Roman"/>
          <w:sz w:val="24"/>
          <w:szCs w:val="24"/>
          <w:lang w:val="en-US"/>
        </w:rPr>
        <w:t>Keele Cardiovascular Research Group, Keele University, Stoke-on-Trent, UK</w:t>
      </w:r>
      <w:r>
        <w:rPr>
          <w:rFonts w:ascii="Times New Roman" w:hAnsi="Times New Roman" w:cs="Times New Roman"/>
          <w:sz w:val="24"/>
          <w:szCs w:val="24"/>
          <w:lang w:val="en-US"/>
        </w:rPr>
        <w:t xml:space="preserve">. </w:t>
      </w:r>
      <w:r w:rsidRPr="00D25387">
        <w:rPr>
          <w:rFonts w:ascii="Times New Roman" w:hAnsi="Times New Roman" w:cs="Times New Roman"/>
          <w:sz w:val="24"/>
          <w:szCs w:val="24"/>
          <w:lang w:val="en-US"/>
        </w:rPr>
        <w:t>Department of Cardiology, Royal Stoke University Hospital, Stoke-on-Trent, UK</w:t>
      </w:r>
      <w:r>
        <w:rPr>
          <w:rFonts w:ascii="Times New Roman" w:hAnsi="Times New Roman" w:cs="Times New Roman"/>
          <w:sz w:val="24"/>
          <w:szCs w:val="24"/>
          <w:lang w:val="en-US"/>
        </w:rPr>
        <w:t>.</w:t>
      </w:r>
    </w:p>
    <w:p w14:paraId="23B428EE" w14:textId="77777777" w:rsidR="002B3E10" w:rsidRPr="00594FF1" w:rsidRDefault="002B3E10" w:rsidP="002B3E10">
      <w:pPr>
        <w:spacing w:after="0" w:line="240" w:lineRule="auto"/>
        <w:rPr>
          <w:rFonts w:ascii="Times New Roman" w:hAnsi="Times New Roman"/>
          <w:sz w:val="24"/>
          <w:szCs w:val="24"/>
        </w:rPr>
      </w:pPr>
      <w:r w:rsidRPr="00594FF1">
        <w:rPr>
          <w:rFonts w:ascii="Times New Roman" w:hAnsi="Times New Roman"/>
          <w:sz w:val="24"/>
          <w:szCs w:val="24"/>
        </w:rPr>
        <w:t>"This author takes responsibility for all aspects of the reliability and freedom from bias of the data presented and their discussed interpretation"</w:t>
      </w:r>
    </w:p>
    <w:p w14:paraId="5192FD8A" w14:textId="77777777" w:rsidR="002B3E10" w:rsidRPr="00594FF1" w:rsidRDefault="002B3E10" w:rsidP="002B3E10">
      <w:pPr>
        <w:spacing w:after="0" w:line="240" w:lineRule="auto"/>
        <w:rPr>
          <w:rFonts w:ascii="Times New Roman" w:hAnsi="Times New Roman" w:cs="Times New Roman"/>
          <w:sz w:val="24"/>
          <w:szCs w:val="24"/>
          <w:lang w:val="en-US"/>
        </w:rPr>
      </w:pPr>
    </w:p>
    <w:p w14:paraId="0F157120" w14:textId="77777777" w:rsidR="002B3E10" w:rsidRDefault="002B3E10" w:rsidP="002B3E10">
      <w:pPr>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2</w:t>
      </w:r>
      <w:r w:rsidRPr="00D25387">
        <w:rPr>
          <w:rFonts w:ascii="Times New Roman" w:hAnsi="Times New Roman" w:cs="Times New Roman"/>
          <w:color w:val="000000"/>
          <w:sz w:val="24"/>
          <w:szCs w:val="24"/>
          <w:shd w:val="clear" w:color="auto" w:fill="FFFFFF"/>
        </w:rPr>
        <w:t xml:space="preserve">. St Boniface Hospital, Department of Medicine, Rady Faculty of Health Sciences, University of Manitoba, Winnipeg, Canada </w:t>
      </w:r>
    </w:p>
    <w:p w14:paraId="44A191DF" w14:textId="77777777" w:rsidR="002B3E10" w:rsidRPr="00594FF1" w:rsidRDefault="002B3E10" w:rsidP="002B3E10">
      <w:pPr>
        <w:spacing w:after="0" w:line="240" w:lineRule="auto"/>
        <w:rPr>
          <w:rFonts w:ascii="Times New Roman" w:hAnsi="Times New Roman"/>
          <w:sz w:val="24"/>
          <w:szCs w:val="24"/>
        </w:rPr>
      </w:pPr>
      <w:r w:rsidRPr="00594FF1">
        <w:rPr>
          <w:rFonts w:ascii="Times New Roman" w:hAnsi="Times New Roman"/>
          <w:sz w:val="24"/>
          <w:szCs w:val="24"/>
        </w:rPr>
        <w:t>"This author takes responsibility for all aspects of the reliability and freedom from bias of the data presented and their discussed interpretation"</w:t>
      </w:r>
    </w:p>
    <w:p w14:paraId="0565E92A" w14:textId="77777777" w:rsidR="002B3E10" w:rsidRDefault="002B3E10" w:rsidP="002B3E10">
      <w:pPr>
        <w:spacing w:after="0" w:line="240" w:lineRule="auto"/>
        <w:rPr>
          <w:rFonts w:ascii="Times New Roman" w:hAnsi="Times New Roman" w:cs="Times New Roman"/>
          <w:color w:val="000000"/>
          <w:sz w:val="24"/>
          <w:szCs w:val="24"/>
          <w:shd w:val="clear" w:color="auto" w:fill="FFFFFF"/>
        </w:rPr>
      </w:pPr>
    </w:p>
    <w:p w14:paraId="31AE98DF" w14:textId="77777777" w:rsidR="002B3E10" w:rsidRPr="00511FDB" w:rsidRDefault="002B3E10" w:rsidP="002B3E10">
      <w:pPr>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3. </w:t>
      </w:r>
      <w:r w:rsidRPr="00D25387">
        <w:rPr>
          <w:rFonts w:ascii="Times New Roman" w:hAnsi="Times New Roman" w:cs="Times New Roman"/>
          <w:color w:val="000000"/>
          <w:sz w:val="24"/>
          <w:szCs w:val="24"/>
          <w:shd w:val="clear" w:color="auto" w:fill="FFFFFF"/>
        </w:rPr>
        <w:t>Department</w:t>
      </w:r>
      <w:r>
        <w:rPr>
          <w:rFonts w:ascii="Times New Roman" w:hAnsi="Times New Roman" w:cs="Times New Roman"/>
          <w:color w:val="000000"/>
          <w:sz w:val="24"/>
          <w:szCs w:val="24"/>
          <w:shd w:val="clear" w:color="auto" w:fill="FFFFFF"/>
        </w:rPr>
        <w:t>s</w:t>
      </w:r>
      <w:r w:rsidRPr="00D25387">
        <w:rPr>
          <w:rFonts w:ascii="Times New Roman" w:hAnsi="Times New Roman" w:cs="Times New Roman"/>
          <w:color w:val="000000"/>
          <w:sz w:val="24"/>
          <w:szCs w:val="24"/>
          <w:shd w:val="clear" w:color="auto" w:fill="FFFFFF"/>
        </w:rPr>
        <w:t xml:space="preserve"> of </w:t>
      </w:r>
      <w:r>
        <w:rPr>
          <w:rFonts w:ascii="Times New Roman" w:hAnsi="Times New Roman" w:cs="Times New Roman"/>
          <w:color w:val="000000"/>
          <w:sz w:val="24"/>
          <w:szCs w:val="24"/>
          <w:shd w:val="clear" w:color="auto" w:fill="FFFFFF"/>
        </w:rPr>
        <w:t xml:space="preserve">Medicine and </w:t>
      </w:r>
      <w:r w:rsidRPr="00D25387">
        <w:rPr>
          <w:rFonts w:ascii="Times New Roman" w:hAnsi="Times New Roman" w:cs="Times New Roman"/>
          <w:color w:val="000000"/>
          <w:sz w:val="24"/>
          <w:szCs w:val="24"/>
          <w:shd w:val="clear" w:color="auto" w:fill="FFFFFF"/>
        </w:rPr>
        <w:t>Health Research Methods, Evidence, and Impact, McMaster University, Hamilton, Ontario; Population Health Research Institute, Hamilton, Canada</w:t>
      </w:r>
    </w:p>
    <w:p w14:paraId="122B67B9" w14:textId="77777777" w:rsidR="002B3E10" w:rsidRPr="00594FF1" w:rsidRDefault="002B3E10" w:rsidP="002B3E10">
      <w:pPr>
        <w:spacing w:after="0" w:line="240" w:lineRule="auto"/>
        <w:rPr>
          <w:rFonts w:ascii="Times New Roman" w:hAnsi="Times New Roman"/>
          <w:sz w:val="24"/>
          <w:szCs w:val="24"/>
        </w:rPr>
      </w:pPr>
      <w:r w:rsidRPr="00594FF1">
        <w:rPr>
          <w:rFonts w:ascii="Times New Roman" w:hAnsi="Times New Roman"/>
          <w:sz w:val="24"/>
          <w:szCs w:val="24"/>
        </w:rPr>
        <w:t>"This author takes responsibility for all aspects of the reliability and freedom from bias of the data presented and their discussed interpretation"</w:t>
      </w:r>
    </w:p>
    <w:p w14:paraId="2636ED57" w14:textId="77777777" w:rsidR="002B3E10" w:rsidRDefault="002B3E10" w:rsidP="002B3E10">
      <w:pPr>
        <w:spacing w:after="0" w:line="240" w:lineRule="auto"/>
        <w:jc w:val="both"/>
        <w:rPr>
          <w:rFonts w:ascii="Times New Roman" w:hAnsi="Times New Roman" w:cs="Times New Roman"/>
          <w:sz w:val="24"/>
          <w:szCs w:val="24"/>
          <w:lang w:val="en-US"/>
        </w:rPr>
      </w:pPr>
    </w:p>
    <w:p w14:paraId="243BE0DF" w14:textId="77777777" w:rsidR="002B3E10" w:rsidRDefault="002B3E10" w:rsidP="002B3E10">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4. Primary Care &amp; Health Sciences, Keele University, Stoke-on-Trent, UK.</w:t>
      </w:r>
    </w:p>
    <w:p w14:paraId="282EA2AE" w14:textId="77777777" w:rsidR="002B3E10" w:rsidRPr="00594FF1" w:rsidRDefault="002B3E10" w:rsidP="002B3E10">
      <w:pPr>
        <w:spacing w:after="0" w:line="240" w:lineRule="auto"/>
        <w:rPr>
          <w:rFonts w:ascii="Times New Roman" w:hAnsi="Times New Roman"/>
          <w:sz w:val="24"/>
          <w:szCs w:val="24"/>
        </w:rPr>
      </w:pPr>
      <w:r w:rsidRPr="00594FF1">
        <w:rPr>
          <w:rFonts w:ascii="Times New Roman" w:hAnsi="Times New Roman"/>
          <w:sz w:val="24"/>
          <w:szCs w:val="24"/>
        </w:rPr>
        <w:t>"This author takes responsibility for all aspects of the reliability and freedom from bias of the data presented and their discussed interpretation"</w:t>
      </w:r>
    </w:p>
    <w:p w14:paraId="2023B49F" w14:textId="77777777" w:rsidR="002B3E10" w:rsidRDefault="002B3E10" w:rsidP="002B3E10">
      <w:pPr>
        <w:spacing w:after="0" w:line="240" w:lineRule="auto"/>
        <w:jc w:val="both"/>
        <w:rPr>
          <w:rFonts w:ascii="Times New Roman" w:hAnsi="Times New Roman" w:cs="Times New Roman"/>
          <w:sz w:val="24"/>
          <w:szCs w:val="24"/>
        </w:rPr>
      </w:pPr>
    </w:p>
    <w:p w14:paraId="14D4EF36" w14:textId="77777777" w:rsidR="002B3E10" w:rsidRDefault="002B3E10" w:rsidP="002B3E10">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5. Primary Care &amp; Health Sciences, Keele University, Stoke-on-Trent, UK.</w:t>
      </w:r>
    </w:p>
    <w:p w14:paraId="47E9ADFA" w14:textId="77777777" w:rsidR="002B3E10" w:rsidRPr="00594FF1" w:rsidRDefault="002B3E10" w:rsidP="002B3E10">
      <w:pPr>
        <w:spacing w:after="0" w:line="240" w:lineRule="auto"/>
        <w:rPr>
          <w:rFonts w:ascii="Times New Roman" w:hAnsi="Times New Roman"/>
          <w:sz w:val="24"/>
          <w:szCs w:val="24"/>
        </w:rPr>
      </w:pPr>
      <w:r w:rsidRPr="00594FF1">
        <w:rPr>
          <w:rFonts w:ascii="Times New Roman" w:hAnsi="Times New Roman"/>
          <w:sz w:val="24"/>
          <w:szCs w:val="24"/>
        </w:rPr>
        <w:t>"This author takes responsibility for all aspects of the reliability and freedom from bias of the data presented and their discussed interpretation"</w:t>
      </w:r>
    </w:p>
    <w:p w14:paraId="6AC434F9" w14:textId="77777777" w:rsidR="002B3E10" w:rsidRDefault="002B3E10" w:rsidP="002B3E10">
      <w:pPr>
        <w:spacing w:after="0" w:line="240" w:lineRule="auto"/>
        <w:jc w:val="both"/>
        <w:rPr>
          <w:rFonts w:ascii="Times New Roman" w:hAnsi="Times New Roman" w:cs="Times New Roman"/>
          <w:sz w:val="24"/>
          <w:szCs w:val="24"/>
        </w:rPr>
      </w:pPr>
    </w:p>
    <w:p w14:paraId="287FCFFE" w14:textId="2720928F" w:rsidR="001968D4" w:rsidRPr="00594FF1" w:rsidRDefault="001968D4" w:rsidP="001968D4">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6. </w:t>
      </w:r>
      <w:r w:rsidRPr="00594FF1">
        <w:rPr>
          <w:rFonts w:ascii="Times New Roman" w:hAnsi="Times New Roman" w:cs="Times New Roman"/>
          <w:sz w:val="24"/>
          <w:szCs w:val="24"/>
          <w:lang w:val="en-US"/>
        </w:rPr>
        <w:t>Keele Cardiovascular Research Group, Keele University, Stoke-on-Trent, UK</w:t>
      </w:r>
      <w:r>
        <w:rPr>
          <w:rFonts w:ascii="Times New Roman" w:hAnsi="Times New Roman" w:cs="Times New Roman"/>
          <w:sz w:val="24"/>
          <w:szCs w:val="24"/>
          <w:lang w:val="en-US"/>
        </w:rPr>
        <w:t xml:space="preserve">. </w:t>
      </w:r>
      <w:r w:rsidRPr="00D25387">
        <w:rPr>
          <w:rFonts w:ascii="Times New Roman" w:hAnsi="Times New Roman" w:cs="Times New Roman"/>
          <w:sz w:val="24"/>
          <w:szCs w:val="24"/>
          <w:lang w:val="en-US"/>
        </w:rPr>
        <w:t>Department of Cardiology, Royal Stoke University Hospital, Stoke-on-Trent, UK</w:t>
      </w:r>
      <w:r>
        <w:rPr>
          <w:rFonts w:ascii="Times New Roman" w:hAnsi="Times New Roman" w:cs="Times New Roman"/>
          <w:sz w:val="24"/>
          <w:szCs w:val="24"/>
          <w:lang w:val="en-US"/>
        </w:rPr>
        <w:t>.</w:t>
      </w:r>
    </w:p>
    <w:p w14:paraId="4A5B0BBB" w14:textId="77777777" w:rsidR="001968D4" w:rsidRPr="00594FF1" w:rsidRDefault="001968D4" w:rsidP="001968D4">
      <w:pPr>
        <w:spacing w:after="0" w:line="240" w:lineRule="auto"/>
        <w:rPr>
          <w:rFonts w:ascii="Times New Roman" w:hAnsi="Times New Roman"/>
          <w:sz w:val="24"/>
          <w:szCs w:val="24"/>
        </w:rPr>
      </w:pPr>
      <w:r w:rsidRPr="00594FF1">
        <w:rPr>
          <w:rFonts w:ascii="Times New Roman" w:hAnsi="Times New Roman"/>
          <w:sz w:val="24"/>
          <w:szCs w:val="24"/>
        </w:rPr>
        <w:t>"This author takes responsibility for all aspects of the reliability and freedom from bias of the data presented and their discussed interpretation"</w:t>
      </w:r>
    </w:p>
    <w:p w14:paraId="55AFDB02" w14:textId="77777777" w:rsidR="001968D4" w:rsidRDefault="001968D4" w:rsidP="002B3E10">
      <w:pPr>
        <w:spacing w:after="0" w:line="240" w:lineRule="auto"/>
        <w:jc w:val="both"/>
        <w:rPr>
          <w:rFonts w:ascii="Times New Roman" w:hAnsi="Times New Roman" w:cs="Times New Roman"/>
          <w:sz w:val="24"/>
          <w:szCs w:val="24"/>
          <w:lang w:val="en-US"/>
        </w:rPr>
      </w:pPr>
    </w:p>
    <w:p w14:paraId="0431168B" w14:textId="1FCD4A92" w:rsidR="002B3E10" w:rsidRDefault="001968D4" w:rsidP="002B3E10">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7</w:t>
      </w:r>
      <w:r w:rsidR="002B3E10">
        <w:rPr>
          <w:rFonts w:ascii="Times New Roman" w:hAnsi="Times New Roman" w:cs="Times New Roman"/>
          <w:sz w:val="24"/>
          <w:szCs w:val="24"/>
          <w:lang w:val="en-US"/>
        </w:rPr>
        <w:t>. Primary Care &amp; Health Sciences, Keele University, Stoke-on-Trent, UK.</w:t>
      </w:r>
    </w:p>
    <w:p w14:paraId="6A3A7D21" w14:textId="77777777" w:rsidR="002B3E10" w:rsidRPr="00594FF1" w:rsidRDefault="002B3E10" w:rsidP="002B3E10">
      <w:pPr>
        <w:spacing w:after="0" w:line="240" w:lineRule="auto"/>
        <w:rPr>
          <w:rFonts w:ascii="Times New Roman" w:hAnsi="Times New Roman"/>
          <w:sz w:val="24"/>
          <w:szCs w:val="24"/>
        </w:rPr>
      </w:pPr>
      <w:r w:rsidRPr="00594FF1">
        <w:rPr>
          <w:rFonts w:ascii="Times New Roman" w:hAnsi="Times New Roman"/>
          <w:sz w:val="24"/>
          <w:szCs w:val="24"/>
        </w:rPr>
        <w:t>"This author takes responsibility for all aspects of the reliability and freedom from bias of the data presented and their discussed interpretation"</w:t>
      </w:r>
    </w:p>
    <w:p w14:paraId="60DF4263" w14:textId="77777777" w:rsidR="002B3E10" w:rsidRDefault="002B3E10" w:rsidP="002B3E10">
      <w:pPr>
        <w:spacing w:after="0" w:line="240" w:lineRule="auto"/>
        <w:jc w:val="both"/>
        <w:rPr>
          <w:rFonts w:ascii="Times New Roman" w:hAnsi="Times New Roman" w:cs="Times New Roman"/>
          <w:sz w:val="24"/>
          <w:szCs w:val="24"/>
        </w:rPr>
      </w:pPr>
    </w:p>
    <w:p w14:paraId="7002C347" w14:textId="735BADEF" w:rsidR="002B3E10" w:rsidRPr="00594FF1" w:rsidRDefault="001968D4" w:rsidP="002B3E10">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8</w:t>
      </w:r>
      <w:r w:rsidR="002B3E10">
        <w:rPr>
          <w:rFonts w:ascii="Times New Roman" w:hAnsi="Times New Roman" w:cs="Times New Roman"/>
          <w:sz w:val="24"/>
          <w:szCs w:val="24"/>
          <w:lang w:val="en-US"/>
        </w:rPr>
        <w:t xml:space="preserve">. </w:t>
      </w:r>
      <w:r w:rsidR="002B3E10" w:rsidRPr="00D25387">
        <w:rPr>
          <w:rFonts w:ascii="Times New Roman" w:hAnsi="Times New Roman" w:cs="Times New Roman"/>
          <w:sz w:val="24"/>
          <w:szCs w:val="24"/>
          <w:lang w:val="en-US"/>
        </w:rPr>
        <w:t>Department of Cardiology, Royal Stoke University Hospital, Stoke-on-Trent, UK</w:t>
      </w:r>
      <w:r w:rsidR="002B3E10">
        <w:rPr>
          <w:rFonts w:ascii="Times New Roman" w:hAnsi="Times New Roman" w:cs="Times New Roman"/>
          <w:sz w:val="24"/>
          <w:szCs w:val="24"/>
          <w:lang w:val="en-US"/>
        </w:rPr>
        <w:t>.</w:t>
      </w:r>
    </w:p>
    <w:p w14:paraId="350A698A" w14:textId="77777777" w:rsidR="002B3E10" w:rsidRPr="00594FF1" w:rsidRDefault="002B3E10" w:rsidP="002B3E10">
      <w:pPr>
        <w:spacing w:after="0" w:line="240" w:lineRule="auto"/>
        <w:rPr>
          <w:rFonts w:ascii="Times New Roman" w:hAnsi="Times New Roman"/>
          <w:sz w:val="24"/>
          <w:szCs w:val="24"/>
        </w:rPr>
      </w:pPr>
      <w:r w:rsidRPr="00594FF1">
        <w:rPr>
          <w:rFonts w:ascii="Times New Roman" w:hAnsi="Times New Roman"/>
          <w:sz w:val="24"/>
          <w:szCs w:val="24"/>
        </w:rPr>
        <w:t>"This author takes responsibility for all aspects of the reliability and freedom from bias of the data presented and their discussed interpretation"</w:t>
      </w:r>
    </w:p>
    <w:p w14:paraId="6B7F9897" w14:textId="77777777" w:rsidR="002B3E10" w:rsidRDefault="002B3E10" w:rsidP="002B3E10">
      <w:pPr>
        <w:spacing w:after="0" w:line="240" w:lineRule="auto"/>
        <w:jc w:val="both"/>
        <w:rPr>
          <w:rFonts w:ascii="Times New Roman" w:hAnsi="Times New Roman" w:cs="Times New Roman"/>
          <w:sz w:val="24"/>
          <w:szCs w:val="24"/>
          <w:lang w:val="en-US"/>
        </w:rPr>
      </w:pPr>
    </w:p>
    <w:p w14:paraId="190DC14F" w14:textId="0326174C" w:rsidR="002B3E10" w:rsidRPr="00594FF1" w:rsidRDefault="001968D4" w:rsidP="002B3E10">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9</w:t>
      </w:r>
      <w:r w:rsidR="002B3E10">
        <w:rPr>
          <w:rFonts w:ascii="Times New Roman" w:hAnsi="Times New Roman" w:cs="Times New Roman"/>
          <w:sz w:val="24"/>
          <w:szCs w:val="24"/>
          <w:lang w:val="en-US"/>
        </w:rPr>
        <w:t xml:space="preserve">. </w:t>
      </w:r>
      <w:r w:rsidR="002B3E10" w:rsidRPr="00594FF1">
        <w:rPr>
          <w:rFonts w:ascii="Times New Roman" w:hAnsi="Times New Roman" w:cs="Times New Roman"/>
          <w:sz w:val="24"/>
          <w:szCs w:val="24"/>
          <w:lang w:val="en-US"/>
        </w:rPr>
        <w:t>Keele Cardiovascular Research Group, Keele University, Stoke-on-Trent, UK</w:t>
      </w:r>
      <w:r w:rsidR="002B3E10">
        <w:rPr>
          <w:rFonts w:ascii="Times New Roman" w:hAnsi="Times New Roman" w:cs="Times New Roman"/>
          <w:sz w:val="24"/>
          <w:szCs w:val="24"/>
          <w:lang w:val="en-US"/>
        </w:rPr>
        <w:t xml:space="preserve">. </w:t>
      </w:r>
      <w:r w:rsidR="002B3E10" w:rsidRPr="00D25387">
        <w:rPr>
          <w:rFonts w:ascii="Times New Roman" w:hAnsi="Times New Roman" w:cs="Times New Roman"/>
          <w:sz w:val="24"/>
          <w:szCs w:val="24"/>
          <w:lang w:val="en-US"/>
        </w:rPr>
        <w:t>Department of Cardiology, Royal Stoke University Hospital, Stoke-on-Trent, UK</w:t>
      </w:r>
      <w:r w:rsidR="002B3E10">
        <w:rPr>
          <w:rFonts w:ascii="Times New Roman" w:hAnsi="Times New Roman" w:cs="Times New Roman"/>
          <w:sz w:val="24"/>
          <w:szCs w:val="24"/>
          <w:lang w:val="en-US"/>
        </w:rPr>
        <w:t>.</w:t>
      </w:r>
    </w:p>
    <w:p w14:paraId="3FBDAF44" w14:textId="77777777" w:rsidR="002B3E10" w:rsidRPr="00594FF1" w:rsidRDefault="002B3E10" w:rsidP="002B3E10">
      <w:pPr>
        <w:spacing w:after="0" w:line="240" w:lineRule="auto"/>
        <w:rPr>
          <w:rFonts w:ascii="Times New Roman" w:hAnsi="Times New Roman"/>
          <w:sz w:val="24"/>
          <w:szCs w:val="24"/>
        </w:rPr>
      </w:pPr>
      <w:r w:rsidRPr="00594FF1">
        <w:rPr>
          <w:rFonts w:ascii="Times New Roman" w:hAnsi="Times New Roman"/>
          <w:sz w:val="24"/>
          <w:szCs w:val="24"/>
        </w:rPr>
        <w:t>"This author takes responsibility for all aspects of the reliability and freedom from bias of the data presented and their discussed interpretation"</w:t>
      </w:r>
    </w:p>
    <w:p w14:paraId="6AF9AD0D" w14:textId="77777777" w:rsidR="002B3E10" w:rsidRDefault="002B3E10" w:rsidP="002B3E10">
      <w:pPr>
        <w:spacing w:after="0" w:line="240" w:lineRule="auto"/>
        <w:jc w:val="both"/>
        <w:rPr>
          <w:rFonts w:ascii="Times New Roman" w:hAnsi="Times New Roman" w:cs="Times New Roman"/>
          <w:sz w:val="24"/>
          <w:szCs w:val="24"/>
        </w:rPr>
      </w:pPr>
    </w:p>
    <w:p w14:paraId="0770B467" w14:textId="77777777" w:rsidR="002B3E10" w:rsidRDefault="002B3E10" w:rsidP="002B3E10">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Corresponding author:</w:t>
      </w:r>
    </w:p>
    <w:p w14:paraId="09C57D75" w14:textId="77777777" w:rsidR="002B3E10" w:rsidRDefault="002B3E10" w:rsidP="002B3E10">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lastRenderedPageBreak/>
        <w:t>Dr Chun Shing Kwok</w:t>
      </w:r>
    </w:p>
    <w:p w14:paraId="786AA128" w14:textId="77777777" w:rsidR="002B3E10" w:rsidRDefault="002B3E10" w:rsidP="002B3E10">
      <w:pPr>
        <w:spacing w:after="0" w:line="240" w:lineRule="auto"/>
        <w:jc w:val="both"/>
        <w:rPr>
          <w:rFonts w:ascii="Times New Roman" w:hAnsi="Times New Roman" w:cs="Times New Roman"/>
          <w:sz w:val="24"/>
          <w:szCs w:val="24"/>
          <w:lang w:val="en-US"/>
        </w:rPr>
      </w:pPr>
      <w:r>
        <w:rPr>
          <w:rFonts w:ascii="Times New Roman" w:hAnsi="Times New Roman"/>
          <w:sz w:val="24"/>
          <w:szCs w:val="24"/>
        </w:rPr>
        <w:t xml:space="preserve">Keele Cardiovascular Research Group, </w:t>
      </w:r>
    </w:p>
    <w:p w14:paraId="2DB56974" w14:textId="77777777" w:rsidR="002B3E10" w:rsidRDefault="002B3E10" w:rsidP="002B3E10">
      <w:pPr>
        <w:spacing w:after="0" w:line="240" w:lineRule="auto"/>
        <w:jc w:val="both"/>
        <w:rPr>
          <w:rFonts w:ascii="Times New Roman" w:hAnsi="Times New Roman" w:cs="Times New Roman"/>
          <w:sz w:val="24"/>
          <w:szCs w:val="24"/>
          <w:lang w:val="en-US"/>
        </w:rPr>
      </w:pPr>
      <w:r>
        <w:rPr>
          <w:rFonts w:ascii="Times New Roman" w:hAnsi="Times New Roman"/>
          <w:sz w:val="24"/>
          <w:szCs w:val="24"/>
        </w:rPr>
        <w:t>Centre for Prognosis Research</w:t>
      </w:r>
    </w:p>
    <w:p w14:paraId="239B4C9A" w14:textId="77777777" w:rsidR="002B3E10" w:rsidRDefault="002B3E10" w:rsidP="002B3E10">
      <w:pPr>
        <w:spacing w:after="0" w:line="240" w:lineRule="auto"/>
        <w:jc w:val="both"/>
        <w:rPr>
          <w:rFonts w:ascii="Times New Roman" w:hAnsi="Times New Roman" w:cs="Times New Roman"/>
          <w:sz w:val="24"/>
          <w:szCs w:val="24"/>
          <w:lang w:val="en-US"/>
        </w:rPr>
      </w:pPr>
      <w:r>
        <w:rPr>
          <w:rFonts w:ascii="Times New Roman" w:hAnsi="Times New Roman"/>
          <w:sz w:val="24"/>
          <w:szCs w:val="24"/>
        </w:rPr>
        <w:t xml:space="preserve">Keele University, </w:t>
      </w:r>
    </w:p>
    <w:p w14:paraId="17D67209" w14:textId="77777777" w:rsidR="002B3E10" w:rsidRDefault="002B3E10" w:rsidP="002B3E10">
      <w:pPr>
        <w:spacing w:after="0" w:line="240" w:lineRule="auto"/>
        <w:jc w:val="both"/>
        <w:rPr>
          <w:rFonts w:ascii="Times New Roman" w:hAnsi="Times New Roman" w:cs="Times New Roman"/>
          <w:sz w:val="24"/>
          <w:szCs w:val="24"/>
          <w:lang w:val="en-US"/>
        </w:rPr>
      </w:pPr>
      <w:r>
        <w:rPr>
          <w:rFonts w:ascii="Times New Roman" w:hAnsi="Times New Roman"/>
          <w:sz w:val="24"/>
          <w:szCs w:val="24"/>
        </w:rPr>
        <w:t>Stoke-on-Trent, UK</w:t>
      </w:r>
    </w:p>
    <w:p w14:paraId="18E17EB1" w14:textId="77777777" w:rsidR="002B3E10" w:rsidRDefault="002B3E10" w:rsidP="002B3E10">
      <w:pPr>
        <w:spacing w:after="0" w:line="240" w:lineRule="auto"/>
        <w:jc w:val="both"/>
        <w:rPr>
          <w:rFonts w:ascii="Times New Roman" w:hAnsi="Times New Roman" w:cs="Times New Roman"/>
          <w:sz w:val="24"/>
          <w:szCs w:val="24"/>
          <w:lang w:val="en-US"/>
        </w:rPr>
      </w:pPr>
      <w:r w:rsidRPr="00B6723C">
        <w:rPr>
          <w:rFonts w:ascii="Times New Roman" w:hAnsi="Times New Roman"/>
          <w:sz w:val="24"/>
          <w:szCs w:val="24"/>
          <w:lang w:val="fr-CA"/>
        </w:rPr>
        <w:t xml:space="preserve">E-mail: </w:t>
      </w:r>
      <w:hyperlink r:id="rId8" w:history="1">
        <w:r w:rsidRPr="00120549">
          <w:rPr>
            <w:rStyle w:val="Hyperlink"/>
            <w:rFonts w:ascii="Times New Roman" w:hAnsi="Times New Roman"/>
            <w:sz w:val="24"/>
            <w:szCs w:val="24"/>
            <w:lang w:val="fr-CA"/>
          </w:rPr>
          <w:t>shingkwok@doctors.org.uk</w:t>
        </w:r>
      </w:hyperlink>
    </w:p>
    <w:p w14:paraId="1DC6015A" w14:textId="77777777" w:rsidR="002B3E10" w:rsidRDefault="002B3E10" w:rsidP="002B3E10">
      <w:pPr>
        <w:spacing w:after="0" w:line="240" w:lineRule="auto"/>
        <w:jc w:val="both"/>
        <w:rPr>
          <w:rFonts w:ascii="Times New Roman" w:hAnsi="Times New Roman" w:cs="Times New Roman"/>
          <w:sz w:val="24"/>
          <w:szCs w:val="24"/>
          <w:lang w:val="en-US"/>
        </w:rPr>
      </w:pPr>
      <w:r w:rsidRPr="00B6723C">
        <w:rPr>
          <w:rFonts w:ascii="Times New Roman" w:hAnsi="Times New Roman"/>
          <w:b/>
          <w:sz w:val="24"/>
          <w:szCs w:val="24"/>
          <w:lang w:val="fr-CA"/>
        </w:rPr>
        <w:t>Tel:</w:t>
      </w:r>
      <w:r>
        <w:rPr>
          <w:rFonts w:ascii="Times New Roman" w:hAnsi="Times New Roman"/>
          <w:sz w:val="24"/>
          <w:szCs w:val="24"/>
          <w:lang w:val="fr-CA"/>
        </w:rPr>
        <w:t xml:space="preserve"> +44 1782 732911</w:t>
      </w:r>
      <w:r w:rsidRPr="00B6723C">
        <w:rPr>
          <w:rFonts w:ascii="Times New Roman" w:hAnsi="Times New Roman"/>
          <w:sz w:val="24"/>
          <w:szCs w:val="24"/>
          <w:lang w:val="fr-CA"/>
        </w:rPr>
        <w:t xml:space="preserve"> </w:t>
      </w:r>
      <w:r w:rsidRPr="00B6723C">
        <w:rPr>
          <w:rFonts w:ascii="Times New Roman" w:hAnsi="Times New Roman"/>
          <w:sz w:val="24"/>
          <w:szCs w:val="24"/>
          <w:lang w:val="fr-CA"/>
        </w:rPr>
        <w:tab/>
      </w:r>
      <w:r w:rsidRPr="00B6723C">
        <w:rPr>
          <w:rFonts w:ascii="Times New Roman" w:hAnsi="Times New Roman"/>
          <w:b/>
          <w:sz w:val="24"/>
          <w:szCs w:val="24"/>
          <w:lang w:val="fr-CA"/>
        </w:rPr>
        <w:t>Fax:</w:t>
      </w:r>
      <w:r w:rsidRPr="00B6723C">
        <w:rPr>
          <w:rFonts w:ascii="Times New Roman" w:hAnsi="Times New Roman"/>
          <w:sz w:val="24"/>
          <w:szCs w:val="24"/>
          <w:lang w:val="fr-CA"/>
        </w:rPr>
        <w:t xml:space="preserve"> +44 1782 734719</w:t>
      </w:r>
    </w:p>
    <w:p w14:paraId="502EA440" w14:textId="77777777" w:rsidR="002B3E10" w:rsidRDefault="002B3E10" w:rsidP="002B3E10">
      <w:pPr>
        <w:spacing w:after="0" w:line="240" w:lineRule="auto"/>
        <w:jc w:val="both"/>
        <w:rPr>
          <w:rFonts w:ascii="Times New Roman" w:hAnsi="Times New Roman" w:cs="Times New Roman"/>
          <w:sz w:val="24"/>
          <w:szCs w:val="24"/>
          <w:lang w:val="en-US"/>
        </w:rPr>
      </w:pPr>
    </w:p>
    <w:p w14:paraId="285FFAD3" w14:textId="77777777" w:rsidR="002B3E10" w:rsidRDefault="002B3E10" w:rsidP="002B3E10">
      <w:pPr>
        <w:spacing w:after="0" w:line="240" w:lineRule="auto"/>
        <w:jc w:val="both"/>
        <w:rPr>
          <w:rFonts w:ascii="Times New Roman" w:hAnsi="Times New Roman" w:cs="Times New Roman"/>
          <w:sz w:val="24"/>
          <w:szCs w:val="24"/>
          <w:lang w:val="en-US"/>
        </w:rPr>
      </w:pPr>
      <w:r>
        <w:rPr>
          <w:rFonts w:ascii="Times New Roman" w:hAnsi="Times New Roman"/>
          <w:b/>
          <w:sz w:val="24"/>
          <w:szCs w:val="24"/>
          <w:lang w:val="en-US"/>
        </w:rPr>
        <w:t xml:space="preserve">Acknowledgements: </w:t>
      </w:r>
      <w:r>
        <w:rPr>
          <w:rFonts w:ascii="Times New Roman" w:hAnsi="Times New Roman" w:cs="Times New Roman"/>
          <w:sz w:val="24"/>
          <w:szCs w:val="24"/>
        </w:rPr>
        <w:t>We are grateful to the Healthcare Cost and Utilization Project (HCUP) and the HCUP Data Partners for providing the data used in the analysis.</w:t>
      </w:r>
    </w:p>
    <w:p w14:paraId="052646C0" w14:textId="77777777" w:rsidR="002B3E10" w:rsidRDefault="002B3E10" w:rsidP="002B3E10">
      <w:pPr>
        <w:spacing w:after="0" w:line="240" w:lineRule="auto"/>
        <w:jc w:val="both"/>
        <w:rPr>
          <w:rFonts w:ascii="Times New Roman" w:hAnsi="Times New Roman" w:cs="Times New Roman"/>
          <w:sz w:val="24"/>
          <w:szCs w:val="24"/>
          <w:lang w:val="en-US"/>
        </w:rPr>
      </w:pPr>
    </w:p>
    <w:p w14:paraId="2874DBEA" w14:textId="77777777" w:rsidR="002B3E10" w:rsidRDefault="002B3E10" w:rsidP="002B3E10">
      <w:pPr>
        <w:spacing w:after="0" w:line="240"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Conflict of interest: </w:t>
      </w:r>
      <w:r>
        <w:rPr>
          <w:rFonts w:ascii="Times New Roman" w:hAnsi="Times New Roman" w:cs="Times New Roman"/>
          <w:sz w:val="24"/>
          <w:szCs w:val="24"/>
          <w:lang w:val="en-US"/>
        </w:rPr>
        <w:t>None.</w:t>
      </w:r>
    </w:p>
    <w:p w14:paraId="26256146" w14:textId="77777777" w:rsidR="002B3E10" w:rsidRDefault="002B3E10" w:rsidP="002B3E10">
      <w:pPr>
        <w:spacing w:after="0" w:line="240" w:lineRule="auto"/>
        <w:jc w:val="both"/>
        <w:rPr>
          <w:rFonts w:ascii="Times New Roman" w:hAnsi="Times New Roman" w:cs="Times New Roman"/>
          <w:sz w:val="24"/>
          <w:szCs w:val="24"/>
          <w:lang w:val="en-US"/>
        </w:rPr>
      </w:pPr>
    </w:p>
    <w:p w14:paraId="031175ED" w14:textId="2DEABEE1" w:rsidR="002B3E10" w:rsidRPr="00594FF1" w:rsidRDefault="002B3E10" w:rsidP="002B3E10">
      <w:pPr>
        <w:spacing w:after="0" w:line="240"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Word count: </w:t>
      </w:r>
      <w:r w:rsidR="00E16019">
        <w:rPr>
          <w:rFonts w:ascii="Times New Roman" w:hAnsi="Times New Roman" w:cs="Times New Roman"/>
          <w:sz w:val="24"/>
          <w:szCs w:val="24"/>
          <w:lang w:val="en-US"/>
        </w:rPr>
        <w:t>2,993</w:t>
      </w:r>
    </w:p>
    <w:p w14:paraId="7BDF0D1F" w14:textId="77777777" w:rsidR="00700379" w:rsidRPr="006328AD" w:rsidRDefault="00700379" w:rsidP="007337CD">
      <w:pPr>
        <w:spacing w:line="480" w:lineRule="auto"/>
        <w:jc w:val="both"/>
        <w:rPr>
          <w:rFonts w:ascii="Times New Roman" w:hAnsi="Times New Roman" w:cs="Times New Roman"/>
          <w:sz w:val="24"/>
          <w:szCs w:val="24"/>
          <w:lang w:val="en-US"/>
        </w:rPr>
      </w:pPr>
    </w:p>
    <w:p w14:paraId="4BF859CB" w14:textId="77777777" w:rsidR="0086435C" w:rsidRDefault="0086435C">
      <w:pPr>
        <w:rPr>
          <w:rFonts w:ascii="Times New Roman" w:hAnsi="Times New Roman" w:cs="Times New Roman"/>
          <w:b/>
          <w:sz w:val="24"/>
          <w:szCs w:val="24"/>
          <w:lang w:val="en-US"/>
        </w:rPr>
      </w:pPr>
      <w:r>
        <w:rPr>
          <w:rFonts w:ascii="Times New Roman" w:hAnsi="Times New Roman" w:cs="Times New Roman"/>
          <w:b/>
          <w:sz w:val="24"/>
          <w:szCs w:val="24"/>
          <w:lang w:val="en-US"/>
        </w:rPr>
        <w:br w:type="page"/>
      </w:r>
    </w:p>
    <w:p w14:paraId="6DA31C56" w14:textId="77777777" w:rsidR="0038636D" w:rsidRDefault="0038636D" w:rsidP="0038636D">
      <w:pPr>
        <w:spacing w:after="0" w:line="48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Abstract</w:t>
      </w:r>
    </w:p>
    <w:p w14:paraId="5BB7B0D2" w14:textId="1CE75BB0" w:rsidR="00225DA0" w:rsidRDefault="0038636D" w:rsidP="0038636D">
      <w:pPr>
        <w:spacing w:after="0" w:line="480"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Background: </w:t>
      </w:r>
      <w:r w:rsidR="00511FDB">
        <w:rPr>
          <w:rFonts w:ascii="Times New Roman" w:hAnsi="Times New Roman" w:cs="Times New Roman"/>
          <w:sz w:val="24"/>
          <w:szCs w:val="24"/>
          <w:lang w:val="en-US"/>
        </w:rPr>
        <w:t>Li</w:t>
      </w:r>
      <w:r w:rsidR="00225DA0">
        <w:rPr>
          <w:rFonts w:ascii="Times New Roman" w:hAnsi="Times New Roman" w:cs="Times New Roman"/>
          <w:sz w:val="24"/>
          <w:szCs w:val="24"/>
          <w:lang w:val="en-US"/>
        </w:rPr>
        <w:t xml:space="preserve">ttle </w:t>
      </w:r>
      <w:r w:rsidR="00511FDB">
        <w:rPr>
          <w:rFonts w:ascii="Times New Roman" w:hAnsi="Times New Roman" w:cs="Times New Roman"/>
          <w:sz w:val="24"/>
          <w:szCs w:val="24"/>
          <w:lang w:val="en-US"/>
        </w:rPr>
        <w:t xml:space="preserve">is </w:t>
      </w:r>
      <w:r w:rsidR="00225DA0">
        <w:rPr>
          <w:rFonts w:ascii="Times New Roman" w:hAnsi="Times New Roman" w:cs="Times New Roman"/>
          <w:sz w:val="24"/>
          <w:szCs w:val="24"/>
          <w:lang w:val="en-US"/>
        </w:rPr>
        <w:t>known about frailty among</w:t>
      </w:r>
      <w:r w:rsidR="00511FDB">
        <w:rPr>
          <w:rFonts w:ascii="Times New Roman" w:hAnsi="Times New Roman" w:cs="Times New Roman"/>
          <w:sz w:val="24"/>
          <w:szCs w:val="24"/>
          <w:lang w:val="en-US"/>
        </w:rPr>
        <w:t>st</w:t>
      </w:r>
      <w:r w:rsidR="00225DA0">
        <w:rPr>
          <w:rFonts w:ascii="Times New Roman" w:hAnsi="Times New Roman" w:cs="Times New Roman"/>
          <w:sz w:val="24"/>
          <w:szCs w:val="24"/>
          <w:lang w:val="en-US"/>
        </w:rPr>
        <w:t xml:space="preserve"> patients hospitalized with heart failure </w:t>
      </w:r>
      <w:r w:rsidR="002774D3">
        <w:rPr>
          <w:rFonts w:ascii="Times New Roman" w:hAnsi="Times New Roman" w:cs="Times New Roman"/>
          <w:sz w:val="24"/>
          <w:szCs w:val="24"/>
          <w:lang w:val="en-US"/>
        </w:rPr>
        <w:t xml:space="preserve">(HF) </w:t>
      </w:r>
      <w:r w:rsidR="00225DA0">
        <w:rPr>
          <w:rFonts w:ascii="Times New Roman" w:hAnsi="Times New Roman" w:cs="Times New Roman"/>
          <w:sz w:val="24"/>
          <w:szCs w:val="24"/>
          <w:lang w:val="en-US"/>
        </w:rPr>
        <w:t>on a national level.</w:t>
      </w:r>
    </w:p>
    <w:p w14:paraId="2503F2AD" w14:textId="37CD6B54" w:rsidR="0038636D" w:rsidRDefault="0038636D" w:rsidP="001C40AE">
      <w:pPr>
        <w:spacing w:after="0" w:line="480" w:lineRule="auto"/>
        <w:jc w:val="both"/>
        <w:rPr>
          <w:rFonts w:ascii="Times New Roman" w:hAnsi="Times New Roman" w:cs="Times New Roman"/>
          <w:sz w:val="24"/>
          <w:szCs w:val="24"/>
          <w:lang w:val="en-US"/>
        </w:rPr>
      </w:pPr>
      <w:r w:rsidRPr="001C40AE">
        <w:rPr>
          <w:rFonts w:ascii="Times New Roman" w:hAnsi="Times New Roman" w:cs="Times New Roman"/>
          <w:b/>
          <w:sz w:val="24"/>
          <w:szCs w:val="24"/>
          <w:lang w:val="en-US"/>
        </w:rPr>
        <w:t>Methods</w:t>
      </w:r>
      <w:r w:rsidR="001C40AE">
        <w:rPr>
          <w:rFonts w:ascii="Times New Roman" w:hAnsi="Times New Roman" w:cs="Times New Roman"/>
          <w:b/>
          <w:sz w:val="24"/>
          <w:szCs w:val="24"/>
          <w:lang w:val="en-US"/>
        </w:rPr>
        <w:t>:</w:t>
      </w:r>
      <w:r w:rsidR="001C40AE" w:rsidRPr="001C40AE">
        <w:rPr>
          <w:rFonts w:ascii="Times New Roman" w:hAnsi="Times New Roman" w:cs="Times New Roman"/>
          <w:sz w:val="24"/>
          <w:szCs w:val="24"/>
          <w:lang w:val="en-US"/>
        </w:rPr>
        <w:t xml:space="preserve"> </w:t>
      </w:r>
      <w:r w:rsidR="001C40AE">
        <w:rPr>
          <w:rFonts w:ascii="Times New Roman" w:hAnsi="Times New Roman" w:cs="Times New Roman"/>
          <w:sz w:val="24"/>
          <w:szCs w:val="24"/>
          <w:lang w:val="en-US"/>
        </w:rPr>
        <w:t xml:space="preserve">We conducted a retrospective cohort study of patients admitted to hospital for </w:t>
      </w:r>
      <w:r w:rsidR="002774D3">
        <w:rPr>
          <w:rFonts w:ascii="Times New Roman" w:hAnsi="Times New Roman" w:cs="Times New Roman"/>
          <w:sz w:val="24"/>
          <w:szCs w:val="24"/>
          <w:lang w:val="en-US"/>
        </w:rPr>
        <w:t>HF</w:t>
      </w:r>
      <w:r w:rsidR="001C40AE">
        <w:rPr>
          <w:rFonts w:ascii="Times New Roman" w:hAnsi="Times New Roman" w:cs="Times New Roman"/>
          <w:sz w:val="24"/>
          <w:szCs w:val="24"/>
          <w:lang w:val="en-US"/>
        </w:rPr>
        <w:t xml:space="preserve"> in the United States. </w:t>
      </w:r>
      <w:r w:rsidR="00C67D03">
        <w:rPr>
          <w:rFonts w:ascii="Times New Roman" w:hAnsi="Times New Roman" w:cs="Times New Roman"/>
          <w:sz w:val="24"/>
          <w:szCs w:val="24"/>
          <w:lang w:val="en-US"/>
        </w:rPr>
        <w:t>We examined how low, intermediate and high risk of frailty as defined by the Hospital Frailty Risk Score has changed over time and how it is related to inpatient mortality, length of stay, cost and discharge location.</w:t>
      </w:r>
    </w:p>
    <w:p w14:paraId="7A0C2918" w14:textId="4757E596" w:rsidR="00E65827" w:rsidRPr="00E35190" w:rsidRDefault="00E65827" w:rsidP="00E65827">
      <w:pPr>
        <w:spacing w:after="0" w:line="480" w:lineRule="auto"/>
        <w:jc w:val="both"/>
        <w:rPr>
          <w:rFonts w:ascii="Times New Roman" w:eastAsia="Malgun Gothic" w:hAnsi="Times New Roman" w:cs="Times New Roman"/>
          <w:sz w:val="24"/>
          <w:szCs w:val="24"/>
          <w:lang w:val="en-US"/>
        </w:rPr>
      </w:pPr>
      <w:r>
        <w:rPr>
          <w:rFonts w:ascii="Times New Roman" w:hAnsi="Times New Roman" w:cs="Times New Roman"/>
          <w:b/>
          <w:sz w:val="24"/>
          <w:szCs w:val="24"/>
          <w:lang w:val="en-US"/>
        </w:rPr>
        <w:t>Results:</w:t>
      </w:r>
      <w:r w:rsidRPr="005A3AD7">
        <w:rPr>
          <w:rFonts w:ascii="Times New Roman" w:hAnsi="Times New Roman" w:cs="Times New Roman"/>
          <w:sz w:val="24"/>
          <w:szCs w:val="24"/>
          <w:lang w:val="en-US"/>
        </w:rPr>
        <w:t xml:space="preserve"> </w:t>
      </w:r>
      <w:r>
        <w:rPr>
          <w:rFonts w:ascii="Times New Roman" w:hAnsi="Times New Roman" w:cs="Times New Roman"/>
          <w:sz w:val="24"/>
          <w:szCs w:val="24"/>
          <w:lang w:val="en-US"/>
        </w:rPr>
        <w:t>We included</w:t>
      </w:r>
      <w:r w:rsidRPr="00153472">
        <w:rPr>
          <w:rFonts w:ascii="Times New Roman" w:hAnsi="Times New Roman" w:cs="Times New Roman"/>
          <w:sz w:val="24"/>
          <w:szCs w:val="24"/>
          <w:lang w:val="en-US"/>
        </w:rPr>
        <w:t xml:space="preserve"> 11,626,400 inpatient episodes for </w:t>
      </w:r>
      <w:r w:rsidR="002774D3">
        <w:rPr>
          <w:rFonts w:ascii="Times New Roman" w:hAnsi="Times New Roman" w:cs="Times New Roman"/>
          <w:sz w:val="24"/>
          <w:szCs w:val="24"/>
          <w:lang w:val="en-US"/>
        </w:rPr>
        <w:t>HF</w:t>
      </w:r>
      <w:r>
        <w:rPr>
          <w:rFonts w:ascii="Times New Roman" w:hAnsi="Times New Roman" w:cs="Times New Roman"/>
          <w:sz w:val="24"/>
          <w:szCs w:val="24"/>
          <w:lang w:val="en-US"/>
        </w:rPr>
        <w:t>.</w:t>
      </w:r>
      <w:r w:rsidRPr="00153472">
        <w:rPr>
          <w:rFonts w:ascii="Times New Roman" w:hAnsi="Times New Roman" w:cs="Times New Roman"/>
          <w:sz w:val="24"/>
          <w:szCs w:val="24"/>
          <w:lang w:val="en-US"/>
        </w:rPr>
        <w:t xml:space="preserve"> </w:t>
      </w:r>
      <w:r>
        <w:rPr>
          <w:rFonts w:ascii="Times New Roman" w:hAnsi="Times New Roman" w:cs="Times New Roman"/>
          <w:sz w:val="24"/>
          <w:szCs w:val="24"/>
          <w:lang w:val="en-US"/>
        </w:rPr>
        <w:t>The</w:t>
      </w:r>
      <w:r w:rsidRPr="00153472">
        <w:rPr>
          <w:rFonts w:ascii="Times New Roman" w:hAnsi="Times New Roman" w:cs="Times New Roman"/>
          <w:sz w:val="24"/>
          <w:szCs w:val="24"/>
          <w:lang w:val="en-US"/>
        </w:rPr>
        <w:t xml:space="preserve"> proportion</w:t>
      </w:r>
      <w:r>
        <w:rPr>
          <w:rFonts w:ascii="Times New Roman" w:hAnsi="Times New Roman" w:cs="Times New Roman"/>
          <w:sz w:val="24"/>
          <w:szCs w:val="24"/>
          <w:lang w:val="en-US"/>
        </w:rPr>
        <w:t>s</w:t>
      </w:r>
      <w:r w:rsidRPr="00153472">
        <w:rPr>
          <w:rFonts w:ascii="Times New Roman" w:hAnsi="Times New Roman" w:cs="Times New Roman"/>
          <w:sz w:val="24"/>
          <w:szCs w:val="24"/>
          <w:lang w:val="en-US"/>
        </w:rPr>
        <w:t xml:space="preserve"> of patients that had low risk, intermediate and high risk of frailty were 80.0% (n=9,300,873), 19.9% (n=2,314,001) and 0.1% (n=11,526). </w:t>
      </w:r>
      <w:r w:rsidR="002774D3">
        <w:rPr>
          <w:rFonts w:ascii="Times New Roman" w:hAnsi="Times New Roman" w:cs="Times New Roman"/>
          <w:sz w:val="24"/>
          <w:szCs w:val="24"/>
          <w:lang w:val="en-US"/>
        </w:rPr>
        <w:t>I</w:t>
      </w:r>
      <w:r>
        <w:rPr>
          <w:rFonts w:ascii="Times New Roman" w:hAnsi="Times New Roman" w:cs="Times New Roman"/>
          <w:sz w:val="24"/>
          <w:szCs w:val="24"/>
          <w:lang w:val="en-US"/>
        </w:rPr>
        <w:t>nter</w:t>
      </w:r>
      <w:r w:rsidR="002774D3">
        <w:rPr>
          <w:rFonts w:ascii="Times New Roman" w:hAnsi="Times New Roman" w:cs="Times New Roman"/>
          <w:sz w:val="24"/>
          <w:szCs w:val="24"/>
          <w:lang w:val="en-US"/>
        </w:rPr>
        <w:t>mediate or high risk of frailty</w:t>
      </w:r>
      <w:r>
        <w:rPr>
          <w:rFonts w:ascii="Times New Roman" w:hAnsi="Times New Roman" w:cs="Times New Roman"/>
          <w:sz w:val="24"/>
          <w:szCs w:val="24"/>
          <w:lang w:val="en-US"/>
        </w:rPr>
        <w:t xml:space="preserve"> increas</w:t>
      </w:r>
      <w:r w:rsidR="002774D3">
        <w:rPr>
          <w:rFonts w:ascii="Times New Roman" w:hAnsi="Times New Roman" w:cs="Times New Roman"/>
          <w:sz w:val="24"/>
          <w:szCs w:val="24"/>
          <w:lang w:val="en-US"/>
        </w:rPr>
        <w:t>ed</w:t>
      </w:r>
      <w:r>
        <w:rPr>
          <w:rFonts w:ascii="Times New Roman" w:hAnsi="Times New Roman" w:cs="Times New Roman"/>
          <w:sz w:val="24"/>
          <w:szCs w:val="24"/>
          <w:lang w:val="en-US"/>
        </w:rPr>
        <w:t xml:space="preserve"> from 9.9% in 2004 to 31.7% in 2014. </w:t>
      </w:r>
      <w:r w:rsidRPr="00153472">
        <w:rPr>
          <w:rFonts w:ascii="Times New Roman" w:hAnsi="Times New Roman" w:cs="Times New Roman"/>
          <w:sz w:val="24"/>
          <w:szCs w:val="24"/>
          <w:lang w:val="en-US"/>
        </w:rPr>
        <w:t xml:space="preserve">Length of stay in hospital was </w:t>
      </w:r>
      <w:r>
        <w:rPr>
          <w:rFonts w:ascii="Times New Roman" w:hAnsi="Times New Roman" w:cs="Times New Roman"/>
          <w:sz w:val="24"/>
          <w:szCs w:val="24"/>
          <w:lang w:val="en-US"/>
        </w:rPr>
        <w:t>greater in the high</w:t>
      </w:r>
      <w:r w:rsidRPr="00153472">
        <w:rPr>
          <w:rFonts w:ascii="Times New Roman" w:hAnsi="Times New Roman" w:cs="Times New Roman"/>
          <w:sz w:val="24"/>
          <w:szCs w:val="24"/>
          <w:lang w:val="en-US"/>
        </w:rPr>
        <w:t xml:space="preserve"> compared to low risk group</w:t>
      </w:r>
      <w:r>
        <w:rPr>
          <w:rFonts w:ascii="Times New Roman" w:hAnsi="Times New Roman" w:cs="Times New Roman"/>
          <w:sz w:val="24"/>
          <w:szCs w:val="24"/>
          <w:lang w:val="en-US"/>
        </w:rPr>
        <w:t>s</w:t>
      </w:r>
      <w:r w:rsidRPr="00153472">
        <w:rPr>
          <w:rFonts w:ascii="Times New Roman" w:hAnsi="Times New Roman" w:cs="Times New Roman"/>
          <w:sz w:val="24"/>
          <w:szCs w:val="24"/>
          <w:lang w:val="en-US"/>
        </w:rPr>
        <w:t xml:space="preserve"> (11.3 days vs 4.6 days, respectively). The cost of admission was </w:t>
      </w:r>
      <w:r>
        <w:rPr>
          <w:rFonts w:ascii="Times New Roman" w:hAnsi="Times New Roman" w:cs="Times New Roman"/>
          <w:sz w:val="24"/>
          <w:szCs w:val="24"/>
          <w:lang w:val="en-US"/>
        </w:rPr>
        <w:t>also</w:t>
      </w:r>
      <w:r w:rsidRPr="00153472">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greater in the </w:t>
      </w:r>
      <w:r w:rsidR="00777A10">
        <w:rPr>
          <w:rFonts w:ascii="Times New Roman" w:hAnsi="Times New Roman" w:cs="Times New Roman"/>
          <w:sz w:val="24"/>
          <w:szCs w:val="24"/>
          <w:lang w:val="en-US"/>
        </w:rPr>
        <w:t xml:space="preserve">high </w:t>
      </w:r>
      <w:r w:rsidRPr="00153472">
        <w:rPr>
          <w:rFonts w:ascii="Times New Roman" w:hAnsi="Times New Roman" w:cs="Times New Roman"/>
          <w:sz w:val="24"/>
          <w:szCs w:val="24"/>
          <w:lang w:val="en-US"/>
        </w:rPr>
        <w:t>risk gr</w:t>
      </w:r>
      <w:r>
        <w:rPr>
          <w:rFonts w:ascii="Times New Roman" w:hAnsi="Times New Roman" w:cs="Times New Roman"/>
          <w:sz w:val="24"/>
          <w:szCs w:val="24"/>
          <w:lang w:val="en-US"/>
        </w:rPr>
        <w:t xml:space="preserve">oup </w:t>
      </w:r>
      <w:r w:rsidRPr="00153472">
        <w:rPr>
          <w:rFonts w:ascii="Times New Roman" w:hAnsi="Times New Roman" w:cs="Times New Roman"/>
          <w:sz w:val="24"/>
          <w:szCs w:val="24"/>
          <w:lang w:val="en-US"/>
        </w:rPr>
        <w:t>($23,084</w:t>
      </w:r>
      <w:r w:rsidRPr="00153472">
        <w:rPr>
          <w:rFonts w:ascii="Times New Roman" w:eastAsia="Malgun Gothic" w:hAnsi="Times New Roman" w:cs="Times New Roman"/>
          <w:sz w:val="24"/>
          <w:szCs w:val="24"/>
          <w:lang w:val="en-US"/>
        </w:rPr>
        <w:t>±39,681) compared to the low risk group ($9,103±12,768).</w:t>
      </w:r>
      <w:r>
        <w:rPr>
          <w:rFonts w:ascii="Times New Roman" w:hAnsi="Times New Roman" w:cs="Times New Roman"/>
          <w:sz w:val="24"/>
          <w:szCs w:val="24"/>
          <w:lang w:val="en-US"/>
        </w:rPr>
        <w:t xml:space="preserve"> </w:t>
      </w:r>
      <w:r w:rsidR="002774D3">
        <w:rPr>
          <w:rFonts w:ascii="Times New Roman" w:eastAsia="Malgun Gothic" w:hAnsi="Times New Roman" w:cs="Times New Roman"/>
          <w:sz w:val="24"/>
          <w:szCs w:val="24"/>
          <w:lang w:val="en-US"/>
        </w:rPr>
        <w:t>I</w:t>
      </w:r>
      <w:r>
        <w:rPr>
          <w:rFonts w:ascii="Times New Roman" w:eastAsia="Malgun Gothic" w:hAnsi="Times New Roman" w:cs="Times New Roman"/>
          <w:sz w:val="24"/>
          <w:szCs w:val="24"/>
          <w:lang w:val="en-US"/>
        </w:rPr>
        <w:t>ntermediate and high risk of frailty groups were associated with increased in odds of mortality (OR 2.38 95% CI 2.22-2.34, p&lt;0.001 and OR 3.05 95%CI 2.57-3.62, p&lt;0.001, respectively) and discharge to nursing facilities (intermediate risk OR 1.52 95%CI 1.50-1.54, p&lt;0.001 and high risk OR 1.60 95%CI 1.35-1.90</w:t>
      </w:r>
      <w:r w:rsidRPr="00A25110">
        <w:rPr>
          <w:rFonts w:ascii="Times New Roman" w:eastAsia="Malgun Gothic" w:hAnsi="Times New Roman" w:cs="Times New Roman"/>
          <w:sz w:val="24"/>
          <w:szCs w:val="24"/>
          <w:lang w:val="en-US"/>
        </w:rPr>
        <w:t>, p&lt;0.001).</w:t>
      </w:r>
    </w:p>
    <w:p w14:paraId="5B7986ED" w14:textId="6E6BBA2B" w:rsidR="005A3AD7" w:rsidRPr="005A3AD7" w:rsidRDefault="0038636D" w:rsidP="005A3AD7">
      <w:pPr>
        <w:spacing w:after="0" w:line="480" w:lineRule="auto"/>
        <w:jc w:val="both"/>
        <w:rPr>
          <w:rFonts w:ascii="Times New Roman" w:hAnsi="Times New Roman" w:cs="Times New Roman"/>
          <w:b/>
          <w:sz w:val="24"/>
          <w:szCs w:val="24"/>
          <w:lang w:val="en-US"/>
        </w:rPr>
      </w:pPr>
      <w:r w:rsidRPr="005A3AD7">
        <w:rPr>
          <w:rFonts w:ascii="Times New Roman" w:hAnsi="Times New Roman" w:cs="Times New Roman"/>
          <w:b/>
          <w:sz w:val="24"/>
          <w:szCs w:val="24"/>
          <w:lang w:val="en-US"/>
        </w:rPr>
        <w:t>Conclusions:</w:t>
      </w:r>
      <w:r w:rsidR="00490F06">
        <w:rPr>
          <w:rFonts w:ascii="Times New Roman" w:hAnsi="Times New Roman" w:cs="Times New Roman"/>
          <w:b/>
          <w:sz w:val="24"/>
          <w:szCs w:val="24"/>
          <w:lang w:val="en-US"/>
        </w:rPr>
        <w:t xml:space="preserve"> </w:t>
      </w:r>
      <w:r w:rsidR="002774D3">
        <w:rPr>
          <w:rFonts w:ascii="Times New Roman" w:hAnsi="Times New Roman" w:cs="Times New Roman"/>
          <w:sz w:val="24"/>
          <w:szCs w:val="24"/>
          <w:lang w:val="en-US"/>
        </w:rPr>
        <w:t>F</w:t>
      </w:r>
      <w:r w:rsidR="00116765">
        <w:rPr>
          <w:rFonts w:ascii="Times New Roman" w:hAnsi="Times New Roman" w:cs="Times New Roman"/>
          <w:sz w:val="24"/>
          <w:szCs w:val="24"/>
          <w:lang w:val="en-US"/>
        </w:rPr>
        <w:t>railty</w:t>
      </w:r>
      <w:r w:rsidR="005A3AD7">
        <w:rPr>
          <w:rFonts w:ascii="Times New Roman" w:hAnsi="Times New Roman" w:cs="Times New Roman"/>
          <w:sz w:val="24"/>
          <w:szCs w:val="24"/>
        </w:rPr>
        <w:t xml:space="preserve"> </w:t>
      </w:r>
      <w:r w:rsidR="00490F06">
        <w:rPr>
          <w:rFonts w:ascii="Times New Roman" w:hAnsi="Times New Roman" w:cs="Times New Roman"/>
          <w:sz w:val="24"/>
          <w:szCs w:val="24"/>
        </w:rPr>
        <w:t xml:space="preserve">is significant and </w:t>
      </w:r>
      <w:r w:rsidR="002406F1">
        <w:rPr>
          <w:rFonts w:ascii="Times New Roman" w:hAnsi="Times New Roman" w:cs="Times New Roman"/>
          <w:sz w:val="24"/>
          <w:szCs w:val="24"/>
        </w:rPr>
        <w:t xml:space="preserve">increasing in a national cohort of patients with </w:t>
      </w:r>
      <w:r w:rsidR="002774D3">
        <w:rPr>
          <w:rFonts w:ascii="Times New Roman" w:hAnsi="Times New Roman" w:cs="Times New Roman"/>
          <w:sz w:val="24"/>
          <w:szCs w:val="24"/>
        </w:rPr>
        <w:t>HF</w:t>
      </w:r>
      <w:r w:rsidR="002406F1">
        <w:rPr>
          <w:rFonts w:ascii="Times New Roman" w:hAnsi="Times New Roman" w:cs="Times New Roman"/>
          <w:sz w:val="24"/>
          <w:szCs w:val="24"/>
        </w:rPr>
        <w:t xml:space="preserve"> in the United States</w:t>
      </w:r>
      <w:r w:rsidR="00490F06">
        <w:rPr>
          <w:rFonts w:ascii="Times New Roman" w:hAnsi="Times New Roman" w:cs="Times New Roman"/>
          <w:sz w:val="24"/>
          <w:szCs w:val="24"/>
        </w:rPr>
        <w:t>. P</w:t>
      </w:r>
      <w:r w:rsidR="005A3AD7">
        <w:rPr>
          <w:rFonts w:ascii="Times New Roman" w:hAnsi="Times New Roman" w:cs="Times New Roman"/>
          <w:sz w:val="24"/>
          <w:szCs w:val="24"/>
        </w:rPr>
        <w:t xml:space="preserve">atients </w:t>
      </w:r>
      <w:r w:rsidR="00A104F7">
        <w:rPr>
          <w:rFonts w:ascii="Times New Roman" w:hAnsi="Times New Roman" w:cs="Times New Roman"/>
          <w:sz w:val="24"/>
          <w:szCs w:val="24"/>
        </w:rPr>
        <w:t xml:space="preserve">at higher risk of frailty </w:t>
      </w:r>
      <w:r w:rsidR="005A3AD7">
        <w:rPr>
          <w:rFonts w:ascii="Times New Roman" w:hAnsi="Times New Roman" w:cs="Times New Roman"/>
          <w:sz w:val="24"/>
          <w:szCs w:val="24"/>
        </w:rPr>
        <w:t>have increased in-hosp</w:t>
      </w:r>
      <w:r w:rsidR="00A104F7">
        <w:rPr>
          <w:rFonts w:ascii="Times New Roman" w:hAnsi="Times New Roman" w:cs="Times New Roman"/>
          <w:sz w:val="24"/>
          <w:szCs w:val="24"/>
        </w:rPr>
        <w:t xml:space="preserve">ital mortality, length of stay and </w:t>
      </w:r>
      <w:r w:rsidR="005A3AD7">
        <w:rPr>
          <w:rFonts w:ascii="Times New Roman" w:hAnsi="Times New Roman" w:cs="Times New Roman"/>
          <w:sz w:val="24"/>
          <w:szCs w:val="24"/>
        </w:rPr>
        <w:t>inpatient costs</w:t>
      </w:r>
      <w:r w:rsidR="00A104F7">
        <w:rPr>
          <w:rFonts w:ascii="Times New Roman" w:hAnsi="Times New Roman" w:cs="Times New Roman"/>
          <w:sz w:val="24"/>
          <w:szCs w:val="24"/>
        </w:rPr>
        <w:t>,</w:t>
      </w:r>
      <w:r w:rsidR="005A3AD7">
        <w:rPr>
          <w:rFonts w:ascii="Times New Roman" w:hAnsi="Times New Roman" w:cs="Times New Roman"/>
          <w:sz w:val="24"/>
          <w:szCs w:val="24"/>
        </w:rPr>
        <w:t xml:space="preserve"> and a greater proportion are discharged to nursing home.</w:t>
      </w:r>
      <w:r w:rsidR="002774D3">
        <w:rPr>
          <w:rFonts w:ascii="Times New Roman" w:hAnsi="Times New Roman" w:cs="Times New Roman"/>
          <w:sz w:val="24"/>
          <w:szCs w:val="24"/>
        </w:rPr>
        <w:t xml:space="preserve"> </w:t>
      </w:r>
    </w:p>
    <w:p w14:paraId="2B5C578D" w14:textId="50760A64" w:rsidR="0038636D" w:rsidRPr="0038636D" w:rsidRDefault="0038636D" w:rsidP="0038636D">
      <w:pPr>
        <w:spacing w:after="0" w:line="480" w:lineRule="auto"/>
        <w:jc w:val="both"/>
        <w:rPr>
          <w:rFonts w:ascii="Times New Roman" w:hAnsi="Times New Roman" w:cs="Times New Roman"/>
          <w:b/>
          <w:sz w:val="24"/>
          <w:szCs w:val="24"/>
          <w:lang w:val="en-US"/>
        </w:rPr>
      </w:pPr>
    </w:p>
    <w:p w14:paraId="0DD5D3A1" w14:textId="3D5D7B2C" w:rsidR="00F96E12" w:rsidRDefault="00D1199A">
      <w:pPr>
        <w:rPr>
          <w:rFonts w:ascii="Times New Roman" w:hAnsi="Times New Roman" w:cs="Times New Roman"/>
          <w:b/>
          <w:sz w:val="24"/>
          <w:szCs w:val="24"/>
          <w:lang w:val="en-US"/>
        </w:rPr>
      </w:pPr>
      <w:r>
        <w:rPr>
          <w:rFonts w:ascii="Times New Roman" w:hAnsi="Times New Roman" w:cs="Times New Roman"/>
          <w:b/>
          <w:sz w:val="24"/>
          <w:szCs w:val="24"/>
          <w:lang w:val="en-US"/>
        </w:rPr>
        <w:t>Keywords:</w:t>
      </w:r>
      <w:r>
        <w:rPr>
          <w:rFonts w:ascii="Times New Roman" w:hAnsi="Times New Roman" w:cs="Times New Roman"/>
          <w:sz w:val="24"/>
          <w:szCs w:val="24"/>
          <w:lang w:val="en-US"/>
        </w:rPr>
        <w:t xml:space="preserve"> heart failure; frailty; mortality; cost</w:t>
      </w:r>
      <w:r w:rsidR="00F96E12">
        <w:rPr>
          <w:rFonts w:ascii="Times New Roman" w:hAnsi="Times New Roman" w:cs="Times New Roman"/>
          <w:b/>
          <w:sz w:val="24"/>
          <w:szCs w:val="24"/>
          <w:lang w:val="en-US"/>
        </w:rPr>
        <w:br w:type="page"/>
      </w:r>
    </w:p>
    <w:p w14:paraId="4931A29D" w14:textId="64258114" w:rsidR="00A322B9" w:rsidRDefault="00A322B9" w:rsidP="00F84C9C">
      <w:pPr>
        <w:spacing w:after="0" w:line="48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Introduction</w:t>
      </w:r>
    </w:p>
    <w:p w14:paraId="5723CFCE" w14:textId="120F900D" w:rsidR="00DB65C6" w:rsidRDefault="00A322B9" w:rsidP="00F84C9C">
      <w:pPr>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Frailty is defined as a clinically recognizable state of increased vulnerability resulting from </w:t>
      </w:r>
      <w:r w:rsidR="00AA7BD0">
        <w:rPr>
          <w:rFonts w:ascii="Times New Roman" w:hAnsi="Times New Roman" w:cs="Times New Roman"/>
          <w:sz w:val="24"/>
          <w:szCs w:val="24"/>
          <w:lang w:val="en-US"/>
        </w:rPr>
        <w:t>a</w:t>
      </w:r>
      <w:r>
        <w:rPr>
          <w:rFonts w:ascii="Times New Roman" w:hAnsi="Times New Roman" w:cs="Times New Roman"/>
          <w:sz w:val="24"/>
          <w:szCs w:val="24"/>
          <w:lang w:val="en-US"/>
        </w:rPr>
        <w:t xml:space="preserve"> decline in reserve and function across multiple physiological systems.</w:t>
      </w:r>
      <w:r w:rsidR="009B54E4">
        <w:rPr>
          <w:rFonts w:ascii="Times New Roman" w:hAnsi="Times New Roman" w:cs="Times New Roman"/>
          <w:sz w:val="24"/>
          <w:szCs w:val="24"/>
          <w:lang w:val="en-US"/>
        </w:rPr>
        <w:t>[1]</w:t>
      </w:r>
      <w:r>
        <w:rPr>
          <w:rFonts w:ascii="Times New Roman" w:hAnsi="Times New Roman" w:cs="Times New Roman"/>
          <w:sz w:val="24"/>
          <w:szCs w:val="24"/>
          <w:lang w:val="en-US"/>
        </w:rPr>
        <w:t xml:space="preserve"> </w:t>
      </w:r>
      <w:r w:rsidR="00CE4E0F">
        <w:rPr>
          <w:rFonts w:ascii="Times New Roman" w:hAnsi="Times New Roman" w:cs="Times New Roman"/>
          <w:sz w:val="24"/>
          <w:szCs w:val="24"/>
          <w:lang w:val="en-US"/>
        </w:rPr>
        <w:t xml:space="preserve">It </w:t>
      </w:r>
      <w:r w:rsidR="00AC218E">
        <w:rPr>
          <w:rFonts w:ascii="Times New Roman" w:hAnsi="Times New Roman" w:cs="Times New Roman"/>
          <w:sz w:val="24"/>
          <w:szCs w:val="24"/>
          <w:lang w:val="en-US"/>
        </w:rPr>
        <w:t xml:space="preserve">overlaps considerably with </w:t>
      </w:r>
      <w:r w:rsidR="00CE4E0F">
        <w:rPr>
          <w:rFonts w:ascii="Times New Roman" w:hAnsi="Times New Roman" w:cs="Times New Roman"/>
          <w:sz w:val="24"/>
          <w:szCs w:val="24"/>
          <w:lang w:val="en-US"/>
        </w:rPr>
        <w:t>age</w:t>
      </w:r>
      <w:r w:rsidR="009B54E4">
        <w:rPr>
          <w:rFonts w:ascii="Times New Roman" w:hAnsi="Times New Roman" w:cs="Times New Roman"/>
          <w:sz w:val="24"/>
          <w:szCs w:val="24"/>
          <w:lang w:val="en-US"/>
        </w:rPr>
        <w:t>[2]</w:t>
      </w:r>
      <w:r w:rsidR="00CE4E0F">
        <w:rPr>
          <w:rFonts w:ascii="Times New Roman" w:hAnsi="Times New Roman" w:cs="Times New Roman"/>
          <w:sz w:val="24"/>
          <w:szCs w:val="24"/>
          <w:lang w:val="en-US"/>
        </w:rPr>
        <w:t xml:space="preserve"> and </w:t>
      </w:r>
      <w:r w:rsidR="00DB65C6">
        <w:rPr>
          <w:rFonts w:ascii="Times New Roman" w:hAnsi="Times New Roman" w:cs="Times New Roman"/>
          <w:sz w:val="24"/>
          <w:szCs w:val="24"/>
          <w:lang w:val="en-US"/>
        </w:rPr>
        <w:t>multi</w:t>
      </w:r>
      <w:r w:rsidR="00777A10">
        <w:rPr>
          <w:rFonts w:ascii="Times New Roman" w:hAnsi="Times New Roman" w:cs="Times New Roman"/>
          <w:sz w:val="24"/>
          <w:szCs w:val="24"/>
          <w:lang w:val="en-US"/>
        </w:rPr>
        <w:t>-</w:t>
      </w:r>
      <w:r w:rsidR="00DB65C6">
        <w:rPr>
          <w:rFonts w:ascii="Times New Roman" w:hAnsi="Times New Roman" w:cs="Times New Roman"/>
          <w:sz w:val="24"/>
          <w:szCs w:val="24"/>
          <w:lang w:val="en-US"/>
        </w:rPr>
        <w:t>morbidity</w:t>
      </w:r>
      <w:r w:rsidR="00A104F7">
        <w:rPr>
          <w:rFonts w:ascii="Times New Roman" w:hAnsi="Times New Roman" w:cs="Times New Roman"/>
          <w:sz w:val="24"/>
          <w:szCs w:val="24"/>
          <w:lang w:val="en-US"/>
        </w:rPr>
        <w:t>.</w:t>
      </w:r>
      <w:r w:rsidR="009B54E4">
        <w:rPr>
          <w:rFonts w:ascii="Times New Roman" w:hAnsi="Times New Roman" w:cs="Times New Roman"/>
          <w:sz w:val="24"/>
          <w:szCs w:val="24"/>
          <w:lang w:val="en-US"/>
        </w:rPr>
        <w:t>[3]</w:t>
      </w:r>
      <w:r w:rsidR="005A1ABC">
        <w:rPr>
          <w:rFonts w:ascii="Times New Roman" w:hAnsi="Times New Roman" w:cs="Times New Roman"/>
          <w:sz w:val="24"/>
          <w:szCs w:val="24"/>
          <w:lang w:val="en-US"/>
        </w:rPr>
        <w:t xml:space="preserve"> </w:t>
      </w:r>
      <w:r w:rsidR="00A104F7">
        <w:rPr>
          <w:rFonts w:ascii="Times New Roman" w:hAnsi="Times New Roman" w:cs="Times New Roman"/>
          <w:sz w:val="24"/>
          <w:szCs w:val="24"/>
          <w:lang w:val="en-US"/>
        </w:rPr>
        <w:t>Frailty</w:t>
      </w:r>
      <w:r w:rsidR="0074551E">
        <w:rPr>
          <w:rFonts w:ascii="Times New Roman" w:hAnsi="Times New Roman" w:cs="Times New Roman"/>
          <w:sz w:val="24"/>
          <w:szCs w:val="24"/>
          <w:lang w:val="en-US"/>
        </w:rPr>
        <w:t xml:space="preserve"> is</w:t>
      </w:r>
      <w:r w:rsidR="00A370E1">
        <w:rPr>
          <w:rFonts w:ascii="Times New Roman" w:hAnsi="Times New Roman" w:cs="Times New Roman"/>
          <w:sz w:val="24"/>
          <w:szCs w:val="24"/>
          <w:lang w:val="en-US"/>
        </w:rPr>
        <w:t xml:space="preserve"> </w:t>
      </w:r>
      <w:r w:rsidR="00A104F7">
        <w:rPr>
          <w:rFonts w:ascii="Times New Roman" w:hAnsi="Times New Roman" w:cs="Times New Roman"/>
          <w:sz w:val="24"/>
          <w:szCs w:val="24"/>
          <w:lang w:val="en-US"/>
        </w:rPr>
        <w:t xml:space="preserve">common in patients with heart failure, ranging from </w:t>
      </w:r>
      <w:r w:rsidR="005A1ABC">
        <w:rPr>
          <w:rFonts w:ascii="Times New Roman" w:hAnsi="Times New Roman" w:cs="Times New Roman"/>
          <w:sz w:val="24"/>
          <w:szCs w:val="24"/>
          <w:lang w:val="en-US"/>
        </w:rPr>
        <w:t>15-74%.</w:t>
      </w:r>
      <w:r w:rsidR="009B54E4">
        <w:rPr>
          <w:rFonts w:ascii="Times New Roman" w:hAnsi="Times New Roman" w:cs="Times New Roman"/>
          <w:sz w:val="24"/>
          <w:szCs w:val="24"/>
          <w:lang w:val="en-US"/>
        </w:rPr>
        <w:t>[4]</w:t>
      </w:r>
    </w:p>
    <w:p w14:paraId="6771694B" w14:textId="303FBF1A" w:rsidR="00536A7B" w:rsidRDefault="00D34383" w:rsidP="00C97B1C">
      <w:pPr>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F</w:t>
      </w:r>
      <w:r w:rsidR="00BF15CB">
        <w:rPr>
          <w:rFonts w:ascii="Times New Roman" w:hAnsi="Times New Roman" w:cs="Times New Roman"/>
          <w:sz w:val="24"/>
          <w:szCs w:val="24"/>
          <w:lang w:val="en-US"/>
        </w:rPr>
        <w:t>rail</w:t>
      </w:r>
      <w:r>
        <w:rPr>
          <w:rFonts w:ascii="Times New Roman" w:hAnsi="Times New Roman" w:cs="Times New Roman"/>
          <w:sz w:val="24"/>
          <w:szCs w:val="24"/>
          <w:lang w:val="en-US"/>
        </w:rPr>
        <w:t xml:space="preserve">ty in </w:t>
      </w:r>
      <w:r w:rsidR="00D42A47">
        <w:rPr>
          <w:rFonts w:ascii="Times New Roman" w:hAnsi="Times New Roman" w:cs="Times New Roman"/>
          <w:sz w:val="24"/>
          <w:szCs w:val="24"/>
          <w:lang w:val="en-US"/>
        </w:rPr>
        <w:t xml:space="preserve">chronic </w:t>
      </w:r>
      <w:r>
        <w:rPr>
          <w:rFonts w:ascii="Times New Roman" w:hAnsi="Times New Roman" w:cs="Times New Roman"/>
          <w:sz w:val="24"/>
          <w:szCs w:val="24"/>
          <w:lang w:val="en-US"/>
        </w:rPr>
        <w:t>heart failure is associated with higher</w:t>
      </w:r>
      <w:r w:rsidR="000E6E29">
        <w:rPr>
          <w:rFonts w:ascii="Times New Roman" w:hAnsi="Times New Roman" w:cs="Times New Roman"/>
          <w:sz w:val="24"/>
          <w:szCs w:val="24"/>
          <w:lang w:val="en-US"/>
        </w:rPr>
        <w:t xml:space="preserve"> mortality and</w:t>
      </w:r>
      <w:r w:rsidR="003C1612">
        <w:rPr>
          <w:rFonts w:ascii="Times New Roman" w:hAnsi="Times New Roman" w:cs="Times New Roman"/>
          <w:sz w:val="24"/>
          <w:szCs w:val="24"/>
          <w:lang w:val="en-US"/>
        </w:rPr>
        <w:t xml:space="preserve"> hospitalization</w:t>
      </w:r>
      <w:r w:rsidR="009B54E4">
        <w:rPr>
          <w:rFonts w:ascii="Times New Roman" w:hAnsi="Times New Roman" w:cs="Times New Roman"/>
          <w:sz w:val="24"/>
          <w:szCs w:val="24"/>
          <w:lang w:val="en-US"/>
        </w:rPr>
        <w:t>[5]</w:t>
      </w:r>
      <w:r w:rsidR="00BF15CB">
        <w:rPr>
          <w:rFonts w:ascii="Times New Roman" w:hAnsi="Times New Roman" w:cs="Times New Roman"/>
          <w:sz w:val="24"/>
          <w:szCs w:val="24"/>
          <w:lang w:val="en-US"/>
        </w:rPr>
        <w:t xml:space="preserve"> </w:t>
      </w:r>
      <w:r w:rsidR="003C1612">
        <w:rPr>
          <w:rFonts w:ascii="Times New Roman" w:hAnsi="Times New Roman" w:cs="Times New Roman"/>
          <w:sz w:val="24"/>
          <w:szCs w:val="24"/>
          <w:lang w:val="en-US"/>
        </w:rPr>
        <w:t xml:space="preserve">and </w:t>
      </w:r>
      <w:r w:rsidR="005D5D9C">
        <w:rPr>
          <w:rFonts w:ascii="Times New Roman" w:hAnsi="Times New Roman" w:cs="Times New Roman"/>
          <w:sz w:val="24"/>
          <w:szCs w:val="24"/>
          <w:lang w:val="en-US"/>
        </w:rPr>
        <w:t xml:space="preserve">a </w:t>
      </w:r>
      <w:r w:rsidR="000E6E29">
        <w:rPr>
          <w:rFonts w:ascii="Times New Roman" w:hAnsi="Times New Roman" w:cs="Times New Roman"/>
          <w:sz w:val="24"/>
          <w:szCs w:val="24"/>
          <w:lang w:val="en-US"/>
        </w:rPr>
        <w:t xml:space="preserve">worse </w:t>
      </w:r>
      <w:r w:rsidR="003C1612">
        <w:rPr>
          <w:rFonts w:ascii="Times New Roman" w:hAnsi="Times New Roman" w:cs="Times New Roman"/>
          <w:sz w:val="24"/>
          <w:szCs w:val="24"/>
          <w:lang w:val="en-US"/>
        </w:rPr>
        <w:t>quality of life.</w:t>
      </w:r>
      <w:r w:rsidR="009B54E4">
        <w:rPr>
          <w:rFonts w:ascii="Times New Roman" w:hAnsi="Times New Roman" w:cs="Times New Roman"/>
          <w:sz w:val="24"/>
          <w:szCs w:val="24"/>
          <w:lang w:val="en-US"/>
        </w:rPr>
        <w:t>[6]</w:t>
      </w:r>
      <w:r w:rsidR="00A62CB0">
        <w:rPr>
          <w:rFonts w:ascii="Times New Roman" w:hAnsi="Times New Roman" w:cs="Times New Roman"/>
          <w:sz w:val="24"/>
          <w:szCs w:val="24"/>
          <w:lang w:val="en-US"/>
        </w:rPr>
        <w:t xml:space="preserve"> </w:t>
      </w:r>
      <w:r w:rsidR="005D5D9C">
        <w:rPr>
          <w:rFonts w:ascii="Times New Roman" w:hAnsi="Times New Roman" w:cs="Times New Roman"/>
          <w:sz w:val="24"/>
          <w:szCs w:val="24"/>
          <w:lang w:val="en-US"/>
        </w:rPr>
        <w:t>F</w:t>
      </w:r>
      <w:r w:rsidR="009D41A0">
        <w:rPr>
          <w:rFonts w:ascii="Times New Roman" w:hAnsi="Times New Roman" w:cs="Times New Roman"/>
          <w:sz w:val="24"/>
          <w:szCs w:val="24"/>
          <w:lang w:val="en-US"/>
        </w:rPr>
        <w:t xml:space="preserve">railty can make the diagnosis and treatment of heart failure challenging as symptoms </w:t>
      </w:r>
      <w:r w:rsidR="00AA7BD0">
        <w:rPr>
          <w:rFonts w:ascii="Times New Roman" w:hAnsi="Times New Roman" w:cs="Times New Roman"/>
          <w:sz w:val="24"/>
          <w:szCs w:val="24"/>
          <w:lang w:val="en-US"/>
        </w:rPr>
        <w:t xml:space="preserve">of </w:t>
      </w:r>
      <w:r w:rsidR="009D41A0">
        <w:rPr>
          <w:rFonts w:ascii="Times New Roman" w:hAnsi="Times New Roman" w:cs="Times New Roman"/>
          <w:sz w:val="24"/>
          <w:szCs w:val="24"/>
          <w:lang w:val="en-US"/>
        </w:rPr>
        <w:t>weakness, fatigue</w:t>
      </w:r>
      <w:r w:rsidR="00B76E4C">
        <w:rPr>
          <w:rFonts w:ascii="Times New Roman" w:hAnsi="Times New Roman" w:cs="Times New Roman"/>
          <w:sz w:val="24"/>
          <w:szCs w:val="24"/>
          <w:lang w:val="en-US"/>
        </w:rPr>
        <w:t>, sarcopenia</w:t>
      </w:r>
      <w:r w:rsidR="009D41A0">
        <w:rPr>
          <w:rFonts w:ascii="Times New Roman" w:hAnsi="Times New Roman" w:cs="Times New Roman"/>
          <w:sz w:val="24"/>
          <w:szCs w:val="24"/>
          <w:lang w:val="en-US"/>
        </w:rPr>
        <w:t xml:space="preserve"> and breathlessness </w:t>
      </w:r>
      <w:r w:rsidR="00AA7BD0">
        <w:rPr>
          <w:rFonts w:ascii="Times New Roman" w:hAnsi="Times New Roman" w:cs="Times New Roman"/>
          <w:sz w:val="24"/>
          <w:szCs w:val="24"/>
          <w:lang w:val="en-US"/>
        </w:rPr>
        <w:t xml:space="preserve">encountered in frailty mirror those observed </w:t>
      </w:r>
      <w:r w:rsidR="009D41A0">
        <w:rPr>
          <w:rFonts w:ascii="Times New Roman" w:hAnsi="Times New Roman" w:cs="Times New Roman"/>
          <w:sz w:val="24"/>
          <w:szCs w:val="24"/>
          <w:lang w:val="en-US"/>
        </w:rPr>
        <w:t>in heart failure.</w:t>
      </w:r>
      <w:r w:rsidR="009B54E4">
        <w:rPr>
          <w:rFonts w:ascii="Times New Roman" w:hAnsi="Times New Roman" w:cs="Times New Roman"/>
          <w:sz w:val="24"/>
          <w:szCs w:val="24"/>
          <w:lang w:val="en-US"/>
        </w:rPr>
        <w:t>[7]</w:t>
      </w:r>
      <w:r w:rsidR="00A62CB0">
        <w:rPr>
          <w:rFonts w:ascii="Times New Roman" w:hAnsi="Times New Roman" w:cs="Times New Roman"/>
          <w:sz w:val="24"/>
          <w:szCs w:val="24"/>
          <w:lang w:val="en-US"/>
        </w:rPr>
        <w:t xml:space="preserve"> </w:t>
      </w:r>
      <w:r w:rsidR="005D5D9C">
        <w:rPr>
          <w:rFonts w:ascii="Times New Roman" w:hAnsi="Times New Roman" w:cs="Times New Roman"/>
          <w:sz w:val="24"/>
          <w:szCs w:val="24"/>
          <w:lang w:val="en-US"/>
        </w:rPr>
        <w:t>The i</w:t>
      </w:r>
      <w:r w:rsidR="00D206E9">
        <w:rPr>
          <w:rFonts w:ascii="Times New Roman" w:hAnsi="Times New Roman" w:cs="Times New Roman"/>
          <w:sz w:val="24"/>
          <w:szCs w:val="24"/>
          <w:lang w:val="en-US"/>
        </w:rPr>
        <w:t xml:space="preserve">dentification of frailty in </w:t>
      </w:r>
      <w:r w:rsidR="00340920">
        <w:rPr>
          <w:rFonts w:ascii="Times New Roman" w:hAnsi="Times New Roman" w:cs="Times New Roman"/>
          <w:sz w:val="24"/>
          <w:szCs w:val="24"/>
          <w:lang w:val="en-US"/>
        </w:rPr>
        <w:t xml:space="preserve">people with </w:t>
      </w:r>
      <w:r w:rsidR="00D206E9">
        <w:rPr>
          <w:rFonts w:ascii="Times New Roman" w:hAnsi="Times New Roman" w:cs="Times New Roman"/>
          <w:sz w:val="24"/>
          <w:szCs w:val="24"/>
          <w:lang w:val="en-US"/>
        </w:rPr>
        <w:t>heart failure is important as a comprehensive approach with</w:t>
      </w:r>
      <w:r w:rsidR="00675F9E">
        <w:rPr>
          <w:rFonts w:ascii="Times New Roman" w:hAnsi="Times New Roman" w:cs="Times New Roman"/>
          <w:sz w:val="24"/>
          <w:szCs w:val="24"/>
          <w:lang w:val="en-US"/>
        </w:rPr>
        <w:t xml:space="preserve"> interventions to manage</w:t>
      </w:r>
      <w:r w:rsidR="00D206E9">
        <w:rPr>
          <w:rFonts w:ascii="Times New Roman" w:hAnsi="Times New Roman" w:cs="Times New Roman"/>
          <w:sz w:val="24"/>
          <w:szCs w:val="24"/>
          <w:lang w:val="en-US"/>
        </w:rPr>
        <w:t xml:space="preserve"> domains such as mobility, strength, balance, motor processing cognition, nutrition, endurance and physical activity </w:t>
      </w:r>
      <w:r w:rsidR="00B76E4C">
        <w:rPr>
          <w:rFonts w:ascii="Times New Roman" w:hAnsi="Times New Roman" w:cs="Times New Roman"/>
          <w:sz w:val="24"/>
          <w:szCs w:val="24"/>
          <w:lang w:val="en-US"/>
        </w:rPr>
        <w:t xml:space="preserve">may provide benefit to </w:t>
      </w:r>
      <w:r w:rsidR="00D206E9">
        <w:rPr>
          <w:rFonts w:ascii="Times New Roman" w:hAnsi="Times New Roman" w:cs="Times New Roman"/>
          <w:sz w:val="24"/>
          <w:szCs w:val="24"/>
          <w:lang w:val="en-US"/>
        </w:rPr>
        <w:t>frail patients with heart failure.</w:t>
      </w:r>
      <w:r w:rsidR="009B54E4">
        <w:rPr>
          <w:rFonts w:ascii="Times New Roman" w:hAnsi="Times New Roman" w:cs="Times New Roman"/>
          <w:sz w:val="24"/>
          <w:szCs w:val="24"/>
          <w:lang w:val="en-US"/>
        </w:rPr>
        <w:t>[8]</w:t>
      </w:r>
      <w:r w:rsidR="005E2A1A">
        <w:rPr>
          <w:rFonts w:ascii="Times New Roman" w:hAnsi="Times New Roman" w:cs="Times New Roman"/>
          <w:sz w:val="24"/>
          <w:szCs w:val="24"/>
          <w:lang w:val="en-US"/>
        </w:rPr>
        <w:t xml:space="preserve"> </w:t>
      </w:r>
      <w:r w:rsidR="006D030A">
        <w:rPr>
          <w:rFonts w:ascii="Times New Roman" w:hAnsi="Times New Roman" w:cs="Times New Roman"/>
          <w:sz w:val="24"/>
          <w:szCs w:val="24"/>
          <w:lang w:val="en-US"/>
        </w:rPr>
        <w:t xml:space="preserve">While many studies have </w:t>
      </w:r>
      <w:r w:rsidR="00C3298B">
        <w:rPr>
          <w:rFonts w:ascii="Times New Roman" w:hAnsi="Times New Roman" w:cs="Times New Roman"/>
          <w:sz w:val="24"/>
          <w:szCs w:val="24"/>
          <w:lang w:val="en-US"/>
        </w:rPr>
        <w:t>evaluated the prognostic impact of frailty in heart failure</w:t>
      </w:r>
      <w:r w:rsidR="006F3C55">
        <w:rPr>
          <w:rFonts w:ascii="Times New Roman" w:hAnsi="Times New Roman" w:cs="Times New Roman"/>
          <w:sz w:val="24"/>
          <w:szCs w:val="24"/>
          <w:lang w:val="en-US"/>
        </w:rPr>
        <w:t>,</w:t>
      </w:r>
      <w:r w:rsidR="005D5D9C">
        <w:rPr>
          <w:rFonts w:ascii="Times New Roman" w:hAnsi="Times New Roman" w:cs="Times New Roman"/>
          <w:sz w:val="24"/>
          <w:szCs w:val="24"/>
          <w:lang w:val="en-US"/>
        </w:rPr>
        <w:t xml:space="preserve"> </w:t>
      </w:r>
      <w:r w:rsidR="006D030A">
        <w:rPr>
          <w:rFonts w:ascii="Times New Roman" w:hAnsi="Times New Roman" w:cs="Times New Roman"/>
          <w:sz w:val="24"/>
          <w:szCs w:val="24"/>
          <w:lang w:val="en-US"/>
        </w:rPr>
        <w:t xml:space="preserve">the literature is limited to small studies, </w:t>
      </w:r>
      <w:r w:rsidR="006F3C55">
        <w:rPr>
          <w:rFonts w:ascii="Times New Roman" w:hAnsi="Times New Roman" w:cs="Times New Roman"/>
          <w:sz w:val="24"/>
          <w:szCs w:val="24"/>
          <w:lang w:val="en-US"/>
        </w:rPr>
        <w:t>with</w:t>
      </w:r>
      <w:r w:rsidR="006D030A">
        <w:rPr>
          <w:rFonts w:ascii="Times New Roman" w:hAnsi="Times New Roman" w:cs="Times New Roman"/>
          <w:sz w:val="24"/>
          <w:szCs w:val="24"/>
          <w:lang w:val="en-US"/>
        </w:rPr>
        <w:t xml:space="preserve"> the largest recent review of frailty in heart failure </w:t>
      </w:r>
      <w:r w:rsidR="006F3C55">
        <w:rPr>
          <w:rFonts w:ascii="Times New Roman" w:hAnsi="Times New Roman" w:cs="Times New Roman"/>
          <w:sz w:val="24"/>
          <w:szCs w:val="24"/>
          <w:lang w:val="en-US"/>
        </w:rPr>
        <w:t>consisting of</w:t>
      </w:r>
      <w:r w:rsidR="006D030A">
        <w:rPr>
          <w:rFonts w:ascii="Times New Roman" w:hAnsi="Times New Roman" w:cs="Times New Roman"/>
          <w:sz w:val="24"/>
          <w:szCs w:val="24"/>
          <w:lang w:val="en-US"/>
        </w:rPr>
        <w:t xml:space="preserve"> 758 patients.</w:t>
      </w:r>
      <w:r w:rsidR="009B54E4">
        <w:rPr>
          <w:rFonts w:ascii="Times New Roman" w:hAnsi="Times New Roman" w:cs="Times New Roman"/>
          <w:sz w:val="24"/>
          <w:szCs w:val="24"/>
          <w:lang w:val="en-US"/>
        </w:rPr>
        <w:t>[9]</w:t>
      </w:r>
      <w:r w:rsidR="00675BF0">
        <w:rPr>
          <w:rFonts w:ascii="Times New Roman" w:hAnsi="Times New Roman" w:cs="Times New Roman"/>
          <w:sz w:val="24"/>
          <w:szCs w:val="24"/>
          <w:lang w:val="en-US"/>
        </w:rPr>
        <w:t xml:space="preserve"> </w:t>
      </w:r>
      <w:r w:rsidR="00407CA5">
        <w:rPr>
          <w:rFonts w:ascii="Times New Roman" w:hAnsi="Times New Roman" w:cs="Times New Roman"/>
          <w:sz w:val="24"/>
          <w:szCs w:val="24"/>
          <w:lang w:val="en-US"/>
        </w:rPr>
        <w:t>Furthermore</w:t>
      </w:r>
      <w:r w:rsidR="00D42A47">
        <w:rPr>
          <w:rFonts w:ascii="Times New Roman" w:hAnsi="Times New Roman" w:cs="Times New Roman"/>
          <w:sz w:val="24"/>
          <w:szCs w:val="24"/>
          <w:lang w:val="en-US"/>
        </w:rPr>
        <w:t xml:space="preserve">, there is a </w:t>
      </w:r>
      <w:r w:rsidR="00675BF0">
        <w:rPr>
          <w:rFonts w:ascii="Times New Roman" w:hAnsi="Times New Roman" w:cs="Times New Roman"/>
          <w:sz w:val="24"/>
          <w:szCs w:val="24"/>
          <w:lang w:val="en-US"/>
        </w:rPr>
        <w:t xml:space="preserve">lack of </w:t>
      </w:r>
      <w:r w:rsidR="00D42A47">
        <w:rPr>
          <w:rFonts w:ascii="Times New Roman" w:hAnsi="Times New Roman" w:cs="Times New Roman"/>
          <w:sz w:val="24"/>
          <w:szCs w:val="24"/>
          <w:lang w:val="en-US"/>
        </w:rPr>
        <w:t xml:space="preserve">a </w:t>
      </w:r>
      <w:r w:rsidR="00675BF0">
        <w:rPr>
          <w:rFonts w:ascii="Times New Roman" w:hAnsi="Times New Roman" w:cs="Times New Roman"/>
          <w:sz w:val="24"/>
          <w:szCs w:val="24"/>
          <w:lang w:val="en-US"/>
        </w:rPr>
        <w:t>gold standard for assessing frailty in</w:t>
      </w:r>
      <w:r w:rsidR="0074551E">
        <w:rPr>
          <w:rFonts w:ascii="Times New Roman" w:hAnsi="Times New Roman" w:cs="Times New Roman"/>
          <w:sz w:val="24"/>
          <w:szCs w:val="24"/>
          <w:lang w:val="en-US"/>
        </w:rPr>
        <w:t xml:space="preserve"> a</w:t>
      </w:r>
      <w:r w:rsidR="00675BF0">
        <w:rPr>
          <w:rFonts w:ascii="Times New Roman" w:hAnsi="Times New Roman" w:cs="Times New Roman"/>
          <w:sz w:val="24"/>
          <w:szCs w:val="24"/>
          <w:lang w:val="en-US"/>
        </w:rPr>
        <w:t xml:space="preserve"> heart failure population.</w:t>
      </w:r>
      <w:r w:rsidR="009B54E4">
        <w:rPr>
          <w:rFonts w:ascii="Times New Roman" w:hAnsi="Times New Roman" w:cs="Times New Roman"/>
          <w:sz w:val="24"/>
          <w:szCs w:val="24"/>
          <w:lang w:val="en-US"/>
        </w:rPr>
        <w:t>[10]</w:t>
      </w:r>
      <w:r w:rsidR="00675BF0">
        <w:rPr>
          <w:rFonts w:ascii="Times New Roman" w:hAnsi="Times New Roman" w:cs="Times New Roman"/>
          <w:sz w:val="24"/>
          <w:szCs w:val="24"/>
          <w:lang w:val="en-US"/>
        </w:rPr>
        <w:t xml:space="preserve"> </w:t>
      </w:r>
    </w:p>
    <w:p w14:paraId="6B65C62B" w14:textId="36FC1EBE" w:rsidR="00A322B9" w:rsidRDefault="00755031" w:rsidP="00F84C9C">
      <w:pPr>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rPr>
        <w:t>The Hospital Frailty Risk Score (HFR</w:t>
      </w:r>
      <w:r w:rsidR="0018146D">
        <w:rPr>
          <w:rFonts w:ascii="Times New Roman" w:hAnsi="Times New Roman" w:cs="Times New Roman"/>
          <w:sz w:val="24"/>
          <w:szCs w:val="24"/>
        </w:rPr>
        <w:t>S</w:t>
      </w:r>
      <w:r>
        <w:rPr>
          <w:rFonts w:ascii="Times New Roman" w:hAnsi="Times New Roman" w:cs="Times New Roman"/>
          <w:sz w:val="24"/>
          <w:szCs w:val="24"/>
        </w:rPr>
        <w:t>)</w:t>
      </w:r>
      <w:r w:rsidR="009B4692">
        <w:rPr>
          <w:rFonts w:ascii="Times New Roman" w:hAnsi="Times New Roman" w:cs="Times New Roman"/>
          <w:sz w:val="24"/>
          <w:szCs w:val="24"/>
        </w:rPr>
        <w:t>, a score utilising</w:t>
      </w:r>
      <w:r>
        <w:rPr>
          <w:rFonts w:ascii="Times New Roman" w:hAnsi="Times New Roman" w:cs="Times New Roman"/>
          <w:sz w:val="24"/>
          <w:szCs w:val="24"/>
        </w:rPr>
        <w:t xml:space="preserve"> </w:t>
      </w:r>
      <w:r w:rsidRPr="006328AD">
        <w:rPr>
          <w:rFonts w:ascii="Times New Roman" w:hAnsi="Times New Roman" w:cs="Times New Roman"/>
          <w:sz w:val="24"/>
          <w:szCs w:val="24"/>
          <w:lang w:val="en-US"/>
        </w:rPr>
        <w:t>International Statistical Classification of Diseases and Related Health Problems</w:t>
      </w:r>
      <w:r>
        <w:rPr>
          <w:rFonts w:ascii="Times New Roman" w:hAnsi="Times New Roman" w:cs="Times New Roman"/>
          <w:sz w:val="24"/>
          <w:szCs w:val="24"/>
          <w:lang w:val="en-US"/>
        </w:rPr>
        <w:t xml:space="preserve"> (ICD) codes</w:t>
      </w:r>
      <w:r w:rsidR="00B76E4C">
        <w:rPr>
          <w:rFonts w:ascii="Times New Roman" w:hAnsi="Times New Roman" w:cs="Times New Roman"/>
          <w:sz w:val="24"/>
          <w:szCs w:val="24"/>
          <w:lang w:val="en-US"/>
        </w:rPr>
        <w:t>, was</w:t>
      </w:r>
      <w:r w:rsidR="009B4692">
        <w:rPr>
          <w:rFonts w:ascii="Times New Roman" w:hAnsi="Times New Roman" w:cs="Times New Roman"/>
          <w:sz w:val="24"/>
          <w:szCs w:val="24"/>
          <w:lang w:val="en-US"/>
        </w:rPr>
        <w:t xml:space="preserve"> developed to </w:t>
      </w:r>
      <w:r w:rsidR="00B76E4C">
        <w:rPr>
          <w:rFonts w:ascii="Times New Roman" w:hAnsi="Times New Roman" w:cs="Times New Roman"/>
          <w:sz w:val="24"/>
          <w:szCs w:val="24"/>
          <w:lang w:val="en-US"/>
        </w:rPr>
        <w:t>identify</w:t>
      </w:r>
      <w:r w:rsidR="009B4692">
        <w:rPr>
          <w:rFonts w:ascii="Times New Roman" w:hAnsi="Times New Roman" w:cs="Times New Roman"/>
          <w:sz w:val="24"/>
          <w:szCs w:val="24"/>
          <w:lang w:val="en-US"/>
        </w:rPr>
        <w:t xml:space="preserve"> patients at low, intermediate and high risk of frailty.</w:t>
      </w:r>
      <w:r w:rsidR="009B54E4">
        <w:rPr>
          <w:rFonts w:ascii="Times New Roman" w:hAnsi="Times New Roman" w:cs="Times New Roman"/>
          <w:sz w:val="24"/>
          <w:szCs w:val="24"/>
          <w:lang w:val="en-US"/>
        </w:rPr>
        <w:t>[11]</w:t>
      </w:r>
      <w:r w:rsidR="009B4692">
        <w:rPr>
          <w:rFonts w:ascii="Times New Roman" w:hAnsi="Times New Roman" w:cs="Times New Roman"/>
          <w:sz w:val="24"/>
          <w:szCs w:val="24"/>
          <w:lang w:val="en-US"/>
        </w:rPr>
        <w:t xml:space="preserve"> It was derived from </w:t>
      </w:r>
      <w:r w:rsidR="00B76E4C">
        <w:rPr>
          <w:rFonts w:ascii="Times New Roman" w:hAnsi="Times New Roman" w:cs="Times New Roman"/>
          <w:sz w:val="24"/>
          <w:szCs w:val="24"/>
          <w:lang w:val="en-US"/>
        </w:rPr>
        <w:t xml:space="preserve">data in </w:t>
      </w:r>
      <w:r w:rsidR="009B4692">
        <w:rPr>
          <w:rFonts w:ascii="Times New Roman" w:hAnsi="Times New Roman" w:cs="Times New Roman"/>
          <w:sz w:val="24"/>
          <w:szCs w:val="24"/>
          <w:lang w:val="en-US"/>
        </w:rPr>
        <w:t xml:space="preserve">over 1 million </w:t>
      </w:r>
      <w:r w:rsidR="00B76E4C">
        <w:rPr>
          <w:rFonts w:ascii="Times New Roman" w:hAnsi="Times New Roman" w:cs="Times New Roman"/>
          <w:sz w:val="24"/>
          <w:szCs w:val="24"/>
          <w:lang w:val="en-US"/>
        </w:rPr>
        <w:t xml:space="preserve">elderly </w:t>
      </w:r>
      <w:r w:rsidR="009B4692">
        <w:rPr>
          <w:rFonts w:ascii="Times New Roman" w:hAnsi="Times New Roman" w:cs="Times New Roman"/>
          <w:sz w:val="24"/>
          <w:szCs w:val="24"/>
          <w:lang w:val="en-US"/>
        </w:rPr>
        <w:t>patients</w:t>
      </w:r>
      <w:r w:rsidR="00B76E4C">
        <w:rPr>
          <w:rFonts w:ascii="Times New Roman" w:hAnsi="Times New Roman" w:cs="Times New Roman"/>
          <w:sz w:val="24"/>
          <w:szCs w:val="24"/>
          <w:lang w:val="en-US"/>
        </w:rPr>
        <w:t xml:space="preserve"> in the United Kingdom</w:t>
      </w:r>
      <w:r w:rsidR="00777A10">
        <w:rPr>
          <w:rFonts w:ascii="Times New Roman" w:hAnsi="Times New Roman" w:cs="Times New Roman"/>
          <w:sz w:val="24"/>
          <w:szCs w:val="24"/>
          <w:lang w:val="en-US"/>
        </w:rPr>
        <w:t xml:space="preserve"> and </w:t>
      </w:r>
      <w:r w:rsidR="009B4692">
        <w:rPr>
          <w:rFonts w:ascii="Times New Roman" w:hAnsi="Times New Roman" w:cs="Times New Roman"/>
          <w:sz w:val="24"/>
          <w:szCs w:val="24"/>
          <w:lang w:val="en-US"/>
        </w:rPr>
        <w:t xml:space="preserve">is based on electronic health records </w:t>
      </w:r>
      <w:r w:rsidR="00A81075">
        <w:rPr>
          <w:rFonts w:ascii="Times New Roman" w:hAnsi="Times New Roman" w:cs="Times New Roman"/>
          <w:sz w:val="24"/>
          <w:szCs w:val="24"/>
          <w:lang w:val="en-US"/>
        </w:rPr>
        <w:t xml:space="preserve">and </w:t>
      </w:r>
      <w:r w:rsidR="00777A10">
        <w:rPr>
          <w:rFonts w:ascii="Times New Roman" w:hAnsi="Times New Roman" w:cs="Times New Roman"/>
          <w:sz w:val="24"/>
          <w:szCs w:val="24"/>
          <w:lang w:val="en-US"/>
        </w:rPr>
        <w:t>was validated against the</w:t>
      </w:r>
      <w:r w:rsidR="00CE3333">
        <w:rPr>
          <w:rFonts w:ascii="Times New Roman" w:hAnsi="Times New Roman" w:cs="Times New Roman"/>
          <w:sz w:val="24"/>
          <w:szCs w:val="24"/>
          <w:lang w:val="en-US"/>
        </w:rPr>
        <w:t xml:space="preserve"> Fried and Rockwood frailty scales</w:t>
      </w:r>
      <w:r w:rsidR="009B4692">
        <w:rPr>
          <w:rFonts w:ascii="Times New Roman" w:hAnsi="Times New Roman" w:cs="Times New Roman"/>
          <w:sz w:val="24"/>
          <w:szCs w:val="24"/>
          <w:lang w:val="en-US"/>
        </w:rPr>
        <w:t>.</w:t>
      </w:r>
      <w:r w:rsidR="00AE168D">
        <w:rPr>
          <w:rFonts w:ascii="Times New Roman" w:hAnsi="Times New Roman" w:cs="Times New Roman"/>
          <w:sz w:val="24"/>
          <w:szCs w:val="24"/>
          <w:lang w:val="en-US"/>
        </w:rPr>
        <w:t>[11</w:t>
      </w:r>
      <w:r w:rsidR="009B54E4">
        <w:rPr>
          <w:rFonts w:ascii="Times New Roman" w:hAnsi="Times New Roman" w:cs="Times New Roman"/>
          <w:sz w:val="24"/>
          <w:szCs w:val="24"/>
          <w:lang w:val="en-US"/>
        </w:rPr>
        <w:t>]</w:t>
      </w:r>
      <w:r w:rsidR="009B4692">
        <w:rPr>
          <w:rFonts w:ascii="Times New Roman" w:hAnsi="Times New Roman" w:cs="Times New Roman"/>
          <w:sz w:val="24"/>
          <w:szCs w:val="24"/>
          <w:lang w:val="en-US"/>
        </w:rPr>
        <w:t xml:space="preserve"> </w:t>
      </w:r>
      <w:r w:rsidR="00D42A47">
        <w:rPr>
          <w:rFonts w:ascii="Times New Roman" w:hAnsi="Times New Roman" w:cs="Times New Roman"/>
          <w:sz w:val="24"/>
          <w:szCs w:val="24"/>
          <w:lang w:val="en-US"/>
        </w:rPr>
        <w:t xml:space="preserve">To date, frailty has not been assessed in </w:t>
      </w:r>
      <w:r w:rsidR="00340920">
        <w:rPr>
          <w:rFonts w:ascii="Times New Roman" w:hAnsi="Times New Roman" w:cs="Times New Roman"/>
          <w:sz w:val="24"/>
          <w:szCs w:val="24"/>
          <w:lang w:val="en-US"/>
        </w:rPr>
        <w:t xml:space="preserve">people with </w:t>
      </w:r>
      <w:r w:rsidR="00D42A47">
        <w:rPr>
          <w:rFonts w:ascii="Times New Roman" w:hAnsi="Times New Roman" w:cs="Times New Roman"/>
          <w:sz w:val="24"/>
          <w:szCs w:val="24"/>
          <w:lang w:val="en-US"/>
        </w:rPr>
        <w:t xml:space="preserve">heart failure on a national level </w:t>
      </w:r>
      <w:r w:rsidR="00CE3333">
        <w:rPr>
          <w:rFonts w:ascii="Times New Roman" w:hAnsi="Times New Roman" w:cs="Times New Roman"/>
          <w:sz w:val="24"/>
          <w:szCs w:val="24"/>
          <w:lang w:val="en-US"/>
        </w:rPr>
        <w:t xml:space="preserve">in any setting </w:t>
      </w:r>
      <w:r w:rsidR="00D42A47">
        <w:rPr>
          <w:rFonts w:ascii="Times New Roman" w:hAnsi="Times New Roman" w:cs="Times New Roman"/>
          <w:sz w:val="24"/>
          <w:szCs w:val="24"/>
          <w:lang w:val="en-US"/>
        </w:rPr>
        <w:t xml:space="preserve">and little is known about frailty in an acute heart failure cohort. </w:t>
      </w:r>
      <w:r w:rsidR="00281D0C">
        <w:rPr>
          <w:rFonts w:ascii="Times New Roman" w:hAnsi="Times New Roman" w:cs="Times New Roman"/>
          <w:sz w:val="24"/>
          <w:szCs w:val="24"/>
          <w:lang w:val="en-US"/>
        </w:rPr>
        <w:t xml:space="preserve">Furthermore, little is known about </w:t>
      </w:r>
      <w:r w:rsidR="00B76E4C">
        <w:rPr>
          <w:rFonts w:ascii="Times New Roman" w:hAnsi="Times New Roman" w:cs="Times New Roman"/>
          <w:sz w:val="24"/>
          <w:szCs w:val="24"/>
          <w:lang w:val="en-US"/>
        </w:rPr>
        <w:t xml:space="preserve">the association between </w:t>
      </w:r>
      <w:r w:rsidR="0018146D">
        <w:rPr>
          <w:rFonts w:ascii="Times New Roman" w:hAnsi="Times New Roman" w:cs="Times New Roman"/>
          <w:sz w:val="24"/>
          <w:szCs w:val="24"/>
          <w:lang w:val="en-US"/>
        </w:rPr>
        <w:t>HFRS</w:t>
      </w:r>
      <w:r w:rsidR="00281D0C">
        <w:rPr>
          <w:rFonts w:ascii="Times New Roman" w:hAnsi="Times New Roman" w:cs="Times New Roman"/>
          <w:sz w:val="24"/>
          <w:szCs w:val="24"/>
          <w:lang w:val="en-US"/>
        </w:rPr>
        <w:t xml:space="preserve"> </w:t>
      </w:r>
      <w:r w:rsidR="00B76E4C">
        <w:rPr>
          <w:rFonts w:ascii="Times New Roman" w:hAnsi="Times New Roman" w:cs="Times New Roman"/>
          <w:sz w:val="24"/>
          <w:szCs w:val="24"/>
          <w:lang w:val="en-US"/>
        </w:rPr>
        <w:t>and</w:t>
      </w:r>
      <w:r w:rsidR="004E6F75">
        <w:rPr>
          <w:rFonts w:ascii="Times New Roman" w:hAnsi="Times New Roman" w:cs="Times New Roman"/>
          <w:sz w:val="24"/>
          <w:szCs w:val="24"/>
          <w:lang w:val="en-US"/>
        </w:rPr>
        <w:t xml:space="preserve"> in-hospital mortality, length of stay, cost and discharge location in </w:t>
      </w:r>
      <w:r w:rsidR="00CE3333">
        <w:rPr>
          <w:rFonts w:ascii="Times New Roman" w:hAnsi="Times New Roman" w:cs="Times New Roman"/>
          <w:sz w:val="24"/>
          <w:szCs w:val="24"/>
          <w:lang w:val="en-US"/>
        </w:rPr>
        <w:t xml:space="preserve">patients admitted with </w:t>
      </w:r>
      <w:r w:rsidR="004E6F75">
        <w:rPr>
          <w:rFonts w:ascii="Times New Roman" w:hAnsi="Times New Roman" w:cs="Times New Roman"/>
          <w:sz w:val="24"/>
          <w:szCs w:val="24"/>
          <w:lang w:val="en-US"/>
        </w:rPr>
        <w:t>heart failure.</w:t>
      </w:r>
    </w:p>
    <w:p w14:paraId="1650FFEB" w14:textId="64E7D3B9" w:rsidR="009B4692" w:rsidRDefault="003D621D" w:rsidP="00385403">
      <w:pPr>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In this study, we examine the HFRS in a national </w:t>
      </w:r>
      <w:r w:rsidR="00C3298B">
        <w:rPr>
          <w:rFonts w:ascii="Times New Roman" w:hAnsi="Times New Roman" w:cs="Times New Roman"/>
          <w:sz w:val="24"/>
          <w:szCs w:val="24"/>
          <w:lang w:val="en-US"/>
        </w:rPr>
        <w:t>acute care hospital</w:t>
      </w:r>
      <w:r>
        <w:rPr>
          <w:rFonts w:ascii="Times New Roman" w:hAnsi="Times New Roman" w:cs="Times New Roman"/>
          <w:sz w:val="24"/>
          <w:szCs w:val="24"/>
          <w:lang w:val="en-US"/>
        </w:rPr>
        <w:t xml:space="preserve"> cohort admitted with heart failure</w:t>
      </w:r>
      <w:r w:rsidR="00AF0427">
        <w:rPr>
          <w:rFonts w:ascii="Times New Roman" w:hAnsi="Times New Roman" w:cs="Times New Roman"/>
          <w:sz w:val="24"/>
          <w:szCs w:val="24"/>
          <w:lang w:val="en-US"/>
        </w:rPr>
        <w:t xml:space="preserve"> in the United States</w:t>
      </w:r>
      <w:r>
        <w:rPr>
          <w:rFonts w:ascii="Times New Roman" w:hAnsi="Times New Roman" w:cs="Times New Roman"/>
          <w:sz w:val="24"/>
          <w:szCs w:val="24"/>
          <w:lang w:val="en-US"/>
        </w:rPr>
        <w:t xml:space="preserve">. We examine </w:t>
      </w:r>
      <w:r w:rsidR="000769D0">
        <w:rPr>
          <w:rFonts w:ascii="Times New Roman" w:hAnsi="Times New Roman" w:cs="Times New Roman"/>
          <w:sz w:val="24"/>
          <w:szCs w:val="24"/>
          <w:lang w:val="en-US"/>
        </w:rPr>
        <w:t xml:space="preserve">temporal trends in </w:t>
      </w:r>
      <w:r w:rsidR="0049329D">
        <w:rPr>
          <w:rFonts w:ascii="Times New Roman" w:hAnsi="Times New Roman" w:cs="Times New Roman"/>
          <w:sz w:val="24"/>
          <w:szCs w:val="24"/>
          <w:lang w:val="en-US"/>
        </w:rPr>
        <w:t xml:space="preserve">the </w:t>
      </w:r>
      <w:r>
        <w:rPr>
          <w:rFonts w:ascii="Times New Roman" w:hAnsi="Times New Roman" w:cs="Times New Roman"/>
          <w:sz w:val="24"/>
          <w:szCs w:val="24"/>
          <w:lang w:val="en-US"/>
        </w:rPr>
        <w:t>risk of frailty as defined by the HFRS</w:t>
      </w:r>
      <w:r w:rsidR="000769D0">
        <w:rPr>
          <w:rFonts w:ascii="Times New Roman" w:hAnsi="Times New Roman" w:cs="Times New Roman"/>
          <w:sz w:val="24"/>
          <w:szCs w:val="24"/>
          <w:lang w:val="en-US"/>
        </w:rPr>
        <w:t xml:space="preserve">, and associations between risk of frailty and </w:t>
      </w:r>
      <w:r>
        <w:rPr>
          <w:rFonts w:ascii="Times New Roman" w:hAnsi="Times New Roman" w:cs="Times New Roman"/>
          <w:sz w:val="24"/>
          <w:szCs w:val="24"/>
          <w:lang w:val="en-US"/>
        </w:rPr>
        <w:t>inpatient mortality, length of sta</w:t>
      </w:r>
      <w:r w:rsidR="00385403">
        <w:rPr>
          <w:rFonts w:ascii="Times New Roman" w:hAnsi="Times New Roman" w:cs="Times New Roman"/>
          <w:sz w:val="24"/>
          <w:szCs w:val="24"/>
          <w:lang w:val="en-US"/>
        </w:rPr>
        <w:t>y, cost and discharge location.</w:t>
      </w:r>
    </w:p>
    <w:p w14:paraId="025030CD" w14:textId="77777777" w:rsidR="00385403" w:rsidRPr="00A322B9" w:rsidRDefault="00385403" w:rsidP="00385403">
      <w:pPr>
        <w:spacing w:after="0" w:line="480" w:lineRule="auto"/>
        <w:ind w:firstLine="720"/>
        <w:jc w:val="both"/>
        <w:rPr>
          <w:rFonts w:ascii="Times New Roman" w:hAnsi="Times New Roman" w:cs="Times New Roman"/>
          <w:sz w:val="24"/>
          <w:szCs w:val="24"/>
          <w:lang w:val="en-US"/>
        </w:rPr>
      </w:pPr>
    </w:p>
    <w:p w14:paraId="648BC421" w14:textId="77777777" w:rsidR="00E15C3E" w:rsidRDefault="00E15C3E" w:rsidP="00F84C9C">
      <w:pPr>
        <w:spacing w:after="0" w:line="48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Methods</w:t>
      </w:r>
    </w:p>
    <w:p w14:paraId="3D7F1D79" w14:textId="2CB24FED" w:rsidR="000F591A" w:rsidRDefault="000F591A" w:rsidP="00F84C9C">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t>We conducted a retrospective cohort study of patients admitted to hospital in the United States using data from the National Inpatient Sample (NIS). This dataset is the largest all-payer inpatient health care database</w:t>
      </w:r>
      <w:r w:rsidR="0049329D">
        <w:rPr>
          <w:rFonts w:ascii="Times New Roman" w:hAnsi="Times New Roman" w:cs="Times New Roman"/>
          <w:sz w:val="24"/>
          <w:szCs w:val="24"/>
          <w:lang w:val="en-US"/>
        </w:rPr>
        <w:t>,</w:t>
      </w:r>
      <w:r>
        <w:rPr>
          <w:rFonts w:ascii="Times New Roman" w:hAnsi="Times New Roman" w:cs="Times New Roman"/>
          <w:sz w:val="24"/>
          <w:szCs w:val="24"/>
          <w:lang w:val="en-US"/>
        </w:rPr>
        <w:t xml:space="preserve"> which</w:t>
      </w:r>
      <w:r w:rsidR="00340920">
        <w:rPr>
          <w:rFonts w:ascii="Times New Roman" w:hAnsi="Times New Roman" w:cs="Times New Roman"/>
          <w:sz w:val="24"/>
          <w:szCs w:val="24"/>
          <w:lang w:val="en-US"/>
        </w:rPr>
        <w:t xml:space="preserve"> was</w:t>
      </w:r>
      <w:r>
        <w:rPr>
          <w:rFonts w:ascii="Times New Roman" w:hAnsi="Times New Roman" w:cs="Times New Roman"/>
          <w:sz w:val="24"/>
          <w:szCs w:val="24"/>
          <w:lang w:val="en-US"/>
        </w:rPr>
        <w:t xml:space="preserve"> created by the Agency for Healthcare Research and Quality’s (AHRQ) Healthcare Cost and Utilization Project (HCUP). </w:t>
      </w:r>
      <w:r w:rsidR="00340920">
        <w:rPr>
          <w:rFonts w:ascii="Times New Roman" w:hAnsi="Times New Roman" w:cs="Times New Roman"/>
          <w:sz w:val="24"/>
          <w:szCs w:val="24"/>
          <w:lang w:val="en-US"/>
        </w:rPr>
        <w:t>D</w:t>
      </w:r>
      <w:r>
        <w:rPr>
          <w:rFonts w:ascii="Times New Roman" w:hAnsi="Times New Roman" w:cs="Times New Roman"/>
          <w:sz w:val="24"/>
          <w:szCs w:val="24"/>
          <w:lang w:val="en-US"/>
        </w:rPr>
        <w:t xml:space="preserve">ata for the years 2004 to 2014, which were used for the current analysis, contains information </w:t>
      </w:r>
      <w:r w:rsidR="00173891">
        <w:rPr>
          <w:rFonts w:ascii="Times New Roman" w:hAnsi="Times New Roman" w:cs="Times New Roman"/>
          <w:sz w:val="24"/>
          <w:szCs w:val="24"/>
          <w:lang w:val="en-US"/>
        </w:rPr>
        <w:t xml:space="preserve">from </w:t>
      </w:r>
      <w:r>
        <w:rPr>
          <w:rFonts w:ascii="Times New Roman" w:hAnsi="Times New Roman" w:cs="Times New Roman"/>
          <w:sz w:val="24"/>
          <w:szCs w:val="24"/>
          <w:lang w:val="en-US"/>
        </w:rPr>
        <w:t>7 to 8 million hospital discharges per year.</w:t>
      </w:r>
      <w:r w:rsidR="009B54E4">
        <w:rPr>
          <w:rFonts w:ascii="Times New Roman" w:hAnsi="Times New Roman" w:cs="Times New Roman"/>
          <w:sz w:val="24"/>
          <w:szCs w:val="24"/>
          <w:lang w:val="en-US"/>
        </w:rPr>
        <w:t>[12]</w:t>
      </w:r>
      <w:r>
        <w:rPr>
          <w:rFonts w:ascii="Times New Roman" w:hAnsi="Times New Roman" w:cs="Times New Roman"/>
          <w:sz w:val="24"/>
          <w:szCs w:val="24"/>
          <w:lang w:val="en-US"/>
        </w:rPr>
        <w:t xml:space="preserve"> The NIS</w:t>
      </w:r>
      <w:r w:rsidRPr="006328AD">
        <w:rPr>
          <w:rFonts w:ascii="Times New Roman" w:hAnsi="Times New Roman" w:cs="Times New Roman"/>
          <w:sz w:val="24"/>
          <w:szCs w:val="24"/>
          <w:lang w:val="en-US"/>
        </w:rPr>
        <w:t xml:space="preserve"> dataset contains patient demographic variables, AHRQ comorbidity measures, hospital variables, ICD-9 diagnostic codes (15 between 2004 and 2008, 25 between 2009 and 2013 and 30 in 2014) </w:t>
      </w:r>
      <w:r>
        <w:rPr>
          <w:rFonts w:ascii="Times New Roman" w:hAnsi="Times New Roman" w:cs="Times New Roman"/>
          <w:sz w:val="24"/>
          <w:szCs w:val="24"/>
          <w:lang w:val="en-US"/>
        </w:rPr>
        <w:t>and</w:t>
      </w:r>
      <w:r w:rsidRPr="006328AD">
        <w:rPr>
          <w:rFonts w:ascii="Times New Roman" w:hAnsi="Times New Roman" w:cs="Times New Roman"/>
          <w:sz w:val="24"/>
          <w:szCs w:val="24"/>
          <w:lang w:val="en-US"/>
        </w:rPr>
        <w:t xml:space="preserve"> 15 procedure codes.</w:t>
      </w:r>
    </w:p>
    <w:p w14:paraId="6B03B8B6" w14:textId="4712DBBE" w:rsidR="000F591A" w:rsidRDefault="000F591A" w:rsidP="00F84C9C">
      <w:pPr>
        <w:spacing w:after="0" w:line="480" w:lineRule="auto"/>
        <w:ind w:firstLine="720"/>
        <w:jc w:val="both"/>
        <w:rPr>
          <w:rFonts w:ascii="Times New Roman" w:hAnsi="Times New Roman" w:cs="Times New Roman"/>
          <w:sz w:val="24"/>
          <w:szCs w:val="24"/>
          <w:lang w:val="en-US"/>
        </w:rPr>
      </w:pPr>
      <w:r w:rsidRPr="006328AD">
        <w:rPr>
          <w:rFonts w:ascii="Times New Roman" w:hAnsi="Times New Roman" w:cs="Times New Roman"/>
          <w:sz w:val="24"/>
          <w:szCs w:val="24"/>
          <w:lang w:val="en-US"/>
        </w:rPr>
        <w:t xml:space="preserve">All individuals aged 18 years or over with a primary diagnosis of </w:t>
      </w:r>
      <w:r>
        <w:rPr>
          <w:rFonts w:ascii="Times New Roman" w:hAnsi="Times New Roman" w:cs="Times New Roman"/>
          <w:sz w:val="24"/>
          <w:szCs w:val="24"/>
          <w:lang w:val="en-US"/>
        </w:rPr>
        <w:t>heart failure</w:t>
      </w:r>
      <w:r w:rsidRPr="006328AD">
        <w:rPr>
          <w:rFonts w:ascii="Times New Roman" w:hAnsi="Times New Roman" w:cs="Times New Roman"/>
          <w:sz w:val="24"/>
          <w:szCs w:val="24"/>
          <w:lang w:val="en-US"/>
        </w:rPr>
        <w:t xml:space="preserve"> between January 2004 and December 2014 were included.</w:t>
      </w:r>
      <w:r w:rsidR="0001351C">
        <w:rPr>
          <w:rFonts w:ascii="Times New Roman" w:hAnsi="Times New Roman" w:cs="Times New Roman"/>
          <w:sz w:val="24"/>
          <w:szCs w:val="24"/>
          <w:lang w:val="en-US"/>
        </w:rPr>
        <w:t xml:space="preserve"> Heart failure was defined by the ICD-9 codes </w:t>
      </w:r>
      <w:r w:rsidR="0001351C" w:rsidRPr="0001351C">
        <w:rPr>
          <w:rFonts w:ascii="Times New Roman" w:hAnsi="Times New Roman" w:cs="Times New Roman"/>
          <w:sz w:val="24"/>
          <w:szCs w:val="24"/>
          <w:lang w:val="en-US"/>
        </w:rPr>
        <w:t>40201 40211 40291 40401 40403 40411 40413 40413 40491 40493 428*</w:t>
      </w:r>
      <w:r w:rsidR="0001351C">
        <w:rPr>
          <w:rFonts w:ascii="Times New Roman" w:hAnsi="Times New Roman" w:cs="Times New Roman"/>
          <w:sz w:val="24"/>
          <w:szCs w:val="24"/>
          <w:lang w:val="en-US"/>
        </w:rPr>
        <w:t>.</w:t>
      </w:r>
    </w:p>
    <w:p w14:paraId="1FE1967C" w14:textId="43705C65" w:rsidR="00EB73D2" w:rsidRPr="006328AD" w:rsidRDefault="00EB73D2" w:rsidP="00F84C9C">
      <w:pPr>
        <w:spacing w:after="0" w:line="480" w:lineRule="auto"/>
        <w:ind w:firstLine="720"/>
        <w:jc w:val="both"/>
        <w:rPr>
          <w:rFonts w:ascii="Times New Roman" w:hAnsi="Times New Roman" w:cs="Times New Roman"/>
          <w:sz w:val="24"/>
          <w:szCs w:val="24"/>
          <w:lang w:val="en-US"/>
        </w:rPr>
      </w:pPr>
      <w:r w:rsidRPr="00EE17B5">
        <w:rPr>
          <w:rFonts w:ascii="Times New Roman" w:hAnsi="Times New Roman" w:cs="Times New Roman"/>
          <w:sz w:val="24"/>
          <w:szCs w:val="24"/>
          <w:highlight w:val="yellow"/>
          <w:lang w:val="en-US"/>
        </w:rPr>
        <w:t>Frailty was defined by the Hospital Frailty Score as previously described.</w:t>
      </w:r>
      <w:r w:rsidR="009B54E4" w:rsidRPr="00EE17B5">
        <w:rPr>
          <w:rFonts w:ascii="Times New Roman" w:hAnsi="Times New Roman" w:cs="Times New Roman"/>
          <w:sz w:val="24"/>
          <w:szCs w:val="24"/>
          <w:highlight w:val="yellow"/>
          <w:lang w:val="en-US"/>
        </w:rPr>
        <w:t>[11]</w:t>
      </w:r>
      <w:r w:rsidRPr="00EE17B5">
        <w:rPr>
          <w:rFonts w:ascii="Times New Roman" w:hAnsi="Times New Roman" w:cs="Times New Roman"/>
          <w:sz w:val="24"/>
          <w:szCs w:val="24"/>
          <w:highlight w:val="yellow"/>
          <w:lang w:val="en-US"/>
        </w:rPr>
        <w:t xml:space="preserve"> While the score was previously derived from ICD-10 codes, only ICD-9 codes were available in the 2004 to 2014 NIS dataset. Our mapping of the codes from ICD-10 to ICD-9, along with the weights applied for each variable, are shown in Supplementary Table 1.</w:t>
      </w:r>
      <w:r w:rsidR="00820265" w:rsidRPr="00EE17B5">
        <w:rPr>
          <w:rFonts w:ascii="Times New Roman" w:hAnsi="Times New Roman" w:cs="Times New Roman"/>
          <w:sz w:val="24"/>
          <w:szCs w:val="24"/>
          <w:highlight w:val="yellow"/>
          <w:lang w:val="en-US"/>
        </w:rPr>
        <w:t xml:space="preserve"> </w:t>
      </w:r>
      <w:r w:rsidR="0003278B" w:rsidRPr="00EE17B5">
        <w:rPr>
          <w:rFonts w:ascii="Times New Roman" w:hAnsi="Times New Roman" w:cs="Times New Roman"/>
          <w:sz w:val="24"/>
          <w:szCs w:val="24"/>
          <w:highlight w:val="yellow"/>
        </w:rPr>
        <w:t>For each of the elements in the score there was a weighting derived by Gilbert et al and the score was derived by summing all the individual weighted elements.</w:t>
      </w:r>
      <w:r w:rsidR="0003278B">
        <w:rPr>
          <w:rFonts w:ascii="Times New Roman" w:hAnsi="Times New Roman" w:cs="Times New Roman"/>
          <w:sz w:val="24"/>
          <w:szCs w:val="24"/>
        </w:rPr>
        <w:t xml:space="preserve"> </w:t>
      </w:r>
      <w:r w:rsidR="00116765">
        <w:rPr>
          <w:rFonts w:ascii="Times New Roman" w:hAnsi="Times New Roman" w:cs="Times New Roman"/>
          <w:sz w:val="24"/>
          <w:szCs w:val="24"/>
          <w:lang w:val="en-US"/>
        </w:rPr>
        <w:t>We used the cutoffs for the</w:t>
      </w:r>
      <w:r w:rsidR="00820265">
        <w:rPr>
          <w:rFonts w:ascii="Times New Roman" w:hAnsi="Times New Roman" w:cs="Times New Roman"/>
          <w:sz w:val="24"/>
          <w:szCs w:val="24"/>
          <w:lang w:val="en-US"/>
        </w:rPr>
        <w:t xml:space="preserve"> low</w:t>
      </w:r>
      <w:r w:rsidR="00116765">
        <w:rPr>
          <w:rFonts w:ascii="Times New Roman" w:hAnsi="Times New Roman" w:cs="Times New Roman"/>
          <w:sz w:val="24"/>
          <w:szCs w:val="24"/>
          <w:lang w:val="en-US"/>
        </w:rPr>
        <w:t xml:space="preserve"> (&lt;5)</w:t>
      </w:r>
      <w:r w:rsidR="00820265">
        <w:rPr>
          <w:rFonts w:ascii="Times New Roman" w:hAnsi="Times New Roman" w:cs="Times New Roman"/>
          <w:sz w:val="24"/>
          <w:szCs w:val="24"/>
          <w:lang w:val="en-US"/>
        </w:rPr>
        <w:t>, intermediate</w:t>
      </w:r>
      <w:r w:rsidR="00116765">
        <w:rPr>
          <w:rFonts w:ascii="Times New Roman" w:hAnsi="Times New Roman" w:cs="Times New Roman"/>
          <w:sz w:val="24"/>
          <w:szCs w:val="24"/>
          <w:lang w:val="en-US"/>
        </w:rPr>
        <w:t xml:space="preserve"> (5-10)</w:t>
      </w:r>
      <w:r w:rsidR="00820265">
        <w:rPr>
          <w:rFonts w:ascii="Times New Roman" w:hAnsi="Times New Roman" w:cs="Times New Roman"/>
          <w:sz w:val="24"/>
          <w:szCs w:val="24"/>
          <w:lang w:val="en-US"/>
        </w:rPr>
        <w:t xml:space="preserve"> and high </w:t>
      </w:r>
      <w:r w:rsidR="00116765">
        <w:rPr>
          <w:rFonts w:ascii="Times New Roman" w:hAnsi="Times New Roman" w:cs="Times New Roman"/>
          <w:sz w:val="24"/>
          <w:szCs w:val="24"/>
          <w:lang w:val="en-US"/>
        </w:rPr>
        <w:t xml:space="preserve">(&gt;15) </w:t>
      </w:r>
      <w:r w:rsidR="00820265">
        <w:rPr>
          <w:rFonts w:ascii="Times New Roman" w:hAnsi="Times New Roman" w:cs="Times New Roman"/>
          <w:sz w:val="24"/>
          <w:szCs w:val="24"/>
          <w:lang w:val="en-US"/>
        </w:rPr>
        <w:t xml:space="preserve">risk of frailty </w:t>
      </w:r>
      <w:r w:rsidR="00263319">
        <w:rPr>
          <w:rFonts w:ascii="Times New Roman" w:hAnsi="Times New Roman" w:cs="Times New Roman"/>
          <w:sz w:val="24"/>
          <w:szCs w:val="24"/>
          <w:lang w:val="en-US"/>
        </w:rPr>
        <w:t xml:space="preserve">as they were defined in the </w:t>
      </w:r>
      <w:r w:rsidR="00A5359C">
        <w:rPr>
          <w:rFonts w:ascii="Times New Roman" w:hAnsi="Times New Roman" w:cs="Times New Roman"/>
          <w:sz w:val="24"/>
          <w:szCs w:val="24"/>
          <w:lang w:val="en-US"/>
        </w:rPr>
        <w:t>original</w:t>
      </w:r>
      <w:r w:rsidR="00263319">
        <w:rPr>
          <w:rFonts w:ascii="Times New Roman" w:hAnsi="Times New Roman" w:cs="Times New Roman"/>
          <w:sz w:val="24"/>
          <w:szCs w:val="24"/>
          <w:lang w:val="en-US"/>
        </w:rPr>
        <w:t xml:space="preserve"> </w:t>
      </w:r>
      <w:r w:rsidR="00116765">
        <w:rPr>
          <w:rFonts w:ascii="Times New Roman" w:hAnsi="Times New Roman" w:cs="Times New Roman"/>
          <w:sz w:val="24"/>
          <w:szCs w:val="24"/>
          <w:lang w:val="en-US"/>
        </w:rPr>
        <w:t>derivation of the Hospital Frailty Score.</w:t>
      </w:r>
      <w:r w:rsidR="009B54E4">
        <w:rPr>
          <w:rFonts w:ascii="Times New Roman" w:hAnsi="Times New Roman" w:cs="Times New Roman"/>
          <w:sz w:val="24"/>
          <w:szCs w:val="24"/>
          <w:lang w:val="en-US"/>
        </w:rPr>
        <w:t>[11]</w:t>
      </w:r>
      <w:r w:rsidR="00116765">
        <w:rPr>
          <w:rStyle w:val="CommentReference"/>
        </w:rPr>
        <w:t xml:space="preserve"> </w:t>
      </w:r>
    </w:p>
    <w:p w14:paraId="21ABE562" w14:textId="3E5AE9BD" w:rsidR="00555D4C" w:rsidRDefault="003C359A" w:rsidP="00555D4C">
      <w:pPr>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We </w:t>
      </w:r>
      <w:r w:rsidR="004502C9" w:rsidRPr="006328AD">
        <w:rPr>
          <w:rFonts w:ascii="Times New Roman" w:hAnsi="Times New Roman" w:cs="Times New Roman"/>
          <w:sz w:val="24"/>
          <w:szCs w:val="24"/>
          <w:lang w:val="en-US"/>
        </w:rPr>
        <w:t xml:space="preserve">collected </w:t>
      </w:r>
      <w:r>
        <w:rPr>
          <w:rFonts w:ascii="Times New Roman" w:hAnsi="Times New Roman" w:cs="Times New Roman"/>
          <w:sz w:val="24"/>
          <w:szCs w:val="24"/>
          <w:lang w:val="en-US"/>
        </w:rPr>
        <w:t xml:space="preserve">data </w:t>
      </w:r>
      <w:r w:rsidR="004502C9" w:rsidRPr="006328AD">
        <w:rPr>
          <w:rFonts w:ascii="Times New Roman" w:hAnsi="Times New Roman" w:cs="Times New Roman"/>
          <w:sz w:val="24"/>
          <w:szCs w:val="24"/>
          <w:lang w:val="en-US"/>
        </w:rPr>
        <w:t>on patient demographics, which included age, sex, ethnicity, and median household income defined by ZIP code</w:t>
      </w:r>
      <w:r>
        <w:rPr>
          <w:rFonts w:ascii="Times New Roman" w:hAnsi="Times New Roman" w:cs="Times New Roman"/>
          <w:sz w:val="24"/>
          <w:szCs w:val="24"/>
          <w:lang w:val="en-US"/>
        </w:rPr>
        <w:t>, as well as details regarding the admission (weekend or weekday)</w:t>
      </w:r>
      <w:r w:rsidR="004502C9" w:rsidRPr="006328AD">
        <w:rPr>
          <w:rFonts w:ascii="Times New Roman" w:hAnsi="Times New Roman" w:cs="Times New Roman"/>
          <w:sz w:val="24"/>
          <w:szCs w:val="24"/>
          <w:lang w:val="en-US"/>
        </w:rPr>
        <w:t xml:space="preserve">. </w:t>
      </w:r>
      <w:r>
        <w:rPr>
          <w:rFonts w:ascii="Times New Roman" w:hAnsi="Times New Roman" w:cs="Times New Roman"/>
          <w:sz w:val="24"/>
          <w:szCs w:val="24"/>
          <w:lang w:val="en-US"/>
        </w:rPr>
        <w:t>We used the</w:t>
      </w:r>
      <w:r w:rsidR="004502C9" w:rsidRPr="006328AD">
        <w:rPr>
          <w:rFonts w:ascii="Times New Roman" w:hAnsi="Times New Roman" w:cs="Times New Roman"/>
          <w:sz w:val="24"/>
          <w:szCs w:val="24"/>
          <w:lang w:val="en-US"/>
        </w:rPr>
        <w:t xml:space="preserve"> </w:t>
      </w:r>
      <w:r w:rsidR="00116765">
        <w:rPr>
          <w:rFonts w:ascii="Times New Roman" w:hAnsi="Times New Roman" w:cs="Times New Roman"/>
          <w:sz w:val="24"/>
          <w:szCs w:val="24"/>
          <w:lang w:val="en-US"/>
        </w:rPr>
        <w:t>Agency for Healthcare Research and Quality (</w:t>
      </w:r>
      <w:r w:rsidR="004502C9" w:rsidRPr="006328AD">
        <w:rPr>
          <w:rFonts w:ascii="Times New Roman" w:hAnsi="Times New Roman" w:cs="Times New Roman"/>
          <w:sz w:val="24"/>
          <w:szCs w:val="24"/>
          <w:lang w:val="en-US"/>
        </w:rPr>
        <w:t>AHRQ</w:t>
      </w:r>
      <w:r w:rsidR="00116765">
        <w:rPr>
          <w:rFonts w:ascii="Times New Roman" w:hAnsi="Times New Roman" w:cs="Times New Roman"/>
          <w:sz w:val="24"/>
          <w:szCs w:val="24"/>
          <w:lang w:val="en-US"/>
        </w:rPr>
        <w:t>)</w:t>
      </w:r>
      <w:r>
        <w:rPr>
          <w:rFonts w:ascii="Times New Roman" w:hAnsi="Times New Roman" w:cs="Times New Roman"/>
          <w:sz w:val="24"/>
          <w:szCs w:val="24"/>
          <w:lang w:val="en-US"/>
        </w:rPr>
        <w:t xml:space="preserve"> comorbidity</w:t>
      </w:r>
      <w:r w:rsidR="004502C9" w:rsidRPr="006328AD">
        <w:rPr>
          <w:rFonts w:ascii="Times New Roman" w:hAnsi="Times New Roman" w:cs="Times New Roman"/>
          <w:sz w:val="24"/>
          <w:szCs w:val="24"/>
          <w:lang w:val="en-US"/>
        </w:rPr>
        <w:t xml:space="preserve"> measures</w:t>
      </w:r>
      <w:r>
        <w:rPr>
          <w:rFonts w:ascii="Times New Roman" w:hAnsi="Times New Roman" w:cs="Times New Roman"/>
          <w:sz w:val="24"/>
          <w:szCs w:val="24"/>
          <w:lang w:val="en-US"/>
        </w:rPr>
        <w:t xml:space="preserve">, </w:t>
      </w:r>
      <w:r w:rsidR="004502C9" w:rsidRPr="006328AD">
        <w:rPr>
          <w:rFonts w:ascii="Times New Roman" w:hAnsi="Times New Roman" w:cs="Times New Roman"/>
          <w:sz w:val="24"/>
          <w:szCs w:val="24"/>
          <w:lang w:val="en-US"/>
        </w:rPr>
        <w:t xml:space="preserve">defined by the </w:t>
      </w:r>
      <w:r>
        <w:rPr>
          <w:rFonts w:ascii="Times New Roman" w:hAnsi="Times New Roman" w:cs="Times New Roman"/>
          <w:sz w:val="24"/>
          <w:szCs w:val="24"/>
          <w:lang w:val="en-US"/>
        </w:rPr>
        <w:t>Elixhauser comorbidity software;</w:t>
      </w:r>
      <w:r w:rsidR="009B54E4">
        <w:rPr>
          <w:rFonts w:ascii="Times New Roman" w:hAnsi="Times New Roman" w:cs="Times New Roman"/>
          <w:sz w:val="24"/>
          <w:szCs w:val="24"/>
          <w:lang w:val="en-US"/>
        </w:rPr>
        <w:t>[13]</w:t>
      </w:r>
      <w:r w:rsidR="00A8646B">
        <w:rPr>
          <w:rFonts w:ascii="Times New Roman" w:hAnsi="Times New Roman" w:cs="Times New Roman"/>
          <w:sz w:val="24"/>
          <w:szCs w:val="24"/>
          <w:lang w:val="en-US"/>
        </w:rPr>
        <w:t xml:space="preserve"> </w:t>
      </w:r>
      <w:r>
        <w:rPr>
          <w:rFonts w:ascii="Times New Roman" w:hAnsi="Times New Roman" w:cs="Times New Roman"/>
          <w:sz w:val="24"/>
          <w:szCs w:val="24"/>
          <w:lang w:val="en-US"/>
        </w:rPr>
        <w:t>t</w:t>
      </w:r>
      <w:r w:rsidR="00A8646B">
        <w:rPr>
          <w:rFonts w:ascii="Times New Roman" w:hAnsi="Times New Roman" w:cs="Times New Roman"/>
          <w:sz w:val="24"/>
          <w:szCs w:val="24"/>
          <w:lang w:val="en-US"/>
        </w:rPr>
        <w:t xml:space="preserve">hey included </w:t>
      </w:r>
      <w:r w:rsidR="004502C9" w:rsidRPr="006328AD">
        <w:rPr>
          <w:rFonts w:ascii="Times New Roman" w:hAnsi="Times New Roman" w:cs="Times New Roman"/>
          <w:sz w:val="24"/>
          <w:szCs w:val="24"/>
          <w:lang w:val="en-US"/>
        </w:rPr>
        <w:t>hypertension, diabetes, obesity, congestive heart failure, peripheral vascular disease, chr</w:t>
      </w:r>
      <w:r w:rsidR="00A8646B">
        <w:rPr>
          <w:rFonts w:ascii="Times New Roman" w:hAnsi="Times New Roman" w:cs="Times New Roman"/>
          <w:sz w:val="24"/>
          <w:szCs w:val="24"/>
          <w:lang w:val="en-US"/>
        </w:rPr>
        <w:t>onic lung disease</w:t>
      </w:r>
      <w:r w:rsidR="004502C9" w:rsidRPr="006328AD">
        <w:rPr>
          <w:rFonts w:ascii="Times New Roman" w:hAnsi="Times New Roman" w:cs="Times New Roman"/>
          <w:sz w:val="24"/>
          <w:szCs w:val="24"/>
          <w:lang w:val="en-US"/>
        </w:rPr>
        <w:t xml:space="preserve">, liver disease, peptic ulcer disease, </w:t>
      </w:r>
      <w:r w:rsidR="004502C9">
        <w:rPr>
          <w:rFonts w:ascii="Times New Roman" w:hAnsi="Times New Roman" w:cs="Times New Roman"/>
          <w:sz w:val="24"/>
          <w:szCs w:val="24"/>
          <w:lang w:val="en-US"/>
        </w:rPr>
        <w:t>and cancer</w:t>
      </w:r>
      <w:r w:rsidR="004502C9" w:rsidRPr="006328AD">
        <w:rPr>
          <w:rFonts w:ascii="Times New Roman" w:hAnsi="Times New Roman" w:cs="Times New Roman"/>
          <w:sz w:val="24"/>
          <w:szCs w:val="24"/>
          <w:lang w:val="en-US"/>
        </w:rPr>
        <w:t xml:space="preserve">. </w:t>
      </w:r>
      <w:r>
        <w:rPr>
          <w:rFonts w:ascii="Times New Roman" w:hAnsi="Times New Roman" w:cs="Times New Roman"/>
          <w:sz w:val="24"/>
          <w:szCs w:val="24"/>
          <w:lang w:val="en-US"/>
        </w:rPr>
        <w:t>We used</w:t>
      </w:r>
      <w:r w:rsidR="004502C9" w:rsidRPr="006328AD">
        <w:rPr>
          <w:rFonts w:ascii="Times New Roman" w:hAnsi="Times New Roman" w:cs="Times New Roman"/>
          <w:sz w:val="24"/>
          <w:szCs w:val="24"/>
          <w:lang w:val="en-US"/>
        </w:rPr>
        <w:t xml:space="preserve"> </w:t>
      </w:r>
      <w:r w:rsidR="00980CE0">
        <w:rPr>
          <w:rFonts w:ascii="Times New Roman" w:hAnsi="Times New Roman" w:cs="Times New Roman"/>
          <w:sz w:val="24"/>
          <w:szCs w:val="24"/>
          <w:lang w:val="en-US"/>
        </w:rPr>
        <w:t>ICD-9 diagnostic codes</w:t>
      </w:r>
      <w:r w:rsidR="004502C9" w:rsidRPr="006328AD">
        <w:rPr>
          <w:rFonts w:ascii="Times New Roman" w:hAnsi="Times New Roman" w:cs="Times New Roman"/>
          <w:sz w:val="24"/>
          <w:szCs w:val="24"/>
          <w:lang w:val="en-US"/>
        </w:rPr>
        <w:t xml:space="preserve"> t</w:t>
      </w:r>
      <w:r w:rsidR="00BF1C8D">
        <w:rPr>
          <w:rFonts w:ascii="Times New Roman" w:hAnsi="Times New Roman" w:cs="Times New Roman"/>
          <w:sz w:val="24"/>
          <w:szCs w:val="24"/>
          <w:lang w:val="en-US"/>
        </w:rPr>
        <w:t>o define smoking (V1582, 3051)</w:t>
      </w:r>
      <w:r w:rsidR="004502C9">
        <w:rPr>
          <w:rFonts w:ascii="Times New Roman" w:hAnsi="Times New Roman" w:cs="Times New Roman"/>
          <w:sz w:val="24"/>
          <w:szCs w:val="24"/>
          <w:lang w:val="en-US"/>
        </w:rPr>
        <w:t xml:space="preserve">, </w:t>
      </w:r>
      <w:r w:rsidR="004502C9" w:rsidRPr="006328AD">
        <w:rPr>
          <w:rFonts w:ascii="Times New Roman" w:hAnsi="Times New Roman" w:cs="Times New Roman"/>
          <w:sz w:val="24"/>
          <w:szCs w:val="24"/>
          <w:lang w:val="en-US"/>
        </w:rPr>
        <w:t>hypercholesterolemia (2720/2724), coronary artery disease (41400/41407), previous myocardial infarction (412), previous</w:t>
      </w:r>
      <w:r w:rsidR="004502C9">
        <w:rPr>
          <w:rFonts w:ascii="Times New Roman" w:hAnsi="Times New Roman" w:cs="Times New Roman"/>
          <w:sz w:val="24"/>
          <w:szCs w:val="24"/>
          <w:lang w:val="en-US"/>
        </w:rPr>
        <w:t xml:space="preserve"> percutaneous coronary intervention</w:t>
      </w:r>
      <w:r w:rsidR="004502C9" w:rsidRPr="006328AD">
        <w:rPr>
          <w:rFonts w:ascii="Times New Roman" w:hAnsi="Times New Roman" w:cs="Times New Roman"/>
          <w:sz w:val="24"/>
          <w:szCs w:val="24"/>
          <w:lang w:val="en-US"/>
        </w:rPr>
        <w:t xml:space="preserve"> </w:t>
      </w:r>
      <w:r w:rsidR="004502C9">
        <w:rPr>
          <w:rFonts w:ascii="Times New Roman" w:hAnsi="Times New Roman" w:cs="Times New Roman"/>
          <w:sz w:val="24"/>
          <w:szCs w:val="24"/>
          <w:lang w:val="en-US"/>
        </w:rPr>
        <w:t>(</w:t>
      </w:r>
      <w:r w:rsidR="004502C9" w:rsidRPr="006328AD">
        <w:rPr>
          <w:rFonts w:ascii="Times New Roman" w:hAnsi="Times New Roman" w:cs="Times New Roman"/>
          <w:sz w:val="24"/>
          <w:szCs w:val="24"/>
          <w:lang w:val="en-US"/>
        </w:rPr>
        <w:t>PCI</w:t>
      </w:r>
      <w:r w:rsidR="004502C9">
        <w:rPr>
          <w:rFonts w:ascii="Times New Roman" w:hAnsi="Times New Roman" w:cs="Times New Roman"/>
          <w:sz w:val="24"/>
          <w:szCs w:val="24"/>
          <w:lang w:val="en-US"/>
        </w:rPr>
        <w:t>)</w:t>
      </w:r>
      <w:r w:rsidR="004502C9" w:rsidRPr="006328AD">
        <w:rPr>
          <w:rFonts w:ascii="Times New Roman" w:hAnsi="Times New Roman" w:cs="Times New Roman"/>
          <w:sz w:val="24"/>
          <w:szCs w:val="24"/>
          <w:lang w:val="en-US"/>
        </w:rPr>
        <w:t xml:space="preserve"> (V4582), previous coronary artery bypass graft surgery</w:t>
      </w:r>
      <w:r w:rsidR="004502C9">
        <w:rPr>
          <w:rFonts w:ascii="Times New Roman" w:hAnsi="Times New Roman" w:cs="Times New Roman"/>
          <w:sz w:val="24"/>
          <w:szCs w:val="24"/>
          <w:lang w:val="en-US"/>
        </w:rPr>
        <w:t xml:space="preserve"> </w:t>
      </w:r>
      <w:r w:rsidR="004502C9" w:rsidRPr="006328AD">
        <w:rPr>
          <w:rFonts w:ascii="Times New Roman" w:hAnsi="Times New Roman" w:cs="Times New Roman"/>
          <w:sz w:val="24"/>
          <w:szCs w:val="24"/>
          <w:lang w:val="en-US"/>
        </w:rPr>
        <w:t>(CABG) (V4581), atrial fibrillation (42731), previous stroke (V1254 438*), dementia (290* 2941* 2942* 2948 3310/3312 33182 797)</w:t>
      </w:r>
      <w:r w:rsidR="00A5359C">
        <w:rPr>
          <w:rFonts w:ascii="Times New Roman" w:hAnsi="Times New Roman" w:cs="Times New Roman"/>
          <w:sz w:val="24"/>
          <w:szCs w:val="24"/>
          <w:lang w:val="en-US"/>
        </w:rPr>
        <w:t>,</w:t>
      </w:r>
      <w:r w:rsidR="004502C9" w:rsidRPr="006328AD">
        <w:rPr>
          <w:rFonts w:ascii="Times New Roman" w:hAnsi="Times New Roman" w:cs="Times New Roman"/>
          <w:sz w:val="24"/>
          <w:szCs w:val="24"/>
          <w:lang w:val="en-US"/>
        </w:rPr>
        <w:t xml:space="preserve"> cardiogenic shock</w:t>
      </w:r>
      <w:r w:rsidR="004502C9">
        <w:rPr>
          <w:rFonts w:ascii="Times New Roman" w:hAnsi="Times New Roman" w:cs="Times New Roman"/>
          <w:sz w:val="24"/>
          <w:szCs w:val="24"/>
          <w:lang w:val="en-US"/>
        </w:rPr>
        <w:t xml:space="preserve"> </w:t>
      </w:r>
      <w:r w:rsidR="004502C9" w:rsidRPr="006328AD">
        <w:rPr>
          <w:rFonts w:ascii="Times New Roman" w:hAnsi="Times New Roman" w:cs="Times New Roman"/>
          <w:sz w:val="24"/>
          <w:szCs w:val="24"/>
          <w:lang w:val="en-US"/>
        </w:rPr>
        <w:t>(</w:t>
      </w:r>
      <w:r w:rsidR="004502C9">
        <w:rPr>
          <w:rFonts w:ascii="Times New Roman" w:hAnsi="Times New Roman" w:cs="Times New Roman"/>
          <w:sz w:val="24"/>
          <w:szCs w:val="24"/>
          <w:lang w:val="en-US"/>
        </w:rPr>
        <w:t>78551)</w:t>
      </w:r>
      <w:r w:rsidR="004502C9" w:rsidRPr="006328AD">
        <w:rPr>
          <w:rFonts w:ascii="Times New Roman" w:hAnsi="Times New Roman" w:cs="Times New Roman"/>
          <w:sz w:val="24"/>
          <w:szCs w:val="24"/>
          <w:lang w:val="en-US"/>
        </w:rPr>
        <w:t xml:space="preserve"> </w:t>
      </w:r>
      <w:r w:rsidR="004502C9">
        <w:rPr>
          <w:rFonts w:ascii="Times New Roman" w:hAnsi="Times New Roman" w:cs="Times New Roman"/>
          <w:sz w:val="24"/>
          <w:szCs w:val="24"/>
          <w:lang w:val="en-US"/>
        </w:rPr>
        <w:t>cardiac arrest</w:t>
      </w:r>
      <w:r w:rsidR="00F76572">
        <w:rPr>
          <w:rFonts w:ascii="Times New Roman" w:hAnsi="Times New Roman" w:cs="Times New Roman"/>
          <w:sz w:val="24"/>
          <w:szCs w:val="24"/>
          <w:lang w:val="en-US"/>
        </w:rPr>
        <w:t xml:space="preserve"> (</w:t>
      </w:r>
      <w:r w:rsidR="00F76572" w:rsidRPr="00F76572">
        <w:rPr>
          <w:rFonts w:ascii="Times New Roman" w:hAnsi="Times New Roman" w:cs="Times New Roman"/>
          <w:sz w:val="24"/>
          <w:szCs w:val="24"/>
          <w:lang w:val="en-US"/>
        </w:rPr>
        <w:t>4275</w:t>
      </w:r>
      <w:r w:rsidR="00F76572">
        <w:rPr>
          <w:rFonts w:ascii="Times New Roman" w:hAnsi="Times New Roman" w:cs="Times New Roman"/>
          <w:sz w:val="24"/>
          <w:szCs w:val="24"/>
          <w:lang w:val="en-US"/>
        </w:rPr>
        <w:t>)</w:t>
      </w:r>
      <w:r w:rsidR="004502C9">
        <w:rPr>
          <w:rFonts w:ascii="Times New Roman" w:hAnsi="Times New Roman" w:cs="Times New Roman"/>
          <w:sz w:val="24"/>
          <w:szCs w:val="24"/>
          <w:lang w:val="en-US"/>
        </w:rPr>
        <w:t>, ventilation</w:t>
      </w:r>
      <w:r w:rsidR="00A74D11">
        <w:rPr>
          <w:rFonts w:ascii="Times New Roman" w:hAnsi="Times New Roman" w:cs="Times New Roman"/>
          <w:sz w:val="24"/>
          <w:szCs w:val="24"/>
          <w:lang w:val="en-US"/>
        </w:rPr>
        <w:t xml:space="preserve"> (9601 9602 9603 9604 9605 967*)</w:t>
      </w:r>
      <w:r w:rsidR="004502C9">
        <w:rPr>
          <w:rFonts w:ascii="Times New Roman" w:hAnsi="Times New Roman" w:cs="Times New Roman"/>
          <w:sz w:val="24"/>
          <w:szCs w:val="24"/>
          <w:lang w:val="en-US"/>
        </w:rPr>
        <w:t>, LV assist device/IABP</w:t>
      </w:r>
      <w:r w:rsidR="001B7610">
        <w:rPr>
          <w:rFonts w:ascii="Times New Roman" w:hAnsi="Times New Roman" w:cs="Times New Roman"/>
          <w:sz w:val="24"/>
          <w:szCs w:val="24"/>
          <w:lang w:val="en-US"/>
        </w:rPr>
        <w:t xml:space="preserve"> (376* 9744)</w:t>
      </w:r>
      <w:r w:rsidR="004502C9">
        <w:rPr>
          <w:rFonts w:ascii="Times New Roman" w:hAnsi="Times New Roman" w:cs="Times New Roman"/>
          <w:sz w:val="24"/>
          <w:szCs w:val="24"/>
          <w:lang w:val="en-US"/>
        </w:rPr>
        <w:t>, vasopressor use</w:t>
      </w:r>
      <w:r w:rsidR="00AE630A">
        <w:rPr>
          <w:rFonts w:ascii="Times New Roman" w:hAnsi="Times New Roman" w:cs="Times New Roman"/>
          <w:sz w:val="24"/>
          <w:szCs w:val="24"/>
          <w:lang w:val="en-US"/>
        </w:rPr>
        <w:t xml:space="preserve"> (0017)</w:t>
      </w:r>
      <w:r w:rsidR="004502C9">
        <w:rPr>
          <w:rFonts w:ascii="Times New Roman" w:hAnsi="Times New Roman" w:cs="Times New Roman"/>
          <w:sz w:val="24"/>
          <w:szCs w:val="24"/>
          <w:lang w:val="en-US"/>
        </w:rPr>
        <w:t>, coronary angiogram</w:t>
      </w:r>
      <w:r w:rsidR="00AE630A">
        <w:rPr>
          <w:rFonts w:ascii="Times New Roman" w:hAnsi="Times New Roman" w:cs="Times New Roman"/>
          <w:sz w:val="24"/>
          <w:szCs w:val="24"/>
          <w:lang w:val="en-US"/>
        </w:rPr>
        <w:t xml:space="preserve"> (</w:t>
      </w:r>
      <w:r w:rsidR="00AE630A" w:rsidRPr="00AE630A">
        <w:rPr>
          <w:rFonts w:ascii="Times New Roman" w:hAnsi="Times New Roman" w:cs="Times New Roman"/>
          <w:sz w:val="24"/>
          <w:szCs w:val="24"/>
          <w:lang w:val="en-US"/>
        </w:rPr>
        <w:t>8855 3722 3723 8854 8853 8856</w:t>
      </w:r>
      <w:r w:rsidR="00AE630A">
        <w:rPr>
          <w:rFonts w:ascii="Times New Roman" w:hAnsi="Times New Roman" w:cs="Times New Roman"/>
          <w:sz w:val="24"/>
          <w:szCs w:val="24"/>
          <w:lang w:val="en-US"/>
        </w:rPr>
        <w:t>)</w:t>
      </w:r>
      <w:r w:rsidR="004502C9">
        <w:rPr>
          <w:rFonts w:ascii="Times New Roman" w:hAnsi="Times New Roman" w:cs="Times New Roman"/>
          <w:sz w:val="24"/>
          <w:szCs w:val="24"/>
          <w:lang w:val="en-US"/>
        </w:rPr>
        <w:t>, PCI, CABG</w:t>
      </w:r>
      <w:r w:rsidR="00AE630A">
        <w:rPr>
          <w:rFonts w:ascii="Times New Roman" w:hAnsi="Times New Roman" w:cs="Times New Roman"/>
          <w:sz w:val="24"/>
          <w:szCs w:val="24"/>
          <w:lang w:val="en-US"/>
        </w:rPr>
        <w:t xml:space="preserve"> (</w:t>
      </w:r>
      <w:r w:rsidR="00AE630A" w:rsidRPr="00AE630A">
        <w:rPr>
          <w:rFonts w:ascii="Times New Roman" w:hAnsi="Times New Roman" w:cs="Times New Roman"/>
          <w:sz w:val="24"/>
          <w:szCs w:val="24"/>
          <w:lang w:val="en-US"/>
        </w:rPr>
        <w:t>361* 362 3631 3632 369*</w:t>
      </w:r>
      <w:r w:rsidR="00AE630A">
        <w:rPr>
          <w:rFonts w:ascii="Times New Roman" w:hAnsi="Times New Roman" w:cs="Times New Roman"/>
          <w:sz w:val="24"/>
          <w:szCs w:val="24"/>
          <w:lang w:val="en-US"/>
        </w:rPr>
        <w:t>)</w:t>
      </w:r>
      <w:r w:rsidR="004502C9">
        <w:rPr>
          <w:rFonts w:ascii="Times New Roman" w:hAnsi="Times New Roman" w:cs="Times New Roman"/>
          <w:sz w:val="24"/>
          <w:szCs w:val="24"/>
          <w:lang w:val="en-US"/>
        </w:rPr>
        <w:t>, pacemaker or ICD insertion</w:t>
      </w:r>
      <w:r w:rsidR="00AE630A">
        <w:rPr>
          <w:rFonts w:ascii="Times New Roman" w:hAnsi="Times New Roman" w:cs="Times New Roman"/>
          <w:sz w:val="24"/>
          <w:szCs w:val="24"/>
          <w:lang w:val="en-US"/>
        </w:rPr>
        <w:t xml:space="preserve"> (</w:t>
      </w:r>
      <w:r w:rsidR="00AE630A" w:rsidRPr="00AE630A">
        <w:rPr>
          <w:rFonts w:ascii="Times New Roman" w:hAnsi="Times New Roman" w:cs="Times New Roman"/>
          <w:sz w:val="24"/>
          <w:szCs w:val="24"/>
          <w:lang w:val="en-US"/>
        </w:rPr>
        <w:t>3780 3781 3782 3783 0050 3794 3796</w:t>
      </w:r>
      <w:r w:rsidR="00AE630A">
        <w:rPr>
          <w:rFonts w:ascii="Times New Roman" w:hAnsi="Times New Roman" w:cs="Times New Roman"/>
          <w:sz w:val="24"/>
          <w:szCs w:val="24"/>
          <w:lang w:val="en-US"/>
        </w:rPr>
        <w:t>)</w:t>
      </w:r>
      <w:r w:rsidR="004502C9">
        <w:rPr>
          <w:rFonts w:ascii="Times New Roman" w:hAnsi="Times New Roman" w:cs="Times New Roman"/>
          <w:sz w:val="24"/>
          <w:szCs w:val="24"/>
          <w:lang w:val="en-US"/>
        </w:rPr>
        <w:t>, CRT device</w:t>
      </w:r>
      <w:r w:rsidR="00AE630A">
        <w:rPr>
          <w:rFonts w:ascii="Times New Roman" w:hAnsi="Times New Roman" w:cs="Times New Roman"/>
          <w:sz w:val="24"/>
          <w:szCs w:val="24"/>
          <w:lang w:val="en-US"/>
        </w:rPr>
        <w:t xml:space="preserve"> (</w:t>
      </w:r>
      <w:r w:rsidR="00AE630A" w:rsidRPr="00AE630A">
        <w:rPr>
          <w:rFonts w:ascii="Times New Roman" w:hAnsi="Times New Roman" w:cs="Times New Roman"/>
          <w:sz w:val="24"/>
          <w:szCs w:val="24"/>
          <w:lang w:val="en-US"/>
        </w:rPr>
        <w:t>0050 0051 0053 0054</w:t>
      </w:r>
      <w:r w:rsidR="00AE630A">
        <w:rPr>
          <w:rFonts w:ascii="Times New Roman" w:hAnsi="Times New Roman" w:cs="Times New Roman"/>
          <w:sz w:val="24"/>
          <w:szCs w:val="24"/>
          <w:lang w:val="en-US"/>
        </w:rPr>
        <w:t>)</w:t>
      </w:r>
      <w:r w:rsidR="00A5359C">
        <w:rPr>
          <w:rFonts w:ascii="Times New Roman" w:hAnsi="Times New Roman" w:cs="Times New Roman"/>
          <w:sz w:val="24"/>
          <w:szCs w:val="24"/>
          <w:lang w:val="en-US"/>
        </w:rPr>
        <w:t xml:space="preserve"> and</w:t>
      </w:r>
      <w:r w:rsidR="004502C9">
        <w:rPr>
          <w:rFonts w:ascii="Times New Roman" w:hAnsi="Times New Roman" w:cs="Times New Roman"/>
          <w:sz w:val="24"/>
          <w:szCs w:val="24"/>
          <w:lang w:val="en-US"/>
        </w:rPr>
        <w:t xml:space="preserve"> heart transplant</w:t>
      </w:r>
      <w:r w:rsidR="00AE630A">
        <w:rPr>
          <w:rFonts w:ascii="Times New Roman" w:hAnsi="Times New Roman" w:cs="Times New Roman"/>
          <w:sz w:val="24"/>
          <w:szCs w:val="24"/>
          <w:lang w:val="en-US"/>
        </w:rPr>
        <w:t xml:space="preserve"> (3751)</w:t>
      </w:r>
      <w:r w:rsidR="004502C9">
        <w:rPr>
          <w:rFonts w:ascii="Times New Roman" w:hAnsi="Times New Roman" w:cs="Times New Roman"/>
          <w:sz w:val="24"/>
          <w:szCs w:val="24"/>
          <w:lang w:val="en-US"/>
        </w:rPr>
        <w:t>. Leukemia was defined by Clinical Classification Software (</w:t>
      </w:r>
      <w:r w:rsidR="004502C9" w:rsidRPr="006328AD">
        <w:rPr>
          <w:rFonts w:ascii="Times New Roman" w:hAnsi="Times New Roman" w:cs="Times New Roman"/>
          <w:sz w:val="24"/>
          <w:szCs w:val="24"/>
          <w:lang w:val="en-US"/>
        </w:rPr>
        <w:t>CCS</w:t>
      </w:r>
      <w:r w:rsidR="004502C9">
        <w:rPr>
          <w:rFonts w:ascii="Times New Roman" w:hAnsi="Times New Roman" w:cs="Times New Roman"/>
          <w:sz w:val="24"/>
          <w:szCs w:val="24"/>
          <w:lang w:val="en-US"/>
        </w:rPr>
        <w:t>)</w:t>
      </w:r>
      <w:r w:rsidR="004502C9" w:rsidRPr="006328AD">
        <w:rPr>
          <w:rFonts w:ascii="Times New Roman" w:hAnsi="Times New Roman" w:cs="Times New Roman"/>
          <w:sz w:val="24"/>
          <w:szCs w:val="24"/>
          <w:lang w:val="en-US"/>
        </w:rPr>
        <w:t xml:space="preserve"> code 39. </w:t>
      </w:r>
      <w:r w:rsidR="00980CE0">
        <w:rPr>
          <w:rFonts w:ascii="Times New Roman" w:hAnsi="Times New Roman" w:cs="Times New Roman"/>
          <w:sz w:val="24"/>
          <w:szCs w:val="24"/>
          <w:lang w:val="en-US"/>
        </w:rPr>
        <w:t xml:space="preserve">We collected </w:t>
      </w:r>
      <w:r w:rsidR="004502C9" w:rsidRPr="006328AD">
        <w:rPr>
          <w:rFonts w:ascii="Times New Roman" w:hAnsi="Times New Roman" w:cs="Times New Roman"/>
          <w:sz w:val="24"/>
          <w:szCs w:val="24"/>
          <w:lang w:val="en-US"/>
        </w:rPr>
        <w:t xml:space="preserve">characteristics including urban </w:t>
      </w:r>
      <w:r w:rsidR="004502C9">
        <w:rPr>
          <w:rFonts w:ascii="Times New Roman" w:hAnsi="Times New Roman" w:cs="Times New Roman"/>
          <w:sz w:val="24"/>
          <w:szCs w:val="24"/>
          <w:lang w:val="en-US"/>
        </w:rPr>
        <w:t>versus</w:t>
      </w:r>
      <w:r w:rsidR="004502C9" w:rsidRPr="006328AD">
        <w:rPr>
          <w:rFonts w:ascii="Times New Roman" w:hAnsi="Times New Roman" w:cs="Times New Roman"/>
          <w:sz w:val="24"/>
          <w:szCs w:val="24"/>
          <w:lang w:val="en-US"/>
        </w:rPr>
        <w:t xml:space="preserve"> rural designation and number of beds </w:t>
      </w:r>
      <w:r w:rsidR="00980CE0">
        <w:rPr>
          <w:rFonts w:ascii="Times New Roman" w:hAnsi="Times New Roman" w:cs="Times New Roman"/>
          <w:sz w:val="24"/>
          <w:szCs w:val="24"/>
          <w:lang w:val="en-US"/>
        </w:rPr>
        <w:t>per hospital</w:t>
      </w:r>
      <w:r w:rsidR="004502C9" w:rsidRPr="006328AD">
        <w:rPr>
          <w:rFonts w:ascii="Times New Roman" w:hAnsi="Times New Roman" w:cs="Times New Roman"/>
          <w:sz w:val="24"/>
          <w:szCs w:val="24"/>
          <w:lang w:val="en-US"/>
        </w:rPr>
        <w:t xml:space="preserve">. </w:t>
      </w:r>
      <w:r w:rsidR="00980CE0">
        <w:rPr>
          <w:rFonts w:ascii="Times New Roman" w:hAnsi="Times New Roman" w:cs="Times New Roman"/>
          <w:sz w:val="24"/>
          <w:szCs w:val="24"/>
          <w:lang w:val="en-US"/>
        </w:rPr>
        <w:t>We used</w:t>
      </w:r>
      <w:r w:rsidR="004502C9" w:rsidRPr="006328AD">
        <w:rPr>
          <w:rFonts w:ascii="Times New Roman" w:hAnsi="Times New Roman" w:cs="Times New Roman"/>
          <w:sz w:val="24"/>
          <w:szCs w:val="24"/>
          <w:lang w:val="en-US"/>
        </w:rPr>
        <w:t xml:space="preserve"> the Charlson Comorbidity Index, derived according to previous</w:t>
      </w:r>
      <w:r w:rsidR="00980CE0">
        <w:rPr>
          <w:rFonts w:ascii="Times New Roman" w:hAnsi="Times New Roman" w:cs="Times New Roman"/>
          <w:sz w:val="24"/>
          <w:szCs w:val="24"/>
          <w:lang w:val="en-US"/>
        </w:rPr>
        <w:t xml:space="preserve"> published methodology,</w:t>
      </w:r>
      <w:r w:rsidR="004502C9" w:rsidRPr="006328AD">
        <w:rPr>
          <w:rFonts w:ascii="Times New Roman" w:hAnsi="Times New Roman" w:cs="Times New Roman"/>
          <w:sz w:val="24"/>
          <w:szCs w:val="24"/>
          <w:lang w:val="en-US"/>
        </w:rPr>
        <w:t xml:space="preserve"> as a measure of comorbidity.</w:t>
      </w:r>
      <w:r w:rsidR="009B54E4">
        <w:rPr>
          <w:rFonts w:ascii="Times New Roman" w:hAnsi="Times New Roman" w:cs="Times New Roman"/>
          <w:sz w:val="24"/>
          <w:szCs w:val="24"/>
          <w:lang w:val="en-US"/>
        </w:rPr>
        <w:t>[14]</w:t>
      </w:r>
      <w:r w:rsidR="004502C9" w:rsidRPr="006328AD">
        <w:rPr>
          <w:rFonts w:ascii="Times New Roman" w:hAnsi="Times New Roman" w:cs="Times New Roman"/>
          <w:sz w:val="24"/>
          <w:szCs w:val="24"/>
          <w:lang w:val="en-US"/>
        </w:rPr>
        <w:t xml:space="preserve"> </w:t>
      </w:r>
    </w:p>
    <w:p w14:paraId="63D5B2BF" w14:textId="175EC233" w:rsidR="00555D4C" w:rsidRPr="000F591A" w:rsidRDefault="00555D4C" w:rsidP="00E7166B">
      <w:pPr>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Statistical analysis was performed on Sta</w:t>
      </w:r>
      <w:r w:rsidR="00980CE0">
        <w:rPr>
          <w:rFonts w:ascii="Times New Roman" w:hAnsi="Times New Roman" w:cs="Times New Roman"/>
          <w:sz w:val="24"/>
          <w:szCs w:val="24"/>
          <w:lang w:val="en-US"/>
        </w:rPr>
        <w:t>ta 14 (College Station, TX, USA</w:t>
      </w:r>
      <w:r>
        <w:rPr>
          <w:rFonts w:ascii="Times New Roman" w:hAnsi="Times New Roman" w:cs="Times New Roman"/>
          <w:sz w:val="24"/>
          <w:szCs w:val="24"/>
          <w:lang w:val="en-US"/>
        </w:rPr>
        <w:t xml:space="preserve">). A flow diagram was used to illustrate patient inclusion and patients with missing data for age, sex and in-hospital death were excluded. </w:t>
      </w:r>
      <w:r w:rsidR="003966E3">
        <w:rPr>
          <w:rFonts w:ascii="Times New Roman" w:hAnsi="Times New Roman" w:cs="Times New Roman"/>
          <w:sz w:val="24"/>
          <w:szCs w:val="24"/>
          <w:lang w:val="en-US"/>
        </w:rPr>
        <w:t xml:space="preserve">Discharge weights were applied to individual records to obtain national estimates. </w:t>
      </w:r>
      <w:r>
        <w:rPr>
          <w:rFonts w:ascii="Times New Roman" w:hAnsi="Times New Roman" w:cs="Times New Roman"/>
          <w:sz w:val="24"/>
          <w:szCs w:val="24"/>
          <w:lang w:val="en-US"/>
        </w:rPr>
        <w:t>We examined trends in frailty</w:t>
      </w:r>
      <w:r w:rsidR="00AC083C">
        <w:rPr>
          <w:rFonts w:ascii="Times New Roman" w:hAnsi="Times New Roman" w:cs="Times New Roman"/>
          <w:sz w:val="24"/>
          <w:szCs w:val="24"/>
          <w:lang w:val="en-US"/>
        </w:rPr>
        <w:t xml:space="preserve"> risk</w:t>
      </w:r>
      <w:r>
        <w:rPr>
          <w:rFonts w:ascii="Times New Roman" w:hAnsi="Times New Roman" w:cs="Times New Roman"/>
          <w:sz w:val="24"/>
          <w:szCs w:val="24"/>
          <w:lang w:val="en-US"/>
        </w:rPr>
        <w:t xml:space="preserve"> over time in the overall cohort as well as the subgroups according to age (≤75 years or &gt;75 years), sex and race (White, Black and other).</w:t>
      </w:r>
      <w:r w:rsidR="000317A9">
        <w:rPr>
          <w:rFonts w:ascii="Times New Roman" w:hAnsi="Times New Roman" w:cs="Times New Roman"/>
          <w:sz w:val="24"/>
          <w:szCs w:val="24"/>
          <w:lang w:val="en-US"/>
        </w:rPr>
        <w:t xml:space="preserve"> Further trends in mortality rate over time were exp</w:t>
      </w:r>
      <w:r w:rsidR="00AC083C">
        <w:rPr>
          <w:rFonts w:ascii="Times New Roman" w:hAnsi="Times New Roman" w:cs="Times New Roman"/>
          <w:sz w:val="24"/>
          <w:szCs w:val="24"/>
          <w:lang w:val="en-US"/>
        </w:rPr>
        <w:t>lored according to frailty risk</w:t>
      </w:r>
      <w:r w:rsidR="000317A9">
        <w:rPr>
          <w:rFonts w:ascii="Times New Roman" w:hAnsi="Times New Roman" w:cs="Times New Roman"/>
          <w:sz w:val="24"/>
          <w:szCs w:val="24"/>
          <w:lang w:val="en-US"/>
        </w:rPr>
        <w:t>.</w:t>
      </w:r>
      <w:r w:rsidR="003966E3">
        <w:rPr>
          <w:rFonts w:ascii="Times New Roman" w:hAnsi="Times New Roman" w:cs="Times New Roman"/>
          <w:sz w:val="24"/>
          <w:szCs w:val="24"/>
          <w:lang w:val="en-US"/>
        </w:rPr>
        <w:t xml:space="preserve"> Descriptive statistics were presented according to frailty </w:t>
      </w:r>
      <w:r w:rsidR="00820265">
        <w:rPr>
          <w:rFonts w:ascii="Times New Roman" w:hAnsi="Times New Roman" w:cs="Times New Roman"/>
          <w:sz w:val="24"/>
          <w:szCs w:val="24"/>
          <w:lang w:val="en-US"/>
        </w:rPr>
        <w:t xml:space="preserve">risk </w:t>
      </w:r>
      <w:r w:rsidR="003966E3">
        <w:rPr>
          <w:rFonts w:ascii="Times New Roman" w:hAnsi="Times New Roman" w:cs="Times New Roman"/>
          <w:sz w:val="24"/>
          <w:szCs w:val="24"/>
          <w:lang w:val="en-US"/>
        </w:rPr>
        <w:t>group.</w:t>
      </w:r>
      <w:r w:rsidR="005C7DA8">
        <w:rPr>
          <w:rFonts w:ascii="Times New Roman" w:hAnsi="Times New Roman" w:cs="Times New Roman"/>
          <w:sz w:val="24"/>
          <w:szCs w:val="24"/>
          <w:lang w:val="en-US"/>
        </w:rPr>
        <w:t xml:space="preserve"> </w:t>
      </w:r>
      <w:r w:rsidR="00E7166B">
        <w:rPr>
          <w:rFonts w:ascii="Times New Roman" w:hAnsi="Times New Roman" w:cs="Times New Roman"/>
          <w:sz w:val="24"/>
          <w:szCs w:val="24"/>
          <w:lang w:val="en-US"/>
        </w:rPr>
        <w:t xml:space="preserve">The breakdown of the prevalence of </w:t>
      </w:r>
      <w:r w:rsidR="00E7166B">
        <w:rPr>
          <w:rFonts w:ascii="Times New Roman" w:hAnsi="Times New Roman" w:cs="Times New Roman"/>
          <w:sz w:val="24"/>
          <w:szCs w:val="24"/>
          <w:lang w:val="en-US"/>
        </w:rPr>
        <w:lastRenderedPageBreak/>
        <w:t xml:space="preserve">variables within the Hospital Frailty Risk score with &gt;1% prevalence was examined in a table. </w:t>
      </w:r>
      <w:r w:rsidR="005C7DA8">
        <w:rPr>
          <w:rFonts w:ascii="Times New Roman" w:hAnsi="Times New Roman" w:cs="Times New Roman"/>
          <w:sz w:val="24"/>
          <w:szCs w:val="24"/>
          <w:lang w:val="en-US"/>
        </w:rPr>
        <w:t>Multiple logistic regression with adjustments were used to identify factors associated with frailty. The independent odds of in-hospital mortality</w:t>
      </w:r>
      <w:r w:rsidR="00FF39B6">
        <w:rPr>
          <w:rFonts w:ascii="Times New Roman" w:hAnsi="Times New Roman" w:cs="Times New Roman"/>
          <w:sz w:val="24"/>
          <w:szCs w:val="24"/>
          <w:lang w:val="en-US"/>
        </w:rPr>
        <w:t xml:space="preserve"> were</w:t>
      </w:r>
      <w:r w:rsidR="005C7DA8">
        <w:rPr>
          <w:rFonts w:ascii="Times New Roman" w:hAnsi="Times New Roman" w:cs="Times New Roman"/>
          <w:sz w:val="24"/>
          <w:szCs w:val="24"/>
          <w:lang w:val="en-US"/>
        </w:rPr>
        <w:t xml:space="preserve"> explored with multiple logistic regression for the full cohort and the cohort excluding high risk patients with cardiogenic shock, cardiac arrest, ventilation, LV assist device or IABP or vasopressor use.</w:t>
      </w:r>
      <w:r w:rsidR="00A35079">
        <w:rPr>
          <w:rFonts w:ascii="Times New Roman" w:hAnsi="Times New Roman" w:cs="Times New Roman"/>
          <w:sz w:val="24"/>
          <w:szCs w:val="24"/>
          <w:lang w:val="en-US"/>
        </w:rPr>
        <w:t xml:space="preserve"> Additional multiple logistic regressions were used to determine the independent association between frailty and discharge to nursing facilities, use of ICD and CRT.</w:t>
      </w:r>
    </w:p>
    <w:p w14:paraId="52CBA524" w14:textId="03AAFFFA" w:rsidR="000B0A66" w:rsidRPr="00530AFA" w:rsidRDefault="000B0A66" w:rsidP="00F84C9C">
      <w:pPr>
        <w:spacing w:after="0" w:line="480" w:lineRule="auto"/>
        <w:jc w:val="both"/>
        <w:rPr>
          <w:rFonts w:ascii="Times New Roman" w:hAnsi="Times New Roman" w:cs="Times New Roman"/>
          <w:b/>
          <w:sz w:val="24"/>
          <w:szCs w:val="24"/>
          <w:lang w:val="en-US"/>
        </w:rPr>
      </w:pPr>
      <w:r w:rsidRPr="00530AFA">
        <w:rPr>
          <w:rFonts w:ascii="Times New Roman" w:hAnsi="Times New Roman" w:cs="Times New Roman"/>
          <w:b/>
          <w:sz w:val="24"/>
          <w:szCs w:val="24"/>
          <w:lang w:val="en-US"/>
        </w:rPr>
        <w:t>Results</w:t>
      </w:r>
    </w:p>
    <w:p w14:paraId="78DC3872" w14:textId="36E7BEF9" w:rsidR="00722EAD" w:rsidRDefault="000B0A66" w:rsidP="00F84C9C">
      <w:pPr>
        <w:spacing w:after="0" w:line="480" w:lineRule="auto"/>
        <w:ind w:firstLine="720"/>
        <w:jc w:val="both"/>
        <w:rPr>
          <w:rFonts w:ascii="Times New Roman" w:hAnsi="Times New Roman" w:cs="Times New Roman"/>
          <w:sz w:val="24"/>
          <w:szCs w:val="24"/>
          <w:lang w:val="en-US"/>
        </w:rPr>
      </w:pPr>
      <w:r w:rsidRPr="00153472">
        <w:rPr>
          <w:rFonts w:ascii="Times New Roman" w:hAnsi="Times New Roman" w:cs="Times New Roman"/>
          <w:sz w:val="24"/>
          <w:szCs w:val="24"/>
          <w:lang w:val="en-US"/>
        </w:rPr>
        <w:t>A total of 11,626,400 inpatient episodes for heart failure were included in the analysis (</w:t>
      </w:r>
      <w:r w:rsidR="005B4824">
        <w:rPr>
          <w:rFonts w:ascii="Times New Roman" w:hAnsi="Times New Roman" w:cs="Times New Roman"/>
          <w:sz w:val="24"/>
          <w:szCs w:val="24"/>
          <w:lang w:val="en-US"/>
        </w:rPr>
        <w:t xml:space="preserve">Supplementary </w:t>
      </w:r>
      <w:r w:rsidRPr="00153472">
        <w:rPr>
          <w:rFonts w:ascii="Times New Roman" w:hAnsi="Times New Roman" w:cs="Times New Roman"/>
          <w:sz w:val="24"/>
          <w:szCs w:val="24"/>
          <w:lang w:val="en-US"/>
        </w:rPr>
        <w:t xml:space="preserve">Figure 1). The proportion of patients that had low risk, intermediate and high risk of frailty </w:t>
      </w:r>
      <w:r w:rsidR="00EA6E53" w:rsidRPr="00153472">
        <w:rPr>
          <w:rFonts w:ascii="Times New Roman" w:hAnsi="Times New Roman" w:cs="Times New Roman"/>
          <w:sz w:val="24"/>
          <w:szCs w:val="24"/>
          <w:lang w:val="en-US"/>
        </w:rPr>
        <w:t>was</w:t>
      </w:r>
      <w:r w:rsidRPr="00153472">
        <w:rPr>
          <w:rFonts w:ascii="Times New Roman" w:hAnsi="Times New Roman" w:cs="Times New Roman"/>
          <w:sz w:val="24"/>
          <w:szCs w:val="24"/>
          <w:lang w:val="en-US"/>
        </w:rPr>
        <w:t xml:space="preserve"> 80.0% (n=9,300,873), 19.9% (n=2,314,001) and 0.1% (n=11,526). </w:t>
      </w:r>
      <w:r w:rsidR="00722EAD">
        <w:rPr>
          <w:rFonts w:ascii="Times New Roman" w:hAnsi="Times New Roman" w:cs="Times New Roman"/>
          <w:sz w:val="24"/>
          <w:szCs w:val="24"/>
          <w:lang w:val="en-US"/>
        </w:rPr>
        <w:t>The proportion of patients with intermediate risk of frailty increased from 9.9% in 2004 to 31.7% in 2014</w:t>
      </w:r>
      <w:r w:rsidR="005B4824">
        <w:rPr>
          <w:rFonts w:ascii="Times New Roman" w:hAnsi="Times New Roman" w:cs="Times New Roman"/>
          <w:sz w:val="24"/>
          <w:szCs w:val="24"/>
          <w:lang w:val="en-US"/>
        </w:rPr>
        <w:t xml:space="preserve"> (Figure 1</w:t>
      </w:r>
      <w:r w:rsidR="00624C20">
        <w:rPr>
          <w:rFonts w:ascii="Times New Roman" w:hAnsi="Times New Roman" w:cs="Times New Roman"/>
          <w:sz w:val="24"/>
          <w:szCs w:val="24"/>
          <w:lang w:val="en-US"/>
        </w:rPr>
        <w:t>)</w:t>
      </w:r>
      <w:r w:rsidR="00722EAD">
        <w:rPr>
          <w:rFonts w:ascii="Times New Roman" w:hAnsi="Times New Roman" w:cs="Times New Roman"/>
          <w:sz w:val="24"/>
          <w:szCs w:val="24"/>
          <w:lang w:val="en-US"/>
        </w:rPr>
        <w:t>. Over the same period patients at high risk of frailty increased from 0.03% to 0.21%.</w:t>
      </w:r>
      <w:r w:rsidR="00C84E67">
        <w:rPr>
          <w:rFonts w:ascii="Times New Roman" w:hAnsi="Times New Roman" w:cs="Times New Roman"/>
          <w:sz w:val="24"/>
          <w:szCs w:val="24"/>
          <w:lang w:val="en-US"/>
        </w:rPr>
        <w:t xml:space="preserve"> </w:t>
      </w:r>
      <w:r w:rsidR="005B4824">
        <w:rPr>
          <w:rFonts w:ascii="Times New Roman" w:hAnsi="Times New Roman" w:cs="Times New Roman"/>
          <w:sz w:val="24"/>
          <w:szCs w:val="24"/>
          <w:lang w:val="en-US"/>
        </w:rPr>
        <w:t>Supplementary Figure 2</w:t>
      </w:r>
      <w:r w:rsidR="00624C20">
        <w:rPr>
          <w:rFonts w:ascii="Times New Roman" w:hAnsi="Times New Roman" w:cs="Times New Roman"/>
          <w:sz w:val="24"/>
          <w:szCs w:val="24"/>
          <w:lang w:val="en-US"/>
        </w:rPr>
        <w:t xml:space="preserve"> shows the trends in any frailty according to age, sex and race. At all </w:t>
      </w:r>
      <w:r w:rsidR="00987B2F">
        <w:rPr>
          <w:rFonts w:ascii="Times New Roman" w:hAnsi="Times New Roman" w:cs="Times New Roman"/>
          <w:sz w:val="24"/>
          <w:szCs w:val="24"/>
          <w:lang w:val="en-US"/>
        </w:rPr>
        <w:t>time-</w:t>
      </w:r>
      <w:r w:rsidR="00624C20">
        <w:rPr>
          <w:rFonts w:ascii="Times New Roman" w:hAnsi="Times New Roman" w:cs="Times New Roman"/>
          <w:sz w:val="24"/>
          <w:szCs w:val="24"/>
          <w:lang w:val="en-US"/>
        </w:rPr>
        <w:t xml:space="preserve">points, there was </w:t>
      </w:r>
      <w:r w:rsidR="007B614C">
        <w:rPr>
          <w:rFonts w:ascii="Times New Roman" w:hAnsi="Times New Roman" w:cs="Times New Roman"/>
          <w:sz w:val="24"/>
          <w:szCs w:val="24"/>
          <w:lang w:val="en-US"/>
        </w:rPr>
        <w:t xml:space="preserve">a significantly </w:t>
      </w:r>
      <w:r w:rsidR="00624C20">
        <w:rPr>
          <w:rFonts w:ascii="Times New Roman" w:hAnsi="Times New Roman" w:cs="Times New Roman"/>
          <w:sz w:val="24"/>
          <w:szCs w:val="24"/>
          <w:lang w:val="en-US"/>
        </w:rPr>
        <w:t xml:space="preserve">greater </w:t>
      </w:r>
      <w:r w:rsidR="001B41A9">
        <w:rPr>
          <w:rFonts w:ascii="Times New Roman" w:hAnsi="Times New Roman" w:cs="Times New Roman"/>
          <w:sz w:val="24"/>
          <w:szCs w:val="24"/>
          <w:lang w:val="en-US"/>
        </w:rPr>
        <w:t>prevalence</w:t>
      </w:r>
      <w:r w:rsidR="00624C20">
        <w:rPr>
          <w:rFonts w:ascii="Times New Roman" w:hAnsi="Times New Roman" w:cs="Times New Roman"/>
          <w:sz w:val="24"/>
          <w:szCs w:val="24"/>
          <w:lang w:val="en-US"/>
        </w:rPr>
        <w:t xml:space="preserve"> of patients with </w:t>
      </w:r>
      <w:r w:rsidR="00377FA0">
        <w:rPr>
          <w:rFonts w:ascii="Times New Roman" w:hAnsi="Times New Roman" w:cs="Times New Roman"/>
          <w:sz w:val="24"/>
          <w:szCs w:val="24"/>
          <w:lang w:val="en-US"/>
        </w:rPr>
        <w:t xml:space="preserve">intermediate or high </w:t>
      </w:r>
      <w:r w:rsidR="00624C20">
        <w:rPr>
          <w:rFonts w:ascii="Times New Roman" w:hAnsi="Times New Roman" w:cs="Times New Roman"/>
          <w:sz w:val="24"/>
          <w:szCs w:val="24"/>
          <w:lang w:val="en-US"/>
        </w:rPr>
        <w:t xml:space="preserve">frailty </w:t>
      </w:r>
      <w:r w:rsidR="007B614C">
        <w:rPr>
          <w:rFonts w:ascii="Times New Roman" w:hAnsi="Times New Roman" w:cs="Times New Roman"/>
          <w:sz w:val="24"/>
          <w:szCs w:val="24"/>
          <w:lang w:val="en-US"/>
        </w:rPr>
        <w:t xml:space="preserve">in </w:t>
      </w:r>
      <w:r w:rsidR="001B41A9">
        <w:rPr>
          <w:rFonts w:ascii="Times New Roman" w:hAnsi="Times New Roman" w:cs="Times New Roman"/>
          <w:sz w:val="24"/>
          <w:szCs w:val="24"/>
          <w:lang w:val="en-US"/>
        </w:rPr>
        <w:t>those</w:t>
      </w:r>
      <w:r w:rsidR="007B614C">
        <w:rPr>
          <w:rFonts w:ascii="Times New Roman" w:hAnsi="Times New Roman" w:cs="Times New Roman"/>
          <w:sz w:val="24"/>
          <w:szCs w:val="24"/>
          <w:lang w:val="en-US"/>
        </w:rPr>
        <w:t xml:space="preserve"> &gt;75 years old (</w:t>
      </w:r>
      <w:r w:rsidR="00624C20">
        <w:rPr>
          <w:rFonts w:ascii="Times New Roman" w:hAnsi="Times New Roman" w:cs="Times New Roman"/>
          <w:sz w:val="24"/>
          <w:szCs w:val="24"/>
          <w:lang w:val="en-US"/>
        </w:rPr>
        <w:t>compar</w:t>
      </w:r>
      <w:r w:rsidR="007B614C">
        <w:rPr>
          <w:rFonts w:ascii="Times New Roman" w:hAnsi="Times New Roman" w:cs="Times New Roman"/>
          <w:sz w:val="24"/>
          <w:szCs w:val="24"/>
          <w:lang w:val="en-US"/>
        </w:rPr>
        <w:t>ed to</w:t>
      </w:r>
      <w:r w:rsidR="00624C20">
        <w:rPr>
          <w:rFonts w:ascii="Times New Roman" w:hAnsi="Times New Roman" w:cs="Times New Roman"/>
          <w:sz w:val="24"/>
          <w:szCs w:val="24"/>
          <w:lang w:val="en-US"/>
        </w:rPr>
        <w:t xml:space="preserve"> patients age ≤75 years</w:t>
      </w:r>
      <w:r w:rsidR="007B614C">
        <w:rPr>
          <w:rFonts w:ascii="Times New Roman" w:hAnsi="Times New Roman" w:cs="Times New Roman"/>
          <w:sz w:val="24"/>
          <w:szCs w:val="24"/>
          <w:lang w:val="en-US"/>
        </w:rPr>
        <w:t>)</w:t>
      </w:r>
      <w:r w:rsidR="00624C20">
        <w:rPr>
          <w:rFonts w:ascii="Times New Roman" w:hAnsi="Times New Roman" w:cs="Times New Roman"/>
          <w:sz w:val="24"/>
          <w:szCs w:val="24"/>
          <w:lang w:val="en-US"/>
        </w:rPr>
        <w:t xml:space="preserve"> and </w:t>
      </w:r>
      <w:r w:rsidR="001B41A9">
        <w:rPr>
          <w:rFonts w:ascii="Times New Roman" w:hAnsi="Times New Roman" w:cs="Times New Roman"/>
          <w:sz w:val="24"/>
          <w:szCs w:val="24"/>
          <w:lang w:val="en-US"/>
        </w:rPr>
        <w:t>a</w:t>
      </w:r>
      <w:r w:rsidR="00624C20">
        <w:rPr>
          <w:rFonts w:ascii="Times New Roman" w:hAnsi="Times New Roman" w:cs="Times New Roman"/>
          <w:sz w:val="24"/>
          <w:szCs w:val="24"/>
          <w:lang w:val="en-US"/>
        </w:rPr>
        <w:t xml:space="preserve"> </w:t>
      </w:r>
      <w:r w:rsidR="001B41A9">
        <w:rPr>
          <w:rFonts w:ascii="Times New Roman" w:hAnsi="Times New Roman" w:cs="Times New Roman"/>
          <w:sz w:val="24"/>
          <w:szCs w:val="24"/>
          <w:lang w:val="en-US"/>
        </w:rPr>
        <w:t xml:space="preserve">higher </w:t>
      </w:r>
      <w:r w:rsidR="007B614C">
        <w:rPr>
          <w:rFonts w:ascii="Times New Roman" w:hAnsi="Times New Roman" w:cs="Times New Roman"/>
          <w:sz w:val="24"/>
          <w:szCs w:val="24"/>
          <w:lang w:val="en-US"/>
        </w:rPr>
        <w:t>pr</w:t>
      </w:r>
      <w:r w:rsidR="001B41A9">
        <w:rPr>
          <w:rFonts w:ascii="Times New Roman" w:hAnsi="Times New Roman" w:cs="Times New Roman"/>
          <w:sz w:val="24"/>
          <w:szCs w:val="24"/>
          <w:lang w:val="en-US"/>
        </w:rPr>
        <w:t>evalence</w:t>
      </w:r>
      <w:r w:rsidR="007B614C">
        <w:rPr>
          <w:rFonts w:ascii="Times New Roman" w:hAnsi="Times New Roman" w:cs="Times New Roman"/>
          <w:sz w:val="24"/>
          <w:szCs w:val="24"/>
          <w:lang w:val="en-US"/>
        </w:rPr>
        <w:t xml:space="preserve"> of</w:t>
      </w:r>
      <w:r w:rsidR="00624C20">
        <w:rPr>
          <w:rFonts w:ascii="Times New Roman" w:hAnsi="Times New Roman" w:cs="Times New Roman"/>
          <w:sz w:val="24"/>
          <w:szCs w:val="24"/>
          <w:lang w:val="en-US"/>
        </w:rPr>
        <w:t xml:space="preserve"> frailty among females compared to males.</w:t>
      </w:r>
      <w:r w:rsidR="00FD1A0B">
        <w:rPr>
          <w:rFonts w:ascii="Times New Roman" w:hAnsi="Times New Roman" w:cs="Times New Roman"/>
          <w:sz w:val="24"/>
          <w:szCs w:val="24"/>
          <w:lang w:val="en-US"/>
        </w:rPr>
        <w:t xml:space="preserve"> </w:t>
      </w:r>
      <w:r w:rsidR="00987B2F">
        <w:rPr>
          <w:rFonts w:ascii="Times New Roman" w:hAnsi="Times New Roman" w:cs="Times New Roman"/>
          <w:sz w:val="24"/>
          <w:szCs w:val="24"/>
          <w:lang w:val="en-US"/>
        </w:rPr>
        <w:t>P</w:t>
      </w:r>
      <w:r w:rsidR="00FD1A0B">
        <w:rPr>
          <w:rFonts w:ascii="Times New Roman" w:hAnsi="Times New Roman" w:cs="Times New Roman"/>
          <w:sz w:val="24"/>
          <w:szCs w:val="24"/>
          <w:lang w:val="en-US"/>
        </w:rPr>
        <w:t xml:space="preserve">atients who were </w:t>
      </w:r>
      <w:r w:rsidR="00116765">
        <w:rPr>
          <w:rFonts w:ascii="Times New Roman" w:hAnsi="Times New Roman" w:cs="Times New Roman"/>
          <w:sz w:val="24"/>
          <w:szCs w:val="24"/>
          <w:lang w:val="en-US"/>
        </w:rPr>
        <w:t>Caucasian</w:t>
      </w:r>
      <w:r w:rsidR="00987B2F">
        <w:rPr>
          <w:rFonts w:ascii="Times New Roman" w:hAnsi="Times New Roman" w:cs="Times New Roman"/>
          <w:sz w:val="24"/>
          <w:szCs w:val="24"/>
          <w:lang w:val="en-US"/>
        </w:rPr>
        <w:t xml:space="preserve"> </w:t>
      </w:r>
      <w:r w:rsidR="00FD1A0B">
        <w:rPr>
          <w:rFonts w:ascii="Times New Roman" w:hAnsi="Times New Roman" w:cs="Times New Roman"/>
          <w:sz w:val="24"/>
          <w:szCs w:val="24"/>
          <w:lang w:val="en-US"/>
        </w:rPr>
        <w:t xml:space="preserve">had a greater </w:t>
      </w:r>
      <w:r w:rsidR="00116765">
        <w:rPr>
          <w:rFonts w:ascii="Times New Roman" w:hAnsi="Times New Roman" w:cs="Times New Roman"/>
          <w:sz w:val="24"/>
          <w:szCs w:val="24"/>
          <w:lang w:val="en-US"/>
        </w:rPr>
        <w:t>prevalence</w:t>
      </w:r>
      <w:r w:rsidR="00987B2F">
        <w:rPr>
          <w:rFonts w:ascii="Times New Roman" w:hAnsi="Times New Roman" w:cs="Times New Roman"/>
          <w:sz w:val="24"/>
          <w:szCs w:val="24"/>
          <w:lang w:val="en-US"/>
        </w:rPr>
        <w:t xml:space="preserve"> </w:t>
      </w:r>
      <w:r w:rsidR="00FD1A0B">
        <w:rPr>
          <w:rFonts w:ascii="Times New Roman" w:hAnsi="Times New Roman" w:cs="Times New Roman"/>
          <w:sz w:val="24"/>
          <w:szCs w:val="24"/>
          <w:lang w:val="en-US"/>
        </w:rPr>
        <w:t xml:space="preserve">of frailty compared to black patients </w:t>
      </w:r>
      <w:r w:rsidR="00987B2F">
        <w:rPr>
          <w:rFonts w:ascii="Times New Roman" w:hAnsi="Times New Roman" w:cs="Times New Roman"/>
          <w:sz w:val="24"/>
          <w:szCs w:val="24"/>
          <w:lang w:val="en-US"/>
        </w:rPr>
        <w:t xml:space="preserve">or those </w:t>
      </w:r>
      <w:r w:rsidR="00FD1A0B">
        <w:rPr>
          <w:rFonts w:ascii="Times New Roman" w:hAnsi="Times New Roman" w:cs="Times New Roman"/>
          <w:sz w:val="24"/>
          <w:szCs w:val="24"/>
          <w:lang w:val="en-US"/>
        </w:rPr>
        <w:t>of other ethnicities.</w:t>
      </w:r>
      <w:r w:rsidR="00624C20">
        <w:rPr>
          <w:rFonts w:ascii="Times New Roman" w:hAnsi="Times New Roman" w:cs="Times New Roman"/>
          <w:sz w:val="24"/>
          <w:szCs w:val="24"/>
          <w:lang w:val="en-US"/>
        </w:rPr>
        <w:t xml:space="preserve"> </w:t>
      </w:r>
      <w:r w:rsidR="00C84E67">
        <w:rPr>
          <w:rFonts w:ascii="Times New Roman" w:hAnsi="Times New Roman" w:cs="Times New Roman"/>
          <w:sz w:val="24"/>
          <w:szCs w:val="24"/>
          <w:lang w:val="en-US"/>
        </w:rPr>
        <w:t xml:space="preserve">The variables in the hospital frailty score with greater than 1% prevalence </w:t>
      </w:r>
      <w:r w:rsidR="00F00968">
        <w:rPr>
          <w:rFonts w:ascii="Times New Roman" w:hAnsi="Times New Roman" w:cs="Times New Roman"/>
          <w:sz w:val="24"/>
          <w:szCs w:val="24"/>
          <w:lang w:val="en-US"/>
        </w:rPr>
        <w:t>are</w:t>
      </w:r>
      <w:r w:rsidR="00C84E67">
        <w:rPr>
          <w:rFonts w:ascii="Times New Roman" w:hAnsi="Times New Roman" w:cs="Times New Roman"/>
          <w:sz w:val="24"/>
          <w:szCs w:val="24"/>
          <w:lang w:val="en-US"/>
        </w:rPr>
        <w:t xml:space="preserve"> shown in Supplementary Table 2.</w:t>
      </w:r>
      <w:r w:rsidR="00CE4F10" w:rsidRPr="00CE4F10">
        <w:rPr>
          <w:rFonts w:ascii="Times New Roman" w:hAnsi="Times New Roman" w:cs="Times New Roman"/>
          <w:sz w:val="24"/>
          <w:szCs w:val="24"/>
          <w:highlight w:val="yellow"/>
        </w:rPr>
        <w:t xml:space="preserve"> </w:t>
      </w:r>
      <w:r w:rsidR="00CE4F10" w:rsidRPr="00EE17B5">
        <w:rPr>
          <w:rFonts w:ascii="Times New Roman" w:hAnsi="Times New Roman" w:cs="Times New Roman"/>
          <w:sz w:val="24"/>
          <w:szCs w:val="24"/>
          <w:highlight w:val="yellow"/>
        </w:rPr>
        <w:t>We examined the changes in age, highly weighted variables (weight &gt;3) in the Hospital Frailty Risk score and highly prevalent variables (&gt;10%) in Supplementary Table 3. In general, the highly prevalent variables in general increased in prevalence over time.</w:t>
      </w:r>
    </w:p>
    <w:p w14:paraId="757D0D4A" w14:textId="54FDDEE8" w:rsidR="000A6E37" w:rsidRDefault="000B0A66" w:rsidP="000A6E37">
      <w:pPr>
        <w:spacing w:after="0" w:line="480" w:lineRule="auto"/>
        <w:ind w:firstLine="720"/>
        <w:jc w:val="both"/>
        <w:rPr>
          <w:rFonts w:ascii="Times New Roman" w:hAnsi="Times New Roman" w:cs="Times New Roman"/>
          <w:sz w:val="24"/>
          <w:szCs w:val="24"/>
          <w:lang w:val="en-US"/>
        </w:rPr>
      </w:pPr>
      <w:r w:rsidRPr="00153472">
        <w:rPr>
          <w:rFonts w:ascii="Times New Roman" w:hAnsi="Times New Roman" w:cs="Times New Roman"/>
          <w:sz w:val="24"/>
          <w:szCs w:val="24"/>
          <w:lang w:val="en-US"/>
        </w:rPr>
        <w:t xml:space="preserve">The characteristics, comorbidities, management and outcomes of heart failure patients according to frailty status </w:t>
      </w:r>
      <w:r w:rsidR="009526F7">
        <w:rPr>
          <w:rFonts w:ascii="Times New Roman" w:hAnsi="Times New Roman" w:cs="Times New Roman"/>
          <w:sz w:val="24"/>
          <w:szCs w:val="24"/>
          <w:lang w:val="en-US"/>
        </w:rPr>
        <w:t>are</w:t>
      </w:r>
      <w:r w:rsidR="00613D2B">
        <w:rPr>
          <w:rFonts w:ascii="Times New Roman" w:hAnsi="Times New Roman" w:cs="Times New Roman"/>
          <w:sz w:val="24"/>
          <w:szCs w:val="24"/>
          <w:lang w:val="en-US"/>
        </w:rPr>
        <w:t xml:space="preserve"> shown in Table 1</w:t>
      </w:r>
      <w:r w:rsidRPr="00153472">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1074DC">
        <w:rPr>
          <w:rFonts w:ascii="Times New Roman" w:hAnsi="Times New Roman" w:cs="Times New Roman"/>
          <w:sz w:val="24"/>
          <w:szCs w:val="24"/>
          <w:lang w:val="en-US"/>
        </w:rPr>
        <w:t xml:space="preserve">Increasing frailty status </w:t>
      </w:r>
      <w:r>
        <w:rPr>
          <w:rFonts w:ascii="Times New Roman" w:hAnsi="Times New Roman" w:cs="Times New Roman"/>
          <w:sz w:val="24"/>
          <w:szCs w:val="24"/>
          <w:lang w:val="en-US"/>
        </w:rPr>
        <w:t>was associated with a</w:t>
      </w:r>
      <w:r w:rsidR="001074DC">
        <w:rPr>
          <w:rFonts w:ascii="Times New Roman" w:hAnsi="Times New Roman" w:cs="Times New Roman"/>
          <w:sz w:val="24"/>
          <w:szCs w:val="24"/>
          <w:lang w:val="en-US"/>
        </w:rPr>
        <w:t xml:space="preserve">n increasing </w:t>
      </w:r>
      <w:r>
        <w:rPr>
          <w:rFonts w:ascii="Times New Roman" w:hAnsi="Times New Roman" w:cs="Times New Roman"/>
          <w:sz w:val="24"/>
          <w:szCs w:val="24"/>
          <w:lang w:val="en-US"/>
        </w:rPr>
        <w:t>mean age of patien</w:t>
      </w:r>
      <w:r w:rsidR="00380B37">
        <w:rPr>
          <w:rFonts w:ascii="Times New Roman" w:hAnsi="Times New Roman" w:cs="Times New Roman"/>
          <w:sz w:val="24"/>
          <w:szCs w:val="24"/>
          <w:lang w:val="en-US"/>
        </w:rPr>
        <w:t>ts</w:t>
      </w:r>
      <w:r w:rsidR="001074DC">
        <w:rPr>
          <w:rFonts w:ascii="Times New Roman" w:hAnsi="Times New Roman" w:cs="Times New Roman"/>
          <w:sz w:val="24"/>
          <w:szCs w:val="24"/>
          <w:lang w:val="en-US"/>
        </w:rPr>
        <w:t>,</w:t>
      </w:r>
      <w:r w:rsidR="00380B37">
        <w:rPr>
          <w:rFonts w:ascii="Times New Roman" w:hAnsi="Times New Roman" w:cs="Times New Roman"/>
          <w:sz w:val="24"/>
          <w:szCs w:val="24"/>
          <w:lang w:val="en-US"/>
        </w:rPr>
        <w:t xml:space="preserve"> that increased from</w:t>
      </w:r>
      <w:r w:rsidR="00613D2B">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72 years, 76 years and 81 years for the </w:t>
      </w:r>
      <w:r>
        <w:rPr>
          <w:rFonts w:ascii="Times New Roman" w:hAnsi="Times New Roman" w:cs="Times New Roman"/>
          <w:sz w:val="24"/>
          <w:szCs w:val="24"/>
          <w:lang w:val="en-US"/>
        </w:rPr>
        <w:lastRenderedPageBreak/>
        <w:t>low risk, intermediate risk and high risk of frailty</w:t>
      </w:r>
      <w:r w:rsidR="004E3291">
        <w:rPr>
          <w:rFonts w:ascii="Times New Roman" w:hAnsi="Times New Roman" w:cs="Times New Roman"/>
          <w:sz w:val="24"/>
          <w:szCs w:val="24"/>
          <w:lang w:val="en-US"/>
        </w:rPr>
        <w:t xml:space="preserve"> respectively</w:t>
      </w:r>
      <w:r>
        <w:rPr>
          <w:rFonts w:ascii="Times New Roman" w:hAnsi="Times New Roman" w:cs="Times New Roman"/>
          <w:sz w:val="24"/>
          <w:szCs w:val="24"/>
          <w:lang w:val="en-US"/>
        </w:rPr>
        <w:t xml:space="preserve">. The proportion of female patients </w:t>
      </w:r>
      <w:r w:rsidR="001074DC">
        <w:rPr>
          <w:rFonts w:ascii="Times New Roman" w:hAnsi="Times New Roman" w:cs="Times New Roman"/>
          <w:sz w:val="24"/>
          <w:szCs w:val="24"/>
          <w:lang w:val="en-US"/>
        </w:rPr>
        <w:t>increased</w:t>
      </w:r>
      <w:r>
        <w:rPr>
          <w:rFonts w:ascii="Times New Roman" w:hAnsi="Times New Roman" w:cs="Times New Roman"/>
          <w:sz w:val="24"/>
          <w:szCs w:val="24"/>
          <w:lang w:val="en-US"/>
        </w:rPr>
        <w:t xml:space="preserve"> with </w:t>
      </w:r>
      <w:r w:rsidR="001074DC">
        <w:rPr>
          <w:rFonts w:ascii="Times New Roman" w:hAnsi="Times New Roman" w:cs="Times New Roman"/>
          <w:sz w:val="24"/>
          <w:szCs w:val="24"/>
          <w:lang w:val="en-US"/>
        </w:rPr>
        <w:t xml:space="preserve">increasing </w:t>
      </w:r>
      <w:r>
        <w:rPr>
          <w:rFonts w:ascii="Times New Roman" w:hAnsi="Times New Roman" w:cs="Times New Roman"/>
          <w:sz w:val="24"/>
          <w:szCs w:val="24"/>
          <w:lang w:val="en-US"/>
        </w:rPr>
        <w:t xml:space="preserve">frailty risk (49.9%, 53.4% and 55.9% for low, intermediate and high risk). </w:t>
      </w:r>
      <w:r w:rsidR="007E38EC">
        <w:rPr>
          <w:rFonts w:ascii="Times New Roman" w:hAnsi="Times New Roman" w:cs="Times New Roman"/>
          <w:sz w:val="24"/>
          <w:szCs w:val="24"/>
          <w:lang w:val="en-US"/>
        </w:rPr>
        <w:t xml:space="preserve">Patients at high </w:t>
      </w:r>
      <w:r>
        <w:rPr>
          <w:rFonts w:ascii="Times New Roman" w:hAnsi="Times New Roman" w:cs="Times New Roman"/>
          <w:sz w:val="24"/>
          <w:szCs w:val="24"/>
          <w:lang w:val="en-US"/>
        </w:rPr>
        <w:t xml:space="preserve">risk of frailty had the greatest proportion of Medicare recipients (88.3%) and </w:t>
      </w:r>
      <w:r w:rsidR="00116765">
        <w:rPr>
          <w:rFonts w:ascii="Times New Roman" w:hAnsi="Times New Roman" w:cs="Times New Roman"/>
          <w:sz w:val="24"/>
          <w:szCs w:val="24"/>
          <w:lang w:val="en-US"/>
        </w:rPr>
        <w:t>lowest proportion of patients with private insurance (</w:t>
      </w:r>
      <w:r>
        <w:rPr>
          <w:rFonts w:ascii="Times New Roman" w:hAnsi="Times New Roman" w:cs="Times New Roman"/>
          <w:sz w:val="24"/>
          <w:szCs w:val="24"/>
          <w:lang w:val="en-US"/>
        </w:rPr>
        <w:t>6.4%</w:t>
      </w:r>
      <w:r w:rsidR="00116765">
        <w:rPr>
          <w:rFonts w:ascii="Times New Roman" w:hAnsi="Times New Roman" w:cs="Times New Roman"/>
          <w:sz w:val="24"/>
          <w:szCs w:val="24"/>
          <w:lang w:val="en-US"/>
        </w:rPr>
        <w:t>)</w:t>
      </w:r>
      <w:r>
        <w:rPr>
          <w:rFonts w:ascii="Times New Roman" w:hAnsi="Times New Roman" w:cs="Times New Roman"/>
          <w:sz w:val="24"/>
          <w:szCs w:val="24"/>
          <w:lang w:val="en-US"/>
        </w:rPr>
        <w:t>. There was a higher prevalence of previous stroke with increasing frailty which was 6.1%, 11.4% and 17.2% for low risk, intermediate risk and high risk of frailty. A similar increase was observed comparing low, intermediate and high risk of frailty groups for peripheral vascular disease (10.1%,</w:t>
      </w:r>
      <w:r w:rsidR="00A8646B">
        <w:rPr>
          <w:rFonts w:ascii="Times New Roman" w:hAnsi="Times New Roman" w:cs="Times New Roman"/>
          <w:sz w:val="24"/>
          <w:szCs w:val="24"/>
          <w:lang w:val="en-US"/>
        </w:rPr>
        <w:t xml:space="preserve"> 13.7% and 15.4%, respectively)</w:t>
      </w:r>
      <w:r>
        <w:rPr>
          <w:rFonts w:ascii="Times New Roman" w:hAnsi="Times New Roman" w:cs="Times New Roman"/>
          <w:sz w:val="24"/>
          <w:szCs w:val="24"/>
          <w:lang w:val="en-US"/>
        </w:rPr>
        <w:t>.</w:t>
      </w:r>
    </w:p>
    <w:p w14:paraId="76DCF7D1" w14:textId="60F06600" w:rsidR="000A6E37" w:rsidRPr="00153472" w:rsidRDefault="000A6E37" w:rsidP="000A6E37">
      <w:pPr>
        <w:spacing w:after="0" w:line="480" w:lineRule="auto"/>
        <w:ind w:firstLine="720"/>
        <w:jc w:val="both"/>
        <w:rPr>
          <w:rFonts w:ascii="Times New Roman" w:hAnsi="Times New Roman" w:cs="Times New Roman"/>
          <w:sz w:val="24"/>
          <w:szCs w:val="24"/>
          <w:lang w:val="en-US"/>
        </w:rPr>
      </w:pPr>
      <w:r w:rsidRPr="00C7320F">
        <w:rPr>
          <w:rFonts w:ascii="Times New Roman" w:hAnsi="Times New Roman" w:cs="Times New Roman"/>
          <w:sz w:val="24"/>
          <w:szCs w:val="24"/>
        </w:rPr>
        <w:t xml:space="preserve">The evaluation of factors associated with </w:t>
      </w:r>
      <w:r w:rsidR="00116765">
        <w:rPr>
          <w:rFonts w:ascii="Times New Roman" w:hAnsi="Times New Roman" w:cs="Times New Roman"/>
          <w:sz w:val="24"/>
          <w:szCs w:val="24"/>
        </w:rPr>
        <w:t>intermediate or high risk of</w:t>
      </w:r>
      <w:r w:rsidR="005B4824">
        <w:rPr>
          <w:rFonts w:ascii="Times New Roman" w:hAnsi="Times New Roman" w:cs="Times New Roman"/>
          <w:sz w:val="24"/>
          <w:szCs w:val="24"/>
        </w:rPr>
        <w:t xml:space="preserve"> frailty is shown in Supplementary Table </w:t>
      </w:r>
      <w:r w:rsidR="00CE4F10">
        <w:rPr>
          <w:rFonts w:ascii="Times New Roman" w:hAnsi="Times New Roman" w:cs="Times New Roman"/>
          <w:sz w:val="24"/>
          <w:szCs w:val="24"/>
        </w:rPr>
        <w:t>4</w:t>
      </w:r>
      <w:r w:rsidRPr="00C7320F">
        <w:rPr>
          <w:rFonts w:ascii="Times New Roman" w:hAnsi="Times New Roman" w:cs="Times New Roman"/>
          <w:sz w:val="24"/>
          <w:szCs w:val="24"/>
        </w:rPr>
        <w:t xml:space="preserve">. It appears that in more recent years there </w:t>
      </w:r>
      <w:r w:rsidR="00763732" w:rsidRPr="00C7320F">
        <w:rPr>
          <w:rFonts w:ascii="Times New Roman" w:hAnsi="Times New Roman" w:cs="Times New Roman"/>
          <w:sz w:val="24"/>
          <w:szCs w:val="24"/>
        </w:rPr>
        <w:t>w</w:t>
      </w:r>
      <w:r w:rsidR="00763732">
        <w:rPr>
          <w:rFonts w:ascii="Times New Roman" w:hAnsi="Times New Roman" w:cs="Times New Roman"/>
          <w:sz w:val="24"/>
          <w:szCs w:val="24"/>
        </w:rPr>
        <w:t>as</w:t>
      </w:r>
      <w:r w:rsidR="00763732" w:rsidRPr="00C7320F">
        <w:rPr>
          <w:rFonts w:ascii="Times New Roman" w:hAnsi="Times New Roman" w:cs="Times New Roman"/>
          <w:sz w:val="24"/>
          <w:szCs w:val="24"/>
        </w:rPr>
        <w:t xml:space="preserve"> </w:t>
      </w:r>
      <w:r w:rsidRPr="00C7320F">
        <w:rPr>
          <w:rFonts w:ascii="Times New Roman" w:hAnsi="Times New Roman" w:cs="Times New Roman"/>
          <w:sz w:val="24"/>
          <w:szCs w:val="24"/>
        </w:rPr>
        <w:t>a greater odds o</w:t>
      </w:r>
      <w:r w:rsidR="00A8646B">
        <w:rPr>
          <w:rFonts w:ascii="Times New Roman" w:hAnsi="Times New Roman" w:cs="Times New Roman"/>
          <w:sz w:val="24"/>
          <w:szCs w:val="24"/>
        </w:rPr>
        <w:t>f patients with frailty (OR 4.87 95%CI 4.73</w:t>
      </w:r>
      <w:r w:rsidRPr="00C7320F">
        <w:rPr>
          <w:rFonts w:ascii="Times New Roman" w:hAnsi="Times New Roman" w:cs="Times New Roman"/>
          <w:sz w:val="24"/>
          <w:szCs w:val="24"/>
        </w:rPr>
        <w:t>-</w:t>
      </w:r>
      <w:r w:rsidR="00A8646B">
        <w:rPr>
          <w:rFonts w:ascii="Times New Roman" w:hAnsi="Times New Roman" w:cs="Times New Roman"/>
          <w:sz w:val="24"/>
          <w:szCs w:val="24"/>
        </w:rPr>
        <w:t>5.01</w:t>
      </w:r>
      <w:r w:rsidRPr="00C7320F">
        <w:rPr>
          <w:rFonts w:ascii="Times New Roman" w:hAnsi="Times New Roman" w:cs="Times New Roman"/>
          <w:sz w:val="24"/>
          <w:szCs w:val="24"/>
        </w:rPr>
        <w:t>, p&lt;</w:t>
      </w:r>
      <w:r w:rsidR="00027794">
        <w:rPr>
          <w:rFonts w:ascii="Times New Roman" w:hAnsi="Times New Roman" w:cs="Times New Roman"/>
          <w:sz w:val="24"/>
          <w:szCs w:val="24"/>
        </w:rPr>
        <w:t xml:space="preserve">0.001 comparing 2014 to 2004). </w:t>
      </w:r>
      <w:r w:rsidR="00A8646B">
        <w:rPr>
          <w:rFonts w:ascii="Times New Roman" w:hAnsi="Times New Roman" w:cs="Times New Roman"/>
          <w:sz w:val="24"/>
          <w:szCs w:val="24"/>
        </w:rPr>
        <w:t>Previous heart failure (OR 2.00 95%CI 1.92-2.08, p&lt;0.001), liver disease (OR 1.76 95%CI 1.72-1.81, p&lt;0.001), cardiogenic shock (OR 2.58 95%CI 2.48-2.68, p&lt;0.001), receipt of ventilation (OR 3.91 95%CI 3.82-4.00, p&lt;0.001) and vasopressor use (OR 2.05 95%CI 1.94-2.16, p&lt;0.001)</w:t>
      </w:r>
      <w:r w:rsidRPr="00C7320F">
        <w:rPr>
          <w:rFonts w:ascii="Times New Roman" w:hAnsi="Times New Roman" w:cs="Times New Roman"/>
          <w:sz w:val="24"/>
          <w:szCs w:val="24"/>
        </w:rPr>
        <w:t xml:space="preserve"> were</w:t>
      </w:r>
      <w:r w:rsidR="002C2764">
        <w:rPr>
          <w:rFonts w:ascii="Times New Roman" w:hAnsi="Times New Roman" w:cs="Times New Roman"/>
          <w:sz w:val="24"/>
          <w:szCs w:val="24"/>
        </w:rPr>
        <w:t xml:space="preserve"> the factors most strongly</w:t>
      </w:r>
      <w:r w:rsidRPr="00C7320F">
        <w:rPr>
          <w:rFonts w:ascii="Times New Roman" w:hAnsi="Times New Roman" w:cs="Times New Roman"/>
          <w:sz w:val="24"/>
          <w:szCs w:val="24"/>
        </w:rPr>
        <w:t xml:space="preserve"> associated with frailty.</w:t>
      </w:r>
    </w:p>
    <w:p w14:paraId="4D5737D4" w14:textId="7E4A9F88" w:rsidR="00A322B9" w:rsidRDefault="00A322B9" w:rsidP="00F84C9C">
      <w:pPr>
        <w:spacing w:after="0" w:line="480" w:lineRule="auto"/>
        <w:ind w:firstLine="720"/>
        <w:jc w:val="both"/>
        <w:rPr>
          <w:rFonts w:ascii="Times New Roman" w:eastAsia="Malgun Gothic" w:hAnsi="Times New Roman" w:cs="Times New Roman"/>
          <w:sz w:val="24"/>
          <w:szCs w:val="24"/>
          <w:lang w:val="en-US"/>
        </w:rPr>
      </w:pPr>
      <w:r>
        <w:rPr>
          <w:rFonts w:ascii="Times New Roman" w:hAnsi="Times New Roman" w:cs="Times New Roman"/>
          <w:sz w:val="24"/>
          <w:szCs w:val="24"/>
          <w:lang w:val="en-US"/>
        </w:rPr>
        <w:t>I</w:t>
      </w:r>
      <w:r w:rsidR="000B0A66" w:rsidRPr="00153472">
        <w:rPr>
          <w:rFonts w:ascii="Times New Roman" w:hAnsi="Times New Roman" w:cs="Times New Roman"/>
          <w:sz w:val="24"/>
          <w:szCs w:val="24"/>
          <w:lang w:val="en-US"/>
        </w:rPr>
        <w:t xml:space="preserve">n-hospital </w:t>
      </w:r>
      <w:r w:rsidR="00DB394D">
        <w:rPr>
          <w:rFonts w:ascii="Times New Roman" w:hAnsi="Times New Roman" w:cs="Times New Roman"/>
          <w:sz w:val="24"/>
          <w:szCs w:val="24"/>
          <w:lang w:val="en-US"/>
        </w:rPr>
        <w:t>mortality</w:t>
      </w:r>
      <w:r w:rsidR="000B0A66" w:rsidRPr="00153472">
        <w:rPr>
          <w:rFonts w:ascii="Times New Roman" w:hAnsi="Times New Roman" w:cs="Times New Roman"/>
          <w:sz w:val="24"/>
          <w:szCs w:val="24"/>
          <w:lang w:val="en-US"/>
        </w:rPr>
        <w:t xml:space="preserve"> rate increased with greater frailty from 2.2% in the low risk group to 12.7% in the high risk group. Length of stay in hospital was more than double for the high risk compared to low risk group (11.3 days vs 4.6 days, respectively). The cost of admission was also more than double in the high risk gr</w:t>
      </w:r>
      <w:r w:rsidR="000B0A66">
        <w:rPr>
          <w:rFonts w:ascii="Times New Roman" w:hAnsi="Times New Roman" w:cs="Times New Roman"/>
          <w:sz w:val="24"/>
          <w:szCs w:val="24"/>
          <w:lang w:val="en-US"/>
        </w:rPr>
        <w:t xml:space="preserve">oup </w:t>
      </w:r>
      <w:r w:rsidR="000B0A66" w:rsidRPr="00153472">
        <w:rPr>
          <w:rFonts w:ascii="Times New Roman" w:hAnsi="Times New Roman" w:cs="Times New Roman"/>
          <w:sz w:val="24"/>
          <w:szCs w:val="24"/>
          <w:lang w:val="en-US"/>
        </w:rPr>
        <w:t>($23,084</w:t>
      </w:r>
      <w:r w:rsidR="000B0A66" w:rsidRPr="00153472">
        <w:rPr>
          <w:rFonts w:ascii="Times New Roman" w:eastAsia="Malgun Gothic" w:hAnsi="Times New Roman" w:cs="Times New Roman"/>
          <w:sz w:val="24"/>
          <w:szCs w:val="24"/>
          <w:lang w:val="en-US"/>
        </w:rPr>
        <w:t>±39,681) compared to the low risk group ($9,103±12,768).</w:t>
      </w:r>
    </w:p>
    <w:p w14:paraId="4FB06CB7" w14:textId="5D38D745" w:rsidR="000B0A66" w:rsidRDefault="000B0A66" w:rsidP="00F84C9C">
      <w:pPr>
        <w:spacing w:after="0" w:line="480" w:lineRule="auto"/>
        <w:ind w:firstLine="720"/>
        <w:jc w:val="both"/>
        <w:rPr>
          <w:rFonts w:ascii="Times New Roman" w:eastAsia="Malgun Gothic" w:hAnsi="Times New Roman" w:cs="Times New Roman"/>
          <w:sz w:val="24"/>
          <w:szCs w:val="24"/>
          <w:lang w:val="en-US"/>
        </w:rPr>
      </w:pPr>
      <w:r>
        <w:rPr>
          <w:rFonts w:ascii="Times New Roman" w:eastAsia="Malgun Gothic" w:hAnsi="Times New Roman" w:cs="Times New Roman"/>
          <w:sz w:val="24"/>
          <w:szCs w:val="24"/>
          <w:lang w:val="en-US"/>
        </w:rPr>
        <w:t>The trends in in-hospital mortality according</w:t>
      </w:r>
      <w:r w:rsidR="00827467">
        <w:rPr>
          <w:rFonts w:ascii="Times New Roman" w:eastAsia="Malgun Gothic" w:hAnsi="Times New Roman" w:cs="Times New Roman"/>
          <w:sz w:val="24"/>
          <w:szCs w:val="24"/>
          <w:lang w:val="en-US"/>
        </w:rPr>
        <w:t xml:space="preserve"> to</w:t>
      </w:r>
      <w:r>
        <w:rPr>
          <w:rFonts w:ascii="Times New Roman" w:eastAsia="Malgun Gothic" w:hAnsi="Times New Roman" w:cs="Times New Roman"/>
          <w:sz w:val="24"/>
          <w:szCs w:val="24"/>
          <w:lang w:val="en-US"/>
        </w:rPr>
        <w:t xml:space="preserve"> frailty </w:t>
      </w:r>
      <w:r w:rsidR="00DB394D">
        <w:rPr>
          <w:rFonts w:ascii="Times New Roman" w:eastAsia="Malgun Gothic" w:hAnsi="Times New Roman" w:cs="Times New Roman"/>
          <w:sz w:val="24"/>
          <w:szCs w:val="24"/>
          <w:lang w:val="en-US"/>
        </w:rPr>
        <w:t xml:space="preserve">are </w:t>
      </w:r>
      <w:r w:rsidR="005B4824">
        <w:rPr>
          <w:rFonts w:ascii="Times New Roman" w:eastAsia="Malgun Gothic" w:hAnsi="Times New Roman" w:cs="Times New Roman"/>
          <w:sz w:val="24"/>
          <w:szCs w:val="24"/>
          <w:lang w:val="en-US"/>
        </w:rPr>
        <w:t>shown in Figure 2</w:t>
      </w:r>
      <w:r>
        <w:rPr>
          <w:rFonts w:ascii="Times New Roman" w:eastAsia="Malgun Gothic" w:hAnsi="Times New Roman" w:cs="Times New Roman"/>
          <w:sz w:val="24"/>
          <w:szCs w:val="24"/>
          <w:lang w:val="en-US"/>
        </w:rPr>
        <w:t>. There was a clear decline in mortality between 2004 and 2014 in the low risk of frailty (3.05% to 1.51%) and intermediate risk of frailty groups (12.05% to 5.94%). While there was a decline in the high risk of frailty group from 2004 to 2014, the progressive decline was less apparent as the rate of mortality fluctuated across the years.</w:t>
      </w:r>
    </w:p>
    <w:p w14:paraId="3E478265" w14:textId="2490BF80" w:rsidR="000B0A66" w:rsidRDefault="000B0A66" w:rsidP="00F84C9C">
      <w:pPr>
        <w:spacing w:after="0" w:line="480" w:lineRule="auto"/>
        <w:ind w:firstLine="720"/>
        <w:jc w:val="both"/>
        <w:rPr>
          <w:rFonts w:ascii="Times New Roman" w:eastAsia="Malgun Gothic" w:hAnsi="Times New Roman" w:cs="Times New Roman"/>
          <w:sz w:val="24"/>
          <w:szCs w:val="24"/>
          <w:lang w:val="en-US"/>
        </w:rPr>
      </w:pPr>
      <w:r>
        <w:rPr>
          <w:rFonts w:ascii="Times New Roman" w:eastAsia="Malgun Gothic" w:hAnsi="Times New Roman" w:cs="Times New Roman"/>
          <w:sz w:val="24"/>
          <w:szCs w:val="24"/>
          <w:lang w:val="en-US"/>
        </w:rPr>
        <w:lastRenderedPageBreak/>
        <w:t>Overall increased frailty was associated with increased odds o</w:t>
      </w:r>
      <w:r w:rsidR="005B4824">
        <w:rPr>
          <w:rFonts w:ascii="Times New Roman" w:eastAsia="Malgun Gothic" w:hAnsi="Times New Roman" w:cs="Times New Roman"/>
          <w:sz w:val="24"/>
          <w:szCs w:val="24"/>
          <w:lang w:val="en-US"/>
        </w:rPr>
        <w:t>f in-hospital mortality (Table 2</w:t>
      </w:r>
      <w:r>
        <w:rPr>
          <w:rFonts w:ascii="Times New Roman" w:eastAsia="Malgun Gothic" w:hAnsi="Times New Roman" w:cs="Times New Roman"/>
          <w:sz w:val="24"/>
          <w:szCs w:val="24"/>
          <w:lang w:val="en-US"/>
        </w:rPr>
        <w:t>). Compared to low risk of frailty, intermediate and high risk of frailty were associated with</w:t>
      </w:r>
      <w:r w:rsidR="00827467">
        <w:rPr>
          <w:rFonts w:ascii="Times New Roman" w:eastAsia="Malgun Gothic" w:hAnsi="Times New Roman" w:cs="Times New Roman"/>
          <w:sz w:val="24"/>
          <w:szCs w:val="24"/>
          <w:lang w:val="en-US"/>
        </w:rPr>
        <w:t xml:space="preserve"> a</w:t>
      </w:r>
      <w:r>
        <w:rPr>
          <w:rFonts w:ascii="Times New Roman" w:eastAsia="Malgun Gothic" w:hAnsi="Times New Roman" w:cs="Times New Roman"/>
          <w:sz w:val="24"/>
          <w:szCs w:val="24"/>
          <w:lang w:val="en-US"/>
        </w:rPr>
        <w:t xml:space="preserve"> 2-fold increa</w:t>
      </w:r>
      <w:r w:rsidR="003B76CB">
        <w:rPr>
          <w:rFonts w:ascii="Times New Roman" w:eastAsia="Malgun Gothic" w:hAnsi="Times New Roman" w:cs="Times New Roman"/>
          <w:sz w:val="24"/>
          <w:szCs w:val="24"/>
          <w:lang w:val="en-US"/>
        </w:rPr>
        <w:t>se in odds of mortality (OR 2.38</w:t>
      </w:r>
      <w:r>
        <w:rPr>
          <w:rFonts w:ascii="Times New Roman" w:eastAsia="Malgun Gothic" w:hAnsi="Times New Roman" w:cs="Times New Roman"/>
          <w:sz w:val="24"/>
          <w:szCs w:val="24"/>
          <w:lang w:val="en-US"/>
        </w:rPr>
        <w:t xml:space="preserve"> 95% C</w:t>
      </w:r>
      <w:r w:rsidR="003B76CB">
        <w:rPr>
          <w:rFonts w:ascii="Times New Roman" w:eastAsia="Malgun Gothic" w:hAnsi="Times New Roman" w:cs="Times New Roman"/>
          <w:sz w:val="24"/>
          <w:szCs w:val="24"/>
          <w:lang w:val="en-US"/>
        </w:rPr>
        <w:t>I 2.22</w:t>
      </w:r>
      <w:r w:rsidR="00C17E61">
        <w:rPr>
          <w:rFonts w:ascii="Times New Roman" w:eastAsia="Malgun Gothic" w:hAnsi="Times New Roman" w:cs="Times New Roman"/>
          <w:sz w:val="24"/>
          <w:szCs w:val="24"/>
          <w:lang w:val="en-US"/>
        </w:rPr>
        <w:t>-2</w:t>
      </w:r>
      <w:r w:rsidR="003B76CB">
        <w:rPr>
          <w:rFonts w:ascii="Times New Roman" w:eastAsia="Malgun Gothic" w:hAnsi="Times New Roman" w:cs="Times New Roman"/>
          <w:sz w:val="24"/>
          <w:szCs w:val="24"/>
          <w:lang w:val="en-US"/>
        </w:rPr>
        <w:t>.34</w:t>
      </w:r>
      <w:r>
        <w:rPr>
          <w:rFonts w:ascii="Times New Roman" w:eastAsia="Malgun Gothic" w:hAnsi="Times New Roman" w:cs="Times New Roman"/>
          <w:sz w:val="24"/>
          <w:szCs w:val="24"/>
          <w:lang w:val="en-US"/>
        </w:rPr>
        <w:t xml:space="preserve">, p&lt;0.001 </w:t>
      </w:r>
      <w:r w:rsidR="00C17E61">
        <w:rPr>
          <w:rFonts w:ascii="Times New Roman" w:eastAsia="Malgun Gothic" w:hAnsi="Times New Roman" w:cs="Times New Roman"/>
          <w:sz w:val="24"/>
          <w:szCs w:val="24"/>
          <w:lang w:val="en-US"/>
        </w:rPr>
        <w:t xml:space="preserve">for intermediate risk and OR </w:t>
      </w:r>
      <w:r w:rsidR="003B76CB">
        <w:rPr>
          <w:rFonts w:ascii="Times New Roman" w:eastAsia="Malgun Gothic" w:hAnsi="Times New Roman" w:cs="Times New Roman"/>
          <w:sz w:val="24"/>
          <w:szCs w:val="24"/>
          <w:lang w:val="en-US"/>
        </w:rPr>
        <w:t>3.05 95%CI 2.57-3.62</w:t>
      </w:r>
      <w:r>
        <w:rPr>
          <w:rFonts w:ascii="Times New Roman" w:eastAsia="Malgun Gothic" w:hAnsi="Times New Roman" w:cs="Times New Roman"/>
          <w:sz w:val="24"/>
          <w:szCs w:val="24"/>
          <w:lang w:val="en-US"/>
        </w:rPr>
        <w:t xml:space="preserve">, p&lt;0.001 for high risk). Excluding high risk patients with shock, cardiac arrest, ventilation, LV assist device or IABP or vasopressor use the odds for high compared to low risk of frailty increased </w:t>
      </w:r>
      <w:r w:rsidR="003B76CB">
        <w:rPr>
          <w:rFonts w:ascii="Times New Roman" w:eastAsia="Malgun Gothic" w:hAnsi="Times New Roman" w:cs="Times New Roman"/>
          <w:sz w:val="24"/>
          <w:szCs w:val="24"/>
          <w:lang w:val="en-US"/>
        </w:rPr>
        <w:t>5-fold (OR 4.90 95%CI 3.96-6.08</w:t>
      </w:r>
      <w:r>
        <w:rPr>
          <w:rFonts w:ascii="Times New Roman" w:eastAsia="Malgun Gothic" w:hAnsi="Times New Roman" w:cs="Times New Roman"/>
          <w:sz w:val="24"/>
          <w:szCs w:val="24"/>
          <w:lang w:val="en-US"/>
        </w:rPr>
        <w:t xml:space="preserve">, p&lt;0.001). </w:t>
      </w:r>
    </w:p>
    <w:p w14:paraId="50FCE333" w14:textId="4357A30D" w:rsidR="00CD30B9" w:rsidRPr="00153472" w:rsidRDefault="00CD30B9" w:rsidP="00F84C9C">
      <w:pPr>
        <w:spacing w:after="0" w:line="480" w:lineRule="auto"/>
        <w:ind w:firstLine="720"/>
        <w:jc w:val="both"/>
        <w:rPr>
          <w:rFonts w:ascii="Times New Roman" w:hAnsi="Times New Roman" w:cs="Times New Roman"/>
          <w:sz w:val="24"/>
          <w:szCs w:val="24"/>
          <w:lang w:val="en-US"/>
        </w:rPr>
      </w:pPr>
      <w:r w:rsidRPr="004A0AF2">
        <w:rPr>
          <w:rFonts w:ascii="Times New Roman" w:eastAsia="Malgun Gothic" w:hAnsi="Times New Roman" w:cs="Times New Roman"/>
          <w:sz w:val="24"/>
          <w:szCs w:val="24"/>
          <w:lang w:val="en-US"/>
        </w:rPr>
        <w:t>After exclusion of patients that died in-hospital and patients that were transferred to another hospital</w:t>
      </w:r>
      <w:r w:rsidR="009F4CB0" w:rsidRPr="004A0AF2">
        <w:rPr>
          <w:rFonts w:ascii="Times New Roman" w:eastAsia="Malgun Gothic" w:hAnsi="Times New Roman" w:cs="Times New Roman"/>
          <w:sz w:val="24"/>
          <w:szCs w:val="24"/>
          <w:lang w:val="en-US"/>
        </w:rPr>
        <w:t>,</w:t>
      </w:r>
      <w:r w:rsidRPr="004A0AF2">
        <w:rPr>
          <w:rFonts w:ascii="Times New Roman" w:eastAsia="Malgun Gothic" w:hAnsi="Times New Roman" w:cs="Times New Roman"/>
          <w:sz w:val="24"/>
          <w:szCs w:val="24"/>
          <w:lang w:val="en-US"/>
        </w:rPr>
        <w:t xml:space="preserve"> the rate of patients admitted to nursing fac</w:t>
      </w:r>
      <w:r w:rsidR="0011067D" w:rsidRPr="004A0AF2">
        <w:rPr>
          <w:rFonts w:ascii="Times New Roman" w:eastAsia="Malgun Gothic" w:hAnsi="Times New Roman" w:cs="Times New Roman"/>
          <w:sz w:val="24"/>
          <w:szCs w:val="24"/>
          <w:lang w:val="en-US"/>
        </w:rPr>
        <w:t xml:space="preserve">ilities after discharge was </w:t>
      </w:r>
      <w:r w:rsidR="0091028C" w:rsidRPr="004A0AF2">
        <w:rPr>
          <w:rFonts w:ascii="Times New Roman" w:eastAsia="Malgun Gothic" w:hAnsi="Times New Roman" w:cs="Times New Roman"/>
          <w:sz w:val="24"/>
          <w:szCs w:val="24"/>
          <w:lang w:val="en-US"/>
        </w:rPr>
        <w:t>25.0% which was 22.9</w:t>
      </w:r>
      <w:r w:rsidRPr="004A0AF2">
        <w:rPr>
          <w:rFonts w:ascii="Times New Roman" w:eastAsia="Malgun Gothic" w:hAnsi="Times New Roman" w:cs="Times New Roman"/>
          <w:sz w:val="24"/>
          <w:szCs w:val="24"/>
          <w:lang w:val="en-US"/>
        </w:rPr>
        <w:t>% in the grou</w:t>
      </w:r>
      <w:r w:rsidR="0091028C" w:rsidRPr="004A0AF2">
        <w:rPr>
          <w:rFonts w:ascii="Times New Roman" w:eastAsia="Malgun Gothic" w:hAnsi="Times New Roman" w:cs="Times New Roman"/>
          <w:sz w:val="24"/>
          <w:szCs w:val="24"/>
          <w:lang w:val="en-US"/>
        </w:rPr>
        <w:t>p with low risk of frailty, 36.1</w:t>
      </w:r>
      <w:r w:rsidRPr="004A0AF2">
        <w:rPr>
          <w:rFonts w:ascii="Times New Roman" w:eastAsia="Malgun Gothic" w:hAnsi="Times New Roman" w:cs="Times New Roman"/>
          <w:sz w:val="24"/>
          <w:szCs w:val="24"/>
          <w:lang w:val="en-US"/>
        </w:rPr>
        <w:t>% in the group with inter</w:t>
      </w:r>
      <w:r w:rsidR="0091028C" w:rsidRPr="004A0AF2">
        <w:rPr>
          <w:rFonts w:ascii="Times New Roman" w:eastAsia="Malgun Gothic" w:hAnsi="Times New Roman" w:cs="Times New Roman"/>
          <w:sz w:val="24"/>
          <w:szCs w:val="24"/>
          <w:lang w:val="en-US"/>
        </w:rPr>
        <w:t>mediate risk of frailty and 44.1</w:t>
      </w:r>
      <w:r w:rsidRPr="004A0AF2">
        <w:rPr>
          <w:rFonts w:ascii="Times New Roman" w:eastAsia="Malgun Gothic" w:hAnsi="Times New Roman" w:cs="Times New Roman"/>
          <w:sz w:val="24"/>
          <w:szCs w:val="24"/>
          <w:lang w:val="en-US"/>
        </w:rPr>
        <w:t>% in the group with high risk of frailty.</w:t>
      </w:r>
      <w:r w:rsidR="004C2F45">
        <w:rPr>
          <w:rFonts w:ascii="Times New Roman" w:eastAsia="Malgun Gothic" w:hAnsi="Times New Roman" w:cs="Times New Roman"/>
          <w:sz w:val="24"/>
          <w:szCs w:val="24"/>
          <w:lang w:val="en-US"/>
        </w:rPr>
        <w:t xml:space="preserve"> After adjustments, compared to low risk of frailty, intermediate risk was as</w:t>
      </w:r>
      <w:r w:rsidR="003170E7">
        <w:rPr>
          <w:rFonts w:ascii="Times New Roman" w:eastAsia="Malgun Gothic" w:hAnsi="Times New Roman" w:cs="Times New Roman"/>
          <w:sz w:val="24"/>
          <w:szCs w:val="24"/>
          <w:lang w:val="en-US"/>
        </w:rPr>
        <w:t>sociated with 1.5</w:t>
      </w:r>
      <w:r w:rsidR="0072764F">
        <w:rPr>
          <w:rFonts w:ascii="Times New Roman" w:eastAsia="Malgun Gothic" w:hAnsi="Times New Roman" w:cs="Times New Roman"/>
          <w:sz w:val="24"/>
          <w:szCs w:val="24"/>
          <w:lang w:val="en-US"/>
        </w:rPr>
        <w:t>-fold increase</w:t>
      </w:r>
      <w:r w:rsidR="004C2F45">
        <w:rPr>
          <w:rFonts w:ascii="Times New Roman" w:eastAsia="Malgun Gothic" w:hAnsi="Times New Roman" w:cs="Times New Roman"/>
          <w:sz w:val="24"/>
          <w:szCs w:val="24"/>
          <w:lang w:val="en-US"/>
        </w:rPr>
        <w:t xml:space="preserve"> in odds of discharge to nursin</w:t>
      </w:r>
      <w:r w:rsidR="001E295D">
        <w:rPr>
          <w:rFonts w:ascii="Times New Roman" w:eastAsia="Malgun Gothic" w:hAnsi="Times New Roman" w:cs="Times New Roman"/>
          <w:sz w:val="24"/>
          <w:szCs w:val="24"/>
          <w:lang w:val="en-US"/>
        </w:rPr>
        <w:t>g fac</w:t>
      </w:r>
      <w:r w:rsidR="00C96400">
        <w:rPr>
          <w:rFonts w:ascii="Times New Roman" w:eastAsia="Malgun Gothic" w:hAnsi="Times New Roman" w:cs="Times New Roman"/>
          <w:sz w:val="24"/>
          <w:szCs w:val="24"/>
          <w:lang w:val="en-US"/>
        </w:rPr>
        <w:t xml:space="preserve">ilities (OR </w:t>
      </w:r>
      <w:r w:rsidR="003170E7">
        <w:rPr>
          <w:rFonts w:ascii="Times New Roman" w:eastAsia="Malgun Gothic" w:hAnsi="Times New Roman" w:cs="Times New Roman"/>
          <w:sz w:val="24"/>
          <w:szCs w:val="24"/>
          <w:lang w:val="en-US"/>
        </w:rPr>
        <w:t>1.52 95%CI 1.50-1.54</w:t>
      </w:r>
      <w:r w:rsidR="004C2F45">
        <w:rPr>
          <w:rFonts w:ascii="Times New Roman" w:eastAsia="Malgun Gothic" w:hAnsi="Times New Roman" w:cs="Times New Roman"/>
          <w:sz w:val="24"/>
          <w:szCs w:val="24"/>
          <w:lang w:val="en-US"/>
        </w:rPr>
        <w:t>, p&lt;0.001) and h</w:t>
      </w:r>
      <w:r w:rsidR="003170E7">
        <w:rPr>
          <w:rFonts w:ascii="Times New Roman" w:eastAsia="Malgun Gothic" w:hAnsi="Times New Roman" w:cs="Times New Roman"/>
          <w:sz w:val="24"/>
          <w:szCs w:val="24"/>
          <w:lang w:val="en-US"/>
        </w:rPr>
        <w:t>igh risk was associated with 1.6</w:t>
      </w:r>
      <w:r w:rsidR="004C2F45">
        <w:rPr>
          <w:rFonts w:ascii="Times New Roman" w:eastAsia="Malgun Gothic" w:hAnsi="Times New Roman" w:cs="Times New Roman"/>
          <w:sz w:val="24"/>
          <w:szCs w:val="24"/>
          <w:lang w:val="en-US"/>
        </w:rPr>
        <w:t>-</w:t>
      </w:r>
      <w:r w:rsidR="004C2F45" w:rsidRPr="00A25110">
        <w:rPr>
          <w:rFonts w:ascii="Times New Roman" w:eastAsia="Malgun Gothic" w:hAnsi="Times New Roman" w:cs="Times New Roman"/>
          <w:sz w:val="24"/>
          <w:szCs w:val="24"/>
          <w:lang w:val="en-US"/>
        </w:rPr>
        <w:t>fold increase in odds of discharg</w:t>
      </w:r>
      <w:r w:rsidR="00C96400">
        <w:rPr>
          <w:rFonts w:ascii="Times New Roman" w:eastAsia="Malgun Gothic" w:hAnsi="Times New Roman" w:cs="Times New Roman"/>
          <w:sz w:val="24"/>
          <w:szCs w:val="24"/>
          <w:lang w:val="en-US"/>
        </w:rPr>
        <w:t xml:space="preserve">e to nursing facilities (OR </w:t>
      </w:r>
      <w:r w:rsidR="003170E7">
        <w:rPr>
          <w:rFonts w:ascii="Times New Roman" w:eastAsia="Malgun Gothic" w:hAnsi="Times New Roman" w:cs="Times New Roman"/>
          <w:sz w:val="24"/>
          <w:szCs w:val="24"/>
          <w:lang w:val="en-US"/>
        </w:rPr>
        <w:t>1.60 95%CI 1.35-1.90</w:t>
      </w:r>
      <w:r w:rsidR="004C2F45" w:rsidRPr="00A25110">
        <w:rPr>
          <w:rFonts w:ascii="Times New Roman" w:eastAsia="Malgun Gothic" w:hAnsi="Times New Roman" w:cs="Times New Roman"/>
          <w:sz w:val="24"/>
          <w:szCs w:val="24"/>
          <w:lang w:val="en-US"/>
        </w:rPr>
        <w:t>, p&lt;0.001).</w:t>
      </w:r>
      <w:r w:rsidR="008206A7" w:rsidRPr="00A25110">
        <w:rPr>
          <w:rFonts w:ascii="Times New Roman" w:eastAsia="Malgun Gothic" w:hAnsi="Times New Roman" w:cs="Times New Roman"/>
          <w:sz w:val="24"/>
          <w:szCs w:val="24"/>
          <w:lang w:val="en-US"/>
        </w:rPr>
        <w:t xml:space="preserve"> Any frailty was associated with a </w:t>
      </w:r>
      <w:r w:rsidR="00C96400">
        <w:rPr>
          <w:rFonts w:ascii="Times New Roman" w:eastAsia="Malgun Gothic" w:hAnsi="Times New Roman" w:cs="Times New Roman"/>
          <w:sz w:val="24"/>
          <w:szCs w:val="24"/>
          <w:lang w:val="en-US"/>
        </w:rPr>
        <w:t xml:space="preserve">reduction in use of ICD (OR </w:t>
      </w:r>
      <w:r w:rsidR="0063776F">
        <w:rPr>
          <w:rFonts w:ascii="Times New Roman" w:eastAsia="Malgun Gothic" w:hAnsi="Times New Roman" w:cs="Times New Roman"/>
          <w:sz w:val="24"/>
          <w:szCs w:val="24"/>
          <w:lang w:val="en-US"/>
        </w:rPr>
        <w:t>0.52 95%CI 0.50-0.54,</w:t>
      </w:r>
      <w:r w:rsidR="00C96400">
        <w:rPr>
          <w:rFonts w:ascii="Times New Roman" w:eastAsia="Malgun Gothic" w:hAnsi="Times New Roman" w:cs="Times New Roman"/>
          <w:sz w:val="24"/>
          <w:szCs w:val="24"/>
          <w:lang w:val="en-US"/>
        </w:rPr>
        <w:t xml:space="preserve"> p&lt;0.</w:t>
      </w:r>
      <w:r w:rsidR="00DF7A9C">
        <w:rPr>
          <w:rFonts w:ascii="Times New Roman" w:eastAsia="Malgun Gothic" w:hAnsi="Times New Roman" w:cs="Times New Roman"/>
          <w:sz w:val="24"/>
          <w:szCs w:val="24"/>
          <w:lang w:val="en-US"/>
        </w:rPr>
        <w:t>001) and CRT (OR 0.39 95%CI 0.37-0.40</w:t>
      </w:r>
      <w:r w:rsidR="008206A7" w:rsidRPr="00A25110">
        <w:rPr>
          <w:rFonts w:ascii="Times New Roman" w:eastAsia="Malgun Gothic" w:hAnsi="Times New Roman" w:cs="Times New Roman"/>
          <w:sz w:val="24"/>
          <w:szCs w:val="24"/>
          <w:lang w:val="en-US"/>
        </w:rPr>
        <w:t>, p&lt;0.001).</w:t>
      </w:r>
    </w:p>
    <w:p w14:paraId="51EA91F7" w14:textId="7EB09891" w:rsidR="00F857F7" w:rsidRPr="003214C5" w:rsidRDefault="00F857F7" w:rsidP="00F84C9C">
      <w:pPr>
        <w:spacing w:after="0" w:line="480" w:lineRule="auto"/>
        <w:rPr>
          <w:rFonts w:ascii="Times New Roman" w:hAnsi="Times New Roman" w:cs="Times New Roman"/>
          <w:b/>
          <w:sz w:val="24"/>
          <w:szCs w:val="24"/>
          <w:lang w:val="en-US"/>
        </w:rPr>
      </w:pPr>
    </w:p>
    <w:p w14:paraId="57D9EFA8" w14:textId="722C24E9" w:rsidR="00F857F7" w:rsidRPr="003214C5" w:rsidRDefault="00F857F7" w:rsidP="00F84C9C">
      <w:pPr>
        <w:spacing w:after="0" w:line="480" w:lineRule="auto"/>
        <w:rPr>
          <w:rFonts w:ascii="Times New Roman" w:hAnsi="Times New Roman" w:cs="Times New Roman"/>
          <w:b/>
          <w:sz w:val="24"/>
          <w:szCs w:val="24"/>
          <w:lang w:val="en-US"/>
        </w:rPr>
      </w:pPr>
      <w:r w:rsidRPr="003214C5">
        <w:rPr>
          <w:rFonts w:ascii="Times New Roman" w:hAnsi="Times New Roman" w:cs="Times New Roman"/>
          <w:b/>
          <w:sz w:val="24"/>
          <w:szCs w:val="24"/>
          <w:lang w:val="en-US"/>
        </w:rPr>
        <w:t>Discussion</w:t>
      </w:r>
    </w:p>
    <w:p w14:paraId="2E236CE0" w14:textId="1232444D" w:rsidR="00F857F7" w:rsidRDefault="00F857F7" w:rsidP="00F84C9C">
      <w:pPr>
        <w:spacing w:after="0" w:line="480" w:lineRule="auto"/>
        <w:ind w:firstLine="720"/>
        <w:jc w:val="both"/>
        <w:rPr>
          <w:rFonts w:ascii="Times New Roman" w:hAnsi="Times New Roman" w:cs="Times New Roman"/>
          <w:sz w:val="24"/>
          <w:szCs w:val="24"/>
        </w:rPr>
      </w:pPr>
      <w:r w:rsidRPr="003214C5">
        <w:rPr>
          <w:rFonts w:ascii="Times New Roman" w:hAnsi="Times New Roman" w:cs="Times New Roman"/>
          <w:sz w:val="24"/>
          <w:szCs w:val="24"/>
        </w:rPr>
        <w:t xml:space="preserve">Our study of frailty using a validated risk score has several key findings. First, </w:t>
      </w:r>
      <w:r w:rsidR="00C874A6">
        <w:rPr>
          <w:rFonts w:ascii="Times New Roman" w:hAnsi="Times New Roman" w:cs="Times New Roman"/>
          <w:sz w:val="24"/>
          <w:szCs w:val="24"/>
        </w:rPr>
        <w:t>frailty is common amongst the HF population, with one</w:t>
      </w:r>
      <w:r w:rsidR="00C874A6" w:rsidRPr="003214C5">
        <w:rPr>
          <w:rFonts w:ascii="Times New Roman" w:hAnsi="Times New Roman" w:cs="Times New Roman"/>
          <w:sz w:val="24"/>
          <w:szCs w:val="24"/>
        </w:rPr>
        <w:t xml:space="preserve"> </w:t>
      </w:r>
      <w:r w:rsidRPr="003214C5">
        <w:rPr>
          <w:rFonts w:ascii="Times New Roman" w:hAnsi="Times New Roman" w:cs="Times New Roman"/>
          <w:sz w:val="24"/>
          <w:szCs w:val="24"/>
        </w:rPr>
        <w:t xml:space="preserve">in </w:t>
      </w:r>
      <w:r w:rsidR="00C874A6">
        <w:rPr>
          <w:rFonts w:ascii="Times New Roman" w:hAnsi="Times New Roman" w:cs="Times New Roman"/>
          <w:sz w:val="24"/>
          <w:szCs w:val="24"/>
        </w:rPr>
        <w:t>five</w:t>
      </w:r>
      <w:r w:rsidR="00C874A6" w:rsidRPr="003214C5">
        <w:rPr>
          <w:rFonts w:ascii="Times New Roman" w:hAnsi="Times New Roman" w:cs="Times New Roman"/>
          <w:sz w:val="24"/>
          <w:szCs w:val="24"/>
        </w:rPr>
        <w:t xml:space="preserve"> </w:t>
      </w:r>
      <w:r w:rsidRPr="003214C5">
        <w:rPr>
          <w:rFonts w:ascii="Times New Roman" w:hAnsi="Times New Roman" w:cs="Times New Roman"/>
          <w:sz w:val="24"/>
          <w:szCs w:val="24"/>
        </w:rPr>
        <w:t xml:space="preserve">hospital patients </w:t>
      </w:r>
      <w:r w:rsidR="00C874A6">
        <w:rPr>
          <w:rFonts w:ascii="Times New Roman" w:hAnsi="Times New Roman" w:cs="Times New Roman"/>
          <w:sz w:val="24"/>
          <w:szCs w:val="24"/>
        </w:rPr>
        <w:t>admitted with a principle diagnosis of</w:t>
      </w:r>
      <w:r w:rsidR="00C874A6" w:rsidRPr="003214C5">
        <w:rPr>
          <w:rFonts w:ascii="Times New Roman" w:hAnsi="Times New Roman" w:cs="Times New Roman"/>
          <w:sz w:val="24"/>
          <w:szCs w:val="24"/>
        </w:rPr>
        <w:t xml:space="preserve"> </w:t>
      </w:r>
      <w:r w:rsidR="00C874A6">
        <w:rPr>
          <w:rFonts w:ascii="Times New Roman" w:hAnsi="Times New Roman" w:cs="Times New Roman"/>
          <w:sz w:val="24"/>
          <w:szCs w:val="24"/>
        </w:rPr>
        <w:t>HF</w:t>
      </w:r>
      <w:r w:rsidR="00377FA0">
        <w:rPr>
          <w:rFonts w:ascii="Times New Roman" w:hAnsi="Times New Roman" w:cs="Times New Roman"/>
          <w:sz w:val="24"/>
          <w:szCs w:val="24"/>
        </w:rPr>
        <w:t xml:space="preserve"> have intermediate</w:t>
      </w:r>
      <w:r w:rsidRPr="003214C5">
        <w:rPr>
          <w:rFonts w:ascii="Times New Roman" w:hAnsi="Times New Roman" w:cs="Times New Roman"/>
          <w:sz w:val="24"/>
          <w:szCs w:val="24"/>
        </w:rPr>
        <w:t xml:space="preserve"> or </w:t>
      </w:r>
      <w:r w:rsidR="00377FA0">
        <w:rPr>
          <w:rFonts w:ascii="Times New Roman" w:hAnsi="Times New Roman" w:cs="Times New Roman"/>
          <w:sz w:val="24"/>
          <w:szCs w:val="24"/>
        </w:rPr>
        <w:t>high risk</w:t>
      </w:r>
      <w:r w:rsidRPr="003214C5">
        <w:rPr>
          <w:rFonts w:ascii="Times New Roman" w:hAnsi="Times New Roman" w:cs="Times New Roman"/>
          <w:sz w:val="24"/>
          <w:szCs w:val="24"/>
        </w:rPr>
        <w:t xml:space="preserve"> </w:t>
      </w:r>
      <w:r w:rsidR="00377FA0">
        <w:rPr>
          <w:rFonts w:ascii="Times New Roman" w:hAnsi="Times New Roman" w:cs="Times New Roman"/>
          <w:sz w:val="24"/>
          <w:szCs w:val="24"/>
        </w:rPr>
        <w:t xml:space="preserve">of </w:t>
      </w:r>
      <w:r w:rsidRPr="003214C5">
        <w:rPr>
          <w:rFonts w:ascii="Times New Roman" w:hAnsi="Times New Roman" w:cs="Times New Roman"/>
          <w:sz w:val="24"/>
          <w:szCs w:val="24"/>
        </w:rPr>
        <w:t xml:space="preserve">frailty. Second, rates of frailty have increased dramatically over time from 1 in 10 patients in 2004 to 1 in 3 patients </w:t>
      </w:r>
      <w:r w:rsidR="00763732">
        <w:rPr>
          <w:rFonts w:ascii="Times New Roman" w:hAnsi="Times New Roman" w:cs="Times New Roman"/>
          <w:sz w:val="24"/>
          <w:szCs w:val="24"/>
        </w:rPr>
        <w:t xml:space="preserve">at intermediate or high risk of frailty </w:t>
      </w:r>
      <w:r w:rsidRPr="003214C5">
        <w:rPr>
          <w:rFonts w:ascii="Times New Roman" w:hAnsi="Times New Roman" w:cs="Times New Roman"/>
          <w:sz w:val="24"/>
          <w:szCs w:val="24"/>
        </w:rPr>
        <w:t xml:space="preserve">in 2014. Third, while there is a declining trend in in-hospital mortality in the low and moderate risk of frailty group, </w:t>
      </w:r>
      <w:r w:rsidR="003F4D98">
        <w:rPr>
          <w:rFonts w:ascii="Times New Roman" w:hAnsi="Times New Roman" w:cs="Times New Roman"/>
          <w:sz w:val="24"/>
          <w:szCs w:val="24"/>
        </w:rPr>
        <w:t xml:space="preserve">mortality in </w:t>
      </w:r>
      <w:r w:rsidRPr="003214C5">
        <w:rPr>
          <w:rFonts w:ascii="Times New Roman" w:hAnsi="Times New Roman" w:cs="Times New Roman"/>
          <w:sz w:val="24"/>
          <w:szCs w:val="24"/>
        </w:rPr>
        <w:t xml:space="preserve">the high risk of frailty group mortality rate </w:t>
      </w:r>
      <w:r w:rsidR="003F4D98">
        <w:rPr>
          <w:rFonts w:ascii="Times New Roman" w:hAnsi="Times New Roman" w:cs="Times New Roman"/>
          <w:sz w:val="24"/>
          <w:szCs w:val="24"/>
        </w:rPr>
        <w:t>remains greater</w:t>
      </w:r>
      <w:r w:rsidRPr="003214C5">
        <w:rPr>
          <w:rFonts w:ascii="Times New Roman" w:hAnsi="Times New Roman" w:cs="Times New Roman"/>
          <w:sz w:val="24"/>
          <w:szCs w:val="24"/>
        </w:rPr>
        <w:t xml:space="preserve"> than 10%. </w:t>
      </w:r>
      <w:r w:rsidR="00377FA0">
        <w:rPr>
          <w:rFonts w:ascii="Times New Roman" w:hAnsi="Times New Roman" w:cs="Times New Roman"/>
          <w:sz w:val="24"/>
          <w:szCs w:val="24"/>
        </w:rPr>
        <w:t xml:space="preserve">Fourth, </w:t>
      </w:r>
      <w:r w:rsidR="0049329D">
        <w:rPr>
          <w:rFonts w:ascii="Times New Roman" w:hAnsi="Times New Roman" w:cs="Times New Roman"/>
          <w:sz w:val="24"/>
          <w:szCs w:val="24"/>
        </w:rPr>
        <w:t>f</w:t>
      </w:r>
      <w:r w:rsidRPr="003214C5">
        <w:rPr>
          <w:rFonts w:ascii="Times New Roman" w:hAnsi="Times New Roman" w:cs="Times New Roman"/>
          <w:sz w:val="24"/>
          <w:szCs w:val="24"/>
        </w:rPr>
        <w:t>railty is independently associate</w:t>
      </w:r>
      <w:r w:rsidR="0058121C">
        <w:rPr>
          <w:rFonts w:ascii="Times New Roman" w:hAnsi="Times New Roman" w:cs="Times New Roman"/>
          <w:sz w:val="24"/>
          <w:szCs w:val="24"/>
        </w:rPr>
        <w:t>d</w:t>
      </w:r>
      <w:r w:rsidRPr="003214C5">
        <w:rPr>
          <w:rFonts w:ascii="Times New Roman" w:hAnsi="Times New Roman" w:cs="Times New Roman"/>
          <w:sz w:val="24"/>
          <w:szCs w:val="24"/>
        </w:rPr>
        <w:t xml:space="preserve"> with in-hospital </w:t>
      </w:r>
      <w:r w:rsidRPr="003214C5">
        <w:rPr>
          <w:rFonts w:ascii="Times New Roman" w:hAnsi="Times New Roman" w:cs="Times New Roman"/>
          <w:sz w:val="24"/>
          <w:szCs w:val="24"/>
        </w:rPr>
        <w:lastRenderedPageBreak/>
        <w:t xml:space="preserve">mortality and is further associated with increased length of stay, greater cost and discharge to nursing home. </w:t>
      </w:r>
      <w:r w:rsidR="00B34AA4" w:rsidRPr="003214C5">
        <w:rPr>
          <w:rFonts w:ascii="Times New Roman" w:hAnsi="Times New Roman" w:cs="Times New Roman"/>
          <w:sz w:val="24"/>
          <w:szCs w:val="24"/>
        </w:rPr>
        <w:t>F</w:t>
      </w:r>
      <w:r w:rsidR="00B34AA4">
        <w:rPr>
          <w:rFonts w:ascii="Times New Roman" w:hAnsi="Times New Roman" w:cs="Times New Roman"/>
          <w:sz w:val="24"/>
          <w:szCs w:val="24"/>
        </w:rPr>
        <w:t>urthermore, f</w:t>
      </w:r>
      <w:r w:rsidR="00B34AA4" w:rsidRPr="003214C5">
        <w:rPr>
          <w:rFonts w:ascii="Times New Roman" w:hAnsi="Times New Roman" w:cs="Times New Roman"/>
          <w:sz w:val="24"/>
          <w:szCs w:val="24"/>
        </w:rPr>
        <w:t xml:space="preserve">rail patients are also less likely to receive </w:t>
      </w:r>
      <w:r w:rsidR="00B34AA4">
        <w:rPr>
          <w:rFonts w:ascii="Times New Roman" w:hAnsi="Times New Roman" w:cs="Times New Roman"/>
          <w:sz w:val="24"/>
          <w:szCs w:val="24"/>
        </w:rPr>
        <w:t>evidence</w:t>
      </w:r>
      <w:r w:rsidR="00230349">
        <w:rPr>
          <w:rFonts w:ascii="Times New Roman" w:hAnsi="Times New Roman" w:cs="Times New Roman"/>
          <w:sz w:val="24"/>
          <w:szCs w:val="24"/>
        </w:rPr>
        <w:t>-</w:t>
      </w:r>
      <w:r w:rsidR="00B34AA4">
        <w:rPr>
          <w:rFonts w:ascii="Times New Roman" w:hAnsi="Times New Roman" w:cs="Times New Roman"/>
          <w:sz w:val="24"/>
          <w:szCs w:val="24"/>
        </w:rPr>
        <w:t xml:space="preserve">based device therapy such as ICD and </w:t>
      </w:r>
      <w:r w:rsidR="00B34AA4" w:rsidRPr="003214C5">
        <w:rPr>
          <w:rFonts w:ascii="Times New Roman" w:hAnsi="Times New Roman" w:cs="Times New Roman"/>
          <w:sz w:val="24"/>
          <w:szCs w:val="24"/>
        </w:rPr>
        <w:t xml:space="preserve">CRT devices. </w:t>
      </w:r>
      <w:r w:rsidRPr="003214C5">
        <w:rPr>
          <w:rFonts w:ascii="Times New Roman" w:hAnsi="Times New Roman" w:cs="Times New Roman"/>
          <w:sz w:val="24"/>
          <w:szCs w:val="24"/>
        </w:rPr>
        <w:t xml:space="preserve">These results indicate </w:t>
      </w:r>
      <w:r w:rsidR="00B34AA4" w:rsidRPr="003214C5">
        <w:rPr>
          <w:rFonts w:ascii="Times New Roman" w:hAnsi="Times New Roman" w:cs="Times New Roman"/>
          <w:sz w:val="24"/>
          <w:szCs w:val="24"/>
        </w:rPr>
        <w:t>th</w:t>
      </w:r>
      <w:r w:rsidR="00B34AA4">
        <w:rPr>
          <w:rFonts w:ascii="Times New Roman" w:hAnsi="Times New Roman" w:cs="Times New Roman"/>
          <w:sz w:val="24"/>
          <w:szCs w:val="24"/>
        </w:rPr>
        <w:t>at</w:t>
      </w:r>
      <w:r w:rsidR="00B34AA4" w:rsidRPr="003214C5">
        <w:rPr>
          <w:rFonts w:ascii="Times New Roman" w:hAnsi="Times New Roman" w:cs="Times New Roman"/>
          <w:sz w:val="24"/>
          <w:szCs w:val="24"/>
        </w:rPr>
        <w:t xml:space="preserve"> </w:t>
      </w:r>
      <w:r w:rsidRPr="003214C5">
        <w:rPr>
          <w:rFonts w:ascii="Times New Roman" w:hAnsi="Times New Roman" w:cs="Times New Roman"/>
          <w:sz w:val="24"/>
          <w:szCs w:val="24"/>
        </w:rPr>
        <w:t>conside</w:t>
      </w:r>
      <w:r w:rsidR="008C46FB">
        <w:rPr>
          <w:rFonts w:ascii="Times New Roman" w:hAnsi="Times New Roman" w:cs="Times New Roman"/>
          <w:sz w:val="24"/>
          <w:szCs w:val="24"/>
        </w:rPr>
        <w:t>ring frailty is important among hospitalized patients with</w:t>
      </w:r>
      <w:r w:rsidRPr="003214C5">
        <w:rPr>
          <w:rFonts w:ascii="Times New Roman" w:hAnsi="Times New Roman" w:cs="Times New Roman"/>
          <w:sz w:val="24"/>
          <w:szCs w:val="24"/>
        </w:rPr>
        <w:t xml:space="preserve"> heart failure as these patients have worse survival and are a greater burden to health services and measures to improve outcomes in this high</w:t>
      </w:r>
      <w:r w:rsidR="00D41D05">
        <w:rPr>
          <w:rFonts w:ascii="Times New Roman" w:hAnsi="Times New Roman" w:cs="Times New Roman"/>
          <w:sz w:val="24"/>
          <w:szCs w:val="24"/>
        </w:rPr>
        <w:t>-</w:t>
      </w:r>
      <w:r w:rsidRPr="003214C5">
        <w:rPr>
          <w:rFonts w:ascii="Times New Roman" w:hAnsi="Times New Roman" w:cs="Times New Roman"/>
          <w:sz w:val="24"/>
          <w:szCs w:val="24"/>
        </w:rPr>
        <w:t>risk group are needed.</w:t>
      </w:r>
    </w:p>
    <w:p w14:paraId="0A3AE307" w14:textId="6DD5075A" w:rsidR="004F28E8" w:rsidRDefault="00883950" w:rsidP="00F84C9C">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The prevalence and impact of frailty depends on the measure used</w:t>
      </w:r>
      <w:r w:rsidR="009F4CB0">
        <w:rPr>
          <w:rFonts w:ascii="Times New Roman" w:hAnsi="Times New Roman" w:cs="Times New Roman"/>
          <w:sz w:val="24"/>
          <w:szCs w:val="24"/>
        </w:rPr>
        <w:t>,</w:t>
      </w:r>
      <w:r w:rsidR="002B4267">
        <w:rPr>
          <w:rFonts w:ascii="Times New Roman" w:hAnsi="Times New Roman" w:cs="Times New Roman"/>
          <w:sz w:val="24"/>
          <w:szCs w:val="24"/>
        </w:rPr>
        <w:t xml:space="preserve"> the population assessed</w:t>
      </w:r>
      <w:r>
        <w:rPr>
          <w:rFonts w:ascii="Times New Roman" w:hAnsi="Times New Roman" w:cs="Times New Roman"/>
          <w:sz w:val="24"/>
          <w:szCs w:val="24"/>
        </w:rPr>
        <w:t xml:space="preserve"> and </w:t>
      </w:r>
      <w:r w:rsidR="002B4267">
        <w:rPr>
          <w:rFonts w:ascii="Times New Roman" w:hAnsi="Times New Roman" w:cs="Times New Roman"/>
          <w:sz w:val="24"/>
          <w:szCs w:val="24"/>
        </w:rPr>
        <w:t xml:space="preserve">its impact on outcomes depends on </w:t>
      </w:r>
      <w:r>
        <w:rPr>
          <w:rFonts w:ascii="Times New Roman" w:hAnsi="Times New Roman" w:cs="Times New Roman"/>
          <w:sz w:val="24"/>
          <w:szCs w:val="24"/>
        </w:rPr>
        <w:t>the timing of follow up.</w:t>
      </w:r>
      <w:r w:rsidR="002B4267">
        <w:rPr>
          <w:rFonts w:ascii="Times New Roman" w:hAnsi="Times New Roman" w:cs="Times New Roman"/>
          <w:sz w:val="24"/>
          <w:szCs w:val="24"/>
        </w:rPr>
        <w:t xml:space="preserve"> </w:t>
      </w:r>
      <w:r w:rsidR="008345CF">
        <w:rPr>
          <w:rFonts w:ascii="Times New Roman" w:hAnsi="Times New Roman" w:cs="Times New Roman"/>
          <w:sz w:val="24"/>
          <w:szCs w:val="24"/>
        </w:rPr>
        <w:t>In the emergency department setting, t</w:t>
      </w:r>
      <w:r w:rsidR="002B4267">
        <w:rPr>
          <w:rFonts w:ascii="Times New Roman" w:hAnsi="Times New Roman" w:cs="Times New Roman"/>
          <w:sz w:val="24"/>
          <w:szCs w:val="24"/>
        </w:rPr>
        <w:t>he Frailty-AHF study</w:t>
      </w:r>
      <w:r w:rsidR="000D3E7E">
        <w:rPr>
          <w:rFonts w:ascii="Times New Roman" w:hAnsi="Times New Roman" w:cs="Times New Roman"/>
          <w:sz w:val="24"/>
          <w:szCs w:val="24"/>
        </w:rPr>
        <w:t>, which took place in 3 Spanish centres,</w:t>
      </w:r>
      <w:r w:rsidR="002B4267">
        <w:rPr>
          <w:rFonts w:ascii="Times New Roman" w:hAnsi="Times New Roman" w:cs="Times New Roman"/>
          <w:sz w:val="24"/>
          <w:szCs w:val="24"/>
        </w:rPr>
        <w:t xml:space="preserve"> found that frailty as defined by the Fried criteria was present in </w:t>
      </w:r>
      <w:r w:rsidR="00105CDF">
        <w:rPr>
          <w:rFonts w:ascii="Times New Roman" w:hAnsi="Times New Roman" w:cs="Times New Roman"/>
          <w:sz w:val="24"/>
          <w:szCs w:val="24"/>
        </w:rPr>
        <w:t xml:space="preserve">36.3% of </w:t>
      </w:r>
      <w:r w:rsidR="000D3E7E">
        <w:rPr>
          <w:rFonts w:ascii="Times New Roman" w:hAnsi="Times New Roman" w:cs="Times New Roman"/>
          <w:sz w:val="24"/>
          <w:szCs w:val="24"/>
        </w:rPr>
        <w:t xml:space="preserve">the 465 </w:t>
      </w:r>
      <w:r w:rsidR="00105CDF">
        <w:rPr>
          <w:rFonts w:ascii="Times New Roman" w:hAnsi="Times New Roman" w:cs="Times New Roman"/>
          <w:sz w:val="24"/>
          <w:szCs w:val="24"/>
        </w:rPr>
        <w:t xml:space="preserve">patients </w:t>
      </w:r>
      <w:r w:rsidR="002B4267">
        <w:rPr>
          <w:rFonts w:ascii="Times New Roman" w:hAnsi="Times New Roman" w:cs="Times New Roman"/>
          <w:sz w:val="24"/>
          <w:szCs w:val="24"/>
        </w:rPr>
        <w:t xml:space="preserve">age </w:t>
      </w:r>
      <w:r w:rsidR="008345CF">
        <w:rPr>
          <w:rFonts w:ascii="Times New Roman" w:hAnsi="Times New Roman" w:cs="Times New Roman"/>
          <w:sz w:val="24"/>
          <w:szCs w:val="24"/>
        </w:rPr>
        <w:t>≥</w:t>
      </w:r>
      <w:r w:rsidR="002B4267">
        <w:rPr>
          <w:rFonts w:ascii="Times New Roman" w:hAnsi="Times New Roman" w:cs="Times New Roman"/>
          <w:sz w:val="24"/>
          <w:szCs w:val="24"/>
        </w:rPr>
        <w:t xml:space="preserve">65 years </w:t>
      </w:r>
      <w:r w:rsidR="008345CF">
        <w:rPr>
          <w:rFonts w:ascii="Times New Roman" w:hAnsi="Times New Roman" w:cs="Times New Roman"/>
          <w:sz w:val="24"/>
          <w:szCs w:val="24"/>
        </w:rPr>
        <w:t xml:space="preserve">that attended for heart failure </w:t>
      </w:r>
      <w:r w:rsidR="002B4267">
        <w:rPr>
          <w:rFonts w:ascii="Times New Roman" w:hAnsi="Times New Roman" w:cs="Times New Roman"/>
          <w:sz w:val="24"/>
          <w:szCs w:val="24"/>
        </w:rPr>
        <w:t>without severe functional dependence or dementia.</w:t>
      </w:r>
      <w:r w:rsidR="009B54E4">
        <w:rPr>
          <w:rFonts w:ascii="Times New Roman" w:hAnsi="Times New Roman" w:cs="Times New Roman"/>
          <w:sz w:val="24"/>
          <w:szCs w:val="24"/>
        </w:rPr>
        <w:t>[15]</w:t>
      </w:r>
      <w:r w:rsidR="00105CDF">
        <w:rPr>
          <w:rFonts w:ascii="Times New Roman" w:hAnsi="Times New Roman" w:cs="Times New Roman"/>
          <w:sz w:val="24"/>
          <w:szCs w:val="24"/>
        </w:rPr>
        <w:t xml:space="preserve"> After adjustments for potential confounders this study reported an increase in risk of 30-day mortality (HR 2.5 95%CI 1.0-6.0, p=0.047).</w:t>
      </w:r>
      <w:r w:rsidR="00E915BF">
        <w:rPr>
          <w:rFonts w:ascii="Times New Roman" w:hAnsi="Times New Roman" w:cs="Times New Roman"/>
          <w:sz w:val="24"/>
          <w:szCs w:val="24"/>
        </w:rPr>
        <w:t xml:space="preserve"> </w:t>
      </w:r>
      <w:r w:rsidR="008345CF">
        <w:rPr>
          <w:rFonts w:ascii="Times New Roman" w:hAnsi="Times New Roman" w:cs="Times New Roman"/>
          <w:sz w:val="24"/>
          <w:szCs w:val="24"/>
        </w:rPr>
        <w:t>In the inpatient setting using the same frailty criteria, t</w:t>
      </w:r>
      <w:r w:rsidR="00E915BF">
        <w:rPr>
          <w:rFonts w:ascii="Times New Roman" w:hAnsi="Times New Roman" w:cs="Times New Roman"/>
          <w:sz w:val="24"/>
          <w:szCs w:val="24"/>
        </w:rPr>
        <w:t xml:space="preserve">he Frail-HF study </w:t>
      </w:r>
      <w:r w:rsidR="008345CF">
        <w:rPr>
          <w:rFonts w:ascii="Times New Roman" w:hAnsi="Times New Roman" w:cs="Times New Roman"/>
          <w:sz w:val="24"/>
          <w:szCs w:val="24"/>
        </w:rPr>
        <w:t xml:space="preserve">reported that 76% of patients were classified as frail among </w:t>
      </w:r>
      <w:r w:rsidR="00885211">
        <w:rPr>
          <w:rFonts w:ascii="Times New Roman" w:hAnsi="Times New Roman" w:cs="Times New Roman"/>
          <w:sz w:val="24"/>
          <w:szCs w:val="24"/>
        </w:rPr>
        <w:t xml:space="preserve">450 </w:t>
      </w:r>
      <w:r w:rsidR="00E915BF">
        <w:rPr>
          <w:rFonts w:ascii="Times New Roman" w:hAnsi="Times New Roman" w:cs="Times New Roman"/>
          <w:sz w:val="24"/>
          <w:szCs w:val="24"/>
        </w:rPr>
        <w:t>non-dependent patients age ≥70 years who were hospitalized with heart failure</w:t>
      </w:r>
      <w:r w:rsidR="00992E15">
        <w:rPr>
          <w:rFonts w:ascii="Times New Roman" w:hAnsi="Times New Roman" w:cs="Times New Roman"/>
          <w:sz w:val="24"/>
          <w:szCs w:val="24"/>
        </w:rPr>
        <w:t>.</w:t>
      </w:r>
      <w:r w:rsidR="009B54E4">
        <w:rPr>
          <w:rFonts w:ascii="Times New Roman" w:hAnsi="Times New Roman" w:cs="Times New Roman"/>
          <w:sz w:val="24"/>
          <w:szCs w:val="24"/>
        </w:rPr>
        <w:t>[16]</w:t>
      </w:r>
      <w:r w:rsidR="00AD5EB4">
        <w:rPr>
          <w:rFonts w:ascii="Times New Roman" w:hAnsi="Times New Roman" w:cs="Times New Roman"/>
          <w:sz w:val="24"/>
          <w:szCs w:val="24"/>
        </w:rPr>
        <w:t xml:space="preserve"> In this cohort, there was a 2-fold increase in all-cause mortality (HR 2.13-1.07-4.23). In the community settings using a modified version of the definition used by the Cardiovascular Health Study, </w:t>
      </w:r>
      <w:r w:rsidR="00881EB1">
        <w:rPr>
          <w:rFonts w:ascii="Times New Roman" w:hAnsi="Times New Roman" w:cs="Times New Roman"/>
          <w:sz w:val="24"/>
          <w:szCs w:val="24"/>
        </w:rPr>
        <w:t xml:space="preserve">a study of 223 heart failure patients found that </w:t>
      </w:r>
      <w:r w:rsidR="00AD5EB4">
        <w:rPr>
          <w:rFonts w:ascii="Times New Roman" w:hAnsi="Times New Roman" w:cs="Times New Roman"/>
          <w:sz w:val="24"/>
          <w:szCs w:val="24"/>
        </w:rPr>
        <w:t xml:space="preserve">21% were frail and 48% were of intermediate </w:t>
      </w:r>
      <w:r w:rsidR="00FC11C4">
        <w:rPr>
          <w:rFonts w:ascii="Times New Roman" w:hAnsi="Times New Roman" w:cs="Times New Roman"/>
          <w:sz w:val="24"/>
          <w:szCs w:val="24"/>
        </w:rPr>
        <w:t>frailty</w:t>
      </w:r>
      <w:r w:rsidR="00881EB1">
        <w:rPr>
          <w:rFonts w:ascii="Times New Roman" w:hAnsi="Times New Roman" w:cs="Times New Roman"/>
          <w:sz w:val="24"/>
          <w:szCs w:val="24"/>
        </w:rPr>
        <w:t>.</w:t>
      </w:r>
      <w:r w:rsidR="0059573C">
        <w:rPr>
          <w:rFonts w:ascii="Times New Roman" w:hAnsi="Times New Roman" w:cs="Times New Roman"/>
          <w:sz w:val="24"/>
          <w:szCs w:val="24"/>
        </w:rPr>
        <w:t xml:space="preserve"> </w:t>
      </w:r>
      <w:r w:rsidR="009B54E4">
        <w:rPr>
          <w:rFonts w:ascii="Times New Roman" w:hAnsi="Times New Roman" w:cs="Times New Roman"/>
          <w:sz w:val="24"/>
          <w:szCs w:val="24"/>
        </w:rPr>
        <w:t>[17]</w:t>
      </w:r>
      <w:r w:rsidR="00FC11C4">
        <w:rPr>
          <w:rFonts w:ascii="Times New Roman" w:hAnsi="Times New Roman" w:cs="Times New Roman"/>
          <w:sz w:val="24"/>
          <w:szCs w:val="24"/>
        </w:rPr>
        <w:t xml:space="preserve"> </w:t>
      </w:r>
      <w:r w:rsidR="00881EB1">
        <w:rPr>
          <w:rFonts w:ascii="Times New Roman" w:hAnsi="Times New Roman" w:cs="Times New Roman"/>
          <w:sz w:val="24"/>
          <w:szCs w:val="24"/>
        </w:rPr>
        <w:t>O</w:t>
      </w:r>
      <w:r w:rsidR="00FC11C4">
        <w:rPr>
          <w:rFonts w:ascii="Times New Roman" w:hAnsi="Times New Roman" w:cs="Times New Roman"/>
          <w:sz w:val="24"/>
          <w:szCs w:val="24"/>
        </w:rPr>
        <w:t xml:space="preserve">ver </w:t>
      </w:r>
      <w:r w:rsidR="00881EB1">
        <w:rPr>
          <w:rFonts w:ascii="Times New Roman" w:hAnsi="Times New Roman" w:cs="Times New Roman"/>
          <w:sz w:val="24"/>
          <w:szCs w:val="24"/>
        </w:rPr>
        <w:t xml:space="preserve">a duration of </w:t>
      </w:r>
      <w:r w:rsidR="00FC11C4">
        <w:rPr>
          <w:rFonts w:ascii="Times New Roman" w:hAnsi="Times New Roman" w:cs="Times New Roman"/>
          <w:sz w:val="24"/>
          <w:szCs w:val="24"/>
        </w:rPr>
        <w:t>2.4 years of follow up</w:t>
      </w:r>
      <w:r w:rsidR="00881EB1">
        <w:rPr>
          <w:rFonts w:ascii="Times New Roman" w:hAnsi="Times New Roman" w:cs="Times New Roman"/>
          <w:sz w:val="24"/>
          <w:szCs w:val="24"/>
        </w:rPr>
        <w:t>,</w:t>
      </w:r>
      <w:r w:rsidR="00FC11C4">
        <w:rPr>
          <w:rFonts w:ascii="Times New Roman" w:hAnsi="Times New Roman" w:cs="Times New Roman"/>
          <w:sz w:val="24"/>
          <w:szCs w:val="24"/>
        </w:rPr>
        <w:t xml:space="preserve"> there was a 2-fold increase in risk of death among frail compared to non-frail patients.</w:t>
      </w:r>
      <w:r w:rsidR="009B54E4">
        <w:rPr>
          <w:rFonts w:ascii="Times New Roman" w:hAnsi="Times New Roman" w:cs="Times New Roman"/>
          <w:sz w:val="24"/>
          <w:szCs w:val="24"/>
        </w:rPr>
        <w:t>[17]</w:t>
      </w:r>
      <w:r w:rsidR="00121713">
        <w:rPr>
          <w:rFonts w:ascii="Times New Roman" w:hAnsi="Times New Roman" w:cs="Times New Roman"/>
          <w:sz w:val="24"/>
          <w:szCs w:val="24"/>
        </w:rPr>
        <w:t xml:space="preserve"> </w:t>
      </w:r>
      <w:r w:rsidR="004F28E8">
        <w:rPr>
          <w:rFonts w:ascii="Times New Roman" w:hAnsi="Times New Roman" w:cs="Times New Roman"/>
          <w:sz w:val="24"/>
          <w:szCs w:val="24"/>
        </w:rPr>
        <w:t>Unlike the studies highlighted</w:t>
      </w:r>
      <w:r w:rsidR="008C5DFA">
        <w:rPr>
          <w:rFonts w:ascii="Times New Roman" w:hAnsi="Times New Roman" w:cs="Times New Roman"/>
          <w:sz w:val="24"/>
          <w:szCs w:val="24"/>
        </w:rPr>
        <w:t>,</w:t>
      </w:r>
      <w:r w:rsidR="004F28E8">
        <w:rPr>
          <w:rFonts w:ascii="Times New Roman" w:hAnsi="Times New Roman" w:cs="Times New Roman"/>
          <w:sz w:val="24"/>
          <w:szCs w:val="24"/>
        </w:rPr>
        <w:t xml:space="preserve"> the current study is a national study with a much larger sample size and a different but validated measure for frailty. Our estimate of frailty is more modest (20%) but interestingly the increase in risk of in-hospital mortality is similar to the 2-fold increase in mortality reported by multiple studies with different follow up times.</w:t>
      </w:r>
    </w:p>
    <w:p w14:paraId="5FDD5CAC" w14:textId="1CFD1BCE" w:rsidR="004535F0" w:rsidRDefault="000C5B61" w:rsidP="00F84C9C">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One of the challenges of assessing frailty is that there is no gold standard assessment.</w:t>
      </w:r>
      <w:r w:rsidR="009B54E4">
        <w:rPr>
          <w:rFonts w:ascii="Times New Roman" w:hAnsi="Times New Roman" w:cs="Times New Roman"/>
          <w:sz w:val="24"/>
          <w:szCs w:val="24"/>
        </w:rPr>
        <w:t>[18]</w:t>
      </w:r>
      <w:r w:rsidR="007139FB">
        <w:rPr>
          <w:rFonts w:ascii="Times New Roman" w:hAnsi="Times New Roman" w:cs="Times New Roman"/>
          <w:sz w:val="24"/>
          <w:szCs w:val="24"/>
        </w:rPr>
        <w:t xml:space="preserve"> Two approaches have been used to define frailty which includes a deficit model which consists of adding together an individual’s number of impairments and conditions to create a frailty index</w:t>
      </w:r>
      <w:r w:rsidR="00CC7114">
        <w:rPr>
          <w:rFonts w:ascii="Times New Roman" w:hAnsi="Times New Roman" w:cs="Times New Roman"/>
          <w:sz w:val="24"/>
          <w:szCs w:val="24"/>
        </w:rPr>
        <w:t xml:space="preserve"> </w:t>
      </w:r>
      <w:r w:rsidR="000C23ED">
        <w:rPr>
          <w:rFonts w:ascii="Times New Roman" w:hAnsi="Times New Roman" w:cs="Times New Roman"/>
          <w:sz w:val="24"/>
          <w:szCs w:val="24"/>
        </w:rPr>
        <w:t xml:space="preserve">and a second approach to define a frailty phenotype consisting of 5 possible components (weight loss, exhaustion, weakness, slowness and reduced physical activity) as markers of </w:t>
      </w:r>
      <w:r w:rsidR="0059573C">
        <w:rPr>
          <w:rFonts w:ascii="Times New Roman" w:hAnsi="Times New Roman" w:cs="Times New Roman"/>
          <w:sz w:val="24"/>
          <w:szCs w:val="24"/>
        </w:rPr>
        <w:t xml:space="preserve">an </w:t>
      </w:r>
      <w:r w:rsidR="000C23ED">
        <w:rPr>
          <w:rFonts w:ascii="Times New Roman" w:hAnsi="Times New Roman" w:cs="Times New Roman"/>
          <w:sz w:val="24"/>
          <w:szCs w:val="24"/>
        </w:rPr>
        <w:t>underlying physiologic state of multi</w:t>
      </w:r>
      <w:r w:rsidR="0059573C">
        <w:rPr>
          <w:rFonts w:ascii="Times New Roman" w:hAnsi="Times New Roman" w:cs="Times New Roman"/>
          <w:sz w:val="24"/>
          <w:szCs w:val="24"/>
        </w:rPr>
        <w:t>-</w:t>
      </w:r>
      <w:r w:rsidR="000C23ED">
        <w:rPr>
          <w:rFonts w:ascii="Times New Roman" w:hAnsi="Times New Roman" w:cs="Times New Roman"/>
          <w:sz w:val="24"/>
          <w:szCs w:val="24"/>
        </w:rPr>
        <w:t>systems and energy dysregulation.</w:t>
      </w:r>
      <w:r w:rsidR="009B54E4">
        <w:rPr>
          <w:rFonts w:ascii="Times New Roman" w:hAnsi="Times New Roman" w:cs="Times New Roman"/>
          <w:sz w:val="24"/>
          <w:szCs w:val="24"/>
        </w:rPr>
        <w:t>[19]</w:t>
      </w:r>
      <w:r w:rsidR="00357F61">
        <w:rPr>
          <w:rFonts w:ascii="Times New Roman" w:hAnsi="Times New Roman" w:cs="Times New Roman"/>
          <w:sz w:val="24"/>
          <w:szCs w:val="24"/>
        </w:rPr>
        <w:t xml:space="preserve"> </w:t>
      </w:r>
      <w:r w:rsidR="003A3DDF">
        <w:rPr>
          <w:rFonts w:ascii="Times New Roman" w:hAnsi="Times New Roman" w:cs="Times New Roman"/>
          <w:sz w:val="24"/>
          <w:szCs w:val="24"/>
        </w:rPr>
        <w:t>The Hospital Frailty</w:t>
      </w:r>
      <w:r w:rsidR="00532A2D">
        <w:rPr>
          <w:rFonts w:ascii="Times New Roman" w:hAnsi="Times New Roman" w:cs="Times New Roman"/>
          <w:sz w:val="24"/>
          <w:szCs w:val="24"/>
        </w:rPr>
        <w:t xml:space="preserve"> Risk</w:t>
      </w:r>
      <w:r w:rsidR="003A3DDF">
        <w:rPr>
          <w:rFonts w:ascii="Times New Roman" w:hAnsi="Times New Roman" w:cs="Times New Roman"/>
          <w:sz w:val="24"/>
          <w:szCs w:val="24"/>
        </w:rPr>
        <w:t xml:space="preserve"> Score fits into the deficit model</w:t>
      </w:r>
      <w:r w:rsidR="003C7753">
        <w:rPr>
          <w:rFonts w:ascii="Times New Roman" w:hAnsi="Times New Roman" w:cs="Times New Roman"/>
          <w:sz w:val="24"/>
          <w:szCs w:val="24"/>
        </w:rPr>
        <w:t>,</w:t>
      </w:r>
      <w:r w:rsidR="003A3DDF">
        <w:rPr>
          <w:rFonts w:ascii="Times New Roman" w:hAnsi="Times New Roman" w:cs="Times New Roman"/>
          <w:sz w:val="24"/>
          <w:szCs w:val="24"/>
        </w:rPr>
        <w:t xml:space="preserve"> which has the advantage that it is entirely based on ICD codes and it is validated against the </w:t>
      </w:r>
      <w:r w:rsidR="00532A2D">
        <w:rPr>
          <w:rFonts w:ascii="Times New Roman" w:hAnsi="Times New Roman" w:cs="Times New Roman"/>
          <w:sz w:val="24"/>
          <w:szCs w:val="24"/>
        </w:rPr>
        <w:t xml:space="preserve">Fried and </w:t>
      </w:r>
      <w:r w:rsidR="003A3DDF">
        <w:rPr>
          <w:rFonts w:ascii="Times New Roman" w:hAnsi="Times New Roman" w:cs="Times New Roman"/>
          <w:sz w:val="24"/>
          <w:szCs w:val="24"/>
        </w:rPr>
        <w:t>Rockw</w:t>
      </w:r>
      <w:r w:rsidR="00532A2D">
        <w:rPr>
          <w:rFonts w:ascii="Times New Roman" w:hAnsi="Times New Roman" w:cs="Times New Roman"/>
          <w:sz w:val="24"/>
          <w:szCs w:val="24"/>
        </w:rPr>
        <w:t xml:space="preserve">ood scales. Its major drawback is that in the absence of automated computation it is potentially challenging for clinicians to calculate. </w:t>
      </w:r>
    </w:p>
    <w:p w14:paraId="319D0962" w14:textId="384C0213" w:rsidR="006861B6" w:rsidRDefault="00CB616F" w:rsidP="006861B6">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While we demonstrate that frailty is common and associated with reduced survival, greater burden to health services and loss of </w:t>
      </w:r>
      <w:r w:rsidR="00463742">
        <w:rPr>
          <w:rFonts w:ascii="Times New Roman" w:hAnsi="Times New Roman" w:cs="Times New Roman"/>
          <w:sz w:val="24"/>
          <w:szCs w:val="24"/>
        </w:rPr>
        <w:t>in</w:t>
      </w:r>
      <w:r>
        <w:rPr>
          <w:rFonts w:ascii="Times New Roman" w:hAnsi="Times New Roman" w:cs="Times New Roman"/>
          <w:sz w:val="24"/>
          <w:szCs w:val="24"/>
        </w:rPr>
        <w:t xml:space="preserve">dependence, the changes in clinical practice once a patient is identified as high risk of frailty is less clear. </w:t>
      </w:r>
      <w:r w:rsidR="00F65A8E">
        <w:rPr>
          <w:rFonts w:ascii="Times New Roman" w:hAnsi="Times New Roman" w:cs="Times New Roman"/>
          <w:sz w:val="24"/>
          <w:szCs w:val="24"/>
        </w:rPr>
        <w:t>There is evidence that frailty may be potentially preventable or treated with specific modalities such as exercise, protein-</w:t>
      </w:r>
      <w:r w:rsidR="00740EA8">
        <w:rPr>
          <w:rFonts w:ascii="Times New Roman" w:hAnsi="Times New Roman" w:cs="Times New Roman"/>
          <w:sz w:val="24"/>
          <w:szCs w:val="24"/>
        </w:rPr>
        <w:t>calorie</w:t>
      </w:r>
      <w:r w:rsidR="00F65A8E">
        <w:rPr>
          <w:rFonts w:ascii="Times New Roman" w:hAnsi="Times New Roman" w:cs="Times New Roman"/>
          <w:sz w:val="24"/>
          <w:szCs w:val="24"/>
        </w:rPr>
        <w:t xml:space="preserve"> supplementation, vitamin D and reduction of polypharmacy.</w:t>
      </w:r>
      <w:r w:rsidR="002836AF">
        <w:rPr>
          <w:rFonts w:ascii="Times New Roman" w:hAnsi="Times New Roman" w:cs="Times New Roman"/>
          <w:sz w:val="24"/>
          <w:szCs w:val="24"/>
        </w:rPr>
        <w:t>[19</w:t>
      </w:r>
      <w:r w:rsidR="009B54E4">
        <w:rPr>
          <w:rFonts w:ascii="Times New Roman" w:hAnsi="Times New Roman" w:cs="Times New Roman"/>
          <w:sz w:val="24"/>
          <w:szCs w:val="24"/>
        </w:rPr>
        <w:t>]</w:t>
      </w:r>
      <w:r w:rsidR="002836AF">
        <w:rPr>
          <w:rFonts w:ascii="Times New Roman" w:hAnsi="Times New Roman" w:cs="Times New Roman"/>
          <w:sz w:val="24"/>
          <w:szCs w:val="24"/>
        </w:rPr>
        <w:t xml:space="preserve"> </w:t>
      </w:r>
      <w:r w:rsidR="00B134CF">
        <w:rPr>
          <w:rFonts w:ascii="Times New Roman" w:hAnsi="Times New Roman" w:cs="Times New Roman"/>
          <w:sz w:val="24"/>
          <w:szCs w:val="24"/>
        </w:rPr>
        <w:t>In the context of heart failure, i</w:t>
      </w:r>
      <w:r w:rsidR="00355099">
        <w:rPr>
          <w:rFonts w:ascii="Times New Roman" w:hAnsi="Times New Roman" w:cs="Times New Roman"/>
          <w:sz w:val="24"/>
          <w:szCs w:val="24"/>
        </w:rPr>
        <w:t>t is likely that th</w:t>
      </w:r>
      <w:r w:rsidR="004A22E0">
        <w:rPr>
          <w:rFonts w:ascii="Times New Roman" w:hAnsi="Times New Roman" w:cs="Times New Roman"/>
          <w:sz w:val="24"/>
          <w:szCs w:val="24"/>
        </w:rPr>
        <w:t>o</w:t>
      </w:r>
      <w:r w:rsidR="00355099">
        <w:rPr>
          <w:rFonts w:ascii="Times New Roman" w:hAnsi="Times New Roman" w:cs="Times New Roman"/>
          <w:sz w:val="24"/>
          <w:szCs w:val="24"/>
        </w:rPr>
        <w:t>se</w:t>
      </w:r>
      <w:r w:rsidR="004A22E0">
        <w:rPr>
          <w:rFonts w:ascii="Times New Roman" w:hAnsi="Times New Roman" w:cs="Times New Roman"/>
          <w:sz w:val="24"/>
          <w:szCs w:val="24"/>
        </w:rPr>
        <w:t xml:space="preserve"> patients identified as</w:t>
      </w:r>
      <w:r w:rsidR="00355099">
        <w:rPr>
          <w:rFonts w:ascii="Times New Roman" w:hAnsi="Times New Roman" w:cs="Times New Roman"/>
          <w:sz w:val="24"/>
          <w:szCs w:val="24"/>
        </w:rPr>
        <w:t xml:space="preserve"> high risk </w:t>
      </w:r>
      <w:r w:rsidR="004E14DD">
        <w:rPr>
          <w:rFonts w:ascii="Times New Roman" w:hAnsi="Times New Roman" w:cs="Times New Roman"/>
          <w:sz w:val="24"/>
          <w:szCs w:val="24"/>
        </w:rPr>
        <w:t xml:space="preserve">of frailty </w:t>
      </w:r>
      <w:r w:rsidR="00355099">
        <w:rPr>
          <w:rFonts w:ascii="Times New Roman" w:hAnsi="Times New Roman" w:cs="Times New Roman"/>
          <w:sz w:val="24"/>
          <w:szCs w:val="24"/>
        </w:rPr>
        <w:t>need i</w:t>
      </w:r>
      <w:r w:rsidR="003559FB">
        <w:rPr>
          <w:rFonts w:ascii="Times New Roman" w:hAnsi="Times New Roman" w:cs="Times New Roman"/>
          <w:sz w:val="24"/>
          <w:szCs w:val="24"/>
        </w:rPr>
        <w:t xml:space="preserve">ndividualized or tailored care </w:t>
      </w:r>
      <w:r w:rsidR="004A22E0">
        <w:rPr>
          <w:rFonts w:ascii="Times New Roman" w:hAnsi="Times New Roman" w:cs="Times New Roman"/>
          <w:sz w:val="24"/>
          <w:szCs w:val="24"/>
        </w:rPr>
        <w:t>to improve quality of life</w:t>
      </w:r>
      <w:r w:rsidR="003559FB">
        <w:rPr>
          <w:rFonts w:ascii="Times New Roman" w:hAnsi="Times New Roman" w:cs="Times New Roman"/>
          <w:sz w:val="24"/>
          <w:szCs w:val="24"/>
        </w:rPr>
        <w:t xml:space="preserve"> and independence</w:t>
      </w:r>
      <w:r w:rsidR="004A22E0">
        <w:rPr>
          <w:rFonts w:ascii="Times New Roman" w:hAnsi="Times New Roman" w:cs="Times New Roman"/>
          <w:sz w:val="24"/>
          <w:szCs w:val="24"/>
        </w:rPr>
        <w:t xml:space="preserve"> using hospital and community support programs.</w:t>
      </w:r>
      <w:r w:rsidR="003559FB">
        <w:rPr>
          <w:rFonts w:ascii="Times New Roman" w:hAnsi="Times New Roman" w:cs="Times New Roman"/>
          <w:sz w:val="24"/>
          <w:szCs w:val="24"/>
        </w:rPr>
        <w:t xml:space="preserve"> </w:t>
      </w:r>
      <w:r w:rsidR="004A22E0">
        <w:rPr>
          <w:rFonts w:ascii="Times New Roman" w:hAnsi="Times New Roman" w:cs="Times New Roman"/>
          <w:sz w:val="24"/>
          <w:szCs w:val="24"/>
        </w:rPr>
        <w:t>Even in those frail patients limited by symptoms of advanced heart failure, i</w:t>
      </w:r>
      <w:r w:rsidR="004E14DD">
        <w:rPr>
          <w:rFonts w:ascii="Times New Roman" w:hAnsi="Times New Roman" w:cs="Times New Roman"/>
          <w:sz w:val="24"/>
          <w:szCs w:val="24"/>
        </w:rPr>
        <w:t xml:space="preserve">t </w:t>
      </w:r>
      <w:r w:rsidR="00F516E7">
        <w:rPr>
          <w:rFonts w:ascii="Times New Roman" w:hAnsi="Times New Roman" w:cs="Times New Roman"/>
          <w:sz w:val="24"/>
          <w:szCs w:val="24"/>
        </w:rPr>
        <w:t>is important to adopt</w:t>
      </w:r>
      <w:r w:rsidR="004E14DD">
        <w:rPr>
          <w:rFonts w:ascii="Times New Roman" w:hAnsi="Times New Roman" w:cs="Times New Roman"/>
          <w:sz w:val="24"/>
          <w:szCs w:val="24"/>
        </w:rPr>
        <w:t xml:space="preserve"> </w:t>
      </w:r>
      <w:r w:rsidR="00F516E7">
        <w:rPr>
          <w:rFonts w:ascii="Times New Roman" w:hAnsi="Times New Roman" w:cs="Times New Roman"/>
          <w:sz w:val="24"/>
          <w:szCs w:val="24"/>
        </w:rPr>
        <w:t>a</w:t>
      </w:r>
      <w:r w:rsidR="004E14DD">
        <w:rPr>
          <w:rFonts w:ascii="Times New Roman" w:hAnsi="Times New Roman" w:cs="Times New Roman"/>
          <w:sz w:val="24"/>
          <w:szCs w:val="24"/>
        </w:rPr>
        <w:t xml:space="preserve"> patient-centred approach with education, </w:t>
      </w:r>
      <w:r w:rsidR="00223BC3">
        <w:rPr>
          <w:rFonts w:ascii="Times New Roman" w:hAnsi="Times New Roman" w:cs="Times New Roman"/>
          <w:sz w:val="24"/>
          <w:szCs w:val="24"/>
        </w:rPr>
        <w:t>c</w:t>
      </w:r>
      <w:r w:rsidR="004E14DD">
        <w:rPr>
          <w:rFonts w:ascii="Times New Roman" w:hAnsi="Times New Roman" w:cs="Times New Roman"/>
          <w:sz w:val="24"/>
          <w:szCs w:val="24"/>
        </w:rPr>
        <w:t>ollaborative decision making,</w:t>
      </w:r>
      <w:r w:rsidR="00223BC3">
        <w:rPr>
          <w:rFonts w:ascii="Times New Roman" w:hAnsi="Times New Roman" w:cs="Times New Roman"/>
          <w:sz w:val="24"/>
          <w:szCs w:val="24"/>
        </w:rPr>
        <w:t xml:space="preserve"> and</w:t>
      </w:r>
      <w:r w:rsidR="004A22E0">
        <w:rPr>
          <w:rFonts w:ascii="Times New Roman" w:hAnsi="Times New Roman" w:cs="Times New Roman"/>
          <w:sz w:val="24"/>
          <w:szCs w:val="24"/>
        </w:rPr>
        <w:t xml:space="preserve"> discussing</w:t>
      </w:r>
      <w:r w:rsidR="00223BC3">
        <w:rPr>
          <w:rFonts w:ascii="Times New Roman" w:hAnsi="Times New Roman" w:cs="Times New Roman"/>
          <w:sz w:val="24"/>
          <w:szCs w:val="24"/>
        </w:rPr>
        <w:t xml:space="preserve"> </w:t>
      </w:r>
      <w:r w:rsidR="004A22E0">
        <w:rPr>
          <w:rFonts w:ascii="Times New Roman" w:hAnsi="Times New Roman" w:cs="Times New Roman"/>
          <w:sz w:val="24"/>
          <w:szCs w:val="24"/>
        </w:rPr>
        <w:t xml:space="preserve">goals </w:t>
      </w:r>
      <w:r w:rsidR="00223BC3">
        <w:rPr>
          <w:rFonts w:ascii="Times New Roman" w:hAnsi="Times New Roman" w:cs="Times New Roman"/>
          <w:sz w:val="24"/>
          <w:szCs w:val="24"/>
        </w:rPr>
        <w:t xml:space="preserve">of care. </w:t>
      </w:r>
    </w:p>
    <w:p w14:paraId="4FDF50EE" w14:textId="2E066496" w:rsidR="00EE17B5" w:rsidRDefault="006B6A20" w:rsidP="006B6A20">
      <w:pPr>
        <w:spacing w:after="0" w:line="480" w:lineRule="auto"/>
        <w:ind w:firstLine="720"/>
        <w:jc w:val="both"/>
        <w:rPr>
          <w:rFonts w:ascii="Times New Roman" w:eastAsia="Times New Roman" w:hAnsi="Times New Roman" w:cs="Times New Roman"/>
          <w:sz w:val="24"/>
          <w:szCs w:val="24"/>
          <w:lang w:eastAsia="en-GB"/>
        </w:rPr>
      </w:pPr>
      <w:r w:rsidRPr="006B6A20">
        <w:rPr>
          <w:rFonts w:ascii="Times New Roman" w:eastAsia="Times New Roman" w:hAnsi="Times New Roman" w:cs="Times New Roman"/>
          <w:sz w:val="24"/>
          <w:szCs w:val="24"/>
          <w:highlight w:val="yellow"/>
          <w:lang w:eastAsia="en-GB"/>
        </w:rPr>
        <w:t>In the current study, the proportion of patients with high risk of frailty was extremely low (0.1%). While we do not know the exact reason for this, there are few possible explanations. The population which was used to derive the score were hospitalized patients who were age 75 years or older and were non-elective. In the current study, just under half (48.3%) of patients were of age less than 75 years. In addition, the heart failure cohort is non-</w:t>
      </w:r>
      <w:r w:rsidRPr="006B6A20">
        <w:rPr>
          <w:rFonts w:ascii="Times New Roman" w:eastAsia="Times New Roman" w:hAnsi="Times New Roman" w:cs="Times New Roman"/>
          <w:sz w:val="24"/>
          <w:szCs w:val="24"/>
          <w:highlight w:val="yellow"/>
          <w:lang w:eastAsia="en-GB"/>
        </w:rPr>
        <w:lastRenderedPageBreak/>
        <w:t>selective so there were patients with heart failure admissions that were classified as elective (8.8%). In addition, the heart failure cohort is different from the general non-selective elderly population admitted to hospital in terms of prevalence of potential factors contributing frailty risk. Furthermore, while we believe the ICD-9 codes are robust, there may be differences in coding practices on a local level comparing United States (current study) and United Kingdom (derivation study) which may account for a degree of differences in the proportion of frail patients.</w:t>
      </w:r>
    </w:p>
    <w:p w14:paraId="6B2852FE" w14:textId="71E80792" w:rsidR="00EE17B5" w:rsidRDefault="006B6A20" w:rsidP="006B6A20">
      <w:pPr>
        <w:spacing w:after="0" w:line="480" w:lineRule="auto"/>
        <w:ind w:firstLine="720"/>
        <w:jc w:val="both"/>
        <w:rPr>
          <w:rFonts w:ascii="Times New Roman" w:hAnsi="Times New Roman" w:cs="Times New Roman"/>
          <w:sz w:val="24"/>
          <w:szCs w:val="24"/>
        </w:rPr>
      </w:pPr>
      <w:r w:rsidRPr="006B6A20">
        <w:rPr>
          <w:rFonts w:ascii="Times New Roman" w:hAnsi="Times New Roman" w:cs="Times New Roman"/>
          <w:sz w:val="24"/>
          <w:szCs w:val="24"/>
          <w:highlight w:val="yellow"/>
        </w:rPr>
        <w:t>One of the key findings of the current study is an increase in the prevalence of frailty through the years of the study. While the exact reason for this is not clear, as the hospital frailty score is based on clinical diagnostic codes, it may relate to the increase in comorbidities in the heart failure population. We observed that overall the average Charlson comorbidity score increased from 1.5 in 2004 to 2.5 in 2014. In addition, the type of comorbidities has changed over time. For example, the most common variable contributing to frailty was chronic kidney disease and it increased from 2.7% in 2004 to 46.9% in 2014 and similar increases were observed for disorders of fluid, electrolyte and acid base balance and acute kidney failure. Finally, improved survival of patients with heart failure will provision of evidence based pharmacotherapy and device based therapies means that patients with heart failure are more likely to survive to develop a frailty phenotype in the future.</w:t>
      </w:r>
    </w:p>
    <w:p w14:paraId="20DFD048" w14:textId="3D28E51D" w:rsidR="00EE17B5" w:rsidRDefault="006B6A20" w:rsidP="006B6A20">
      <w:pPr>
        <w:spacing w:after="0" w:line="480" w:lineRule="auto"/>
        <w:ind w:firstLine="720"/>
        <w:jc w:val="both"/>
        <w:rPr>
          <w:rFonts w:ascii="Times New Roman" w:eastAsia="Times New Roman" w:hAnsi="Times New Roman" w:cs="Times New Roman"/>
          <w:sz w:val="24"/>
          <w:szCs w:val="24"/>
          <w:lang w:eastAsia="en-GB"/>
        </w:rPr>
      </w:pPr>
      <w:r w:rsidRPr="006B6A20">
        <w:rPr>
          <w:rFonts w:ascii="Times New Roman" w:hAnsi="Times New Roman" w:cs="Times New Roman"/>
          <w:sz w:val="24"/>
          <w:szCs w:val="24"/>
          <w:highlight w:val="yellow"/>
        </w:rPr>
        <w:t xml:space="preserve">We observed a declining trend in in-hospital mortality among heart failure patients which was apparent in the low and intermediate risk groups but not in the high risk group. We believe that trend towards lower mortality over time may reflect better inpatient care in recent years, including broader use of device based therapies and more aggressive medical management of heart failure which could have greater impact on the low and intermediate risk population who are managed more proactively with the best evidence based therapy. This is in contrast to the high risk of frailty population, which may have dementia or other disabilities so </w:t>
      </w:r>
      <w:r w:rsidRPr="006B6A20">
        <w:rPr>
          <w:rFonts w:ascii="Times New Roman" w:hAnsi="Times New Roman" w:cs="Times New Roman"/>
          <w:sz w:val="24"/>
          <w:szCs w:val="24"/>
          <w:highlight w:val="yellow"/>
        </w:rPr>
        <w:lastRenderedPageBreak/>
        <w:t>patients are managed more conservatively or with palliation and so may have not benefited from provision of advances in evidence based therapies. This is supported by the observation that comorbidity burden among this highest risk group increased significantly which may be a driver of mortality or decisions not to treat aggressively. We observed increases in the comorbidity as defined by the mean Charlson comorbidity index in recent years in all frailty groups but the increase was more much pronounced in the high risk of frailty group (1.5 in 2004 to 2.2 in 2014 in low risk, 1.9 in 2004 to 3.2 in 2014 in intermediate risk and 3.5 in 2004 to 4.3 in 2014). This increase in comorbidity in the highest risk group may tip the balance between benefit and risk of harm from aggressive management, so that the clinicians choose to manage the patient more conservatively.</w:t>
      </w:r>
    </w:p>
    <w:p w14:paraId="517A0A6C" w14:textId="2BEDCE3D" w:rsidR="00327F43" w:rsidRDefault="00327F43" w:rsidP="00F84C9C">
      <w:pPr>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rPr>
        <w:t xml:space="preserve">The current study has several limitations. </w:t>
      </w:r>
      <w:r w:rsidRPr="006328AD">
        <w:rPr>
          <w:rFonts w:ascii="Times New Roman" w:hAnsi="Times New Roman" w:cs="Times New Roman"/>
          <w:sz w:val="24"/>
          <w:szCs w:val="24"/>
          <w:lang w:val="en-US"/>
        </w:rPr>
        <w:t>First, the NIS is constructed with</w:t>
      </w:r>
      <w:r w:rsidR="00D828D5">
        <w:rPr>
          <w:rFonts w:ascii="Times New Roman" w:hAnsi="Times New Roman" w:cs="Times New Roman"/>
          <w:sz w:val="24"/>
          <w:szCs w:val="24"/>
          <w:lang w:val="en-US"/>
        </w:rPr>
        <w:t>out</w:t>
      </w:r>
      <w:r w:rsidRPr="006328AD">
        <w:rPr>
          <w:rFonts w:ascii="Times New Roman" w:hAnsi="Times New Roman" w:cs="Times New Roman"/>
          <w:sz w:val="24"/>
          <w:szCs w:val="24"/>
          <w:lang w:val="en-US"/>
        </w:rPr>
        <w:t xml:space="preserve"> a patient identifier </w:t>
      </w:r>
      <w:r w:rsidR="00D828D5">
        <w:rPr>
          <w:rFonts w:ascii="Times New Roman" w:hAnsi="Times New Roman" w:cs="Times New Roman"/>
          <w:sz w:val="24"/>
          <w:szCs w:val="24"/>
          <w:lang w:val="en-US"/>
        </w:rPr>
        <w:t>and the analysis is based on hospital episodes with heart failure</w:t>
      </w:r>
      <w:r w:rsidRPr="006328AD">
        <w:rPr>
          <w:rFonts w:ascii="Times New Roman" w:hAnsi="Times New Roman" w:cs="Times New Roman"/>
          <w:sz w:val="24"/>
          <w:szCs w:val="24"/>
          <w:lang w:val="en-US"/>
        </w:rPr>
        <w:t xml:space="preserve">. </w:t>
      </w:r>
      <w:r w:rsidR="00D828D5">
        <w:rPr>
          <w:rFonts w:ascii="Times New Roman" w:hAnsi="Times New Roman" w:cs="Times New Roman"/>
          <w:sz w:val="24"/>
          <w:szCs w:val="24"/>
          <w:lang w:val="en-US"/>
        </w:rPr>
        <w:t xml:space="preserve">Consequently, </w:t>
      </w:r>
      <w:r w:rsidRPr="006328AD">
        <w:rPr>
          <w:rFonts w:ascii="Times New Roman" w:hAnsi="Times New Roman" w:cs="Times New Roman"/>
          <w:sz w:val="24"/>
          <w:szCs w:val="24"/>
          <w:lang w:val="en-US"/>
        </w:rPr>
        <w:t xml:space="preserve">patients may appear more than once and there is no way of knowing to what extent a patient is counted more than once. Second, only ICD-9 codes were available </w:t>
      </w:r>
      <w:r w:rsidR="00D828D5">
        <w:rPr>
          <w:rFonts w:ascii="Times New Roman" w:hAnsi="Times New Roman" w:cs="Times New Roman"/>
          <w:sz w:val="24"/>
          <w:szCs w:val="24"/>
          <w:lang w:val="en-US"/>
        </w:rPr>
        <w:t xml:space="preserve">in this dataset </w:t>
      </w:r>
      <w:r w:rsidRPr="006328AD">
        <w:rPr>
          <w:rFonts w:ascii="Times New Roman" w:hAnsi="Times New Roman" w:cs="Times New Roman"/>
          <w:sz w:val="24"/>
          <w:szCs w:val="24"/>
          <w:lang w:val="en-US"/>
        </w:rPr>
        <w:t>so we had to map the codes from ICD-10 to ICD-9. While differences between coding versions for some conditions exist, there is evidence that ICD-9 and ICD-10 administrative data in recording clinical conditions is similar</w:t>
      </w:r>
      <w:r>
        <w:rPr>
          <w:rFonts w:ascii="Times New Roman" w:hAnsi="Times New Roman" w:cs="Times New Roman"/>
          <w:sz w:val="24"/>
          <w:szCs w:val="24"/>
          <w:lang w:val="en-US"/>
        </w:rPr>
        <w:t>.</w:t>
      </w:r>
      <w:r w:rsidR="00EE17B5">
        <w:rPr>
          <w:rFonts w:ascii="Times New Roman" w:hAnsi="Times New Roman" w:cs="Times New Roman"/>
          <w:sz w:val="24"/>
          <w:szCs w:val="24"/>
          <w:lang w:val="en-US"/>
        </w:rPr>
        <w:t>[</w:t>
      </w:r>
      <w:r w:rsidR="00EE17B5" w:rsidRPr="00EE17B5">
        <w:rPr>
          <w:rFonts w:ascii="Times New Roman" w:hAnsi="Times New Roman" w:cs="Times New Roman"/>
          <w:sz w:val="24"/>
          <w:szCs w:val="24"/>
          <w:highlight w:val="yellow"/>
          <w:lang w:val="en-US"/>
        </w:rPr>
        <w:t>20</w:t>
      </w:r>
      <w:r w:rsidR="002836AF">
        <w:rPr>
          <w:rFonts w:ascii="Times New Roman" w:hAnsi="Times New Roman" w:cs="Times New Roman"/>
          <w:sz w:val="24"/>
          <w:szCs w:val="24"/>
          <w:lang w:val="en-US"/>
        </w:rPr>
        <w:t>]</w:t>
      </w:r>
      <w:r w:rsidRPr="006328AD">
        <w:rPr>
          <w:rFonts w:ascii="Times New Roman" w:hAnsi="Times New Roman" w:cs="Times New Roman"/>
          <w:sz w:val="24"/>
          <w:szCs w:val="24"/>
          <w:lang w:val="en-US"/>
        </w:rPr>
        <w:t xml:space="preserve"> </w:t>
      </w:r>
      <w:r w:rsidR="002D55B4">
        <w:rPr>
          <w:rFonts w:ascii="Times New Roman" w:hAnsi="Times New Roman" w:cs="Times New Roman"/>
          <w:sz w:val="24"/>
          <w:szCs w:val="24"/>
          <w:lang w:val="en-US"/>
        </w:rPr>
        <w:t xml:space="preserve">However, these codes have the limitation that they do not differentiate between heart failure with reduced and preserved ejection fraction. </w:t>
      </w:r>
      <w:r w:rsidRPr="006328AD">
        <w:rPr>
          <w:rFonts w:ascii="Times New Roman" w:hAnsi="Times New Roman" w:cs="Times New Roman"/>
          <w:sz w:val="24"/>
          <w:szCs w:val="24"/>
          <w:lang w:val="en-US"/>
        </w:rPr>
        <w:t xml:space="preserve">Third, for any observational data, there is the potential for residual confounding and we cannot prove causality in our associations between frailty and outcome. Fourth, </w:t>
      </w:r>
      <w:r>
        <w:rPr>
          <w:rFonts w:ascii="Times New Roman" w:hAnsi="Times New Roman" w:cs="Times New Roman"/>
          <w:sz w:val="24"/>
          <w:szCs w:val="24"/>
          <w:lang w:val="en-US"/>
        </w:rPr>
        <w:t>we are unable to assess any of the other validated frailty measures in this cohort because the data to calculate these scores were not available</w:t>
      </w:r>
      <w:r w:rsidRPr="00EE17B5">
        <w:rPr>
          <w:rFonts w:ascii="Times New Roman" w:hAnsi="Times New Roman" w:cs="Times New Roman"/>
          <w:sz w:val="24"/>
          <w:szCs w:val="24"/>
          <w:lang w:val="en-US"/>
        </w:rPr>
        <w:t>.</w:t>
      </w:r>
      <w:r w:rsidR="004D79C5" w:rsidRPr="00EE17B5">
        <w:rPr>
          <w:rFonts w:ascii="Times New Roman" w:hAnsi="Times New Roman" w:cs="Times New Roman"/>
          <w:sz w:val="24"/>
          <w:szCs w:val="24"/>
          <w:lang w:val="en-US"/>
        </w:rPr>
        <w:t xml:space="preserve"> </w:t>
      </w:r>
      <w:r w:rsidR="0003278B" w:rsidRPr="00EE17B5">
        <w:rPr>
          <w:rFonts w:ascii="Times New Roman" w:hAnsi="Times New Roman" w:cs="Times New Roman"/>
          <w:sz w:val="24"/>
          <w:szCs w:val="24"/>
          <w:highlight w:val="yellow"/>
        </w:rPr>
        <w:t xml:space="preserve">Another limitation is the potential for miscoding in this large nationally representative dataset. We </w:t>
      </w:r>
      <w:r w:rsidR="005074C9">
        <w:rPr>
          <w:rFonts w:ascii="Times New Roman" w:hAnsi="Times New Roman" w:cs="Times New Roman"/>
          <w:sz w:val="24"/>
          <w:szCs w:val="24"/>
          <w:highlight w:val="yellow"/>
        </w:rPr>
        <w:t>observed</w:t>
      </w:r>
      <w:r w:rsidR="0003278B" w:rsidRPr="00EE17B5">
        <w:rPr>
          <w:rFonts w:ascii="Times New Roman" w:hAnsi="Times New Roman" w:cs="Times New Roman"/>
          <w:sz w:val="24"/>
          <w:szCs w:val="24"/>
          <w:highlight w:val="yellow"/>
        </w:rPr>
        <w:t xml:space="preserve"> low rates of patients with previous congestive heart failure and cannot exc</w:t>
      </w:r>
      <w:r w:rsidR="0003278B" w:rsidRPr="00FF7A48">
        <w:rPr>
          <w:rFonts w:ascii="Times New Roman" w:hAnsi="Times New Roman" w:cs="Times New Roman"/>
          <w:sz w:val="24"/>
          <w:szCs w:val="24"/>
          <w:highlight w:val="yellow"/>
        </w:rPr>
        <w:t xml:space="preserve">lude the possibility of coding errors. </w:t>
      </w:r>
      <w:r w:rsidR="00FF7A48" w:rsidRPr="00FF7A48">
        <w:rPr>
          <w:rFonts w:ascii="Times New Roman" w:hAnsi="Times New Roman" w:cs="Times New Roman"/>
          <w:sz w:val="24"/>
          <w:szCs w:val="24"/>
          <w:highlight w:val="yellow"/>
        </w:rPr>
        <w:t xml:space="preserve">For example, it could be that there were inaccuracies in documentation of existing heart failure in patients with primary admission for </w:t>
      </w:r>
      <w:r w:rsidR="00FF7A48" w:rsidRPr="00FF7A48">
        <w:rPr>
          <w:rFonts w:ascii="Times New Roman" w:hAnsi="Times New Roman" w:cs="Times New Roman"/>
          <w:sz w:val="24"/>
          <w:szCs w:val="24"/>
          <w:highlight w:val="yellow"/>
        </w:rPr>
        <w:lastRenderedPageBreak/>
        <w:t>heart failure.</w:t>
      </w:r>
      <w:r w:rsidR="00FF7A48">
        <w:rPr>
          <w:rFonts w:ascii="Times New Roman" w:hAnsi="Times New Roman" w:cs="Times New Roman"/>
          <w:sz w:val="24"/>
          <w:szCs w:val="24"/>
        </w:rPr>
        <w:t xml:space="preserve"> </w:t>
      </w:r>
      <w:r w:rsidR="001A4788">
        <w:rPr>
          <w:rFonts w:ascii="Times New Roman" w:hAnsi="Times New Roman" w:cs="Times New Roman"/>
          <w:sz w:val="24"/>
          <w:szCs w:val="24"/>
          <w:lang w:val="en-US"/>
        </w:rPr>
        <w:t>Finally, a key disadvantage of the current study is the lack of prescription data. This is particularly important as use of evidence</w:t>
      </w:r>
      <w:r w:rsidR="008C5DFA">
        <w:rPr>
          <w:rFonts w:ascii="Times New Roman" w:hAnsi="Times New Roman" w:cs="Times New Roman"/>
          <w:sz w:val="24"/>
          <w:szCs w:val="24"/>
          <w:lang w:val="en-US"/>
        </w:rPr>
        <w:t>-</w:t>
      </w:r>
      <w:r w:rsidR="001A4788">
        <w:rPr>
          <w:rFonts w:ascii="Times New Roman" w:hAnsi="Times New Roman" w:cs="Times New Roman"/>
          <w:sz w:val="24"/>
          <w:szCs w:val="24"/>
          <w:lang w:val="en-US"/>
        </w:rPr>
        <w:t>based therapies may contribute to differences in patients</w:t>
      </w:r>
      <w:r w:rsidR="00462F64">
        <w:rPr>
          <w:rFonts w:ascii="Times New Roman" w:hAnsi="Times New Roman" w:cs="Times New Roman"/>
          <w:sz w:val="24"/>
          <w:szCs w:val="24"/>
          <w:lang w:val="en-US"/>
        </w:rPr>
        <w:t>’</w:t>
      </w:r>
      <w:r w:rsidR="001A4788">
        <w:rPr>
          <w:rFonts w:ascii="Times New Roman" w:hAnsi="Times New Roman" w:cs="Times New Roman"/>
          <w:sz w:val="24"/>
          <w:szCs w:val="24"/>
          <w:lang w:val="en-US"/>
        </w:rPr>
        <w:t xml:space="preserve"> outcomes.</w:t>
      </w:r>
      <w:r w:rsidR="00462F64">
        <w:rPr>
          <w:rFonts w:ascii="Times New Roman" w:hAnsi="Times New Roman" w:cs="Times New Roman"/>
          <w:sz w:val="24"/>
          <w:szCs w:val="24"/>
          <w:lang w:val="en-US"/>
        </w:rPr>
        <w:t xml:space="preserve"> </w:t>
      </w:r>
      <w:r w:rsidR="008D2603">
        <w:rPr>
          <w:rFonts w:ascii="Times New Roman" w:hAnsi="Times New Roman" w:cs="Times New Roman"/>
          <w:sz w:val="24"/>
          <w:szCs w:val="24"/>
          <w:lang w:val="en-US"/>
        </w:rPr>
        <w:t>In the community study by Martin-Sanchez et al</w:t>
      </w:r>
      <w:r w:rsidR="002836AF">
        <w:rPr>
          <w:rFonts w:ascii="Times New Roman" w:hAnsi="Times New Roman" w:cs="Times New Roman"/>
          <w:sz w:val="24"/>
          <w:szCs w:val="24"/>
          <w:lang w:val="en-US"/>
        </w:rPr>
        <w:t>[15]</w:t>
      </w:r>
      <w:r w:rsidR="008D2603">
        <w:rPr>
          <w:rFonts w:ascii="Times New Roman" w:hAnsi="Times New Roman" w:cs="Times New Roman"/>
          <w:sz w:val="24"/>
          <w:szCs w:val="24"/>
          <w:lang w:val="en-US"/>
        </w:rPr>
        <w:t xml:space="preserve"> there was no difference in the use of any medications in acute episode treatment comparing the frail and non-frail groups. There was also no statistical difference in beta-blocker and angiotensin co</w:t>
      </w:r>
      <w:r w:rsidR="00E71F71">
        <w:rPr>
          <w:rFonts w:ascii="Times New Roman" w:hAnsi="Times New Roman" w:cs="Times New Roman"/>
          <w:sz w:val="24"/>
          <w:szCs w:val="24"/>
          <w:lang w:val="en-US"/>
        </w:rPr>
        <w:t>n</w:t>
      </w:r>
      <w:r w:rsidR="008D2603">
        <w:rPr>
          <w:rFonts w:ascii="Times New Roman" w:hAnsi="Times New Roman" w:cs="Times New Roman"/>
          <w:sz w:val="24"/>
          <w:szCs w:val="24"/>
          <w:lang w:val="en-US"/>
        </w:rPr>
        <w:t xml:space="preserve">verting enzyme inhibitors reported by the </w:t>
      </w:r>
      <w:r w:rsidR="00196A91">
        <w:rPr>
          <w:rFonts w:ascii="Times New Roman" w:hAnsi="Times New Roman" w:cs="Times New Roman"/>
          <w:sz w:val="24"/>
          <w:szCs w:val="24"/>
          <w:lang w:val="en-US"/>
        </w:rPr>
        <w:t xml:space="preserve">community </w:t>
      </w:r>
      <w:r w:rsidR="008D2603">
        <w:rPr>
          <w:rFonts w:ascii="Times New Roman" w:hAnsi="Times New Roman" w:cs="Times New Roman"/>
          <w:sz w:val="24"/>
          <w:szCs w:val="24"/>
          <w:lang w:val="en-US"/>
        </w:rPr>
        <w:t>study by McNallan et al but they did report an increased prevalence of statin use in the more functionally deficit tertile.</w:t>
      </w:r>
      <w:r w:rsidR="002836AF">
        <w:rPr>
          <w:rFonts w:ascii="Times New Roman" w:hAnsi="Times New Roman" w:cs="Times New Roman"/>
          <w:sz w:val="24"/>
          <w:szCs w:val="24"/>
          <w:lang w:val="en-US"/>
        </w:rPr>
        <w:t>[17]</w:t>
      </w:r>
      <w:r w:rsidR="00196A91">
        <w:rPr>
          <w:rFonts w:ascii="Times New Roman" w:hAnsi="Times New Roman" w:cs="Times New Roman"/>
          <w:sz w:val="24"/>
          <w:szCs w:val="24"/>
          <w:lang w:val="en-US"/>
        </w:rPr>
        <w:t xml:space="preserve"> The consideration of whether medications may differentially improve outcomes according to frailty status </w:t>
      </w:r>
      <w:r w:rsidR="00C20AFF">
        <w:rPr>
          <w:rFonts w:ascii="Times New Roman" w:hAnsi="Times New Roman" w:cs="Times New Roman"/>
          <w:sz w:val="24"/>
          <w:szCs w:val="24"/>
          <w:lang w:val="en-US"/>
        </w:rPr>
        <w:t xml:space="preserve">in heart failure patients </w:t>
      </w:r>
      <w:r w:rsidR="00196A91">
        <w:rPr>
          <w:rFonts w:ascii="Times New Roman" w:hAnsi="Times New Roman" w:cs="Times New Roman"/>
          <w:sz w:val="24"/>
          <w:szCs w:val="24"/>
          <w:lang w:val="en-US"/>
        </w:rPr>
        <w:t xml:space="preserve">may be a potential area for further research. </w:t>
      </w:r>
    </w:p>
    <w:p w14:paraId="1244F01B" w14:textId="75EF37DB" w:rsidR="00F9766E" w:rsidRPr="00F9766E" w:rsidRDefault="00F9766E" w:rsidP="00F9766E">
      <w:pPr>
        <w:spacing w:after="0" w:line="48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Conclusions</w:t>
      </w:r>
    </w:p>
    <w:p w14:paraId="46A6E0E0" w14:textId="25151C45" w:rsidR="000C5B61" w:rsidRDefault="008C46FB" w:rsidP="00A063D5">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In conclusion, for the first time we have utilized the Hospital Frailty Risk Score to evaluate the risk of frailty in a national heart failure cohort in the United States and found that 1 in 5 patients are frail and rates are rising. Compared to low risk of frailty patients, patients that are frail have increased in-hospital mortality, length of stay, inpatient costs and </w:t>
      </w:r>
      <w:r w:rsidR="006721B7">
        <w:rPr>
          <w:rFonts w:ascii="Times New Roman" w:hAnsi="Times New Roman" w:cs="Times New Roman"/>
          <w:sz w:val="24"/>
          <w:szCs w:val="24"/>
        </w:rPr>
        <w:t>a greater proportion are discharged to nursing home.</w:t>
      </w:r>
      <w:r w:rsidR="004D79C5">
        <w:rPr>
          <w:rFonts w:ascii="Times New Roman" w:hAnsi="Times New Roman" w:cs="Times New Roman"/>
          <w:sz w:val="24"/>
          <w:szCs w:val="24"/>
        </w:rPr>
        <w:t xml:space="preserve"> </w:t>
      </w:r>
      <w:r w:rsidR="00A063D5">
        <w:rPr>
          <w:rFonts w:ascii="Times New Roman" w:hAnsi="Times New Roman" w:cs="Times New Roman"/>
          <w:sz w:val="24"/>
          <w:szCs w:val="24"/>
        </w:rPr>
        <w:t xml:space="preserve">These findings indicate that assessment of frailty in hospitalized patients is important as these patients have worse survival and specific modalities to minimize the impact of frailty such as exercise, protein-calorie supplementation, vitamin D and reduction of polypharmacy should be </w:t>
      </w:r>
      <w:r w:rsidR="000604EC">
        <w:rPr>
          <w:rFonts w:ascii="Times New Roman" w:hAnsi="Times New Roman" w:cs="Times New Roman"/>
          <w:sz w:val="24"/>
          <w:szCs w:val="24"/>
        </w:rPr>
        <w:t xml:space="preserve">considered </w:t>
      </w:r>
      <w:r w:rsidR="00A063D5">
        <w:rPr>
          <w:rFonts w:ascii="Times New Roman" w:hAnsi="Times New Roman" w:cs="Times New Roman"/>
          <w:sz w:val="24"/>
          <w:szCs w:val="24"/>
        </w:rPr>
        <w:t>in high risk of frailty groups.</w:t>
      </w:r>
    </w:p>
    <w:p w14:paraId="3E561FDE" w14:textId="77777777" w:rsidR="00F9766E" w:rsidRDefault="00F9766E">
      <w:pPr>
        <w:rPr>
          <w:b/>
          <w:lang w:val="en-US"/>
        </w:rPr>
      </w:pPr>
    </w:p>
    <w:p w14:paraId="09115581" w14:textId="77777777" w:rsidR="00F9766E" w:rsidRPr="006C2130" w:rsidRDefault="00F9766E" w:rsidP="00F9766E">
      <w:pPr>
        <w:autoSpaceDE w:val="0"/>
        <w:autoSpaceDN w:val="0"/>
        <w:adjustRightInd w:val="0"/>
        <w:spacing w:after="0" w:line="360" w:lineRule="auto"/>
        <w:jc w:val="both"/>
        <w:rPr>
          <w:rFonts w:ascii="Times New Roman" w:hAnsi="Times New Roman"/>
          <w:sz w:val="24"/>
          <w:szCs w:val="24"/>
        </w:rPr>
      </w:pPr>
      <w:r w:rsidRPr="006C2130">
        <w:rPr>
          <w:rFonts w:ascii="Times New Roman" w:hAnsi="Times New Roman"/>
          <w:b/>
          <w:sz w:val="24"/>
          <w:szCs w:val="24"/>
        </w:rPr>
        <w:t>Author statement</w:t>
      </w:r>
      <w:r w:rsidRPr="006C2130">
        <w:rPr>
          <w:rFonts w:ascii="Times New Roman" w:hAnsi="Times New Roman"/>
          <w:sz w:val="24"/>
          <w:szCs w:val="24"/>
        </w:rPr>
        <w:tab/>
      </w:r>
    </w:p>
    <w:p w14:paraId="7909DEC5" w14:textId="77777777" w:rsidR="00F9766E" w:rsidRPr="006C2130" w:rsidRDefault="00F9766E" w:rsidP="00F9766E">
      <w:pPr>
        <w:autoSpaceDE w:val="0"/>
        <w:autoSpaceDN w:val="0"/>
        <w:adjustRightInd w:val="0"/>
        <w:spacing w:after="0" w:line="360" w:lineRule="auto"/>
        <w:jc w:val="both"/>
        <w:rPr>
          <w:rFonts w:ascii="Times New Roman" w:hAnsi="Times New Roman"/>
          <w:sz w:val="24"/>
          <w:szCs w:val="24"/>
          <w:lang w:val="en-US"/>
        </w:rPr>
      </w:pPr>
      <w:r w:rsidRPr="006C2130">
        <w:rPr>
          <w:rFonts w:ascii="Times New Roman" w:hAnsi="Times New Roman"/>
          <w:sz w:val="24"/>
          <w:szCs w:val="24"/>
        </w:rPr>
        <w:tab/>
        <w:t>All authors take responsibility for all aspects of the reliability and freedom from bias of the data presented and their discussed interpretation.</w:t>
      </w:r>
    </w:p>
    <w:p w14:paraId="0AB43284" w14:textId="77777777" w:rsidR="00F9766E" w:rsidRDefault="00F9766E" w:rsidP="00F9766E">
      <w:pPr>
        <w:spacing w:after="0" w:line="480" w:lineRule="auto"/>
        <w:rPr>
          <w:rFonts w:ascii="Times New Roman" w:hAnsi="Times New Roman" w:cs="Times New Roman"/>
          <w:b/>
          <w:sz w:val="24"/>
          <w:szCs w:val="24"/>
          <w:lang w:val="en-US"/>
        </w:rPr>
      </w:pPr>
    </w:p>
    <w:p w14:paraId="3E02AAAD" w14:textId="77777777" w:rsidR="00F9766E" w:rsidRDefault="00F9766E" w:rsidP="00F9766E">
      <w:pPr>
        <w:spacing w:after="0" w:line="360"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Contributors</w:t>
      </w:r>
      <w:r>
        <w:rPr>
          <w:rFonts w:ascii="Times New Roman" w:hAnsi="Times New Roman" w:cs="Times New Roman"/>
          <w:sz w:val="24"/>
          <w:szCs w:val="24"/>
          <w:lang w:val="en-US"/>
        </w:rPr>
        <w:t xml:space="preserve"> </w:t>
      </w:r>
    </w:p>
    <w:p w14:paraId="075A7595" w14:textId="733ADBD2" w:rsidR="00F9766E" w:rsidRDefault="00F9766E" w:rsidP="00F9766E">
      <w:pPr>
        <w:spacing w:after="0"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CSK and MAM designed the study and concept. CSK performed the data analysis and CSK and MAM wrote the first draft of the manuscript.  All authors contributed to the writing of the paper.</w:t>
      </w:r>
    </w:p>
    <w:p w14:paraId="345D9A97" w14:textId="77777777" w:rsidR="00F9766E" w:rsidRDefault="00F9766E" w:rsidP="00F9766E">
      <w:pPr>
        <w:rPr>
          <w:rFonts w:ascii="Times New Roman" w:hAnsi="Times New Roman" w:cs="Times New Roman"/>
          <w:b/>
          <w:sz w:val="24"/>
          <w:szCs w:val="24"/>
          <w:lang w:val="en-US"/>
        </w:rPr>
      </w:pPr>
    </w:p>
    <w:p w14:paraId="060054F2" w14:textId="77777777" w:rsidR="00F9766E" w:rsidRDefault="00F9766E" w:rsidP="00F9766E">
      <w:pPr>
        <w:spacing w:after="0" w:line="480" w:lineRule="auto"/>
        <w:rPr>
          <w:rFonts w:ascii="Times New Roman" w:hAnsi="Times New Roman" w:cs="Times New Roman"/>
          <w:b/>
          <w:sz w:val="24"/>
          <w:szCs w:val="24"/>
          <w:lang w:val="en-US"/>
        </w:rPr>
      </w:pPr>
      <w:r>
        <w:rPr>
          <w:rFonts w:ascii="Times New Roman" w:hAnsi="Times New Roman" w:cs="Times New Roman"/>
          <w:b/>
          <w:sz w:val="24"/>
          <w:szCs w:val="24"/>
          <w:lang w:val="en-US"/>
        </w:rPr>
        <w:t xml:space="preserve">Funding Sources </w:t>
      </w:r>
    </w:p>
    <w:p w14:paraId="55C78355" w14:textId="77777777" w:rsidR="00F9766E" w:rsidRPr="00D37015" w:rsidRDefault="00F9766E" w:rsidP="00F9766E">
      <w:pPr>
        <w:spacing w:after="0" w:line="480" w:lineRule="auto"/>
        <w:ind w:firstLine="720"/>
        <w:rPr>
          <w:rFonts w:ascii="Times New Roman" w:hAnsi="Times New Roman" w:cs="Times New Roman"/>
          <w:b/>
          <w:sz w:val="24"/>
          <w:szCs w:val="24"/>
          <w:lang w:val="en-US"/>
        </w:rPr>
      </w:pPr>
      <w:r w:rsidRPr="006B21D3">
        <w:rPr>
          <w:rFonts w:ascii="Times New Roman" w:hAnsi="Times New Roman" w:cs="Times New Roman"/>
          <w:sz w:val="24"/>
          <w:szCs w:val="24"/>
        </w:rPr>
        <w:t>The study was supported by a grant from the Research and Development Department at the Royal Stoke Hospital. This work is conducted as a part of PhD for CSK which is supported by Biosensors International.</w:t>
      </w:r>
    </w:p>
    <w:p w14:paraId="37BBAD67" w14:textId="56601017" w:rsidR="00E1035F" w:rsidRDefault="00E1035F">
      <w:pPr>
        <w:rPr>
          <w:b/>
          <w:lang w:val="en-US"/>
        </w:rPr>
      </w:pPr>
      <w:r>
        <w:rPr>
          <w:b/>
          <w:lang w:val="en-US"/>
        </w:rPr>
        <w:br w:type="page"/>
      </w:r>
    </w:p>
    <w:p w14:paraId="064EAAE3" w14:textId="4B4B8333" w:rsidR="00361B77" w:rsidRPr="00E56D1F" w:rsidRDefault="00361B77" w:rsidP="00361B77">
      <w:pPr>
        <w:rPr>
          <w:rFonts w:ascii="Times New Roman" w:hAnsi="Times New Roman" w:cs="Times New Roman"/>
          <w:b/>
          <w:sz w:val="24"/>
          <w:szCs w:val="24"/>
        </w:rPr>
      </w:pPr>
      <w:r w:rsidRPr="00E56D1F">
        <w:rPr>
          <w:rFonts w:ascii="Times New Roman" w:hAnsi="Times New Roman" w:cs="Times New Roman"/>
          <w:b/>
          <w:sz w:val="24"/>
          <w:szCs w:val="24"/>
        </w:rPr>
        <w:lastRenderedPageBreak/>
        <w:t>References</w:t>
      </w:r>
    </w:p>
    <w:p w14:paraId="12FE6EC8" w14:textId="77777777" w:rsidR="00361B77" w:rsidRPr="00E56D1F" w:rsidRDefault="00361B77" w:rsidP="00361B77">
      <w:pPr>
        <w:pStyle w:val="EndnoteText"/>
        <w:numPr>
          <w:ilvl w:val="0"/>
          <w:numId w:val="9"/>
        </w:numPr>
        <w:rPr>
          <w:rFonts w:ascii="Times New Roman" w:hAnsi="Times New Roman" w:cs="Times New Roman"/>
          <w:sz w:val="24"/>
          <w:szCs w:val="24"/>
        </w:rPr>
      </w:pPr>
      <w:r w:rsidRPr="00E56D1F">
        <w:rPr>
          <w:rFonts w:ascii="Times New Roman" w:hAnsi="Times New Roman" w:cs="Times New Roman"/>
          <w:sz w:val="24"/>
          <w:szCs w:val="24"/>
        </w:rPr>
        <w:t>Q.L. Xue. The Fraity Syndrome: Definition and Natural History. Clin Geriatr Med. 27 (2011) 1-15.</w:t>
      </w:r>
    </w:p>
    <w:p w14:paraId="45EC977E" w14:textId="77777777" w:rsidR="00361B77" w:rsidRPr="00E56D1F" w:rsidRDefault="00361B77" w:rsidP="00361B77">
      <w:pPr>
        <w:pStyle w:val="EndnoteText"/>
        <w:numPr>
          <w:ilvl w:val="0"/>
          <w:numId w:val="9"/>
        </w:numPr>
        <w:rPr>
          <w:rFonts w:ascii="Times New Roman" w:hAnsi="Times New Roman" w:cs="Times New Roman"/>
          <w:sz w:val="24"/>
          <w:szCs w:val="24"/>
        </w:rPr>
      </w:pPr>
      <w:r w:rsidRPr="00E56D1F">
        <w:rPr>
          <w:rFonts w:ascii="Times New Roman" w:hAnsi="Times New Roman" w:cs="Times New Roman"/>
          <w:color w:val="000000"/>
          <w:sz w:val="24"/>
          <w:szCs w:val="24"/>
          <w:shd w:val="clear" w:color="auto" w:fill="FFFFFF"/>
        </w:rPr>
        <w:t>X. Song, A. Mitnitski, K. Rockwood. Prevalence and 10-year outcomes of frailty in older adults in relation to deficit accumulation. </w:t>
      </w:r>
      <w:r w:rsidRPr="00E56D1F">
        <w:rPr>
          <w:rStyle w:val="ref-journal"/>
          <w:rFonts w:ascii="Times New Roman" w:hAnsi="Times New Roman" w:cs="Times New Roman"/>
          <w:color w:val="000000"/>
          <w:sz w:val="24"/>
          <w:szCs w:val="24"/>
          <w:shd w:val="clear" w:color="auto" w:fill="FFFFFF"/>
        </w:rPr>
        <w:t>J Am Geriatr Soc. 58 (</w:t>
      </w:r>
      <w:r w:rsidRPr="00E56D1F">
        <w:rPr>
          <w:rFonts w:ascii="Times New Roman" w:hAnsi="Times New Roman" w:cs="Times New Roman"/>
          <w:color w:val="000000"/>
          <w:sz w:val="24"/>
          <w:szCs w:val="24"/>
          <w:shd w:val="clear" w:color="auto" w:fill="FFFFFF"/>
        </w:rPr>
        <w:t>2010) 681–687.</w:t>
      </w:r>
    </w:p>
    <w:p w14:paraId="207C9664" w14:textId="77777777" w:rsidR="00361B77" w:rsidRPr="00E56D1F" w:rsidRDefault="00361B77" w:rsidP="00361B77">
      <w:pPr>
        <w:pStyle w:val="EndnoteText"/>
        <w:numPr>
          <w:ilvl w:val="0"/>
          <w:numId w:val="9"/>
        </w:numPr>
        <w:rPr>
          <w:rFonts w:ascii="Times New Roman" w:hAnsi="Times New Roman" w:cs="Times New Roman"/>
          <w:sz w:val="24"/>
          <w:szCs w:val="24"/>
        </w:rPr>
      </w:pPr>
      <w:r w:rsidRPr="00E56D1F">
        <w:rPr>
          <w:rFonts w:ascii="Times New Roman" w:hAnsi="Times New Roman" w:cs="Times New Roman"/>
          <w:sz w:val="24"/>
          <w:szCs w:val="24"/>
        </w:rPr>
        <w:t>S.E. Espinoza, M. Quiben, H.P. Hazuda. Distinguishing comorbidity, disability, and frailty. Curr Geriatrics Rep. 7 (2018) 201-209.</w:t>
      </w:r>
    </w:p>
    <w:p w14:paraId="66A23718" w14:textId="77777777" w:rsidR="00361B77" w:rsidRPr="00E56D1F" w:rsidRDefault="00361B77" w:rsidP="00361B77">
      <w:pPr>
        <w:pStyle w:val="EndnoteText"/>
        <w:numPr>
          <w:ilvl w:val="0"/>
          <w:numId w:val="9"/>
        </w:numPr>
        <w:rPr>
          <w:rFonts w:ascii="Times New Roman" w:hAnsi="Times New Roman" w:cs="Times New Roman"/>
          <w:sz w:val="24"/>
          <w:szCs w:val="24"/>
        </w:rPr>
      </w:pPr>
      <w:r w:rsidRPr="00E56D1F">
        <w:rPr>
          <w:rFonts w:ascii="Times New Roman" w:hAnsi="Times New Roman" w:cs="Times New Roman"/>
          <w:sz w:val="24"/>
          <w:szCs w:val="24"/>
        </w:rPr>
        <w:t>I. Uchmanowicz, A. Mlynarska, M. Lisiak, M. Kaluzna-Oleksy, M. Wiklik, A. Chudiak, M. Dudek, J. Migaj, L. HInterbuchner, R. Gobbens. Heart failure problems with frailty syndrome: Why it is time to care about frailty syndrome in heart failure. Card Fail Rev. 5 (2019) 37-43.</w:t>
      </w:r>
    </w:p>
    <w:p w14:paraId="78287978" w14:textId="77777777" w:rsidR="00361B77" w:rsidRPr="00E56D1F" w:rsidRDefault="00361B77" w:rsidP="00361B77">
      <w:pPr>
        <w:pStyle w:val="EndnoteText"/>
        <w:numPr>
          <w:ilvl w:val="0"/>
          <w:numId w:val="9"/>
        </w:numPr>
        <w:rPr>
          <w:rFonts w:ascii="Times New Roman" w:hAnsi="Times New Roman" w:cs="Times New Roman"/>
          <w:sz w:val="24"/>
          <w:szCs w:val="24"/>
        </w:rPr>
      </w:pPr>
      <w:r w:rsidRPr="00E56D1F">
        <w:rPr>
          <w:rFonts w:ascii="Times New Roman" w:hAnsi="Times New Roman" w:cs="Times New Roman"/>
          <w:sz w:val="24"/>
          <w:szCs w:val="24"/>
        </w:rPr>
        <w:t>X. Yang, J. Lupon, M.T. Vidan, C. Ferguson, P. Gastelurrutia, P.J. Newton, P.S. Macdonald, H. Bueno, A. Bayes-Genis, J. Woo, E. Fung. Impact of frailty on mortality and hospitalization in chronic heart failure: A systematic review and meta-analysis. J Am Heart Assoc. 7 (2018) e008251.</w:t>
      </w:r>
    </w:p>
    <w:p w14:paraId="43C8E40F" w14:textId="77777777" w:rsidR="00361B77" w:rsidRPr="00E56D1F" w:rsidRDefault="00361B77" w:rsidP="00361B77">
      <w:pPr>
        <w:pStyle w:val="EndnoteText"/>
        <w:numPr>
          <w:ilvl w:val="0"/>
          <w:numId w:val="9"/>
        </w:numPr>
        <w:rPr>
          <w:rFonts w:ascii="Times New Roman" w:hAnsi="Times New Roman" w:cs="Times New Roman"/>
          <w:sz w:val="24"/>
          <w:szCs w:val="24"/>
        </w:rPr>
      </w:pPr>
      <w:r w:rsidRPr="00E56D1F">
        <w:rPr>
          <w:rFonts w:ascii="Times New Roman" w:hAnsi="Times New Roman" w:cs="Times New Roman"/>
          <w:sz w:val="24"/>
          <w:szCs w:val="24"/>
        </w:rPr>
        <w:t>I. Uchmanowicz, R.J. Gobbens. The relationship between frailty, anxiety and depression, and health-related quality of life in elderly patients with heart failure. Clin Interv Aging. 10 (2015) 1595-1600.</w:t>
      </w:r>
    </w:p>
    <w:p w14:paraId="0CE1E9D8" w14:textId="77777777" w:rsidR="00361B77" w:rsidRPr="00E56D1F" w:rsidRDefault="00361B77" w:rsidP="00361B77">
      <w:pPr>
        <w:pStyle w:val="EndnoteText"/>
        <w:numPr>
          <w:ilvl w:val="0"/>
          <w:numId w:val="9"/>
        </w:numPr>
        <w:rPr>
          <w:rFonts w:ascii="Times New Roman" w:hAnsi="Times New Roman" w:cs="Times New Roman"/>
          <w:sz w:val="24"/>
          <w:szCs w:val="24"/>
        </w:rPr>
      </w:pPr>
      <w:r w:rsidRPr="00E56D1F">
        <w:rPr>
          <w:rFonts w:ascii="Times New Roman" w:hAnsi="Times New Roman" w:cs="Times New Roman"/>
          <w:sz w:val="24"/>
          <w:szCs w:val="24"/>
        </w:rPr>
        <w:t xml:space="preserve">D. Goldwater, N.L. Altman. Frailty: How to define and measure. In: Frailty and heart failure. Available at: </w:t>
      </w:r>
      <w:hyperlink r:id="rId9" w:history="1">
        <w:r w:rsidRPr="00E56D1F">
          <w:rPr>
            <w:rStyle w:val="Hyperlink"/>
            <w:rFonts w:ascii="Times New Roman" w:hAnsi="Times New Roman" w:cs="Times New Roman"/>
            <w:sz w:val="24"/>
            <w:szCs w:val="24"/>
          </w:rPr>
          <w:t>https://www.acc.org/latest-in-cardiology/articles/2016/08/05/08/40/frailty-and-heart-failure</w:t>
        </w:r>
      </w:hyperlink>
    </w:p>
    <w:p w14:paraId="51D4C781" w14:textId="77777777" w:rsidR="00361B77" w:rsidRPr="00E56D1F" w:rsidRDefault="00361B77" w:rsidP="00361B77">
      <w:pPr>
        <w:pStyle w:val="EndnoteText"/>
        <w:numPr>
          <w:ilvl w:val="0"/>
          <w:numId w:val="9"/>
        </w:numPr>
        <w:rPr>
          <w:rFonts w:ascii="Times New Roman" w:hAnsi="Times New Roman" w:cs="Times New Roman"/>
          <w:sz w:val="24"/>
          <w:szCs w:val="24"/>
        </w:rPr>
      </w:pPr>
      <w:r w:rsidRPr="00E56D1F">
        <w:rPr>
          <w:rFonts w:ascii="Times New Roman" w:hAnsi="Times New Roman" w:cs="Times New Roman"/>
          <w:sz w:val="24"/>
          <w:szCs w:val="24"/>
        </w:rPr>
        <w:t>C. Vitale, I. Spoletini, G.M.C Rosano. Frailty in heart failure: implications for management. Card Fail Rev. 4 (2018) 104-106.</w:t>
      </w:r>
    </w:p>
    <w:p w14:paraId="6AF67701" w14:textId="77777777" w:rsidR="00361B77" w:rsidRPr="00E56D1F" w:rsidRDefault="00361B77" w:rsidP="00361B77">
      <w:pPr>
        <w:pStyle w:val="EndnoteText"/>
        <w:numPr>
          <w:ilvl w:val="0"/>
          <w:numId w:val="9"/>
        </w:numPr>
        <w:rPr>
          <w:rFonts w:ascii="Times New Roman" w:hAnsi="Times New Roman" w:cs="Times New Roman"/>
          <w:sz w:val="24"/>
          <w:szCs w:val="24"/>
        </w:rPr>
      </w:pPr>
      <w:r w:rsidRPr="00E56D1F">
        <w:rPr>
          <w:rFonts w:ascii="Times New Roman" w:hAnsi="Times New Roman" w:cs="Times New Roman"/>
          <w:sz w:val="24"/>
          <w:szCs w:val="24"/>
        </w:rPr>
        <w:t>X. Wang, C. Zhou, Y. Li, H. Li, Q. Cao, F. Li. Prognostic value of frailty for older patients with heart failure: A systematic review and meta-analysis of prospective studies. BioMed Res Intern. (2018) 8739058.</w:t>
      </w:r>
    </w:p>
    <w:p w14:paraId="0C4044B9" w14:textId="77777777" w:rsidR="00361B77" w:rsidRPr="00E56D1F" w:rsidRDefault="00361B77" w:rsidP="00361B77">
      <w:pPr>
        <w:pStyle w:val="EndnoteText"/>
        <w:numPr>
          <w:ilvl w:val="0"/>
          <w:numId w:val="9"/>
        </w:numPr>
        <w:rPr>
          <w:rFonts w:ascii="Times New Roman" w:hAnsi="Times New Roman" w:cs="Times New Roman"/>
          <w:sz w:val="24"/>
          <w:szCs w:val="24"/>
        </w:rPr>
      </w:pPr>
      <w:r w:rsidRPr="00E56D1F">
        <w:rPr>
          <w:rFonts w:ascii="Times New Roman" w:hAnsi="Times New Roman" w:cs="Times New Roman"/>
          <w:sz w:val="24"/>
          <w:szCs w:val="24"/>
        </w:rPr>
        <w:t>J. McDonagh, L. Martin, C. Ferguson, S.R. Jha, P.S. Macdonald, P.M. Davidson, P.J. Newton. Frailty assessment instruments in heart failure: A systematic review. Eur J Cardiovasc Nurs. 17 (2018) 23-25.</w:t>
      </w:r>
    </w:p>
    <w:p w14:paraId="18991B4A" w14:textId="77777777" w:rsidR="00361B77" w:rsidRPr="00E56D1F" w:rsidRDefault="00361B77" w:rsidP="00361B77">
      <w:pPr>
        <w:pStyle w:val="EndnoteText"/>
        <w:numPr>
          <w:ilvl w:val="0"/>
          <w:numId w:val="9"/>
        </w:numPr>
        <w:rPr>
          <w:rFonts w:ascii="Times New Roman" w:hAnsi="Times New Roman" w:cs="Times New Roman"/>
          <w:sz w:val="24"/>
          <w:szCs w:val="24"/>
        </w:rPr>
      </w:pPr>
      <w:r w:rsidRPr="00E56D1F">
        <w:rPr>
          <w:rFonts w:ascii="Times New Roman" w:hAnsi="Times New Roman" w:cs="Times New Roman"/>
          <w:sz w:val="24"/>
          <w:szCs w:val="24"/>
        </w:rPr>
        <w:t>T. Gilbert, J. Neuburger, J. Kraindler, E. Keeble, P. Smith, C. Ariti, S. Arora, A. Street, S. Parker, H.C. Roberts, M. Bardsley, S. Conroy. Development and validation of a Hospital Frailty Risk Score focusing on older people in acute care setting using electronic hospital records: an observational study. Lancet. 391 (2018) P1775-1782.</w:t>
      </w:r>
    </w:p>
    <w:p w14:paraId="44B8B48F" w14:textId="77777777" w:rsidR="00361B77" w:rsidRPr="00E56D1F" w:rsidRDefault="00361B77" w:rsidP="00361B77">
      <w:pPr>
        <w:pStyle w:val="EndnoteText"/>
        <w:numPr>
          <w:ilvl w:val="0"/>
          <w:numId w:val="9"/>
        </w:numPr>
        <w:rPr>
          <w:rFonts w:ascii="Times New Roman" w:hAnsi="Times New Roman" w:cs="Times New Roman"/>
          <w:sz w:val="24"/>
          <w:szCs w:val="24"/>
        </w:rPr>
      </w:pPr>
      <w:r w:rsidRPr="00E56D1F">
        <w:rPr>
          <w:rFonts w:ascii="Times New Roman" w:hAnsi="Times New Roman" w:cs="Times New Roman"/>
          <w:sz w:val="24"/>
          <w:szCs w:val="24"/>
        </w:rPr>
        <w:t>J. Potts, A. Sirker, S.C. Martinez, M. Gulati, M. Alasnag, M. Rashid, C.S. Kwok, J. Ensor, D.L. Burke, R.D. Riley, L. Holmvang, M.A. Mamas. Persistent sex disparities in clinical outcomes with percutaneous coronary intervention: Insights from 6.6 million PCI procedures in the United States. PLoS One. (2018) e0203325.</w:t>
      </w:r>
    </w:p>
    <w:p w14:paraId="7CF3A125" w14:textId="77777777" w:rsidR="00361B77" w:rsidRPr="00E56D1F" w:rsidRDefault="00361B77" w:rsidP="00361B77">
      <w:pPr>
        <w:pStyle w:val="EndnoteText"/>
        <w:numPr>
          <w:ilvl w:val="0"/>
          <w:numId w:val="9"/>
        </w:numPr>
        <w:rPr>
          <w:rFonts w:ascii="Times New Roman" w:hAnsi="Times New Roman" w:cs="Times New Roman"/>
          <w:sz w:val="24"/>
          <w:szCs w:val="24"/>
        </w:rPr>
      </w:pPr>
      <w:r w:rsidRPr="00E56D1F">
        <w:rPr>
          <w:rFonts w:ascii="Times New Roman" w:hAnsi="Times New Roman" w:cs="Times New Roman"/>
          <w:sz w:val="24"/>
          <w:szCs w:val="24"/>
        </w:rPr>
        <w:t>https://www.hcup-us.ahrq.gov/toolssoftware/comorbidity/comorbidity.jsp</w:t>
      </w:r>
    </w:p>
    <w:p w14:paraId="297A086C" w14:textId="77777777" w:rsidR="00361B77" w:rsidRPr="00E56D1F" w:rsidRDefault="00361B77" w:rsidP="00361B77">
      <w:pPr>
        <w:pStyle w:val="EndnoteText"/>
        <w:numPr>
          <w:ilvl w:val="0"/>
          <w:numId w:val="9"/>
        </w:numPr>
        <w:rPr>
          <w:rFonts w:ascii="Times New Roman" w:hAnsi="Times New Roman" w:cs="Times New Roman"/>
          <w:sz w:val="24"/>
          <w:szCs w:val="24"/>
        </w:rPr>
      </w:pPr>
      <w:r w:rsidRPr="00E56D1F">
        <w:rPr>
          <w:rFonts w:ascii="Times New Roman" w:hAnsi="Times New Roman" w:cs="Times New Roman"/>
          <w:sz w:val="24"/>
          <w:szCs w:val="24"/>
        </w:rPr>
        <w:t>C.S. Kwok, S.C. Martinez, S. Pancholy, W. Ahmed, K. Al-Shaibi, J. Potts, M. Mohamed, E. Kontopantelis, N. Curzen, M.A. Mamas. Effect of comorbidity on unplanned readmissions after percutaneous coronary intervention (from the Nationwide Readmission Database). Sci Rep. 8 (2018) 11156.</w:t>
      </w:r>
    </w:p>
    <w:p w14:paraId="49A1D400" w14:textId="77777777" w:rsidR="00361B77" w:rsidRPr="00E56D1F" w:rsidRDefault="00361B77" w:rsidP="00361B77">
      <w:pPr>
        <w:pStyle w:val="EndnoteText"/>
        <w:numPr>
          <w:ilvl w:val="0"/>
          <w:numId w:val="9"/>
        </w:numPr>
        <w:rPr>
          <w:rFonts w:ascii="Times New Roman" w:hAnsi="Times New Roman" w:cs="Times New Roman"/>
          <w:sz w:val="24"/>
          <w:szCs w:val="24"/>
        </w:rPr>
      </w:pPr>
      <w:r w:rsidRPr="00E56D1F">
        <w:rPr>
          <w:rFonts w:ascii="Times New Roman" w:hAnsi="Times New Roman" w:cs="Times New Roman"/>
          <w:sz w:val="24"/>
          <w:szCs w:val="24"/>
        </w:rPr>
        <w:t>F.J. Martin-Sanchez, E. Rodriguez-Adrada, C. Mueller, M.T. Vidan, M. Christ, W. Frank Peacock, M.A. Rizzi, A. Alquezar, P. Pinera, P.L. Aragues, P. Llorens, P. Herrero, J. Jacob, C. Fernandez, O. Miro . The effect of Frailty on 30-day mortality risk in older patients with acute heart failure attended in the emergency department. Acad Emerg Med. 24 (2017) 298-307</w:t>
      </w:r>
    </w:p>
    <w:p w14:paraId="604EE9C0" w14:textId="77777777" w:rsidR="00361B77" w:rsidRPr="00E56D1F" w:rsidRDefault="00361B77" w:rsidP="00361B77">
      <w:pPr>
        <w:pStyle w:val="EndnoteText"/>
        <w:numPr>
          <w:ilvl w:val="0"/>
          <w:numId w:val="9"/>
        </w:numPr>
        <w:rPr>
          <w:rFonts w:ascii="Times New Roman" w:hAnsi="Times New Roman" w:cs="Times New Roman"/>
          <w:sz w:val="24"/>
          <w:szCs w:val="24"/>
        </w:rPr>
      </w:pPr>
      <w:r w:rsidRPr="00E56D1F">
        <w:rPr>
          <w:rFonts w:ascii="Times New Roman" w:hAnsi="Times New Roman" w:cs="Times New Roman"/>
          <w:sz w:val="24"/>
          <w:szCs w:val="24"/>
        </w:rPr>
        <w:lastRenderedPageBreak/>
        <w:t>M.T. Vidan, V. Blaya-Novkova, E. Sanchez, J. Ortiz, J.A. Serra-Rexach, H. Bueno. Prevalence and prognostic impact of frailty and its components in non-dependent elderly patients with heart failure. Eur J Heart Fail. 18 (2016) 869-875.</w:t>
      </w:r>
    </w:p>
    <w:p w14:paraId="4E6A5E37" w14:textId="77777777" w:rsidR="00361B77" w:rsidRPr="00E56D1F" w:rsidRDefault="00361B77" w:rsidP="00361B77">
      <w:pPr>
        <w:pStyle w:val="EndnoteText"/>
        <w:numPr>
          <w:ilvl w:val="0"/>
          <w:numId w:val="9"/>
        </w:numPr>
        <w:rPr>
          <w:rFonts w:ascii="Times New Roman" w:hAnsi="Times New Roman" w:cs="Times New Roman"/>
          <w:sz w:val="24"/>
          <w:szCs w:val="24"/>
        </w:rPr>
      </w:pPr>
      <w:r w:rsidRPr="00E56D1F">
        <w:rPr>
          <w:rFonts w:ascii="Times New Roman" w:hAnsi="Times New Roman" w:cs="Times New Roman"/>
          <w:sz w:val="24"/>
          <w:szCs w:val="24"/>
        </w:rPr>
        <w:t>S.M. McNallan, A.M. Chamberlain, Y. Gerber, M. Singh, R.L. Kane, S.A. Weston, S.M. Dunlay, R. Jiang, V.L. Roger. Measuring frailty in heart failure: A community perspective. Am Heart J. 166 (2013) 768-774.</w:t>
      </w:r>
    </w:p>
    <w:p w14:paraId="61AD3A4C" w14:textId="77777777" w:rsidR="00361B77" w:rsidRPr="00E56D1F" w:rsidRDefault="00361B77" w:rsidP="00361B77">
      <w:pPr>
        <w:pStyle w:val="EndnoteText"/>
        <w:numPr>
          <w:ilvl w:val="0"/>
          <w:numId w:val="9"/>
        </w:numPr>
        <w:rPr>
          <w:rFonts w:ascii="Times New Roman" w:hAnsi="Times New Roman" w:cs="Times New Roman"/>
          <w:sz w:val="24"/>
          <w:szCs w:val="24"/>
        </w:rPr>
      </w:pPr>
      <w:r w:rsidRPr="00E56D1F">
        <w:rPr>
          <w:rFonts w:ascii="Times New Roman" w:hAnsi="Times New Roman" w:cs="Times New Roman"/>
          <w:sz w:val="24"/>
          <w:szCs w:val="24"/>
        </w:rPr>
        <w:t>G.A. Aguayo, A.F. Donneau, M.T. Vaillant, A. Schritz, O.H. Franco, S. Stranges, L. Malisoux, M. Guillauma, D.R. Witte. Agreement between 35 published frailty scores in general population. Am J Epidemiol. 186 (2017) 420-434.</w:t>
      </w:r>
    </w:p>
    <w:p w14:paraId="2E5BBACD" w14:textId="57803B46" w:rsidR="00361B77" w:rsidRPr="00EE17B5" w:rsidRDefault="00361B77" w:rsidP="00EE17B5">
      <w:pPr>
        <w:pStyle w:val="EndnoteText"/>
        <w:numPr>
          <w:ilvl w:val="0"/>
          <w:numId w:val="9"/>
        </w:numPr>
        <w:rPr>
          <w:rFonts w:ascii="Times New Roman" w:hAnsi="Times New Roman" w:cs="Times New Roman"/>
          <w:sz w:val="24"/>
          <w:szCs w:val="24"/>
        </w:rPr>
      </w:pPr>
      <w:r w:rsidRPr="00E56D1F">
        <w:rPr>
          <w:rFonts w:ascii="Times New Roman" w:hAnsi="Times New Roman" w:cs="Times New Roman"/>
          <w:sz w:val="24"/>
          <w:szCs w:val="24"/>
        </w:rPr>
        <w:t>J.E. Morley, B. Vellas, A. van Kan. Frailty consensus: A call to action. J AM M</w:t>
      </w:r>
      <w:r w:rsidR="00EE17B5">
        <w:rPr>
          <w:rFonts w:ascii="Times New Roman" w:hAnsi="Times New Roman" w:cs="Times New Roman"/>
          <w:sz w:val="24"/>
          <w:szCs w:val="24"/>
        </w:rPr>
        <w:t>ed Dir Assoc. 14 (2013) 392-397</w:t>
      </w:r>
      <w:r w:rsidRPr="00EE17B5">
        <w:rPr>
          <w:rFonts w:ascii="Times New Roman" w:hAnsi="Times New Roman" w:cs="Times New Roman"/>
          <w:sz w:val="24"/>
          <w:szCs w:val="24"/>
        </w:rPr>
        <w:t>.</w:t>
      </w:r>
    </w:p>
    <w:p w14:paraId="101A1FD2" w14:textId="77777777" w:rsidR="00361B77" w:rsidRPr="00E56D1F" w:rsidRDefault="00361B77" w:rsidP="00361B77">
      <w:pPr>
        <w:pStyle w:val="EndnoteText"/>
        <w:numPr>
          <w:ilvl w:val="0"/>
          <w:numId w:val="9"/>
        </w:numPr>
        <w:rPr>
          <w:rFonts w:ascii="Times New Roman" w:hAnsi="Times New Roman" w:cs="Times New Roman"/>
          <w:sz w:val="24"/>
          <w:szCs w:val="24"/>
        </w:rPr>
      </w:pPr>
      <w:r w:rsidRPr="00E56D1F">
        <w:rPr>
          <w:rFonts w:ascii="Times New Roman" w:hAnsi="Times New Roman" w:cs="Times New Roman"/>
          <w:sz w:val="24"/>
          <w:szCs w:val="24"/>
        </w:rPr>
        <w:t>H. Quan, B. Li, L. Duncan Saunders, G.A. Parsons, C.I. Nilsson, A. Alibhai, W.A. Ghali. Assessing validity of ICD-9-CM and ICD-10 administrative data in recording clinical conditions in a unique dually coded database. Health Serv Res. 43 (2008) 1424-1441.</w:t>
      </w:r>
    </w:p>
    <w:p w14:paraId="55436A7E" w14:textId="77777777" w:rsidR="00361B77" w:rsidRPr="00E56D1F" w:rsidRDefault="00361B77" w:rsidP="00361B77">
      <w:pPr>
        <w:pStyle w:val="EndnoteText"/>
        <w:rPr>
          <w:rFonts w:ascii="Times New Roman" w:hAnsi="Times New Roman" w:cs="Times New Roman"/>
          <w:sz w:val="24"/>
          <w:szCs w:val="24"/>
        </w:rPr>
      </w:pPr>
    </w:p>
    <w:p w14:paraId="16594E40" w14:textId="77777777" w:rsidR="00361B77" w:rsidRPr="00E56D1F" w:rsidRDefault="00361B77" w:rsidP="00361B77">
      <w:pPr>
        <w:rPr>
          <w:rFonts w:ascii="Times New Roman" w:hAnsi="Times New Roman" w:cs="Times New Roman"/>
          <w:sz w:val="24"/>
          <w:szCs w:val="24"/>
        </w:rPr>
      </w:pPr>
    </w:p>
    <w:p w14:paraId="4490E930" w14:textId="11BD526C" w:rsidR="005B4824" w:rsidRDefault="005B4824">
      <w:pPr>
        <w:rPr>
          <w:rFonts w:ascii="Times New Roman" w:hAnsi="Times New Roman" w:cs="Times New Roman"/>
          <w:b/>
          <w:sz w:val="24"/>
          <w:szCs w:val="24"/>
        </w:rPr>
      </w:pPr>
      <w:r>
        <w:rPr>
          <w:rFonts w:ascii="Times New Roman" w:hAnsi="Times New Roman" w:cs="Times New Roman"/>
          <w:b/>
          <w:sz w:val="24"/>
          <w:szCs w:val="24"/>
        </w:rPr>
        <w:br w:type="page"/>
      </w:r>
    </w:p>
    <w:p w14:paraId="140D8172" w14:textId="77777777" w:rsidR="005B4824" w:rsidRPr="005B4824" w:rsidRDefault="005B4824" w:rsidP="005B4824">
      <w:pPr>
        <w:spacing w:after="0" w:line="240" w:lineRule="auto"/>
        <w:rPr>
          <w:rFonts w:ascii="Times New Roman" w:hAnsi="Times New Roman" w:cs="Times New Roman"/>
          <w:b/>
          <w:sz w:val="24"/>
          <w:szCs w:val="24"/>
          <w:lang w:val="en-US"/>
        </w:rPr>
      </w:pPr>
      <w:r w:rsidRPr="005B4824">
        <w:rPr>
          <w:rFonts w:ascii="Times New Roman" w:hAnsi="Times New Roman" w:cs="Times New Roman"/>
          <w:b/>
          <w:sz w:val="24"/>
          <w:szCs w:val="24"/>
          <w:lang w:val="en-US"/>
        </w:rPr>
        <w:lastRenderedPageBreak/>
        <w:t>Figure Legend</w:t>
      </w:r>
    </w:p>
    <w:p w14:paraId="1AD0AE7B" w14:textId="77777777" w:rsidR="005B4824" w:rsidRPr="005B4824" w:rsidRDefault="005B4824" w:rsidP="005B4824">
      <w:pPr>
        <w:spacing w:after="0" w:line="240" w:lineRule="auto"/>
        <w:rPr>
          <w:rFonts w:ascii="Times New Roman" w:hAnsi="Times New Roman" w:cs="Times New Roman"/>
          <w:b/>
          <w:sz w:val="24"/>
          <w:szCs w:val="24"/>
          <w:lang w:val="en-US"/>
        </w:rPr>
      </w:pPr>
    </w:p>
    <w:p w14:paraId="52C26C64" w14:textId="587270DA" w:rsidR="005B4824" w:rsidRPr="005B4824" w:rsidRDefault="005B4824" w:rsidP="005B4824">
      <w:pPr>
        <w:spacing w:after="0" w:line="240" w:lineRule="auto"/>
        <w:rPr>
          <w:rFonts w:ascii="Times New Roman" w:hAnsi="Times New Roman" w:cs="Times New Roman"/>
          <w:b/>
          <w:sz w:val="24"/>
          <w:szCs w:val="24"/>
          <w:lang w:val="en-US"/>
        </w:rPr>
      </w:pPr>
      <w:r w:rsidRPr="005B4824">
        <w:rPr>
          <w:rFonts w:ascii="Times New Roman" w:hAnsi="Times New Roman" w:cs="Times New Roman"/>
          <w:b/>
          <w:sz w:val="24"/>
          <w:szCs w:val="24"/>
          <w:lang w:val="en-US"/>
        </w:rPr>
        <w:t xml:space="preserve">Figure </w:t>
      </w:r>
      <w:r>
        <w:rPr>
          <w:rFonts w:ascii="Times New Roman" w:hAnsi="Times New Roman" w:cs="Times New Roman"/>
          <w:b/>
          <w:sz w:val="24"/>
          <w:szCs w:val="24"/>
          <w:lang w:val="en-US"/>
        </w:rPr>
        <w:t>1</w:t>
      </w:r>
      <w:r w:rsidRPr="005B4824">
        <w:rPr>
          <w:rFonts w:ascii="Times New Roman" w:hAnsi="Times New Roman" w:cs="Times New Roman"/>
          <w:b/>
          <w:sz w:val="24"/>
          <w:szCs w:val="24"/>
          <w:lang w:val="en-US"/>
        </w:rPr>
        <w:t>: Trends in frailty risk over time</w:t>
      </w:r>
    </w:p>
    <w:p w14:paraId="59209326" w14:textId="77777777" w:rsidR="005B4824" w:rsidRPr="005B4824" w:rsidRDefault="005B4824" w:rsidP="005B4824">
      <w:pPr>
        <w:spacing w:after="0" w:line="240" w:lineRule="auto"/>
        <w:rPr>
          <w:rFonts w:ascii="Times New Roman" w:hAnsi="Times New Roman" w:cs="Times New Roman"/>
          <w:b/>
          <w:sz w:val="24"/>
          <w:szCs w:val="24"/>
          <w:lang w:val="en-US"/>
        </w:rPr>
      </w:pPr>
    </w:p>
    <w:p w14:paraId="51B9ECCC" w14:textId="5389CCA1" w:rsidR="005B4824" w:rsidRPr="005B4824" w:rsidRDefault="005B4824" w:rsidP="005B4824">
      <w:pPr>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Figure 2</w:t>
      </w:r>
      <w:r w:rsidRPr="005B4824">
        <w:rPr>
          <w:rFonts w:ascii="Times New Roman" w:hAnsi="Times New Roman" w:cs="Times New Roman"/>
          <w:b/>
          <w:sz w:val="24"/>
          <w:szCs w:val="24"/>
          <w:lang w:val="en-US"/>
        </w:rPr>
        <w:t>: Trends in mortality by frailty risk</w:t>
      </w:r>
    </w:p>
    <w:p w14:paraId="64BE3FB3" w14:textId="77777777" w:rsidR="005B4824" w:rsidRPr="005B4824" w:rsidRDefault="005B4824" w:rsidP="005B4824">
      <w:pPr>
        <w:spacing w:after="0" w:line="240" w:lineRule="auto"/>
        <w:rPr>
          <w:rFonts w:ascii="Times New Roman" w:hAnsi="Times New Roman" w:cs="Times New Roman"/>
          <w:b/>
          <w:sz w:val="24"/>
          <w:szCs w:val="24"/>
          <w:lang w:val="en-US"/>
        </w:rPr>
      </w:pPr>
    </w:p>
    <w:p w14:paraId="719E9DF3" w14:textId="77777777" w:rsidR="005B4824" w:rsidRPr="005B4824" w:rsidRDefault="005B4824" w:rsidP="005B4824">
      <w:pPr>
        <w:spacing w:after="0" w:line="240" w:lineRule="auto"/>
        <w:rPr>
          <w:rFonts w:ascii="Times New Roman" w:hAnsi="Times New Roman" w:cs="Times New Roman"/>
          <w:b/>
          <w:sz w:val="24"/>
          <w:szCs w:val="24"/>
          <w:lang w:val="en-US"/>
        </w:rPr>
      </w:pPr>
      <w:r w:rsidRPr="005B4824">
        <w:rPr>
          <w:rFonts w:ascii="Times New Roman" w:hAnsi="Times New Roman" w:cs="Times New Roman"/>
          <w:b/>
          <w:sz w:val="24"/>
          <w:szCs w:val="24"/>
          <w:lang w:val="en-US"/>
        </w:rPr>
        <w:t>Table 1: Characteristics of patients according to frailty risk</w:t>
      </w:r>
    </w:p>
    <w:p w14:paraId="56B620DF" w14:textId="6A21F731" w:rsidR="005B4824" w:rsidRPr="005B4824" w:rsidRDefault="005B4824" w:rsidP="005B4824">
      <w:pPr>
        <w:spacing w:after="0" w:line="240" w:lineRule="auto"/>
        <w:rPr>
          <w:rFonts w:ascii="Times New Roman" w:hAnsi="Times New Roman" w:cs="Times New Roman"/>
          <w:b/>
          <w:sz w:val="24"/>
          <w:szCs w:val="24"/>
          <w:lang w:val="en-US"/>
        </w:rPr>
      </w:pPr>
    </w:p>
    <w:p w14:paraId="397428F7" w14:textId="77777777" w:rsidR="005B4824" w:rsidRDefault="005B4824" w:rsidP="005B4824">
      <w:pPr>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Table 2</w:t>
      </w:r>
      <w:r w:rsidRPr="005B4824">
        <w:rPr>
          <w:rFonts w:ascii="Times New Roman" w:hAnsi="Times New Roman" w:cs="Times New Roman"/>
          <w:b/>
          <w:sz w:val="24"/>
          <w:szCs w:val="24"/>
          <w:lang w:val="en-US"/>
        </w:rPr>
        <w:t>: Adjusted odds of in-hosp</w:t>
      </w:r>
      <w:r>
        <w:rPr>
          <w:rFonts w:ascii="Times New Roman" w:hAnsi="Times New Roman" w:cs="Times New Roman"/>
          <w:b/>
          <w:sz w:val="24"/>
          <w:szCs w:val="24"/>
          <w:lang w:val="en-US"/>
        </w:rPr>
        <w:t>ital death by frailty group</w:t>
      </w:r>
    </w:p>
    <w:p w14:paraId="15A487ED" w14:textId="77777777" w:rsidR="005B4824" w:rsidRDefault="005B4824" w:rsidP="005B4824">
      <w:pPr>
        <w:spacing w:after="0" w:line="240" w:lineRule="auto"/>
        <w:rPr>
          <w:rFonts w:ascii="Times New Roman" w:hAnsi="Times New Roman" w:cs="Times New Roman"/>
          <w:b/>
          <w:sz w:val="24"/>
          <w:szCs w:val="24"/>
          <w:lang w:val="en-US"/>
        </w:rPr>
      </w:pPr>
    </w:p>
    <w:p w14:paraId="530B8EAD" w14:textId="77777777" w:rsidR="005B4824" w:rsidRDefault="005B4824" w:rsidP="005B4824">
      <w:pPr>
        <w:spacing w:after="0" w:line="240" w:lineRule="auto"/>
        <w:rPr>
          <w:rFonts w:ascii="Times New Roman" w:hAnsi="Times New Roman" w:cs="Times New Roman"/>
          <w:b/>
          <w:sz w:val="24"/>
          <w:szCs w:val="24"/>
          <w:lang w:val="en-US"/>
        </w:rPr>
      </w:pPr>
    </w:p>
    <w:p w14:paraId="22933812" w14:textId="63FF451E" w:rsidR="005B4824" w:rsidRPr="005B4824" w:rsidRDefault="005B4824" w:rsidP="005B4824">
      <w:pPr>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 xml:space="preserve">Supplementary </w:t>
      </w:r>
      <w:r w:rsidRPr="005B4824">
        <w:rPr>
          <w:rFonts w:ascii="Times New Roman" w:hAnsi="Times New Roman" w:cs="Times New Roman"/>
          <w:b/>
          <w:sz w:val="24"/>
          <w:szCs w:val="24"/>
          <w:lang w:val="en-US"/>
        </w:rPr>
        <w:t>Figure 1: Flow diagram of patient inclusion</w:t>
      </w:r>
    </w:p>
    <w:p w14:paraId="724340E2" w14:textId="77777777" w:rsidR="005B4824" w:rsidRDefault="005B4824" w:rsidP="005B4824">
      <w:pPr>
        <w:spacing w:after="0" w:line="240" w:lineRule="auto"/>
        <w:rPr>
          <w:rFonts w:ascii="Times New Roman" w:hAnsi="Times New Roman" w:cs="Times New Roman"/>
          <w:b/>
          <w:sz w:val="24"/>
          <w:szCs w:val="24"/>
          <w:lang w:val="en-US"/>
        </w:rPr>
      </w:pPr>
    </w:p>
    <w:p w14:paraId="3ED17842" w14:textId="77777777" w:rsidR="005B4824" w:rsidRDefault="005B4824" w:rsidP="005B4824">
      <w:pPr>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Supplementary Figure 2</w:t>
      </w:r>
      <w:r w:rsidRPr="005B4824">
        <w:rPr>
          <w:rFonts w:ascii="Times New Roman" w:hAnsi="Times New Roman" w:cs="Times New Roman"/>
          <w:b/>
          <w:sz w:val="24"/>
          <w:szCs w:val="24"/>
          <w:lang w:val="en-US"/>
        </w:rPr>
        <w:t>: Trends in frailty by age, sex and r</w:t>
      </w:r>
      <w:r>
        <w:rPr>
          <w:rFonts w:ascii="Times New Roman" w:hAnsi="Times New Roman" w:cs="Times New Roman"/>
          <w:b/>
          <w:sz w:val="24"/>
          <w:szCs w:val="24"/>
          <w:lang w:val="en-US"/>
        </w:rPr>
        <w:t>ace</w:t>
      </w:r>
    </w:p>
    <w:p w14:paraId="51E82BF8" w14:textId="77777777" w:rsidR="005B4824" w:rsidRDefault="005B4824" w:rsidP="005B4824">
      <w:pPr>
        <w:spacing w:after="0" w:line="240" w:lineRule="auto"/>
        <w:rPr>
          <w:rFonts w:ascii="Times New Roman" w:hAnsi="Times New Roman" w:cs="Times New Roman"/>
          <w:b/>
          <w:sz w:val="24"/>
          <w:szCs w:val="24"/>
          <w:lang w:val="en-US"/>
        </w:rPr>
      </w:pPr>
    </w:p>
    <w:p w14:paraId="335490E8" w14:textId="04FF518C" w:rsidR="005B4824" w:rsidRPr="005B4824" w:rsidRDefault="005B4824" w:rsidP="005B4824">
      <w:pPr>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Supplementary Table 1:</w:t>
      </w:r>
      <w:r w:rsidRPr="005B4824">
        <w:rPr>
          <w:rFonts w:ascii="Times New Roman" w:hAnsi="Times New Roman" w:cs="Times New Roman"/>
          <w:b/>
          <w:sz w:val="24"/>
          <w:szCs w:val="24"/>
          <w:lang w:val="en-US"/>
        </w:rPr>
        <w:t xml:space="preserve"> Frailty score ICD-10 and ICD-9 codes</w:t>
      </w:r>
    </w:p>
    <w:p w14:paraId="357A5520" w14:textId="77777777" w:rsidR="005B4824" w:rsidRDefault="005B4824" w:rsidP="005B4824">
      <w:pPr>
        <w:spacing w:after="0" w:line="240" w:lineRule="auto"/>
        <w:rPr>
          <w:rFonts w:ascii="Times New Roman" w:hAnsi="Times New Roman" w:cs="Times New Roman"/>
          <w:b/>
          <w:sz w:val="24"/>
          <w:szCs w:val="24"/>
          <w:lang w:val="en-US"/>
        </w:rPr>
      </w:pPr>
    </w:p>
    <w:p w14:paraId="4E47D757" w14:textId="52EBA734" w:rsidR="005B4824" w:rsidRPr="005B4824" w:rsidRDefault="005B4824" w:rsidP="005B4824">
      <w:pPr>
        <w:spacing w:after="0" w:line="240" w:lineRule="auto"/>
        <w:rPr>
          <w:rFonts w:ascii="Times New Roman" w:hAnsi="Times New Roman" w:cs="Times New Roman"/>
          <w:b/>
          <w:sz w:val="24"/>
          <w:szCs w:val="24"/>
          <w:lang w:val="en-US"/>
        </w:rPr>
      </w:pPr>
      <w:r w:rsidRPr="005B4824">
        <w:rPr>
          <w:rFonts w:ascii="Times New Roman" w:hAnsi="Times New Roman" w:cs="Times New Roman"/>
          <w:b/>
          <w:sz w:val="24"/>
          <w:szCs w:val="24"/>
          <w:lang w:val="en-US"/>
        </w:rPr>
        <w:t>Supplementary Table 2: Variables with greater than 1% prevalence in the Hospital Frailty Score</w:t>
      </w:r>
    </w:p>
    <w:p w14:paraId="270FB315" w14:textId="650218BF" w:rsidR="00361B77" w:rsidRDefault="00361B77" w:rsidP="005624CC">
      <w:pPr>
        <w:spacing w:after="0" w:line="240" w:lineRule="auto"/>
        <w:rPr>
          <w:rFonts w:ascii="Times New Roman" w:hAnsi="Times New Roman" w:cs="Times New Roman"/>
          <w:b/>
          <w:sz w:val="24"/>
          <w:szCs w:val="24"/>
        </w:rPr>
      </w:pPr>
    </w:p>
    <w:p w14:paraId="4EE219D0" w14:textId="77777777" w:rsidR="002D6E8F" w:rsidRPr="002D6E8F" w:rsidRDefault="002D6E8F" w:rsidP="002D6E8F">
      <w:pPr>
        <w:spacing w:after="0" w:line="240" w:lineRule="auto"/>
        <w:jc w:val="both"/>
        <w:rPr>
          <w:rFonts w:ascii="Times New Roman" w:hAnsi="Times New Roman" w:cs="Times New Roman"/>
          <w:b/>
          <w:sz w:val="24"/>
          <w:szCs w:val="24"/>
        </w:rPr>
      </w:pPr>
      <w:r w:rsidRPr="002D6E8F">
        <w:rPr>
          <w:rFonts w:ascii="Times New Roman" w:hAnsi="Times New Roman" w:cs="Times New Roman"/>
          <w:b/>
          <w:sz w:val="24"/>
          <w:szCs w:val="24"/>
        </w:rPr>
        <w:t>Supplementary Table 3: Changes in age and prevalent and highly weighted variables in the Hospital Frailty Risk score</w:t>
      </w:r>
    </w:p>
    <w:p w14:paraId="0A034EFD" w14:textId="77777777" w:rsidR="002D6E8F" w:rsidRDefault="002D6E8F" w:rsidP="005624CC">
      <w:pPr>
        <w:spacing w:after="0" w:line="240" w:lineRule="auto"/>
        <w:rPr>
          <w:rFonts w:ascii="Times New Roman" w:hAnsi="Times New Roman" w:cs="Times New Roman"/>
          <w:b/>
          <w:sz w:val="24"/>
          <w:szCs w:val="24"/>
          <w:lang w:val="en-US"/>
        </w:rPr>
      </w:pPr>
    </w:p>
    <w:p w14:paraId="1C7C459C" w14:textId="7986EA0D" w:rsidR="00F511F4" w:rsidRDefault="002D6E8F" w:rsidP="005624CC">
      <w:pPr>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Supplementary Table 4</w:t>
      </w:r>
      <w:r w:rsidR="005B4824" w:rsidRPr="005B4824">
        <w:rPr>
          <w:rFonts w:ascii="Times New Roman" w:hAnsi="Times New Roman" w:cs="Times New Roman"/>
          <w:b/>
          <w:sz w:val="24"/>
          <w:szCs w:val="24"/>
          <w:lang w:val="en-US"/>
        </w:rPr>
        <w:t>: Multiple logistic regression model to examine variables associated with any frailty</w:t>
      </w:r>
    </w:p>
    <w:p w14:paraId="47CDDAC6" w14:textId="77777777" w:rsidR="00F511F4" w:rsidRDefault="00F511F4">
      <w:pPr>
        <w:rPr>
          <w:rFonts w:ascii="Times New Roman" w:hAnsi="Times New Roman" w:cs="Times New Roman"/>
          <w:b/>
          <w:sz w:val="24"/>
          <w:szCs w:val="24"/>
          <w:lang w:val="en-US"/>
        </w:rPr>
      </w:pPr>
      <w:r>
        <w:rPr>
          <w:rFonts w:ascii="Times New Roman" w:hAnsi="Times New Roman" w:cs="Times New Roman"/>
          <w:b/>
          <w:sz w:val="24"/>
          <w:szCs w:val="24"/>
          <w:lang w:val="en-US"/>
        </w:rPr>
        <w:br w:type="page"/>
      </w:r>
    </w:p>
    <w:p w14:paraId="7D66A93E" w14:textId="3621F7FD" w:rsidR="00F511F4" w:rsidRDefault="00F511F4" w:rsidP="00F511F4">
      <w:pPr>
        <w:spacing w:after="0" w:line="240" w:lineRule="auto"/>
        <w:rPr>
          <w:rFonts w:ascii="Times New Roman" w:hAnsi="Times New Roman" w:cs="Times New Roman"/>
          <w:b/>
          <w:sz w:val="24"/>
          <w:szCs w:val="24"/>
          <w:lang w:val="en-US"/>
        </w:rPr>
      </w:pPr>
      <w:r w:rsidRPr="005B4824">
        <w:rPr>
          <w:rFonts w:ascii="Times New Roman" w:hAnsi="Times New Roman" w:cs="Times New Roman"/>
          <w:b/>
          <w:sz w:val="24"/>
          <w:szCs w:val="24"/>
          <w:lang w:val="en-US"/>
        </w:rPr>
        <w:lastRenderedPageBreak/>
        <w:t xml:space="preserve">Figure </w:t>
      </w:r>
      <w:r>
        <w:rPr>
          <w:rFonts w:ascii="Times New Roman" w:hAnsi="Times New Roman" w:cs="Times New Roman"/>
          <w:b/>
          <w:sz w:val="24"/>
          <w:szCs w:val="24"/>
          <w:lang w:val="en-US"/>
        </w:rPr>
        <w:t>1</w:t>
      </w:r>
      <w:r w:rsidRPr="005B4824">
        <w:rPr>
          <w:rFonts w:ascii="Times New Roman" w:hAnsi="Times New Roman" w:cs="Times New Roman"/>
          <w:b/>
          <w:sz w:val="24"/>
          <w:szCs w:val="24"/>
          <w:lang w:val="en-US"/>
        </w:rPr>
        <w:t>: Trends in frailty risk over time</w:t>
      </w:r>
    </w:p>
    <w:p w14:paraId="503387E4" w14:textId="31A54849" w:rsidR="00F511F4" w:rsidRPr="005B4824" w:rsidRDefault="00F511F4" w:rsidP="00F511F4">
      <w:pPr>
        <w:spacing w:after="0" w:line="240" w:lineRule="auto"/>
        <w:rPr>
          <w:rFonts w:ascii="Times New Roman" w:hAnsi="Times New Roman" w:cs="Times New Roman"/>
          <w:b/>
          <w:sz w:val="24"/>
          <w:szCs w:val="24"/>
          <w:lang w:val="en-US"/>
        </w:rPr>
      </w:pPr>
      <w:r>
        <w:rPr>
          <w:rFonts w:ascii="Times New Roman" w:hAnsi="Times New Roman" w:cs="Times New Roman"/>
          <w:b/>
          <w:noProof/>
          <w:sz w:val="24"/>
          <w:szCs w:val="24"/>
          <w:lang w:eastAsia="en-GB"/>
        </w:rPr>
        <w:drawing>
          <wp:inline distT="0" distB="0" distL="0" distR="0" wp14:anchorId="2CD2EE17" wp14:editId="37BF3BC6">
            <wp:extent cx="5731510" cy="202819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e 1.tif"/>
                    <pic:cNvPicPr/>
                  </pic:nvPicPr>
                  <pic:blipFill>
                    <a:blip r:embed="rId10">
                      <a:extLst>
                        <a:ext uri="{28A0092B-C50C-407E-A947-70E740481C1C}">
                          <a14:useLocalDpi xmlns:a14="http://schemas.microsoft.com/office/drawing/2010/main" val="0"/>
                        </a:ext>
                      </a:extLst>
                    </a:blip>
                    <a:stretch>
                      <a:fillRect/>
                    </a:stretch>
                  </pic:blipFill>
                  <pic:spPr>
                    <a:xfrm>
                      <a:off x="0" y="0"/>
                      <a:ext cx="5731510" cy="2028190"/>
                    </a:xfrm>
                    <a:prstGeom prst="rect">
                      <a:avLst/>
                    </a:prstGeom>
                  </pic:spPr>
                </pic:pic>
              </a:graphicData>
            </a:graphic>
          </wp:inline>
        </w:drawing>
      </w:r>
    </w:p>
    <w:p w14:paraId="6677A3CF" w14:textId="77777777" w:rsidR="00F511F4" w:rsidRPr="005B4824" w:rsidRDefault="00F511F4" w:rsidP="00F511F4">
      <w:pPr>
        <w:spacing w:after="0" w:line="240" w:lineRule="auto"/>
        <w:rPr>
          <w:rFonts w:ascii="Times New Roman" w:hAnsi="Times New Roman" w:cs="Times New Roman"/>
          <w:b/>
          <w:sz w:val="24"/>
          <w:szCs w:val="24"/>
          <w:lang w:val="en-US"/>
        </w:rPr>
      </w:pPr>
    </w:p>
    <w:p w14:paraId="16D438CF" w14:textId="3E64FE83" w:rsidR="00F511F4" w:rsidRDefault="00F511F4" w:rsidP="00F511F4">
      <w:pPr>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Figure 2</w:t>
      </w:r>
      <w:r w:rsidRPr="005B4824">
        <w:rPr>
          <w:rFonts w:ascii="Times New Roman" w:hAnsi="Times New Roman" w:cs="Times New Roman"/>
          <w:b/>
          <w:sz w:val="24"/>
          <w:szCs w:val="24"/>
          <w:lang w:val="en-US"/>
        </w:rPr>
        <w:t>: Trends in mortality by frailty risk</w:t>
      </w:r>
    </w:p>
    <w:p w14:paraId="4384AA6D" w14:textId="147FA5CF" w:rsidR="00F511F4" w:rsidRPr="005B4824" w:rsidRDefault="00F511F4" w:rsidP="00F511F4">
      <w:pPr>
        <w:spacing w:after="0" w:line="240" w:lineRule="auto"/>
        <w:rPr>
          <w:rFonts w:ascii="Times New Roman" w:hAnsi="Times New Roman" w:cs="Times New Roman"/>
          <w:b/>
          <w:sz w:val="24"/>
          <w:szCs w:val="24"/>
          <w:lang w:val="en-US"/>
        </w:rPr>
      </w:pPr>
      <w:r>
        <w:rPr>
          <w:rFonts w:ascii="Times New Roman" w:hAnsi="Times New Roman" w:cs="Times New Roman"/>
          <w:b/>
          <w:noProof/>
          <w:sz w:val="24"/>
          <w:szCs w:val="24"/>
          <w:lang w:eastAsia="en-GB"/>
        </w:rPr>
        <w:drawing>
          <wp:inline distT="0" distB="0" distL="0" distR="0" wp14:anchorId="0008C481" wp14:editId="2EC6A672">
            <wp:extent cx="5731510" cy="3758565"/>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e 2.tif"/>
                    <pic:cNvPicPr/>
                  </pic:nvPicPr>
                  <pic:blipFill>
                    <a:blip r:embed="rId11">
                      <a:extLst>
                        <a:ext uri="{28A0092B-C50C-407E-A947-70E740481C1C}">
                          <a14:useLocalDpi xmlns:a14="http://schemas.microsoft.com/office/drawing/2010/main" val="0"/>
                        </a:ext>
                      </a:extLst>
                    </a:blip>
                    <a:stretch>
                      <a:fillRect/>
                    </a:stretch>
                  </pic:blipFill>
                  <pic:spPr>
                    <a:xfrm>
                      <a:off x="0" y="0"/>
                      <a:ext cx="5731510" cy="3758565"/>
                    </a:xfrm>
                    <a:prstGeom prst="rect">
                      <a:avLst/>
                    </a:prstGeom>
                  </pic:spPr>
                </pic:pic>
              </a:graphicData>
            </a:graphic>
          </wp:inline>
        </w:drawing>
      </w:r>
    </w:p>
    <w:p w14:paraId="6694134C" w14:textId="77777777" w:rsidR="00F511F4" w:rsidRPr="005B4824" w:rsidRDefault="00F511F4" w:rsidP="00F511F4">
      <w:pPr>
        <w:spacing w:after="0" w:line="240" w:lineRule="auto"/>
        <w:rPr>
          <w:rFonts w:ascii="Times New Roman" w:hAnsi="Times New Roman" w:cs="Times New Roman"/>
          <w:b/>
          <w:sz w:val="24"/>
          <w:szCs w:val="24"/>
          <w:lang w:val="en-US"/>
        </w:rPr>
      </w:pPr>
    </w:p>
    <w:p w14:paraId="4AB492CC" w14:textId="77777777" w:rsidR="00F511F4" w:rsidRDefault="00F511F4" w:rsidP="00F511F4">
      <w:pPr>
        <w:spacing w:after="0" w:line="240" w:lineRule="auto"/>
        <w:rPr>
          <w:rFonts w:ascii="Times New Roman" w:hAnsi="Times New Roman" w:cs="Times New Roman"/>
          <w:b/>
          <w:sz w:val="24"/>
          <w:szCs w:val="24"/>
          <w:lang w:val="en-US"/>
        </w:rPr>
        <w:sectPr w:rsidR="00F511F4" w:rsidSect="00722EAD">
          <w:endnotePr>
            <w:numFmt w:val="decimal"/>
          </w:endnotePr>
          <w:pgSz w:w="11906" w:h="16838"/>
          <w:pgMar w:top="1440" w:right="1440" w:bottom="1440" w:left="1440" w:header="708" w:footer="708" w:gutter="0"/>
          <w:cols w:space="708"/>
          <w:docGrid w:linePitch="360"/>
        </w:sectPr>
      </w:pPr>
    </w:p>
    <w:p w14:paraId="59B529FE" w14:textId="2241A06F" w:rsidR="00F511F4" w:rsidRPr="005B4824" w:rsidRDefault="00F511F4" w:rsidP="00F511F4">
      <w:pPr>
        <w:spacing w:after="0" w:line="240" w:lineRule="auto"/>
        <w:rPr>
          <w:rFonts w:ascii="Times New Roman" w:hAnsi="Times New Roman" w:cs="Times New Roman"/>
          <w:b/>
          <w:sz w:val="24"/>
          <w:szCs w:val="24"/>
          <w:lang w:val="en-US"/>
        </w:rPr>
      </w:pPr>
      <w:r w:rsidRPr="005B4824">
        <w:rPr>
          <w:rFonts w:ascii="Times New Roman" w:hAnsi="Times New Roman" w:cs="Times New Roman"/>
          <w:b/>
          <w:sz w:val="24"/>
          <w:szCs w:val="24"/>
          <w:lang w:val="en-US"/>
        </w:rPr>
        <w:lastRenderedPageBreak/>
        <w:t>Table 1: Characteristics of patients according to frailty risk</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2128"/>
        <w:gridCol w:w="1984"/>
        <w:gridCol w:w="1899"/>
        <w:gridCol w:w="934"/>
      </w:tblGrid>
      <w:tr w:rsidR="00F511F4" w:rsidRPr="00B6620E" w14:paraId="23D3AD4C" w14:textId="77777777" w:rsidTr="001F53D9">
        <w:trPr>
          <w:trHeight w:val="285"/>
        </w:trPr>
        <w:tc>
          <w:tcPr>
            <w:tcW w:w="2689" w:type="dxa"/>
            <w:shd w:val="clear" w:color="auto" w:fill="auto"/>
            <w:noWrap/>
            <w:hideMark/>
          </w:tcPr>
          <w:p w14:paraId="7D631A3E" w14:textId="77777777" w:rsidR="00F511F4" w:rsidRPr="00B6620E" w:rsidRDefault="00F511F4" w:rsidP="001F53D9">
            <w:pPr>
              <w:spacing w:after="0" w:line="240" w:lineRule="auto"/>
              <w:rPr>
                <w:rFonts w:eastAsia="Times New Roman" w:cstheme="minorHAnsi"/>
                <w:color w:val="000000"/>
                <w:lang w:eastAsia="en-GB"/>
              </w:rPr>
            </w:pPr>
            <w:r w:rsidRPr="00B6620E">
              <w:rPr>
                <w:rFonts w:eastAsia="Times New Roman" w:cstheme="minorHAnsi"/>
                <w:color w:val="000000"/>
                <w:lang w:eastAsia="en-GB"/>
              </w:rPr>
              <w:t>Variable</w:t>
            </w:r>
          </w:p>
        </w:tc>
        <w:tc>
          <w:tcPr>
            <w:tcW w:w="2128" w:type="dxa"/>
            <w:shd w:val="clear" w:color="auto" w:fill="auto"/>
            <w:noWrap/>
            <w:hideMark/>
          </w:tcPr>
          <w:p w14:paraId="5DF2A652" w14:textId="77777777" w:rsidR="00F511F4" w:rsidRPr="00B6620E" w:rsidRDefault="00F511F4" w:rsidP="001F53D9">
            <w:pPr>
              <w:spacing w:after="0" w:line="240" w:lineRule="auto"/>
              <w:rPr>
                <w:rFonts w:eastAsia="Times New Roman" w:cstheme="minorHAnsi"/>
                <w:color w:val="000000"/>
                <w:lang w:eastAsia="en-GB"/>
              </w:rPr>
            </w:pPr>
            <w:r w:rsidRPr="00B6620E">
              <w:rPr>
                <w:rFonts w:eastAsia="Times New Roman" w:cstheme="minorHAnsi"/>
                <w:color w:val="000000"/>
                <w:lang w:eastAsia="en-GB"/>
              </w:rPr>
              <w:t>Low</w:t>
            </w:r>
            <w:r w:rsidRPr="00E9075D">
              <w:rPr>
                <w:rFonts w:eastAsia="Times New Roman" w:cstheme="minorHAnsi"/>
                <w:color w:val="000000"/>
                <w:lang w:eastAsia="en-GB"/>
              </w:rPr>
              <w:t xml:space="preserve"> frailty risk</w:t>
            </w:r>
            <w:r>
              <w:rPr>
                <w:rFonts w:eastAsia="Times New Roman" w:cstheme="minorHAnsi"/>
                <w:color w:val="000000"/>
                <w:lang w:eastAsia="en-GB"/>
              </w:rPr>
              <w:t xml:space="preserve"> </w:t>
            </w:r>
            <w:r>
              <w:t>(n=9,300,873)</w:t>
            </w:r>
          </w:p>
        </w:tc>
        <w:tc>
          <w:tcPr>
            <w:tcW w:w="1984" w:type="dxa"/>
            <w:shd w:val="clear" w:color="auto" w:fill="auto"/>
            <w:noWrap/>
            <w:hideMark/>
          </w:tcPr>
          <w:p w14:paraId="40E383E9" w14:textId="77777777" w:rsidR="00F511F4" w:rsidRPr="00B6620E" w:rsidRDefault="00F511F4" w:rsidP="001F53D9">
            <w:pPr>
              <w:spacing w:after="0" w:line="240" w:lineRule="auto"/>
              <w:rPr>
                <w:rFonts w:eastAsia="Times New Roman" w:cstheme="minorHAnsi"/>
                <w:color w:val="000000"/>
                <w:lang w:eastAsia="en-GB"/>
              </w:rPr>
            </w:pPr>
            <w:r w:rsidRPr="00B6620E">
              <w:rPr>
                <w:rFonts w:eastAsia="Times New Roman" w:cstheme="minorHAnsi"/>
                <w:color w:val="000000"/>
                <w:lang w:eastAsia="en-GB"/>
              </w:rPr>
              <w:t>Intermediate</w:t>
            </w:r>
            <w:r w:rsidRPr="00E9075D">
              <w:rPr>
                <w:rFonts w:eastAsia="Times New Roman" w:cstheme="minorHAnsi"/>
                <w:color w:val="000000"/>
                <w:lang w:eastAsia="en-GB"/>
              </w:rPr>
              <w:t xml:space="preserve"> frailty risk</w:t>
            </w:r>
            <w:r>
              <w:rPr>
                <w:rFonts w:eastAsia="Times New Roman" w:cstheme="minorHAnsi"/>
                <w:color w:val="000000"/>
                <w:lang w:eastAsia="en-GB"/>
              </w:rPr>
              <w:t xml:space="preserve"> </w:t>
            </w:r>
            <w:r w:rsidRPr="00541E84">
              <w:rPr>
                <w:rFonts w:eastAsia="Malgun Gothic" w:cstheme="minorHAnsi"/>
                <w:color w:val="000000"/>
                <w:lang w:eastAsia="en-GB"/>
              </w:rPr>
              <w:t>(n=</w:t>
            </w:r>
            <w:r w:rsidRPr="00B6620E">
              <w:rPr>
                <w:rFonts w:eastAsia="Times New Roman" w:cstheme="minorHAnsi"/>
                <w:color w:val="000000"/>
                <w:lang w:eastAsia="en-GB"/>
              </w:rPr>
              <w:t>2</w:t>
            </w:r>
            <w:r w:rsidRPr="00541E84">
              <w:rPr>
                <w:rFonts w:eastAsia="Times New Roman" w:cstheme="minorHAnsi"/>
                <w:color w:val="000000"/>
                <w:lang w:eastAsia="en-GB"/>
              </w:rPr>
              <w:t>,</w:t>
            </w:r>
            <w:r w:rsidRPr="00B6620E">
              <w:rPr>
                <w:rFonts w:eastAsia="Times New Roman" w:cstheme="minorHAnsi"/>
                <w:color w:val="000000"/>
                <w:lang w:eastAsia="en-GB"/>
              </w:rPr>
              <w:t>314</w:t>
            </w:r>
            <w:r w:rsidRPr="00541E84">
              <w:rPr>
                <w:rFonts w:eastAsia="Times New Roman" w:cstheme="minorHAnsi"/>
                <w:color w:val="000000"/>
                <w:lang w:eastAsia="en-GB"/>
              </w:rPr>
              <w:t>,</w:t>
            </w:r>
            <w:r w:rsidRPr="00B6620E">
              <w:rPr>
                <w:rFonts w:eastAsia="Times New Roman" w:cstheme="minorHAnsi"/>
                <w:color w:val="000000"/>
                <w:lang w:eastAsia="en-GB"/>
              </w:rPr>
              <w:t>001</w:t>
            </w:r>
            <w:r w:rsidRPr="00541E84">
              <w:rPr>
                <w:rFonts w:eastAsia="Times New Roman" w:cstheme="minorHAnsi"/>
                <w:color w:val="000000"/>
                <w:lang w:eastAsia="en-GB"/>
              </w:rPr>
              <w:t>)</w:t>
            </w:r>
          </w:p>
        </w:tc>
        <w:tc>
          <w:tcPr>
            <w:tcW w:w="1899" w:type="dxa"/>
            <w:shd w:val="clear" w:color="auto" w:fill="auto"/>
            <w:noWrap/>
            <w:hideMark/>
          </w:tcPr>
          <w:p w14:paraId="73485F9A" w14:textId="77777777" w:rsidR="00F511F4" w:rsidRPr="00B6620E" w:rsidRDefault="00F511F4" w:rsidP="001F53D9">
            <w:pPr>
              <w:spacing w:after="0" w:line="240" w:lineRule="auto"/>
              <w:rPr>
                <w:rFonts w:eastAsia="Times New Roman" w:cstheme="minorHAnsi"/>
                <w:color w:val="000000"/>
                <w:lang w:eastAsia="en-GB"/>
              </w:rPr>
            </w:pPr>
            <w:r w:rsidRPr="00B6620E">
              <w:rPr>
                <w:rFonts w:eastAsia="Times New Roman" w:cstheme="minorHAnsi"/>
                <w:color w:val="000000"/>
                <w:lang w:eastAsia="en-GB"/>
              </w:rPr>
              <w:t>High</w:t>
            </w:r>
            <w:r w:rsidRPr="00E9075D">
              <w:rPr>
                <w:rFonts w:eastAsia="Times New Roman" w:cstheme="minorHAnsi"/>
                <w:color w:val="000000"/>
                <w:lang w:eastAsia="en-GB"/>
              </w:rPr>
              <w:t xml:space="preserve"> frailty risk</w:t>
            </w:r>
            <w:r>
              <w:rPr>
                <w:rFonts w:eastAsia="Times New Roman" w:cstheme="minorHAnsi"/>
                <w:color w:val="000000"/>
                <w:lang w:eastAsia="en-GB"/>
              </w:rPr>
              <w:t xml:space="preserve"> </w:t>
            </w:r>
            <w:r w:rsidRPr="00541E84">
              <w:rPr>
                <w:rFonts w:eastAsia="Malgun Gothic" w:cstheme="minorHAnsi"/>
                <w:color w:val="000000"/>
                <w:lang w:eastAsia="en-GB"/>
              </w:rPr>
              <w:t>(n=</w:t>
            </w:r>
            <w:r w:rsidRPr="00B6620E">
              <w:rPr>
                <w:rFonts w:eastAsia="Times New Roman" w:cstheme="minorHAnsi"/>
                <w:color w:val="000000"/>
                <w:lang w:eastAsia="en-GB"/>
              </w:rPr>
              <w:t>11</w:t>
            </w:r>
            <w:r w:rsidRPr="00541E84">
              <w:rPr>
                <w:rFonts w:eastAsia="Times New Roman" w:cstheme="minorHAnsi"/>
                <w:color w:val="000000"/>
                <w:lang w:eastAsia="en-GB"/>
              </w:rPr>
              <w:t>,</w:t>
            </w:r>
            <w:r w:rsidRPr="00B6620E">
              <w:rPr>
                <w:rFonts w:eastAsia="Times New Roman" w:cstheme="minorHAnsi"/>
                <w:color w:val="000000"/>
                <w:lang w:eastAsia="en-GB"/>
              </w:rPr>
              <w:t>526</w:t>
            </w:r>
            <w:r w:rsidRPr="00541E84">
              <w:rPr>
                <w:rFonts w:eastAsia="Times New Roman" w:cstheme="minorHAnsi"/>
                <w:color w:val="000000"/>
                <w:lang w:eastAsia="en-GB"/>
              </w:rPr>
              <w:t>)</w:t>
            </w:r>
          </w:p>
        </w:tc>
        <w:tc>
          <w:tcPr>
            <w:tcW w:w="934" w:type="dxa"/>
          </w:tcPr>
          <w:p w14:paraId="3A888E9B" w14:textId="77777777" w:rsidR="00F511F4" w:rsidRPr="00B6620E" w:rsidRDefault="00F511F4" w:rsidP="001F53D9">
            <w:pPr>
              <w:spacing w:after="0" w:line="240" w:lineRule="auto"/>
              <w:rPr>
                <w:rFonts w:eastAsia="Times New Roman" w:cstheme="minorHAnsi"/>
                <w:color w:val="000000"/>
                <w:lang w:eastAsia="en-GB"/>
              </w:rPr>
            </w:pPr>
            <w:r>
              <w:rPr>
                <w:rFonts w:eastAsia="Times New Roman" w:cstheme="minorHAnsi"/>
                <w:color w:val="000000"/>
                <w:lang w:eastAsia="en-GB"/>
              </w:rPr>
              <w:t>p-value</w:t>
            </w:r>
          </w:p>
        </w:tc>
      </w:tr>
      <w:tr w:rsidR="00F511F4" w:rsidRPr="00B6620E" w14:paraId="04E5EC51" w14:textId="77777777" w:rsidTr="001F53D9">
        <w:trPr>
          <w:trHeight w:val="285"/>
        </w:trPr>
        <w:tc>
          <w:tcPr>
            <w:tcW w:w="2689" w:type="dxa"/>
            <w:shd w:val="clear" w:color="auto" w:fill="auto"/>
            <w:noWrap/>
            <w:hideMark/>
          </w:tcPr>
          <w:p w14:paraId="0AAC000C" w14:textId="77777777" w:rsidR="00F511F4" w:rsidRPr="00B6620E" w:rsidRDefault="00F511F4" w:rsidP="001F53D9">
            <w:pPr>
              <w:spacing w:after="0" w:line="240" w:lineRule="auto"/>
              <w:rPr>
                <w:rFonts w:eastAsia="Times New Roman" w:cstheme="minorHAnsi"/>
                <w:color w:val="000000"/>
                <w:lang w:eastAsia="en-GB"/>
              </w:rPr>
            </w:pPr>
            <w:r w:rsidRPr="00B6620E">
              <w:rPr>
                <w:rFonts w:eastAsia="Times New Roman" w:cstheme="minorHAnsi"/>
                <w:color w:val="000000"/>
                <w:lang w:val="en-US" w:eastAsia="en-GB"/>
              </w:rPr>
              <w:t>Age (year)</w:t>
            </w:r>
          </w:p>
        </w:tc>
        <w:tc>
          <w:tcPr>
            <w:tcW w:w="2128" w:type="dxa"/>
            <w:shd w:val="clear" w:color="auto" w:fill="auto"/>
            <w:noWrap/>
            <w:hideMark/>
          </w:tcPr>
          <w:p w14:paraId="038A921F" w14:textId="77777777" w:rsidR="00F511F4" w:rsidRPr="00B6620E" w:rsidRDefault="00F511F4" w:rsidP="001F53D9">
            <w:pPr>
              <w:spacing w:after="0" w:line="240" w:lineRule="auto"/>
              <w:rPr>
                <w:rFonts w:eastAsia="Times New Roman" w:cstheme="minorHAnsi"/>
                <w:color w:val="000000"/>
                <w:lang w:eastAsia="en-GB"/>
              </w:rPr>
            </w:pPr>
            <w:r w:rsidRPr="00541E84">
              <w:rPr>
                <w:rFonts w:eastAsia="Times New Roman" w:cstheme="minorHAnsi"/>
                <w:color w:val="000000"/>
                <w:lang w:eastAsia="en-GB"/>
              </w:rPr>
              <w:t>72</w:t>
            </w:r>
            <w:r w:rsidRPr="00541E84">
              <w:rPr>
                <w:rFonts w:eastAsia="Malgun Gothic" w:cstheme="minorHAnsi"/>
                <w:color w:val="000000"/>
                <w:lang w:eastAsia="en-GB"/>
              </w:rPr>
              <w:t>±15 (n=</w:t>
            </w:r>
            <w:r w:rsidRPr="00B6620E">
              <w:rPr>
                <w:rFonts w:eastAsia="Times New Roman" w:cstheme="minorHAnsi"/>
                <w:color w:val="000000"/>
                <w:lang w:eastAsia="en-GB"/>
              </w:rPr>
              <w:t>9</w:t>
            </w:r>
            <w:r w:rsidRPr="00541E84">
              <w:rPr>
                <w:rFonts w:eastAsia="Times New Roman" w:cstheme="minorHAnsi"/>
                <w:color w:val="000000"/>
                <w:lang w:eastAsia="en-GB"/>
              </w:rPr>
              <w:t>,</w:t>
            </w:r>
            <w:r w:rsidRPr="00B6620E">
              <w:rPr>
                <w:rFonts w:eastAsia="Times New Roman" w:cstheme="minorHAnsi"/>
                <w:color w:val="000000"/>
                <w:lang w:eastAsia="en-GB"/>
              </w:rPr>
              <w:t>300</w:t>
            </w:r>
            <w:r w:rsidRPr="00541E84">
              <w:rPr>
                <w:rFonts w:eastAsia="Times New Roman" w:cstheme="minorHAnsi"/>
                <w:color w:val="000000"/>
                <w:lang w:eastAsia="en-GB"/>
              </w:rPr>
              <w:t>,</w:t>
            </w:r>
            <w:r w:rsidRPr="00B6620E">
              <w:rPr>
                <w:rFonts w:eastAsia="Times New Roman" w:cstheme="minorHAnsi"/>
                <w:color w:val="000000"/>
                <w:lang w:eastAsia="en-GB"/>
              </w:rPr>
              <w:t>873</w:t>
            </w:r>
            <w:r w:rsidRPr="00541E84">
              <w:rPr>
                <w:rFonts w:eastAsia="Times New Roman" w:cstheme="minorHAnsi"/>
                <w:color w:val="000000"/>
                <w:lang w:eastAsia="en-GB"/>
              </w:rPr>
              <w:t>)</w:t>
            </w:r>
          </w:p>
        </w:tc>
        <w:tc>
          <w:tcPr>
            <w:tcW w:w="1984" w:type="dxa"/>
            <w:shd w:val="clear" w:color="auto" w:fill="auto"/>
            <w:noWrap/>
            <w:hideMark/>
          </w:tcPr>
          <w:p w14:paraId="761466DB" w14:textId="77777777" w:rsidR="00F511F4" w:rsidRPr="00B6620E" w:rsidRDefault="00F511F4" w:rsidP="001F53D9">
            <w:pPr>
              <w:spacing w:after="0" w:line="240" w:lineRule="auto"/>
              <w:rPr>
                <w:rFonts w:eastAsia="Times New Roman" w:cstheme="minorHAnsi"/>
                <w:color w:val="000000"/>
                <w:lang w:eastAsia="en-GB"/>
              </w:rPr>
            </w:pPr>
            <w:r w:rsidRPr="00541E84">
              <w:rPr>
                <w:rFonts w:eastAsia="Times New Roman" w:cstheme="minorHAnsi"/>
                <w:color w:val="000000"/>
                <w:lang w:eastAsia="en-GB"/>
              </w:rPr>
              <w:t>76</w:t>
            </w:r>
            <w:r w:rsidRPr="00541E84">
              <w:rPr>
                <w:rFonts w:eastAsia="Malgun Gothic" w:cstheme="minorHAnsi"/>
                <w:color w:val="000000"/>
                <w:lang w:eastAsia="en-GB"/>
              </w:rPr>
              <w:t>±13 (n=</w:t>
            </w:r>
            <w:r w:rsidRPr="00B6620E">
              <w:rPr>
                <w:rFonts w:eastAsia="Times New Roman" w:cstheme="minorHAnsi"/>
                <w:color w:val="000000"/>
                <w:lang w:eastAsia="en-GB"/>
              </w:rPr>
              <w:t>2</w:t>
            </w:r>
            <w:r w:rsidRPr="00541E84">
              <w:rPr>
                <w:rFonts w:eastAsia="Times New Roman" w:cstheme="minorHAnsi"/>
                <w:color w:val="000000"/>
                <w:lang w:eastAsia="en-GB"/>
              </w:rPr>
              <w:t>,</w:t>
            </w:r>
            <w:r w:rsidRPr="00B6620E">
              <w:rPr>
                <w:rFonts w:eastAsia="Times New Roman" w:cstheme="minorHAnsi"/>
                <w:color w:val="000000"/>
                <w:lang w:eastAsia="en-GB"/>
              </w:rPr>
              <w:t>314</w:t>
            </w:r>
            <w:r w:rsidRPr="00541E84">
              <w:rPr>
                <w:rFonts w:eastAsia="Times New Roman" w:cstheme="minorHAnsi"/>
                <w:color w:val="000000"/>
                <w:lang w:eastAsia="en-GB"/>
              </w:rPr>
              <w:t>,</w:t>
            </w:r>
            <w:r w:rsidRPr="00B6620E">
              <w:rPr>
                <w:rFonts w:eastAsia="Times New Roman" w:cstheme="minorHAnsi"/>
                <w:color w:val="000000"/>
                <w:lang w:eastAsia="en-GB"/>
              </w:rPr>
              <w:t>001</w:t>
            </w:r>
            <w:r w:rsidRPr="00541E84">
              <w:rPr>
                <w:rFonts w:eastAsia="Times New Roman" w:cstheme="minorHAnsi"/>
                <w:color w:val="000000"/>
                <w:lang w:eastAsia="en-GB"/>
              </w:rPr>
              <w:t>)</w:t>
            </w:r>
          </w:p>
        </w:tc>
        <w:tc>
          <w:tcPr>
            <w:tcW w:w="1899" w:type="dxa"/>
            <w:shd w:val="clear" w:color="auto" w:fill="auto"/>
            <w:noWrap/>
            <w:hideMark/>
          </w:tcPr>
          <w:p w14:paraId="07BAD739" w14:textId="77777777" w:rsidR="00F511F4" w:rsidRPr="00B6620E" w:rsidRDefault="00F511F4" w:rsidP="001F53D9">
            <w:pPr>
              <w:spacing w:after="0" w:line="240" w:lineRule="auto"/>
              <w:rPr>
                <w:rFonts w:eastAsia="Times New Roman" w:cstheme="minorHAnsi"/>
                <w:color w:val="000000"/>
                <w:lang w:eastAsia="en-GB"/>
              </w:rPr>
            </w:pPr>
            <w:r w:rsidRPr="00541E84">
              <w:rPr>
                <w:rFonts w:eastAsia="Times New Roman" w:cstheme="minorHAnsi"/>
                <w:color w:val="000000"/>
                <w:lang w:eastAsia="en-GB"/>
              </w:rPr>
              <w:t>81</w:t>
            </w:r>
            <w:r w:rsidRPr="00541E84">
              <w:rPr>
                <w:rFonts w:eastAsia="Malgun Gothic" w:cstheme="minorHAnsi"/>
                <w:color w:val="000000"/>
                <w:lang w:eastAsia="en-GB"/>
              </w:rPr>
              <w:t>±11 (n=</w:t>
            </w:r>
            <w:r w:rsidRPr="00B6620E">
              <w:rPr>
                <w:rFonts w:eastAsia="Times New Roman" w:cstheme="minorHAnsi"/>
                <w:color w:val="000000"/>
                <w:lang w:eastAsia="en-GB"/>
              </w:rPr>
              <w:t>11</w:t>
            </w:r>
            <w:r w:rsidRPr="00541E84">
              <w:rPr>
                <w:rFonts w:eastAsia="Times New Roman" w:cstheme="minorHAnsi"/>
                <w:color w:val="000000"/>
                <w:lang w:eastAsia="en-GB"/>
              </w:rPr>
              <w:t>,</w:t>
            </w:r>
            <w:r w:rsidRPr="00B6620E">
              <w:rPr>
                <w:rFonts w:eastAsia="Times New Roman" w:cstheme="minorHAnsi"/>
                <w:color w:val="000000"/>
                <w:lang w:eastAsia="en-GB"/>
              </w:rPr>
              <w:t>526</w:t>
            </w:r>
            <w:r w:rsidRPr="00541E84">
              <w:rPr>
                <w:rFonts w:eastAsia="Times New Roman" w:cstheme="minorHAnsi"/>
                <w:color w:val="000000"/>
                <w:lang w:eastAsia="en-GB"/>
              </w:rPr>
              <w:t>)</w:t>
            </w:r>
          </w:p>
        </w:tc>
        <w:tc>
          <w:tcPr>
            <w:tcW w:w="934" w:type="dxa"/>
          </w:tcPr>
          <w:p w14:paraId="25DF5C55" w14:textId="77777777" w:rsidR="00F511F4" w:rsidRPr="00541E84" w:rsidRDefault="00F511F4" w:rsidP="001F53D9">
            <w:pPr>
              <w:spacing w:after="0" w:line="240" w:lineRule="auto"/>
              <w:rPr>
                <w:rFonts w:eastAsia="Times New Roman" w:cstheme="minorHAnsi"/>
                <w:color w:val="000000"/>
                <w:lang w:eastAsia="en-GB"/>
              </w:rPr>
            </w:pPr>
            <w:r>
              <w:rPr>
                <w:rFonts w:eastAsia="Times New Roman" w:cstheme="minorHAnsi"/>
                <w:color w:val="000000"/>
                <w:lang w:eastAsia="en-GB"/>
              </w:rPr>
              <w:t>&lt;0.001</w:t>
            </w:r>
          </w:p>
        </w:tc>
      </w:tr>
      <w:tr w:rsidR="00F511F4" w:rsidRPr="00B6620E" w14:paraId="50DA5E08" w14:textId="77777777" w:rsidTr="001F53D9">
        <w:trPr>
          <w:trHeight w:val="285"/>
        </w:trPr>
        <w:tc>
          <w:tcPr>
            <w:tcW w:w="2689" w:type="dxa"/>
            <w:shd w:val="clear" w:color="auto" w:fill="auto"/>
            <w:noWrap/>
            <w:hideMark/>
          </w:tcPr>
          <w:p w14:paraId="03A7A530" w14:textId="77777777" w:rsidR="00F511F4" w:rsidRPr="00B6620E" w:rsidRDefault="00F511F4" w:rsidP="001F53D9">
            <w:pPr>
              <w:spacing w:after="0" w:line="240" w:lineRule="auto"/>
              <w:rPr>
                <w:rFonts w:eastAsia="Times New Roman" w:cstheme="minorHAnsi"/>
                <w:color w:val="000000"/>
                <w:lang w:eastAsia="en-GB"/>
              </w:rPr>
            </w:pPr>
            <w:r w:rsidRPr="00B6620E">
              <w:rPr>
                <w:rFonts w:eastAsia="Times New Roman" w:cstheme="minorHAnsi"/>
                <w:color w:val="000000"/>
                <w:lang w:val="en-US" w:eastAsia="en-GB"/>
              </w:rPr>
              <w:t>Female</w:t>
            </w:r>
          </w:p>
        </w:tc>
        <w:tc>
          <w:tcPr>
            <w:tcW w:w="2128" w:type="dxa"/>
            <w:shd w:val="clear" w:color="auto" w:fill="auto"/>
            <w:noWrap/>
            <w:hideMark/>
          </w:tcPr>
          <w:p w14:paraId="5178DA09" w14:textId="77777777" w:rsidR="00F511F4" w:rsidRPr="00B6620E" w:rsidRDefault="00F511F4" w:rsidP="001F53D9">
            <w:pPr>
              <w:spacing w:after="0" w:line="240" w:lineRule="auto"/>
              <w:rPr>
                <w:rFonts w:eastAsia="Times New Roman" w:cstheme="minorHAnsi"/>
                <w:color w:val="000000"/>
                <w:lang w:eastAsia="en-GB"/>
              </w:rPr>
            </w:pPr>
            <w:r w:rsidRPr="00B6620E">
              <w:rPr>
                <w:rFonts w:eastAsia="Times New Roman" w:cstheme="minorHAnsi"/>
                <w:color w:val="000000"/>
                <w:lang w:eastAsia="en-GB"/>
              </w:rPr>
              <w:t>4</w:t>
            </w:r>
            <w:r>
              <w:rPr>
                <w:rFonts w:eastAsia="Times New Roman" w:cstheme="minorHAnsi"/>
                <w:color w:val="000000"/>
                <w:lang w:eastAsia="en-GB"/>
              </w:rPr>
              <w:t>,</w:t>
            </w:r>
            <w:r w:rsidRPr="00B6620E">
              <w:rPr>
                <w:rFonts w:eastAsia="Times New Roman" w:cstheme="minorHAnsi"/>
                <w:color w:val="000000"/>
                <w:lang w:eastAsia="en-GB"/>
              </w:rPr>
              <w:t>641</w:t>
            </w:r>
            <w:r>
              <w:rPr>
                <w:rFonts w:eastAsia="Times New Roman" w:cstheme="minorHAnsi"/>
                <w:color w:val="000000"/>
                <w:lang w:eastAsia="en-GB"/>
              </w:rPr>
              <w:t>,</w:t>
            </w:r>
            <w:r w:rsidRPr="00B6620E">
              <w:rPr>
                <w:rFonts w:eastAsia="Times New Roman" w:cstheme="minorHAnsi"/>
                <w:color w:val="000000"/>
                <w:lang w:eastAsia="en-GB"/>
              </w:rPr>
              <w:t>520</w:t>
            </w:r>
            <w:r>
              <w:rPr>
                <w:rFonts w:eastAsia="Times New Roman" w:cstheme="minorHAnsi"/>
                <w:color w:val="000000"/>
                <w:lang w:eastAsia="en-GB"/>
              </w:rPr>
              <w:t xml:space="preserve"> (49.9%)</w:t>
            </w:r>
          </w:p>
        </w:tc>
        <w:tc>
          <w:tcPr>
            <w:tcW w:w="1984" w:type="dxa"/>
            <w:shd w:val="clear" w:color="auto" w:fill="auto"/>
            <w:noWrap/>
            <w:hideMark/>
          </w:tcPr>
          <w:p w14:paraId="24515C92" w14:textId="77777777" w:rsidR="00F511F4" w:rsidRPr="00B6620E" w:rsidRDefault="00F511F4" w:rsidP="001F53D9">
            <w:pPr>
              <w:spacing w:after="0" w:line="240" w:lineRule="auto"/>
              <w:rPr>
                <w:rFonts w:eastAsia="Times New Roman" w:cstheme="minorHAnsi"/>
                <w:color w:val="000000"/>
                <w:lang w:eastAsia="en-GB"/>
              </w:rPr>
            </w:pPr>
            <w:r w:rsidRPr="00B6620E">
              <w:rPr>
                <w:rFonts w:eastAsia="Times New Roman" w:cstheme="minorHAnsi"/>
                <w:color w:val="000000"/>
                <w:lang w:eastAsia="en-GB"/>
              </w:rPr>
              <w:t>1</w:t>
            </w:r>
            <w:r>
              <w:rPr>
                <w:rFonts w:eastAsia="Times New Roman" w:cstheme="minorHAnsi"/>
                <w:color w:val="000000"/>
                <w:lang w:eastAsia="en-GB"/>
              </w:rPr>
              <w:t>,</w:t>
            </w:r>
            <w:r w:rsidRPr="00B6620E">
              <w:rPr>
                <w:rFonts w:eastAsia="Times New Roman" w:cstheme="minorHAnsi"/>
                <w:color w:val="000000"/>
                <w:lang w:eastAsia="en-GB"/>
              </w:rPr>
              <w:t>235</w:t>
            </w:r>
            <w:r>
              <w:rPr>
                <w:rFonts w:eastAsia="Times New Roman" w:cstheme="minorHAnsi"/>
                <w:color w:val="000000"/>
                <w:lang w:eastAsia="en-GB"/>
              </w:rPr>
              <w:t>,</w:t>
            </w:r>
            <w:r w:rsidRPr="00B6620E">
              <w:rPr>
                <w:rFonts w:eastAsia="Times New Roman" w:cstheme="minorHAnsi"/>
                <w:color w:val="000000"/>
                <w:lang w:eastAsia="en-GB"/>
              </w:rPr>
              <w:t>107</w:t>
            </w:r>
            <w:r>
              <w:rPr>
                <w:rFonts w:eastAsia="Times New Roman" w:cstheme="minorHAnsi"/>
                <w:color w:val="000000"/>
                <w:lang w:eastAsia="en-GB"/>
              </w:rPr>
              <w:t xml:space="preserve"> (53.4%)</w:t>
            </w:r>
          </w:p>
        </w:tc>
        <w:tc>
          <w:tcPr>
            <w:tcW w:w="1899" w:type="dxa"/>
            <w:shd w:val="clear" w:color="auto" w:fill="auto"/>
            <w:noWrap/>
            <w:hideMark/>
          </w:tcPr>
          <w:p w14:paraId="60590396" w14:textId="77777777" w:rsidR="00F511F4" w:rsidRPr="00B6620E" w:rsidRDefault="00F511F4" w:rsidP="001F53D9">
            <w:pPr>
              <w:spacing w:after="0" w:line="240" w:lineRule="auto"/>
              <w:rPr>
                <w:rFonts w:eastAsia="Times New Roman" w:cstheme="minorHAnsi"/>
                <w:color w:val="000000"/>
                <w:lang w:eastAsia="en-GB"/>
              </w:rPr>
            </w:pPr>
            <w:r w:rsidRPr="00B6620E">
              <w:rPr>
                <w:rFonts w:eastAsia="Times New Roman" w:cstheme="minorHAnsi"/>
                <w:color w:val="000000"/>
                <w:lang w:eastAsia="en-GB"/>
              </w:rPr>
              <w:t>6</w:t>
            </w:r>
            <w:r>
              <w:rPr>
                <w:rFonts w:eastAsia="Times New Roman" w:cstheme="minorHAnsi"/>
                <w:color w:val="000000"/>
                <w:lang w:eastAsia="en-GB"/>
              </w:rPr>
              <w:t>,</w:t>
            </w:r>
            <w:r w:rsidRPr="00B6620E">
              <w:rPr>
                <w:rFonts w:eastAsia="Times New Roman" w:cstheme="minorHAnsi"/>
                <w:color w:val="000000"/>
                <w:lang w:eastAsia="en-GB"/>
              </w:rPr>
              <w:t>445</w:t>
            </w:r>
            <w:r>
              <w:rPr>
                <w:rFonts w:eastAsia="Times New Roman" w:cstheme="minorHAnsi"/>
                <w:color w:val="000000"/>
                <w:lang w:eastAsia="en-GB"/>
              </w:rPr>
              <w:t xml:space="preserve"> (55.9%)</w:t>
            </w:r>
          </w:p>
        </w:tc>
        <w:tc>
          <w:tcPr>
            <w:tcW w:w="934" w:type="dxa"/>
          </w:tcPr>
          <w:p w14:paraId="51EB7452" w14:textId="77777777" w:rsidR="00F511F4" w:rsidRPr="00B6620E" w:rsidRDefault="00F511F4" w:rsidP="001F53D9">
            <w:pPr>
              <w:spacing w:after="0" w:line="240" w:lineRule="auto"/>
              <w:rPr>
                <w:rFonts w:eastAsia="Times New Roman" w:cstheme="minorHAnsi"/>
                <w:color w:val="000000"/>
                <w:lang w:eastAsia="en-GB"/>
              </w:rPr>
            </w:pPr>
            <w:r>
              <w:rPr>
                <w:rFonts w:eastAsia="Times New Roman" w:cstheme="minorHAnsi"/>
                <w:color w:val="000000"/>
                <w:lang w:eastAsia="en-GB"/>
              </w:rPr>
              <w:t>&lt;0.001</w:t>
            </w:r>
          </w:p>
        </w:tc>
      </w:tr>
      <w:tr w:rsidR="00F511F4" w:rsidRPr="00B6620E" w14:paraId="623B165F" w14:textId="77777777" w:rsidTr="001F53D9">
        <w:trPr>
          <w:trHeight w:val="285"/>
        </w:trPr>
        <w:tc>
          <w:tcPr>
            <w:tcW w:w="8700" w:type="dxa"/>
            <w:gridSpan w:val="4"/>
            <w:shd w:val="clear" w:color="auto" w:fill="auto"/>
            <w:noWrap/>
          </w:tcPr>
          <w:p w14:paraId="6456367D" w14:textId="77777777" w:rsidR="00F511F4" w:rsidRDefault="00F511F4" w:rsidP="001F53D9">
            <w:pPr>
              <w:spacing w:after="0" w:line="240" w:lineRule="auto"/>
              <w:rPr>
                <w:rFonts w:eastAsia="Times New Roman" w:cstheme="minorHAnsi"/>
                <w:color w:val="000000"/>
                <w:lang w:val="en-US" w:eastAsia="en-GB"/>
              </w:rPr>
            </w:pPr>
            <w:r>
              <w:rPr>
                <w:rFonts w:eastAsia="Times New Roman" w:cstheme="minorHAnsi"/>
                <w:color w:val="000000"/>
                <w:lang w:val="en-US" w:eastAsia="en-GB"/>
              </w:rPr>
              <w:t>Race</w:t>
            </w:r>
          </w:p>
        </w:tc>
        <w:tc>
          <w:tcPr>
            <w:tcW w:w="934" w:type="dxa"/>
            <w:shd w:val="clear" w:color="auto" w:fill="auto"/>
          </w:tcPr>
          <w:p w14:paraId="5A755497" w14:textId="77777777" w:rsidR="00F511F4" w:rsidRDefault="00F511F4" w:rsidP="001F53D9">
            <w:pPr>
              <w:spacing w:after="0" w:line="240" w:lineRule="auto"/>
              <w:rPr>
                <w:rFonts w:eastAsia="Times New Roman" w:cstheme="minorHAnsi"/>
                <w:color w:val="000000"/>
                <w:lang w:val="en-US" w:eastAsia="en-GB"/>
              </w:rPr>
            </w:pPr>
            <w:r>
              <w:rPr>
                <w:rFonts w:eastAsia="Times New Roman" w:cstheme="minorHAnsi"/>
                <w:color w:val="000000"/>
                <w:lang w:eastAsia="en-GB"/>
              </w:rPr>
              <w:t>&lt;0.001</w:t>
            </w:r>
          </w:p>
        </w:tc>
      </w:tr>
      <w:tr w:rsidR="00F511F4" w:rsidRPr="00B6620E" w14:paraId="4A9DB870" w14:textId="77777777" w:rsidTr="001F53D9">
        <w:trPr>
          <w:trHeight w:val="285"/>
        </w:trPr>
        <w:tc>
          <w:tcPr>
            <w:tcW w:w="2689" w:type="dxa"/>
            <w:shd w:val="clear" w:color="auto" w:fill="auto"/>
            <w:noWrap/>
          </w:tcPr>
          <w:p w14:paraId="0FD61B79" w14:textId="77777777" w:rsidR="00F511F4" w:rsidRPr="00B6620E" w:rsidRDefault="00F511F4" w:rsidP="001F53D9">
            <w:pPr>
              <w:spacing w:after="0" w:line="240" w:lineRule="auto"/>
              <w:rPr>
                <w:rFonts w:eastAsia="Times New Roman" w:cstheme="minorHAnsi"/>
                <w:color w:val="000000"/>
                <w:lang w:val="en-US" w:eastAsia="en-GB"/>
              </w:rPr>
            </w:pPr>
            <w:r>
              <w:rPr>
                <w:rFonts w:eastAsia="Times New Roman" w:cstheme="minorHAnsi"/>
                <w:color w:val="000000"/>
                <w:lang w:val="en-US" w:eastAsia="en-GB"/>
              </w:rPr>
              <w:t>White</w:t>
            </w:r>
          </w:p>
        </w:tc>
        <w:tc>
          <w:tcPr>
            <w:tcW w:w="2128" w:type="dxa"/>
            <w:shd w:val="clear" w:color="auto" w:fill="auto"/>
            <w:noWrap/>
          </w:tcPr>
          <w:p w14:paraId="23E8A615" w14:textId="77777777" w:rsidR="00F511F4" w:rsidRPr="00B6620E" w:rsidRDefault="00F511F4" w:rsidP="001F53D9">
            <w:pPr>
              <w:spacing w:after="0" w:line="240" w:lineRule="auto"/>
              <w:rPr>
                <w:rFonts w:eastAsia="Times New Roman" w:cstheme="minorHAnsi"/>
                <w:color w:val="000000"/>
                <w:lang w:eastAsia="en-GB"/>
              </w:rPr>
            </w:pPr>
            <w:r>
              <w:rPr>
                <w:rFonts w:eastAsia="Times New Roman" w:cstheme="minorHAnsi"/>
                <w:color w:val="000000"/>
                <w:lang w:eastAsia="en-GB"/>
              </w:rPr>
              <w:t xml:space="preserve">5,136,131 (66.8%) </w:t>
            </w:r>
          </w:p>
        </w:tc>
        <w:tc>
          <w:tcPr>
            <w:tcW w:w="1984" w:type="dxa"/>
            <w:shd w:val="clear" w:color="auto" w:fill="auto"/>
            <w:noWrap/>
          </w:tcPr>
          <w:p w14:paraId="2F384527" w14:textId="77777777" w:rsidR="00F511F4" w:rsidRPr="00B6620E" w:rsidRDefault="00F511F4" w:rsidP="001F53D9">
            <w:pPr>
              <w:spacing w:after="0" w:line="240" w:lineRule="auto"/>
              <w:rPr>
                <w:rFonts w:eastAsia="Times New Roman" w:cstheme="minorHAnsi"/>
                <w:color w:val="000000"/>
                <w:lang w:eastAsia="en-GB"/>
              </w:rPr>
            </w:pPr>
            <w:r>
              <w:rPr>
                <w:rFonts w:eastAsia="Times New Roman" w:cstheme="minorHAnsi"/>
                <w:color w:val="000000"/>
                <w:lang w:eastAsia="en-GB"/>
              </w:rPr>
              <w:t>1,456,848 (71.2%)</w:t>
            </w:r>
          </w:p>
        </w:tc>
        <w:tc>
          <w:tcPr>
            <w:tcW w:w="1899" w:type="dxa"/>
            <w:shd w:val="clear" w:color="auto" w:fill="auto"/>
            <w:noWrap/>
          </w:tcPr>
          <w:p w14:paraId="1CC1B4A0" w14:textId="77777777" w:rsidR="00F511F4" w:rsidRPr="00B6620E" w:rsidRDefault="00F511F4" w:rsidP="001F53D9">
            <w:pPr>
              <w:spacing w:after="0" w:line="240" w:lineRule="auto"/>
              <w:rPr>
                <w:rFonts w:eastAsia="Times New Roman" w:cstheme="minorHAnsi"/>
                <w:color w:val="000000"/>
                <w:lang w:eastAsia="en-GB"/>
              </w:rPr>
            </w:pPr>
            <w:r>
              <w:rPr>
                <w:rFonts w:eastAsia="Times New Roman" w:cstheme="minorHAnsi"/>
                <w:color w:val="000000"/>
                <w:lang w:eastAsia="en-GB"/>
              </w:rPr>
              <w:t>8,027 (74.3%)</w:t>
            </w:r>
          </w:p>
        </w:tc>
        <w:tc>
          <w:tcPr>
            <w:tcW w:w="934" w:type="dxa"/>
          </w:tcPr>
          <w:p w14:paraId="4E3B0E3A" w14:textId="77777777" w:rsidR="00F511F4" w:rsidRDefault="00F511F4" w:rsidP="001F53D9">
            <w:pPr>
              <w:spacing w:after="0" w:line="240" w:lineRule="auto"/>
              <w:rPr>
                <w:rFonts w:eastAsia="Times New Roman" w:cstheme="minorHAnsi"/>
                <w:color w:val="000000"/>
                <w:lang w:eastAsia="en-GB"/>
              </w:rPr>
            </w:pPr>
          </w:p>
        </w:tc>
      </w:tr>
      <w:tr w:rsidR="00F511F4" w:rsidRPr="00B6620E" w14:paraId="4475BF80" w14:textId="77777777" w:rsidTr="001F53D9">
        <w:trPr>
          <w:trHeight w:val="285"/>
        </w:trPr>
        <w:tc>
          <w:tcPr>
            <w:tcW w:w="2689" w:type="dxa"/>
            <w:shd w:val="clear" w:color="auto" w:fill="auto"/>
            <w:noWrap/>
          </w:tcPr>
          <w:p w14:paraId="1FB973B6" w14:textId="77777777" w:rsidR="00F511F4" w:rsidRPr="00B6620E" w:rsidRDefault="00F511F4" w:rsidP="001F53D9">
            <w:pPr>
              <w:spacing w:after="0" w:line="240" w:lineRule="auto"/>
              <w:rPr>
                <w:rFonts w:eastAsia="Times New Roman" w:cstheme="minorHAnsi"/>
                <w:color w:val="000000"/>
                <w:lang w:val="en-US" w:eastAsia="en-GB"/>
              </w:rPr>
            </w:pPr>
            <w:r>
              <w:rPr>
                <w:rFonts w:eastAsia="Times New Roman" w:cstheme="minorHAnsi"/>
                <w:color w:val="000000"/>
                <w:lang w:val="en-US" w:eastAsia="en-GB"/>
              </w:rPr>
              <w:t>Black</w:t>
            </w:r>
          </w:p>
        </w:tc>
        <w:tc>
          <w:tcPr>
            <w:tcW w:w="2128" w:type="dxa"/>
            <w:shd w:val="clear" w:color="auto" w:fill="auto"/>
            <w:noWrap/>
          </w:tcPr>
          <w:p w14:paraId="2898CA7C" w14:textId="77777777" w:rsidR="00F511F4" w:rsidRPr="00B6620E" w:rsidRDefault="00F511F4" w:rsidP="001F53D9">
            <w:pPr>
              <w:spacing w:after="0" w:line="240" w:lineRule="auto"/>
              <w:rPr>
                <w:rFonts w:eastAsia="Times New Roman" w:cstheme="minorHAnsi"/>
                <w:color w:val="000000"/>
                <w:lang w:eastAsia="en-GB"/>
              </w:rPr>
            </w:pPr>
            <w:r>
              <w:rPr>
                <w:rFonts w:eastAsia="Times New Roman" w:cstheme="minorHAnsi"/>
                <w:color w:val="000000"/>
                <w:lang w:eastAsia="en-GB"/>
              </w:rPr>
              <w:t>159,0918 (20.7%)</w:t>
            </w:r>
          </w:p>
        </w:tc>
        <w:tc>
          <w:tcPr>
            <w:tcW w:w="1984" w:type="dxa"/>
            <w:shd w:val="clear" w:color="auto" w:fill="auto"/>
            <w:noWrap/>
          </w:tcPr>
          <w:p w14:paraId="089CC7D3" w14:textId="77777777" w:rsidR="00F511F4" w:rsidRPr="00B6620E" w:rsidRDefault="00F511F4" w:rsidP="001F53D9">
            <w:pPr>
              <w:spacing w:after="0" w:line="240" w:lineRule="auto"/>
              <w:rPr>
                <w:rFonts w:eastAsia="Times New Roman" w:cstheme="minorHAnsi"/>
                <w:color w:val="000000"/>
                <w:lang w:eastAsia="en-GB"/>
              </w:rPr>
            </w:pPr>
            <w:r>
              <w:rPr>
                <w:rFonts w:eastAsia="Times New Roman" w:cstheme="minorHAnsi"/>
                <w:color w:val="000000"/>
                <w:lang w:eastAsia="en-GB"/>
              </w:rPr>
              <w:t>340,504 (16.7%)</w:t>
            </w:r>
          </w:p>
        </w:tc>
        <w:tc>
          <w:tcPr>
            <w:tcW w:w="1899" w:type="dxa"/>
            <w:shd w:val="clear" w:color="auto" w:fill="auto"/>
            <w:noWrap/>
          </w:tcPr>
          <w:p w14:paraId="01AA95CA" w14:textId="77777777" w:rsidR="00F511F4" w:rsidRPr="00B6620E" w:rsidRDefault="00F511F4" w:rsidP="001F53D9">
            <w:pPr>
              <w:spacing w:after="0" w:line="240" w:lineRule="auto"/>
              <w:rPr>
                <w:rFonts w:eastAsia="Times New Roman" w:cstheme="minorHAnsi"/>
                <w:color w:val="000000"/>
                <w:lang w:eastAsia="en-GB"/>
              </w:rPr>
            </w:pPr>
            <w:r>
              <w:rPr>
                <w:rFonts w:eastAsia="Times New Roman" w:cstheme="minorHAnsi"/>
                <w:color w:val="000000"/>
                <w:lang w:eastAsia="en-GB"/>
              </w:rPr>
              <w:t>1,404 (13.0%)</w:t>
            </w:r>
          </w:p>
        </w:tc>
        <w:tc>
          <w:tcPr>
            <w:tcW w:w="934" w:type="dxa"/>
          </w:tcPr>
          <w:p w14:paraId="08411956" w14:textId="77777777" w:rsidR="00F511F4" w:rsidRDefault="00F511F4" w:rsidP="001F53D9">
            <w:pPr>
              <w:spacing w:after="0" w:line="240" w:lineRule="auto"/>
              <w:rPr>
                <w:rFonts w:eastAsia="Times New Roman" w:cstheme="minorHAnsi"/>
                <w:color w:val="000000"/>
                <w:lang w:eastAsia="en-GB"/>
              </w:rPr>
            </w:pPr>
          </w:p>
        </w:tc>
      </w:tr>
      <w:tr w:rsidR="00F511F4" w:rsidRPr="00B6620E" w14:paraId="41ED9924" w14:textId="77777777" w:rsidTr="001F53D9">
        <w:trPr>
          <w:trHeight w:val="285"/>
        </w:trPr>
        <w:tc>
          <w:tcPr>
            <w:tcW w:w="2689" w:type="dxa"/>
            <w:shd w:val="clear" w:color="auto" w:fill="auto"/>
            <w:noWrap/>
          </w:tcPr>
          <w:p w14:paraId="7440785D" w14:textId="77777777" w:rsidR="00F511F4" w:rsidRPr="00B6620E" w:rsidRDefault="00F511F4" w:rsidP="001F53D9">
            <w:pPr>
              <w:spacing w:after="0" w:line="240" w:lineRule="auto"/>
              <w:rPr>
                <w:rFonts w:eastAsia="Times New Roman" w:cstheme="minorHAnsi"/>
                <w:color w:val="000000"/>
                <w:lang w:val="en-US" w:eastAsia="en-GB"/>
              </w:rPr>
            </w:pPr>
            <w:r>
              <w:rPr>
                <w:rFonts w:eastAsia="Times New Roman" w:cstheme="minorHAnsi"/>
                <w:color w:val="000000"/>
                <w:lang w:val="en-US" w:eastAsia="en-GB"/>
              </w:rPr>
              <w:t>Hispanic</w:t>
            </w:r>
          </w:p>
        </w:tc>
        <w:tc>
          <w:tcPr>
            <w:tcW w:w="2128" w:type="dxa"/>
            <w:shd w:val="clear" w:color="auto" w:fill="auto"/>
            <w:noWrap/>
          </w:tcPr>
          <w:p w14:paraId="685687C3" w14:textId="77777777" w:rsidR="00F511F4" w:rsidRPr="00B6620E" w:rsidRDefault="00F511F4" w:rsidP="001F53D9">
            <w:pPr>
              <w:spacing w:after="0" w:line="240" w:lineRule="auto"/>
              <w:rPr>
                <w:rFonts w:eastAsia="Times New Roman" w:cstheme="minorHAnsi"/>
                <w:color w:val="000000"/>
                <w:lang w:eastAsia="en-GB"/>
              </w:rPr>
            </w:pPr>
            <w:r>
              <w:rPr>
                <w:rFonts w:eastAsia="Times New Roman" w:cstheme="minorHAnsi"/>
                <w:color w:val="000000"/>
                <w:lang w:eastAsia="en-GB"/>
              </w:rPr>
              <w:t>612,159 (8.0%)</w:t>
            </w:r>
          </w:p>
        </w:tc>
        <w:tc>
          <w:tcPr>
            <w:tcW w:w="1984" w:type="dxa"/>
            <w:shd w:val="clear" w:color="auto" w:fill="auto"/>
            <w:noWrap/>
          </w:tcPr>
          <w:p w14:paraId="5AA326F8" w14:textId="77777777" w:rsidR="00F511F4" w:rsidRPr="00B6620E" w:rsidRDefault="00F511F4" w:rsidP="001F53D9">
            <w:pPr>
              <w:spacing w:after="0" w:line="240" w:lineRule="auto"/>
              <w:rPr>
                <w:rFonts w:eastAsia="Times New Roman" w:cstheme="minorHAnsi"/>
                <w:color w:val="000000"/>
                <w:lang w:eastAsia="en-GB"/>
              </w:rPr>
            </w:pPr>
            <w:r>
              <w:rPr>
                <w:rFonts w:eastAsia="Times New Roman" w:cstheme="minorHAnsi"/>
                <w:color w:val="000000"/>
                <w:lang w:eastAsia="en-GB"/>
              </w:rPr>
              <w:t>150,806 (7.4%)</w:t>
            </w:r>
          </w:p>
        </w:tc>
        <w:tc>
          <w:tcPr>
            <w:tcW w:w="1899" w:type="dxa"/>
            <w:shd w:val="clear" w:color="auto" w:fill="auto"/>
            <w:noWrap/>
          </w:tcPr>
          <w:p w14:paraId="401ADDD9" w14:textId="77777777" w:rsidR="00F511F4" w:rsidRPr="00B6620E" w:rsidRDefault="00F511F4" w:rsidP="001F53D9">
            <w:pPr>
              <w:spacing w:after="0" w:line="240" w:lineRule="auto"/>
              <w:rPr>
                <w:rFonts w:eastAsia="Times New Roman" w:cstheme="minorHAnsi"/>
                <w:color w:val="000000"/>
                <w:lang w:eastAsia="en-GB"/>
              </w:rPr>
            </w:pPr>
            <w:r>
              <w:rPr>
                <w:rFonts w:eastAsia="Times New Roman" w:cstheme="minorHAnsi"/>
                <w:color w:val="000000"/>
                <w:lang w:eastAsia="en-GB"/>
              </w:rPr>
              <w:t>776 (7.2%)</w:t>
            </w:r>
          </w:p>
        </w:tc>
        <w:tc>
          <w:tcPr>
            <w:tcW w:w="934" w:type="dxa"/>
          </w:tcPr>
          <w:p w14:paraId="61BD9AEE" w14:textId="77777777" w:rsidR="00F511F4" w:rsidRDefault="00F511F4" w:rsidP="001F53D9">
            <w:pPr>
              <w:spacing w:after="0" w:line="240" w:lineRule="auto"/>
              <w:rPr>
                <w:rFonts w:eastAsia="Times New Roman" w:cstheme="minorHAnsi"/>
                <w:color w:val="000000"/>
                <w:lang w:eastAsia="en-GB"/>
              </w:rPr>
            </w:pPr>
          </w:p>
        </w:tc>
      </w:tr>
      <w:tr w:rsidR="00F511F4" w:rsidRPr="00B6620E" w14:paraId="5D1A977A" w14:textId="77777777" w:rsidTr="001F53D9">
        <w:trPr>
          <w:trHeight w:val="285"/>
        </w:trPr>
        <w:tc>
          <w:tcPr>
            <w:tcW w:w="2689" w:type="dxa"/>
            <w:shd w:val="clear" w:color="auto" w:fill="auto"/>
            <w:noWrap/>
          </w:tcPr>
          <w:p w14:paraId="5318DD82" w14:textId="77777777" w:rsidR="00F511F4" w:rsidRPr="00B6620E" w:rsidRDefault="00F511F4" w:rsidP="001F53D9">
            <w:pPr>
              <w:spacing w:after="0" w:line="240" w:lineRule="auto"/>
              <w:rPr>
                <w:rFonts w:eastAsia="Times New Roman" w:cstheme="minorHAnsi"/>
                <w:color w:val="000000"/>
                <w:lang w:val="en-US" w:eastAsia="en-GB"/>
              </w:rPr>
            </w:pPr>
            <w:r>
              <w:rPr>
                <w:rFonts w:eastAsia="Times New Roman" w:cstheme="minorHAnsi"/>
                <w:color w:val="000000"/>
                <w:lang w:val="en-US" w:eastAsia="en-GB"/>
              </w:rPr>
              <w:t>Asian or Pacific Islander</w:t>
            </w:r>
          </w:p>
        </w:tc>
        <w:tc>
          <w:tcPr>
            <w:tcW w:w="2128" w:type="dxa"/>
            <w:shd w:val="clear" w:color="auto" w:fill="auto"/>
            <w:noWrap/>
          </w:tcPr>
          <w:p w14:paraId="7BF69F7C" w14:textId="77777777" w:rsidR="00F511F4" w:rsidRPr="00B6620E" w:rsidRDefault="00F511F4" w:rsidP="001F53D9">
            <w:pPr>
              <w:spacing w:after="0" w:line="240" w:lineRule="auto"/>
              <w:rPr>
                <w:rFonts w:eastAsia="Times New Roman" w:cstheme="minorHAnsi"/>
                <w:color w:val="000000"/>
                <w:lang w:eastAsia="en-GB"/>
              </w:rPr>
            </w:pPr>
            <w:r>
              <w:rPr>
                <w:rFonts w:eastAsia="Times New Roman" w:cstheme="minorHAnsi"/>
                <w:color w:val="000000"/>
                <w:lang w:eastAsia="en-GB"/>
              </w:rPr>
              <w:t>42,402 (1.7%)</w:t>
            </w:r>
          </w:p>
        </w:tc>
        <w:tc>
          <w:tcPr>
            <w:tcW w:w="1984" w:type="dxa"/>
            <w:shd w:val="clear" w:color="auto" w:fill="auto"/>
            <w:noWrap/>
          </w:tcPr>
          <w:p w14:paraId="3F516164" w14:textId="77777777" w:rsidR="00F511F4" w:rsidRPr="00B6620E" w:rsidRDefault="00F511F4" w:rsidP="001F53D9">
            <w:pPr>
              <w:spacing w:after="0" w:line="240" w:lineRule="auto"/>
              <w:rPr>
                <w:rFonts w:eastAsia="Times New Roman" w:cstheme="minorHAnsi"/>
                <w:color w:val="000000"/>
                <w:lang w:eastAsia="en-GB"/>
              </w:rPr>
            </w:pPr>
            <w:r>
              <w:rPr>
                <w:rFonts w:eastAsia="Times New Roman" w:cstheme="minorHAnsi"/>
                <w:color w:val="000000"/>
                <w:lang w:eastAsia="en-GB"/>
              </w:rPr>
              <w:t>41,309 (2.0%)</w:t>
            </w:r>
          </w:p>
        </w:tc>
        <w:tc>
          <w:tcPr>
            <w:tcW w:w="1899" w:type="dxa"/>
            <w:shd w:val="clear" w:color="auto" w:fill="auto"/>
            <w:noWrap/>
          </w:tcPr>
          <w:p w14:paraId="30121138" w14:textId="77777777" w:rsidR="00F511F4" w:rsidRPr="00B6620E" w:rsidRDefault="00F511F4" w:rsidP="001F53D9">
            <w:pPr>
              <w:spacing w:after="0" w:line="240" w:lineRule="auto"/>
              <w:rPr>
                <w:rFonts w:eastAsia="Times New Roman" w:cstheme="minorHAnsi"/>
                <w:color w:val="000000"/>
                <w:lang w:eastAsia="en-GB"/>
              </w:rPr>
            </w:pPr>
            <w:r>
              <w:rPr>
                <w:rFonts w:eastAsia="Times New Roman" w:cstheme="minorHAnsi"/>
                <w:color w:val="000000"/>
                <w:lang w:eastAsia="en-GB"/>
              </w:rPr>
              <w:t>30 (2.6%)</w:t>
            </w:r>
          </w:p>
        </w:tc>
        <w:tc>
          <w:tcPr>
            <w:tcW w:w="934" w:type="dxa"/>
          </w:tcPr>
          <w:p w14:paraId="402B6DA8" w14:textId="77777777" w:rsidR="00F511F4" w:rsidRDefault="00F511F4" w:rsidP="001F53D9">
            <w:pPr>
              <w:spacing w:after="0" w:line="240" w:lineRule="auto"/>
              <w:rPr>
                <w:rFonts w:eastAsia="Times New Roman" w:cstheme="minorHAnsi"/>
                <w:color w:val="000000"/>
                <w:lang w:eastAsia="en-GB"/>
              </w:rPr>
            </w:pPr>
          </w:p>
        </w:tc>
      </w:tr>
      <w:tr w:rsidR="00F511F4" w:rsidRPr="00B6620E" w14:paraId="4F18C3B9" w14:textId="77777777" w:rsidTr="001F53D9">
        <w:trPr>
          <w:trHeight w:val="285"/>
        </w:trPr>
        <w:tc>
          <w:tcPr>
            <w:tcW w:w="2689" w:type="dxa"/>
            <w:shd w:val="clear" w:color="auto" w:fill="auto"/>
            <w:noWrap/>
          </w:tcPr>
          <w:p w14:paraId="60320E2B" w14:textId="77777777" w:rsidR="00F511F4" w:rsidRDefault="00F511F4" w:rsidP="001F53D9">
            <w:pPr>
              <w:spacing w:after="0" w:line="240" w:lineRule="auto"/>
              <w:rPr>
                <w:rFonts w:eastAsia="Times New Roman" w:cstheme="minorHAnsi"/>
                <w:color w:val="000000"/>
                <w:lang w:val="en-US" w:eastAsia="en-GB"/>
              </w:rPr>
            </w:pPr>
            <w:r>
              <w:rPr>
                <w:rFonts w:eastAsia="Times New Roman" w:cstheme="minorHAnsi"/>
                <w:color w:val="000000"/>
                <w:lang w:val="en-US" w:eastAsia="en-GB"/>
              </w:rPr>
              <w:t>Native American</w:t>
            </w:r>
          </w:p>
        </w:tc>
        <w:tc>
          <w:tcPr>
            <w:tcW w:w="2128" w:type="dxa"/>
            <w:shd w:val="clear" w:color="auto" w:fill="auto"/>
            <w:noWrap/>
          </w:tcPr>
          <w:p w14:paraId="7B566235" w14:textId="77777777" w:rsidR="00F511F4" w:rsidRPr="00B6620E" w:rsidRDefault="00F511F4" w:rsidP="001F53D9">
            <w:pPr>
              <w:spacing w:after="0" w:line="240" w:lineRule="auto"/>
              <w:rPr>
                <w:rFonts w:eastAsia="Times New Roman" w:cstheme="minorHAnsi"/>
                <w:color w:val="000000"/>
                <w:lang w:eastAsia="en-GB"/>
              </w:rPr>
            </w:pPr>
            <w:r>
              <w:rPr>
                <w:rFonts w:eastAsia="Times New Roman" w:cstheme="minorHAnsi"/>
                <w:color w:val="000000"/>
                <w:lang w:eastAsia="en-GB"/>
              </w:rPr>
              <w:t>171,090 (0.6%)</w:t>
            </w:r>
          </w:p>
        </w:tc>
        <w:tc>
          <w:tcPr>
            <w:tcW w:w="1984" w:type="dxa"/>
            <w:shd w:val="clear" w:color="auto" w:fill="auto"/>
            <w:noWrap/>
          </w:tcPr>
          <w:p w14:paraId="3C027C3F" w14:textId="77777777" w:rsidR="00F511F4" w:rsidRPr="00B6620E" w:rsidRDefault="00F511F4" w:rsidP="001F53D9">
            <w:pPr>
              <w:spacing w:after="0" w:line="240" w:lineRule="auto"/>
              <w:rPr>
                <w:rFonts w:eastAsia="Times New Roman" w:cstheme="minorHAnsi"/>
                <w:color w:val="000000"/>
                <w:lang w:eastAsia="en-GB"/>
              </w:rPr>
            </w:pPr>
            <w:r>
              <w:rPr>
                <w:rFonts w:eastAsia="Times New Roman" w:cstheme="minorHAnsi"/>
                <w:color w:val="000000"/>
                <w:lang w:eastAsia="en-GB"/>
              </w:rPr>
              <w:t>9,450 (0.5%)</w:t>
            </w:r>
          </w:p>
        </w:tc>
        <w:tc>
          <w:tcPr>
            <w:tcW w:w="1899" w:type="dxa"/>
            <w:shd w:val="clear" w:color="auto" w:fill="auto"/>
            <w:noWrap/>
          </w:tcPr>
          <w:p w14:paraId="4665536E" w14:textId="77777777" w:rsidR="00F511F4" w:rsidRPr="00B6620E" w:rsidRDefault="00F511F4" w:rsidP="001F53D9">
            <w:pPr>
              <w:spacing w:after="0" w:line="240" w:lineRule="auto"/>
              <w:rPr>
                <w:rFonts w:eastAsia="Times New Roman" w:cstheme="minorHAnsi"/>
                <w:color w:val="000000"/>
                <w:lang w:eastAsia="en-GB"/>
              </w:rPr>
            </w:pPr>
            <w:r>
              <w:rPr>
                <w:rFonts w:eastAsia="Times New Roman" w:cstheme="minorHAnsi"/>
                <w:color w:val="000000"/>
                <w:lang w:eastAsia="en-GB"/>
              </w:rPr>
              <w:t>336 (0.3%)</w:t>
            </w:r>
          </w:p>
        </w:tc>
        <w:tc>
          <w:tcPr>
            <w:tcW w:w="934" w:type="dxa"/>
          </w:tcPr>
          <w:p w14:paraId="383E74EF" w14:textId="77777777" w:rsidR="00F511F4" w:rsidRDefault="00F511F4" w:rsidP="001F53D9">
            <w:pPr>
              <w:spacing w:after="0" w:line="240" w:lineRule="auto"/>
              <w:rPr>
                <w:rFonts w:eastAsia="Times New Roman" w:cstheme="minorHAnsi"/>
                <w:color w:val="000000"/>
                <w:lang w:eastAsia="en-GB"/>
              </w:rPr>
            </w:pPr>
          </w:p>
        </w:tc>
      </w:tr>
      <w:tr w:rsidR="00F511F4" w:rsidRPr="00B6620E" w14:paraId="31A5C04C" w14:textId="77777777" w:rsidTr="001F53D9">
        <w:trPr>
          <w:trHeight w:val="285"/>
        </w:trPr>
        <w:tc>
          <w:tcPr>
            <w:tcW w:w="2689" w:type="dxa"/>
            <w:shd w:val="clear" w:color="auto" w:fill="auto"/>
            <w:noWrap/>
          </w:tcPr>
          <w:p w14:paraId="04197451" w14:textId="77777777" w:rsidR="00F511F4" w:rsidRDefault="00F511F4" w:rsidP="001F53D9">
            <w:pPr>
              <w:spacing w:after="0" w:line="240" w:lineRule="auto"/>
              <w:rPr>
                <w:rFonts w:eastAsia="Times New Roman" w:cstheme="minorHAnsi"/>
                <w:color w:val="000000"/>
                <w:lang w:val="en-US" w:eastAsia="en-GB"/>
              </w:rPr>
            </w:pPr>
            <w:r>
              <w:rPr>
                <w:rFonts w:eastAsia="Times New Roman" w:cstheme="minorHAnsi"/>
                <w:color w:val="000000"/>
                <w:lang w:val="en-US" w:eastAsia="en-GB"/>
              </w:rPr>
              <w:t>Other</w:t>
            </w:r>
          </w:p>
        </w:tc>
        <w:tc>
          <w:tcPr>
            <w:tcW w:w="2128" w:type="dxa"/>
            <w:shd w:val="clear" w:color="auto" w:fill="auto"/>
            <w:noWrap/>
          </w:tcPr>
          <w:p w14:paraId="5F8FEE50" w14:textId="77777777" w:rsidR="00F511F4" w:rsidRPr="00B6620E" w:rsidRDefault="00F511F4" w:rsidP="001F53D9">
            <w:pPr>
              <w:spacing w:after="0" w:line="240" w:lineRule="auto"/>
              <w:rPr>
                <w:rFonts w:eastAsia="Times New Roman" w:cstheme="minorHAnsi"/>
                <w:color w:val="000000"/>
                <w:lang w:eastAsia="en-GB"/>
              </w:rPr>
            </w:pPr>
            <w:r>
              <w:rPr>
                <w:rFonts w:eastAsia="Times New Roman" w:cstheme="minorHAnsi"/>
                <w:color w:val="000000"/>
                <w:lang w:eastAsia="en-GB"/>
              </w:rPr>
              <w:t>2,060,387 (2.2%)</w:t>
            </w:r>
          </w:p>
        </w:tc>
        <w:tc>
          <w:tcPr>
            <w:tcW w:w="1984" w:type="dxa"/>
            <w:shd w:val="clear" w:color="auto" w:fill="auto"/>
            <w:noWrap/>
          </w:tcPr>
          <w:p w14:paraId="2FB65751" w14:textId="77777777" w:rsidR="00F511F4" w:rsidRPr="00B6620E" w:rsidRDefault="00F511F4" w:rsidP="001F53D9">
            <w:pPr>
              <w:spacing w:after="0" w:line="240" w:lineRule="auto"/>
              <w:rPr>
                <w:rFonts w:eastAsia="Times New Roman" w:cstheme="minorHAnsi"/>
                <w:color w:val="000000"/>
                <w:lang w:eastAsia="en-GB"/>
              </w:rPr>
            </w:pPr>
            <w:r>
              <w:rPr>
                <w:rFonts w:eastAsia="Times New Roman" w:cstheme="minorHAnsi"/>
                <w:color w:val="000000"/>
                <w:lang w:eastAsia="en-GB"/>
              </w:rPr>
              <w:t>46,435 (2.3%)</w:t>
            </w:r>
          </w:p>
        </w:tc>
        <w:tc>
          <w:tcPr>
            <w:tcW w:w="1899" w:type="dxa"/>
            <w:shd w:val="clear" w:color="auto" w:fill="auto"/>
            <w:noWrap/>
          </w:tcPr>
          <w:p w14:paraId="0140999E" w14:textId="77777777" w:rsidR="00F511F4" w:rsidRPr="00B6620E" w:rsidRDefault="00F511F4" w:rsidP="001F53D9">
            <w:pPr>
              <w:spacing w:after="0" w:line="240" w:lineRule="auto"/>
              <w:rPr>
                <w:rFonts w:eastAsia="Times New Roman" w:cstheme="minorHAnsi"/>
                <w:color w:val="000000"/>
                <w:lang w:eastAsia="en-GB"/>
              </w:rPr>
            </w:pPr>
            <w:r>
              <w:rPr>
                <w:rFonts w:eastAsia="Times New Roman" w:cstheme="minorHAnsi"/>
                <w:color w:val="000000"/>
                <w:lang w:eastAsia="en-GB"/>
              </w:rPr>
              <w:t>2,916 (2.7%)</w:t>
            </w:r>
          </w:p>
        </w:tc>
        <w:tc>
          <w:tcPr>
            <w:tcW w:w="934" w:type="dxa"/>
          </w:tcPr>
          <w:p w14:paraId="2651F80D" w14:textId="77777777" w:rsidR="00F511F4" w:rsidRDefault="00F511F4" w:rsidP="001F53D9">
            <w:pPr>
              <w:spacing w:after="0" w:line="240" w:lineRule="auto"/>
              <w:rPr>
                <w:rFonts w:eastAsia="Times New Roman" w:cstheme="minorHAnsi"/>
                <w:color w:val="000000"/>
                <w:lang w:eastAsia="en-GB"/>
              </w:rPr>
            </w:pPr>
          </w:p>
        </w:tc>
      </w:tr>
      <w:tr w:rsidR="00F511F4" w:rsidRPr="00B6620E" w14:paraId="454A35BD" w14:textId="77777777" w:rsidTr="001F53D9">
        <w:trPr>
          <w:trHeight w:val="285"/>
        </w:trPr>
        <w:tc>
          <w:tcPr>
            <w:tcW w:w="2689" w:type="dxa"/>
            <w:shd w:val="clear" w:color="auto" w:fill="auto"/>
            <w:noWrap/>
            <w:hideMark/>
          </w:tcPr>
          <w:p w14:paraId="3ECF0414" w14:textId="77777777" w:rsidR="00F511F4" w:rsidRPr="00B6620E" w:rsidRDefault="00F511F4" w:rsidP="001F53D9">
            <w:pPr>
              <w:spacing w:after="0" w:line="240" w:lineRule="auto"/>
              <w:rPr>
                <w:rFonts w:eastAsia="Times New Roman" w:cstheme="minorHAnsi"/>
                <w:color w:val="000000"/>
                <w:lang w:eastAsia="en-GB"/>
              </w:rPr>
            </w:pPr>
            <w:r w:rsidRPr="00B6620E">
              <w:rPr>
                <w:rFonts w:eastAsia="Times New Roman" w:cstheme="minorHAnsi"/>
                <w:color w:val="000000"/>
                <w:lang w:val="en-US" w:eastAsia="en-GB"/>
              </w:rPr>
              <w:t>Weekend admission</w:t>
            </w:r>
          </w:p>
        </w:tc>
        <w:tc>
          <w:tcPr>
            <w:tcW w:w="2128" w:type="dxa"/>
            <w:shd w:val="clear" w:color="auto" w:fill="auto"/>
            <w:noWrap/>
            <w:hideMark/>
          </w:tcPr>
          <w:p w14:paraId="26DC5B01" w14:textId="77777777" w:rsidR="00F511F4" w:rsidRPr="00B6620E" w:rsidRDefault="00F511F4" w:rsidP="001F53D9">
            <w:pPr>
              <w:spacing w:after="0" w:line="240" w:lineRule="auto"/>
              <w:rPr>
                <w:rFonts w:eastAsia="Times New Roman" w:cstheme="minorHAnsi"/>
                <w:color w:val="000000"/>
                <w:lang w:eastAsia="en-GB"/>
              </w:rPr>
            </w:pPr>
            <w:r w:rsidRPr="00B6620E">
              <w:rPr>
                <w:rFonts w:eastAsia="Times New Roman" w:cstheme="minorHAnsi"/>
                <w:color w:val="000000"/>
                <w:lang w:eastAsia="en-GB"/>
              </w:rPr>
              <w:t>2</w:t>
            </w:r>
            <w:r>
              <w:rPr>
                <w:rFonts w:eastAsia="Times New Roman" w:cstheme="minorHAnsi"/>
                <w:color w:val="000000"/>
                <w:lang w:eastAsia="en-GB"/>
              </w:rPr>
              <w:t>,</w:t>
            </w:r>
            <w:r w:rsidRPr="00B6620E">
              <w:rPr>
                <w:rFonts w:eastAsia="Times New Roman" w:cstheme="minorHAnsi"/>
                <w:color w:val="000000"/>
                <w:lang w:eastAsia="en-GB"/>
              </w:rPr>
              <w:t>060</w:t>
            </w:r>
            <w:r>
              <w:rPr>
                <w:rFonts w:eastAsia="Times New Roman" w:cstheme="minorHAnsi"/>
                <w:color w:val="000000"/>
                <w:lang w:eastAsia="en-GB"/>
              </w:rPr>
              <w:t>,</w:t>
            </w:r>
            <w:r w:rsidRPr="00B6620E">
              <w:rPr>
                <w:rFonts w:eastAsia="Times New Roman" w:cstheme="minorHAnsi"/>
                <w:color w:val="000000"/>
                <w:lang w:eastAsia="en-GB"/>
              </w:rPr>
              <w:t>387</w:t>
            </w:r>
            <w:r>
              <w:rPr>
                <w:rFonts w:eastAsia="Times New Roman" w:cstheme="minorHAnsi"/>
                <w:color w:val="000000"/>
                <w:lang w:eastAsia="en-GB"/>
              </w:rPr>
              <w:t xml:space="preserve"> (22.2%)</w:t>
            </w:r>
          </w:p>
        </w:tc>
        <w:tc>
          <w:tcPr>
            <w:tcW w:w="1984" w:type="dxa"/>
            <w:shd w:val="clear" w:color="auto" w:fill="auto"/>
            <w:noWrap/>
            <w:hideMark/>
          </w:tcPr>
          <w:p w14:paraId="6E9C0E87" w14:textId="77777777" w:rsidR="00F511F4" w:rsidRPr="00B6620E" w:rsidRDefault="00F511F4" w:rsidP="001F53D9">
            <w:pPr>
              <w:spacing w:after="0" w:line="240" w:lineRule="auto"/>
              <w:rPr>
                <w:rFonts w:eastAsia="Times New Roman" w:cstheme="minorHAnsi"/>
                <w:color w:val="000000"/>
                <w:lang w:eastAsia="en-GB"/>
              </w:rPr>
            </w:pPr>
            <w:r w:rsidRPr="00B6620E">
              <w:rPr>
                <w:rFonts w:eastAsia="Times New Roman" w:cstheme="minorHAnsi"/>
                <w:color w:val="000000"/>
                <w:lang w:eastAsia="en-GB"/>
              </w:rPr>
              <w:t>539</w:t>
            </w:r>
            <w:r>
              <w:rPr>
                <w:rFonts w:eastAsia="Times New Roman" w:cstheme="minorHAnsi"/>
                <w:color w:val="000000"/>
                <w:lang w:eastAsia="en-GB"/>
              </w:rPr>
              <w:t>,</w:t>
            </w:r>
            <w:r w:rsidRPr="00B6620E">
              <w:rPr>
                <w:rFonts w:eastAsia="Times New Roman" w:cstheme="minorHAnsi"/>
                <w:color w:val="000000"/>
                <w:lang w:eastAsia="en-GB"/>
              </w:rPr>
              <w:t>366</w:t>
            </w:r>
            <w:r>
              <w:rPr>
                <w:rFonts w:eastAsia="Times New Roman" w:cstheme="minorHAnsi"/>
                <w:color w:val="000000"/>
                <w:lang w:eastAsia="en-GB"/>
              </w:rPr>
              <w:t xml:space="preserve"> (23.3%)</w:t>
            </w:r>
          </w:p>
        </w:tc>
        <w:tc>
          <w:tcPr>
            <w:tcW w:w="1899" w:type="dxa"/>
            <w:shd w:val="clear" w:color="auto" w:fill="auto"/>
            <w:noWrap/>
            <w:hideMark/>
          </w:tcPr>
          <w:p w14:paraId="73E630B9" w14:textId="77777777" w:rsidR="00F511F4" w:rsidRPr="00B6620E" w:rsidRDefault="00F511F4" w:rsidP="001F53D9">
            <w:pPr>
              <w:spacing w:after="0" w:line="240" w:lineRule="auto"/>
              <w:rPr>
                <w:rFonts w:eastAsia="Times New Roman" w:cstheme="minorHAnsi"/>
                <w:color w:val="000000"/>
                <w:lang w:eastAsia="en-GB"/>
              </w:rPr>
            </w:pPr>
            <w:r w:rsidRPr="00B6620E">
              <w:rPr>
                <w:rFonts w:eastAsia="Times New Roman" w:cstheme="minorHAnsi"/>
                <w:color w:val="000000"/>
                <w:lang w:eastAsia="en-GB"/>
              </w:rPr>
              <w:t>2</w:t>
            </w:r>
            <w:r>
              <w:rPr>
                <w:rFonts w:eastAsia="Times New Roman" w:cstheme="minorHAnsi"/>
                <w:color w:val="000000"/>
                <w:lang w:eastAsia="en-GB"/>
              </w:rPr>
              <w:t>,</w:t>
            </w:r>
            <w:r w:rsidRPr="00B6620E">
              <w:rPr>
                <w:rFonts w:eastAsia="Times New Roman" w:cstheme="minorHAnsi"/>
                <w:color w:val="000000"/>
                <w:lang w:eastAsia="en-GB"/>
              </w:rPr>
              <w:t>916</w:t>
            </w:r>
            <w:r>
              <w:rPr>
                <w:rFonts w:eastAsia="Times New Roman" w:cstheme="minorHAnsi"/>
                <w:color w:val="000000"/>
                <w:lang w:eastAsia="en-GB"/>
              </w:rPr>
              <w:t xml:space="preserve"> (25.3%)</w:t>
            </w:r>
          </w:p>
        </w:tc>
        <w:tc>
          <w:tcPr>
            <w:tcW w:w="934" w:type="dxa"/>
          </w:tcPr>
          <w:p w14:paraId="60E827C2" w14:textId="77777777" w:rsidR="00F511F4" w:rsidRPr="00B6620E" w:rsidRDefault="00F511F4" w:rsidP="001F53D9">
            <w:pPr>
              <w:spacing w:after="0" w:line="240" w:lineRule="auto"/>
              <w:rPr>
                <w:rFonts w:eastAsia="Times New Roman" w:cstheme="minorHAnsi"/>
                <w:color w:val="000000"/>
                <w:lang w:eastAsia="en-GB"/>
              </w:rPr>
            </w:pPr>
          </w:p>
        </w:tc>
      </w:tr>
      <w:tr w:rsidR="00F511F4" w:rsidRPr="00B6620E" w14:paraId="51A12A81" w14:textId="77777777" w:rsidTr="001F53D9">
        <w:trPr>
          <w:trHeight w:val="285"/>
        </w:trPr>
        <w:tc>
          <w:tcPr>
            <w:tcW w:w="8700" w:type="dxa"/>
            <w:gridSpan w:val="4"/>
            <w:shd w:val="clear" w:color="auto" w:fill="auto"/>
            <w:noWrap/>
            <w:hideMark/>
          </w:tcPr>
          <w:p w14:paraId="4AFC5B97" w14:textId="77777777" w:rsidR="00F511F4" w:rsidRPr="00B6620E" w:rsidRDefault="00F511F4" w:rsidP="001F53D9">
            <w:pPr>
              <w:spacing w:after="0" w:line="240" w:lineRule="auto"/>
              <w:rPr>
                <w:rFonts w:eastAsia="Times New Roman" w:cstheme="minorHAnsi"/>
                <w:color w:val="000000"/>
                <w:lang w:eastAsia="en-GB"/>
              </w:rPr>
            </w:pPr>
            <w:r w:rsidRPr="00B6620E">
              <w:rPr>
                <w:rFonts w:eastAsia="Times New Roman" w:cstheme="minorHAnsi"/>
                <w:color w:val="000000"/>
                <w:lang w:eastAsia="en-GB"/>
              </w:rPr>
              <w:t>Year</w:t>
            </w:r>
          </w:p>
        </w:tc>
        <w:tc>
          <w:tcPr>
            <w:tcW w:w="934" w:type="dxa"/>
            <w:shd w:val="clear" w:color="auto" w:fill="auto"/>
          </w:tcPr>
          <w:p w14:paraId="4E529815" w14:textId="77777777" w:rsidR="00F511F4" w:rsidRPr="00B6620E" w:rsidRDefault="00F511F4" w:rsidP="001F53D9">
            <w:pPr>
              <w:spacing w:after="0" w:line="240" w:lineRule="auto"/>
              <w:rPr>
                <w:rFonts w:eastAsia="Times New Roman" w:cstheme="minorHAnsi"/>
                <w:color w:val="000000"/>
                <w:lang w:eastAsia="en-GB"/>
              </w:rPr>
            </w:pPr>
            <w:r>
              <w:rPr>
                <w:rFonts w:eastAsia="Times New Roman" w:cstheme="minorHAnsi"/>
                <w:color w:val="000000"/>
                <w:lang w:eastAsia="en-GB"/>
              </w:rPr>
              <w:t>&lt;0.001</w:t>
            </w:r>
          </w:p>
        </w:tc>
      </w:tr>
      <w:tr w:rsidR="00F511F4" w:rsidRPr="00B6620E" w14:paraId="65FAD7FC" w14:textId="77777777" w:rsidTr="001F53D9">
        <w:trPr>
          <w:trHeight w:val="285"/>
        </w:trPr>
        <w:tc>
          <w:tcPr>
            <w:tcW w:w="2689" w:type="dxa"/>
            <w:shd w:val="clear" w:color="auto" w:fill="auto"/>
            <w:noWrap/>
            <w:hideMark/>
          </w:tcPr>
          <w:p w14:paraId="2EE87EA4" w14:textId="77777777" w:rsidR="00F511F4" w:rsidRPr="00B6620E" w:rsidRDefault="00F511F4" w:rsidP="001F53D9">
            <w:pPr>
              <w:spacing w:after="0" w:line="240" w:lineRule="auto"/>
              <w:rPr>
                <w:rFonts w:eastAsia="Times New Roman" w:cstheme="minorHAnsi"/>
                <w:color w:val="000000"/>
                <w:lang w:eastAsia="en-GB"/>
              </w:rPr>
            </w:pPr>
            <w:r w:rsidRPr="00B6620E">
              <w:rPr>
                <w:rFonts w:eastAsia="Times New Roman" w:cstheme="minorHAnsi"/>
                <w:color w:val="000000"/>
                <w:lang w:eastAsia="en-GB"/>
              </w:rPr>
              <w:t>2004</w:t>
            </w:r>
          </w:p>
        </w:tc>
        <w:tc>
          <w:tcPr>
            <w:tcW w:w="2128" w:type="dxa"/>
            <w:shd w:val="clear" w:color="auto" w:fill="auto"/>
            <w:noWrap/>
            <w:hideMark/>
          </w:tcPr>
          <w:p w14:paraId="284F2302" w14:textId="77777777" w:rsidR="00F511F4" w:rsidRPr="00B6620E" w:rsidRDefault="00F511F4" w:rsidP="001F53D9">
            <w:pPr>
              <w:spacing w:after="0" w:line="240" w:lineRule="auto"/>
              <w:rPr>
                <w:rFonts w:eastAsia="Times New Roman" w:cstheme="minorHAnsi"/>
                <w:color w:val="000000"/>
                <w:lang w:eastAsia="en-GB"/>
              </w:rPr>
            </w:pPr>
            <w:r w:rsidRPr="00B6620E">
              <w:rPr>
                <w:rFonts w:eastAsia="Times New Roman" w:cstheme="minorHAnsi"/>
                <w:color w:val="000000"/>
                <w:lang w:eastAsia="en-GB"/>
              </w:rPr>
              <w:t>972</w:t>
            </w:r>
            <w:r>
              <w:rPr>
                <w:rFonts w:eastAsia="Times New Roman" w:cstheme="minorHAnsi"/>
                <w:color w:val="000000"/>
                <w:lang w:eastAsia="en-GB"/>
              </w:rPr>
              <w:t>,</w:t>
            </w:r>
            <w:r w:rsidRPr="00B6620E">
              <w:rPr>
                <w:rFonts w:eastAsia="Times New Roman" w:cstheme="minorHAnsi"/>
                <w:color w:val="000000"/>
                <w:lang w:eastAsia="en-GB"/>
              </w:rPr>
              <w:t>942</w:t>
            </w:r>
            <w:r>
              <w:rPr>
                <w:rFonts w:eastAsia="Times New Roman" w:cstheme="minorHAnsi"/>
                <w:color w:val="000000"/>
                <w:lang w:eastAsia="en-GB"/>
              </w:rPr>
              <w:t xml:space="preserve"> (10.9%)</w:t>
            </w:r>
          </w:p>
        </w:tc>
        <w:tc>
          <w:tcPr>
            <w:tcW w:w="1984" w:type="dxa"/>
            <w:shd w:val="clear" w:color="auto" w:fill="auto"/>
            <w:noWrap/>
            <w:hideMark/>
          </w:tcPr>
          <w:p w14:paraId="7EFEDDDD" w14:textId="77777777" w:rsidR="00F511F4" w:rsidRPr="00B6620E" w:rsidRDefault="00F511F4" w:rsidP="001F53D9">
            <w:pPr>
              <w:spacing w:after="0" w:line="240" w:lineRule="auto"/>
              <w:rPr>
                <w:rFonts w:eastAsia="Times New Roman" w:cstheme="minorHAnsi"/>
                <w:color w:val="000000"/>
                <w:lang w:eastAsia="en-GB"/>
              </w:rPr>
            </w:pPr>
            <w:r w:rsidRPr="00B6620E">
              <w:rPr>
                <w:rFonts w:eastAsia="Times New Roman" w:cstheme="minorHAnsi"/>
                <w:color w:val="000000"/>
                <w:lang w:eastAsia="en-GB"/>
              </w:rPr>
              <w:t>106323</w:t>
            </w:r>
            <w:r>
              <w:rPr>
                <w:rFonts w:eastAsia="Times New Roman" w:cstheme="minorHAnsi"/>
                <w:color w:val="000000"/>
                <w:lang w:eastAsia="en-GB"/>
              </w:rPr>
              <w:t xml:space="preserve"> (4.7%)</w:t>
            </w:r>
          </w:p>
        </w:tc>
        <w:tc>
          <w:tcPr>
            <w:tcW w:w="1899" w:type="dxa"/>
            <w:shd w:val="clear" w:color="auto" w:fill="auto"/>
            <w:noWrap/>
            <w:hideMark/>
          </w:tcPr>
          <w:p w14:paraId="129254D5" w14:textId="77777777" w:rsidR="00F511F4" w:rsidRPr="00B6620E" w:rsidRDefault="00F511F4" w:rsidP="001F53D9">
            <w:pPr>
              <w:spacing w:after="0" w:line="240" w:lineRule="auto"/>
              <w:rPr>
                <w:rFonts w:eastAsia="Times New Roman" w:cstheme="minorHAnsi"/>
                <w:color w:val="000000"/>
                <w:lang w:eastAsia="en-GB"/>
              </w:rPr>
            </w:pPr>
            <w:r w:rsidRPr="00B6620E">
              <w:rPr>
                <w:rFonts w:eastAsia="Times New Roman" w:cstheme="minorHAnsi"/>
                <w:color w:val="000000"/>
                <w:lang w:eastAsia="en-GB"/>
              </w:rPr>
              <w:t>341</w:t>
            </w:r>
            <w:r>
              <w:rPr>
                <w:rFonts w:eastAsia="Times New Roman" w:cstheme="minorHAnsi"/>
                <w:color w:val="000000"/>
                <w:lang w:eastAsia="en-GB"/>
              </w:rPr>
              <w:t xml:space="preserve"> (3.0%)</w:t>
            </w:r>
          </w:p>
        </w:tc>
        <w:tc>
          <w:tcPr>
            <w:tcW w:w="934" w:type="dxa"/>
          </w:tcPr>
          <w:p w14:paraId="12CD3870" w14:textId="77777777" w:rsidR="00F511F4" w:rsidRPr="00B6620E" w:rsidRDefault="00F511F4" w:rsidP="001F53D9">
            <w:pPr>
              <w:spacing w:after="0" w:line="240" w:lineRule="auto"/>
              <w:rPr>
                <w:rFonts w:eastAsia="Times New Roman" w:cstheme="minorHAnsi"/>
                <w:color w:val="000000"/>
                <w:lang w:eastAsia="en-GB"/>
              </w:rPr>
            </w:pPr>
          </w:p>
        </w:tc>
      </w:tr>
      <w:tr w:rsidR="00F511F4" w:rsidRPr="00B6620E" w14:paraId="24A8283A" w14:textId="77777777" w:rsidTr="001F53D9">
        <w:trPr>
          <w:trHeight w:val="285"/>
        </w:trPr>
        <w:tc>
          <w:tcPr>
            <w:tcW w:w="2689" w:type="dxa"/>
            <w:shd w:val="clear" w:color="auto" w:fill="auto"/>
            <w:noWrap/>
            <w:hideMark/>
          </w:tcPr>
          <w:p w14:paraId="633CBA55" w14:textId="77777777" w:rsidR="00F511F4" w:rsidRPr="00B6620E" w:rsidRDefault="00F511F4" w:rsidP="001F53D9">
            <w:pPr>
              <w:spacing w:after="0" w:line="240" w:lineRule="auto"/>
              <w:rPr>
                <w:rFonts w:eastAsia="Times New Roman" w:cstheme="minorHAnsi"/>
                <w:color w:val="000000"/>
                <w:lang w:eastAsia="en-GB"/>
              </w:rPr>
            </w:pPr>
            <w:r w:rsidRPr="00B6620E">
              <w:rPr>
                <w:rFonts w:eastAsia="Times New Roman" w:cstheme="minorHAnsi"/>
                <w:color w:val="000000"/>
                <w:lang w:eastAsia="en-GB"/>
              </w:rPr>
              <w:t>2005</w:t>
            </w:r>
          </w:p>
        </w:tc>
        <w:tc>
          <w:tcPr>
            <w:tcW w:w="2128" w:type="dxa"/>
            <w:shd w:val="clear" w:color="auto" w:fill="auto"/>
            <w:noWrap/>
            <w:hideMark/>
          </w:tcPr>
          <w:p w14:paraId="2BC53C47" w14:textId="77777777" w:rsidR="00F511F4" w:rsidRPr="00B6620E" w:rsidRDefault="00F511F4" w:rsidP="001F53D9">
            <w:pPr>
              <w:spacing w:after="0" w:line="240" w:lineRule="auto"/>
              <w:rPr>
                <w:rFonts w:eastAsia="Times New Roman" w:cstheme="minorHAnsi"/>
                <w:color w:val="000000"/>
                <w:lang w:eastAsia="en-GB"/>
              </w:rPr>
            </w:pPr>
            <w:r w:rsidRPr="00B6620E">
              <w:rPr>
                <w:rFonts w:eastAsia="Times New Roman" w:cstheme="minorHAnsi"/>
                <w:color w:val="000000"/>
                <w:lang w:eastAsia="en-GB"/>
              </w:rPr>
              <w:t>927</w:t>
            </w:r>
            <w:r>
              <w:rPr>
                <w:rFonts w:eastAsia="Times New Roman" w:cstheme="minorHAnsi"/>
                <w:color w:val="000000"/>
                <w:lang w:eastAsia="en-GB"/>
              </w:rPr>
              <w:t>,</w:t>
            </w:r>
            <w:r w:rsidRPr="00B6620E">
              <w:rPr>
                <w:rFonts w:eastAsia="Times New Roman" w:cstheme="minorHAnsi"/>
                <w:color w:val="000000"/>
                <w:lang w:eastAsia="en-GB"/>
              </w:rPr>
              <w:t>095</w:t>
            </w:r>
            <w:r>
              <w:rPr>
                <w:rFonts w:eastAsia="Times New Roman" w:cstheme="minorHAnsi"/>
                <w:color w:val="000000"/>
                <w:lang w:eastAsia="en-GB"/>
              </w:rPr>
              <w:t xml:space="preserve"> (10.4%)</w:t>
            </w:r>
          </w:p>
        </w:tc>
        <w:tc>
          <w:tcPr>
            <w:tcW w:w="1984" w:type="dxa"/>
            <w:shd w:val="clear" w:color="auto" w:fill="auto"/>
            <w:noWrap/>
            <w:hideMark/>
          </w:tcPr>
          <w:p w14:paraId="48A62AC3" w14:textId="77777777" w:rsidR="00F511F4" w:rsidRPr="00B6620E" w:rsidRDefault="00F511F4" w:rsidP="001F53D9">
            <w:pPr>
              <w:spacing w:after="0" w:line="240" w:lineRule="auto"/>
              <w:rPr>
                <w:rFonts w:eastAsia="Times New Roman" w:cstheme="minorHAnsi"/>
                <w:color w:val="000000"/>
                <w:lang w:eastAsia="en-GB"/>
              </w:rPr>
            </w:pPr>
            <w:r w:rsidRPr="00B6620E">
              <w:rPr>
                <w:rFonts w:eastAsia="Times New Roman" w:cstheme="minorHAnsi"/>
                <w:color w:val="000000"/>
                <w:lang w:eastAsia="en-GB"/>
              </w:rPr>
              <w:t>111023</w:t>
            </w:r>
            <w:r>
              <w:rPr>
                <w:rFonts w:eastAsia="Times New Roman" w:cstheme="minorHAnsi"/>
                <w:color w:val="000000"/>
                <w:lang w:eastAsia="en-GB"/>
              </w:rPr>
              <w:t xml:space="preserve"> (4.9%)</w:t>
            </w:r>
          </w:p>
        </w:tc>
        <w:tc>
          <w:tcPr>
            <w:tcW w:w="1899" w:type="dxa"/>
            <w:shd w:val="clear" w:color="auto" w:fill="auto"/>
            <w:noWrap/>
            <w:hideMark/>
          </w:tcPr>
          <w:p w14:paraId="29C352CF" w14:textId="77777777" w:rsidR="00F511F4" w:rsidRPr="00B6620E" w:rsidRDefault="00F511F4" w:rsidP="001F53D9">
            <w:pPr>
              <w:spacing w:after="0" w:line="240" w:lineRule="auto"/>
              <w:rPr>
                <w:rFonts w:eastAsia="Times New Roman" w:cstheme="minorHAnsi"/>
                <w:color w:val="000000"/>
                <w:lang w:eastAsia="en-GB"/>
              </w:rPr>
            </w:pPr>
            <w:r w:rsidRPr="00B6620E">
              <w:rPr>
                <w:rFonts w:eastAsia="Times New Roman" w:cstheme="minorHAnsi"/>
                <w:color w:val="000000"/>
                <w:lang w:eastAsia="en-GB"/>
              </w:rPr>
              <w:t>237</w:t>
            </w:r>
            <w:r>
              <w:rPr>
                <w:rFonts w:eastAsia="Times New Roman" w:cstheme="minorHAnsi"/>
                <w:color w:val="000000"/>
                <w:lang w:eastAsia="en-GB"/>
              </w:rPr>
              <w:t xml:space="preserve"> (2.1%)</w:t>
            </w:r>
          </w:p>
        </w:tc>
        <w:tc>
          <w:tcPr>
            <w:tcW w:w="934" w:type="dxa"/>
          </w:tcPr>
          <w:p w14:paraId="454C8C1E" w14:textId="77777777" w:rsidR="00F511F4" w:rsidRPr="00B6620E" w:rsidRDefault="00F511F4" w:rsidP="001F53D9">
            <w:pPr>
              <w:spacing w:after="0" w:line="240" w:lineRule="auto"/>
              <w:rPr>
                <w:rFonts w:eastAsia="Times New Roman" w:cstheme="minorHAnsi"/>
                <w:color w:val="000000"/>
                <w:lang w:eastAsia="en-GB"/>
              </w:rPr>
            </w:pPr>
          </w:p>
        </w:tc>
      </w:tr>
      <w:tr w:rsidR="00F511F4" w:rsidRPr="00B6620E" w14:paraId="22C164E9" w14:textId="77777777" w:rsidTr="001F53D9">
        <w:trPr>
          <w:trHeight w:val="285"/>
        </w:trPr>
        <w:tc>
          <w:tcPr>
            <w:tcW w:w="2689" w:type="dxa"/>
            <w:shd w:val="clear" w:color="auto" w:fill="auto"/>
            <w:noWrap/>
            <w:hideMark/>
          </w:tcPr>
          <w:p w14:paraId="621BFDED" w14:textId="77777777" w:rsidR="00F511F4" w:rsidRPr="00B6620E" w:rsidRDefault="00F511F4" w:rsidP="001F53D9">
            <w:pPr>
              <w:spacing w:after="0" w:line="240" w:lineRule="auto"/>
              <w:rPr>
                <w:rFonts w:eastAsia="Times New Roman" w:cstheme="minorHAnsi"/>
                <w:color w:val="000000"/>
                <w:lang w:eastAsia="en-GB"/>
              </w:rPr>
            </w:pPr>
            <w:r w:rsidRPr="00B6620E">
              <w:rPr>
                <w:rFonts w:eastAsia="Times New Roman" w:cstheme="minorHAnsi"/>
                <w:color w:val="000000"/>
                <w:lang w:eastAsia="en-GB"/>
              </w:rPr>
              <w:t>2006</w:t>
            </w:r>
          </w:p>
        </w:tc>
        <w:tc>
          <w:tcPr>
            <w:tcW w:w="2128" w:type="dxa"/>
            <w:shd w:val="clear" w:color="auto" w:fill="auto"/>
            <w:noWrap/>
            <w:hideMark/>
          </w:tcPr>
          <w:p w14:paraId="66E96A87" w14:textId="77777777" w:rsidR="00F511F4" w:rsidRPr="00B6620E" w:rsidRDefault="00F511F4" w:rsidP="001F53D9">
            <w:pPr>
              <w:spacing w:after="0" w:line="240" w:lineRule="auto"/>
              <w:rPr>
                <w:rFonts w:eastAsia="Times New Roman" w:cstheme="minorHAnsi"/>
                <w:color w:val="000000"/>
                <w:lang w:eastAsia="en-GB"/>
              </w:rPr>
            </w:pPr>
            <w:r w:rsidRPr="00B6620E">
              <w:rPr>
                <w:rFonts w:eastAsia="Times New Roman" w:cstheme="minorHAnsi"/>
                <w:color w:val="000000"/>
                <w:lang w:eastAsia="en-GB"/>
              </w:rPr>
              <w:t>1</w:t>
            </w:r>
            <w:r>
              <w:rPr>
                <w:rFonts w:eastAsia="Times New Roman" w:cstheme="minorHAnsi"/>
                <w:color w:val="000000"/>
                <w:lang w:eastAsia="en-GB"/>
              </w:rPr>
              <w:t>,</w:t>
            </w:r>
            <w:r w:rsidRPr="00B6620E">
              <w:rPr>
                <w:rFonts w:eastAsia="Times New Roman" w:cstheme="minorHAnsi"/>
                <w:color w:val="000000"/>
                <w:lang w:eastAsia="en-GB"/>
              </w:rPr>
              <w:t>005</w:t>
            </w:r>
            <w:r>
              <w:rPr>
                <w:rFonts w:eastAsia="Times New Roman" w:cstheme="minorHAnsi"/>
                <w:color w:val="000000"/>
                <w:lang w:eastAsia="en-GB"/>
              </w:rPr>
              <w:t>,</w:t>
            </w:r>
            <w:r w:rsidRPr="00B6620E">
              <w:rPr>
                <w:rFonts w:eastAsia="Times New Roman" w:cstheme="minorHAnsi"/>
                <w:color w:val="000000"/>
                <w:lang w:eastAsia="en-GB"/>
              </w:rPr>
              <w:t>068</w:t>
            </w:r>
            <w:r>
              <w:rPr>
                <w:rFonts w:eastAsia="Times New Roman" w:cstheme="minorHAnsi"/>
                <w:color w:val="000000"/>
                <w:lang w:eastAsia="en-GB"/>
              </w:rPr>
              <w:t xml:space="preserve"> (11.3%)</w:t>
            </w:r>
          </w:p>
        </w:tc>
        <w:tc>
          <w:tcPr>
            <w:tcW w:w="1984" w:type="dxa"/>
            <w:shd w:val="clear" w:color="auto" w:fill="auto"/>
            <w:noWrap/>
            <w:hideMark/>
          </w:tcPr>
          <w:p w14:paraId="23A8996E" w14:textId="77777777" w:rsidR="00F511F4" w:rsidRPr="00B6620E" w:rsidRDefault="00F511F4" w:rsidP="001F53D9">
            <w:pPr>
              <w:spacing w:after="0" w:line="240" w:lineRule="auto"/>
              <w:rPr>
                <w:rFonts w:eastAsia="Times New Roman" w:cstheme="minorHAnsi"/>
                <w:color w:val="000000"/>
                <w:lang w:eastAsia="en-GB"/>
              </w:rPr>
            </w:pPr>
            <w:r w:rsidRPr="00B6620E">
              <w:rPr>
                <w:rFonts w:eastAsia="Times New Roman" w:cstheme="minorHAnsi"/>
                <w:color w:val="000000"/>
                <w:lang w:eastAsia="en-GB"/>
              </w:rPr>
              <w:t>140318</w:t>
            </w:r>
            <w:r>
              <w:rPr>
                <w:rFonts w:eastAsia="Times New Roman" w:cstheme="minorHAnsi"/>
                <w:color w:val="000000"/>
                <w:lang w:eastAsia="en-GB"/>
              </w:rPr>
              <w:t xml:space="preserve"> (6.2%)</w:t>
            </w:r>
          </w:p>
        </w:tc>
        <w:tc>
          <w:tcPr>
            <w:tcW w:w="1899" w:type="dxa"/>
            <w:shd w:val="clear" w:color="auto" w:fill="auto"/>
            <w:noWrap/>
            <w:hideMark/>
          </w:tcPr>
          <w:p w14:paraId="1612E961" w14:textId="77777777" w:rsidR="00F511F4" w:rsidRPr="00B6620E" w:rsidRDefault="00F511F4" w:rsidP="001F53D9">
            <w:pPr>
              <w:spacing w:after="0" w:line="240" w:lineRule="auto"/>
              <w:rPr>
                <w:rFonts w:eastAsia="Times New Roman" w:cstheme="minorHAnsi"/>
                <w:color w:val="000000"/>
                <w:lang w:eastAsia="en-GB"/>
              </w:rPr>
            </w:pPr>
            <w:r w:rsidRPr="00B6620E">
              <w:rPr>
                <w:rFonts w:eastAsia="Times New Roman" w:cstheme="minorHAnsi"/>
                <w:color w:val="000000"/>
                <w:lang w:eastAsia="en-GB"/>
              </w:rPr>
              <w:t>316</w:t>
            </w:r>
            <w:r>
              <w:rPr>
                <w:rFonts w:eastAsia="Times New Roman" w:cstheme="minorHAnsi"/>
                <w:color w:val="000000"/>
                <w:lang w:eastAsia="en-GB"/>
              </w:rPr>
              <w:t xml:space="preserve"> (2.8%)</w:t>
            </w:r>
          </w:p>
        </w:tc>
        <w:tc>
          <w:tcPr>
            <w:tcW w:w="934" w:type="dxa"/>
          </w:tcPr>
          <w:p w14:paraId="6E8FEE99" w14:textId="77777777" w:rsidR="00F511F4" w:rsidRPr="00B6620E" w:rsidRDefault="00F511F4" w:rsidP="001F53D9">
            <w:pPr>
              <w:spacing w:after="0" w:line="240" w:lineRule="auto"/>
              <w:rPr>
                <w:rFonts w:eastAsia="Times New Roman" w:cstheme="minorHAnsi"/>
                <w:color w:val="000000"/>
                <w:lang w:eastAsia="en-GB"/>
              </w:rPr>
            </w:pPr>
          </w:p>
        </w:tc>
      </w:tr>
      <w:tr w:rsidR="00F511F4" w:rsidRPr="00B6620E" w14:paraId="02D27F7D" w14:textId="77777777" w:rsidTr="001F53D9">
        <w:trPr>
          <w:trHeight w:val="285"/>
        </w:trPr>
        <w:tc>
          <w:tcPr>
            <w:tcW w:w="2689" w:type="dxa"/>
            <w:shd w:val="clear" w:color="auto" w:fill="auto"/>
            <w:noWrap/>
            <w:hideMark/>
          </w:tcPr>
          <w:p w14:paraId="704905E6" w14:textId="77777777" w:rsidR="00F511F4" w:rsidRPr="00B6620E" w:rsidRDefault="00F511F4" w:rsidP="001F53D9">
            <w:pPr>
              <w:spacing w:after="0" w:line="240" w:lineRule="auto"/>
              <w:rPr>
                <w:rFonts w:eastAsia="Times New Roman" w:cstheme="minorHAnsi"/>
                <w:color w:val="000000"/>
                <w:lang w:eastAsia="en-GB"/>
              </w:rPr>
            </w:pPr>
            <w:r w:rsidRPr="00B6620E">
              <w:rPr>
                <w:rFonts w:eastAsia="Times New Roman" w:cstheme="minorHAnsi"/>
                <w:color w:val="000000"/>
                <w:lang w:eastAsia="en-GB"/>
              </w:rPr>
              <w:t>2007</w:t>
            </w:r>
          </w:p>
        </w:tc>
        <w:tc>
          <w:tcPr>
            <w:tcW w:w="2128" w:type="dxa"/>
            <w:shd w:val="clear" w:color="auto" w:fill="auto"/>
            <w:noWrap/>
            <w:hideMark/>
          </w:tcPr>
          <w:p w14:paraId="3C743ECB" w14:textId="77777777" w:rsidR="00F511F4" w:rsidRPr="00B6620E" w:rsidRDefault="00F511F4" w:rsidP="001F53D9">
            <w:pPr>
              <w:spacing w:after="0" w:line="240" w:lineRule="auto"/>
              <w:rPr>
                <w:rFonts w:eastAsia="Times New Roman" w:cstheme="minorHAnsi"/>
                <w:color w:val="000000"/>
                <w:lang w:eastAsia="en-GB"/>
              </w:rPr>
            </w:pPr>
            <w:r w:rsidRPr="00B6620E">
              <w:rPr>
                <w:rFonts w:eastAsia="Times New Roman" w:cstheme="minorHAnsi"/>
                <w:color w:val="000000"/>
                <w:lang w:eastAsia="en-GB"/>
              </w:rPr>
              <w:t>903</w:t>
            </w:r>
            <w:r>
              <w:rPr>
                <w:rFonts w:eastAsia="Times New Roman" w:cstheme="minorHAnsi"/>
                <w:color w:val="000000"/>
                <w:lang w:eastAsia="en-GB"/>
              </w:rPr>
              <w:t>,</w:t>
            </w:r>
            <w:r w:rsidRPr="00B6620E">
              <w:rPr>
                <w:rFonts w:eastAsia="Times New Roman" w:cstheme="minorHAnsi"/>
                <w:color w:val="000000"/>
                <w:lang w:eastAsia="en-GB"/>
              </w:rPr>
              <w:t>139</w:t>
            </w:r>
            <w:r>
              <w:rPr>
                <w:rFonts w:eastAsia="Times New Roman" w:cstheme="minorHAnsi"/>
                <w:color w:val="000000"/>
                <w:lang w:eastAsia="en-GB"/>
              </w:rPr>
              <w:t xml:space="preserve"> (10.2%)</w:t>
            </w:r>
          </w:p>
        </w:tc>
        <w:tc>
          <w:tcPr>
            <w:tcW w:w="1984" w:type="dxa"/>
            <w:shd w:val="clear" w:color="auto" w:fill="auto"/>
            <w:noWrap/>
            <w:hideMark/>
          </w:tcPr>
          <w:p w14:paraId="5299BD7F" w14:textId="77777777" w:rsidR="00F511F4" w:rsidRPr="00B6620E" w:rsidRDefault="00F511F4" w:rsidP="001F53D9">
            <w:pPr>
              <w:spacing w:after="0" w:line="240" w:lineRule="auto"/>
              <w:rPr>
                <w:rFonts w:eastAsia="Times New Roman" w:cstheme="minorHAnsi"/>
                <w:color w:val="000000"/>
                <w:lang w:eastAsia="en-GB"/>
              </w:rPr>
            </w:pPr>
            <w:r w:rsidRPr="00B6620E">
              <w:rPr>
                <w:rFonts w:eastAsia="Times New Roman" w:cstheme="minorHAnsi"/>
                <w:color w:val="000000"/>
                <w:lang w:eastAsia="en-GB"/>
              </w:rPr>
              <w:t>162653</w:t>
            </w:r>
            <w:r>
              <w:rPr>
                <w:rFonts w:eastAsia="Times New Roman" w:cstheme="minorHAnsi"/>
                <w:color w:val="000000"/>
                <w:lang w:eastAsia="en-GB"/>
              </w:rPr>
              <w:t xml:space="preserve"> (7.2%)</w:t>
            </w:r>
          </w:p>
        </w:tc>
        <w:tc>
          <w:tcPr>
            <w:tcW w:w="1899" w:type="dxa"/>
            <w:shd w:val="clear" w:color="auto" w:fill="auto"/>
            <w:noWrap/>
            <w:hideMark/>
          </w:tcPr>
          <w:p w14:paraId="6F07A37A" w14:textId="77777777" w:rsidR="00F511F4" w:rsidRPr="00B6620E" w:rsidRDefault="00F511F4" w:rsidP="001F53D9">
            <w:pPr>
              <w:spacing w:after="0" w:line="240" w:lineRule="auto"/>
              <w:rPr>
                <w:rFonts w:eastAsia="Times New Roman" w:cstheme="minorHAnsi"/>
                <w:color w:val="000000"/>
                <w:lang w:eastAsia="en-GB"/>
              </w:rPr>
            </w:pPr>
            <w:r w:rsidRPr="00B6620E">
              <w:rPr>
                <w:rFonts w:eastAsia="Times New Roman" w:cstheme="minorHAnsi"/>
                <w:color w:val="000000"/>
                <w:lang w:eastAsia="en-GB"/>
              </w:rPr>
              <w:t>405</w:t>
            </w:r>
            <w:r>
              <w:rPr>
                <w:rFonts w:eastAsia="Times New Roman" w:cstheme="minorHAnsi"/>
                <w:color w:val="000000"/>
                <w:lang w:eastAsia="en-GB"/>
              </w:rPr>
              <w:t xml:space="preserve"> (3.6%)</w:t>
            </w:r>
          </w:p>
        </w:tc>
        <w:tc>
          <w:tcPr>
            <w:tcW w:w="934" w:type="dxa"/>
          </w:tcPr>
          <w:p w14:paraId="13176035" w14:textId="77777777" w:rsidR="00F511F4" w:rsidRPr="00B6620E" w:rsidRDefault="00F511F4" w:rsidP="001F53D9">
            <w:pPr>
              <w:spacing w:after="0" w:line="240" w:lineRule="auto"/>
              <w:rPr>
                <w:rFonts w:eastAsia="Times New Roman" w:cstheme="minorHAnsi"/>
                <w:color w:val="000000"/>
                <w:lang w:eastAsia="en-GB"/>
              </w:rPr>
            </w:pPr>
          </w:p>
        </w:tc>
      </w:tr>
      <w:tr w:rsidR="00F511F4" w:rsidRPr="00B6620E" w14:paraId="4660791D" w14:textId="77777777" w:rsidTr="001F53D9">
        <w:trPr>
          <w:trHeight w:val="285"/>
        </w:trPr>
        <w:tc>
          <w:tcPr>
            <w:tcW w:w="2689" w:type="dxa"/>
            <w:shd w:val="clear" w:color="auto" w:fill="auto"/>
            <w:noWrap/>
            <w:hideMark/>
          </w:tcPr>
          <w:p w14:paraId="607194A8" w14:textId="77777777" w:rsidR="00F511F4" w:rsidRPr="00B6620E" w:rsidRDefault="00F511F4" w:rsidP="001F53D9">
            <w:pPr>
              <w:spacing w:after="0" w:line="240" w:lineRule="auto"/>
              <w:rPr>
                <w:rFonts w:eastAsia="Times New Roman" w:cstheme="minorHAnsi"/>
                <w:color w:val="000000"/>
                <w:lang w:eastAsia="en-GB"/>
              </w:rPr>
            </w:pPr>
            <w:r w:rsidRPr="00B6620E">
              <w:rPr>
                <w:rFonts w:eastAsia="Times New Roman" w:cstheme="minorHAnsi"/>
                <w:color w:val="000000"/>
                <w:lang w:eastAsia="en-GB"/>
              </w:rPr>
              <w:t>2008</w:t>
            </w:r>
          </w:p>
        </w:tc>
        <w:tc>
          <w:tcPr>
            <w:tcW w:w="2128" w:type="dxa"/>
            <w:shd w:val="clear" w:color="auto" w:fill="auto"/>
            <w:noWrap/>
            <w:hideMark/>
          </w:tcPr>
          <w:p w14:paraId="0060DE5C" w14:textId="77777777" w:rsidR="00F511F4" w:rsidRPr="00B6620E" w:rsidRDefault="00F511F4" w:rsidP="001F53D9">
            <w:pPr>
              <w:spacing w:after="0" w:line="240" w:lineRule="auto"/>
              <w:rPr>
                <w:rFonts w:eastAsia="Times New Roman" w:cstheme="minorHAnsi"/>
                <w:color w:val="000000"/>
                <w:lang w:eastAsia="en-GB"/>
              </w:rPr>
            </w:pPr>
            <w:r w:rsidRPr="00B6620E">
              <w:rPr>
                <w:rFonts w:eastAsia="Times New Roman" w:cstheme="minorHAnsi"/>
                <w:color w:val="000000"/>
                <w:lang w:eastAsia="en-GB"/>
              </w:rPr>
              <w:t>839</w:t>
            </w:r>
            <w:r>
              <w:rPr>
                <w:rFonts w:eastAsia="Times New Roman" w:cstheme="minorHAnsi"/>
                <w:color w:val="000000"/>
                <w:lang w:eastAsia="en-GB"/>
              </w:rPr>
              <w:t>,</w:t>
            </w:r>
            <w:r w:rsidRPr="00B6620E">
              <w:rPr>
                <w:rFonts w:eastAsia="Times New Roman" w:cstheme="minorHAnsi"/>
                <w:color w:val="000000"/>
                <w:lang w:eastAsia="en-GB"/>
              </w:rPr>
              <w:t>583</w:t>
            </w:r>
            <w:r>
              <w:rPr>
                <w:rFonts w:eastAsia="Times New Roman" w:cstheme="minorHAnsi"/>
                <w:color w:val="000000"/>
                <w:lang w:eastAsia="en-GB"/>
              </w:rPr>
              <w:t xml:space="preserve"> (9.4%)</w:t>
            </w:r>
          </w:p>
        </w:tc>
        <w:tc>
          <w:tcPr>
            <w:tcW w:w="1984" w:type="dxa"/>
            <w:shd w:val="clear" w:color="auto" w:fill="auto"/>
            <w:noWrap/>
            <w:hideMark/>
          </w:tcPr>
          <w:p w14:paraId="1F3F1410" w14:textId="77777777" w:rsidR="00F511F4" w:rsidRPr="00B6620E" w:rsidRDefault="00F511F4" w:rsidP="001F53D9">
            <w:pPr>
              <w:spacing w:after="0" w:line="240" w:lineRule="auto"/>
              <w:rPr>
                <w:rFonts w:eastAsia="Times New Roman" w:cstheme="minorHAnsi"/>
                <w:color w:val="000000"/>
                <w:lang w:eastAsia="en-GB"/>
              </w:rPr>
            </w:pPr>
            <w:r w:rsidRPr="00B6620E">
              <w:rPr>
                <w:rFonts w:eastAsia="Times New Roman" w:cstheme="minorHAnsi"/>
                <w:color w:val="000000"/>
                <w:lang w:eastAsia="en-GB"/>
              </w:rPr>
              <w:t>178612</w:t>
            </w:r>
            <w:r>
              <w:rPr>
                <w:rFonts w:eastAsia="Times New Roman" w:cstheme="minorHAnsi"/>
                <w:color w:val="000000"/>
                <w:lang w:eastAsia="en-GB"/>
              </w:rPr>
              <w:t xml:space="preserve"> (7.9%)</w:t>
            </w:r>
          </w:p>
        </w:tc>
        <w:tc>
          <w:tcPr>
            <w:tcW w:w="1899" w:type="dxa"/>
            <w:shd w:val="clear" w:color="auto" w:fill="auto"/>
            <w:noWrap/>
            <w:hideMark/>
          </w:tcPr>
          <w:p w14:paraId="51F17CD5" w14:textId="77777777" w:rsidR="00F511F4" w:rsidRPr="00B6620E" w:rsidRDefault="00F511F4" w:rsidP="001F53D9">
            <w:pPr>
              <w:spacing w:after="0" w:line="240" w:lineRule="auto"/>
              <w:rPr>
                <w:rFonts w:eastAsia="Times New Roman" w:cstheme="minorHAnsi"/>
                <w:color w:val="000000"/>
                <w:lang w:eastAsia="en-GB"/>
              </w:rPr>
            </w:pPr>
            <w:r w:rsidRPr="00B6620E">
              <w:rPr>
                <w:rFonts w:eastAsia="Times New Roman" w:cstheme="minorHAnsi"/>
                <w:color w:val="000000"/>
                <w:lang w:eastAsia="en-GB"/>
              </w:rPr>
              <w:t>450</w:t>
            </w:r>
            <w:r>
              <w:rPr>
                <w:rFonts w:eastAsia="Times New Roman" w:cstheme="minorHAnsi"/>
                <w:color w:val="000000"/>
                <w:lang w:eastAsia="en-GB"/>
              </w:rPr>
              <w:t xml:space="preserve"> (3.9%)</w:t>
            </w:r>
          </w:p>
        </w:tc>
        <w:tc>
          <w:tcPr>
            <w:tcW w:w="934" w:type="dxa"/>
          </w:tcPr>
          <w:p w14:paraId="384EE97F" w14:textId="77777777" w:rsidR="00F511F4" w:rsidRPr="00B6620E" w:rsidRDefault="00F511F4" w:rsidP="001F53D9">
            <w:pPr>
              <w:spacing w:after="0" w:line="240" w:lineRule="auto"/>
              <w:rPr>
                <w:rFonts w:eastAsia="Times New Roman" w:cstheme="minorHAnsi"/>
                <w:color w:val="000000"/>
                <w:lang w:eastAsia="en-GB"/>
              </w:rPr>
            </w:pPr>
          </w:p>
        </w:tc>
      </w:tr>
      <w:tr w:rsidR="00F511F4" w:rsidRPr="00B6620E" w14:paraId="5ECE7A29" w14:textId="77777777" w:rsidTr="001F53D9">
        <w:trPr>
          <w:trHeight w:val="285"/>
        </w:trPr>
        <w:tc>
          <w:tcPr>
            <w:tcW w:w="2689" w:type="dxa"/>
            <w:shd w:val="clear" w:color="auto" w:fill="auto"/>
            <w:noWrap/>
            <w:hideMark/>
          </w:tcPr>
          <w:p w14:paraId="7E132E6A" w14:textId="77777777" w:rsidR="00F511F4" w:rsidRPr="00B6620E" w:rsidRDefault="00F511F4" w:rsidP="001F53D9">
            <w:pPr>
              <w:spacing w:after="0" w:line="240" w:lineRule="auto"/>
              <w:rPr>
                <w:rFonts w:eastAsia="Times New Roman" w:cstheme="minorHAnsi"/>
                <w:color w:val="000000"/>
                <w:lang w:eastAsia="en-GB"/>
              </w:rPr>
            </w:pPr>
            <w:r w:rsidRPr="00B6620E">
              <w:rPr>
                <w:rFonts w:eastAsia="Times New Roman" w:cstheme="minorHAnsi"/>
                <w:color w:val="000000"/>
                <w:lang w:eastAsia="en-GB"/>
              </w:rPr>
              <w:t>2009</w:t>
            </w:r>
          </w:p>
        </w:tc>
        <w:tc>
          <w:tcPr>
            <w:tcW w:w="2128" w:type="dxa"/>
            <w:shd w:val="clear" w:color="auto" w:fill="auto"/>
            <w:noWrap/>
            <w:hideMark/>
          </w:tcPr>
          <w:p w14:paraId="40E89364" w14:textId="77777777" w:rsidR="00F511F4" w:rsidRPr="00B6620E" w:rsidRDefault="00F511F4" w:rsidP="001F53D9">
            <w:pPr>
              <w:spacing w:after="0" w:line="240" w:lineRule="auto"/>
              <w:rPr>
                <w:rFonts w:eastAsia="Times New Roman" w:cstheme="minorHAnsi"/>
                <w:color w:val="000000"/>
                <w:lang w:eastAsia="en-GB"/>
              </w:rPr>
            </w:pPr>
            <w:r w:rsidRPr="00B6620E">
              <w:rPr>
                <w:rFonts w:eastAsia="Times New Roman" w:cstheme="minorHAnsi"/>
                <w:color w:val="000000"/>
                <w:lang w:eastAsia="en-GB"/>
              </w:rPr>
              <w:t>776</w:t>
            </w:r>
            <w:r>
              <w:rPr>
                <w:rFonts w:eastAsia="Times New Roman" w:cstheme="minorHAnsi"/>
                <w:color w:val="000000"/>
                <w:lang w:eastAsia="en-GB"/>
              </w:rPr>
              <w:t>,</w:t>
            </w:r>
            <w:r w:rsidRPr="00B6620E">
              <w:rPr>
                <w:rFonts w:eastAsia="Times New Roman" w:cstheme="minorHAnsi"/>
                <w:color w:val="000000"/>
                <w:lang w:eastAsia="en-GB"/>
              </w:rPr>
              <w:t>047</w:t>
            </w:r>
            <w:r>
              <w:rPr>
                <w:rFonts w:eastAsia="Times New Roman" w:cstheme="minorHAnsi"/>
                <w:color w:val="000000"/>
                <w:lang w:eastAsia="en-GB"/>
              </w:rPr>
              <w:t xml:space="preserve"> (8.7%)</w:t>
            </w:r>
          </w:p>
        </w:tc>
        <w:tc>
          <w:tcPr>
            <w:tcW w:w="1984" w:type="dxa"/>
            <w:shd w:val="clear" w:color="auto" w:fill="auto"/>
            <w:noWrap/>
            <w:hideMark/>
          </w:tcPr>
          <w:p w14:paraId="356B38F9" w14:textId="77777777" w:rsidR="00F511F4" w:rsidRPr="00B6620E" w:rsidRDefault="00F511F4" w:rsidP="001F53D9">
            <w:pPr>
              <w:spacing w:after="0" w:line="240" w:lineRule="auto"/>
              <w:rPr>
                <w:rFonts w:eastAsia="Times New Roman" w:cstheme="minorHAnsi"/>
                <w:color w:val="000000"/>
                <w:lang w:eastAsia="en-GB"/>
              </w:rPr>
            </w:pPr>
            <w:r w:rsidRPr="00B6620E">
              <w:rPr>
                <w:rFonts w:eastAsia="Times New Roman" w:cstheme="minorHAnsi"/>
                <w:color w:val="000000"/>
                <w:lang w:eastAsia="en-GB"/>
              </w:rPr>
              <w:t>221869</w:t>
            </w:r>
            <w:r>
              <w:rPr>
                <w:rFonts w:eastAsia="Times New Roman" w:cstheme="minorHAnsi"/>
                <w:color w:val="000000"/>
                <w:lang w:eastAsia="en-GB"/>
              </w:rPr>
              <w:t xml:space="preserve"> (9.8%)</w:t>
            </w:r>
          </w:p>
        </w:tc>
        <w:tc>
          <w:tcPr>
            <w:tcW w:w="1899" w:type="dxa"/>
            <w:shd w:val="clear" w:color="auto" w:fill="auto"/>
            <w:noWrap/>
            <w:hideMark/>
          </w:tcPr>
          <w:p w14:paraId="6D757388" w14:textId="77777777" w:rsidR="00F511F4" w:rsidRPr="00B6620E" w:rsidRDefault="00F511F4" w:rsidP="001F53D9">
            <w:pPr>
              <w:spacing w:after="0" w:line="240" w:lineRule="auto"/>
              <w:rPr>
                <w:rFonts w:eastAsia="Times New Roman" w:cstheme="minorHAnsi"/>
                <w:color w:val="000000"/>
                <w:lang w:eastAsia="en-GB"/>
              </w:rPr>
            </w:pPr>
            <w:r w:rsidRPr="00B6620E">
              <w:rPr>
                <w:rFonts w:eastAsia="Times New Roman" w:cstheme="minorHAnsi"/>
                <w:color w:val="000000"/>
                <w:lang w:eastAsia="en-GB"/>
              </w:rPr>
              <w:t>1</w:t>
            </w:r>
            <w:r>
              <w:rPr>
                <w:rFonts w:eastAsia="Times New Roman" w:cstheme="minorHAnsi"/>
                <w:color w:val="000000"/>
                <w:lang w:eastAsia="en-GB"/>
              </w:rPr>
              <w:t>,</w:t>
            </w:r>
            <w:r w:rsidRPr="00B6620E">
              <w:rPr>
                <w:rFonts w:eastAsia="Times New Roman" w:cstheme="minorHAnsi"/>
                <w:color w:val="000000"/>
                <w:lang w:eastAsia="en-GB"/>
              </w:rPr>
              <w:t>181</w:t>
            </w:r>
            <w:r>
              <w:rPr>
                <w:rFonts w:eastAsia="Times New Roman" w:cstheme="minorHAnsi"/>
                <w:color w:val="000000"/>
                <w:lang w:eastAsia="en-GB"/>
              </w:rPr>
              <w:t xml:space="preserve"> (10.4%)</w:t>
            </w:r>
          </w:p>
        </w:tc>
        <w:tc>
          <w:tcPr>
            <w:tcW w:w="934" w:type="dxa"/>
          </w:tcPr>
          <w:p w14:paraId="4DDE28C2" w14:textId="77777777" w:rsidR="00F511F4" w:rsidRPr="00B6620E" w:rsidRDefault="00F511F4" w:rsidP="001F53D9">
            <w:pPr>
              <w:spacing w:after="0" w:line="240" w:lineRule="auto"/>
              <w:rPr>
                <w:rFonts w:eastAsia="Times New Roman" w:cstheme="minorHAnsi"/>
                <w:color w:val="000000"/>
                <w:lang w:eastAsia="en-GB"/>
              </w:rPr>
            </w:pPr>
          </w:p>
        </w:tc>
      </w:tr>
      <w:tr w:rsidR="00F511F4" w:rsidRPr="00B6620E" w14:paraId="26E5C035" w14:textId="77777777" w:rsidTr="001F53D9">
        <w:trPr>
          <w:trHeight w:val="285"/>
        </w:trPr>
        <w:tc>
          <w:tcPr>
            <w:tcW w:w="2689" w:type="dxa"/>
            <w:shd w:val="clear" w:color="auto" w:fill="auto"/>
            <w:noWrap/>
            <w:hideMark/>
          </w:tcPr>
          <w:p w14:paraId="32314F03" w14:textId="77777777" w:rsidR="00F511F4" w:rsidRPr="00B6620E" w:rsidRDefault="00F511F4" w:rsidP="001F53D9">
            <w:pPr>
              <w:spacing w:after="0" w:line="240" w:lineRule="auto"/>
              <w:rPr>
                <w:rFonts w:eastAsia="Times New Roman" w:cstheme="minorHAnsi"/>
                <w:color w:val="000000"/>
                <w:lang w:eastAsia="en-GB"/>
              </w:rPr>
            </w:pPr>
            <w:r w:rsidRPr="00B6620E">
              <w:rPr>
                <w:rFonts w:eastAsia="Times New Roman" w:cstheme="minorHAnsi"/>
                <w:color w:val="000000"/>
                <w:lang w:eastAsia="en-GB"/>
              </w:rPr>
              <w:t>2010</w:t>
            </w:r>
          </w:p>
        </w:tc>
        <w:tc>
          <w:tcPr>
            <w:tcW w:w="2128" w:type="dxa"/>
            <w:shd w:val="clear" w:color="auto" w:fill="auto"/>
            <w:noWrap/>
            <w:hideMark/>
          </w:tcPr>
          <w:p w14:paraId="28B0F0F2" w14:textId="77777777" w:rsidR="00F511F4" w:rsidRPr="00B6620E" w:rsidRDefault="00F511F4" w:rsidP="001F53D9">
            <w:pPr>
              <w:spacing w:after="0" w:line="240" w:lineRule="auto"/>
              <w:rPr>
                <w:rFonts w:eastAsia="Times New Roman" w:cstheme="minorHAnsi"/>
                <w:color w:val="000000"/>
                <w:lang w:eastAsia="en-GB"/>
              </w:rPr>
            </w:pPr>
            <w:r w:rsidRPr="00B6620E">
              <w:rPr>
                <w:rFonts w:eastAsia="Times New Roman" w:cstheme="minorHAnsi"/>
                <w:color w:val="000000"/>
                <w:lang w:eastAsia="en-GB"/>
              </w:rPr>
              <w:t>724</w:t>
            </w:r>
            <w:r>
              <w:rPr>
                <w:rFonts w:eastAsia="Times New Roman" w:cstheme="minorHAnsi"/>
                <w:color w:val="000000"/>
                <w:lang w:eastAsia="en-GB"/>
              </w:rPr>
              <w:t>,</w:t>
            </w:r>
            <w:r w:rsidRPr="00B6620E">
              <w:rPr>
                <w:rFonts w:eastAsia="Times New Roman" w:cstheme="minorHAnsi"/>
                <w:color w:val="000000"/>
                <w:lang w:eastAsia="en-GB"/>
              </w:rPr>
              <w:t>215</w:t>
            </w:r>
            <w:r>
              <w:rPr>
                <w:rFonts w:eastAsia="Times New Roman" w:cstheme="minorHAnsi"/>
                <w:color w:val="000000"/>
                <w:lang w:eastAsia="en-GB"/>
              </w:rPr>
              <w:t xml:space="preserve"> (8.1%)</w:t>
            </w:r>
          </w:p>
        </w:tc>
        <w:tc>
          <w:tcPr>
            <w:tcW w:w="1984" w:type="dxa"/>
            <w:shd w:val="clear" w:color="auto" w:fill="auto"/>
            <w:noWrap/>
            <w:hideMark/>
          </w:tcPr>
          <w:p w14:paraId="27183900" w14:textId="77777777" w:rsidR="00F511F4" w:rsidRPr="00B6620E" w:rsidRDefault="00F511F4" w:rsidP="001F53D9">
            <w:pPr>
              <w:spacing w:after="0" w:line="240" w:lineRule="auto"/>
              <w:rPr>
                <w:rFonts w:eastAsia="Times New Roman" w:cstheme="minorHAnsi"/>
                <w:color w:val="000000"/>
                <w:lang w:eastAsia="en-GB"/>
              </w:rPr>
            </w:pPr>
            <w:r w:rsidRPr="00B6620E">
              <w:rPr>
                <w:rFonts w:eastAsia="Times New Roman" w:cstheme="minorHAnsi"/>
                <w:color w:val="000000"/>
                <w:lang w:eastAsia="en-GB"/>
              </w:rPr>
              <w:t>231364</w:t>
            </w:r>
            <w:r>
              <w:rPr>
                <w:rFonts w:eastAsia="Times New Roman" w:cstheme="minorHAnsi"/>
                <w:color w:val="000000"/>
                <w:lang w:eastAsia="en-GB"/>
              </w:rPr>
              <w:t xml:space="preserve"> (10.2%)</w:t>
            </w:r>
          </w:p>
        </w:tc>
        <w:tc>
          <w:tcPr>
            <w:tcW w:w="1899" w:type="dxa"/>
            <w:shd w:val="clear" w:color="auto" w:fill="auto"/>
            <w:noWrap/>
            <w:hideMark/>
          </w:tcPr>
          <w:p w14:paraId="674F7A9B" w14:textId="77777777" w:rsidR="00F511F4" w:rsidRPr="00B6620E" w:rsidRDefault="00F511F4" w:rsidP="001F53D9">
            <w:pPr>
              <w:spacing w:after="0" w:line="240" w:lineRule="auto"/>
              <w:rPr>
                <w:rFonts w:eastAsia="Times New Roman" w:cstheme="minorHAnsi"/>
                <w:color w:val="000000"/>
                <w:lang w:eastAsia="en-GB"/>
              </w:rPr>
            </w:pPr>
            <w:r w:rsidRPr="00B6620E">
              <w:rPr>
                <w:rFonts w:eastAsia="Times New Roman" w:cstheme="minorHAnsi"/>
                <w:color w:val="000000"/>
                <w:lang w:eastAsia="en-GB"/>
              </w:rPr>
              <w:t>1</w:t>
            </w:r>
            <w:r>
              <w:rPr>
                <w:rFonts w:eastAsia="Times New Roman" w:cstheme="minorHAnsi"/>
                <w:color w:val="000000"/>
                <w:lang w:eastAsia="en-GB"/>
              </w:rPr>
              <w:t>,</w:t>
            </w:r>
            <w:r w:rsidRPr="00B6620E">
              <w:rPr>
                <w:rFonts w:eastAsia="Times New Roman" w:cstheme="minorHAnsi"/>
                <w:color w:val="000000"/>
                <w:lang w:eastAsia="en-GB"/>
              </w:rPr>
              <w:t>418</w:t>
            </w:r>
            <w:r>
              <w:rPr>
                <w:rFonts w:eastAsia="Times New Roman" w:cstheme="minorHAnsi"/>
                <w:color w:val="000000"/>
                <w:lang w:eastAsia="en-GB"/>
              </w:rPr>
              <w:t xml:space="preserve"> (12.4%)</w:t>
            </w:r>
          </w:p>
        </w:tc>
        <w:tc>
          <w:tcPr>
            <w:tcW w:w="934" w:type="dxa"/>
          </w:tcPr>
          <w:p w14:paraId="6F1F82B1" w14:textId="77777777" w:rsidR="00F511F4" w:rsidRPr="00B6620E" w:rsidRDefault="00F511F4" w:rsidP="001F53D9">
            <w:pPr>
              <w:spacing w:after="0" w:line="240" w:lineRule="auto"/>
              <w:rPr>
                <w:rFonts w:eastAsia="Times New Roman" w:cstheme="minorHAnsi"/>
                <w:color w:val="000000"/>
                <w:lang w:eastAsia="en-GB"/>
              </w:rPr>
            </w:pPr>
          </w:p>
        </w:tc>
      </w:tr>
      <w:tr w:rsidR="00F511F4" w:rsidRPr="00B6620E" w14:paraId="3E0A5106" w14:textId="77777777" w:rsidTr="001F53D9">
        <w:trPr>
          <w:trHeight w:val="285"/>
        </w:trPr>
        <w:tc>
          <w:tcPr>
            <w:tcW w:w="2689" w:type="dxa"/>
            <w:shd w:val="clear" w:color="auto" w:fill="auto"/>
            <w:noWrap/>
            <w:hideMark/>
          </w:tcPr>
          <w:p w14:paraId="570B6720" w14:textId="77777777" w:rsidR="00F511F4" w:rsidRPr="00B6620E" w:rsidRDefault="00F511F4" w:rsidP="001F53D9">
            <w:pPr>
              <w:spacing w:after="0" w:line="240" w:lineRule="auto"/>
              <w:rPr>
                <w:rFonts w:eastAsia="Times New Roman" w:cstheme="minorHAnsi"/>
                <w:color w:val="000000"/>
                <w:lang w:eastAsia="en-GB"/>
              </w:rPr>
            </w:pPr>
            <w:r w:rsidRPr="00B6620E">
              <w:rPr>
                <w:rFonts w:eastAsia="Times New Roman" w:cstheme="minorHAnsi"/>
                <w:color w:val="000000"/>
                <w:lang w:eastAsia="en-GB"/>
              </w:rPr>
              <w:t>2011</w:t>
            </w:r>
          </w:p>
        </w:tc>
        <w:tc>
          <w:tcPr>
            <w:tcW w:w="2128" w:type="dxa"/>
            <w:shd w:val="clear" w:color="auto" w:fill="auto"/>
            <w:noWrap/>
            <w:hideMark/>
          </w:tcPr>
          <w:p w14:paraId="6B802777" w14:textId="77777777" w:rsidR="00F511F4" w:rsidRPr="00B6620E" w:rsidRDefault="00F511F4" w:rsidP="001F53D9">
            <w:pPr>
              <w:spacing w:after="0" w:line="240" w:lineRule="auto"/>
              <w:rPr>
                <w:rFonts w:eastAsia="Times New Roman" w:cstheme="minorHAnsi"/>
                <w:color w:val="000000"/>
                <w:lang w:eastAsia="en-GB"/>
              </w:rPr>
            </w:pPr>
            <w:r w:rsidRPr="00B6620E">
              <w:rPr>
                <w:rFonts w:eastAsia="Times New Roman" w:cstheme="minorHAnsi"/>
                <w:color w:val="000000"/>
                <w:lang w:eastAsia="en-GB"/>
              </w:rPr>
              <w:t>739</w:t>
            </w:r>
            <w:r>
              <w:rPr>
                <w:rFonts w:eastAsia="Times New Roman" w:cstheme="minorHAnsi"/>
                <w:color w:val="000000"/>
                <w:lang w:eastAsia="en-GB"/>
              </w:rPr>
              <w:t>,</w:t>
            </w:r>
            <w:r w:rsidRPr="00B6620E">
              <w:rPr>
                <w:rFonts w:eastAsia="Times New Roman" w:cstheme="minorHAnsi"/>
                <w:color w:val="000000"/>
                <w:lang w:eastAsia="en-GB"/>
              </w:rPr>
              <w:t>799</w:t>
            </w:r>
            <w:r>
              <w:rPr>
                <w:rFonts w:eastAsia="Times New Roman" w:cstheme="minorHAnsi"/>
                <w:color w:val="000000"/>
                <w:lang w:eastAsia="en-GB"/>
              </w:rPr>
              <w:t xml:space="preserve"> (8.3%)</w:t>
            </w:r>
          </w:p>
        </w:tc>
        <w:tc>
          <w:tcPr>
            <w:tcW w:w="1984" w:type="dxa"/>
            <w:shd w:val="clear" w:color="auto" w:fill="auto"/>
            <w:noWrap/>
            <w:hideMark/>
          </w:tcPr>
          <w:p w14:paraId="2E76EF33" w14:textId="77777777" w:rsidR="00F511F4" w:rsidRPr="00B6620E" w:rsidRDefault="00F511F4" w:rsidP="001F53D9">
            <w:pPr>
              <w:spacing w:after="0" w:line="240" w:lineRule="auto"/>
              <w:rPr>
                <w:rFonts w:eastAsia="Times New Roman" w:cstheme="minorHAnsi"/>
                <w:color w:val="000000"/>
                <w:lang w:eastAsia="en-GB"/>
              </w:rPr>
            </w:pPr>
            <w:r w:rsidRPr="00B6620E">
              <w:rPr>
                <w:rFonts w:eastAsia="Times New Roman" w:cstheme="minorHAnsi"/>
                <w:color w:val="000000"/>
                <w:lang w:eastAsia="en-GB"/>
              </w:rPr>
              <w:t>263846</w:t>
            </w:r>
            <w:r>
              <w:rPr>
                <w:rFonts w:eastAsia="Times New Roman" w:cstheme="minorHAnsi"/>
                <w:color w:val="000000"/>
                <w:lang w:eastAsia="en-GB"/>
              </w:rPr>
              <w:t xml:space="preserve"> (11.7%)</w:t>
            </w:r>
          </w:p>
        </w:tc>
        <w:tc>
          <w:tcPr>
            <w:tcW w:w="1899" w:type="dxa"/>
            <w:shd w:val="clear" w:color="auto" w:fill="auto"/>
            <w:noWrap/>
            <w:hideMark/>
          </w:tcPr>
          <w:p w14:paraId="23C351D1" w14:textId="77777777" w:rsidR="00F511F4" w:rsidRPr="00B6620E" w:rsidRDefault="00F511F4" w:rsidP="001F53D9">
            <w:pPr>
              <w:spacing w:after="0" w:line="240" w:lineRule="auto"/>
              <w:rPr>
                <w:rFonts w:eastAsia="Times New Roman" w:cstheme="minorHAnsi"/>
                <w:color w:val="000000"/>
                <w:lang w:eastAsia="en-GB"/>
              </w:rPr>
            </w:pPr>
            <w:r w:rsidRPr="00B6620E">
              <w:rPr>
                <w:rFonts w:eastAsia="Times New Roman" w:cstheme="minorHAnsi"/>
                <w:color w:val="000000"/>
                <w:lang w:eastAsia="en-GB"/>
              </w:rPr>
              <w:t>1</w:t>
            </w:r>
            <w:r>
              <w:rPr>
                <w:rFonts w:eastAsia="Times New Roman" w:cstheme="minorHAnsi"/>
                <w:color w:val="000000"/>
                <w:lang w:eastAsia="en-GB"/>
              </w:rPr>
              <w:t>,</w:t>
            </w:r>
            <w:r w:rsidRPr="00B6620E">
              <w:rPr>
                <w:rFonts w:eastAsia="Times New Roman" w:cstheme="minorHAnsi"/>
                <w:color w:val="000000"/>
                <w:lang w:eastAsia="en-GB"/>
              </w:rPr>
              <w:t>700</w:t>
            </w:r>
            <w:r>
              <w:rPr>
                <w:rFonts w:eastAsia="Times New Roman" w:cstheme="minorHAnsi"/>
                <w:color w:val="000000"/>
                <w:lang w:eastAsia="en-GB"/>
              </w:rPr>
              <w:t xml:space="preserve"> (14.9%)</w:t>
            </w:r>
          </w:p>
        </w:tc>
        <w:tc>
          <w:tcPr>
            <w:tcW w:w="934" w:type="dxa"/>
          </w:tcPr>
          <w:p w14:paraId="1726940C" w14:textId="77777777" w:rsidR="00F511F4" w:rsidRPr="00B6620E" w:rsidRDefault="00F511F4" w:rsidP="001F53D9">
            <w:pPr>
              <w:spacing w:after="0" w:line="240" w:lineRule="auto"/>
              <w:rPr>
                <w:rFonts w:eastAsia="Times New Roman" w:cstheme="minorHAnsi"/>
                <w:color w:val="000000"/>
                <w:lang w:eastAsia="en-GB"/>
              </w:rPr>
            </w:pPr>
          </w:p>
        </w:tc>
      </w:tr>
      <w:tr w:rsidR="00F511F4" w:rsidRPr="00B6620E" w14:paraId="7663A37A" w14:textId="77777777" w:rsidTr="001F53D9">
        <w:trPr>
          <w:trHeight w:val="285"/>
        </w:trPr>
        <w:tc>
          <w:tcPr>
            <w:tcW w:w="2689" w:type="dxa"/>
            <w:shd w:val="clear" w:color="auto" w:fill="auto"/>
            <w:noWrap/>
            <w:hideMark/>
          </w:tcPr>
          <w:p w14:paraId="2CD323A7" w14:textId="77777777" w:rsidR="00F511F4" w:rsidRPr="00B6620E" w:rsidRDefault="00F511F4" w:rsidP="001F53D9">
            <w:pPr>
              <w:spacing w:after="0" w:line="240" w:lineRule="auto"/>
              <w:rPr>
                <w:rFonts w:eastAsia="Times New Roman" w:cstheme="minorHAnsi"/>
                <w:color w:val="000000"/>
                <w:lang w:eastAsia="en-GB"/>
              </w:rPr>
            </w:pPr>
            <w:r w:rsidRPr="00B6620E">
              <w:rPr>
                <w:rFonts w:eastAsia="Times New Roman" w:cstheme="minorHAnsi"/>
                <w:color w:val="000000"/>
                <w:lang w:eastAsia="en-GB"/>
              </w:rPr>
              <w:t>2012</w:t>
            </w:r>
          </w:p>
        </w:tc>
        <w:tc>
          <w:tcPr>
            <w:tcW w:w="2128" w:type="dxa"/>
            <w:shd w:val="clear" w:color="auto" w:fill="auto"/>
            <w:noWrap/>
            <w:hideMark/>
          </w:tcPr>
          <w:p w14:paraId="3B0B9AA8" w14:textId="77777777" w:rsidR="00F511F4" w:rsidRPr="00B6620E" w:rsidRDefault="00F511F4" w:rsidP="001F53D9">
            <w:pPr>
              <w:spacing w:after="0" w:line="240" w:lineRule="auto"/>
              <w:rPr>
                <w:rFonts w:eastAsia="Times New Roman" w:cstheme="minorHAnsi"/>
                <w:color w:val="000000"/>
                <w:lang w:eastAsia="en-GB"/>
              </w:rPr>
            </w:pPr>
            <w:r w:rsidRPr="00B6620E">
              <w:rPr>
                <w:rFonts w:eastAsia="Times New Roman" w:cstheme="minorHAnsi"/>
                <w:color w:val="000000"/>
                <w:lang w:eastAsia="en-GB"/>
              </w:rPr>
              <w:t>679</w:t>
            </w:r>
            <w:r>
              <w:rPr>
                <w:rFonts w:eastAsia="Times New Roman" w:cstheme="minorHAnsi"/>
                <w:color w:val="000000"/>
                <w:lang w:eastAsia="en-GB"/>
              </w:rPr>
              <w:t>,</w:t>
            </w:r>
            <w:r w:rsidRPr="00B6620E">
              <w:rPr>
                <w:rFonts w:eastAsia="Times New Roman" w:cstheme="minorHAnsi"/>
                <w:color w:val="000000"/>
                <w:lang w:eastAsia="en-GB"/>
              </w:rPr>
              <w:t>599</w:t>
            </w:r>
            <w:r>
              <w:rPr>
                <w:rFonts w:eastAsia="Times New Roman" w:cstheme="minorHAnsi"/>
                <w:color w:val="000000"/>
                <w:lang w:eastAsia="en-GB"/>
              </w:rPr>
              <w:t xml:space="preserve"> (7.6%)</w:t>
            </w:r>
          </w:p>
        </w:tc>
        <w:tc>
          <w:tcPr>
            <w:tcW w:w="1984" w:type="dxa"/>
            <w:shd w:val="clear" w:color="auto" w:fill="auto"/>
            <w:noWrap/>
            <w:hideMark/>
          </w:tcPr>
          <w:p w14:paraId="4738E277" w14:textId="77777777" w:rsidR="00F511F4" w:rsidRPr="00B6620E" w:rsidRDefault="00F511F4" w:rsidP="001F53D9">
            <w:pPr>
              <w:spacing w:after="0" w:line="240" w:lineRule="auto"/>
              <w:rPr>
                <w:rFonts w:eastAsia="Times New Roman" w:cstheme="minorHAnsi"/>
                <w:color w:val="000000"/>
                <w:lang w:eastAsia="en-GB"/>
              </w:rPr>
            </w:pPr>
            <w:r w:rsidRPr="00B6620E">
              <w:rPr>
                <w:rFonts w:eastAsia="Times New Roman" w:cstheme="minorHAnsi"/>
                <w:color w:val="000000"/>
                <w:lang w:eastAsia="en-GB"/>
              </w:rPr>
              <w:t>257287</w:t>
            </w:r>
            <w:r>
              <w:rPr>
                <w:rFonts w:eastAsia="Times New Roman" w:cstheme="minorHAnsi"/>
                <w:color w:val="000000"/>
                <w:lang w:eastAsia="en-GB"/>
              </w:rPr>
              <w:t xml:space="preserve"> (11.4%)</w:t>
            </w:r>
          </w:p>
        </w:tc>
        <w:tc>
          <w:tcPr>
            <w:tcW w:w="1899" w:type="dxa"/>
            <w:shd w:val="clear" w:color="auto" w:fill="auto"/>
            <w:noWrap/>
            <w:hideMark/>
          </w:tcPr>
          <w:p w14:paraId="6C54DB5A" w14:textId="77777777" w:rsidR="00F511F4" w:rsidRPr="00B6620E" w:rsidRDefault="00F511F4" w:rsidP="001F53D9">
            <w:pPr>
              <w:spacing w:after="0" w:line="240" w:lineRule="auto"/>
              <w:rPr>
                <w:rFonts w:eastAsia="Times New Roman" w:cstheme="minorHAnsi"/>
                <w:color w:val="000000"/>
                <w:lang w:eastAsia="en-GB"/>
              </w:rPr>
            </w:pPr>
            <w:r w:rsidRPr="00B6620E">
              <w:rPr>
                <w:rFonts w:eastAsia="Times New Roman" w:cstheme="minorHAnsi"/>
                <w:color w:val="000000"/>
                <w:lang w:eastAsia="en-GB"/>
              </w:rPr>
              <w:t>1</w:t>
            </w:r>
            <w:r>
              <w:rPr>
                <w:rFonts w:eastAsia="Times New Roman" w:cstheme="minorHAnsi"/>
                <w:color w:val="000000"/>
                <w:lang w:eastAsia="en-GB"/>
              </w:rPr>
              <w:t>,</w:t>
            </w:r>
            <w:r w:rsidRPr="00B6620E">
              <w:rPr>
                <w:rFonts w:eastAsia="Times New Roman" w:cstheme="minorHAnsi"/>
                <w:color w:val="000000"/>
                <w:lang w:eastAsia="en-GB"/>
              </w:rPr>
              <w:t>616</w:t>
            </w:r>
            <w:r>
              <w:rPr>
                <w:rFonts w:eastAsia="Times New Roman" w:cstheme="minorHAnsi"/>
                <w:color w:val="000000"/>
                <w:lang w:eastAsia="en-GB"/>
              </w:rPr>
              <w:t xml:space="preserve"> (14.2%)</w:t>
            </w:r>
          </w:p>
        </w:tc>
        <w:tc>
          <w:tcPr>
            <w:tcW w:w="934" w:type="dxa"/>
          </w:tcPr>
          <w:p w14:paraId="0E6FE9A9" w14:textId="77777777" w:rsidR="00F511F4" w:rsidRPr="00B6620E" w:rsidRDefault="00F511F4" w:rsidP="001F53D9">
            <w:pPr>
              <w:spacing w:after="0" w:line="240" w:lineRule="auto"/>
              <w:rPr>
                <w:rFonts w:eastAsia="Times New Roman" w:cstheme="minorHAnsi"/>
                <w:color w:val="000000"/>
                <w:lang w:eastAsia="en-GB"/>
              </w:rPr>
            </w:pPr>
          </w:p>
        </w:tc>
      </w:tr>
      <w:tr w:rsidR="00F511F4" w:rsidRPr="00B6620E" w14:paraId="6A3C9E76" w14:textId="77777777" w:rsidTr="001F53D9">
        <w:trPr>
          <w:trHeight w:val="285"/>
        </w:trPr>
        <w:tc>
          <w:tcPr>
            <w:tcW w:w="2689" w:type="dxa"/>
            <w:shd w:val="clear" w:color="auto" w:fill="auto"/>
            <w:noWrap/>
            <w:hideMark/>
          </w:tcPr>
          <w:p w14:paraId="67836A2A" w14:textId="77777777" w:rsidR="00F511F4" w:rsidRPr="00B6620E" w:rsidRDefault="00F511F4" w:rsidP="001F53D9">
            <w:pPr>
              <w:spacing w:after="0" w:line="240" w:lineRule="auto"/>
              <w:rPr>
                <w:rFonts w:eastAsia="Times New Roman" w:cstheme="minorHAnsi"/>
                <w:color w:val="000000"/>
                <w:lang w:eastAsia="en-GB"/>
              </w:rPr>
            </w:pPr>
            <w:r w:rsidRPr="00B6620E">
              <w:rPr>
                <w:rFonts w:eastAsia="Times New Roman" w:cstheme="minorHAnsi"/>
                <w:color w:val="000000"/>
                <w:lang w:eastAsia="en-GB"/>
              </w:rPr>
              <w:t>2013</w:t>
            </w:r>
          </w:p>
        </w:tc>
        <w:tc>
          <w:tcPr>
            <w:tcW w:w="2128" w:type="dxa"/>
            <w:shd w:val="clear" w:color="auto" w:fill="auto"/>
            <w:noWrap/>
            <w:hideMark/>
          </w:tcPr>
          <w:p w14:paraId="378CCE5C" w14:textId="77777777" w:rsidR="00F511F4" w:rsidRPr="00B6620E" w:rsidRDefault="00F511F4" w:rsidP="001F53D9">
            <w:pPr>
              <w:spacing w:after="0" w:line="240" w:lineRule="auto"/>
              <w:rPr>
                <w:rFonts w:eastAsia="Times New Roman" w:cstheme="minorHAnsi"/>
                <w:color w:val="000000"/>
                <w:lang w:eastAsia="en-GB"/>
              </w:rPr>
            </w:pPr>
            <w:r w:rsidRPr="00B6620E">
              <w:rPr>
                <w:rFonts w:eastAsia="Times New Roman" w:cstheme="minorHAnsi"/>
                <w:color w:val="000000"/>
                <w:lang w:eastAsia="en-GB"/>
              </w:rPr>
              <w:t>669</w:t>
            </w:r>
            <w:r>
              <w:rPr>
                <w:rFonts w:eastAsia="Times New Roman" w:cstheme="minorHAnsi"/>
                <w:color w:val="000000"/>
                <w:lang w:eastAsia="en-GB"/>
              </w:rPr>
              <w:t>,</w:t>
            </w:r>
            <w:r w:rsidRPr="00B6620E">
              <w:rPr>
                <w:rFonts w:eastAsia="Times New Roman" w:cstheme="minorHAnsi"/>
                <w:color w:val="000000"/>
                <w:lang w:eastAsia="en-GB"/>
              </w:rPr>
              <w:t>284</w:t>
            </w:r>
            <w:r>
              <w:rPr>
                <w:rFonts w:eastAsia="Times New Roman" w:cstheme="minorHAnsi"/>
                <w:color w:val="000000"/>
                <w:lang w:eastAsia="en-GB"/>
              </w:rPr>
              <w:t xml:space="preserve"> (7.5%)</w:t>
            </w:r>
          </w:p>
        </w:tc>
        <w:tc>
          <w:tcPr>
            <w:tcW w:w="1984" w:type="dxa"/>
            <w:shd w:val="clear" w:color="auto" w:fill="auto"/>
            <w:noWrap/>
            <w:hideMark/>
          </w:tcPr>
          <w:p w14:paraId="2FD577FD" w14:textId="77777777" w:rsidR="00F511F4" w:rsidRPr="00B6620E" w:rsidRDefault="00F511F4" w:rsidP="001F53D9">
            <w:pPr>
              <w:spacing w:after="0" w:line="240" w:lineRule="auto"/>
              <w:rPr>
                <w:rFonts w:eastAsia="Times New Roman" w:cstheme="minorHAnsi"/>
                <w:color w:val="000000"/>
                <w:lang w:eastAsia="en-GB"/>
              </w:rPr>
            </w:pPr>
            <w:r w:rsidRPr="00B6620E">
              <w:rPr>
                <w:rFonts w:eastAsia="Times New Roman" w:cstheme="minorHAnsi"/>
                <w:color w:val="000000"/>
                <w:lang w:eastAsia="en-GB"/>
              </w:rPr>
              <w:t>276316</w:t>
            </w:r>
            <w:r>
              <w:rPr>
                <w:rFonts w:eastAsia="Times New Roman" w:cstheme="minorHAnsi"/>
                <w:color w:val="000000"/>
                <w:lang w:eastAsia="en-GB"/>
              </w:rPr>
              <w:t xml:space="preserve"> (12.2%)</w:t>
            </w:r>
          </w:p>
        </w:tc>
        <w:tc>
          <w:tcPr>
            <w:tcW w:w="1899" w:type="dxa"/>
            <w:shd w:val="clear" w:color="auto" w:fill="auto"/>
            <w:noWrap/>
            <w:hideMark/>
          </w:tcPr>
          <w:p w14:paraId="2B68F336" w14:textId="77777777" w:rsidR="00F511F4" w:rsidRPr="00B6620E" w:rsidRDefault="00F511F4" w:rsidP="001F53D9">
            <w:pPr>
              <w:spacing w:after="0" w:line="240" w:lineRule="auto"/>
              <w:rPr>
                <w:rFonts w:eastAsia="Times New Roman" w:cstheme="minorHAnsi"/>
                <w:color w:val="000000"/>
                <w:lang w:eastAsia="en-GB"/>
              </w:rPr>
            </w:pPr>
            <w:r w:rsidRPr="00B6620E">
              <w:rPr>
                <w:rFonts w:eastAsia="Times New Roman" w:cstheme="minorHAnsi"/>
                <w:color w:val="000000"/>
                <w:lang w:eastAsia="en-GB"/>
              </w:rPr>
              <w:t>1</w:t>
            </w:r>
            <w:r>
              <w:rPr>
                <w:rFonts w:eastAsia="Times New Roman" w:cstheme="minorHAnsi"/>
                <w:color w:val="000000"/>
                <w:lang w:eastAsia="en-GB"/>
              </w:rPr>
              <w:t>,</w:t>
            </w:r>
            <w:r w:rsidRPr="00B6620E">
              <w:rPr>
                <w:rFonts w:eastAsia="Times New Roman" w:cstheme="minorHAnsi"/>
                <w:color w:val="000000"/>
                <w:lang w:eastAsia="en-GB"/>
              </w:rPr>
              <w:t>661</w:t>
            </w:r>
            <w:r>
              <w:rPr>
                <w:rFonts w:eastAsia="Times New Roman" w:cstheme="minorHAnsi"/>
                <w:color w:val="000000"/>
                <w:lang w:eastAsia="en-GB"/>
              </w:rPr>
              <w:t xml:space="preserve"> (14.6%)</w:t>
            </w:r>
          </w:p>
        </w:tc>
        <w:tc>
          <w:tcPr>
            <w:tcW w:w="934" w:type="dxa"/>
          </w:tcPr>
          <w:p w14:paraId="74473156" w14:textId="77777777" w:rsidR="00F511F4" w:rsidRPr="00B6620E" w:rsidRDefault="00F511F4" w:rsidP="001F53D9">
            <w:pPr>
              <w:spacing w:after="0" w:line="240" w:lineRule="auto"/>
              <w:rPr>
                <w:rFonts w:eastAsia="Times New Roman" w:cstheme="minorHAnsi"/>
                <w:color w:val="000000"/>
                <w:lang w:eastAsia="en-GB"/>
              </w:rPr>
            </w:pPr>
          </w:p>
        </w:tc>
      </w:tr>
      <w:tr w:rsidR="00F511F4" w:rsidRPr="00B6620E" w14:paraId="43490137" w14:textId="77777777" w:rsidTr="001F53D9">
        <w:trPr>
          <w:trHeight w:val="285"/>
        </w:trPr>
        <w:tc>
          <w:tcPr>
            <w:tcW w:w="2689" w:type="dxa"/>
            <w:shd w:val="clear" w:color="auto" w:fill="auto"/>
            <w:noWrap/>
            <w:hideMark/>
          </w:tcPr>
          <w:p w14:paraId="3297F633" w14:textId="77777777" w:rsidR="00F511F4" w:rsidRPr="00B6620E" w:rsidRDefault="00F511F4" w:rsidP="001F53D9">
            <w:pPr>
              <w:spacing w:after="0" w:line="240" w:lineRule="auto"/>
              <w:rPr>
                <w:rFonts w:eastAsia="Times New Roman" w:cstheme="minorHAnsi"/>
                <w:color w:val="000000"/>
                <w:lang w:eastAsia="en-GB"/>
              </w:rPr>
            </w:pPr>
            <w:r w:rsidRPr="00B6620E">
              <w:rPr>
                <w:rFonts w:eastAsia="Times New Roman" w:cstheme="minorHAnsi"/>
                <w:color w:val="000000"/>
                <w:lang w:eastAsia="en-GB"/>
              </w:rPr>
              <w:t>2014</w:t>
            </w:r>
          </w:p>
        </w:tc>
        <w:tc>
          <w:tcPr>
            <w:tcW w:w="2128" w:type="dxa"/>
            <w:shd w:val="clear" w:color="auto" w:fill="auto"/>
            <w:noWrap/>
            <w:hideMark/>
          </w:tcPr>
          <w:p w14:paraId="0ACCDA7F" w14:textId="77777777" w:rsidR="00F511F4" w:rsidRPr="00B6620E" w:rsidRDefault="00F511F4" w:rsidP="001F53D9">
            <w:pPr>
              <w:spacing w:after="0" w:line="240" w:lineRule="auto"/>
              <w:rPr>
                <w:rFonts w:eastAsia="Times New Roman" w:cstheme="minorHAnsi"/>
                <w:color w:val="000000"/>
                <w:lang w:eastAsia="en-GB"/>
              </w:rPr>
            </w:pPr>
            <w:r w:rsidRPr="00B6620E">
              <w:rPr>
                <w:rFonts w:eastAsia="Times New Roman" w:cstheme="minorHAnsi"/>
                <w:color w:val="000000"/>
                <w:lang w:eastAsia="en-GB"/>
              </w:rPr>
              <w:t>665</w:t>
            </w:r>
            <w:r>
              <w:rPr>
                <w:rFonts w:eastAsia="Times New Roman" w:cstheme="minorHAnsi"/>
                <w:color w:val="000000"/>
                <w:lang w:eastAsia="en-GB"/>
              </w:rPr>
              <w:t>,</w:t>
            </w:r>
            <w:r w:rsidRPr="00B6620E">
              <w:rPr>
                <w:rFonts w:eastAsia="Times New Roman" w:cstheme="minorHAnsi"/>
                <w:color w:val="000000"/>
                <w:lang w:eastAsia="en-GB"/>
              </w:rPr>
              <w:t>172</w:t>
            </w:r>
            <w:r>
              <w:rPr>
                <w:rFonts w:eastAsia="Times New Roman" w:cstheme="minorHAnsi"/>
                <w:color w:val="000000"/>
                <w:lang w:eastAsia="en-GB"/>
              </w:rPr>
              <w:t xml:space="preserve"> (7.5%)</w:t>
            </w:r>
          </w:p>
        </w:tc>
        <w:tc>
          <w:tcPr>
            <w:tcW w:w="1984" w:type="dxa"/>
            <w:shd w:val="clear" w:color="auto" w:fill="auto"/>
            <w:noWrap/>
            <w:hideMark/>
          </w:tcPr>
          <w:p w14:paraId="6FE6F70D" w14:textId="77777777" w:rsidR="00F511F4" w:rsidRPr="00B6620E" w:rsidRDefault="00F511F4" w:rsidP="001F53D9">
            <w:pPr>
              <w:spacing w:after="0" w:line="240" w:lineRule="auto"/>
              <w:rPr>
                <w:rFonts w:eastAsia="Times New Roman" w:cstheme="minorHAnsi"/>
                <w:color w:val="000000"/>
                <w:lang w:eastAsia="en-GB"/>
              </w:rPr>
            </w:pPr>
            <w:r w:rsidRPr="00B6620E">
              <w:rPr>
                <w:rFonts w:eastAsia="Times New Roman" w:cstheme="minorHAnsi"/>
                <w:color w:val="000000"/>
                <w:lang w:eastAsia="en-GB"/>
              </w:rPr>
              <w:t>308991</w:t>
            </w:r>
            <w:r>
              <w:rPr>
                <w:rFonts w:eastAsia="Times New Roman" w:cstheme="minorHAnsi"/>
                <w:color w:val="000000"/>
                <w:lang w:eastAsia="en-GB"/>
              </w:rPr>
              <w:t xml:space="preserve"> (13.7%)</w:t>
            </w:r>
          </w:p>
        </w:tc>
        <w:tc>
          <w:tcPr>
            <w:tcW w:w="1899" w:type="dxa"/>
            <w:shd w:val="clear" w:color="auto" w:fill="auto"/>
            <w:noWrap/>
            <w:hideMark/>
          </w:tcPr>
          <w:p w14:paraId="0AA0A16A" w14:textId="77777777" w:rsidR="00F511F4" w:rsidRPr="00B6620E" w:rsidRDefault="00F511F4" w:rsidP="001F53D9">
            <w:pPr>
              <w:spacing w:after="0" w:line="240" w:lineRule="auto"/>
              <w:rPr>
                <w:rFonts w:eastAsia="Times New Roman" w:cstheme="minorHAnsi"/>
                <w:color w:val="000000"/>
                <w:lang w:eastAsia="en-GB"/>
              </w:rPr>
            </w:pPr>
            <w:r w:rsidRPr="00B6620E">
              <w:rPr>
                <w:rFonts w:eastAsia="Times New Roman" w:cstheme="minorHAnsi"/>
                <w:color w:val="000000"/>
                <w:lang w:eastAsia="en-GB"/>
              </w:rPr>
              <w:t>2</w:t>
            </w:r>
            <w:r>
              <w:rPr>
                <w:rFonts w:eastAsia="Times New Roman" w:cstheme="minorHAnsi"/>
                <w:color w:val="000000"/>
                <w:lang w:eastAsia="en-GB"/>
              </w:rPr>
              <w:t>,</w:t>
            </w:r>
            <w:r w:rsidRPr="00B6620E">
              <w:rPr>
                <w:rFonts w:eastAsia="Times New Roman" w:cstheme="minorHAnsi"/>
                <w:color w:val="000000"/>
                <w:lang w:eastAsia="en-GB"/>
              </w:rPr>
              <w:t>086</w:t>
            </w:r>
            <w:r>
              <w:rPr>
                <w:rFonts w:eastAsia="Times New Roman" w:cstheme="minorHAnsi"/>
                <w:color w:val="000000"/>
                <w:lang w:eastAsia="en-GB"/>
              </w:rPr>
              <w:t xml:space="preserve"> (18.3%)</w:t>
            </w:r>
          </w:p>
        </w:tc>
        <w:tc>
          <w:tcPr>
            <w:tcW w:w="934" w:type="dxa"/>
          </w:tcPr>
          <w:p w14:paraId="4F5D245E" w14:textId="77777777" w:rsidR="00F511F4" w:rsidRPr="00B6620E" w:rsidRDefault="00F511F4" w:rsidP="001F53D9">
            <w:pPr>
              <w:spacing w:after="0" w:line="240" w:lineRule="auto"/>
              <w:rPr>
                <w:rFonts w:eastAsia="Times New Roman" w:cstheme="minorHAnsi"/>
                <w:color w:val="000000"/>
                <w:lang w:eastAsia="en-GB"/>
              </w:rPr>
            </w:pPr>
          </w:p>
        </w:tc>
      </w:tr>
      <w:tr w:rsidR="00F511F4" w:rsidRPr="00B6620E" w14:paraId="5D37600A" w14:textId="77777777" w:rsidTr="001F53D9">
        <w:trPr>
          <w:trHeight w:val="285"/>
        </w:trPr>
        <w:tc>
          <w:tcPr>
            <w:tcW w:w="8700" w:type="dxa"/>
            <w:gridSpan w:val="4"/>
            <w:shd w:val="clear" w:color="auto" w:fill="auto"/>
            <w:noWrap/>
          </w:tcPr>
          <w:p w14:paraId="62C0775E" w14:textId="77777777" w:rsidR="00F511F4" w:rsidRPr="00E9075D" w:rsidRDefault="00F511F4" w:rsidP="001F53D9">
            <w:pPr>
              <w:spacing w:after="0" w:line="240" w:lineRule="auto"/>
              <w:rPr>
                <w:rFonts w:eastAsia="Times New Roman" w:cstheme="minorHAnsi"/>
                <w:color w:val="000000"/>
                <w:lang w:val="en-US" w:eastAsia="en-GB"/>
              </w:rPr>
            </w:pPr>
            <w:r w:rsidRPr="00E9075D">
              <w:rPr>
                <w:rFonts w:eastAsia="Times New Roman" w:cstheme="minorHAnsi"/>
                <w:color w:val="000000"/>
                <w:lang w:val="en-US" w:eastAsia="en-GB"/>
              </w:rPr>
              <w:t>Primary expected payer</w:t>
            </w:r>
          </w:p>
        </w:tc>
        <w:tc>
          <w:tcPr>
            <w:tcW w:w="934" w:type="dxa"/>
            <w:shd w:val="clear" w:color="auto" w:fill="auto"/>
          </w:tcPr>
          <w:p w14:paraId="0CB02991" w14:textId="77777777" w:rsidR="00F511F4" w:rsidRPr="00E9075D" w:rsidRDefault="00F511F4" w:rsidP="001F53D9">
            <w:pPr>
              <w:spacing w:after="0" w:line="240" w:lineRule="auto"/>
              <w:rPr>
                <w:rFonts w:eastAsia="Times New Roman" w:cstheme="minorHAnsi"/>
                <w:color w:val="000000"/>
                <w:lang w:val="en-US" w:eastAsia="en-GB"/>
              </w:rPr>
            </w:pPr>
            <w:r>
              <w:rPr>
                <w:rFonts w:eastAsia="Times New Roman" w:cstheme="minorHAnsi"/>
                <w:color w:val="000000"/>
                <w:lang w:eastAsia="en-GB"/>
              </w:rPr>
              <w:t>&lt;0.001</w:t>
            </w:r>
          </w:p>
        </w:tc>
      </w:tr>
      <w:tr w:rsidR="00F511F4" w:rsidRPr="00B6620E" w14:paraId="3300D17E" w14:textId="77777777" w:rsidTr="001F53D9">
        <w:trPr>
          <w:trHeight w:val="285"/>
        </w:trPr>
        <w:tc>
          <w:tcPr>
            <w:tcW w:w="2689" w:type="dxa"/>
            <w:shd w:val="clear" w:color="auto" w:fill="auto"/>
            <w:noWrap/>
            <w:hideMark/>
          </w:tcPr>
          <w:p w14:paraId="306C3A99" w14:textId="77777777" w:rsidR="00F511F4" w:rsidRPr="00B6620E" w:rsidRDefault="00F511F4" w:rsidP="001F53D9">
            <w:pPr>
              <w:spacing w:after="0" w:line="240" w:lineRule="auto"/>
              <w:rPr>
                <w:rFonts w:eastAsia="Times New Roman" w:cstheme="minorHAnsi"/>
                <w:color w:val="000000"/>
                <w:lang w:eastAsia="en-GB"/>
              </w:rPr>
            </w:pPr>
            <w:r w:rsidRPr="00B6620E">
              <w:rPr>
                <w:rFonts w:eastAsia="Times New Roman" w:cstheme="minorHAnsi"/>
                <w:color w:val="000000"/>
                <w:lang w:val="en-US" w:eastAsia="en-GB"/>
              </w:rPr>
              <w:t>Medicare</w:t>
            </w:r>
          </w:p>
        </w:tc>
        <w:tc>
          <w:tcPr>
            <w:tcW w:w="2128" w:type="dxa"/>
            <w:shd w:val="clear" w:color="auto" w:fill="auto"/>
            <w:noWrap/>
            <w:hideMark/>
          </w:tcPr>
          <w:p w14:paraId="4310C6B0" w14:textId="77777777" w:rsidR="00F511F4" w:rsidRPr="00B6620E" w:rsidRDefault="00F511F4" w:rsidP="001F53D9">
            <w:pPr>
              <w:spacing w:after="0" w:line="240" w:lineRule="auto"/>
              <w:rPr>
                <w:rFonts w:eastAsia="Times New Roman" w:cstheme="minorHAnsi"/>
                <w:color w:val="000000"/>
                <w:lang w:eastAsia="en-GB"/>
              </w:rPr>
            </w:pPr>
            <w:r w:rsidRPr="00B6620E">
              <w:rPr>
                <w:rFonts w:eastAsia="Times New Roman" w:cstheme="minorHAnsi"/>
                <w:color w:val="000000"/>
                <w:lang w:eastAsia="en-GB"/>
              </w:rPr>
              <w:t>6</w:t>
            </w:r>
            <w:r>
              <w:rPr>
                <w:rFonts w:eastAsia="Times New Roman" w:cstheme="minorHAnsi"/>
                <w:color w:val="000000"/>
                <w:lang w:eastAsia="en-GB"/>
              </w:rPr>
              <w:t>,</w:t>
            </w:r>
            <w:r w:rsidRPr="00B6620E">
              <w:rPr>
                <w:rFonts w:eastAsia="Times New Roman" w:cstheme="minorHAnsi"/>
                <w:color w:val="000000"/>
                <w:lang w:eastAsia="en-GB"/>
              </w:rPr>
              <w:t>805</w:t>
            </w:r>
            <w:r>
              <w:rPr>
                <w:rFonts w:eastAsia="Times New Roman" w:cstheme="minorHAnsi"/>
                <w:color w:val="000000"/>
                <w:lang w:eastAsia="en-GB"/>
              </w:rPr>
              <w:t>,</w:t>
            </w:r>
            <w:r w:rsidRPr="00B6620E">
              <w:rPr>
                <w:rFonts w:eastAsia="Times New Roman" w:cstheme="minorHAnsi"/>
                <w:color w:val="000000"/>
                <w:lang w:eastAsia="en-GB"/>
              </w:rPr>
              <w:t>798</w:t>
            </w:r>
            <w:r>
              <w:rPr>
                <w:rFonts w:eastAsia="Times New Roman" w:cstheme="minorHAnsi"/>
                <w:color w:val="000000"/>
                <w:lang w:eastAsia="en-GB"/>
              </w:rPr>
              <w:t xml:space="preserve"> (73.3%)</w:t>
            </w:r>
          </w:p>
        </w:tc>
        <w:tc>
          <w:tcPr>
            <w:tcW w:w="1984" w:type="dxa"/>
            <w:shd w:val="clear" w:color="auto" w:fill="auto"/>
            <w:noWrap/>
            <w:hideMark/>
          </w:tcPr>
          <w:p w14:paraId="75A3363C" w14:textId="77777777" w:rsidR="00F511F4" w:rsidRPr="00B6620E" w:rsidRDefault="00F511F4" w:rsidP="001F53D9">
            <w:pPr>
              <w:spacing w:after="0" w:line="240" w:lineRule="auto"/>
              <w:rPr>
                <w:rFonts w:eastAsia="Times New Roman" w:cstheme="minorHAnsi"/>
                <w:color w:val="000000"/>
                <w:lang w:eastAsia="en-GB"/>
              </w:rPr>
            </w:pPr>
            <w:r w:rsidRPr="00B6620E">
              <w:rPr>
                <w:rFonts w:eastAsia="Times New Roman" w:cstheme="minorHAnsi"/>
                <w:color w:val="000000"/>
                <w:lang w:eastAsia="en-GB"/>
              </w:rPr>
              <w:t>1</w:t>
            </w:r>
            <w:r>
              <w:rPr>
                <w:rFonts w:eastAsia="Times New Roman" w:cstheme="minorHAnsi"/>
                <w:color w:val="000000"/>
                <w:lang w:eastAsia="en-GB"/>
              </w:rPr>
              <w:t>,</w:t>
            </w:r>
            <w:r w:rsidRPr="00B6620E">
              <w:rPr>
                <w:rFonts w:eastAsia="Times New Roman" w:cstheme="minorHAnsi"/>
                <w:color w:val="000000"/>
                <w:lang w:eastAsia="en-GB"/>
              </w:rPr>
              <w:t>879</w:t>
            </w:r>
            <w:r>
              <w:rPr>
                <w:rFonts w:eastAsia="Times New Roman" w:cstheme="minorHAnsi"/>
                <w:color w:val="000000"/>
                <w:lang w:eastAsia="en-GB"/>
              </w:rPr>
              <w:t>,</w:t>
            </w:r>
            <w:r w:rsidRPr="00B6620E">
              <w:rPr>
                <w:rFonts w:eastAsia="Times New Roman" w:cstheme="minorHAnsi"/>
                <w:color w:val="000000"/>
                <w:lang w:eastAsia="en-GB"/>
              </w:rPr>
              <w:t>679</w:t>
            </w:r>
            <w:r>
              <w:rPr>
                <w:rFonts w:eastAsia="Times New Roman" w:cstheme="minorHAnsi"/>
                <w:color w:val="000000"/>
                <w:lang w:eastAsia="en-GB"/>
              </w:rPr>
              <w:t xml:space="preserve"> (81.3%)</w:t>
            </w:r>
          </w:p>
        </w:tc>
        <w:tc>
          <w:tcPr>
            <w:tcW w:w="1899" w:type="dxa"/>
            <w:shd w:val="clear" w:color="auto" w:fill="auto"/>
            <w:noWrap/>
            <w:hideMark/>
          </w:tcPr>
          <w:p w14:paraId="11649602" w14:textId="77777777" w:rsidR="00F511F4" w:rsidRPr="00B6620E" w:rsidRDefault="00F511F4" w:rsidP="001F53D9">
            <w:pPr>
              <w:spacing w:after="0" w:line="240" w:lineRule="auto"/>
              <w:rPr>
                <w:rFonts w:eastAsia="Times New Roman" w:cstheme="minorHAnsi"/>
                <w:color w:val="000000"/>
                <w:lang w:eastAsia="en-GB"/>
              </w:rPr>
            </w:pPr>
            <w:r w:rsidRPr="00B6620E">
              <w:rPr>
                <w:rFonts w:eastAsia="Times New Roman" w:cstheme="minorHAnsi"/>
                <w:color w:val="000000"/>
                <w:lang w:eastAsia="en-GB"/>
              </w:rPr>
              <w:t>10</w:t>
            </w:r>
            <w:r>
              <w:rPr>
                <w:rFonts w:eastAsia="Times New Roman" w:cstheme="minorHAnsi"/>
                <w:color w:val="000000"/>
                <w:lang w:eastAsia="en-GB"/>
              </w:rPr>
              <w:t>,</w:t>
            </w:r>
            <w:r w:rsidRPr="00B6620E">
              <w:rPr>
                <w:rFonts w:eastAsia="Times New Roman" w:cstheme="minorHAnsi"/>
                <w:color w:val="000000"/>
                <w:lang w:eastAsia="en-GB"/>
              </w:rPr>
              <w:t>162</w:t>
            </w:r>
            <w:r>
              <w:rPr>
                <w:rFonts w:eastAsia="Times New Roman" w:cstheme="minorHAnsi"/>
                <w:color w:val="000000"/>
                <w:lang w:eastAsia="en-GB"/>
              </w:rPr>
              <w:t xml:space="preserve"> (88.3%)</w:t>
            </w:r>
          </w:p>
        </w:tc>
        <w:tc>
          <w:tcPr>
            <w:tcW w:w="934" w:type="dxa"/>
          </w:tcPr>
          <w:p w14:paraId="5ADB8817" w14:textId="77777777" w:rsidR="00F511F4" w:rsidRPr="00B6620E" w:rsidRDefault="00F511F4" w:rsidP="001F53D9">
            <w:pPr>
              <w:spacing w:after="0" w:line="240" w:lineRule="auto"/>
              <w:rPr>
                <w:rFonts w:eastAsia="Times New Roman" w:cstheme="minorHAnsi"/>
                <w:color w:val="000000"/>
                <w:lang w:eastAsia="en-GB"/>
              </w:rPr>
            </w:pPr>
          </w:p>
        </w:tc>
      </w:tr>
      <w:tr w:rsidR="00F511F4" w:rsidRPr="00B6620E" w14:paraId="2BF8BD99" w14:textId="77777777" w:rsidTr="001F53D9">
        <w:trPr>
          <w:trHeight w:val="285"/>
        </w:trPr>
        <w:tc>
          <w:tcPr>
            <w:tcW w:w="2689" w:type="dxa"/>
            <w:shd w:val="clear" w:color="auto" w:fill="auto"/>
            <w:noWrap/>
            <w:hideMark/>
          </w:tcPr>
          <w:p w14:paraId="4171A145" w14:textId="77777777" w:rsidR="00F511F4" w:rsidRPr="00B6620E" w:rsidRDefault="00F511F4" w:rsidP="001F53D9">
            <w:pPr>
              <w:spacing w:after="0" w:line="240" w:lineRule="auto"/>
              <w:rPr>
                <w:rFonts w:eastAsia="Times New Roman" w:cstheme="minorHAnsi"/>
                <w:color w:val="000000"/>
                <w:lang w:eastAsia="en-GB"/>
              </w:rPr>
            </w:pPr>
            <w:r w:rsidRPr="00B6620E">
              <w:rPr>
                <w:rFonts w:eastAsia="Times New Roman" w:cstheme="minorHAnsi"/>
                <w:color w:val="000000"/>
                <w:lang w:val="en-US" w:eastAsia="en-GB"/>
              </w:rPr>
              <w:t>Medicaid</w:t>
            </w:r>
          </w:p>
        </w:tc>
        <w:tc>
          <w:tcPr>
            <w:tcW w:w="2128" w:type="dxa"/>
            <w:shd w:val="clear" w:color="auto" w:fill="auto"/>
            <w:noWrap/>
            <w:hideMark/>
          </w:tcPr>
          <w:p w14:paraId="3F44AD62" w14:textId="77777777" w:rsidR="00F511F4" w:rsidRPr="00B6620E" w:rsidRDefault="00F511F4" w:rsidP="001F53D9">
            <w:pPr>
              <w:spacing w:after="0" w:line="240" w:lineRule="auto"/>
              <w:rPr>
                <w:rFonts w:eastAsia="Times New Roman" w:cstheme="minorHAnsi"/>
                <w:color w:val="000000"/>
                <w:lang w:eastAsia="en-GB"/>
              </w:rPr>
            </w:pPr>
            <w:r w:rsidRPr="00B6620E">
              <w:rPr>
                <w:rFonts w:eastAsia="Times New Roman" w:cstheme="minorHAnsi"/>
                <w:color w:val="000000"/>
                <w:lang w:eastAsia="en-GB"/>
              </w:rPr>
              <w:t>761</w:t>
            </w:r>
            <w:r>
              <w:rPr>
                <w:rFonts w:eastAsia="Times New Roman" w:cstheme="minorHAnsi"/>
                <w:color w:val="000000"/>
                <w:lang w:eastAsia="en-GB"/>
              </w:rPr>
              <w:t>,</w:t>
            </w:r>
            <w:r w:rsidRPr="00B6620E">
              <w:rPr>
                <w:rFonts w:eastAsia="Times New Roman" w:cstheme="minorHAnsi"/>
                <w:color w:val="000000"/>
                <w:lang w:eastAsia="en-GB"/>
              </w:rPr>
              <w:t>442</w:t>
            </w:r>
            <w:r>
              <w:rPr>
                <w:rFonts w:eastAsia="Times New Roman" w:cstheme="minorHAnsi"/>
                <w:color w:val="000000"/>
                <w:lang w:eastAsia="en-GB"/>
              </w:rPr>
              <w:t xml:space="preserve"> (8.2%)</w:t>
            </w:r>
          </w:p>
        </w:tc>
        <w:tc>
          <w:tcPr>
            <w:tcW w:w="1984" w:type="dxa"/>
            <w:shd w:val="clear" w:color="auto" w:fill="auto"/>
            <w:noWrap/>
            <w:hideMark/>
          </w:tcPr>
          <w:p w14:paraId="48BC4FDC" w14:textId="77777777" w:rsidR="00F511F4" w:rsidRPr="00B6620E" w:rsidRDefault="00F511F4" w:rsidP="001F53D9">
            <w:pPr>
              <w:spacing w:after="0" w:line="240" w:lineRule="auto"/>
              <w:rPr>
                <w:rFonts w:eastAsia="Times New Roman" w:cstheme="minorHAnsi"/>
                <w:color w:val="000000"/>
                <w:lang w:eastAsia="en-GB"/>
              </w:rPr>
            </w:pPr>
            <w:r w:rsidRPr="00B6620E">
              <w:rPr>
                <w:rFonts w:eastAsia="Times New Roman" w:cstheme="minorHAnsi"/>
                <w:color w:val="000000"/>
                <w:lang w:eastAsia="en-GB"/>
              </w:rPr>
              <w:t>143</w:t>
            </w:r>
            <w:r>
              <w:rPr>
                <w:rFonts w:eastAsia="Times New Roman" w:cstheme="minorHAnsi"/>
                <w:color w:val="000000"/>
                <w:lang w:eastAsia="en-GB"/>
              </w:rPr>
              <w:t>,</w:t>
            </w:r>
            <w:r w:rsidRPr="00B6620E">
              <w:rPr>
                <w:rFonts w:eastAsia="Times New Roman" w:cstheme="minorHAnsi"/>
                <w:color w:val="000000"/>
                <w:lang w:eastAsia="en-GB"/>
              </w:rPr>
              <w:t>417</w:t>
            </w:r>
            <w:r>
              <w:rPr>
                <w:rFonts w:eastAsia="Times New Roman" w:cstheme="minorHAnsi"/>
                <w:color w:val="000000"/>
                <w:lang w:eastAsia="en-GB"/>
              </w:rPr>
              <w:t xml:space="preserve"> (6.2%)</w:t>
            </w:r>
          </w:p>
        </w:tc>
        <w:tc>
          <w:tcPr>
            <w:tcW w:w="1899" w:type="dxa"/>
            <w:shd w:val="clear" w:color="auto" w:fill="auto"/>
            <w:noWrap/>
            <w:hideMark/>
          </w:tcPr>
          <w:p w14:paraId="7B507ACB" w14:textId="77777777" w:rsidR="00F511F4" w:rsidRPr="00B6620E" w:rsidRDefault="00F511F4" w:rsidP="001F53D9">
            <w:pPr>
              <w:spacing w:after="0" w:line="240" w:lineRule="auto"/>
              <w:rPr>
                <w:rFonts w:eastAsia="Times New Roman" w:cstheme="minorHAnsi"/>
                <w:color w:val="000000"/>
                <w:lang w:eastAsia="en-GB"/>
              </w:rPr>
            </w:pPr>
            <w:r w:rsidRPr="00B6620E">
              <w:rPr>
                <w:rFonts w:eastAsia="Times New Roman" w:cstheme="minorHAnsi"/>
                <w:color w:val="000000"/>
                <w:lang w:eastAsia="en-GB"/>
              </w:rPr>
              <w:t>435</w:t>
            </w:r>
            <w:r>
              <w:rPr>
                <w:rFonts w:eastAsia="Times New Roman" w:cstheme="minorHAnsi"/>
                <w:color w:val="000000"/>
                <w:lang w:eastAsia="en-GB"/>
              </w:rPr>
              <w:t xml:space="preserve"> (3.8%) </w:t>
            </w:r>
          </w:p>
        </w:tc>
        <w:tc>
          <w:tcPr>
            <w:tcW w:w="934" w:type="dxa"/>
          </w:tcPr>
          <w:p w14:paraId="5983AFB6" w14:textId="77777777" w:rsidR="00F511F4" w:rsidRPr="00B6620E" w:rsidRDefault="00F511F4" w:rsidP="001F53D9">
            <w:pPr>
              <w:spacing w:after="0" w:line="240" w:lineRule="auto"/>
              <w:rPr>
                <w:rFonts w:eastAsia="Times New Roman" w:cstheme="minorHAnsi"/>
                <w:color w:val="000000"/>
                <w:lang w:eastAsia="en-GB"/>
              </w:rPr>
            </w:pPr>
          </w:p>
        </w:tc>
      </w:tr>
      <w:tr w:rsidR="00F511F4" w:rsidRPr="00B6620E" w14:paraId="59AADB44" w14:textId="77777777" w:rsidTr="001F53D9">
        <w:trPr>
          <w:trHeight w:val="285"/>
        </w:trPr>
        <w:tc>
          <w:tcPr>
            <w:tcW w:w="2689" w:type="dxa"/>
            <w:shd w:val="clear" w:color="auto" w:fill="auto"/>
            <w:noWrap/>
            <w:hideMark/>
          </w:tcPr>
          <w:p w14:paraId="008E6051" w14:textId="77777777" w:rsidR="00F511F4" w:rsidRPr="00B6620E" w:rsidRDefault="00F511F4" w:rsidP="001F53D9">
            <w:pPr>
              <w:spacing w:after="0" w:line="240" w:lineRule="auto"/>
              <w:rPr>
                <w:rFonts w:eastAsia="Times New Roman" w:cstheme="minorHAnsi"/>
                <w:color w:val="000000"/>
                <w:lang w:eastAsia="en-GB"/>
              </w:rPr>
            </w:pPr>
            <w:r w:rsidRPr="00B6620E">
              <w:rPr>
                <w:rFonts w:eastAsia="Times New Roman" w:cstheme="minorHAnsi"/>
                <w:color w:val="000000"/>
                <w:lang w:val="en-US" w:eastAsia="en-GB"/>
              </w:rPr>
              <w:t>Private insurance</w:t>
            </w:r>
          </w:p>
        </w:tc>
        <w:tc>
          <w:tcPr>
            <w:tcW w:w="2128" w:type="dxa"/>
            <w:shd w:val="clear" w:color="auto" w:fill="auto"/>
            <w:noWrap/>
            <w:hideMark/>
          </w:tcPr>
          <w:p w14:paraId="7111ACB5" w14:textId="77777777" w:rsidR="00F511F4" w:rsidRPr="00B6620E" w:rsidRDefault="00F511F4" w:rsidP="001F53D9">
            <w:pPr>
              <w:spacing w:after="0" w:line="240" w:lineRule="auto"/>
              <w:rPr>
                <w:rFonts w:eastAsia="Times New Roman" w:cstheme="minorHAnsi"/>
                <w:color w:val="000000"/>
                <w:lang w:eastAsia="en-GB"/>
              </w:rPr>
            </w:pPr>
            <w:r w:rsidRPr="00B6620E">
              <w:rPr>
                <w:rFonts w:eastAsia="Times New Roman" w:cstheme="minorHAnsi"/>
                <w:color w:val="000000"/>
                <w:lang w:eastAsia="en-GB"/>
              </w:rPr>
              <w:t>1</w:t>
            </w:r>
            <w:r>
              <w:rPr>
                <w:rFonts w:eastAsia="Times New Roman" w:cstheme="minorHAnsi"/>
                <w:color w:val="000000"/>
                <w:lang w:eastAsia="en-GB"/>
              </w:rPr>
              <w:t>,</w:t>
            </w:r>
            <w:r w:rsidRPr="00B6620E">
              <w:rPr>
                <w:rFonts w:eastAsia="Times New Roman" w:cstheme="minorHAnsi"/>
                <w:color w:val="000000"/>
                <w:lang w:eastAsia="en-GB"/>
              </w:rPr>
              <w:t>189</w:t>
            </w:r>
            <w:r>
              <w:rPr>
                <w:rFonts w:eastAsia="Times New Roman" w:cstheme="minorHAnsi"/>
                <w:color w:val="000000"/>
                <w:lang w:eastAsia="en-GB"/>
              </w:rPr>
              <w:t>,</w:t>
            </w:r>
            <w:r w:rsidRPr="00B6620E">
              <w:rPr>
                <w:rFonts w:eastAsia="Times New Roman" w:cstheme="minorHAnsi"/>
                <w:color w:val="000000"/>
                <w:lang w:eastAsia="en-GB"/>
              </w:rPr>
              <w:t>804</w:t>
            </w:r>
            <w:r>
              <w:rPr>
                <w:rFonts w:eastAsia="Times New Roman" w:cstheme="minorHAnsi"/>
                <w:color w:val="000000"/>
                <w:lang w:eastAsia="en-GB"/>
              </w:rPr>
              <w:t xml:space="preserve"> (12.8%)</w:t>
            </w:r>
          </w:p>
        </w:tc>
        <w:tc>
          <w:tcPr>
            <w:tcW w:w="1984" w:type="dxa"/>
            <w:shd w:val="clear" w:color="auto" w:fill="auto"/>
            <w:noWrap/>
            <w:hideMark/>
          </w:tcPr>
          <w:p w14:paraId="4E1B9F2E" w14:textId="77777777" w:rsidR="00F511F4" w:rsidRPr="00B6620E" w:rsidRDefault="00F511F4" w:rsidP="001F53D9">
            <w:pPr>
              <w:spacing w:after="0" w:line="240" w:lineRule="auto"/>
              <w:rPr>
                <w:rFonts w:eastAsia="Times New Roman" w:cstheme="minorHAnsi"/>
                <w:color w:val="000000"/>
                <w:lang w:eastAsia="en-GB"/>
              </w:rPr>
            </w:pPr>
            <w:r w:rsidRPr="00B6620E">
              <w:rPr>
                <w:rFonts w:eastAsia="Times New Roman" w:cstheme="minorHAnsi"/>
                <w:color w:val="000000"/>
                <w:lang w:eastAsia="en-GB"/>
              </w:rPr>
              <w:t>213</w:t>
            </w:r>
            <w:r>
              <w:rPr>
                <w:rFonts w:eastAsia="Times New Roman" w:cstheme="minorHAnsi"/>
                <w:color w:val="000000"/>
                <w:lang w:eastAsia="en-GB"/>
              </w:rPr>
              <w:t>,</w:t>
            </w:r>
            <w:r w:rsidRPr="00B6620E">
              <w:rPr>
                <w:rFonts w:eastAsia="Times New Roman" w:cstheme="minorHAnsi"/>
                <w:color w:val="000000"/>
                <w:lang w:eastAsia="en-GB"/>
              </w:rPr>
              <w:t>027</w:t>
            </w:r>
            <w:r>
              <w:rPr>
                <w:rFonts w:eastAsia="Times New Roman" w:cstheme="minorHAnsi"/>
                <w:color w:val="000000"/>
                <w:lang w:eastAsia="en-GB"/>
              </w:rPr>
              <w:t xml:space="preserve"> (9.2%)</w:t>
            </w:r>
          </w:p>
        </w:tc>
        <w:tc>
          <w:tcPr>
            <w:tcW w:w="1899" w:type="dxa"/>
            <w:shd w:val="clear" w:color="auto" w:fill="auto"/>
            <w:noWrap/>
            <w:hideMark/>
          </w:tcPr>
          <w:p w14:paraId="14B67DA8" w14:textId="77777777" w:rsidR="00F511F4" w:rsidRPr="00B6620E" w:rsidRDefault="00F511F4" w:rsidP="001F53D9">
            <w:pPr>
              <w:spacing w:after="0" w:line="240" w:lineRule="auto"/>
              <w:rPr>
                <w:rFonts w:eastAsia="Times New Roman" w:cstheme="minorHAnsi"/>
                <w:color w:val="000000"/>
                <w:lang w:eastAsia="en-GB"/>
              </w:rPr>
            </w:pPr>
            <w:r w:rsidRPr="00B6620E">
              <w:rPr>
                <w:rFonts w:eastAsia="Times New Roman" w:cstheme="minorHAnsi"/>
                <w:color w:val="000000"/>
                <w:lang w:eastAsia="en-GB"/>
              </w:rPr>
              <w:t>731</w:t>
            </w:r>
            <w:r>
              <w:rPr>
                <w:rFonts w:eastAsia="Times New Roman" w:cstheme="minorHAnsi"/>
                <w:color w:val="000000"/>
                <w:lang w:eastAsia="en-GB"/>
              </w:rPr>
              <w:t xml:space="preserve"> (6.4%)</w:t>
            </w:r>
          </w:p>
        </w:tc>
        <w:tc>
          <w:tcPr>
            <w:tcW w:w="934" w:type="dxa"/>
          </w:tcPr>
          <w:p w14:paraId="37FF569F" w14:textId="77777777" w:rsidR="00F511F4" w:rsidRPr="00B6620E" w:rsidRDefault="00F511F4" w:rsidP="001F53D9">
            <w:pPr>
              <w:spacing w:after="0" w:line="240" w:lineRule="auto"/>
              <w:rPr>
                <w:rFonts w:eastAsia="Times New Roman" w:cstheme="minorHAnsi"/>
                <w:color w:val="000000"/>
                <w:lang w:eastAsia="en-GB"/>
              </w:rPr>
            </w:pPr>
          </w:p>
        </w:tc>
      </w:tr>
      <w:tr w:rsidR="00F511F4" w:rsidRPr="00B6620E" w14:paraId="1C47889E" w14:textId="77777777" w:rsidTr="001F53D9">
        <w:trPr>
          <w:trHeight w:val="285"/>
        </w:trPr>
        <w:tc>
          <w:tcPr>
            <w:tcW w:w="2689" w:type="dxa"/>
            <w:shd w:val="clear" w:color="auto" w:fill="auto"/>
            <w:noWrap/>
            <w:hideMark/>
          </w:tcPr>
          <w:p w14:paraId="0AAAA0D0" w14:textId="77777777" w:rsidR="00F511F4" w:rsidRPr="00B6620E" w:rsidRDefault="00F511F4" w:rsidP="001F53D9">
            <w:pPr>
              <w:spacing w:after="0" w:line="240" w:lineRule="auto"/>
              <w:rPr>
                <w:rFonts w:eastAsia="Times New Roman" w:cstheme="minorHAnsi"/>
                <w:color w:val="000000"/>
                <w:lang w:eastAsia="en-GB"/>
              </w:rPr>
            </w:pPr>
            <w:r w:rsidRPr="00B6620E">
              <w:rPr>
                <w:rFonts w:eastAsia="Times New Roman" w:cstheme="minorHAnsi"/>
                <w:color w:val="000000"/>
                <w:lang w:val="en-US" w:eastAsia="en-GB"/>
              </w:rPr>
              <w:t>Self-pay</w:t>
            </w:r>
          </w:p>
        </w:tc>
        <w:tc>
          <w:tcPr>
            <w:tcW w:w="2128" w:type="dxa"/>
            <w:shd w:val="clear" w:color="auto" w:fill="auto"/>
            <w:noWrap/>
            <w:hideMark/>
          </w:tcPr>
          <w:p w14:paraId="4EE80E9F" w14:textId="77777777" w:rsidR="00F511F4" w:rsidRPr="00B6620E" w:rsidRDefault="00F511F4" w:rsidP="001F53D9">
            <w:pPr>
              <w:spacing w:after="0" w:line="240" w:lineRule="auto"/>
              <w:rPr>
                <w:rFonts w:eastAsia="Times New Roman" w:cstheme="minorHAnsi"/>
                <w:color w:val="000000"/>
                <w:lang w:eastAsia="en-GB"/>
              </w:rPr>
            </w:pPr>
            <w:r w:rsidRPr="00B6620E">
              <w:rPr>
                <w:rFonts w:eastAsia="Times New Roman" w:cstheme="minorHAnsi"/>
                <w:color w:val="000000"/>
                <w:lang w:eastAsia="en-GB"/>
              </w:rPr>
              <w:t>327</w:t>
            </w:r>
            <w:r>
              <w:rPr>
                <w:rFonts w:eastAsia="Times New Roman" w:cstheme="minorHAnsi"/>
                <w:color w:val="000000"/>
                <w:lang w:eastAsia="en-GB"/>
              </w:rPr>
              <w:t>,</w:t>
            </w:r>
            <w:r w:rsidRPr="00B6620E">
              <w:rPr>
                <w:rFonts w:eastAsia="Times New Roman" w:cstheme="minorHAnsi"/>
                <w:color w:val="000000"/>
                <w:lang w:eastAsia="en-GB"/>
              </w:rPr>
              <w:t>278</w:t>
            </w:r>
            <w:r>
              <w:rPr>
                <w:rFonts w:eastAsia="Times New Roman" w:cstheme="minorHAnsi"/>
                <w:color w:val="000000"/>
                <w:lang w:eastAsia="en-GB"/>
              </w:rPr>
              <w:t xml:space="preserve"> (3.5%)</w:t>
            </w:r>
          </w:p>
        </w:tc>
        <w:tc>
          <w:tcPr>
            <w:tcW w:w="1984" w:type="dxa"/>
            <w:shd w:val="clear" w:color="auto" w:fill="auto"/>
            <w:noWrap/>
            <w:hideMark/>
          </w:tcPr>
          <w:p w14:paraId="3785D968" w14:textId="77777777" w:rsidR="00F511F4" w:rsidRPr="00B6620E" w:rsidRDefault="00F511F4" w:rsidP="001F53D9">
            <w:pPr>
              <w:spacing w:after="0" w:line="240" w:lineRule="auto"/>
              <w:rPr>
                <w:rFonts w:eastAsia="Times New Roman" w:cstheme="minorHAnsi"/>
                <w:color w:val="000000"/>
                <w:lang w:eastAsia="en-GB"/>
              </w:rPr>
            </w:pPr>
            <w:r w:rsidRPr="00B6620E">
              <w:rPr>
                <w:rFonts w:eastAsia="Times New Roman" w:cstheme="minorHAnsi"/>
                <w:color w:val="000000"/>
                <w:lang w:eastAsia="en-GB"/>
              </w:rPr>
              <w:t>41</w:t>
            </w:r>
            <w:r>
              <w:rPr>
                <w:rFonts w:eastAsia="Times New Roman" w:cstheme="minorHAnsi"/>
                <w:color w:val="000000"/>
                <w:lang w:eastAsia="en-GB"/>
              </w:rPr>
              <w:t>,</w:t>
            </w:r>
            <w:r w:rsidRPr="00B6620E">
              <w:rPr>
                <w:rFonts w:eastAsia="Times New Roman" w:cstheme="minorHAnsi"/>
                <w:color w:val="000000"/>
                <w:lang w:eastAsia="en-GB"/>
              </w:rPr>
              <w:t>305</w:t>
            </w:r>
            <w:r>
              <w:rPr>
                <w:rFonts w:eastAsia="Times New Roman" w:cstheme="minorHAnsi"/>
                <w:color w:val="000000"/>
                <w:lang w:eastAsia="en-GB"/>
              </w:rPr>
              <w:t xml:space="preserve"> (1.8%)</w:t>
            </w:r>
          </w:p>
        </w:tc>
        <w:tc>
          <w:tcPr>
            <w:tcW w:w="1899" w:type="dxa"/>
            <w:shd w:val="clear" w:color="auto" w:fill="auto"/>
            <w:noWrap/>
            <w:hideMark/>
          </w:tcPr>
          <w:p w14:paraId="24F236FC" w14:textId="77777777" w:rsidR="00F511F4" w:rsidRPr="00B6620E" w:rsidRDefault="00F511F4" w:rsidP="001F53D9">
            <w:pPr>
              <w:spacing w:after="0" w:line="240" w:lineRule="auto"/>
              <w:rPr>
                <w:rFonts w:eastAsia="Times New Roman" w:cstheme="minorHAnsi"/>
                <w:color w:val="000000"/>
                <w:lang w:eastAsia="en-GB"/>
              </w:rPr>
            </w:pPr>
            <w:r w:rsidRPr="00B6620E">
              <w:rPr>
                <w:rFonts w:eastAsia="Times New Roman" w:cstheme="minorHAnsi"/>
                <w:color w:val="000000"/>
                <w:lang w:eastAsia="en-GB"/>
              </w:rPr>
              <w:t>84</w:t>
            </w:r>
            <w:r>
              <w:rPr>
                <w:rFonts w:eastAsia="Times New Roman" w:cstheme="minorHAnsi"/>
                <w:color w:val="000000"/>
                <w:lang w:eastAsia="en-GB"/>
              </w:rPr>
              <w:t xml:space="preserve"> (0.7%)</w:t>
            </w:r>
          </w:p>
        </w:tc>
        <w:tc>
          <w:tcPr>
            <w:tcW w:w="934" w:type="dxa"/>
          </w:tcPr>
          <w:p w14:paraId="7B3430F8" w14:textId="77777777" w:rsidR="00F511F4" w:rsidRPr="00B6620E" w:rsidRDefault="00F511F4" w:rsidP="001F53D9">
            <w:pPr>
              <w:spacing w:after="0" w:line="240" w:lineRule="auto"/>
              <w:rPr>
                <w:rFonts w:eastAsia="Times New Roman" w:cstheme="minorHAnsi"/>
                <w:color w:val="000000"/>
                <w:lang w:eastAsia="en-GB"/>
              </w:rPr>
            </w:pPr>
          </w:p>
        </w:tc>
      </w:tr>
      <w:tr w:rsidR="00F511F4" w:rsidRPr="00B6620E" w14:paraId="2D8E5858" w14:textId="77777777" w:rsidTr="001F53D9">
        <w:trPr>
          <w:trHeight w:val="285"/>
        </w:trPr>
        <w:tc>
          <w:tcPr>
            <w:tcW w:w="2689" w:type="dxa"/>
            <w:shd w:val="clear" w:color="auto" w:fill="auto"/>
            <w:noWrap/>
            <w:hideMark/>
          </w:tcPr>
          <w:p w14:paraId="7F50C5E0" w14:textId="77777777" w:rsidR="00F511F4" w:rsidRPr="00B6620E" w:rsidRDefault="00F511F4" w:rsidP="001F53D9">
            <w:pPr>
              <w:spacing w:after="0" w:line="240" w:lineRule="auto"/>
              <w:rPr>
                <w:rFonts w:eastAsia="Times New Roman" w:cstheme="minorHAnsi"/>
                <w:color w:val="000000"/>
                <w:lang w:eastAsia="en-GB"/>
              </w:rPr>
            </w:pPr>
            <w:r w:rsidRPr="00B6620E">
              <w:rPr>
                <w:rFonts w:eastAsia="Times New Roman" w:cstheme="minorHAnsi"/>
                <w:color w:val="000000"/>
                <w:lang w:val="en-US" w:eastAsia="en-GB"/>
              </w:rPr>
              <w:t>No charge</w:t>
            </w:r>
          </w:p>
        </w:tc>
        <w:tc>
          <w:tcPr>
            <w:tcW w:w="2128" w:type="dxa"/>
            <w:shd w:val="clear" w:color="auto" w:fill="auto"/>
            <w:noWrap/>
            <w:hideMark/>
          </w:tcPr>
          <w:p w14:paraId="58C41038" w14:textId="77777777" w:rsidR="00F511F4" w:rsidRPr="00B6620E" w:rsidRDefault="00F511F4" w:rsidP="001F53D9">
            <w:pPr>
              <w:spacing w:after="0" w:line="240" w:lineRule="auto"/>
              <w:rPr>
                <w:rFonts w:eastAsia="Times New Roman" w:cstheme="minorHAnsi"/>
                <w:color w:val="000000"/>
                <w:lang w:eastAsia="en-GB"/>
              </w:rPr>
            </w:pPr>
            <w:r w:rsidRPr="00B6620E">
              <w:rPr>
                <w:rFonts w:eastAsia="Times New Roman" w:cstheme="minorHAnsi"/>
                <w:color w:val="000000"/>
                <w:lang w:eastAsia="en-GB"/>
              </w:rPr>
              <w:t>33</w:t>
            </w:r>
            <w:r>
              <w:rPr>
                <w:rFonts w:eastAsia="Times New Roman" w:cstheme="minorHAnsi"/>
                <w:color w:val="000000"/>
                <w:lang w:eastAsia="en-GB"/>
              </w:rPr>
              <w:t>,</w:t>
            </w:r>
            <w:r w:rsidRPr="00B6620E">
              <w:rPr>
                <w:rFonts w:eastAsia="Times New Roman" w:cstheme="minorHAnsi"/>
                <w:color w:val="000000"/>
                <w:lang w:eastAsia="en-GB"/>
              </w:rPr>
              <w:t>505</w:t>
            </w:r>
            <w:r>
              <w:rPr>
                <w:rFonts w:eastAsia="Times New Roman" w:cstheme="minorHAnsi"/>
                <w:color w:val="000000"/>
                <w:lang w:eastAsia="en-GB"/>
              </w:rPr>
              <w:t xml:space="preserve"> (0.4%)</w:t>
            </w:r>
          </w:p>
        </w:tc>
        <w:tc>
          <w:tcPr>
            <w:tcW w:w="1984" w:type="dxa"/>
            <w:shd w:val="clear" w:color="auto" w:fill="auto"/>
            <w:noWrap/>
            <w:hideMark/>
          </w:tcPr>
          <w:p w14:paraId="74AF1945" w14:textId="77777777" w:rsidR="00F511F4" w:rsidRPr="00B6620E" w:rsidRDefault="00F511F4" w:rsidP="001F53D9">
            <w:pPr>
              <w:spacing w:after="0" w:line="240" w:lineRule="auto"/>
              <w:rPr>
                <w:rFonts w:eastAsia="Times New Roman" w:cstheme="minorHAnsi"/>
                <w:color w:val="000000"/>
                <w:lang w:eastAsia="en-GB"/>
              </w:rPr>
            </w:pPr>
            <w:r w:rsidRPr="00B6620E">
              <w:rPr>
                <w:rFonts w:eastAsia="Times New Roman" w:cstheme="minorHAnsi"/>
                <w:color w:val="000000"/>
                <w:lang w:eastAsia="en-GB"/>
              </w:rPr>
              <w:t>3</w:t>
            </w:r>
            <w:r>
              <w:rPr>
                <w:rFonts w:eastAsia="Times New Roman" w:cstheme="minorHAnsi"/>
                <w:color w:val="000000"/>
                <w:lang w:eastAsia="en-GB"/>
              </w:rPr>
              <w:t>,</w:t>
            </w:r>
            <w:r w:rsidRPr="00B6620E">
              <w:rPr>
                <w:rFonts w:eastAsia="Times New Roman" w:cstheme="minorHAnsi"/>
                <w:color w:val="000000"/>
                <w:lang w:eastAsia="en-GB"/>
              </w:rPr>
              <w:t>860</w:t>
            </w:r>
            <w:r>
              <w:rPr>
                <w:rFonts w:eastAsia="Times New Roman" w:cstheme="minorHAnsi"/>
                <w:color w:val="000000"/>
                <w:lang w:eastAsia="en-GB"/>
              </w:rPr>
              <w:t xml:space="preserve"> (0.2%)</w:t>
            </w:r>
          </w:p>
        </w:tc>
        <w:tc>
          <w:tcPr>
            <w:tcW w:w="1899" w:type="dxa"/>
            <w:shd w:val="clear" w:color="auto" w:fill="auto"/>
            <w:noWrap/>
            <w:hideMark/>
          </w:tcPr>
          <w:p w14:paraId="7C695F9A" w14:textId="77777777" w:rsidR="00F511F4" w:rsidRPr="00B6620E" w:rsidRDefault="00F511F4" w:rsidP="001F53D9">
            <w:pPr>
              <w:spacing w:after="0" w:line="240" w:lineRule="auto"/>
              <w:rPr>
                <w:rFonts w:eastAsia="Times New Roman" w:cstheme="minorHAnsi"/>
                <w:color w:val="000000"/>
                <w:lang w:eastAsia="en-GB"/>
              </w:rPr>
            </w:pPr>
            <w:r w:rsidRPr="00B6620E">
              <w:rPr>
                <w:rFonts w:eastAsia="Times New Roman" w:cstheme="minorHAnsi"/>
                <w:color w:val="000000"/>
                <w:lang w:eastAsia="en-GB"/>
              </w:rPr>
              <w:t>0</w:t>
            </w:r>
            <w:r>
              <w:rPr>
                <w:rFonts w:eastAsia="Times New Roman" w:cstheme="minorHAnsi"/>
                <w:color w:val="000000"/>
                <w:lang w:eastAsia="en-GB"/>
              </w:rPr>
              <w:t xml:space="preserve"> (0%)</w:t>
            </w:r>
          </w:p>
        </w:tc>
        <w:tc>
          <w:tcPr>
            <w:tcW w:w="934" w:type="dxa"/>
          </w:tcPr>
          <w:p w14:paraId="71859ABE" w14:textId="77777777" w:rsidR="00F511F4" w:rsidRPr="00B6620E" w:rsidRDefault="00F511F4" w:rsidP="001F53D9">
            <w:pPr>
              <w:spacing w:after="0" w:line="240" w:lineRule="auto"/>
              <w:rPr>
                <w:rFonts w:eastAsia="Times New Roman" w:cstheme="minorHAnsi"/>
                <w:color w:val="000000"/>
                <w:lang w:eastAsia="en-GB"/>
              </w:rPr>
            </w:pPr>
          </w:p>
        </w:tc>
      </w:tr>
      <w:tr w:rsidR="00F511F4" w:rsidRPr="00B6620E" w14:paraId="62F5BCE4" w14:textId="77777777" w:rsidTr="001F53D9">
        <w:trPr>
          <w:trHeight w:val="285"/>
        </w:trPr>
        <w:tc>
          <w:tcPr>
            <w:tcW w:w="2689" w:type="dxa"/>
            <w:shd w:val="clear" w:color="auto" w:fill="auto"/>
            <w:noWrap/>
            <w:hideMark/>
          </w:tcPr>
          <w:p w14:paraId="48E00268" w14:textId="77777777" w:rsidR="00F511F4" w:rsidRPr="00B6620E" w:rsidRDefault="00F511F4" w:rsidP="001F53D9">
            <w:pPr>
              <w:spacing w:after="0" w:line="240" w:lineRule="auto"/>
              <w:rPr>
                <w:rFonts w:eastAsia="Times New Roman" w:cstheme="minorHAnsi"/>
                <w:color w:val="000000"/>
                <w:lang w:eastAsia="en-GB"/>
              </w:rPr>
            </w:pPr>
            <w:r w:rsidRPr="00B6620E">
              <w:rPr>
                <w:rFonts w:eastAsia="Times New Roman" w:cstheme="minorHAnsi"/>
                <w:color w:val="000000"/>
                <w:lang w:val="en-US" w:eastAsia="en-GB"/>
              </w:rPr>
              <w:t>Other</w:t>
            </w:r>
          </w:p>
        </w:tc>
        <w:tc>
          <w:tcPr>
            <w:tcW w:w="2128" w:type="dxa"/>
            <w:shd w:val="clear" w:color="auto" w:fill="auto"/>
            <w:noWrap/>
            <w:hideMark/>
          </w:tcPr>
          <w:p w14:paraId="54C932D6" w14:textId="77777777" w:rsidR="00F511F4" w:rsidRPr="00B6620E" w:rsidRDefault="00F511F4" w:rsidP="001F53D9">
            <w:pPr>
              <w:spacing w:after="0" w:line="240" w:lineRule="auto"/>
              <w:rPr>
                <w:rFonts w:eastAsia="Times New Roman" w:cstheme="minorHAnsi"/>
                <w:color w:val="000000"/>
                <w:lang w:eastAsia="en-GB"/>
              </w:rPr>
            </w:pPr>
            <w:r w:rsidRPr="00B6620E">
              <w:rPr>
                <w:rFonts w:eastAsia="Times New Roman" w:cstheme="minorHAnsi"/>
                <w:color w:val="000000"/>
                <w:lang w:eastAsia="en-GB"/>
              </w:rPr>
              <w:t>167</w:t>
            </w:r>
            <w:r>
              <w:rPr>
                <w:rFonts w:eastAsia="Times New Roman" w:cstheme="minorHAnsi"/>
                <w:color w:val="000000"/>
                <w:lang w:eastAsia="en-GB"/>
              </w:rPr>
              <w:t>,</w:t>
            </w:r>
            <w:r w:rsidRPr="00B6620E">
              <w:rPr>
                <w:rFonts w:eastAsia="Times New Roman" w:cstheme="minorHAnsi"/>
                <w:color w:val="000000"/>
                <w:lang w:eastAsia="en-GB"/>
              </w:rPr>
              <w:t>190</w:t>
            </w:r>
            <w:r>
              <w:rPr>
                <w:rFonts w:eastAsia="Times New Roman" w:cstheme="minorHAnsi"/>
                <w:color w:val="000000"/>
                <w:lang w:eastAsia="en-GB"/>
              </w:rPr>
              <w:t xml:space="preserve"> (1.8%)</w:t>
            </w:r>
          </w:p>
        </w:tc>
        <w:tc>
          <w:tcPr>
            <w:tcW w:w="1984" w:type="dxa"/>
            <w:shd w:val="clear" w:color="auto" w:fill="auto"/>
            <w:noWrap/>
            <w:hideMark/>
          </w:tcPr>
          <w:p w14:paraId="45B01A87" w14:textId="77777777" w:rsidR="00F511F4" w:rsidRPr="00B6620E" w:rsidRDefault="00F511F4" w:rsidP="001F53D9">
            <w:pPr>
              <w:spacing w:after="0" w:line="240" w:lineRule="auto"/>
              <w:rPr>
                <w:rFonts w:eastAsia="Times New Roman" w:cstheme="minorHAnsi"/>
                <w:color w:val="000000"/>
                <w:lang w:eastAsia="en-GB"/>
              </w:rPr>
            </w:pPr>
            <w:r w:rsidRPr="00B6620E">
              <w:rPr>
                <w:rFonts w:eastAsia="Times New Roman" w:cstheme="minorHAnsi"/>
                <w:color w:val="000000"/>
                <w:lang w:eastAsia="en-GB"/>
              </w:rPr>
              <w:t>29</w:t>
            </w:r>
            <w:r>
              <w:rPr>
                <w:rFonts w:eastAsia="Times New Roman" w:cstheme="minorHAnsi"/>
                <w:color w:val="000000"/>
                <w:lang w:eastAsia="en-GB"/>
              </w:rPr>
              <w:t>,</w:t>
            </w:r>
            <w:r w:rsidRPr="00B6620E">
              <w:rPr>
                <w:rFonts w:eastAsia="Times New Roman" w:cstheme="minorHAnsi"/>
                <w:color w:val="000000"/>
                <w:lang w:eastAsia="en-GB"/>
              </w:rPr>
              <w:t>611</w:t>
            </w:r>
            <w:r>
              <w:rPr>
                <w:rFonts w:eastAsia="Times New Roman" w:cstheme="minorHAnsi"/>
                <w:color w:val="000000"/>
                <w:lang w:eastAsia="en-GB"/>
              </w:rPr>
              <w:t xml:space="preserve"> (1.3%)</w:t>
            </w:r>
          </w:p>
        </w:tc>
        <w:tc>
          <w:tcPr>
            <w:tcW w:w="1899" w:type="dxa"/>
            <w:shd w:val="clear" w:color="auto" w:fill="auto"/>
            <w:noWrap/>
            <w:hideMark/>
          </w:tcPr>
          <w:p w14:paraId="0FF67E45" w14:textId="77777777" w:rsidR="00F511F4" w:rsidRPr="00B6620E" w:rsidRDefault="00F511F4" w:rsidP="001F53D9">
            <w:pPr>
              <w:spacing w:after="0" w:line="240" w:lineRule="auto"/>
              <w:rPr>
                <w:rFonts w:eastAsia="Times New Roman" w:cstheme="minorHAnsi"/>
                <w:color w:val="000000"/>
                <w:lang w:eastAsia="en-GB"/>
              </w:rPr>
            </w:pPr>
            <w:r w:rsidRPr="00B6620E">
              <w:rPr>
                <w:rFonts w:eastAsia="Times New Roman" w:cstheme="minorHAnsi"/>
                <w:color w:val="000000"/>
                <w:lang w:eastAsia="en-GB"/>
              </w:rPr>
              <w:t>94</w:t>
            </w:r>
            <w:r>
              <w:rPr>
                <w:rFonts w:eastAsia="Times New Roman" w:cstheme="minorHAnsi"/>
                <w:color w:val="000000"/>
                <w:lang w:eastAsia="en-GB"/>
              </w:rPr>
              <w:t xml:space="preserve"> (0.8%)</w:t>
            </w:r>
          </w:p>
        </w:tc>
        <w:tc>
          <w:tcPr>
            <w:tcW w:w="934" w:type="dxa"/>
          </w:tcPr>
          <w:p w14:paraId="7E56CCA4" w14:textId="77777777" w:rsidR="00F511F4" w:rsidRPr="00B6620E" w:rsidRDefault="00F511F4" w:rsidP="001F53D9">
            <w:pPr>
              <w:spacing w:after="0" w:line="240" w:lineRule="auto"/>
              <w:rPr>
                <w:rFonts w:eastAsia="Times New Roman" w:cstheme="minorHAnsi"/>
                <w:color w:val="000000"/>
                <w:lang w:eastAsia="en-GB"/>
              </w:rPr>
            </w:pPr>
          </w:p>
        </w:tc>
      </w:tr>
      <w:tr w:rsidR="00F511F4" w:rsidRPr="00B6620E" w14:paraId="15DD91C6" w14:textId="77777777" w:rsidTr="001F53D9">
        <w:trPr>
          <w:trHeight w:val="315"/>
        </w:trPr>
        <w:tc>
          <w:tcPr>
            <w:tcW w:w="8700" w:type="dxa"/>
            <w:gridSpan w:val="4"/>
            <w:shd w:val="clear" w:color="auto" w:fill="auto"/>
            <w:noWrap/>
          </w:tcPr>
          <w:p w14:paraId="085C66DA" w14:textId="77777777" w:rsidR="00F511F4" w:rsidRPr="00E9075D" w:rsidRDefault="00F511F4" w:rsidP="001F53D9">
            <w:pPr>
              <w:spacing w:after="0" w:line="240" w:lineRule="auto"/>
              <w:rPr>
                <w:rFonts w:eastAsia="Times New Roman" w:cstheme="minorHAnsi"/>
                <w:lang w:eastAsia="en-GB"/>
              </w:rPr>
            </w:pPr>
            <w:r w:rsidRPr="00E9075D">
              <w:rPr>
                <w:rFonts w:eastAsia="Times New Roman" w:cstheme="minorHAnsi"/>
                <w:lang w:eastAsia="en-GB"/>
              </w:rPr>
              <w:t>Quartile of household income based on ZIP code</w:t>
            </w:r>
          </w:p>
        </w:tc>
        <w:tc>
          <w:tcPr>
            <w:tcW w:w="934" w:type="dxa"/>
            <w:shd w:val="clear" w:color="auto" w:fill="auto"/>
          </w:tcPr>
          <w:p w14:paraId="5BE25B83" w14:textId="77777777" w:rsidR="00F511F4" w:rsidRPr="00E9075D" w:rsidRDefault="00F511F4" w:rsidP="001F53D9">
            <w:pPr>
              <w:spacing w:after="0" w:line="240" w:lineRule="auto"/>
              <w:rPr>
                <w:rFonts w:eastAsia="Times New Roman" w:cstheme="minorHAnsi"/>
                <w:lang w:eastAsia="en-GB"/>
              </w:rPr>
            </w:pPr>
            <w:r>
              <w:rPr>
                <w:rFonts w:eastAsia="Times New Roman" w:cstheme="minorHAnsi"/>
                <w:color w:val="000000"/>
                <w:lang w:eastAsia="en-GB"/>
              </w:rPr>
              <w:t>&lt;0.001</w:t>
            </w:r>
          </w:p>
        </w:tc>
      </w:tr>
      <w:tr w:rsidR="00F511F4" w:rsidRPr="00B6620E" w14:paraId="0352CC68" w14:textId="77777777" w:rsidTr="001F53D9">
        <w:trPr>
          <w:trHeight w:val="315"/>
        </w:trPr>
        <w:tc>
          <w:tcPr>
            <w:tcW w:w="2689" w:type="dxa"/>
            <w:shd w:val="clear" w:color="auto" w:fill="auto"/>
            <w:noWrap/>
            <w:hideMark/>
          </w:tcPr>
          <w:p w14:paraId="702E22F5" w14:textId="77777777" w:rsidR="00F511F4" w:rsidRPr="00B6620E" w:rsidRDefault="00F511F4" w:rsidP="001F53D9">
            <w:pPr>
              <w:spacing w:after="0" w:line="240" w:lineRule="auto"/>
              <w:rPr>
                <w:rFonts w:eastAsia="Times New Roman" w:cstheme="minorHAnsi"/>
                <w:color w:val="000000"/>
                <w:lang w:eastAsia="en-GB"/>
              </w:rPr>
            </w:pPr>
            <w:r w:rsidRPr="00B6620E">
              <w:rPr>
                <w:rFonts w:eastAsia="Times New Roman" w:cstheme="minorHAnsi"/>
                <w:color w:val="000000"/>
                <w:lang w:val="en-US" w:eastAsia="en-GB"/>
              </w:rPr>
              <w:t>0</w:t>
            </w:r>
            <w:r w:rsidRPr="00B6620E">
              <w:rPr>
                <w:rFonts w:eastAsia="Times New Roman" w:cstheme="minorHAnsi"/>
                <w:color w:val="000000"/>
                <w:vertAlign w:val="superscript"/>
                <w:lang w:val="en-US" w:eastAsia="en-GB"/>
              </w:rPr>
              <w:t>th</w:t>
            </w:r>
            <w:r w:rsidRPr="00B6620E">
              <w:rPr>
                <w:rFonts w:eastAsia="Times New Roman" w:cstheme="minorHAnsi"/>
                <w:color w:val="000000"/>
                <w:lang w:val="en-US" w:eastAsia="en-GB"/>
              </w:rPr>
              <w:t>-25</w:t>
            </w:r>
            <w:r w:rsidRPr="00B6620E">
              <w:rPr>
                <w:rFonts w:eastAsia="Times New Roman" w:cstheme="minorHAnsi"/>
                <w:color w:val="000000"/>
                <w:vertAlign w:val="superscript"/>
                <w:lang w:val="en-US" w:eastAsia="en-GB"/>
              </w:rPr>
              <w:t>th</w:t>
            </w:r>
          </w:p>
        </w:tc>
        <w:tc>
          <w:tcPr>
            <w:tcW w:w="2128" w:type="dxa"/>
            <w:shd w:val="clear" w:color="auto" w:fill="auto"/>
            <w:noWrap/>
            <w:hideMark/>
          </w:tcPr>
          <w:p w14:paraId="34FFFC87" w14:textId="77777777" w:rsidR="00F511F4" w:rsidRPr="00B6620E" w:rsidRDefault="00F511F4" w:rsidP="001F53D9">
            <w:pPr>
              <w:spacing w:after="0" w:line="240" w:lineRule="auto"/>
              <w:rPr>
                <w:rFonts w:eastAsia="Times New Roman" w:cstheme="minorHAnsi"/>
                <w:color w:val="000000"/>
                <w:lang w:eastAsia="en-GB"/>
              </w:rPr>
            </w:pPr>
            <w:r w:rsidRPr="00B6620E">
              <w:rPr>
                <w:rFonts w:eastAsia="Times New Roman" w:cstheme="minorHAnsi"/>
                <w:color w:val="000000"/>
                <w:lang w:eastAsia="en-GB"/>
              </w:rPr>
              <w:t>3</w:t>
            </w:r>
            <w:r>
              <w:rPr>
                <w:rFonts w:eastAsia="Times New Roman" w:cstheme="minorHAnsi"/>
                <w:color w:val="000000"/>
                <w:lang w:eastAsia="en-GB"/>
              </w:rPr>
              <w:t>,</w:t>
            </w:r>
            <w:r w:rsidRPr="00B6620E">
              <w:rPr>
                <w:rFonts w:eastAsia="Times New Roman" w:cstheme="minorHAnsi"/>
                <w:color w:val="000000"/>
                <w:lang w:eastAsia="en-GB"/>
              </w:rPr>
              <w:t>105</w:t>
            </w:r>
            <w:r>
              <w:rPr>
                <w:rFonts w:eastAsia="Times New Roman" w:cstheme="minorHAnsi"/>
                <w:color w:val="000000"/>
                <w:lang w:eastAsia="en-GB"/>
              </w:rPr>
              <w:t>,</w:t>
            </w:r>
            <w:r w:rsidRPr="00B6620E">
              <w:rPr>
                <w:rFonts w:eastAsia="Times New Roman" w:cstheme="minorHAnsi"/>
                <w:color w:val="000000"/>
                <w:lang w:eastAsia="en-GB"/>
              </w:rPr>
              <w:t>603</w:t>
            </w:r>
            <w:r>
              <w:rPr>
                <w:rFonts w:eastAsia="Times New Roman" w:cstheme="minorHAnsi"/>
                <w:color w:val="000000"/>
                <w:lang w:eastAsia="en-GB"/>
              </w:rPr>
              <w:t xml:space="preserve"> (34.1%)</w:t>
            </w:r>
          </w:p>
        </w:tc>
        <w:tc>
          <w:tcPr>
            <w:tcW w:w="1984" w:type="dxa"/>
            <w:shd w:val="clear" w:color="auto" w:fill="auto"/>
            <w:noWrap/>
            <w:hideMark/>
          </w:tcPr>
          <w:p w14:paraId="5B8793B1" w14:textId="77777777" w:rsidR="00F511F4" w:rsidRPr="00B6620E" w:rsidRDefault="00F511F4" w:rsidP="001F53D9">
            <w:pPr>
              <w:spacing w:after="0" w:line="240" w:lineRule="auto"/>
              <w:rPr>
                <w:rFonts w:eastAsia="Times New Roman" w:cstheme="minorHAnsi"/>
                <w:color w:val="000000"/>
                <w:lang w:eastAsia="en-GB"/>
              </w:rPr>
            </w:pPr>
            <w:r w:rsidRPr="00B6620E">
              <w:rPr>
                <w:rFonts w:eastAsia="Times New Roman" w:cstheme="minorHAnsi"/>
                <w:color w:val="000000"/>
                <w:lang w:eastAsia="en-GB"/>
              </w:rPr>
              <w:t>695</w:t>
            </w:r>
            <w:r>
              <w:rPr>
                <w:rFonts w:eastAsia="Times New Roman" w:cstheme="minorHAnsi"/>
                <w:color w:val="000000"/>
                <w:lang w:eastAsia="en-GB"/>
              </w:rPr>
              <w:t>,</w:t>
            </w:r>
            <w:r w:rsidRPr="00B6620E">
              <w:rPr>
                <w:rFonts w:eastAsia="Times New Roman" w:cstheme="minorHAnsi"/>
                <w:color w:val="000000"/>
                <w:lang w:eastAsia="en-GB"/>
              </w:rPr>
              <w:t>079</w:t>
            </w:r>
            <w:r>
              <w:rPr>
                <w:rFonts w:eastAsia="Times New Roman" w:cstheme="minorHAnsi"/>
                <w:color w:val="000000"/>
                <w:lang w:eastAsia="en-GB"/>
              </w:rPr>
              <w:t xml:space="preserve"> (30.6%)</w:t>
            </w:r>
          </w:p>
        </w:tc>
        <w:tc>
          <w:tcPr>
            <w:tcW w:w="1899" w:type="dxa"/>
            <w:shd w:val="clear" w:color="auto" w:fill="auto"/>
            <w:noWrap/>
            <w:hideMark/>
          </w:tcPr>
          <w:p w14:paraId="7B39E688" w14:textId="77777777" w:rsidR="00F511F4" w:rsidRPr="00B6620E" w:rsidRDefault="00F511F4" w:rsidP="001F53D9">
            <w:pPr>
              <w:spacing w:after="0" w:line="240" w:lineRule="auto"/>
              <w:rPr>
                <w:rFonts w:eastAsia="Times New Roman" w:cstheme="minorHAnsi"/>
                <w:color w:val="000000"/>
                <w:lang w:eastAsia="en-GB"/>
              </w:rPr>
            </w:pPr>
            <w:r w:rsidRPr="00B6620E">
              <w:rPr>
                <w:rFonts w:eastAsia="Times New Roman" w:cstheme="minorHAnsi"/>
                <w:color w:val="000000"/>
                <w:lang w:eastAsia="en-GB"/>
              </w:rPr>
              <w:t>3</w:t>
            </w:r>
            <w:r>
              <w:rPr>
                <w:rFonts w:eastAsia="Times New Roman" w:cstheme="minorHAnsi"/>
                <w:color w:val="000000"/>
                <w:lang w:eastAsia="en-GB"/>
              </w:rPr>
              <w:t>,</w:t>
            </w:r>
            <w:r w:rsidRPr="00B6620E">
              <w:rPr>
                <w:rFonts w:eastAsia="Times New Roman" w:cstheme="minorHAnsi"/>
                <w:color w:val="000000"/>
                <w:lang w:eastAsia="en-GB"/>
              </w:rPr>
              <w:t>119</w:t>
            </w:r>
            <w:r>
              <w:rPr>
                <w:rFonts w:eastAsia="Times New Roman" w:cstheme="minorHAnsi"/>
                <w:color w:val="000000"/>
                <w:lang w:eastAsia="en-GB"/>
              </w:rPr>
              <w:t xml:space="preserve"> (27.5%)</w:t>
            </w:r>
          </w:p>
        </w:tc>
        <w:tc>
          <w:tcPr>
            <w:tcW w:w="934" w:type="dxa"/>
          </w:tcPr>
          <w:p w14:paraId="774DEB8F" w14:textId="77777777" w:rsidR="00F511F4" w:rsidRPr="00B6620E" w:rsidRDefault="00F511F4" w:rsidP="001F53D9">
            <w:pPr>
              <w:spacing w:after="0" w:line="240" w:lineRule="auto"/>
              <w:rPr>
                <w:rFonts w:eastAsia="Times New Roman" w:cstheme="minorHAnsi"/>
                <w:color w:val="000000"/>
                <w:lang w:eastAsia="en-GB"/>
              </w:rPr>
            </w:pPr>
          </w:p>
        </w:tc>
      </w:tr>
      <w:tr w:rsidR="00F511F4" w:rsidRPr="00B6620E" w14:paraId="5CF6B0AA" w14:textId="77777777" w:rsidTr="001F53D9">
        <w:trPr>
          <w:trHeight w:val="315"/>
        </w:trPr>
        <w:tc>
          <w:tcPr>
            <w:tcW w:w="2689" w:type="dxa"/>
            <w:shd w:val="clear" w:color="auto" w:fill="auto"/>
            <w:noWrap/>
            <w:hideMark/>
          </w:tcPr>
          <w:p w14:paraId="1A786436" w14:textId="77777777" w:rsidR="00F511F4" w:rsidRPr="00B6620E" w:rsidRDefault="00F511F4" w:rsidP="001F53D9">
            <w:pPr>
              <w:spacing w:after="0" w:line="240" w:lineRule="auto"/>
              <w:rPr>
                <w:rFonts w:eastAsia="Times New Roman" w:cstheme="minorHAnsi"/>
                <w:color w:val="000000"/>
                <w:lang w:eastAsia="en-GB"/>
              </w:rPr>
            </w:pPr>
            <w:r w:rsidRPr="00B6620E">
              <w:rPr>
                <w:rFonts w:eastAsia="Times New Roman" w:cstheme="minorHAnsi"/>
                <w:color w:val="000000"/>
                <w:lang w:val="en-US" w:eastAsia="en-GB"/>
              </w:rPr>
              <w:t>26</w:t>
            </w:r>
            <w:r w:rsidRPr="00B6620E">
              <w:rPr>
                <w:rFonts w:eastAsia="Times New Roman" w:cstheme="minorHAnsi"/>
                <w:color w:val="000000"/>
                <w:vertAlign w:val="superscript"/>
                <w:lang w:val="en-US" w:eastAsia="en-GB"/>
              </w:rPr>
              <w:t>th</w:t>
            </w:r>
            <w:r w:rsidRPr="00B6620E">
              <w:rPr>
                <w:rFonts w:eastAsia="Times New Roman" w:cstheme="minorHAnsi"/>
                <w:color w:val="000000"/>
                <w:lang w:val="en-US" w:eastAsia="en-GB"/>
              </w:rPr>
              <w:t>-50</w:t>
            </w:r>
            <w:r w:rsidRPr="00B6620E">
              <w:rPr>
                <w:rFonts w:eastAsia="Times New Roman" w:cstheme="minorHAnsi"/>
                <w:color w:val="000000"/>
                <w:vertAlign w:val="superscript"/>
                <w:lang w:val="en-US" w:eastAsia="en-GB"/>
              </w:rPr>
              <w:t>th</w:t>
            </w:r>
          </w:p>
        </w:tc>
        <w:tc>
          <w:tcPr>
            <w:tcW w:w="2128" w:type="dxa"/>
            <w:shd w:val="clear" w:color="auto" w:fill="auto"/>
            <w:noWrap/>
            <w:hideMark/>
          </w:tcPr>
          <w:p w14:paraId="17A92877" w14:textId="77777777" w:rsidR="00F511F4" w:rsidRPr="00B6620E" w:rsidRDefault="00F511F4" w:rsidP="001F53D9">
            <w:pPr>
              <w:spacing w:after="0" w:line="240" w:lineRule="auto"/>
              <w:rPr>
                <w:rFonts w:eastAsia="Times New Roman" w:cstheme="minorHAnsi"/>
                <w:color w:val="000000"/>
                <w:lang w:eastAsia="en-GB"/>
              </w:rPr>
            </w:pPr>
            <w:r w:rsidRPr="00B6620E">
              <w:rPr>
                <w:rFonts w:eastAsia="Times New Roman" w:cstheme="minorHAnsi"/>
                <w:color w:val="000000"/>
                <w:lang w:eastAsia="en-GB"/>
              </w:rPr>
              <w:t>2</w:t>
            </w:r>
            <w:r>
              <w:rPr>
                <w:rFonts w:eastAsia="Times New Roman" w:cstheme="minorHAnsi"/>
                <w:color w:val="000000"/>
                <w:lang w:eastAsia="en-GB"/>
              </w:rPr>
              <w:t>,</w:t>
            </w:r>
            <w:r w:rsidRPr="00B6620E">
              <w:rPr>
                <w:rFonts w:eastAsia="Times New Roman" w:cstheme="minorHAnsi"/>
                <w:color w:val="000000"/>
                <w:lang w:eastAsia="en-GB"/>
              </w:rPr>
              <w:t>428</w:t>
            </w:r>
            <w:r>
              <w:rPr>
                <w:rFonts w:eastAsia="Times New Roman" w:cstheme="minorHAnsi"/>
                <w:color w:val="000000"/>
                <w:lang w:eastAsia="en-GB"/>
              </w:rPr>
              <w:t>,</w:t>
            </w:r>
            <w:r w:rsidRPr="00B6620E">
              <w:rPr>
                <w:rFonts w:eastAsia="Times New Roman" w:cstheme="minorHAnsi"/>
                <w:color w:val="000000"/>
                <w:lang w:eastAsia="en-GB"/>
              </w:rPr>
              <w:t>430</w:t>
            </w:r>
            <w:r>
              <w:rPr>
                <w:rFonts w:eastAsia="Times New Roman" w:cstheme="minorHAnsi"/>
                <w:color w:val="000000"/>
                <w:lang w:eastAsia="en-GB"/>
              </w:rPr>
              <w:t xml:space="preserve"> (26.7%)</w:t>
            </w:r>
          </w:p>
        </w:tc>
        <w:tc>
          <w:tcPr>
            <w:tcW w:w="1984" w:type="dxa"/>
            <w:shd w:val="clear" w:color="auto" w:fill="auto"/>
            <w:noWrap/>
            <w:hideMark/>
          </w:tcPr>
          <w:p w14:paraId="4F82143A" w14:textId="77777777" w:rsidR="00F511F4" w:rsidRPr="00B6620E" w:rsidRDefault="00F511F4" w:rsidP="001F53D9">
            <w:pPr>
              <w:spacing w:after="0" w:line="240" w:lineRule="auto"/>
              <w:rPr>
                <w:rFonts w:eastAsia="Times New Roman" w:cstheme="minorHAnsi"/>
                <w:color w:val="000000"/>
                <w:lang w:eastAsia="en-GB"/>
              </w:rPr>
            </w:pPr>
            <w:r w:rsidRPr="00B6620E">
              <w:rPr>
                <w:rFonts w:eastAsia="Times New Roman" w:cstheme="minorHAnsi"/>
                <w:color w:val="000000"/>
                <w:lang w:eastAsia="en-GB"/>
              </w:rPr>
              <w:t>589</w:t>
            </w:r>
            <w:r>
              <w:rPr>
                <w:rFonts w:eastAsia="Times New Roman" w:cstheme="minorHAnsi"/>
                <w:color w:val="000000"/>
                <w:lang w:eastAsia="en-GB"/>
              </w:rPr>
              <w:t>,</w:t>
            </w:r>
            <w:r w:rsidRPr="00B6620E">
              <w:rPr>
                <w:rFonts w:eastAsia="Times New Roman" w:cstheme="minorHAnsi"/>
                <w:color w:val="000000"/>
                <w:lang w:eastAsia="en-GB"/>
              </w:rPr>
              <w:t>660</w:t>
            </w:r>
            <w:r>
              <w:rPr>
                <w:rFonts w:eastAsia="Times New Roman" w:cstheme="minorHAnsi"/>
                <w:color w:val="000000"/>
                <w:lang w:eastAsia="en-GB"/>
              </w:rPr>
              <w:t xml:space="preserve"> (26.0%)</w:t>
            </w:r>
          </w:p>
        </w:tc>
        <w:tc>
          <w:tcPr>
            <w:tcW w:w="1899" w:type="dxa"/>
            <w:shd w:val="clear" w:color="auto" w:fill="auto"/>
            <w:noWrap/>
            <w:hideMark/>
          </w:tcPr>
          <w:p w14:paraId="4C4EDB59" w14:textId="77777777" w:rsidR="00F511F4" w:rsidRPr="00B6620E" w:rsidRDefault="00F511F4" w:rsidP="001F53D9">
            <w:pPr>
              <w:spacing w:after="0" w:line="240" w:lineRule="auto"/>
              <w:rPr>
                <w:rFonts w:eastAsia="Times New Roman" w:cstheme="minorHAnsi"/>
                <w:color w:val="000000"/>
                <w:lang w:eastAsia="en-GB"/>
              </w:rPr>
            </w:pPr>
            <w:r w:rsidRPr="00B6620E">
              <w:rPr>
                <w:rFonts w:eastAsia="Times New Roman" w:cstheme="minorHAnsi"/>
                <w:color w:val="000000"/>
                <w:lang w:eastAsia="en-GB"/>
              </w:rPr>
              <w:t>2</w:t>
            </w:r>
            <w:r>
              <w:rPr>
                <w:rFonts w:eastAsia="Times New Roman" w:cstheme="minorHAnsi"/>
                <w:color w:val="000000"/>
                <w:lang w:eastAsia="en-GB"/>
              </w:rPr>
              <w:t>,</w:t>
            </w:r>
            <w:r w:rsidRPr="00B6620E">
              <w:rPr>
                <w:rFonts w:eastAsia="Times New Roman" w:cstheme="minorHAnsi"/>
                <w:color w:val="000000"/>
                <w:lang w:eastAsia="en-GB"/>
              </w:rPr>
              <w:t>699</w:t>
            </w:r>
            <w:r>
              <w:rPr>
                <w:rFonts w:eastAsia="Times New Roman" w:cstheme="minorHAnsi"/>
                <w:color w:val="000000"/>
                <w:lang w:eastAsia="en-GB"/>
              </w:rPr>
              <w:t xml:space="preserve"> (23.8%)</w:t>
            </w:r>
          </w:p>
        </w:tc>
        <w:tc>
          <w:tcPr>
            <w:tcW w:w="934" w:type="dxa"/>
          </w:tcPr>
          <w:p w14:paraId="0841BCDA" w14:textId="77777777" w:rsidR="00F511F4" w:rsidRPr="00B6620E" w:rsidRDefault="00F511F4" w:rsidP="001F53D9">
            <w:pPr>
              <w:spacing w:after="0" w:line="240" w:lineRule="auto"/>
              <w:rPr>
                <w:rFonts w:eastAsia="Times New Roman" w:cstheme="minorHAnsi"/>
                <w:color w:val="000000"/>
                <w:lang w:eastAsia="en-GB"/>
              </w:rPr>
            </w:pPr>
          </w:p>
        </w:tc>
      </w:tr>
      <w:tr w:rsidR="00F511F4" w:rsidRPr="00B6620E" w14:paraId="5FB9CF9A" w14:textId="77777777" w:rsidTr="001F53D9">
        <w:trPr>
          <w:trHeight w:val="315"/>
        </w:trPr>
        <w:tc>
          <w:tcPr>
            <w:tcW w:w="2689" w:type="dxa"/>
            <w:shd w:val="clear" w:color="auto" w:fill="auto"/>
            <w:noWrap/>
            <w:hideMark/>
          </w:tcPr>
          <w:p w14:paraId="7EE44FCE" w14:textId="77777777" w:rsidR="00F511F4" w:rsidRPr="00B6620E" w:rsidRDefault="00F511F4" w:rsidP="001F53D9">
            <w:pPr>
              <w:spacing w:after="0" w:line="240" w:lineRule="auto"/>
              <w:rPr>
                <w:rFonts w:eastAsia="Times New Roman" w:cstheme="minorHAnsi"/>
                <w:color w:val="000000"/>
                <w:lang w:eastAsia="en-GB"/>
              </w:rPr>
            </w:pPr>
            <w:r w:rsidRPr="00B6620E">
              <w:rPr>
                <w:rFonts w:eastAsia="Times New Roman" w:cstheme="minorHAnsi"/>
                <w:color w:val="000000"/>
                <w:lang w:val="en-US" w:eastAsia="en-GB"/>
              </w:rPr>
              <w:t>51</w:t>
            </w:r>
            <w:r w:rsidRPr="00B6620E">
              <w:rPr>
                <w:rFonts w:eastAsia="Times New Roman" w:cstheme="minorHAnsi"/>
                <w:color w:val="000000"/>
                <w:vertAlign w:val="superscript"/>
                <w:lang w:val="en-US" w:eastAsia="en-GB"/>
              </w:rPr>
              <w:t>th</w:t>
            </w:r>
            <w:r w:rsidRPr="00B6620E">
              <w:rPr>
                <w:rFonts w:eastAsia="Times New Roman" w:cstheme="minorHAnsi"/>
                <w:color w:val="000000"/>
                <w:lang w:val="en-US" w:eastAsia="en-GB"/>
              </w:rPr>
              <w:t>-75</w:t>
            </w:r>
            <w:r w:rsidRPr="00B6620E">
              <w:rPr>
                <w:rFonts w:eastAsia="Times New Roman" w:cstheme="minorHAnsi"/>
                <w:color w:val="000000"/>
                <w:vertAlign w:val="superscript"/>
                <w:lang w:val="en-US" w:eastAsia="en-GB"/>
              </w:rPr>
              <w:t>th</w:t>
            </w:r>
          </w:p>
        </w:tc>
        <w:tc>
          <w:tcPr>
            <w:tcW w:w="2128" w:type="dxa"/>
            <w:shd w:val="clear" w:color="auto" w:fill="auto"/>
            <w:noWrap/>
            <w:hideMark/>
          </w:tcPr>
          <w:p w14:paraId="17D6A12D" w14:textId="77777777" w:rsidR="00F511F4" w:rsidRPr="00B6620E" w:rsidRDefault="00F511F4" w:rsidP="001F53D9">
            <w:pPr>
              <w:spacing w:after="0" w:line="240" w:lineRule="auto"/>
              <w:rPr>
                <w:rFonts w:eastAsia="Times New Roman" w:cstheme="minorHAnsi"/>
                <w:color w:val="000000"/>
                <w:lang w:eastAsia="en-GB"/>
              </w:rPr>
            </w:pPr>
            <w:r w:rsidRPr="00B6620E">
              <w:rPr>
                <w:rFonts w:eastAsia="Times New Roman" w:cstheme="minorHAnsi"/>
                <w:color w:val="000000"/>
                <w:lang w:eastAsia="en-GB"/>
              </w:rPr>
              <w:t>1</w:t>
            </w:r>
            <w:r>
              <w:rPr>
                <w:rFonts w:eastAsia="Times New Roman" w:cstheme="minorHAnsi"/>
                <w:color w:val="000000"/>
                <w:lang w:eastAsia="en-GB"/>
              </w:rPr>
              <w:t>,</w:t>
            </w:r>
            <w:r w:rsidRPr="00B6620E">
              <w:rPr>
                <w:rFonts w:eastAsia="Times New Roman" w:cstheme="minorHAnsi"/>
                <w:color w:val="000000"/>
                <w:lang w:eastAsia="en-GB"/>
              </w:rPr>
              <w:t>987</w:t>
            </w:r>
            <w:r>
              <w:rPr>
                <w:rFonts w:eastAsia="Times New Roman" w:cstheme="minorHAnsi"/>
                <w:color w:val="000000"/>
                <w:lang w:eastAsia="en-GB"/>
              </w:rPr>
              <w:t>,</w:t>
            </w:r>
            <w:r w:rsidRPr="00B6620E">
              <w:rPr>
                <w:rFonts w:eastAsia="Times New Roman" w:cstheme="minorHAnsi"/>
                <w:color w:val="000000"/>
                <w:lang w:eastAsia="en-GB"/>
              </w:rPr>
              <w:t>761</w:t>
            </w:r>
            <w:r>
              <w:rPr>
                <w:rFonts w:eastAsia="Times New Roman" w:cstheme="minorHAnsi"/>
                <w:color w:val="000000"/>
                <w:lang w:eastAsia="en-GB"/>
              </w:rPr>
              <w:t xml:space="preserve"> (21.9%)</w:t>
            </w:r>
          </w:p>
        </w:tc>
        <w:tc>
          <w:tcPr>
            <w:tcW w:w="1984" w:type="dxa"/>
            <w:shd w:val="clear" w:color="auto" w:fill="auto"/>
            <w:noWrap/>
            <w:hideMark/>
          </w:tcPr>
          <w:p w14:paraId="1FF20142" w14:textId="77777777" w:rsidR="00F511F4" w:rsidRPr="00B6620E" w:rsidRDefault="00F511F4" w:rsidP="001F53D9">
            <w:pPr>
              <w:spacing w:after="0" w:line="240" w:lineRule="auto"/>
              <w:rPr>
                <w:rFonts w:eastAsia="Times New Roman" w:cstheme="minorHAnsi"/>
                <w:color w:val="000000"/>
                <w:lang w:eastAsia="en-GB"/>
              </w:rPr>
            </w:pPr>
            <w:r w:rsidRPr="00B6620E">
              <w:rPr>
                <w:rFonts w:eastAsia="Times New Roman" w:cstheme="minorHAnsi"/>
                <w:color w:val="000000"/>
                <w:lang w:eastAsia="en-GB"/>
              </w:rPr>
              <w:t>533</w:t>
            </w:r>
            <w:r>
              <w:rPr>
                <w:rFonts w:eastAsia="Times New Roman" w:cstheme="minorHAnsi"/>
                <w:color w:val="000000"/>
                <w:lang w:eastAsia="en-GB"/>
              </w:rPr>
              <w:t>,</w:t>
            </w:r>
            <w:r w:rsidRPr="00B6620E">
              <w:rPr>
                <w:rFonts w:eastAsia="Times New Roman" w:cstheme="minorHAnsi"/>
                <w:color w:val="000000"/>
                <w:lang w:eastAsia="en-GB"/>
              </w:rPr>
              <w:t>894</w:t>
            </w:r>
            <w:r>
              <w:rPr>
                <w:rFonts w:eastAsia="Times New Roman" w:cstheme="minorHAnsi"/>
                <w:color w:val="000000"/>
                <w:lang w:eastAsia="en-GB"/>
              </w:rPr>
              <w:t xml:space="preserve"> (23.5%)</w:t>
            </w:r>
          </w:p>
        </w:tc>
        <w:tc>
          <w:tcPr>
            <w:tcW w:w="1899" w:type="dxa"/>
            <w:shd w:val="clear" w:color="auto" w:fill="auto"/>
            <w:noWrap/>
            <w:hideMark/>
          </w:tcPr>
          <w:p w14:paraId="22270683" w14:textId="77777777" w:rsidR="00F511F4" w:rsidRPr="00B6620E" w:rsidRDefault="00F511F4" w:rsidP="001F53D9">
            <w:pPr>
              <w:spacing w:after="0" w:line="240" w:lineRule="auto"/>
              <w:rPr>
                <w:rFonts w:eastAsia="Times New Roman" w:cstheme="minorHAnsi"/>
                <w:color w:val="000000"/>
                <w:lang w:eastAsia="en-GB"/>
              </w:rPr>
            </w:pPr>
            <w:r w:rsidRPr="00B6620E">
              <w:rPr>
                <w:rFonts w:eastAsia="Times New Roman" w:cstheme="minorHAnsi"/>
                <w:color w:val="000000"/>
                <w:lang w:eastAsia="en-GB"/>
              </w:rPr>
              <w:t>2</w:t>
            </w:r>
            <w:r>
              <w:rPr>
                <w:rFonts w:eastAsia="Times New Roman" w:cstheme="minorHAnsi"/>
                <w:color w:val="000000"/>
                <w:lang w:eastAsia="en-GB"/>
              </w:rPr>
              <w:t>,</w:t>
            </w:r>
            <w:r w:rsidRPr="00B6620E">
              <w:rPr>
                <w:rFonts w:eastAsia="Times New Roman" w:cstheme="minorHAnsi"/>
                <w:color w:val="000000"/>
                <w:lang w:eastAsia="en-GB"/>
              </w:rPr>
              <w:t>956</w:t>
            </w:r>
            <w:r>
              <w:rPr>
                <w:rFonts w:eastAsia="Times New Roman" w:cstheme="minorHAnsi"/>
                <w:color w:val="000000"/>
                <w:lang w:eastAsia="en-GB"/>
              </w:rPr>
              <w:t xml:space="preserve"> (26.1%)</w:t>
            </w:r>
          </w:p>
        </w:tc>
        <w:tc>
          <w:tcPr>
            <w:tcW w:w="934" w:type="dxa"/>
          </w:tcPr>
          <w:p w14:paraId="4E3198A5" w14:textId="77777777" w:rsidR="00F511F4" w:rsidRPr="00B6620E" w:rsidRDefault="00F511F4" w:rsidP="001F53D9">
            <w:pPr>
              <w:spacing w:after="0" w:line="240" w:lineRule="auto"/>
              <w:rPr>
                <w:rFonts w:eastAsia="Times New Roman" w:cstheme="minorHAnsi"/>
                <w:color w:val="000000"/>
                <w:lang w:eastAsia="en-GB"/>
              </w:rPr>
            </w:pPr>
          </w:p>
        </w:tc>
      </w:tr>
      <w:tr w:rsidR="00F511F4" w:rsidRPr="00B6620E" w14:paraId="3E94B6BB" w14:textId="77777777" w:rsidTr="001F53D9">
        <w:trPr>
          <w:trHeight w:val="315"/>
        </w:trPr>
        <w:tc>
          <w:tcPr>
            <w:tcW w:w="2689" w:type="dxa"/>
            <w:shd w:val="clear" w:color="auto" w:fill="auto"/>
            <w:noWrap/>
            <w:hideMark/>
          </w:tcPr>
          <w:p w14:paraId="765E22BB" w14:textId="77777777" w:rsidR="00F511F4" w:rsidRPr="00B6620E" w:rsidRDefault="00F511F4" w:rsidP="001F53D9">
            <w:pPr>
              <w:spacing w:after="0" w:line="240" w:lineRule="auto"/>
              <w:rPr>
                <w:rFonts w:eastAsia="Times New Roman" w:cstheme="minorHAnsi"/>
                <w:color w:val="000000"/>
                <w:lang w:eastAsia="en-GB"/>
              </w:rPr>
            </w:pPr>
            <w:r w:rsidRPr="00B6620E">
              <w:rPr>
                <w:rFonts w:eastAsia="Times New Roman" w:cstheme="minorHAnsi"/>
                <w:color w:val="000000"/>
                <w:lang w:val="en-US" w:eastAsia="en-GB"/>
              </w:rPr>
              <w:t>76</w:t>
            </w:r>
            <w:r w:rsidRPr="00B6620E">
              <w:rPr>
                <w:rFonts w:eastAsia="Times New Roman" w:cstheme="minorHAnsi"/>
                <w:color w:val="000000"/>
                <w:vertAlign w:val="superscript"/>
                <w:lang w:val="en-US" w:eastAsia="en-GB"/>
              </w:rPr>
              <w:t>th</w:t>
            </w:r>
            <w:r w:rsidRPr="00B6620E">
              <w:rPr>
                <w:rFonts w:eastAsia="Times New Roman" w:cstheme="minorHAnsi"/>
                <w:color w:val="000000"/>
                <w:lang w:val="en-US" w:eastAsia="en-GB"/>
              </w:rPr>
              <w:t>-100</w:t>
            </w:r>
            <w:r w:rsidRPr="00B6620E">
              <w:rPr>
                <w:rFonts w:eastAsia="Times New Roman" w:cstheme="minorHAnsi"/>
                <w:color w:val="000000"/>
                <w:vertAlign w:val="superscript"/>
                <w:lang w:val="en-US" w:eastAsia="en-GB"/>
              </w:rPr>
              <w:t>th</w:t>
            </w:r>
          </w:p>
        </w:tc>
        <w:tc>
          <w:tcPr>
            <w:tcW w:w="2128" w:type="dxa"/>
            <w:shd w:val="clear" w:color="auto" w:fill="auto"/>
            <w:noWrap/>
            <w:hideMark/>
          </w:tcPr>
          <w:p w14:paraId="14674D55" w14:textId="77777777" w:rsidR="00F511F4" w:rsidRPr="00B6620E" w:rsidRDefault="00F511F4" w:rsidP="001F53D9">
            <w:pPr>
              <w:spacing w:after="0" w:line="240" w:lineRule="auto"/>
              <w:rPr>
                <w:rFonts w:eastAsia="Times New Roman" w:cstheme="minorHAnsi"/>
                <w:color w:val="000000"/>
                <w:lang w:eastAsia="en-GB"/>
              </w:rPr>
            </w:pPr>
            <w:r w:rsidRPr="00B6620E">
              <w:rPr>
                <w:rFonts w:eastAsia="Times New Roman" w:cstheme="minorHAnsi"/>
                <w:color w:val="000000"/>
                <w:lang w:eastAsia="en-GB"/>
              </w:rPr>
              <w:t>1</w:t>
            </w:r>
            <w:r>
              <w:rPr>
                <w:rFonts w:eastAsia="Times New Roman" w:cstheme="minorHAnsi"/>
                <w:color w:val="000000"/>
                <w:lang w:eastAsia="en-GB"/>
              </w:rPr>
              <w:t>,</w:t>
            </w:r>
            <w:r w:rsidRPr="00B6620E">
              <w:rPr>
                <w:rFonts w:eastAsia="Times New Roman" w:cstheme="minorHAnsi"/>
                <w:color w:val="000000"/>
                <w:lang w:eastAsia="en-GB"/>
              </w:rPr>
              <w:t>573</w:t>
            </w:r>
            <w:r>
              <w:rPr>
                <w:rFonts w:eastAsia="Times New Roman" w:cstheme="minorHAnsi"/>
                <w:color w:val="000000"/>
                <w:lang w:eastAsia="en-GB"/>
              </w:rPr>
              <w:t>,</w:t>
            </w:r>
            <w:r w:rsidRPr="00B6620E">
              <w:rPr>
                <w:rFonts w:eastAsia="Times New Roman" w:cstheme="minorHAnsi"/>
                <w:color w:val="000000"/>
                <w:lang w:eastAsia="en-GB"/>
              </w:rPr>
              <w:t>926</w:t>
            </w:r>
            <w:r>
              <w:rPr>
                <w:rFonts w:eastAsia="Times New Roman" w:cstheme="minorHAnsi"/>
                <w:color w:val="000000"/>
                <w:lang w:eastAsia="en-GB"/>
              </w:rPr>
              <w:t xml:space="preserve"> (17.3%)</w:t>
            </w:r>
          </w:p>
        </w:tc>
        <w:tc>
          <w:tcPr>
            <w:tcW w:w="1984" w:type="dxa"/>
            <w:shd w:val="clear" w:color="auto" w:fill="auto"/>
            <w:noWrap/>
            <w:hideMark/>
          </w:tcPr>
          <w:p w14:paraId="5A0E70D9" w14:textId="77777777" w:rsidR="00F511F4" w:rsidRPr="00B6620E" w:rsidRDefault="00F511F4" w:rsidP="001F53D9">
            <w:pPr>
              <w:spacing w:after="0" w:line="240" w:lineRule="auto"/>
              <w:rPr>
                <w:rFonts w:eastAsia="Times New Roman" w:cstheme="minorHAnsi"/>
                <w:color w:val="000000"/>
                <w:lang w:eastAsia="en-GB"/>
              </w:rPr>
            </w:pPr>
            <w:r w:rsidRPr="00B6620E">
              <w:rPr>
                <w:rFonts w:eastAsia="Times New Roman" w:cstheme="minorHAnsi"/>
                <w:color w:val="000000"/>
                <w:lang w:eastAsia="en-GB"/>
              </w:rPr>
              <w:t>452</w:t>
            </w:r>
            <w:r>
              <w:rPr>
                <w:rFonts w:eastAsia="Times New Roman" w:cstheme="minorHAnsi"/>
                <w:color w:val="000000"/>
                <w:lang w:eastAsia="en-GB"/>
              </w:rPr>
              <w:t>,</w:t>
            </w:r>
            <w:r w:rsidRPr="00B6620E">
              <w:rPr>
                <w:rFonts w:eastAsia="Times New Roman" w:cstheme="minorHAnsi"/>
                <w:color w:val="000000"/>
                <w:lang w:eastAsia="en-GB"/>
              </w:rPr>
              <w:t>738</w:t>
            </w:r>
            <w:r>
              <w:rPr>
                <w:rFonts w:eastAsia="Times New Roman" w:cstheme="minorHAnsi"/>
                <w:color w:val="000000"/>
                <w:lang w:eastAsia="en-GB"/>
              </w:rPr>
              <w:t xml:space="preserve"> (19.9%)</w:t>
            </w:r>
          </w:p>
        </w:tc>
        <w:tc>
          <w:tcPr>
            <w:tcW w:w="1899" w:type="dxa"/>
            <w:shd w:val="clear" w:color="auto" w:fill="auto"/>
            <w:noWrap/>
            <w:hideMark/>
          </w:tcPr>
          <w:p w14:paraId="770C0CCB" w14:textId="77777777" w:rsidR="00F511F4" w:rsidRPr="00B6620E" w:rsidRDefault="00F511F4" w:rsidP="001F53D9">
            <w:pPr>
              <w:spacing w:after="0" w:line="240" w:lineRule="auto"/>
              <w:rPr>
                <w:rFonts w:eastAsia="Times New Roman" w:cstheme="minorHAnsi"/>
                <w:color w:val="000000"/>
                <w:lang w:eastAsia="en-GB"/>
              </w:rPr>
            </w:pPr>
            <w:r w:rsidRPr="00B6620E">
              <w:rPr>
                <w:rFonts w:eastAsia="Times New Roman" w:cstheme="minorHAnsi"/>
                <w:color w:val="000000"/>
                <w:lang w:eastAsia="en-GB"/>
              </w:rPr>
              <w:t>2</w:t>
            </w:r>
            <w:r>
              <w:rPr>
                <w:rFonts w:eastAsia="Times New Roman" w:cstheme="minorHAnsi"/>
                <w:color w:val="000000"/>
                <w:lang w:eastAsia="en-GB"/>
              </w:rPr>
              <w:t>,</w:t>
            </w:r>
            <w:r w:rsidRPr="00B6620E">
              <w:rPr>
                <w:rFonts w:eastAsia="Times New Roman" w:cstheme="minorHAnsi"/>
                <w:color w:val="000000"/>
                <w:lang w:eastAsia="en-GB"/>
              </w:rPr>
              <w:t>565</w:t>
            </w:r>
            <w:r>
              <w:rPr>
                <w:rFonts w:eastAsia="Times New Roman" w:cstheme="minorHAnsi"/>
                <w:color w:val="000000"/>
                <w:lang w:eastAsia="en-GB"/>
              </w:rPr>
              <w:t xml:space="preserve"> (22.6%)</w:t>
            </w:r>
          </w:p>
        </w:tc>
        <w:tc>
          <w:tcPr>
            <w:tcW w:w="934" w:type="dxa"/>
          </w:tcPr>
          <w:p w14:paraId="2453D164" w14:textId="77777777" w:rsidR="00F511F4" w:rsidRPr="00B6620E" w:rsidRDefault="00F511F4" w:rsidP="001F53D9">
            <w:pPr>
              <w:spacing w:after="0" w:line="240" w:lineRule="auto"/>
              <w:rPr>
                <w:rFonts w:eastAsia="Times New Roman" w:cstheme="minorHAnsi"/>
                <w:color w:val="000000"/>
                <w:lang w:eastAsia="en-GB"/>
              </w:rPr>
            </w:pPr>
          </w:p>
        </w:tc>
      </w:tr>
      <w:tr w:rsidR="00F511F4" w:rsidRPr="00B6620E" w14:paraId="00CF6DCF" w14:textId="77777777" w:rsidTr="001F53D9">
        <w:trPr>
          <w:trHeight w:val="285"/>
        </w:trPr>
        <w:tc>
          <w:tcPr>
            <w:tcW w:w="2689" w:type="dxa"/>
            <w:shd w:val="clear" w:color="auto" w:fill="auto"/>
            <w:noWrap/>
            <w:hideMark/>
          </w:tcPr>
          <w:p w14:paraId="6A32EFC2" w14:textId="77777777" w:rsidR="00F511F4" w:rsidRPr="00B6620E" w:rsidRDefault="00F511F4" w:rsidP="001F53D9">
            <w:pPr>
              <w:spacing w:after="0" w:line="240" w:lineRule="auto"/>
              <w:rPr>
                <w:rFonts w:eastAsia="Times New Roman" w:cstheme="minorHAnsi"/>
                <w:color w:val="000000"/>
                <w:lang w:eastAsia="en-GB"/>
              </w:rPr>
            </w:pPr>
            <w:r w:rsidRPr="00B6620E">
              <w:rPr>
                <w:rFonts w:eastAsia="Times New Roman" w:cstheme="minorHAnsi"/>
                <w:color w:val="000000"/>
                <w:lang w:val="en-US" w:eastAsia="en-GB"/>
              </w:rPr>
              <w:t>Smoking</w:t>
            </w:r>
          </w:p>
        </w:tc>
        <w:tc>
          <w:tcPr>
            <w:tcW w:w="2128" w:type="dxa"/>
            <w:shd w:val="clear" w:color="auto" w:fill="auto"/>
            <w:noWrap/>
            <w:hideMark/>
          </w:tcPr>
          <w:p w14:paraId="3F24DEC9" w14:textId="77777777" w:rsidR="00F511F4" w:rsidRPr="00B6620E" w:rsidRDefault="00F511F4" w:rsidP="001F53D9">
            <w:pPr>
              <w:spacing w:after="0" w:line="240" w:lineRule="auto"/>
              <w:rPr>
                <w:rFonts w:eastAsia="Times New Roman" w:cstheme="minorHAnsi"/>
                <w:color w:val="000000"/>
                <w:lang w:eastAsia="en-GB"/>
              </w:rPr>
            </w:pPr>
            <w:r w:rsidRPr="00B6620E">
              <w:rPr>
                <w:rFonts w:eastAsia="Times New Roman" w:cstheme="minorHAnsi"/>
                <w:color w:val="000000"/>
                <w:lang w:eastAsia="en-GB"/>
              </w:rPr>
              <w:t>1</w:t>
            </w:r>
            <w:r>
              <w:rPr>
                <w:rFonts w:eastAsia="Times New Roman" w:cstheme="minorHAnsi"/>
                <w:color w:val="000000"/>
                <w:lang w:eastAsia="en-GB"/>
              </w:rPr>
              <w:t>,</w:t>
            </w:r>
            <w:r w:rsidRPr="00B6620E">
              <w:rPr>
                <w:rFonts w:eastAsia="Times New Roman" w:cstheme="minorHAnsi"/>
                <w:color w:val="000000"/>
                <w:lang w:eastAsia="en-GB"/>
              </w:rPr>
              <w:t>860</w:t>
            </w:r>
            <w:r>
              <w:rPr>
                <w:rFonts w:eastAsia="Times New Roman" w:cstheme="minorHAnsi"/>
                <w:color w:val="000000"/>
                <w:lang w:eastAsia="en-GB"/>
              </w:rPr>
              <w:t>,</w:t>
            </w:r>
            <w:r w:rsidRPr="00B6620E">
              <w:rPr>
                <w:rFonts w:eastAsia="Times New Roman" w:cstheme="minorHAnsi"/>
                <w:color w:val="000000"/>
                <w:lang w:eastAsia="en-GB"/>
              </w:rPr>
              <w:t>957</w:t>
            </w:r>
            <w:r>
              <w:rPr>
                <w:rFonts w:eastAsia="Times New Roman" w:cstheme="minorHAnsi"/>
                <w:color w:val="000000"/>
                <w:lang w:eastAsia="en-GB"/>
              </w:rPr>
              <w:t xml:space="preserve"> (20.0%)</w:t>
            </w:r>
          </w:p>
        </w:tc>
        <w:tc>
          <w:tcPr>
            <w:tcW w:w="1984" w:type="dxa"/>
            <w:shd w:val="clear" w:color="auto" w:fill="auto"/>
            <w:noWrap/>
            <w:hideMark/>
          </w:tcPr>
          <w:p w14:paraId="0483A1C9" w14:textId="77777777" w:rsidR="00F511F4" w:rsidRPr="00B6620E" w:rsidRDefault="00F511F4" w:rsidP="001F53D9">
            <w:pPr>
              <w:spacing w:after="0" w:line="240" w:lineRule="auto"/>
              <w:rPr>
                <w:rFonts w:eastAsia="Times New Roman" w:cstheme="minorHAnsi"/>
                <w:color w:val="000000"/>
                <w:lang w:eastAsia="en-GB"/>
              </w:rPr>
            </w:pPr>
            <w:r w:rsidRPr="00B6620E">
              <w:rPr>
                <w:rFonts w:eastAsia="Times New Roman" w:cstheme="minorHAnsi"/>
                <w:color w:val="000000"/>
                <w:lang w:eastAsia="en-GB"/>
              </w:rPr>
              <w:t>470</w:t>
            </w:r>
            <w:r>
              <w:rPr>
                <w:rFonts w:eastAsia="Times New Roman" w:cstheme="minorHAnsi"/>
                <w:color w:val="000000"/>
                <w:lang w:eastAsia="en-GB"/>
              </w:rPr>
              <w:t>,</w:t>
            </w:r>
            <w:r w:rsidRPr="00B6620E">
              <w:rPr>
                <w:rFonts w:eastAsia="Times New Roman" w:cstheme="minorHAnsi"/>
                <w:color w:val="000000"/>
                <w:lang w:eastAsia="en-GB"/>
              </w:rPr>
              <w:t>077</w:t>
            </w:r>
            <w:r>
              <w:rPr>
                <w:rFonts w:eastAsia="Times New Roman" w:cstheme="minorHAnsi"/>
                <w:color w:val="000000"/>
                <w:lang w:eastAsia="en-GB"/>
              </w:rPr>
              <w:t xml:space="preserve"> (20.3%)</w:t>
            </w:r>
          </w:p>
        </w:tc>
        <w:tc>
          <w:tcPr>
            <w:tcW w:w="1899" w:type="dxa"/>
            <w:shd w:val="clear" w:color="auto" w:fill="auto"/>
            <w:noWrap/>
            <w:hideMark/>
          </w:tcPr>
          <w:p w14:paraId="48E24A8D" w14:textId="77777777" w:rsidR="00F511F4" w:rsidRPr="00B6620E" w:rsidRDefault="00F511F4" w:rsidP="001F53D9">
            <w:pPr>
              <w:spacing w:after="0" w:line="240" w:lineRule="auto"/>
              <w:rPr>
                <w:rFonts w:eastAsia="Times New Roman" w:cstheme="minorHAnsi"/>
                <w:color w:val="000000"/>
                <w:lang w:eastAsia="en-GB"/>
              </w:rPr>
            </w:pPr>
            <w:r w:rsidRPr="00B6620E">
              <w:rPr>
                <w:rFonts w:eastAsia="Times New Roman" w:cstheme="minorHAnsi"/>
                <w:color w:val="000000"/>
                <w:lang w:eastAsia="en-GB"/>
              </w:rPr>
              <w:t>1</w:t>
            </w:r>
            <w:r>
              <w:rPr>
                <w:rFonts w:eastAsia="Times New Roman" w:cstheme="minorHAnsi"/>
                <w:color w:val="000000"/>
                <w:lang w:eastAsia="en-GB"/>
              </w:rPr>
              <w:t>,</w:t>
            </w:r>
            <w:r w:rsidRPr="00B6620E">
              <w:rPr>
                <w:rFonts w:eastAsia="Times New Roman" w:cstheme="minorHAnsi"/>
                <w:color w:val="000000"/>
                <w:lang w:eastAsia="en-GB"/>
              </w:rPr>
              <w:t>750</w:t>
            </w:r>
            <w:r>
              <w:rPr>
                <w:rFonts w:eastAsia="Times New Roman" w:cstheme="minorHAnsi"/>
                <w:color w:val="000000"/>
                <w:lang w:eastAsia="en-GB"/>
              </w:rPr>
              <w:t xml:space="preserve"> (15.2%)</w:t>
            </w:r>
          </w:p>
        </w:tc>
        <w:tc>
          <w:tcPr>
            <w:tcW w:w="934" w:type="dxa"/>
          </w:tcPr>
          <w:p w14:paraId="2C52D558" w14:textId="77777777" w:rsidR="00F511F4" w:rsidRPr="00B6620E" w:rsidRDefault="00F511F4" w:rsidP="001F53D9">
            <w:pPr>
              <w:spacing w:after="0" w:line="240" w:lineRule="auto"/>
              <w:rPr>
                <w:rFonts w:eastAsia="Times New Roman" w:cstheme="minorHAnsi"/>
                <w:color w:val="000000"/>
                <w:lang w:eastAsia="en-GB"/>
              </w:rPr>
            </w:pPr>
            <w:r>
              <w:rPr>
                <w:rFonts w:eastAsia="Times New Roman" w:cstheme="minorHAnsi"/>
                <w:color w:val="000000"/>
                <w:lang w:eastAsia="en-GB"/>
              </w:rPr>
              <w:t>&lt;0.001</w:t>
            </w:r>
          </w:p>
        </w:tc>
      </w:tr>
      <w:tr w:rsidR="00F511F4" w:rsidRPr="00B6620E" w14:paraId="2DE7C3CD" w14:textId="77777777" w:rsidTr="001F53D9">
        <w:trPr>
          <w:trHeight w:val="285"/>
        </w:trPr>
        <w:tc>
          <w:tcPr>
            <w:tcW w:w="2689" w:type="dxa"/>
            <w:shd w:val="clear" w:color="auto" w:fill="auto"/>
            <w:noWrap/>
            <w:hideMark/>
          </w:tcPr>
          <w:p w14:paraId="30B453B3" w14:textId="77777777" w:rsidR="00F511F4" w:rsidRPr="00B6620E" w:rsidRDefault="00F511F4" w:rsidP="001F53D9">
            <w:pPr>
              <w:spacing w:after="0" w:line="240" w:lineRule="auto"/>
              <w:rPr>
                <w:rFonts w:eastAsia="Times New Roman" w:cstheme="minorHAnsi"/>
                <w:color w:val="000000"/>
                <w:lang w:eastAsia="en-GB"/>
              </w:rPr>
            </w:pPr>
            <w:r w:rsidRPr="00B6620E">
              <w:rPr>
                <w:rFonts w:eastAsia="Times New Roman" w:cstheme="minorHAnsi"/>
                <w:color w:val="000000"/>
                <w:lang w:val="en-US" w:eastAsia="en-GB"/>
              </w:rPr>
              <w:t>Hypercholesterolemia</w:t>
            </w:r>
          </w:p>
        </w:tc>
        <w:tc>
          <w:tcPr>
            <w:tcW w:w="2128" w:type="dxa"/>
            <w:shd w:val="clear" w:color="auto" w:fill="auto"/>
            <w:noWrap/>
            <w:hideMark/>
          </w:tcPr>
          <w:p w14:paraId="10FBC808" w14:textId="77777777" w:rsidR="00F511F4" w:rsidRPr="00B6620E" w:rsidRDefault="00F511F4" w:rsidP="001F53D9">
            <w:pPr>
              <w:spacing w:after="0" w:line="240" w:lineRule="auto"/>
              <w:rPr>
                <w:rFonts w:eastAsia="Times New Roman" w:cstheme="minorHAnsi"/>
                <w:color w:val="000000"/>
                <w:lang w:eastAsia="en-GB"/>
              </w:rPr>
            </w:pPr>
            <w:r w:rsidRPr="00B6620E">
              <w:rPr>
                <w:rFonts w:eastAsia="Times New Roman" w:cstheme="minorHAnsi"/>
                <w:color w:val="000000"/>
                <w:lang w:eastAsia="en-GB"/>
              </w:rPr>
              <w:t>3</w:t>
            </w:r>
            <w:r>
              <w:rPr>
                <w:rFonts w:eastAsia="Times New Roman" w:cstheme="minorHAnsi"/>
                <w:color w:val="000000"/>
                <w:lang w:eastAsia="en-GB"/>
              </w:rPr>
              <w:t>,</w:t>
            </w:r>
            <w:r w:rsidRPr="00B6620E">
              <w:rPr>
                <w:rFonts w:eastAsia="Times New Roman" w:cstheme="minorHAnsi"/>
                <w:color w:val="000000"/>
                <w:lang w:eastAsia="en-GB"/>
              </w:rPr>
              <w:t>267</w:t>
            </w:r>
            <w:r>
              <w:rPr>
                <w:rFonts w:eastAsia="Times New Roman" w:cstheme="minorHAnsi"/>
                <w:color w:val="000000"/>
                <w:lang w:eastAsia="en-GB"/>
              </w:rPr>
              <w:t>,</w:t>
            </w:r>
            <w:r w:rsidRPr="00B6620E">
              <w:rPr>
                <w:rFonts w:eastAsia="Times New Roman" w:cstheme="minorHAnsi"/>
                <w:color w:val="000000"/>
                <w:lang w:eastAsia="en-GB"/>
              </w:rPr>
              <w:t>247</w:t>
            </w:r>
            <w:r>
              <w:rPr>
                <w:rFonts w:eastAsia="Times New Roman" w:cstheme="minorHAnsi"/>
                <w:color w:val="000000"/>
                <w:lang w:eastAsia="en-GB"/>
              </w:rPr>
              <w:t xml:space="preserve"> (35.1%)</w:t>
            </w:r>
          </w:p>
        </w:tc>
        <w:tc>
          <w:tcPr>
            <w:tcW w:w="1984" w:type="dxa"/>
            <w:shd w:val="clear" w:color="auto" w:fill="auto"/>
            <w:noWrap/>
            <w:hideMark/>
          </w:tcPr>
          <w:p w14:paraId="26359D42" w14:textId="77777777" w:rsidR="00F511F4" w:rsidRPr="00B6620E" w:rsidRDefault="00F511F4" w:rsidP="001F53D9">
            <w:pPr>
              <w:spacing w:after="0" w:line="240" w:lineRule="auto"/>
              <w:rPr>
                <w:rFonts w:eastAsia="Times New Roman" w:cstheme="minorHAnsi"/>
                <w:color w:val="000000"/>
                <w:lang w:eastAsia="en-GB"/>
              </w:rPr>
            </w:pPr>
            <w:r w:rsidRPr="00B6620E">
              <w:rPr>
                <w:rFonts w:eastAsia="Times New Roman" w:cstheme="minorHAnsi"/>
                <w:color w:val="000000"/>
                <w:lang w:eastAsia="en-GB"/>
              </w:rPr>
              <w:t>838</w:t>
            </w:r>
            <w:r>
              <w:rPr>
                <w:rFonts w:eastAsia="Times New Roman" w:cstheme="minorHAnsi"/>
                <w:color w:val="000000"/>
                <w:lang w:eastAsia="en-GB"/>
              </w:rPr>
              <w:t>,</w:t>
            </w:r>
            <w:r w:rsidRPr="00B6620E">
              <w:rPr>
                <w:rFonts w:eastAsia="Times New Roman" w:cstheme="minorHAnsi"/>
                <w:color w:val="000000"/>
                <w:lang w:eastAsia="en-GB"/>
              </w:rPr>
              <w:t>832</w:t>
            </w:r>
            <w:r>
              <w:rPr>
                <w:rFonts w:eastAsia="Times New Roman" w:cstheme="minorHAnsi"/>
                <w:color w:val="000000"/>
                <w:lang w:eastAsia="en-GB"/>
              </w:rPr>
              <w:t xml:space="preserve"> (36.3%)</w:t>
            </w:r>
          </w:p>
        </w:tc>
        <w:tc>
          <w:tcPr>
            <w:tcW w:w="1899" w:type="dxa"/>
            <w:shd w:val="clear" w:color="auto" w:fill="auto"/>
            <w:noWrap/>
            <w:hideMark/>
          </w:tcPr>
          <w:p w14:paraId="71DEAD99" w14:textId="77777777" w:rsidR="00F511F4" w:rsidRPr="00B6620E" w:rsidRDefault="00F511F4" w:rsidP="001F53D9">
            <w:pPr>
              <w:spacing w:after="0" w:line="240" w:lineRule="auto"/>
              <w:rPr>
                <w:rFonts w:eastAsia="Times New Roman" w:cstheme="minorHAnsi"/>
                <w:color w:val="000000"/>
                <w:lang w:eastAsia="en-GB"/>
              </w:rPr>
            </w:pPr>
            <w:r w:rsidRPr="00B6620E">
              <w:rPr>
                <w:rFonts w:eastAsia="Times New Roman" w:cstheme="minorHAnsi"/>
                <w:color w:val="000000"/>
                <w:lang w:eastAsia="en-GB"/>
              </w:rPr>
              <w:t>4</w:t>
            </w:r>
            <w:r>
              <w:rPr>
                <w:rFonts w:eastAsia="Times New Roman" w:cstheme="minorHAnsi"/>
                <w:color w:val="000000"/>
                <w:lang w:eastAsia="en-GB"/>
              </w:rPr>
              <w:t>,</w:t>
            </w:r>
            <w:r w:rsidRPr="00B6620E">
              <w:rPr>
                <w:rFonts w:eastAsia="Times New Roman" w:cstheme="minorHAnsi"/>
                <w:color w:val="000000"/>
                <w:lang w:eastAsia="en-GB"/>
              </w:rPr>
              <w:t>003</w:t>
            </w:r>
            <w:r>
              <w:rPr>
                <w:rFonts w:eastAsia="Times New Roman" w:cstheme="minorHAnsi"/>
                <w:color w:val="000000"/>
                <w:lang w:eastAsia="en-GB"/>
              </w:rPr>
              <w:t xml:space="preserve"> (34.7%)</w:t>
            </w:r>
          </w:p>
        </w:tc>
        <w:tc>
          <w:tcPr>
            <w:tcW w:w="934" w:type="dxa"/>
          </w:tcPr>
          <w:p w14:paraId="06B6CD1F" w14:textId="77777777" w:rsidR="00F511F4" w:rsidRPr="00B6620E" w:rsidRDefault="00F511F4" w:rsidP="001F53D9">
            <w:pPr>
              <w:spacing w:after="0" w:line="240" w:lineRule="auto"/>
              <w:rPr>
                <w:rFonts w:eastAsia="Times New Roman" w:cstheme="minorHAnsi"/>
                <w:color w:val="000000"/>
                <w:lang w:eastAsia="en-GB"/>
              </w:rPr>
            </w:pPr>
            <w:r>
              <w:rPr>
                <w:rFonts w:eastAsia="Times New Roman" w:cstheme="minorHAnsi"/>
                <w:color w:val="000000"/>
                <w:lang w:eastAsia="en-GB"/>
              </w:rPr>
              <w:t>&lt;0.001</w:t>
            </w:r>
          </w:p>
        </w:tc>
      </w:tr>
      <w:tr w:rsidR="00F511F4" w:rsidRPr="00B6620E" w14:paraId="27FD76FA" w14:textId="77777777" w:rsidTr="001F53D9">
        <w:trPr>
          <w:trHeight w:val="285"/>
        </w:trPr>
        <w:tc>
          <w:tcPr>
            <w:tcW w:w="2689" w:type="dxa"/>
            <w:shd w:val="clear" w:color="auto" w:fill="auto"/>
            <w:noWrap/>
            <w:hideMark/>
          </w:tcPr>
          <w:p w14:paraId="2F4F6963" w14:textId="77777777" w:rsidR="00F511F4" w:rsidRPr="00B6620E" w:rsidRDefault="00F511F4" w:rsidP="001F53D9">
            <w:pPr>
              <w:spacing w:after="0" w:line="240" w:lineRule="auto"/>
              <w:rPr>
                <w:rFonts w:eastAsia="Times New Roman" w:cstheme="minorHAnsi"/>
                <w:color w:val="000000"/>
                <w:lang w:eastAsia="en-GB"/>
              </w:rPr>
            </w:pPr>
            <w:r w:rsidRPr="00B6620E">
              <w:rPr>
                <w:rFonts w:eastAsia="Times New Roman" w:cstheme="minorHAnsi"/>
                <w:color w:val="000000"/>
                <w:lang w:val="en-US" w:eastAsia="en-GB"/>
              </w:rPr>
              <w:t>Hypertension</w:t>
            </w:r>
          </w:p>
        </w:tc>
        <w:tc>
          <w:tcPr>
            <w:tcW w:w="2128" w:type="dxa"/>
            <w:shd w:val="clear" w:color="auto" w:fill="auto"/>
            <w:noWrap/>
            <w:hideMark/>
          </w:tcPr>
          <w:p w14:paraId="148AD39C" w14:textId="77777777" w:rsidR="00F511F4" w:rsidRPr="00B6620E" w:rsidRDefault="00F511F4" w:rsidP="001F53D9">
            <w:pPr>
              <w:spacing w:after="0" w:line="240" w:lineRule="auto"/>
              <w:rPr>
                <w:rFonts w:eastAsia="Times New Roman" w:cstheme="minorHAnsi"/>
                <w:color w:val="000000"/>
                <w:lang w:eastAsia="en-GB"/>
              </w:rPr>
            </w:pPr>
            <w:r w:rsidRPr="00B6620E">
              <w:rPr>
                <w:rFonts w:eastAsia="Times New Roman" w:cstheme="minorHAnsi"/>
                <w:color w:val="000000"/>
                <w:lang w:eastAsia="en-GB"/>
              </w:rPr>
              <w:t>5</w:t>
            </w:r>
            <w:r>
              <w:rPr>
                <w:rFonts w:eastAsia="Times New Roman" w:cstheme="minorHAnsi"/>
                <w:color w:val="000000"/>
                <w:lang w:eastAsia="en-GB"/>
              </w:rPr>
              <w:t>,</w:t>
            </w:r>
            <w:r w:rsidRPr="00B6620E">
              <w:rPr>
                <w:rFonts w:eastAsia="Times New Roman" w:cstheme="minorHAnsi"/>
                <w:color w:val="000000"/>
                <w:lang w:eastAsia="en-GB"/>
              </w:rPr>
              <w:t>912</w:t>
            </w:r>
            <w:r>
              <w:rPr>
                <w:rFonts w:eastAsia="Times New Roman" w:cstheme="minorHAnsi"/>
                <w:color w:val="000000"/>
                <w:lang w:eastAsia="en-GB"/>
              </w:rPr>
              <w:t>,</w:t>
            </w:r>
            <w:r w:rsidRPr="00B6620E">
              <w:rPr>
                <w:rFonts w:eastAsia="Times New Roman" w:cstheme="minorHAnsi"/>
                <w:color w:val="000000"/>
                <w:lang w:eastAsia="en-GB"/>
              </w:rPr>
              <w:t>950</w:t>
            </w:r>
            <w:r>
              <w:rPr>
                <w:rFonts w:eastAsia="Times New Roman" w:cstheme="minorHAnsi"/>
                <w:color w:val="000000"/>
                <w:lang w:eastAsia="en-GB"/>
              </w:rPr>
              <w:t xml:space="preserve"> (63.6%)</w:t>
            </w:r>
          </w:p>
        </w:tc>
        <w:tc>
          <w:tcPr>
            <w:tcW w:w="1984" w:type="dxa"/>
            <w:shd w:val="clear" w:color="auto" w:fill="auto"/>
            <w:noWrap/>
            <w:hideMark/>
          </w:tcPr>
          <w:p w14:paraId="2CE4B694" w14:textId="77777777" w:rsidR="00F511F4" w:rsidRPr="00B6620E" w:rsidRDefault="00F511F4" w:rsidP="001F53D9">
            <w:pPr>
              <w:spacing w:after="0" w:line="240" w:lineRule="auto"/>
              <w:rPr>
                <w:rFonts w:eastAsia="Times New Roman" w:cstheme="minorHAnsi"/>
                <w:color w:val="000000"/>
                <w:lang w:eastAsia="en-GB"/>
              </w:rPr>
            </w:pPr>
            <w:r w:rsidRPr="00B6620E">
              <w:rPr>
                <w:rFonts w:eastAsia="Times New Roman" w:cstheme="minorHAnsi"/>
                <w:color w:val="000000"/>
                <w:lang w:eastAsia="en-GB"/>
              </w:rPr>
              <w:t>1</w:t>
            </w:r>
            <w:r>
              <w:rPr>
                <w:rFonts w:eastAsia="Times New Roman" w:cstheme="minorHAnsi"/>
                <w:color w:val="000000"/>
                <w:lang w:eastAsia="en-GB"/>
              </w:rPr>
              <w:t>,</w:t>
            </w:r>
            <w:r w:rsidRPr="00B6620E">
              <w:rPr>
                <w:rFonts w:eastAsia="Times New Roman" w:cstheme="minorHAnsi"/>
                <w:color w:val="000000"/>
                <w:lang w:eastAsia="en-GB"/>
              </w:rPr>
              <w:t>500</w:t>
            </w:r>
            <w:r>
              <w:rPr>
                <w:rFonts w:eastAsia="Times New Roman" w:cstheme="minorHAnsi"/>
                <w:color w:val="000000"/>
                <w:lang w:eastAsia="en-GB"/>
              </w:rPr>
              <w:t>,</w:t>
            </w:r>
            <w:r w:rsidRPr="00B6620E">
              <w:rPr>
                <w:rFonts w:eastAsia="Times New Roman" w:cstheme="minorHAnsi"/>
                <w:color w:val="000000"/>
                <w:lang w:eastAsia="en-GB"/>
              </w:rPr>
              <w:t>015</w:t>
            </w:r>
            <w:r>
              <w:rPr>
                <w:rFonts w:eastAsia="Times New Roman" w:cstheme="minorHAnsi"/>
                <w:color w:val="000000"/>
                <w:lang w:eastAsia="en-GB"/>
              </w:rPr>
              <w:t xml:space="preserve"> (64.8%)</w:t>
            </w:r>
          </w:p>
        </w:tc>
        <w:tc>
          <w:tcPr>
            <w:tcW w:w="1899" w:type="dxa"/>
            <w:shd w:val="clear" w:color="auto" w:fill="auto"/>
            <w:noWrap/>
            <w:hideMark/>
          </w:tcPr>
          <w:p w14:paraId="5D3D1A5D" w14:textId="77777777" w:rsidR="00F511F4" w:rsidRPr="00B6620E" w:rsidRDefault="00F511F4" w:rsidP="001F53D9">
            <w:pPr>
              <w:spacing w:after="0" w:line="240" w:lineRule="auto"/>
              <w:rPr>
                <w:rFonts w:eastAsia="Times New Roman" w:cstheme="minorHAnsi"/>
                <w:color w:val="000000"/>
                <w:lang w:eastAsia="en-GB"/>
              </w:rPr>
            </w:pPr>
            <w:r w:rsidRPr="00B6620E">
              <w:rPr>
                <w:rFonts w:eastAsia="Times New Roman" w:cstheme="minorHAnsi"/>
                <w:color w:val="000000"/>
                <w:lang w:eastAsia="en-GB"/>
              </w:rPr>
              <w:t>7</w:t>
            </w:r>
            <w:r>
              <w:rPr>
                <w:rFonts w:eastAsia="Times New Roman" w:cstheme="minorHAnsi"/>
                <w:color w:val="000000"/>
                <w:lang w:eastAsia="en-GB"/>
              </w:rPr>
              <w:t>,</w:t>
            </w:r>
            <w:r w:rsidRPr="00B6620E">
              <w:rPr>
                <w:rFonts w:eastAsia="Times New Roman" w:cstheme="minorHAnsi"/>
                <w:color w:val="000000"/>
                <w:lang w:eastAsia="en-GB"/>
              </w:rPr>
              <w:t>483</w:t>
            </w:r>
            <w:r>
              <w:rPr>
                <w:rFonts w:eastAsia="Times New Roman" w:cstheme="minorHAnsi"/>
                <w:color w:val="000000"/>
                <w:lang w:eastAsia="en-GB"/>
              </w:rPr>
              <w:t xml:space="preserve"> (64.9%)</w:t>
            </w:r>
          </w:p>
        </w:tc>
        <w:tc>
          <w:tcPr>
            <w:tcW w:w="934" w:type="dxa"/>
          </w:tcPr>
          <w:p w14:paraId="0C295062" w14:textId="77777777" w:rsidR="00F511F4" w:rsidRPr="00B6620E" w:rsidRDefault="00F511F4" w:rsidP="001F53D9">
            <w:pPr>
              <w:spacing w:after="0" w:line="240" w:lineRule="auto"/>
              <w:rPr>
                <w:rFonts w:eastAsia="Times New Roman" w:cstheme="minorHAnsi"/>
                <w:color w:val="000000"/>
                <w:lang w:eastAsia="en-GB"/>
              </w:rPr>
            </w:pPr>
            <w:r>
              <w:rPr>
                <w:rFonts w:eastAsia="Times New Roman" w:cstheme="minorHAnsi"/>
                <w:color w:val="000000"/>
                <w:lang w:eastAsia="en-GB"/>
              </w:rPr>
              <w:t>&lt;0.001</w:t>
            </w:r>
          </w:p>
        </w:tc>
      </w:tr>
      <w:tr w:rsidR="00F511F4" w:rsidRPr="00B6620E" w14:paraId="3CC0E568" w14:textId="77777777" w:rsidTr="001F53D9">
        <w:trPr>
          <w:trHeight w:val="285"/>
        </w:trPr>
        <w:tc>
          <w:tcPr>
            <w:tcW w:w="2689" w:type="dxa"/>
            <w:shd w:val="clear" w:color="auto" w:fill="auto"/>
            <w:noWrap/>
            <w:hideMark/>
          </w:tcPr>
          <w:p w14:paraId="41CA1136" w14:textId="77777777" w:rsidR="00F511F4" w:rsidRPr="00B6620E" w:rsidRDefault="00F511F4" w:rsidP="001F53D9">
            <w:pPr>
              <w:spacing w:after="0" w:line="240" w:lineRule="auto"/>
              <w:rPr>
                <w:rFonts w:eastAsia="Times New Roman" w:cstheme="minorHAnsi"/>
                <w:color w:val="000000"/>
                <w:lang w:eastAsia="en-GB"/>
              </w:rPr>
            </w:pPr>
            <w:r w:rsidRPr="00B6620E">
              <w:rPr>
                <w:rFonts w:eastAsia="Times New Roman" w:cstheme="minorHAnsi"/>
                <w:color w:val="000000"/>
                <w:lang w:val="en-US" w:eastAsia="en-GB"/>
              </w:rPr>
              <w:t>Diabetes</w:t>
            </w:r>
          </w:p>
        </w:tc>
        <w:tc>
          <w:tcPr>
            <w:tcW w:w="2128" w:type="dxa"/>
            <w:shd w:val="clear" w:color="auto" w:fill="auto"/>
            <w:noWrap/>
            <w:hideMark/>
          </w:tcPr>
          <w:p w14:paraId="00032DE5" w14:textId="77777777" w:rsidR="00F511F4" w:rsidRPr="00B6620E" w:rsidRDefault="00F511F4" w:rsidP="001F53D9">
            <w:pPr>
              <w:spacing w:after="0" w:line="240" w:lineRule="auto"/>
              <w:rPr>
                <w:rFonts w:eastAsia="Times New Roman" w:cstheme="minorHAnsi"/>
                <w:color w:val="000000"/>
                <w:lang w:eastAsia="en-GB"/>
              </w:rPr>
            </w:pPr>
            <w:r w:rsidRPr="00B6620E">
              <w:rPr>
                <w:rFonts w:eastAsia="Times New Roman" w:cstheme="minorHAnsi"/>
                <w:color w:val="000000"/>
                <w:lang w:eastAsia="en-GB"/>
              </w:rPr>
              <w:t>3</w:t>
            </w:r>
            <w:r>
              <w:rPr>
                <w:rFonts w:eastAsia="Times New Roman" w:cstheme="minorHAnsi"/>
                <w:color w:val="000000"/>
                <w:lang w:eastAsia="en-GB"/>
              </w:rPr>
              <w:t>,</w:t>
            </w:r>
            <w:r w:rsidRPr="00B6620E">
              <w:rPr>
                <w:rFonts w:eastAsia="Times New Roman" w:cstheme="minorHAnsi"/>
                <w:color w:val="000000"/>
                <w:lang w:eastAsia="en-GB"/>
              </w:rPr>
              <w:t>991</w:t>
            </w:r>
            <w:r>
              <w:rPr>
                <w:rFonts w:eastAsia="Times New Roman" w:cstheme="minorHAnsi"/>
                <w:color w:val="000000"/>
                <w:lang w:eastAsia="en-GB"/>
              </w:rPr>
              <w:t>,</w:t>
            </w:r>
            <w:r w:rsidRPr="00B6620E">
              <w:rPr>
                <w:rFonts w:eastAsia="Times New Roman" w:cstheme="minorHAnsi"/>
                <w:color w:val="000000"/>
                <w:lang w:eastAsia="en-GB"/>
              </w:rPr>
              <w:t>413</w:t>
            </w:r>
            <w:r>
              <w:rPr>
                <w:rFonts w:eastAsia="Times New Roman" w:cstheme="minorHAnsi"/>
                <w:color w:val="000000"/>
                <w:lang w:eastAsia="en-GB"/>
              </w:rPr>
              <w:t xml:space="preserve"> (42.9%)</w:t>
            </w:r>
          </w:p>
        </w:tc>
        <w:tc>
          <w:tcPr>
            <w:tcW w:w="1984" w:type="dxa"/>
            <w:shd w:val="clear" w:color="auto" w:fill="auto"/>
            <w:noWrap/>
            <w:hideMark/>
          </w:tcPr>
          <w:p w14:paraId="1504658A" w14:textId="77777777" w:rsidR="00F511F4" w:rsidRPr="00B6620E" w:rsidRDefault="00F511F4" w:rsidP="001F53D9">
            <w:pPr>
              <w:spacing w:after="0" w:line="240" w:lineRule="auto"/>
              <w:rPr>
                <w:rFonts w:eastAsia="Times New Roman" w:cstheme="minorHAnsi"/>
                <w:color w:val="000000"/>
                <w:lang w:eastAsia="en-GB"/>
              </w:rPr>
            </w:pPr>
            <w:r w:rsidRPr="00B6620E">
              <w:rPr>
                <w:rFonts w:eastAsia="Times New Roman" w:cstheme="minorHAnsi"/>
                <w:color w:val="000000"/>
                <w:lang w:eastAsia="en-GB"/>
              </w:rPr>
              <w:t>1</w:t>
            </w:r>
            <w:r>
              <w:rPr>
                <w:rFonts w:eastAsia="Times New Roman" w:cstheme="minorHAnsi"/>
                <w:color w:val="000000"/>
                <w:lang w:eastAsia="en-GB"/>
              </w:rPr>
              <w:t>,</w:t>
            </w:r>
            <w:r w:rsidRPr="00B6620E">
              <w:rPr>
                <w:rFonts w:eastAsia="Times New Roman" w:cstheme="minorHAnsi"/>
                <w:color w:val="000000"/>
                <w:lang w:eastAsia="en-GB"/>
              </w:rPr>
              <w:t>011</w:t>
            </w:r>
            <w:r>
              <w:rPr>
                <w:rFonts w:eastAsia="Times New Roman" w:cstheme="minorHAnsi"/>
                <w:color w:val="000000"/>
                <w:lang w:eastAsia="en-GB"/>
              </w:rPr>
              <w:t>,</w:t>
            </w:r>
            <w:r w:rsidRPr="00B6620E">
              <w:rPr>
                <w:rFonts w:eastAsia="Times New Roman" w:cstheme="minorHAnsi"/>
                <w:color w:val="000000"/>
                <w:lang w:eastAsia="en-GB"/>
              </w:rPr>
              <w:t>409</w:t>
            </w:r>
            <w:r>
              <w:rPr>
                <w:rFonts w:eastAsia="Times New Roman" w:cstheme="minorHAnsi"/>
                <w:color w:val="000000"/>
                <w:lang w:eastAsia="en-GB"/>
              </w:rPr>
              <w:t xml:space="preserve"> (43.7%)</w:t>
            </w:r>
          </w:p>
        </w:tc>
        <w:tc>
          <w:tcPr>
            <w:tcW w:w="1899" w:type="dxa"/>
            <w:shd w:val="clear" w:color="auto" w:fill="auto"/>
            <w:noWrap/>
            <w:hideMark/>
          </w:tcPr>
          <w:p w14:paraId="64B80D37" w14:textId="77777777" w:rsidR="00F511F4" w:rsidRPr="00B6620E" w:rsidRDefault="00F511F4" w:rsidP="001F53D9">
            <w:pPr>
              <w:spacing w:after="0" w:line="240" w:lineRule="auto"/>
              <w:rPr>
                <w:rFonts w:eastAsia="Times New Roman" w:cstheme="minorHAnsi"/>
                <w:color w:val="000000"/>
                <w:lang w:eastAsia="en-GB"/>
              </w:rPr>
            </w:pPr>
            <w:r w:rsidRPr="00B6620E">
              <w:rPr>
                <w:rFonts w:eastAsia="Times New Roman" w:cstheme="minorHAnsi"/>
                <w:color w:val="000000"/>
                <w:lang w:eastAsia="en-GB"/>
              </w:rPr>
              <w:t>4</w:t>
            </w:r>
            <w:r>
              <w:rPr>
                <w:rFonts w:eastAsia="Times New Roman" w:cstheme="minorHAnsi"/>
                <w:color w:val="000000"/>
                <w:lang w:eastAsia="en-GB"/>
              </w:rPr>
              <w:t>,</w:t>
            </w:r>
            <w:r w:rsidRPr="00B6620E">
              <w:rPr>
                <w:rFonts w:eastAsia="Times New Roman" w:cstheme="minorHAnsi"/>
                <w:color w:val="000000"/>
                <w:lang w:eastAsia="en-GB"/>
              </w:rPr>
              <w:t>285</w:t>
            </w:r>
            <w:r>
              <w:rPr>
                <w:rFonts w:eastAsia="Times New Roman" w:cstheme="minorHAnsi"/>
                <w:color w:val="000000"/>
                <w:lang w:eastAsia="en-GB"/>
              </w:rPr>
              <w:t xml:space="preserve"> (37.2%)</w:t>
            </w:r>
          </w:p>
        </w:tc>
        <w:tc>
          <w:tcPr>
            <w:tcW w:w="934" w:type="dxa"/>
          </w:tcPr>
          <w:p w14:paraId="03DFD37C" w14:textId="77777777" w:rsidR="00F511F4" w:rsidRPr="00B6620E" w:rsidRDefault="00F511F4" w:rsidP="001F53D9">
            <w:pPr>
              <w:spacing w:after="0" w:line="240" w:lineRule="auto"/>
              <w:rPr>
                <w:rFonts w:eastAsia="Times New Roman" w:cstheme="minorHAnsi"/>
                <w:color w:val="000000"/>
                <w:lang w:eastAsia="en-GB"/>
              </w:rPr>
            </w:pPr>
            <w:r>
              <w:rPr>
                <w:rFonts w:eastAsia="Times New Roman" w:cstheme="minorHAnsi"/>
                <w:color w:val="000000"/>
                <w:lang w:eastAsia="en-GB"/>
              </w:rPr>
              <w:t>&lt;0.001</w:t>
            </w:r>
          </w:p>
        </w:tc>
      </w:tr>
      <w:tr w:rsidR="00F511F4" w:rsidRPr="00B6620E" w14:paraId="2DF3F77B" w14:textId="77777777" w:rsidTr="001F53D9">
        <w:trPr>
          <w:trHeight w:val="285"/>
        </w:trPr>
        <w:tc>
          <w:tcPr>
            <w:tcW w:w="2689" w:type="dxa"/>
            <w:shd w:val="clear" w:color="auto" w:fill="auto"/>
            <w:noWrap/>
            <w:hideMark/>
          </w:tcPr>
          <w:p w14:paraId="4F2DAACF" w14:textId="77777777" w:rsidR="00F511F4" w:rsidRPr="00B6620E" w:rsidRDefault="00F511F4" w:rsidP="001F53D9">
            <w:pPr>
              <w:spacing w:after="0" w:line="240" w:lineRule="auto"/>
              <w:rPr>
                <w:rFonts w:eastAsia="Times New Roman" w:cstheme="minorHAnsi"/>
                <w:color w:val="000000"/>
                <w:lang w:eastAsia="en-GB"/>
              </w:rPr>
            </w:pPr>
            <w:r w:rsidRPr="00B6620E">
              <w:rPr>
                <w:rFonts w:eastAsia="Times New Roman" w:cstheme="minorHAnsi"/>
                <w:color w:val="000000"/>
                <w:lang w:val="en-US" w:eastAsia="en-GB"/>
              </w:rPr>
              <w:t>Obesity</w:t>
            </w:r>
          </w:p>
        </w:tc>
        <w:tc>
          <w:tcPr>
            <w:tcW w:w="2128" w:type="dxa"/>
            <w:shd w:val="clear" w:color="auto" w:fill="auto"/>
            <w:noWrap/>
            <w:hideMark/>
          </w:tcPr>
          <w:p w14:paraId="25FEB3D9" w14:textId="77777777" w:rsidR="00F511F4" w:rsidRPr="00B6620E" w:rsidRDefault="00F511F4" w:rsidP="001F53D9">
            <w:pPr>
              <w:spacing w:after="0" w:line="240" w:lineRule="auto"/>
              <w:rPr>
                <w:rFonts w:eastAsia="Times New Roman" w:cstheme="minorHAnsi"/>
                <w:color w:val="000000"/>
                <w:lang w:eastAsia="en-GB"/>
              </w:rPr>
            </w:pPr>
            <w:r w:rsidRPr="00B6620E">
              <w:rPr>
                <w:rFonts w:eastAsia="Times New Roman" w:cstheme="minorHAnsi"/>
                <w:color w:val="000000"/>
                <w:lang w:eastAsia="en-GB"/>
              </w:rPr>
              <w:t>1</w:t>
            </w:r>
            <w:r>
              <w:rPr>
                <w:rFonts w:eastAsia="Times New Roman" w:cstheme="minorHAnsi"/>
                <w:color w:val="000000"/>
                <w:lang w:eastAsia="en-GB"/>
              </w:rPr>
              <w:t>,</w:t>
            </w:r>
            <w:r w:rsidRPr="00B6620E">
              <w:rPr>
                <w:rFonts w:eastAsia="Times New Roman" w:cstheme="minorHAnsi"/>
                <w:color w:val="000000"/>
                <w:lang w:eastAsia="en-GB"/>
              </w:rPr>
              <w:t>260</w:t>
            </w:r>
            <w:r>
              <w:rPr>
                <w:rFonts w:eastAsia="Times New Roman" w:cstheme="minorHAnsi"/>
                <w:color w:val="000000"/>
                <w:lang w:eastAsia="en-GB"/>
              </w:rPr>
              <w:t>,</w:t>
            </w:r>
            <w:r w:rsidRPr="00B6620E">
              <w:rPr>
                <w:rFonts w:eastAsia="Times New Roman" w:cstheme="minorHAnsi"/>
                <w:color w:val="000000"/>
                <w:lang w:eastAsia="en-GB"/>
              </w:rPr>
              <w:t>314</w:t>
            </w:r>
            <w:r>
              <w:rPr>
                <w:rFonts w:eastAsia="Times New Roman" w:cstheme="minorHAnsi"/>
                <w:color w:val="000000"/>
                <w:lang w:eastAsia="en-GB"/>
              </w:rPr>
              <w:t xml:space="preserve"> (13.6%)</w:t>
            </w:r>
          </w:p>
        </w:tc>
        <w:tc>
          <w:tcPr>
            <w:tcW w:w="1984" w:type="dxa"/>
            <w:shd w:val="clear" w:color="auto" w:fill="auto"/>
            <w:noWrap/>
            <w:hideMark/>
          </w:tcPr>
          <w:p w14:paraId="37464DD8" w14:textId="77777777" w:rsidR="00F511F4" w:rsidRPr="00B6620E" w:rsidRDefault="00F511F4" w:rsidP="001F53D9">
            <w:pPr>
              <w:spacing w:after="0" w:line="240" w:lineRule="auto"/>
              <w:rPr>
                <w:rFonts w:eastAsia="Times New Roman" w:cstheme="minorHAnsi"/>
                <w:color w:val="000000"/>
                <w:lang w:eastAsia="en-GB"/>
              </w:rPr>
            </w:pPr>
            <w:r w:rsidRPr="00B6620E">
              <w:rPr>
                <w:rFonts w:eastAsia="Times New Roman" w:cstheme="minorHAnsi"/>
                <w:color w:val="000000"/>
                <w:lang w:eastAsia="en-GB"/>
              </w:rPr>
              <w:t>358</w:t>
            </w:r>
            <w:r>
              <w:rPr>
                <w:rFonts w:eastAsia="Times New Roman" w:cstheme="minorHAnsi"/>
                <w:color w:val="000000"/>
                <w:lang w:eastAsia="en-GB"/>
              </w:rPr>
              <w:t>,</w:t>
            </w:r>
            <w:r w:rsidRPr="00B6620E">
              <w:rPr>
                <w:rFonts w:eastAsia="Times New Roman" w:cstheme="minorHAnsi"/>
                <w:color w:val="000000"/>
                <w:lang w:eastAsia="en-GB"/>
              </w:rPr>
              <w:t>979</w:t>
            </w:r>
            <w:r>
              <w:rPr>
                <w:rFonts w:eastAsia="Times New Roman" w:cstheme="minorHAnsi"/>
                <w:color w:val="000000"/>
                <w:lang w:eastAsia="en-GB"/>
              </w:rPr>
              <w:t xml:space="preserve"> (15.5%)</w:t>
            </w:r>
          </w:p>
        </w:tc>
        <w:tc>
          <w:tcPr>
            <w:tcW w:w="1899" w:type="dxa"/>
            <w:shd w:val="clear" w:color="auto" w:fill="auto"/>
            <w:noWrap/>
            <w:hideMark/>
          </w:tcPr>
          <w:p w14:paraId="1F253249" w14:textId="77777777" w:rsidR="00F511F4" w:rsidRPr="00B6620E" w:rsidRDefault="00F511F4" w:rsidP="001F53D9">
            <w:pPr>
              <w:spacing w:after="0" w:line="240" w:lineRule="auto"/>
              <w:rPr>
                <w:rFonts w:eastAsia="Times New Roman" w:cstheme="minorHAnsi"/>
                <w:color w:val="000000"/>
                <w:lang w:eastAsia="en-GB"/>
              </w:rPr>
            </w:pPr>
            <w:r w:rsidRPr="00B6620E">
              <w:rPr>
                <w:rFonts w:eastAsia="Times New Roman" w:cstheme="minorHAnsi"/>
                <w:color w:val="000000"/>
                <w:lang w:eastAsia="en-GB"/>
              </w:rPr>
              <w:t>1</w:t>
            </w:r>
            <w:r>
              <w:rPr>
                <w:rFonts w:eastAsia="Times New Roman" w:cstheme="minorHAnsi"/>
                <w:color w:val="000000"/>
                <w:lang w:eastAsia="en-GB"/>
              </w:rPr>
              <w:t>,</w:t>
            </w:r>
            <w:r w:rsidRPr="00B6620E">
              <w:rPr>
                <w:rFonts w:eastAsia="Times New Roman" w:cstheme="minorHAnsi"/>
                <w:color w:val="000000"/>
                <w:lang w:eastAsia="en-GB"/>
              </w:rPr>
              <w:t>616</w:t>
            </w:r>
            <w:r>
              <w:rPr>
                <w:rFonts w:eastAsia="Times New Roman" w:cstheme="minorHAnsi"/>
                <w:color w:val="000000"/>
                <w:lang w:eastAsia="en-GB"/>
              </w:rPr>
              <w:t xml:space="preserve"> (14.0%)</w:t>
            </w:r>
          </w:p>
        </w:tc>
        <w:tc>
          <w:tcPr>
            <w:tcW w:w="934" w:type="dxa"/>
          </w:tcPr>
          <w:p w14:paraId="7106D3B0" w14:textId="77777777" w:rsidR="00F511F4" w:rsidRPr="00B6620E" w:rsidRDefault="00F511F4" w:rsidP="001F53D9">
            <w:pPr>
              <w:spacing w:after="0" w:line="240" w:lineRule="auto"/>
              <w:rPr>
                <w:rFonts w:eastAsia="Times New Roman" w:cstheme="minorHAnsi"/>
                <w:color w:val="000000"/>
                <w:lang w:eastAsia="en-GB"/>
              </w:rPr>
            </w:pPr>
            <w:r>
              <w:rPr>
                <w:rFonts w:eastAsia="Times New Roman" w:cstheme="minorHAnsi"/>
                <w:color w:val="000000"/>
                <w:lang w:eastAsia="en-GB"/>
              </w:rPr>
              <w:t>&lt;0.001</w:t>
            </w:r>
          </w:p>
        </w:tc>
      </w:tr>
      <w:tr w:rsidR="00F511F4" w:rsidRPr="00B6620E" w14:paraId="6904A04A" w14:textId="77777777" w:rsidTr="001F53D9">
        <w:trPr>
          <w:trHeight w:val="285"/>
        </w:trPr>
        <w:tc>
          <w:tcPr>
            <w:tcW w:w="2689" w:type="dxa"/>
            <w:shd w:val="clear" w:color="auto" w:fill="auto"/>
            <w:noWrap/>
            <w:hideMark/>
          </w:tcPr>
          <w:p w14:paraId="0369FCEF" w14:textId="77777777" w:rsidR="00F511F4" w:rsidRPr="00B6620E" w:rsidRDefault="00F511F4" w:rsidP="001F53D9">
            <w:pPr>
              <w:spacing w:after="0" w:line="240" w:lineRule="auto"/>
              <w:rPr>
                <w:rFonts w:eastAsia="Times New Roman" w:cstheme="minorHAnsi"/>
                <w:color w:val="000000"/>
                <w:lang w:eastAsia="en-GB"/>
              </w:rPr>
            </w:pPr>
            <w:r>
              <w:rPr>
                <w:rFonts w:eastAsia="Times New Roman" w:cstheme="minorHAnsi"/>
                <w:color w:val="000000"/>
                <w:lang w:val="en-US" w:eastAsia="en-GB"/>
              </w:rPr>
              <w:t>Previous c</w:t>
            </w:r>
            <w:r w:rsidRPr="00B6620E">
              <w:rPr>
                <w:rFonts w:eastAsia="Times New Roman" w:cstheme="minorHAnsi"/>
                <w:color w:val="000000"/>
                <w:lang w:val="en-US" w:eastAsia="en-GB"/>
              </w:rPr>
              <w:t>ongestive heart failure</w:t>
            </w:r>
          </w:p>
        </w:tc>
        <w:tc>
          <w:tcPr>
            <w:tcW w:w="2128" w:type="dxa"/>
            <w:shd w:val="clear" w:color="auto" w:fill="auto"/>
            <w:noWrap/>
            <w:hideMark/>
          </w:tcPr>
          <w:p w14:paraId="141908BC" w14:textId="77777777" w:rsidR="00F511F4" w:rsidRPr="00B6620E" w:rsidRDefault="00F511F4" w:rsidP="001F53D9">
            <w:pPr>
              <w:spacing w:after="0" w:line="240" w:lineRule="auto"/>
              <w:rPr>
                <w:rFonts w:eastAsia="Times New Roman" w:cstheme="minorHAnsi"/>
                <w:color w:val="000000"/>
                <w:lang w:eastAsia="en-GB"/>
              </w:rPr>
            </w:pPr>
            <w:r w:rsidRPr="00B6620E">
              <w:rPr>
                <w:rFonts w:eastAsia="Times New Roman" w:cstheme="minorHAnsi"/>
                <w:color w:val="000000"/>
                <w:lang w:eastAsia="en-GB"/>
              </w:rPr>
              <w:t>45</w:t>
            </w:r>
            <w:r>
              <w:rPr>
                <w:rFonts w:eastAsia="Times New Roman" w:cstheme="minorHAnsi"/>
                <w:color w:val="000000"/>
                <w:lang w:eastAsia="en-GB"/>
              </w:rPr>
              <w:t>,</w:t>
            </w:r>
            <w:r w:rsidRPr="00B6620E">
              <w:rPr>
                <w:rFonts w:eastAsia="Times New Roman" w:cstheme="minorHAnsi"/>
                <w:color w:val="000000"/>
                <w:lang w:eastAsia="en-GB"/>
              </w:rPr>
              <w:t>061</w:t>
            </w:r>
            <w:r>
              <w:rPr>
                <w:rFonts w:eastAsia="Times New Roman" w:cstheme="minorHAnsi"/>
                <w:color w:val="000000"/>
                <w:lang w:eastAsia="en-GB"/>
              </w:rPr>
              <w:t xml:space="preserve"> (0.5%)</w:t>
            </w:r>
          </w:p>
        </w:tc>
        <w:tc>
          <w:tcPr>
            <w:tcW w:w="1984" w:type="dxa"/>
            <w:shd w:val="clear" w:color="auto" w:fill="auto"/>
            <w:noWrap/>
            <w:hideMark/>
          </w:tcPr>
          <w:p w14:paraId="1F70D8B5" w14:textId="77777777" w:rsidR="00F511F4" w:rsidRPr="00B6620E" w:rsidRDefault="00F511F4" w:rsidP="001F53D9">
            <w:pPr>
              <w:spacing w:after="0" w:line="240" w:lineRule="auto"/>
              <w:rPr>
                <w:rFonts w:eastAsia="Times New Roman" w:cstheme="minorHAnsi"/>
                <w:color w:val="000000"/>
                <w:lang w:eastAsia="en-GB"/>
              </w:rPr>
            </w:pPr>
            <w:r w:rsidRPr="00B6620E">
              <w:rPr>
                <w:rFonts w:eastAsia="Times New Roman" w:cstheme="minorHAnsi"/>
                <w:color w:val="000000"/>
                <w:lang w:eastAsia="en-GB"/>
              </w:rPr>
              <w:t>40</w:t>
            </w:r>
            <w:r>
              <w:rPr>
                <w:rFonts w:eastAsia="Times New Roman" w:cstheme="minorHAnsi"/>
                <w:color w:val="000000"/>
                <w:lang w:eastAsia="en-GB"/>
              </w:rPr>
              <w:t>,</w:t>
            </w:r>
            <w:r w:rsidRPr="00B6620E">
              <w:rPr>
                <w:rFonts w:eastAsia="Times New Roman" w:cstheme="minorHAnsi"/>
                <w:color w:val="000000"/>
                <w:lang w:eastAsia="en-GB"/>
              </w:rPr>
              <w:t>766</w:t>
            </w:r>
            <w:r>
              <w:rPr>
                <w:rFonts w:eastAsia="Times New Roman" w:cstheme="minorHAnsi"/>
                <w:color w:val="000000"/>
                <w:lang w:eastAsia="en-GB"/>
              </w:rPr>
              <w:t xml:space="preserve"> (1.8%)</w:t>
            </w:r>
          </w:p>
        </w:tc>
        <w:tc>
          <w:tcPr>
            <w:tcW w:w="1899" w:type="dxa"/>
            <w:shd w:val="clear" w:color="auto" w:fill="auto"/>
            <w:noWrap/>
            <w:hideMark/>
          </w:tcPr>
          <w:p w14:paraId="47366B60" w14:textId="77777777" w:rsidR="00F511F4" w:rsidRPr="00B6620E" w:rsidRDefault="00F511F4" w:rsidP="001F53D9">
            <w:pPr>
              <w:spacing w:after="0" w:line="240" w:lineRule="auto"/>
              <w:rPr>
                <w:rFonts w:eastAsia="Times New Roman" w:cstheme="minorHAnsi"/>
                <w:color w:val="000000"/>
                <w:lang w:eastAsia="en-GB"/>
              </w:rPr>
            </w:pPr>
            <w:r w:rsidRPr="00B6620E">
              <w:rPr>
                <w:rFonts w:eastAsia="Times New Roman" w:cstheme="minorHAnsi"/>
                <w:color w:val="000000"/>
                <w:lang w:eastAsia="en-GB"/>
              </w:rPr>
              <w:t>420</w:t>
            </w:r>
            <w:r>
              <w:rPr>
                <w:rFonts w:eastAsia="Times New Roman" w:cstheme="minorHAnsi"/>
                <w:color w:val="000000"/>
                <w:lang w:eastAsia="en-GB"/>
              </w:rPr>
              <w:t xml:space="preserve"> (3.6%)</w:t>
            </w:r>
          </w:p>
        </w:tc>
        <w:tc>
          <w:tcPr>
            <w:tcW w:w="934" w:type="dxa"/>
          </w:tcPr>
          <w:p w14:paraId="0DC210A1" w14:textId="77777777" w:rsidR="00F511F4" w:rsidRPr="00B6620E" w:rsidRDefault="00F511F4" w:rsidP="001F53D9">
            <w:pPr>
              <w:spacing w:after="0" w:line="240" w:lineRule="auto"/>
              <w:rPr>
                <w:rFonts w:eastAsia="Times New Roman" w:cstheme="minorHAnsi"/>
                <w:color w:val="000000"/>
                <w:lang w:eastAsia="en-GB"/>
              </w:rPr>
            </w:pPr>
            <w:r>
              <w:rPr>
                <w:rFonts w:eastAsia="Times New Roman" w:cstheme="minorHAnsi"/>
                <w:color w:val="000000"/>
                <w:lang w:eastAsia="en-GB"/>
              </w:rPr>
              <w:t>&lt;0.001</w:t>
            </w:r>
          </w:p>
        </w:tc>
      </w:tr>
      <w:tr w:rsidR="00F511F4" w:rsidRPr="00B6620E" w14:paraId="26D9F3CD" w14:textId="77777777" w:rsidTr="001F53D9">
        <w:trPr>
          <w:trHeight w:val="285"/>
        </w:trPr>
        <w:tc>
          <w:tcPr>
            <w:tcW w:w="2689" w:type="dxa"/>
            <w:shd w:val="clear" w:color="auto" w:fill="auto"/>
            <w:noWrap/>
            <w:hideMark/>
          </w:tcPr>
          <w:p w14:paraId="718632BD" w14:textId="77777777" w:rsidR="00F511F4" w:rsidRPr="00B6620E" w:rsidRDefault="00F511F4" w:rsidP="001F53D9">
            <w:pPr>
              <w:spacing w:after="0" w:line="240" w:lineRule="auto"/>
              <w:rPr>
                <w:rFonts w:eastAsia="Times New Roman" w:cstheme="minorHAnsi"/>
                <w:color w:val="000000"/>
                <w:lang w:eastAsia="en-GB"/>
              </w:rPr>
            </w:pPr>
            <w:r w:rsidRPr="00B6620E">
              <w:rPr>
                <w:rFonts w:eastAsia="Times New Roman" w:cstheme="minorHAnsi"/>
                <w:color w:val="000000"/>
                <w:lang w:val="en-US" w:eastAsia="en-GB"/>
              </w:rPr>
              <w:t>Coronary artery disease</w:t>
            </w:r>
          </w:p>
        </w:tc>
        <w:tc>
          <w:tcPr>
            <w:tcW w:w="2128" w:type="dxa"/>
            <w:shd w:val="clear" w:color="auto" w:fill="auto"/>
            <w:noWrap/>
            <w:hideMark/>
          </w:tcPr>
          <w:p w14:paraId="4455602A" w14:textId="77777777" w:rsidR="00F511F4" w:rsidRPr="00B6620E" w:rsidRDefault="00F511F4" w:rsidP="001F53D9">
            <w:pPr>
              <w:spacing w:after="0" w:line="240" w:lineRule="auto"/>
              <w:rPr>
                <w:rFonts w:eastAsia="Times New Roman" w:cstheme="minorHAnsi"/>
                <w:color w:val="000000"/>
                <w:lang w:eastAsia="en-GB"/>
              </w:rPr>
            </w:pPr>
            <w:r w:rsidRPr="00B6620E">
              <w:rPr>
                <w:rFonts w:eastAsia="Times New Roman" w:cstheme="minorHAnsi"/>
                <w:color w:val="000000"/>
                <w:lang w:eastAsia="en-GB"/>
              </w:rPr>
              <w:t>4</w:t>
            </w:r>
            <w:r>
              <w:rPr>
                <w:rFonts w:eastAsia="Times New Roman" w:cstheme="minorHAnsi"/>
                <w:color w:val="000000"/>
                <w:lang w:eastAsia="en-GB"/>
              </w:rPr>
              <w:t>,</w:t>
            </w:r>
            <w:r w:rsidRPr="00B6620E">
              <w:rPr>
                <w:rFonts w:eastAsia="Times New Roman" w:cstheme="minorHAnsi"/>
                <w:color w:val="000000"/>
                <w:lang w:eastAsia="en-GB"/>
              </w:rPr>
              <w:t>308</w:t>
            </w:r>
            <w:r>
              <w:rPr>
                <w:rFonts w:eastAsia="Times New Roman" w:cstheme="minorHAnsi"/>
                <w:color w:val="000000"/>
                <w:lang w:eastAsia="en-GB"/>
              </w:rPr>
              <w:t>,</w:t>
            </w:r>
            <w:r w:rsidRPr="00B6620E">
              <w:rPr>
                <w:rFonts w:eastAsia="Times New Roman" w:cstheme="minorHAnsi"/>
                <w:color w:val="000000"/>
                <w:lang w:eastAsia="en-GB"/>
              </w:rPr>
              <w:t>672</w:t>
            </w:r>
            <w:r>
              <w:rPr>
                <w:rFonts w:eastAsia="Times New Roman" w:cstheme="minorHAnsi"/>
                <w:color w:val="000000"/>
                <w:lang w:eastAsia="en-GB"/>
              </w:rPr>
              <w:t xml:space="preserve"> (46.3%)</w:t>
            </w:r>
          </w:p>
        </w:tc>
        <w:tc>
          <w:tcPr>
            <w:tcW w:w="1984" w:type="dxa"/>
            <w:shd w:val="clear" w:color="auto" w:fill="auto"/>
            <w:noWrap/>
            <w:hideMark/>
          </w:tcPr>
          <w:p w14:paraId="1A570D7E" w14:textId="77777777" w:rsidR="00F511F4" w:rsidRPr="00B6620E" w:rsidRDefault="00F511F4" w:rsidP="001F53D9">
            <w:pPr>
              <w:spacing w:after="0" w:line="240" w:lineRule="auto"/>
              <w:rPr>
                <w:rFonts w:eastAsia="Times New Roman" w:cstheme="minorHAnsi"/>
                <w:color w:val="000000"/>
                <w:lang w:eastAsia="en-GB"/>
              </w:rPr>
            </w:pPr>
            <w:r w:rsidRPr="00B6620E">
              <w:rPr>
                <w:rFonts w:eastAsia="Times New Roman" w:cstheme="minorHAnsi"/>
                <w:color w:val="000000"/>
                <w:lang w:eastAsia="en-GB"/>
              </w:rPr>
              <w:t>1</w:t>
            </w:r>
            <w:r>
              <w:rPr>
                <w:rFonts w:eastAsia="Times New Roman" w:cstheme="minorHAnsi"/>
                <w:color w:val="000000"/>
                <w:lang w:eastAsia="en-GB"/>
              </w:rPr>
              <w:t>,</w:t>
            </w:r>
            <w:r w:rsidRPr="00B6620E">
              <w:rPr>
                <w:rFonts w:eastAsia="Times New Roman" w:cstheme="minorHAnsi"/>
                <w:color w:val="000000"/>
                <w:lang w:eastAsia="en-GB"/>
              </w:rPr>
              <w:t>042</w:t>
            </w:r>
            <w:r>
              <w:rPr>
                <w:rFonts w:eastAsia="Times New Roman" w:cstheme="minorHAnsi"/>
                <w:color w:val="000000"/>
                <w:lang w:eastAsia="en-GB"/>
              </w:rPr>
              <w:t>,</w:t>
            </w:r>
            <w:r w:rsidRPr="00B6620E">
              <w:rPr>
                <w:rFonts w:eastAsia="Times New Roman" w:cstheme="minorHAnsi"/>
                <w:color w:val="000000"/>
                <w:lang w:eastAsia="en-GB"/>
              </w:rPr>
              <w:t>048</w:t>
            </w:r>
            <w:r>
              <w:rPr>
                <w:rFonts w:eastAsia="Times New Roman" w:cstheme="minorHAnsi"/>
                <w:color w:val="000000"/>
                <w:lang w:eastAsia="en-GB"/>
              </w:rPr>
              <w:t xml:space="preserve"> (45.0%)</w:t>
            </w:r>
          </w:p>
        </w:tc>
        <w:tc>
          <w:tcPr>
            <w:tcW w:w="1899" w:type="dxa"/>
            <w:shd w:val="clear" w:color="auto" w:fill="auto"/>
            <w:noWrap/>
            <w:hideMark/>
          </w:tcPr>
          <w:p w14:paraId="18AD5346" w14:textId="77777777" w:rsidR="00F511F4" w:rsidRPr="00B6620E" w:rsidRDefault="00F511F4" w:rsidP="001F53D9">
            <w:pPr>
              <w:spacing w:after="0" w:line="240" w:lineRule="auto"/>
              <w:rPr>
                <w:rFonts w:eastAsia="Times New Roman" w:cstheme="minorHAnsi"/>
                <w:color w:val="000000"/>
                <w:lang w:eastAsia="en-GB"/>
              </w:rPr>
            </w:pPr>
            <w:r w:rsidRPr="00B6620E">
              <w:rPr>
                <w:rFonts w:eastAsia="Times New Roman" w:cstheme="minorHAnsi"/>
                <w:color w:val="000000"/>
                <w:lang w:eastAsia="en-GB"/>
              </w:rPr>
              <w:t>5</w:t>
            </w:r>
            <w:r>
              <w:rPr>
                <w:rFonts w:eastAsia="Times New Roman" w:cstheme="minorHAnsi"/>
                <w:color w:val="000000"/>
                <w:lang w:eastAsia="en-GB"/>
              </w:rPr>
              <w:t>,</w:t>
            </w:r>
            <w:r w:rsidRPr="00B6620E">
              <w:rPr>
                <w:rFonts w:eastAsia="Times New Roman" w:cstheme="minorHAnsi"/>
                <w:color w:val="000000"/>
                <w:lang w:eastAsia="en-GB"/>
              </w:rPr>
              <w:t>219</w:t>
            </w:r>
            <w:r>
              <w:rPr>
                <w:rFonts w:eastAsia="Times New Roman" w:cstheme="minorHAnsi"/>
                <w:color w:val="000000"/>
                <w:lang w:eastAsia="en-GB"/>
              </w:rPr>
              <w:t xml:space="preserve"> (45.3%)</w:t>
            </w:r>
          </w:p>
        </w:tc>
        <w:tc>
          <w:tcPr>
            <w:tcW w:w="934" w:type="dxa"/>
          </w:tcPr>
          <w:p w14:paraId="4C605642" w14:textId="77777777" w:rsidR="00F511F4" w:rsidRPr="00B6620E" w:rsidRDefault="00F511F4" w:rsidP="001F53D9">
            <w:pPr>
              <w:spacing w:after="0" w:line="240" w:lineRule="auto"/>
              <w:rPr>
                <w:rFonts w:eastAsia="Times New Roman" w:cstheme="minorHAnsi"/>
                <w:color w:val="000000"/>
                <w:lang w:eastAsia="en-GB"/>
              </w:rPr>
            </w:pPr>
            <w:r>
              <w:rPr>
                <w:rFonts w:eastAsia="Times New Roman" w:cstheme="minorHAnsi"/>
                <w:color w:val="000000"/>
                <w:lang w:eastAsia="en-GB"/>
              </w:rPr>
              <w:t>&lt;0.001</w:t>
            </w:r>
          </w:p>
        </w:tc>
      </w:tr>
      <w:tr w:rsidR="00F511F4" w:rsidRPr="00B6620E" w14:paraId="019F1F22" w14:textId="77777777" w:rsidTr="001F53D9">
        <w:trPr>
          <w:trHeight w:val="285"/>
        </w:trPr>
        <w:tc>
          <w:tcPr>
            <w:tcW w:w="2689" w:type="dxa"/>
            <w:shd w:val="clear" w:color="auto" w:fill="auto"/>
            <w:noWrap/>
            <w:hideMark/>
          </w:tcPr>
          <w:p w14:paraId="126AC070" w14:textId="77777777" w:rsidR="00F511F4" w:rsidRPr="00B6620E" w:rsidRDefault="00F511F4" w:rsidP="001F53D9">
            <w:pPr>
              <w:spacing w:after="0" w:line="240" w:lineRule="auto"/>
              <w:rPr>
                <w:rFonts w:eastAsia="Times New Roman" w:cstheme="minorHAnsi"/>
                <w:color w:val="000000"/>
                <w:lang w:eastAsia="en-GB"/>
              </w:rPr>
            </w:pPr>
            <w:r w:rsidRPr="00B6620E">
              <w:rPr>
                <w:rFonts w:eastAsia="Times New Roman" w:cstheme="minorHAnsi"/>
                <w:color w:val="000000"/>
                <w:lang w:val="en-US" w:eastAsia="en-GB"/>
              </w:rPr>
              <w:lastRenderedPageBreak/>
              <w:t>Previous myocardial infarction</w:t>
            </w:r>
          </w:p>
        </w:tc>
        <w:tc>
          <w:tcPr>
            <w:tcW w:w="2128" w:type="dxa"/>
            <w:shd w:val="clear" w:color="auto" w:fill="auto"/>
            <w:noWrap/>
            <w:hideMark/>
          </w:tcPr>
          <w:p w14:paraId="24654EAC" w14:textId="77777777" w:rsidR="00F511F4" w:rsidRPr="00B6620E" w:rsidRDefault="00F511F4" w:rsidP="001F53D9">
            <w:pPr>
              <w:spacing w:after="0" w:line="240" w:lineRule="auto"/>
              <w:rPr>
                <w:rFonts w:eastAsia="Times New Roman" w:cstheme="minorHAnsi"/>
                <w:color w:val="000000"/>
                <w:lang w:eastAsia="en-GB"/>
              </w:rPr>
            </w:pPr>
            <w:r w:rsidRPr="00B6620E">
              <w:rPr>
                <w:rFonts w:eastAsia="Times New Roman" w:cstheme="minorHAnsi"/>
                <w:color w:val="000000"/>
                <w:lang w:eastAsia="en-GB"/>
              </w:rPr>
              <w:t>1</w:t>
            </w:r>
            <w:r>
              <w:rPr>
                <w:rFonts w:eastAsia="Times New Roman" w:cstheme="minorHAnsi"/>
                <w:color w:val="000000"/>
                <w:lang w:eastAsia="en-GB"/>
              </w:rPr>
              <w:t>,</w:t>
            </w:r>
            <w:r w:rsidRPr="00B6620E">
              <w:rPr>
                <w:rFonts w:eastAsia="Times New Roman" w:cstheme="minorHAnsi"/>
                <w:color w:val="000000"/>
                <w:lang w:eastAsia="en-GB"/>
              </w:rPr>
              <w:t>168</w:t>
            </w:r>
            <w:r>
              <w:rPr>
                <w:rFonts w:eastAsia="Times New Roman" w:cstheme="minorHAnsi"/>
                <w:color w:val="000000"/>
                <w:lang w:eastAsia="en-GB"/>
              </w:rPr>
              <w:t>,</w:t>
            </w:r>
            <w:r w:rsidRPr="00B6620E">
              <w:rPr>
                <w:rFonts w:eastAsia="Times New Roman" w:cstheme="minorHAnsi"/>
                <w:color w:val="000000"/>
                <w:lang w:eastAsia="en-GB"/>
              </w:rPr>
              <w:t>472</w:t>
            </w:r>
            <w:r>
              <w:rPr>
                <w:rFonts w:eastAsia="Times New Roman" w:cstheme="minorHAnsi"/>
                <w:color w:val="000000"/>
                <w:lang w:eastAsia="en-GB"/>
              </w:rPr>
              <w:t xml:space="preserve"> (12.6%)</w:t>
            </w:r>
          </w:p>
        </w:tc>
        <w:tc>
          <w:tcPr>
            <w:tcW w:w="1984" w:type="dxa"/>
            <w:shd w:val="clear" w:color="auto" w:fill="auto"/>
            <w:noWrap/>
            <w:hideMark/>
          </w:tcPr>
          <w:p w14:paraId="5D87E8FC" w14:textId="77777777" w:rsidR="00F511F4" w:rsidRPr="00B6620E" w:rsidRDefault="00F511F4" w:rsidP="001F53D9">
            <w:pPr>
              <w:spacing w:after="0" w:line="240" w:lineRule="auto"/>
              <w:rPr>
                <w:rFonts w:eastAsia="Times New Roman" w:cstheme="minorHAnsi"/>
                <w:color w:val="000000"/>
                <w:lang w:eastAsia="en-GB"/>
              </w:rPr>
            </w:pPr>
            <w:r w:rsidRPr="00B6620E">
              <w:rPr>
                <w:rFonts w:eastAsia="Times New Roman" w:cstheme="minorHAnsi"/>
                <w:color w:val="000000"/>
                <w:lang w:eastAsia="en-GB"/>
              </w:rPr>
              <w:t>270</w:t>
            </w:r>
            <w:r>
              <w:rPr>
                <w:rFonts w:eastAsia="Times New Roman" w:cstheme="minorHAnsi"/>
                <w:color w:val="000000"/>
                <w:lang w:eastAsia="en-GB"/>
              </w:rPr>
              <w:t>,</w:t>
            </w:r>
            <w:r w:rsidRPr="00B6620E">
              <w:rPr>
                <w:rFonts w:eastAsia="Times New Roman" w:cstheme="minorHAnsi"/>
                <w:color w:val="000000"/>
                <w:lang w:eastAsia="en-GB"/>
              </w:rPr>
              <w:t>474</w:t>
            </w:r>
            <w:r>
              <w:rPr>
                <w:rFonts w:eastAsia="Times New Roman" w:cstheme="minorHAnsi"/>
                <w:color w:val="000000"/>
                <w:lang w:eastAsia="en-GB"/>
              </w:rPr>
              <w:t xml:space="preserve"> (11.7%)</w:t>
            </w:r>
          </w:p>
        </w:tc>
        <w:tc>
          <w:tcPr>
            <w:tcW w:w="1899" w:type="dxa"/>
            <w:shd w:val="clear" w:color="auto" w:fill="auto"/>
            <w:noWrap/>
            <w:hideMark/>
          </w:tcPr>
          <w:p w14:paraId="4201F6D8" w14:textId="77777777" w:rsidR="00F511F4" w:rsidRPr="00B6620E" w:rsidRDefault="00F511F4" w:rsidP="001F53D9">
            <w:pPr>
              <w:spacing w:after="0" w:line="240" w:lineRule="auto"/>
              <w:rPr>
                <w:rFonts w:eastAsia="Times New Roman" w:cstheme="minorHAnsi"/>
                <w:color w:val="000000"/>
                <w:lang w:eastAsia="en-GB"/>
              </w:rPr>
            </w:pPr>
            <w:r w:rsidRPr="00B6620E">
              <w:rPr>
                <w:rFonts w:eastAsia="Times New Roman" w:cstheme="minorHAnsi"/>
                <w:color w:val="000000"/>
                <w:lang w:eastAsia="en-GB"/>
              </w:rPr>
              <w:t>1</w:t>
            </w:r>
            <w:r>
              <w:rPr>
                <w:rFonts w:eastAsia="Times New Roman" w:cstheme="minorHAnsi"/>
                <w:color w:val="000000"/>
                <w:lang w:eastAsia="en-GB"/>
              </w:rPr>
              <w:t>,</w:t>
            </w:r>
            <w:r w:rsidRPr="00B6620E">
              <w:rPr>
                <w:rFonts w:eastAsia="Times New Roman" w:cstheme="minorHAnsi"/>
                <w:color w:val="000000"/>
                <w:lang w:eastAsia="en-GB"/>
              </w:rPr>
              <w:t>176</w:t>
            </w:r>
            <w:r>
              <w:rPr>
                <w:rFonts w:eastAsia="Times New Roman" w:cstheme="minorHAnsi"/>
                <w:color w:val="000000"/>
                <w:lang w:eastAsia="en-GB"/>
              </w:rPr>
              <w:t xml:space="preserve"> (10.2%)</w:t>
            </w:r>
          </w:p>
        </w:tc>
        <w:tc>
          <w:tcPr>
            <w:tcW w:w="934" w:type="dxa"/>
          </w:tcPr>
          <w:p w14:paraId="60679A81" w14:textId="77777777" w:rsidR="00F511F4" w:rsidRPr="00B6620E" w:rsidRDefault="00F511F4" w:rsidP="001F53D9">
            <w:pPr>
              <w:spacing w:after="0" w:line="240" w:lineRule="auto"/>
              <w:rPr>
                <w:rFonts w:eastAsia="Times New Roman" w:cstheme="minorHAnsi"/>
                <w:color w:val="000000"/>
                <w:lang w:eastAsia="en-GB"/>
              </w:rPr>
            </w:pPr>
            <w:r>
              <w:rPr>
                <w:rFonts w:eastAsia="Times New Roman" w:cstheme="minorHAnsi"/>
                <w:color w:val="000000"/>
                <w:lang w:eastAsia="en-GB"/>
              </w:rPr>
              <w:t>&lt;0.001</w:t>
            </w:r>
          </w:p>
        </w:tc>
      </w:tr>
      <w:tr w:rsidR="00F511F4" w:rsidRPr="00B6620E" w14:paraId="6C5BA59A" w14:textId="77777777" w:rsidTr="001F53D9">
        <w:trPr>
          <w:trHeight w:val="285"/>
        </w:trPr>
        <w:tc>
          <w:tcPr>
            <w:tcW w:w="2689" w:type="dxa"/>
            <w:shd w:val="clear" w:color="auto" w:fill="auto"/>
            <w:noWrap/>
            <w:hideMark/>
          </w:tcPr>
          <w:p w14:paraId="507A0DC7" w14:textId="77777777" w:rsidR="00F511F4" w:rsidRPr="00B6620E" w:rsidRDefault="00F511F4" w:rsidP="001F53D9">
            <w:pPr>
              <w:spacing w:after="0" w:line="240" w:lineRule="auto"/>
              <w:rPr>
                <w:rFonts w:eastAsia="Times New Roman" w:cstheme="minorHAnsi"/>
                <w:color w:val="000000"/>
                <w:lang w:eastAsia="en-GB"/>
              </w:rPr>
            </w:pPr>
            <w:r w:rsidRPr="00B6620E">
              <w:rPr>
                <w:rFonts w:eastAsia="Times New Roman" w:cstheme="minorHAnsi"/>
                <w:color w:val="000000"/>
                <w:lang w:val="en-US" w:eastAsia="en-GB"/>
              </w:rPr>
              <w:t>Previous PCI</w:t>
            </w:r>
          </w:p>
        </w:tc>
        <w:tc>
          <w:tcPr>
            <w:tcW w:w="2128" w:type="dxa"/>
            <w:shd w:val="clear" w:color="auto" w:fill="auto"/>
            <w:noWrap/>
            <w:hideMark/>
          </w:tcPr>
          <w:p w14:paraId="756F6E7F" w14:textId="77777777" w:rsidR="00F511F4" w:rsidRPr="00B6620E" w:rsidRDefault="00F511F4" w:rsidP="001F53D9">
            <w:pPr>
              <w:spacing w:after="0" w:line="240" w:lineRule="auto"/>
              <w:rPr>
                <w:rFonts w:eastAsia="Times New Roman" w:cstheme="minorHAnsi"/>
                <w:color w:val="000000"/>
                <w:lang w:eastAsia="en-GB"/>
              </w:rPr>
            </w:pPr>
            <w:r w:rsidRPr="00B6620E">
              <w:rPr>
                <w:rFonts w:eastAsia="Times New Roman" w:cstheme="minorHAnsi"/>
                <w:color w:val="000000"/>
                <w:lang w:eastAsia="en-GB"/>
              </w:rPr>
              <w:t>785</w:t>
            </w:r>
            <w:r>
              <w:rPr>
                <w:rFonts w:eastAsia="Times New Roman" w:cstheme="minorHAnsi"/>
                <w:color w:val="000000"/>
                <w:lang w:eastAsia="en-GB"/>
              </w:rPr>
              <w:t>,</w:t>
            </w:r>
            <w:r w:rsidRPr="00B6620E">
              <w:rPr>
                <w:rFonts w:eastAsia="Times New Roman" w:cstheme="minorHAnsi"/>
                <w:color w:val="000000"/>
                <w:lang w:eastAsia="en-GB"/>
              </w:rPr>
              <w:t>908</w:t>
            </w:r>
            <w:r>
              <w:rPr>
                <w:rFonts w:eastAsia="Times New Roman" w:cstheme="minorHAnsi"/>
                <w:color w:val="000000"/>
                <w:lang w:eastAsia="en-GB"/>
              </w:rPr>
              <w:t xml:space="preserve"> (8.5%)</w:t>
            </w:r>
          </w:p>
        </w:tc>
        <w:tc>
          <w:tcPr>
            <w:tcW w:w="1984" w:type="dxa"/>
            <w:shd w:val="clear" w:color="auto" w:fill="auto"/>
            <w:noWrap/>
            <w:hideMark/>
          </w:tcPr>
          <w:p w14:paraId="4EEEF652" w14:textId="77777777" w:rsidR="00F511F4" w:rsidRPr="00B6620E" w:rsidRDefault="00F511F4" w:rsidP="001F53D9">
            <w:pPr>
              <w:spacing w:after="0" w:line="240" w:lineRule="auto"/>
              <w:rPr>
                <w:rFonts w:eastAsia="Times New Roman" w:cstheme="minorHAnsi"/>
                <w:color w:val="000000"/>
                <w:lang w:eastAsia="en-GB"/>
              </w:rPr>
            </w:pPr>
            <w:r w:rsidRPr="00B6620E">
              <w:rPr>
                <w:rFonts w:eastAsia="Times New Roman" w:cstheme="minorHAnsi"/>
                <w:color w:val="000000"/>
                <w:lang w:eastAsia="en-GB"/>
              </w:rPr>
              <w:t>168</w:t>
            </w:r>
            <w:r>
              <w:rPr>
                <w:rFonts w:eastAsia="Times New Roman" w:cstheme="minorHAnsi"/>
                <w:color w:val="000000"/>
                <w:lang w:eastAsia="en-GB"/>
              </w:rPr>
              <w:t>,</w:t>
            </w:r>
            <w:r w:rsidRPr="00B6620E">
              <w:rPr>
                <w:rFonts w:eastAsia="Times New Roman" w:cstheme="minorHAnsi"/>
                <w:color w:val="000000"/>
                <w:lang w:eastAsia="en-GB"/>
              </w:rPr>
              <w:t>747</w:t>
            </w:r>
            <w:r>
              <w:rPr>
                <w:rFonts w:eastAsia="Times New Roman" w:cstheme="minorHAnsi"/>
                <w:color w:val="000000"/>
                <w:lang w:eastAsia="en-GB"/>
              </w:rPr>
              <w:t xml:space="preserve"> (7.3%)</w:t>
            </w:r>
          </w:p>
        </w:tc>
        <w:tc>
          <w:tcPr>
            <w:tcW w:w="1899" w:type="dxa"/>
            <w:shd w:val="clear" w:color="auto" w:fill="auto"/>
            <w:noWrap/>
            <w:hideMark/>
          </w:tcPr>
          <w:p w14:paraId="406C8F1E" w14:textId="77777777" w:rsidR="00F511F4" w:rsidRPr="00B6620E" w:rsidRDefault="00F511F4" w:rsidP="001F53D9">
            <w:pPr>
              <w:spacing w:after="0" w:line="240" w:lineRule="auto"/>
              <w:rPr>
                <w:rFonts w:eastAsia="Times New Roman" w:cstheme="minorHAnsi"/>
                <w:color w:val="000000"/>
                <w:lang w:eastAsia="en-GB"/>
              </w:rPr>
            </w:pPr>
            <w:r w:rsidRPr="00B6620E">
              <w:rPr>
                <w:rFonts w:eastAsia="Times New Roman" w:cstheme="minorHAnsi"/>
                <w:color w:val="000000"/>
                <w:lang w:eastAsia="en-GB"/>
              </w:rPr>
              <w:t>539</w:t>
            </w:r>
            <w:r>
              <w:rPr>
                <w:rFonts w:eastAsia="Times New Roman" w:cstheme="minorHAnsi"/>
                <w:color w:val="000000"/>
                <w:lang w:eastAsia="en-GB"/>
              </w:rPr>
              <w:t xml:space="preserve"> (4.7%)</w:t>
            </w:r>
          </w:p>
        </w:tc>
        <w:tc>
          <w:tcPr>
            <w:tcW w:w="934" w:type="dxa"/>
          </w:tcPr>
          <w:p w14:paraId="1FBB37E2" w14:textId="77777777" w:rsidR="00F511F4" w:rsidRPr="00B6620E" w:rsidRDefault="00F511F4" w:rsidP="001F53D9">
            <w:pPr>
              <w:spacing w:after="0" w:line="240" w:lineRule="auto"/>
              <w:rPr>
                <w:rFonts w:eastAsia="Times New Roman" w:cstheme="minorHAnsi"/>
                <w:color w:val="000000"/>
                <w:lang w:eastAsia="en-GB"/>
              </w:rPr>
            </w:pPr>
            <w:r>
              <w:rPr>
                <w:rFonts w:eastAsia="Times New Roman" w:cstheme="minorHAnsi"/>
                <w:color w:val="000000"/>
                <w:lang w:eastAsia="en-GB"/>
              </w:rPr>
              <w:t>&lt;0.001</w:t>
            </w:r>
          </w:p>
        </w:tc>
      </w:tr>
      <w:tr w:rsidR="00F511F4" w:rsidRPr="00B6620E" w14:paraId="30F2B64A" w14:textId="77777777" w:rsidTr="001F53D9">
        <w:trPr>
          <w:trHeight w:val="285"/>
        </w:trPr>
        <w:tc>
          <w:tcPr>
            <w:tcW w:w="2689" w:type="dxa"/>
            <w:shd w:val="clear" w:color="auto" w:fill="auto"/>
            <w:noWrap/>
            <w:hideMark/>
          </w:tcPr>
          <w:p w14:paraId="12ECF03F" w14:textId="77777777" w:rsidR="00F511F4" w:rsidRPr="00B6620E" w:rsidRDefault="00F511F4" w:rsidP="001F53D9">
            <w:pPr>
              <w:spacing w:after="0" w:line="240" w:lineRule="auto"/>
              <w:rPr>
                <w:rFonts w:eastAsia="Times New Roman" w:cstheme="minorHAnsi"/>
                <w:color w:val="000000"/>
                <w:lang w:eastAsia="en-GB"/>
              </w:rPr>
            </w:pPr>
            <w:r w:rsidRPr="00B6620E">
              <w:rPr>
                <w:rFonts w:eastAsia="Times New Roman" w:cstheme="minorHAnsi"/>
                <w:color w:val="000000"/>
                <w:lang w:val="en-US" w:eastAsia="en-GB"/>
              </w:rPr>
              <w:t>Previous CABG</w:t>
            </w:r>
          </w:p>
        </w:tc>
        <w:tc>
          <w:tcPr>
            <w:tcW w:w="2128" w:type="dxa"/>
            <w:shd w:val="clear" w:color="auto" w:fill="auto"/>
            <w:noWrap/>
            <w:hideMark/>
          </w:tcPr>
          <w:p w14:paraId="26C9588F" w14:textId="77777777" w:rsidR="00F511F4" w:rsidRPr="00B6620E" w:rsidRDefault="00F511F4" w:rsidP="001F53D9">
            <w:pPr>
              <w:spacing w:after="0" w:line="240" w:lineRule="auto"/>
              <w:rPr>
                <w:rFonts w:eastAsia="Times New Roman" w:cstheme="minorHAnsi"/>
                <w:color w:val="000000"/>
                <w:lang w:eastAsia="en-GB"/>
              </w:rPr>
            </w:pPr>
            <w:r w:rsidRPr="00B6620E">
              <w:rPr>
                <w:rFonts w:eastAsia="Times New Roman" w:cstheme="minorHAnsi"/>
                <w:color w:val="000000"/>
                <w:lang w:eastAsia="en-GB"/>
              </w:rPr>
              <w:t>1</w:t>
            </w:r>
            <w:r>
              <w:rPr>
                <w:rFonts w:eastAsia="Times New Roman" w:cstheme="minorHAnsi"/>
                <w:color w:val="000000"/>
                <w:lang w:eastAsia="en-GB"/>
              </w:rPr>
              <w:t>,</w:t>
            </w:r>
            <w:r w:rsidRPr="00B6620E">
              <w:rPr>
                <w:rFonts w:eastAsia="Times New Roman" w:cstheme="minorHAnsi"/>
                <w:color w:val="000000"/>
                <w:lang w:eastAsia="en-GB"/>
              </w:rPr>
              <w:t>411</w:t>
            </w:r>
            <w:r>
              <w:rPr>
                <w:rFonts w:eastAsia="Times New Roman" w:cstheme="minorHAnsi"/>
                <w:color w:val="000000"/>
                <w:lang w:eastAsia="en-GB"/>
              </w:rPr>
              <w:t>,</w:t>
            </w:r>
            <w:r w:rsidRPr="00B6620E">
              <w:rPr>
                <w:rFonts w:eastAsia="Times New Roman" w:cstheme="minorHAnsi"/>
                <w:color w:val="000000"/>
                <w:lang w:eastAsia="en-GB"/>
              </w:rPr>
              <w:t>332</w:t>
            </w:r>
            <w:r>
              <w:rPr>
                <w:rFonts w:eastAsia="Times New Roman" w:cstheme="minorHAnsi"/>
                <w:color w:val="000000"/>
                <w:lang w:eastAsia="en-GB"/>
              </w:rPr>
              <w:t xml:space="preserve"> (15.2%)</w:t>
            </w:r>
          </w:p>
        </w:tc>
        <w:tc>
          <w:tcPr>
            <w:tcW w:w="1984" w:type="dxa"/>
            <w:shd w:val="clear" w:color="auto" w:fill="auto"/>
            <w:noWrap/>
            <w:hideMark/>
          </w:tcPr>
          <w:p w14:paraId="15573E38" w14:textId="77777777" w:rsidR="00F511F4" w:rsidRPr="00B6620E" w:rsidRDefault="00F511F4" w:rsidP="001F53D9">
            <w:pPr>
              <w:spacing w:after="0" w:line="240" w:lineRule="auto"/>
              <w:rPr>
                <w:rFonts w:eastAsia="Times New Roman" w:cstheme="minorHAnsi"/>
                <w:color w:val="000000"/>
                <w:lang w:eastAsia="en-GB"/>
              </w:rPr>
            </w:pPr>
            <w:r w:rsidRPr="00B6620E">
              <w:rPr>
                <w:rFonts w:eastAsia="Times New Roman" w:cstheme="minorHAnsi"/>
                <w:color w:val="000000"/>
                <w:lang w:eastAsia="en-GB"/>
              </w:rPr>
              <w:t>294</w:t>
            </w:r>
            <w:r>
              <w:rPr>
                <w:rFonts w:eastAsia="Times New Roman" w:cstheme="minorHAnsi"/>
                <w:color w:val="000000"/>
                <w:lang w:eastAsia="en-GB"/>
              </w:rPr>
              <w:t>,</w:t>
            </w:r>
            <w:r w:rsidRPr="00B6620E">
              <w:rPr>
                <w:rFonts w:eastAsia="Times New Roman" w:cstheme="minorHAnsi"/>
                <w:color w:val="000000"/>
                <w:lang w:eastAsia="en-GB"/>
              </w:rPr>
              <w:t>109</w:t>
            </w:r>
            <w:r>
              <w:rPr>
                <w:rFonts w:eastAsia="Times New Roman" w:cstheme="minorHAnsi"/>
                <w:color w:val="000000"/>
                <w:lang w:eastAsia="en-GB"/>
              </w:rPr>
              <w:t xml:space="preserve"> (12.7%)</w:t>
            </w:r>
          </w:p>
        </w:tc>
        <w:tc>
          <w:tcPr>
            <w:tcW w:w="1899" w:type="dxa"/>
            <w:shd w:val="clear" w:color="auto" w:fill="auto"/>
            <w:noWrap/>
            <w:hideMark/>
          </w:tcPr>
          <w:p w14:paraId="4EFA9CC5" w14:textId="77777777" w:rsidR="00F511F4" w:rsidRPr="00B6620E" w:rsidRDefault="00F511F4" w:rsidP="001F53D9">
            <w:pPr>
              <w:spacing w:after="0" w:line="240" w:lineRule="auto"/>
              <w:rPr>
                <w:rFonts w:eastAsia="Times New Roman" w:cstheme="minorHAnsi"/>
                <w:color w:val="000000"/>
                <w:lang w:eastAsia="en-GB"/>
              </w:rPr>
            </w:pPr>
            <w:r w:rsidRPr="00B6620E">
              <w:rPr>
                <w:rFonts w:eastAsia="Times New Roman" w:cstheme="minorHAnsi"/>
                <w:color w:val="000000"/>
                <w:lang w:eastAsia="en-GB"/>
              </w:rPr>
              <w:t>1</w:t>
            </w:r>
            <w:r>
              <w:rPr>
                <w:rFonts w:eastAsia="Times New Roman" w:cstheme="minorHAnsi"/>
                <w:color w:val="000000"/>
                <w:lang w:eastAsia="en-GB"/>
              </w:rPr>
              <w:t>,</w:t>
            </w:r>
            <w:r w:rsidRPr="00B6620E">
              <w:rPr>
                <w:rFonts w:eastAsia="Times New Roman" w:cstheme="minorHAnsi"/>
                <w:color w:val="000000"/>
                <w:lang w:eastAsia="en-GB"/>
              </w:rPr>
              <w:t>082</w:t>
            </w:r>
            <w:r>
              <w:rPr>
                <w:rFonts w:eastAsia="Times New Roman" w:cstheme="minorHAnsi"/>
                <w:color w:val="000000"/>
                <w:lang w:eastAsia="en-GB"/>
              </w:rPr>
              <w:t xml:space="preserve"> (9.4%)</w:t>
            </w:r>
          </w:p>
        </w:tc>
        <w:tc>
          <w:tcPr>
            <w:tcW w:w="934" w:type="dxa"/>
          </w:tcPr>
          <w:p w14:paraId="7F5D14C5" w14:textId="77777777" w:rsidR="00F511F4" w:rsidRPr="00B6620E" w:rsidRDefault="00F511F4" w:rsidP="001F53D9">
            <w:pPr>
              <w:spacing w:after="0" w:line="240" w:lineRule="auto"/>
              <w:rPr>
                <w:rFonts w:eastAsia="Times New Roman" w:cstheme="minorHAnsi"/>
                <w:color w:val="000000"/>
                <w:lang w:eastAsia="en-GB"/>
              </w:rPr>
            </w:pPr>
            <w:r>
              <w:rPr>
                <w:rFonts w:eastAsia="Times New Roman" w:cstheme="minorHAnsi"/>
                <w:color w:val="000000"/>
                <w:lang w:eastAsia="en-GB"/>
              </w:rPr>
              <w:t>&lt;0.001</w:t>
            </w:r>
          </w:p>
        </w:tc>
      </w:tr>
      <w:tr w:rsidR="00F511F4" w:rsidRPr="00B6620E" w14:paraId="4E24E73B" w14:textId="77777777" w:rsidTr="001F53D9">
        <w:trPr>
          <w:trHeight w:val="285"/>
        </w:trPr>
        <w:tc>
          <w:tcPr>
            <w:tcW w:w="2689" w:type="dxa"/>
            <w:shd w:val="clear" w:color="auto" w:fill="auto"/>
            <w:noWrap/>
            <w:hideMark/>
          </w:tcPr>
          <w:p w14:paraId="6A47FDF0" w14:textId="77777777" w:rsidR="00F511F4" w:rsidRPr="00B6620E" w:rsidRDefault="00F511F4" w:rsidP="001F53D9">
            <w:pPr>
              <w:spacing w:after="0" w:line="240" w:lineRule="auto"/>
              <w:rPr>
                <w:rFonts w:eastAsia="Times New Roman" w:cstheme="minorHAnsi"/>
                <w:color w:val="000000"/>
                <w:lang w:eastAsia="en-GB"/>
              </w:rPr>
            </w:pPr>
            <w:r w:rsidRPr="00B6620E">
              <w:rPr>
                <w:rFonts w:eastAsia="Times New Roman" w:cstheme="minorHAnsi"/>
                <w:color w:val="000000"/>
                <w:lang w:val="en-US" w:eastAsia="en-GB"/>
              </w:rPr>
              <w:t>Atrial fibrillation</w:t>
            </w:r>
          </w:p>
        </w:tc>
        <w:tc>
          <w:tcPr>
            <w:tcW w:w="2128" w:type="dxa"/>
            <w:shd w:val="clear" w:color="auto" w:fill="auto"/>
            <w:noWrap/>
            <w:hideMark/>
          </w:tcPr>
          <w:p w14:paraId="66E5BDD9" w14:textId="77777777" w:rsidR="00F511F4" w:rsidRPr="00B6620E" w:rsidRDefault="00F511F4" w:rsidP="001F53D9">
            <w:pPr>
              <w:spacing w:after="0" w:line="240" w:lineRule="auto"/>
              <w:rPr>
                <w:rFonts w:eastAsia="Times New Roman" w:cstheme="minorHAnsi"/>
                <w:color w:val="000000"/>
                <w:lang w:eastAsia="en-GB"/>
              </w:rPr>
            </w:pPr>
            <w:r w:rsidRPr="00B6620E">
              <w:rPr>
                <w:rFonts w:eastAsia="Times New Roman" w:cstheme="minorHAnsi"/>
                <w:color w:val="000000"/>
                <w:lang w:eastAsia="en-GB"/>
              </w:rPr>
              <w:t>3</w:t>
            </w:r>
            <w:r>
              <w:rPr>
                <w:rFonts w:eastAsia="Times New Roman" w:cstheme="minorHAnsi"/>
                <w:color w:val="000000"/>
                <w:lang w:eastAsia="en-GB"/>
              </w:rPr>
              <w:t>,</w:t>
            </w:r>
            <w:r w:rsidRPr="00B6620E">
              <w:rPr>
                <w:rFonts w:eastAsia="Times New Roman" w:cstheme="minorHAnsi"/>
                <w:color w:val="000000"/>
                <w:lang w:eastAsia="en-GB"/>
              </w:rPr>
              <w:t>225</w:t>
            </w:r>
            <w:r>
              <w:rPr>
                <w:rFonts w:eastAsia="Times New Roman" w:cstheme="minorHAnsi"/>
                <w:color w:val="000000"/>
                <w:lang w:eastAsia="en-GB"/>
              </w:rPr>
              <w:t>,</w:t>
            </w:r>
            <w:r w:rsidRPr="00B6620E">
              <w:rPr>
                <w:rFonts w:eastAsia="Times New Roman" w:cstheme="minorHAnsi"/>
                <w:color w:val="000000"/>
                <w:lang w:eastAsia="en-GB"/>
              </w:rPr>
              <w:t>864</w:t>
            </w:r>
            <w:r>
              <w:rPr>
                <w:rFonts w:eastAsia="Times New Roman" w:cstheme="minorHAnsi"/>
                <w:color w:val="000000"/>
                <w:lang w:eastAsia="en-GB"/>
              </w:rPr>
              <w:t xml:space="preserve"> (34.7%)</w:t>
            </w:r>
          </w:p>
        </w:tc>
        <w:tc>
          <w:tcPr>
            <w:tcW w:w="1984" w:type="dxa"/>
            <w:shd w:val="clear" w:color="auto" w:fill="auto"/>
            <w:noWrap/>
            <w:hideMark/>
          </w:tcPr>
          <w:p w14:paraId="16B1099F" w14:textId="77777777" w:rsidR="00F511F4" w:rsidRPr="00B6620E" w:rsidRDefault="00F511F4" w:rsidP="001F53D9">
            <w:pPr>
              <w:spacing w:after="0" w:line="240" w:lineRule="auto"/>
              <w:rPr>
                <w:rFonts w:eastAsia="Times New Roman" w:cstheme="minorHAnsi"/>
                <w:color w:val="000000"/>
                <w:lang w:eastAsia="en-GB"/>
              </w:rPr>
            </w:pPr>
            <w:r w:rsidRPr="00B6620E">
              <w:rPr>
                <w:rFonts w:eastAsia="Times New Roman" w:cstheme="minorHAnsi"/>
                <w:color w:val="000000"/>
                <w:lang w:eastAsia="en-GB"/>
              </w:rPr>
              <w:t>948</w:t>
            </w:r>
            <w:r>
              <w:rPr>
                <w:rFonts w:eastAsia="Times New Roman" w:cstheme="minorHAnsi"/>
                <w:color w:val="000000"/>
                <w:lang w:eastAsia="en-GB"/>
              </w:rPr>
              <w:t>,</w:t>
            </w:r>
            <w:r w:rsidRPr="00B6620E">
              <w:rPr>
                <w:rFonts w:eastAsia="Times New Roman" w:cstheme="minorHAnsi"/>
                <w:color w:val="000000"/>
                <w:lang w:eastAsia="en-GB"/>
              </w:rPr>
              <w:t>684</w:t>
            </w:r>
            <w:r>
              <w:rPr>
                <w:rFonts w:eastAsia="Times New Roman" w:cstheme="minorHAnsi"/>
                <w:color w:val="000000"/>
                <w:lang w:eastAsia="en-GB"/>
              </w:rPr>
              <w:t xml:space="preserve"> (41.0%)</w:t>
            </w:r>
          </w:p>
        </w:tc>
        <w:tc>
          <w:tcPr>
            <w:tcW w:w="1899" w:type="dxa"/>
            <w:shd w:val="clear" w:color="auto" w:fill="auto"/>
            <w:noWrap/>
            <w:hideMark/>
          </w:tcPr>
          <w:p w14:paraId="20CADFCC" w14:textId="77777777" w:rsidR="00F511F4" w:rsidRPr="00B6620E" w:rsidRDefault="00F511F4" w:rsidP="001F53D9">
            <w:pPr>
              <w:spacing w:after="0" w:line="240" w:lineRule="auto"/>
              <w:rPr>
                <w:rFonts w:eastAsia="Times New Roman" w:cstheme="minorHAnsi"/>
                <w:color w:val="000000"/>
                <w:lang w:eastAsia="en-GB"/>
              </w:rPr>
            </w:pPr>
            <w:r w:rsidRPr="00B6620E">
              <w:rPr>
                <w:rFonts w:eastAsia="Times New Roman" w:cstheme="minorHAnsi"/>
                <w:color w:val="000000"/>
                <w:lang w:eastAsia="en-GB"/>
              </w:rPr>
              <w:t>5</w:t>
            </w:r>
            <w:r>
              <w:rPr>
                <w:rFonts w:eastAsia="Times New Roman" w:cstheme="minorHAnsi"/>
                <w:color w:val="000000"/>
                <w:lang w:eastAsia="en-GB"/>
              </w:rPr>
              <w:t>,</w:t>
            </w:r>
            <w:r w:rsidRPr="00B6620E">
              <w:rPr>
                <w:rFonts w:eastAsia="Times New Roman" w:cstheme="minorHAnsi"/>
                <w:color w:val="000000"/>
                <w:lang w:eastAsia="en-GB"/>
              </w:rPr>
              <w:t>684</w:t>
            </w:r>
            <w:r>
              <w:rPr>
                <w:rFonts w:eastAsia="Times New Roman" w:cstheme="minorHAnsi"/>
                <w:color w:val="000000"/>
                <w:lang w:eastAsia="en-GB"/>
              </w:rPr>
              <w:t xml:space="preserve"> (49.3%)</w:t>
            </w:r>
          </w:p>
        </w:tc>
        <w:tc>
          <w:tcPr>
            <w:tcW w:w="934" w:type="dxa"/>
          </w:tcPr>
          <w:p w14:paraId="21F85015" w14:textId="77777777" w:rsidR="00F511F4" w:rsidRPr="00B6620E" w:rsidRDefault="00F511F4" w:rsidP="001F53D9">
            <w:pPr>
              <w:spacing w:after="0" w:line="240" w:lineRule="auto"/>
              <w:rPr>
                <w:rFonts w:eastAsia="Times New Roman" w:cstheme="minorHAnsi"/>
                <w:color w:val="000000"/>
                <w:lang w:eastAsia="en-GB"/>
              </w:rPr>
            </w:pPr>
            <w:r>
              <w:rPr>
                <w:rFonts w:eastAsia="Times New Roman" w:cstheme="minorHAnsi"/>
                <w:color w:val="000000"/>
                <w:lang w:eastAsia="en-GB"/>
              </w:rPr>
              <w:t>&lt;0.001</w:t>
            </w:r>
          </w:p>
        </w:tc>
      </w:tr>
      <w:tr w:rsidR="00F511F4" w:rsidRPr="00B6620E" w14:paraId="64D3F805" w14:textId="77777777" w:rsidTr="001F53D9">
        <w:trPr>
          <w:trHeight w:val="285"/>
        </w:trPr>
        <w:tc>
          <w:tcPr>
            <w:tcW w:w="2689" w:type="dxa"/>
            <w:shd w:val="clear" w:color="auto" w:fill="auto"/>
            <w:noWrap/>
            <w:hideMark/>
          </w:tcPr>
          <w:p w14:paraId="78C7A5B6" w14:textId="77777777" w:rsidR="00F511F4" w:rsidRPr="00B6620E" w:rsidRDefault="00F511F4" w:rsidP="001F53D9">
            <w:pPr>
              <w:spacing w:after="0" w:line="240" w:lineRule="auto"/>
              <w:rPr>
                <w:rFonts w:eastAsia="Times New Roman" w:cstheme="minorHAnsi"/>
                <w:color w:val="000000"/>
                <w:lang w:eastAsia="en-GB"/>
              </w:rPr>
            </w:pPr>
            <w:r w:rsidRPr="00B6620E">
              <w:rPr>
                <w:rFonts w:eastAsia="Times New Roman" w:cstheme="minorHAnsi"/>
                <w:color w:val="000000"/>
                <w:lang w:eastAsia="en-GB"/>
              </w:rPr>
              <w:t>Valvular heart disease</w:t>
            </w:r>
          </w:p>
        </w:tc>
        <w:tc>
          <w:tcPr>
            <w:tcW w:w="2128" w:type="dxa"/>
            <w:shd w:val="clear" w:color="auto" w:fill="auto"/>
            <w:noWrap/>
            <w:hideMark/>
          </w:tcPr>
          <w:p w14:paraId="1E2D2ACF" w14:textId="77777777" w:rsidR="00F511F4" w:rsidRPr="00B6620E" w:rsidRDefault="00F511F4" w:rsidP="001F53D9">
            <w:pPr>
              <w:spacing w:after="0" w:line="240" w:lineRule="auto"/>
              <w:rPr>
                <w:rFonts w:eastAsia="Times New Roman" w:cstheme="minorHAnsi"/>
                <w:color w:val="000000"/>
                <w:lang w:eastAsia="en-GB"/>
              </w:rPr>
            </w:pPr>
            <w:r w:rsidRPr="00B6620E">
              <w:rPr>
                <w:rFonts w:eastAsia="Times New Roman" w:cstheme="minorHAnsi"/>
                <w:color w:val="000000"/>
                <w:lang w:eastAsia="en-GB"/>
              </w:rPr>
              <w:t>22</w:t>
            </w:r>
            <w:r>
              <w:rPr>
                <w:rFonts w:eastAsia="Times New Roman" w:cstheme="minorHAnsi"/>
                <w:color w:val="000000"/>
                <w:lang w:eastAsia="en-GB"/>
              </w:rPr>
              <w:t>,</w:t>
            </w:r>
            <w:r w:rsidRPr="00B6620E">
              <w:rPr>
                <w:rFonts w:eastAsia="Times New Roman" w:cstheme="minorHAnsi"/>
                <w:color w:val="000000"/>
                <w:lang w:eastAsia="en-GB"/>
              </w:rPr>
              <w:t>301</w:t>
            </w:r>
            <w:r>
              <w:rPr>
                <w:rFonts w:eastAsia="Times New Roman" w:cstheme="minorHAnsi"/>
                <w:color w:val="000000"/>
                <w:lang w:eastAsia="en-GB"/>
              </w:rPr>
              <w:t xml:space="preserve"> (0.2%)</w:t>
            </w:r>
          </w:p>
        </w:tc>
        <w:tc>
          <w:tcPr>
            <w:tcW w:w="1984" w:type="dxa"/>
            <w:shd w:val="clear" w:color="auto" w:fill="auto"/>
            <w:noWrap/>
            <w:hideMark/>
          </w:tcPr>
          <w:p w14:paraId="45D00C0F" w14:textId="77777777" w:rsidR="00F511F4" w:rsidRPr="00B6620E" w:rsidRDefault="00F511F4" w:rsidP="001F53D9">
            <w:pPr>
              <w:spacing w:after="0" w:line="240" w:lineRule="auto"/>
              <w:rPr>
                <w:rFonts w:eastAsia="Times New Roman" w:cstheme="minorHAnsi"/>
                <w:color w:val="000000"/>
                <w:lang w:eastAsia="en-GB"/>
              </w:rPr>
            </w:pPr>
            <w:r w:rsidRPr="00B6620E">
              <w:rPr>
                <w:rFonts w:eastAsia="Times New Roman" w:cstheme="minorHAnsi"/>
                <w:color w:val="000000"/>
                <w:lang w:eastAsia="en-GB"/>
              </w:rPr>
              <w:t>17</w:t>
            </w:r>
            <w:r>
              <w:rPr>
                <w:rFonts w:eastAsia="Times New Roman" w:cstheme="minorHAnsi"/>
                <w:color w:val="000000"/>
                <w:lang w:eastAsia="en-GB"/>
              </w:rPr>
              <w:t>,</w:t>
            </w:r>
            <w:r w:rsidRPr="00B6620E">
              <w:rPr>
                <w:rFonts w:eastAsia="Times New Roman" w:cstheme="minorHAnsi"/>
                <w:color w:val="000000"/>
                <w:lang w:eastAsia="en-GB"/>
              </w:rPr>
              <w:t>002</w:t>
            </w:r>
            <w:r>
              <w:rPr>
                <w:rFonts w:eastAsia="Times New Roman" w:cstheme="minorHAnsi"/>
                <w:color w:val="000000"/>
                <w:lang w:eastAsia="en-GB"/>
              </w:rPr>
              <w:t xml:space="preserve"> (0.7%)</w:t>
            </w:r>
          </w:p>
        </w:tc>
        <w:tc>
          <w:tcPr>
            <w:tcW w:w="1899" w:type="dxa"/>
            <w:shd w:val="clear" w:color="auto" w:fill="auto"/>
            <w:noWrap/>
            <w:hideMark/>
          </w:tcPr>
          <w:p w14:paraId="596B7284" w14:textId="77777777" w:rsidR="00F511F4" w:rsidRPr="00B6620E" w:rsidRDefault="00F511F4" w:rsidP="001F53D9">
            <w:pPr>
              <w:spacing w:after="0" w:line="240" w:lineRule="auto"/>
              <w:rPr>
                <w:rFonts w:eastAsia="Times New Roman" w:cstheme="minorHAnsi"/>
                <w:color w:val="000000"/>
                <w:lang w:eastAsia="en-GB"/>
              </w:rPr>
            </w:pPr>
            <w:r w:rsidRPr="00B6620E">
              <w:rPr>
                <w:rFonts w:eastAsia="Times New Roman" w:cstheme="minorHAnsi"/>
                <w:color w:val="000000"/>
                <w:lang w:eastAsia="en-GB"/>
              </w:rPr>
              <w:t>188</w:t>
            </w:r>
            <w:r>
              <w:rPr>
                <w:rFonts w:eastAsia="Times New Roman" w:cstheme="minorHAnsi"/>
                <w:color w:val="000000"/>
                <w:lang w:eastAsia="en-GB"/>
              </w:rPr>
              <w:t xml:space="preserve"> (1.6%)</w:t>
            </w:r>
          </w:p>
        </w:tc>
        <w:tc>
          <w:tcPr>
            <w:tcW w:w="934" w:type="dxa"/>
          </w:tcPr>
          <w:p w14:paraId="0A150E58" w14:textId="77777777" w:rsidR="00F511F4" w:rsidRPr="00B6620E" w:rsidRDefault="00F511F4" w:rsidP="001F53D9">
            <w:pPr>
              <w:spacing w:after="0" w:line="240" w:lineRule="auto"/>
              <w:rPr>
                <w:rFonts w:eastAsia="Times New Roman" w:cstheme="minorHAnsi"/>
                <w:color w:val="000000"/>
                <w:lang w:eastAsia="en-GB"/>
              </w:rPr>
            </w:pPr>
            <w:r>
              <w:rPr>
                <w:rFonts w:eastAsia="Times New Roman" w:cstheme="minorHAnsi"/>
                <w:color w:val="000000"/>
                <w:lang w:eastAsia="en-GB"/>
              </w:rPr>
              <w:t>&lt;0.001</w:t>
            </w:r>
          </w:p>
        </w:tc>
      </w:tr>
      <w:tr w:rsidR="00F511F4" w:rsidRPr="00B6620E" w14:paraId="0CE2C172" w14:textId="77777777" w:rsidTr="001F53D9">
        <w:trPr>
          <w:trHeight w:val="285"/>
        </w:trPr>
        <w:tc>
          <w:tcPr>
            <w:tcW w:w="2689" w:type="dxa"/>
            <w:shd w:val="clear" w:color="auto" w:fill="auto"/>
            <w:noWrap/>
            <w:hideMark/>
          </w:tcPr>
          <w:p w14:paraId="32DEBE8B" w14:textId="77777777" w:rsidR="00F511F4" w:rsidRPr="00B6620E" w:rsidRDefault="00F511F4" w:rsidP="001F53D9">
            <w:pPr>
              <w:spacing w:after="0" w:line="240" w:lineRule="auto"/>
              <w:rPr>
                <w:rFonts w:eastAsia="Times New Roman" w:cstheme="minorHAnsi"/>
                <w:color w:val="000000"/>
                <w:lang w:eastAsia="en-GB"/>
              </w:rPr>
            </w:pPr>
            <w:r w:rsidRPr="00B6620E">
              <w:rPr>
                <w:rFonts w:eastAsia="Times New Roman" w:cstheme="minorHAnsi"/>
                <w:color w:val="000000"/>
                <w:lang w:val="en-US" w:eastAsia="en-GB"/>
              </w:rPr>
              <w:t>Peripheral vascular disorders</w:t>
            </w:r>
          </w:p>
        </w:tc>
        <w:tc>
          <w:tcPr>
            <w:tcW w:w="2128" w:type="dxa"/>
            <w:shd w:val="clear" w:color="auto" w:fill="auto"/>
            <w:noWrap/>
            <w:hideMark/>
          </w:tcPr>
          <w:p w14:paraId="2640B576" w14:textId="77777777" w:rsidR="00F511F4" w:rsidRPr="00B6620E" w:rsidRDefault="00F511F4" w:rsidP="001F53D9">
            <w:pPr>
              <w:spacing w:after="0" w:line="240" w:lineRule="auto"/>
              <w:rPr>
                <w:rFonts w:eastAsia="Times New Roman" w:cstheme="minorHAnsi"/>
                <w:color w:val="000000"/>
                <w:lang w:eastAsia="en-GB"/>
              </w:rPr>
            </w:pPr>
            <w:r w:rsidRPr="00B6620E">
              <w:rPr>
                <w:rFonts w:eastAsia="Times New Roman" w:cstheme="minorHAnsi"/>
                <w:color w:val="000000"/>
                <w:lang w:eastAsia="en-GB"/>
              </w:rPr>
              <w:t>940</w:t>
            </w:r>
            <w:r>
              <w:rPr>
                <w:rFonts w:eastAsia="Times New Roman" w:cstheme="minorHAnsi"/>
                <w:color w:val="000000"/>
                <w:lang w:eastAsia="en-GB"/>
              </w:rPr>
              <w:t>,</w:t>
            </w:r>
            <w:r w:rsidRPr="00B6620E">
              <w:rPr>
                <w:rFonts w:eastAsia="Times New Roman" w:cstheme="minorHAnsi"/>
                <w:color w:val="000000"/>
                <w:lang w:eastAsia="en-GB"/>
              </w:rPr>
              <w:t>277</w:t>
            </w:r>
            <w:r>
              <w:rPr>
                <w:rFonts w:eastAsia="Times New Roman" w:cstheme="minorHAnsi"/>
                <w:color w:val="000000"/>
                <w:lang w:eastAsia="en-GB"/>
              </w:rPr>
              <w:t xml:space="preserve"> (10.1%)</w:t>
            </w:r>
          </w:p>
        </w:tc>
        <w:tc>
          <w:tcPr>
            <w:tcW w:w="1984" w:type="dxa"/>
            <w:shd w:val="clear" w:color="auto" w:fill="auto"/>
            <w:noWrap/>
            <w:hideMark/>
          </w:tcPr>
          <w:p w14:paraId="1B7E36FA" w14:textId="77777777" w:rsidR="00F511F4" w:rsidRPr="00B6620E" w:rsidRDefault="00F511F4" w:rsidP="001F53D9">
            <w:pPr>
              <w:spacing w:after="0" w:line="240" w:lineRule="auto"/>
              <w:rPr>
                <w:rFonts w:eastAsia="Times New Roman" w:cstheme="minorHAnsi"/>
                <w:color w:val="000000"/>
                <w:lang w:eastAsia="en-GB"/>
              </w:rPr>
            </w:pPr>
            <w:r w:rsidRPr="00B6620E">
              <w:rPr>
                <w:rFonts w:eastAsia="Times New Roman" w:cstheme="minorHAnsi"/>
                <w:color w:val="000000"/>
                <w:lang w:eastAsia="en-GB"/>
              </w:rPr>
              <w:t>315</w:t>
            </w:r>
            <w:r>
              <w:rPr>
                <w:rFonts w:eastAsia="Times New Roman" w:cstheme="minorHAnsi"/>
                <w:color w:val="000000"/>
                <w:lang w:eastAsia="en-GB"/>
              </w:rPr>
              <w:t>,</w:t>
            </w:r>
            <w:r w:rsidRPr="00B6620E">
              <w:rPr>
                <w:rFonts w:eastAsia="Times New Roman" w:cstheme="minorHAnsi"/>
                <w:color w:val="000000"/>
                <w:lang w:eastAsia="en-GB"/>
              </w:rPr>
              <w:t>856</w:t>
            </w:r>
            <w:r>
              <w:rPr>
                <w:rFonts w:eastAsia="Times New Roman" w:cstheme="minorHAnsi"/>
                <w:color w:val="000000"/>
                <w:lang w:eastAsia="en-GB"/>
              </w:rPr>
              <w:t xml:space="preserve"> (13.7%)</w:t>
            </w:r>
          </w:p>
        </w:tc>
        <w:tc>
          <w:tcPr>
            <w:tcW w:w="1899" w:type="dxa"/>
            <w:shd w:val="clear" w:color="auto" w:fill="auto"/>
            <w:noWrap/>
            <w:hideMark/>
          </w:tcPr>
          <w:p w14:paraId="540FD6C2" w14:textId="77777777" w:rsidR="00F511F4" w:rsidRPr="00B6620E" w:rsidRDefault="00F511F4" w:rsidP="001F53D9">
            <w:pPr>
              <w:spacing w:after="0" w:line="240" w:lineRule="auto"/>
              <w:rPr>
                <w:rFonts w:eastAsia="Times New Roman" w:cstheme="minorHAnsi"/>
                <w:color w:val="000000"/>
                <w:lang w:eastAsia="en-GB"/>
              </w:rPr>
            </w:pPr>
            <w:r w:rsidRPr="00B6620E">
              <w:rPr>
                <w:rFonts w:eastAsia="Times New Roman" w:cstheme="minorHAnsi"/>
                <w:color w:val="000000"/>
                <w:lang w:eastAsia="en-GB"/>
              </w:rPr>
              <w:t>1</w:t>
            </w:r>
            <w:r>
              <w:rPr>
                <w:rFonts w:eastAsia="Times New Roman" w:cstheme="minorHAnsi"/>
                <w:color w:val="000000"/>
                <w:lang w:eastAsia="en-GB"/>
              </w:rPr>
              <w:t>,</w:t>
            </w:r>
            <w:r w:rsidRPr="00B6620E">
              <w:rPr>
                <w:rFonts w:eastAsia="Times New Roman" w:cstheme="minorHAnsi"/>
                <w:color w:val="000000"/>
                <w:lang w:eastAsia="en-GB"/>
              </w:rPr>
              <w:t>774</w:t>
            </w:r>
            <w:r>
              <w:rPr>
                <w:rFonts w:eastAsia="Times New Roman" w:cstheme="minorHAnsi"/>
                <w:color w:val="000000"/>
                <w:lang w:eastAsia="en-GB"/>
              </w:rPr>
              <w:t xml:space="preserve"> (15.4%)</w:t>
            </w:r>
          </w:p>
        </w:tc>
        <w:tc>
          <w:tcPr>
            <w:tcW w:w="934" w:type="dxa"/>
          </w:tcPr>
          <w:p w14:paraId="7EAEA451" w14:textId="77777777" w:rsidR="00F511F4" w:rsidRPr="00B6620E" w:rsidRDefault="00F511F4" w:rsidP="001F53D9">
            <w:pPr>
              <w:spacing w:after="0" w:line="240" w:lineRule="auto"/>
              <w:rPr>
                <w:rFonts w:eastAsia="Times New Roman" w:cstheme="minorHAnsi"/>
                <w:color w:val="000000"/>
                <w:lang w:eastAsia="en-GB"/>
              </w:rPr>
            </w:pPr>
            <w:r>
              <w:rPr>
                <w:rFonts w:eastAsia="Times New Roman" w:cstheme="minorHAnsi"/>
                <w:color w:val="000000"/>
                <w:lang w:eastAsia="en-GB"/>
              </w:rPr>
              <w:t>&lt;0.001</w:t>
            </w:r>
          </w:p>
        </w:tc>
      </w:tr>
      <w:tr w:rsidR="00F511F4" w:rsidRPr="00B6620E" w14:paraId="68D2416B" w14:textId="77777777" w:rsidTr="001F53D9">
        <w:trPr>
          <w:trHeight w:val="285"/>
        </w:trPr>
        <w:tc>
          <w:tcPr>
            <w:tcW w:w="2689" w:type="dxa"/>
            <w:shd w:val="clear" w:color="auto" w:fill="auto"/>
            <w:noWrap/>
            <w:hideMark/>
          </w:tcPr>
          <w:p w14:paraId="7223FC5E" w14:textId="77777777" w:rsidR="00F511F4" w:rsidRPr="00B6620E" w:rsidRDefault="00F511F4" w:rsidP="001F53D9">
            <w:pPr>
              <w:spacing w:after="0" w:line="240" w:lineRule="auto"/>
              <w:rPr>
                <w:rFonts w:eastAsia="Times New Roman" w:cstheme="minorHAnsi"/>
                <w:color w:val="000000"/>
                <w:lang w:eastAsia="en-GB"/>
              </w:rPr>
            </w:pPr>
            <w:r w:rsidRPr="00B6620E">
              <w:rPr>
                <w:rFonts w:eastAsia="Times New Roman" w:cstheme="minorHAnsi"/>
                <w:color w:val="000000"/>
                <w:lang w:val="en-US" w:eastAsia="en-GB"/>
              </w:rPr>
              <w:t>Chronic lung disease</w:t>
            </w:r>
          </w:p>
        </w:tc>
        <w:tc>
          <w:tcPr>
            <w:tcW w:w="2128" w:type="dxa"/>
            <w:shd w:val="clear" w:color="auto" w:fill="auto"/>
            <w:noWrap/>
            <w:hideMark/>
          </w:tcPr>
          <w:p w14:paraId="699586B3" w14:textId="77777777" w:rsidR="00F511F4" w:rsidRPr="00B6620E" w:rsidRDefault="00F511F4" w:rsidP="001F53D9">
            <w:pPr>
              <w:spacing w:after="0" w:line="240" w:lineRule="auto"/>
              <w:rPr>
                <w:rFonts w:eastAsia="Times New Roman" w:cstheme="minorHAnsi"/>
                <w:color w:val="000000"/>
                <w:lang w:eastAsia="en-GB"/>
              </w:rPr>
            </w:pPr>
            <w:r w:rsidRPr="00B6620E">
              <w:rPr>
                <w:rFonts w:eastAsia="Times New Roman" w:cstheme="minorHAnsi"/>
                <w:color w:val="000000"/>
                <w:lang w:eastAsia="en-GB"/>
              </w:rPr>
              <w:t>3</w:t>
            </w:r>
            <w:r>
              <w:rPr>
                <w:rFonts w:eastAsia="Times New Roman" w:cstheme="minorHAnsi"/>
                <w:color w:val="000000"/>
                <w:lang w:eastAsia="en-GB"/>
              </w:rPr>
              <w:t>,</w:t>
            </w:r>
            <w:r w:rsidRPr="00B6620E">
              <w:rPr>
                <w:rFonts w:eastAsia="Times New Roman" w:cstheme="minorHAnsi"/>
                <w:color w:val="000000"/>
                <w:lang w:eastAsia="en-GB"/>
              </w:rPr>
              <w:t>318</w:t>
            </w:r>
            <w:r>
              <w:rPr>
                <w:rFonts w:eastAsia="Times New Roman" w:cstheme="minorHAnsi"/>
                <w:color w:val="000000"/>
                <w:lang w:eastAsia="en-GB"/>
              </w:rPr>
              <w:t>,</w:t>
            </w:r>
            <w:r w:rsidRPr="00B6620E">
              <w:rPr>
                <w:rFonts w:eastAsia="Times New Roman" w:cstheme="minorHAnsi"/>
                <w:color w:val="000000"/>
                <w:lang w:eastAsia="en-GB"/>
              </w:rPr>
              <w:t>970</w:t>
            </w:r>
            <w:r>
              <w:rPr>
                <w:rFonts w:eastAsia="Times New Roman" w:cstheme="minorHAnsi"/>
                <w:color w:val="000000"/>
                <w:lang w:eastAsia="en-GB"/>
              </w:rPr>
              <w:t xml:space="preserve"> (35.7%)</w:t>
            </w:r>
          </w:p>
        </w:tc>
        <w:tc>
          <w:tcPr>
            <w:tcW w:w="1984" w:type="dxa"/>
            <w:shd w:val="clear" w:color="auto" w:fill="auto"/>
            <w:noWrap/>
            <w:hideMark/>
          </w:tcPr>
          <w:p w14:paraId="285D783D" w14:textId="77777777" w:rsidR="00F511F4" w:rsidRPr="00B6620E" w:rsidRDefault="00F511F4" w:rsidP="001F53D9">
            <w:pPr>
              <w:spacing w:after="0" w:line="240" w:lineRule="auto"/>
              <w:rPr>
                <w:rFonts w:eastAsia="Times New Roman" w:cstheme="minorHAnsi"/>
                <w:color w:val="000000"/>
                <w:lang w:eastAsia="en-GB"/>
              </w:rPr>
            </w:pPr>
            <w:r w:rsidRPr="00B6620E">
              <w:rPr>
                <w:rFonts w:eastAsia="Times New Roman" w:cstheme="minorHAnsi"/>
                <w:color w:val="000000"/>
                <w:lang w:eastAsia="en-GB"/>
              </w:rPr>
              <w:t>909</w:t>
            </w:r>
            <w:r>
              <w:rPr>
                <w:rFonts w:eastAsia="Times New Roman" w:cstheme="minorHAnsi"/>
                <w:color w:val="000000"/>
                <w:lang w:eastAsia="en-GB"/>
              </w:rPr>
              <w:t>,</w:t>
            </w:r>
            <w:r w:rsidRPr="00B6620E">
              <w:rPr>
                <w:rFonts w:eastAsia="Times New Roman" w:cstheme="minorHAnsi"/>
                <w:color w:val="000000"/>
                <w:lang w:eastAsia="en-GB"/>
              </w:rPr>
              <w:t>480</w:t>
            </w:r>
            <w:r>
              <w:rPr>
                <w:rFonts w:eastAsia="Times New Roman" w:cstheme="minorHAnsi"/>
                <w:color w:val="000000"/>
                <w:lang w:eastAsia="en-GB"/>
              </w:rPr>
              <w:t xml:space="preserve"> (39.3%)</w:t>
            </w:r>
          </w:p>
        </w:tc>
        <w:tc>
          <w:tcPr>
            <w:tcW w:w="1899" w:type="dxa"/>
            <w:shd w:val="clear" w:color="auto" w:fill="auto"/>
            <w:noWrap/>
            <w:hideMark/>
          </w:tcPr>
          <w:p w14:paraId="24DA95A0" w14:textId="77777777" w:rsidR="00F511F4" w:rsidRPr="00B6620E" w:rsidRDefault="00F511F4" w:rsidP="001F53D9">
            <w:pPr>
              <w:spacing w:after="0" w:line="240" w:lineRule="auto"/>
              <w:rPr>
                <w:rFonts w:eastAsia="Times New Roman" w:cstheme="minorHAnsi"/>
                <w:color w:val="000000"/>
                <w:lang w:eastAsia="en-GB"/>
              </w:rPr>
            </w:pPr>
            <w:r w:rsidRPr="00B6620E">
              <w:rPr>
                <w:rFonts w:eastAsia="Times New Roman" w:cstheme="minorHAnsi"/>
                <w:color w:val="000000"/>
                <w:lang w:eastAsia="en-GB"/>
              </w:rPr>
              <w:t>4</w:t>
            </w:r>
            <w:r>
              <w:rPr>
                <w:rFonts w:eastAsia="Times New Roman" w:cstheme="minorHAnsi"/>
                <w:color w:val="000000"/>
                <w:lang w:eastAsia="en-GB"/>
              </w:rPr>
              <w:t>,</w:t>
            </w:r>
            <w:r w:rsidRPr="00B6620E">
              <w:rPr>
                <w:rFonts w:eastAsia="Times New Roman" w:cstheme="minorHAnsi"/>
                <w:color w:val="000000"/>
                <w:lang w:eastAsia="en-GB"/>
              </w:rPr>
              <w:t>181</w:t>
            </w:r>
            <w:r>
              <w:rPr>
                <w:rFonts w:eastAsia="Times New Roman" w:cstheme="minorHAnsi"/>
                <w:color w:val="000000"/>
                <w:lang w:eastAsia="en-GB"/>
              </w:rPr>
              <w:t xml:space="preserve"> (36.3%)</w:t>
            </w:r>
          </w:p>
        </w:tc>
        <w:tc>
          <w:tcPr>
            <w:tcW w:w="934" w:type="dxa"/>
          </w:tcPr>
          <w:p w14:paraId="70AAF051" w14:textId="77777777" w:rsidR="00F511F4" w:rsidRPr="00B6620E" w:rsidRDefault="00F511F4" w:rsidP="001F53D9">
            <w:pPr>
              <w:spacing w:after="0" w:line="240" w:lineRule="auto"/>
              <w:rPr>
                <w:rFonts w:eastAsia="Times New Roman" w:cstheme="minorHAnsi"/>
                <w:color w:val="000000"/>
                <w:lang w:eastAsia="en-GB"/>
              </w:rPr>
            </w:pPr>
            <w:r>
              <w:rPr>
                <w:rFonts w:eastAsia="Times New Roman" w:cstheme="minorHAnsi"/>
                <w:color w:val="000000"/>
                <w:lang w:eastAsia="en-GB"/>
              </w:rPr>
              <w:t>&lt;0.001</w:t>
            </w:r>
          </w:p>
        </w:tc>
      </w:tr>
      <w:tr w:rsidR="00F511F4" w:rsidRPr="00B6620E" w14:paraId="36429D70" w14:textId="77777777" w:rsidTr="001F53D9">
        <w:trPr>
          <w:trHeight w:val="285"/>
        </w:trPr>
        <w:tc>
          <w:tcPr>
            <w:tcW w:w="2689" w:type="dxa"/>
            <w:shd w:val="clear" w:color="auto" w:fill="auto"/>
            <w:noWrap/>
            <w:hideMark/>
          </w:tcPr>
          <w:p w14:paraId="65249896" w14:textId="77777777" w:rsidR="00F511F4" w:rsidRPr="00B6620E" w:rsidRDefault="00F511F4" w:rsidP="001F53D9">
            <w:pPr>
              <w:spacing w:after="0" w:line="240" w:lineRule="auto"/>
              <w:rPr>
                <w:rFonts w:eastAsia="Times New Roman" w:cstheme="minorHAnsi"/>
                <w:color w:val="000000"/>
                <w:lang w:eastAsia="en-GB"/>
              </w:rPr>
            </w:pPr>
            <w:r w:rsidRPr="00B6620E">
              <w:rPr>
                <w:rFonts w:eastAsia="Times New Roman" w:cstheme="minorHAnsi"/>
                <w:color w:val="000000"/>
                <w:lang w:eastAsia="en-GB"/>
              </w:rPr>
              <w:t>Hypothyroidism</w:t>
            </w:r>
          </w:p>
        </w:tc>
        <w:tc>
          <w:tcPr>
            <w:tcW w:w="2128" w:type="dxa"/>
            <w:shd w:val="clear" w:color="auto" w:fill="auto"/>
            <w:noWrap/>
            <w:hideMark/>
          </w:tcPr>
          <w:p w14:paraId="47FE8FDA" w14:textId="77777777" w:rsidR="00F511F4" w:rsidRPr="00B6620E" w:rsidRDefault="00F511F4" w:rsidP="001F53D9">
            <w:pPr>
              <w:spacing w:after="0" w:line="240" w:lineRule="auto"/>
              <w:rPr>
                <w:rFonts w:eastAsia="Times New Roman" w:cstheme="minorHAnsi"/>
                <w:color w:val="000000"/>
                <w:lang w:eastAsia="en-GB"/>
              </w:rPr>
            </w:pPr>
            <w:r w:rsidRPr="00B6620E">
              <w:rPr>
                <w:rFonts w:eastAsia="Times New Roman" w:cstheme="minorHAnsi"/>
                <w:color w:val="000000"/>
                <w:lang w:eastAsia="en-GB"/>
              </w:rPr>
              <w:t>1</w:t>
            </w:r>
            <w:r>
              <w:rPr>
                <w:rFonts w:eastAsia="Times New Roman" w:cstheme="minorHAnsi"/>
                <w:color w:val="000000"/>
                <w:lang w:eastAsia="en-GB"/>
              </w:rPr>
              <w:t>,</w:t>
            </w:r>
            <w:r w:rsidRPr="00B6620E">
              <w:rPr>
                <w:rFonts w:eastAsia="Times New Roman" w:cstheme="minorHAnsi"/>
                <w:color w:val="000000"/>
                <w:lang w:eastAsia="en-GB"/>
              </w:rPr>
              <w:t>277</w:t>
            </w:r>
            <w:r>
              <w:rPr>
                <w:rFonts w:eastAsia="Times New Roman" w:cstheme="minorHAnsi"/>
                <w:color w:val="000000"/>
                <w:lang w:eastAsia="en-GB"/>
              </w:rPr>
              <w:t>,</w:t>
            </w:r>
            <w:r w:rsidRPr="00B6620E">
              <w:rPr>
                <w:rFonts w:eastAsia="Times New Roman" w:cstheme="minorHAnsi"/>
                <w:color w:val="000000"/>
                <w:lang w:eastAsia="en-GB"/>
              </w:rPr>
              <w:t>113</w:t>
            </w:r>
            <w:r>
              <w:rPr>
                <w:rFonts w:eastAsia="Times New Roman" w:cstheme="minorHAnsi"/>
                <w:color w:val="000000"/>
                <w:lang w:eastAsia="en-GB"/>
              </w:rPr>
              <w:t xml:space="preserve"> (13.7%)</w:t>
            </w:r>
          </w:p>
        </w:tc>
        <w:tc>
          <w:tcPr>
            <w:tcW w:w="1984" w:type="dxa"/>
            <w:shd w:val="clear" w:color="auto" w:fill="auto"/>
            <w:noWrap/>
            <w:hideMark/>
          </w:tcPr>
          <w:p w14:paraId="0BE1847A" w14:textId="77777777" w:rsidR="00F511F4" w:rsidRPr="00B6620E" w:rsidRDefault="00F511F4" w:rsidP="001F53D9">
            <w:pPr>
              <w:spacing w:after="0" w:line="240" w:lineRule="auto"/>
              <w:rPr>
                <w:rFonts w:eastAsia="Times New Roman" w:cstheme="minorHAnsi"/>
                <w:color w:val="000000"/>
                <w:lang w:eastAsia="en-GB"/>
              </w:rPr>
            </w:pPr>
            <w:r w:rsidRPr="00B6620E">
              <w:rPr>
                <w:rFonts w:eastAsia="Times New Roman" w:cstheme="minorHAnsi"/>
                <w:color w:val="000000"/>
                <w:lang w:eastAsia="en-GB"/>
              </w:rPr>
              <w:t>419</w:t>
            </w:r>
            <w:r>
              <w:rPr>
                <w:rFonts w:eastAsia="Times New Roman" w:cstheme="minorHAnsi"/>
                <w:color w:val="000000"/>
                <w:lang w:eastAsia="en-GB"/>
              </w:rPr>
              <w:t>,</w:t>
            </w:r>
            <w:r w:rsidRPr="00B6620E">
              <w:rPr>
                <w:rFonts w:eastAsia="Times New Roman" w:cstheme="minorHAnsi"/>
                <w:color w:val="000000"/>
                <w:lang w:eastAsia="en-GB"/>
              </w:rPr>
              <w:t>327</w:t>
            </w:r>
            <w:r>
              <w:rPr>
                <w:rFonts w:eastAsia="Times New Roman" w:cstheme="minorHAnsi"/>
                <w:color w:val="000000"/>
                <w:lang w:eastAsia="en-GB"/>
              </w:rPr>
              <w:t xml:space="preserve"> (18.1%)</w:t>
            </w:r>
          </w:p>
        </w:tc>
        <w:tc>
          <w:tcPr>
            <w:tcW w:w="1899" w:type="dxa"/>
            <w:shd w:val="clear" w:color="auto" w:fill="auto"/>
            <w:noWrap/>
            <w:hideMark/>
          </w:tcPr>
          <w:p w14:paraId="65A3ED79" w14:textId="77777777" w:rsidR="00F511F4" w:rsidRPr="00B6620E" w:rsidRDefault="00F511F4" w:rsidP="001F53D9">
            <w:pPr>
              <w:spacing w:after="0" w:line="240" w:lineRule="auto"/>
              <w:rPr>
                <w:rFonts w:eastAsia="Times New Roman" w:cstheme="minorHAnsi"/>
                <w:color w:val="000000"/>
                <w:lang w:eastAsia="en-GB"/>
              </w:rPr>
            </w:pPr>
            <w:r w:rsidRPr="00B6620E">
              <w:rPr>
                <w:rFonts w:eastAsia="Times New Roman" w:cstheme="minorHAnsi"/>
                <w:color w:val="000000"/>
                <w:lang w:eastAsia="en-GB"/>
              </w:rPr>
              <w:t>2</w:t>
            </w:r>
            <w:r>
              <w:rPr>
                <w:rFonts w:eastAsia="Times New Roman" w:cstheme="minorHAnsi"/>
                <w:color w:val="000000"/>
                <w:lang w:eastAsia="en-GB"/>
              </w:rPr>
              <w:t>,</w:t>
            </w:r>
            <w:r w:rsidRPr="00B6620E">
              <w:rPr>
                <w:rFonts w:eastAsia="Times New Roman" w:cstheme="minorHAnsi"/>
                <w:color w:val="000000"/>
                <w:lang w:eastAsia="en-GB"/>
              </w:rPr>
              <w:t>338</w:t>
            </w:r>
            <w:r>
              <w:rPr>
                <w:rFonts w:eastAsia="Times New Roman" w:cstheme="minorHAnsi"/>
                <w:color w:val="000000"/>
                <w:lang w:eastAsia="en-GB"/>
              </w:rPr>
              <w:t xml:space="preserve"> (20.3%)</w:t>
            </w:r>
          </w:p>
        </w:tc>
        <w:tc>
          <w:tcPr>
            <w:tcW w:w="934" w:type="dxa"/>
          </w:tcPr>
          <w:p w14:paraId="5CDA1ACA" w14:textId="77777777" w:rsidR="00F511F4" w:rsidRPr="00B6620E" w:rsidRDefault="00F511F4" w:rsidP="001F53D9">
            <w:pPr>
              <w:spacing w:after="0" w:line="240" w:lineRule="auto"/>
              <w:rPr>
                <w:rFonts w:eastAsia="Times New Roman" w:cstheme="minorHAnsi"/>
                <w:color w:val="000000"/>
                <w:lang w:eastAsia="en-GB"/>
              </w:rPr>
            </w:pPr>
            <w:r>
              <w:rPr>
                <w:rFonts w:eastAsia="Times New Roman" w:cstheme="minorHAnsi"/>
                <w:color w:val="000000"/>
                <w:lang w:eastAsia="en-GB"/>
              </w:rPr>
              <w:t>&lt;0.001</w:t>
            </w:r>
          </w:p>
        </w:tc>
      </w:tr>
      <w:tr w:rsidR="00F511F4" w:rsidRPr="00B6620E" w14:paraId="4B24DFFD" w14:textId="77777777" w:rsidTr="001F53D9">
        <w:trPr>
          <w:trHeight w:val="285"/>
        </w:trPr>
        <w:tc>
          <w:tcPr>
            <w:tcW w:w="2689" w:type="dxa"/>
            <w:shd w:val="clear" w:color="auto" w:fill="auto"/>
            <w:noWrap/>
            <w:hideMark/>
          </w:tcPr>
          <w:p w14:paraId="349E944D" w14:textId="77777777" w:rsidR="00F511F4" w:rsidRPr="00B6620E" w:rsidRDefault="00F511F4" w:rsidP="001F53D9">
            <w:pPr>
              <w:spacing w:after="0" w:line="240" w:lineRule="auto"/>
              <w:rPr>
                <w:rFonts w:eastAsia="Times New Roman" w:cstheme="minorHAnsi"/>
                <w:color w:val="000000"/>
                <w:lang w:eastAsia="en-GB"/>
              </w:rPr>
            </w:pPr>
            <w:r w:rsidRPr="00B6620E">
              <w:rPr>
                <w:rFonts w:eastAsia="Times New Roman" w:cstheme="minorHAnsi"/>
                <w:color w:val="000000"/>
                <w:lang w:val="en-US" w:eastAsia="en-GB"/>
              </w:rPr>
              <w:t>Liver disease</w:t>
            </w:r>
          </w:p>
        </w:tc>
        <w:tc>
          <w:tcPr>
            <w:tcW w:w="2128" w:type="dxa"/>
            <w:shd w:val="clear" w:color="auto" w:fill="auto"/>
            <w:noWrap/>
            <w:hideMark/>
          </w:tcPr>
          <w:p w14:paraId="42AC13CE" w14:textId="77777777" w:rsidR="00F511F4" w:rsidRPr="00B6620E" w:rsidRDefault="00F511F4" w:rsidP="001F53D9">
            <w:pPr>
              <w:spacing w:after="0" w:line="240" w:lineRule="auto"/>
              <w:rPr>
                <w:rFonts w:eastAsia="Times New Roman" w:cstheme="minorHAnsi"/>
                <w:color w:val="000000"/>
                <w:lang w:eastAsia="en-GB"/>
              </w:rPr>
            </w:pPr>
            <w:r w:rsidRPr="00B6620E">
              <w:rPr>
                <w:rFonts w:eastAsia="Times New Roman" w:cstheme="minorHAnsi"/>
                <w:color w:val="000000"/>
                <w:lang w:eastAsia="en-GB"/>
              </w:rPr>
              <w:t>194</w:t>
            </w:r>
            <w:r>
              <w:rPr>
                <w:rFonts w:eastAsia="Times New Roman" w:cstheme="minorHAnsi"/>
                <w:color w:val="000000"/>
                <w:lang w:eastAsia="en-GB"/>
              </w:rPr>
              <w:t>,</w:t>
            </w:r>
            <w:r w:rsidRPr="00B6620E">
              <w:rPr>
                <w:rFonts w:eastAsia="Times New Roman" w:cstheme="minorHAnsi"/>
                <w:color w:val="000000"/>
                <w:lang w:eastAsia="en-GB"/>
              </w:rPr>
              <w:t>764</w:t>
            </w:r>
            <w:r>
              <w:rPr>
                <w:rFonts w:eastAsia="Times New Roman" w:cstheme="minorHAnsi"/>
                <w:color w:val="000000"/>
                <w:lang w:eastAsia="en-GB"/>
              </w:rPr>
              <w:t xml:space="preserve"> (2.1%)</w:t>
            </w:r>
          </w:p>
        </w:tc>
        <w:tc>
          <w:tcPr>
            <w:tcW w:w="1984" w:type="dxa"/>
            <w:shd w:val="clear" w:color="auto" w:fill="auto"/>
            <w:noWrap/>
            <w:hideMark/>
          </w:tcPr>
          <w:p w14:paraId="5E80AAC3" w14:textId="77777777" w:rsidR="00F511F4" w:rsidRPr="00B6620E" w:rsidRDefault="00F511F4" w:rsidP="001F53D9">
            <w:pPr>
              <w:spacing w:after="0" w:line="240" w:lineRule="auto"/>
              <w:rPr>
                <w:rFonts w:eastAsia="Times New Roman" w:cstheme="minorHAnsi"/>
                <w:color w:val="000000"/>
                <w:lang w:eastAsia="en-GB"/>
              </w:rPr>
            </w:pPr>
            <w:r w:rsidRPr="00B6620E">
              <w:rPr>
                <w:rFonts w:eastAsia="Times New Roman" w:cstheme="minorHAnsi"/>
                <w:color w:val="000000"/>
                <w:lang w:eastAsia="en-GB"/>
              </w:rPr>
              <w:t>86</w:t>
            </w:r>
            <w:r>
              <w:rPr>
                <w:rFonts w:eastAsia="Times New Roman" w:cstheme="minorHAnsi"/>
                <w:color w:val="000000"/>
                <w:lang w:eastAsia="en-GB"/>
              </w:rPr>
              <w:t>,</w:t>
            </w:r>
            <w:r w:rsidRPr="00B6620E">
              <w:rPr>
                <w:rFonts w:eastAsia="Times New Roman" w:cstheme="minorHAnsi"/>
                <w:color w:val="000000"/>
                <w:lang w:eastAsia="en-GB"/>
              </w:rPr>
              <w:t>583</w:t>
            </w:r>
            <w:r>
              <w:rPr>
                <w:rFonts w:eastAsia="Times New Roman" w:cstheme="minorHAnsi"/>
                <w:color w:val="000000"/>
                <w:lang w:eastAsia="en-GB"/>
              </w:rPr>
              <w:t xml:space="preserve"> (3.7%)</w:t>
            </w:r>
          </w:p>
        </w:tc>
        <w:tc>
          <w:tcPr>
            <w:tcW w:w="1899" w:type="dxa"/>
            <w:shd w:val="clear" w:color="auto" w:fill="auto"/>
            <w:noWrap/>
            <w:hideMark/>
          </w:tcPr>
          <w:p w14:paraId="0923EE62" w14:textId="77777777" w:rsidR="00F511F4" w:rsidRPr="00B6620E" w:rsidRDefault="00F511F4" w:rsidP="001F53D9">
            <w:pPr>
              <w:spacing w:after="0" w:line="240" w:lineRule="auto"/>
              <w:rPr>
                <w:rFonts w:eastAsia="Times New Roman" w:cstheme="minorHAnsi"/>
                <w:color w:val="000000"/>
                <w:lang w:eastAsia="en-GB"/>
              </w:rPr>
            </w:pPr>
            <w:r w:rsidRPr="00B6620E">
              <w:rPr>
                <w:rFonts w:eastAsia="Times New Roman" w:cstheme="minorHAnsi"/>
                <w:color w:val="000000"/>
                <w:lang w:eastAsia="en-GB"/>
              </w:rPr>
              <w:t>381</w:t>
            </w:r>
            <w:r>
              <w:rPr>
                <w:rFonts w:eastAsia="Times New Roman" w:cstheme="minorHAnsi"/>
                <w:color w:val="000000"/>
                <w:lang w:eastAsia="en-GB"/>
              </w:rPr>
              <w:t xml:space="preserve"> (3.3%)</w:t>
            </w:r>
          </w:p>
        </w:tc>
        <w:tc>
          <w:tcPr>
            <w:tcW w:w="934" w:type="dxa"/>
          </w:tcPr>
          <w:p w14:paraId="427CDC86" w14:textId="77777777" w:rsidR="00F511F4" w:rsidRPr="00B6620E" w:rsidRDefault="00F511F4" w:rsidP="001F53D9">
            <w:pPr>
              <w:spacing w:after="0" w:line="240" w:lineRule="auto"/>
              <w:rPr>
                <w:rFonts w:eastAsia="Times New Roman" w:cstheme="minorHAnsi"/>
                <w:color w:val="000000"/>
                <w:lang w:eastAsia="en-GB"/>
              </w:rPr>
            </w:pPr>
            <w:r>
              <w:rPr>
                <w:rFonts w:eastAsia="Times New Roman" w:cstheme="minorHAnsi"/>
                <w:color w:val="000000"/>
                <w:lang w:eastAsia="en-GB"/>
              </w:rPr>
              <w:t>&lt;0.001</w:t>
            </w:r>
          </w:p>
        </w:tc>
      </w:tr>
      <w:tr w:rsidR="00F511F4" w:rsidRPr="00B6620E" w14:paraId="0FFC3A83" w14:textId="77777777" w:rsidTr="001F53D9">
        <w:trPr>
          <w:trHeight w:val="285"/>
        </w:trPr>
        <w:tc>
          <w:tcPr>
            <w:tcW w:w="2689" w:type="dxa"/>
            <w:shd w:val="clear" w:color="auto" w:fill="auto"/>
            <w:noWrap/>
            <w:hideMark/>
          </w:tcPr>
          <w:p w14:paraId="60B1C88C" w14:textId="77777777" w:rsidR="00F511F4" w:rsidRPr="00B6620E" w:rsidRDefault="00F511F4" w:rsidP="001F53D9">
            <w:pPr>
              <w:spacing w:after="0" w:line="240" w:lineRule="auto"/>
              <w:rPr>
                <w:rFonts w:eastAsia="Times New Roman" w:cstheme="minorHAnsi"/>
                <w:color w:val="000000"/>
                <w:lang w:eastAsia="en-GB"/>
              </w:rPr>
            </w:pPr>
            <w:r w:rsidRPr="00B6620E">
              <w:rPr>
                <w:rFonts w:eastAsia="Times New Roman" w:cstheme="minorHAnsi"/>
                <w:color w:val="000000"/>
                <w:lang w:val="en-US" w:eastAsia="en-GB"/>
              </w:rPr>
              <w:t>Peptic ulcer disease</w:t>
            </w:r>
          </w:p>
        </w:tc>
        <w:tc>
          <w:tcPr>
            <w:tcW w:w="2128" w:type="dxa"/>
            <w:shd w:val="clear" w:color="auto" w:fill="auto"/>
            <w:noWrap/>
            <w:hideMark/>
          </w:tcPr>
          <w:p w14:paraId="1F678252" w14:textId="77777777" w:rsidR="00F511F4" w:rsidRPr="00B6620E" w:rsidRDefault="00F511F4" w:rsidP="001F53D9">
            <w:pPr>
              <w:spacing w:after="0" w:line="240" w:lineRule="auto"/>
              <w:rPr>
                <w:rFonts w:eastAsia="Times New Roman" w:cstheme="minorHAnsi"/>
                <w:color w:val="000000"/>
                <w:lang w:eastAsia="en-GB"/>
              </w:rPr>
            </w:pPr>
            <w:r w:rsidRPr="00B6620E">
              <w:rPr>
                <w:rFonts w:eastAsia="Times New Roman" w:cstheme="minorHAnsi"/>
                <w:color w:val="000000"/>
                <w:lang w:eastAsia="en-GB"/>
              </w:rPr>
              <w:t>2</w:t>
            </w:r>
            <w:r>
              <w:rPr>
                <w:rFonts w:eastAsia="Times New Roman" w:cstheme="minorHAnsi"/>
                <w:color w:val="000000"/>
                <w:lang w:eastAsia="en-GB"/>
              </w:rPr>
              <w:t>,</w:t>
            </w:r>
            <w:r w:rsidRPr="00B6620E">
              <w:rPr>
                <w:rFonts w:eastAsia="Times New Roman" w:cstheme="minorHAnsi"/>
                <w:color w:val="000000"/>
                <w:lang w:eastAsia="en-GB"/>
              </w:rPr>
              <w:t>852</w:t>
            </w:r>
            <w:r>
              <w:rPr>
                <w:rFonts w:eastAsia="Times New Roman" w:cstheme="minorHAnsi"/>
                <w:color w:val="000000"/>
                <w:lang w:eastAsia="en-GB"/>
              </w:rPr>
              <w:t xml:space="preserve"> (0.03%)</w:t>
            </w:r>
          </w:p>
        </w:tc>
        <w:tc>
          <w:tcPr>
            <w:tcW w:w="1984" w:type="dxa"/>
            <w:shd w:val="clear" w:color="auto" w:fill="auto"/>
            <w:noWrap/>
            <w:hideMark/>
          </w:tcPr>
          <w:p w14:paraId="60FF4700" w14:textId="77777777" w:rsidR="00F511F4" w:rsidRPr="00B6620E" w:rsidRDefault="00F511F4" w:rsidP="001F53D9">
            <w:pPr>
              <w:spacing w:after="0" w:line="240" w:lineRule="auto"/>
              <w:rPr>
                <w:rFonts w:eastAsia="Times New Roman" w:cstheme="minorHAnsi"/>
                <w:color w:val="000000"/>
                <w:lang w:eastAsia="en-GB"/>
              </w:rPr>
            </w:pPr>
            <w:r w:rsidRPr="00B6620E">
              <w:rPr>
                <w:rFonts w:eastAsia="Times New Roman" w:cstheme="minorHAnsi"/>
                <w:color w:val="000000"/>
                <w:lang w:eastAsia="en-GB"/>
              </w:rPr>
              <w:t>989</w:t>
            </w:r>
            <w:r>
              <w:rPr>
                <w:rFonts w:eastAsia="Times New Roman" w:cstheme="minorHAnsi"/>
                <w:color w:val="000000"/>
                <w:lang w:eastAsia="en-GB"/>
              </w:rPr>
              <w:t xml:space="preserve"> (0.04%)</w:t>
            </w:r>
          </w:p>
        </w:tc>
        <w:tc>
          <w:tcPr>
            <w:tcW w:w="1899" w:type="dxa"/>
            <w:shd w:val="clear" w:color="auto" w:fill="auto"/>
            <w:noWrap/>
            <w:hideMark/>
          </w:tcPr>
          <w:p w14:paraId="3C53A238" w14:textId="77777777" w:rsidR="00F511F4" w:rsidRPr="00B6620E" w:rsidRDefault="00F511F4" w:rsidP="001F53D9">
            <w:pPr>
              <w:spacing w:after="0" w:line="240" w:lineRule="auto"/>
              <w:rPr>
                <w:rFonts w:eastAsia="Times New Roman" w:cstheme="minorHAnsi"/>
                <w:color w:val="000000"/>
                <w:lang w:eastAsia="en-GB"/>
              </w:rPr>
            </w:pPr>
            <w:r w:rsidRPr="00B6620E">
              <w:rPr>
                <w:rFonts w:eastAsia="Times New Roman" w:cstheme="minorHAnsi"/>
                <w:color w:val="000000"/>
                <w:lang w:eastAsia="en-GB"/>
              </w:rPr>
              <w:t>5</w:t>
            </w:r>
            <w:r>
              <w:rPr>
                <w:rFonts w:eastAsia="Times New Roman" w:cstheme="minorHAnsi"/>
                <w:color w:val="000000"/>
                <w:lang w:eastAsia="en-GB"/>
              </w:rPr>
              <w:t xml:space="preserve"> (0.04%)</w:t>
            </w:r>
          </w:p>
        </w:tc>
        <w:tc>
          <w:tcPr>
            <w:tcW w:w="934" w:type="dxa"/>
          </w:tcPr>
          <w:p w14:paraId="6F83024D" w14:textId="77777777" w:rsidR="00F511F4" w:rsidRPr="00B6620E" w:rsidRDefault="00F511F4" w:rsidP="001F53D9">
            <w:pPr>
              <w:spacing w:after="0" w:line="240" w:lineRule="auto"/>
              <w:rPr>
                <w:rFonts w:eastAsia="Times New Roman" w:cstheme="minorHAnsi"/>
                <w:color w:val="000000"/>
                <w:lang w:eastAsia="en-GB"/>
              </w:rPr>
            </w:pPr>
            <w:r>
              <w:rPr>
                <w:rFonts w:eastAsia="Times New Roman" w:cstheme="minorHAnsi"/>
                <w:color w:val="000000"/>
                <w:lang w:eastAsia="en-GB"/>
              </w:rPr>
              <w:t>&lt;0.001</w:t>
            </w:r>
          </w:p>
        </w:tc>
      </w:tr>
      <w:tr w:rsidR="00F511F4" w:rsidRPr="00B6620E" w14:paraId="0592F288" w14:textId="77777777" w:rsidTr="001F53D9">
        <w:trPr>
          <w:trHeight w:val="285"/>
        </w:trPr>
        <w:tc>
          <w:tcPr>
            <w:tcW w:w="2689" w:type="dxa"/>
            <w:shd w:val="clear" w:color="auto" w:fill="auto"/>
            <w:noWrap/>
            <w:hideMark/>
          </w:tcPr>
          <w:p w14:paraId="5A5D74DA" w14:textId="77777777" w:rsidR="00F511F4" w:rsidRPr="00B6620E" w:rsidRDefault="00F511F4" w:rsidP="001F53D9">
            <w:pPr>
              <w:spacing w:after="0" w:line="240" w:lineRule="auto"/>
              <w:rPr>
                <w:rFonts w:eastAsia="Times New Roman" w:cstheme="minorHAnsi"/>
                <w:color w:val="000000"/>
                <w:lang w:eastAsia="en-GB"/>
              </w:rPr>
            </w:pPr>
            <w:r w:rsidRPr="00B6620E">
              <w:rPr>
                <w:rFonts w:eastAsia="Times New Roman" w:cstheme="minorHAnsi"/>
                <w:color w:val="000000"/>
                <w:lang w:val="en-US" w:eastAsia="en-GB"/>
              </w:rPr>
              <w:t>Cancer</w:t>
            </w:r>
          </w:p>
        </w:tc>
        <w:tc>
          <w:tcPr>
            <w:tcW w:w="2128" w:type="dxa"/>
            <w:shd w:val="clear" w:color="auto" w:fill="auto"/>
            <w:noWrap/>
            <w:hideMark/>
          </w:tcPr>
          <w:p w14:paraId="4E58B10D" w14:textId="77777777" w:rsidR="00F511F4" w:rsidRPr="00B6620E" w:rsidRDefault="00F511F4" w:rsidP="001F53D9">
            <w:pPr>
              <w:spacing w:after="0" w:line="240" w:lineRule="auto"/>
              <w:rPr>
                <w:rFonts w:eastAsia="Times New Roman" w:cstheme="minorHAnsi"/>
                <w:color w:val="000000"/>
                <w:lang w:eastAsia="en-GB"/>
              </w:rPr>
            </w:pPr>
            <w:r w:rsidRPr="00B6620E">
              <w:rPr>
                <w:rFonts w:eastAsia="Times New Roman" w:cstheme="minorHAnsi"/>
                <w:color w:val="000000"/>
                <w:lang w:eastAsia="en-GB"/>
              </w:rPr>
              <w:t>235</w:t>
            </w:r>
            <w:r>
              <w:rPr>
                <w:rFonts w:eastAsia="Times New Roman" w:cstheme="minorHAnsi"/>
                <w:color w:val="000000"/>
                <w:lang w:eastAsia="en-GB"/>
              </w:rPr>
              <w:t>,</w:t>
            </w:r>
            <w:r w:rsidRPr="00B6620E">
              <w:rPr>
                <w:rFonts w:eastAsia="Times New Roman" w:cstheme="minorHAnsi"/>
                <w:color w:val="000000"/>
                <w:lang w:eastAsia="en-GB"/>
              </w:rPr>
              <w:t>159</w:t>
            </w:r>
            <w:r>
              <w:rPr>
                <w:rFonts w:eastAsia="Times New Roman" w:cstheme="minorHAnsi"/>
                <w:color w:val="000000"/>
                <w:lang w:eastAsia="en-GB"/>
              </w:rPr>
              <w:t xml:space="preserve"> (2.5%)</w:t>
            </w:r>
          </w:p>
        </w:tc>
        <w:tc>
          <w:tcPr>
            <w:tcW w:w="1984" w:type="dxa"/>
            <w:shd w:val="clear" w:color="auto" w:fill="auto"/>
            <w:noWrap/>
            <w:hideMark/>
          </w:tcPr>
          <w:p w14:paraId="3B8D221B" w14:textId="77777777" w:rsidR="00F511F4" w:rsidRPr="00B6620E" w:rsidRDefault="00F511F4" w:rsidP="001F53D9">
            <w:pPr>
              <w:spacing w:after="0" w:line="240" w:lineRule="auto"/>
              <w:rPr>
                <w:rFonts w:eastAsia="Times New Roman" w:cstheme="minorHAnsi"/>
                <w:color w:val="000000"/>
                <w:lang w:eastAsia="en-GB"/>
              </w:rPr>
            </w:pPr>
            <w:r w:rsidRPr="00B6620E">
              <w:rPr>
                <w:rFonts w:eastAsia="Times New Roman" w:cstheme="minorHAnsi"/>
                <w:color w:val="000000"/>
                <w:lang w:eastAsia="en-GB"/>
              </w:rPr>
              <w:t>64</w:t>
            </w:r>
            <w:r>
              <w:rPr>
                <w:rFonts w:eastAsia="Times New Roman" w:cstheme="minorHAnsi"/>
                <w:color w:val="000000"/>
                <w:lang w:eastAsia="en-GB"/>
              </w:rPr>
              <w:t>,</w:t>
            </w:r>
            <w:r w:rsidRPr="00B6620E">
              <w:rPr>
                <w:rFonts w:eastAsia="Times New Roman" w:cstheme="minorHAnsi"/>
                <w:color w:val="000000"/>
                <w:lang w:eastAsia="en-GB"/>
              </w:rPr>
              <w:t>860</w:t>
            </w:r>
            <w:r>
              <w:rPr>
                <w:rFonts w:eastAsia="Times New Roman" w:cstheme="minorHAnsi"/>
                <w:color w:val="000000"/>
                <w:lang w:eastAsia="en-GB"/>
              </w:rPr>
              <w:t xml:space="preserve"> (2.8%)</w:t>
            </w:r>
          </w:p>
        </w:tc>
        <w:tc>
          <w:tcPr>
            <w:tcW w:w="1899" w:type="dxa"/>
            <w:shd w:val="clear" w:color="auto" w:fill="auto"/>
            <w:noWrap/>
            <w:hideMark/>
          </w:tcPr>
          <w:p w14:paraId="30622C3E" w14:textId="77777777" w:rsidR="00F511F4" w:rsidRPr="00B6620E" w:rsidRDefault="00F511F4" w:rsidP="001F53D9">
            <w:pPr>
              <w:spacing w:after="0" w:line="240" w:lineRule="auto"/>
              <w:rPr>
                <w:rFonts w:eastAsia="Times New Roman" w:cstheme="minorHAnsi"/>
                <w:color w:val="000000"/>
                <w:lang w:eastAsia="en-GB"/>
              </w:rPr>
            </w:pPr>
            <w:r w:rsidRPr="00B6620E">
              <w:rPr>
                <w:rFonts w:eastAsia="Times New Roman" w:cstheme="minorHAnsi"/>
                <w:color w:val="000000"/>
                <w:lang w:eastAsia="en-GB"/>
              </w:rPr>
              <w:t>321</w:t>
            </w:r>
            <w:r>
              <w:rPr>
                <w:rFonts w:eastAsia="Times New Roman" w:cstheme="minorHAnsi"/>
                <w:color w:val="000000"/>
                <w:lang w:eastAsia="en-GB"/>
              </w:rPr>
              <w:t xml:space="preserve"> (2.8%)</w:t>
            </w:r>
          </w:p>
        </w:tc>
        <w:tc>
          <w:tcPr>
            <w:tcW w:w="934" w:type="dxa"/>
          </w:tcPr>
          <w:p w14:paraId="41481679" w14:textId="77777777" w:rsidR="00F511F4" w:rsidRPr="00B6620E" w:rsidRDefault="00F511F4" w:rsidP="001F53D9">
            <w:pPr>
              <w:spacing w:after="0" w:line="240" w:lineRule="auto"/>
              <w:rPr>
                <w:rFonts w:eastAsia="Times New Roman" w:cstheme="minorHAnsi"/>
                <w:color w:val="000000"/>
                <w:lang w:eastAsia="en-GB"/>
              </w:rPr>
            </w:pPr>
            <w:r>
              <w:rPr>
                <w:rFonts w:eastAsia="Times New Roman" w:cstheme="minorHAnsi"/>
                <w:color w:val="000000"/>
                <w:lang w:eastAsia="en-GB"/>
              </w:rPr>
              <w:t>&lt;0.001</w:t>
            </w:r>
          </w:p>
        </w:tc>
      </w:tr>
      <w:tr w:rsidR="00F511F4" w:rsidRPr="00B6620E" w14:paraId="56481DED" w14:textId="77777777" w:rsidTr="001F53D9">
        <w:trPr>
          <w:trHeight w:val="285"/>
        </w:trPr>
        <w:tc>
          <w:tcPr>
            <w:tcW w:w="2689" w:type="dxa"/>
            <w:shd w:val="clear" w:color="auto" w:fill="auto"/>
            <w:noWrap/>
            <w:hideMark/>
          </w:tcPr>
          <w:p w14:paraId="716F0553" w14:textId="77777777" w:rsidR="00F511F4" w:rsidRPr="00B6620E" w:rsidRDefault="00F511F4" w:rsidP="001F53D9">
            <w:pPr>
              <w:spacing w:after="0" w:line="240" w:lineRule="auto"/>
              <w:rPr>
                <w:rFonts w:eastAsia="Times New Roman" w:cstheme="minorHAnsi"/>
                <w:color w:val="000000"/>
                <w:lang w:eastAsia="en-GB"/>
              </w:rPr>
            </w:pPr>
            <w:r w:rsidRPr="00B6620E">
              <w:rPr>
                <w:rFonts w:eastAsia="Times New Roman" w:cstheme="minorHAnsi"/>
                <w:color w:val="000000"/>
                <w:lang w:val="en-US" w:eastAsia="en-GB"/>
              </w:rPr>
              <w:t>Charlson Comorbidity Index</w:t>
            </w:r>
          </w:p>
        </w:tc>
        <w:tc>
          <w:tcPr>
            <w:tcW w:w="2128" w:type="dxa"/>
            <w:shd w:val="clear" w:color="auto" w:fill="auto"/>
            <w:noWrap/>
            <w:hideMark/>
          </w:tcPr>
          <w:p w14:paraId="4B2C2AA7" w14:textId="77777777" w:rsidR="00F511F4" w:rsidRPr="00B6620E" w:rsidRDefault="00F511F4" w:rsidP="001F53D9">
            <w:pPr>
              <w:spacing w:after="0" w:line="240" w:lineRule="auto"/>
              <w:rPr>
                <w:rFonts w:eastAsia="Times New Roman" w:cstheme="minorHAnsi"/>
                <w:color w:val="000000"/>
                <w:lang w:eastAsia="en-GB"/>
              </w:rPr>
            </w:pPr>
            <w:r w:rsidRPr="00110DAA">
              <w:rPr>
                <w:rFonts w:eastAsia="Times New Roman" w:cstheme="minorHAnsi"/>
                <w:color w:val="000000"/>
                <w:lang w:eastAsia="en-GB"/>
              </w:rPr>
              <w:t>1.9</w:t>
            </w:r>
            <w:r w:rsidRPr="00110DAA">
              <w:rPr>
                <w:rFonts w:eastAsia="Malgun Gothic" w:cstheme="minorHAnsi"/>
                <w:color w:val="000000"/>
                <w:lang w:eastAsia="en-GB"/>
              </w:rPr>
              <w:t>±1.5 (n=</w:t>
            </w:r>
            <w:r w:rsidRPr="00B6620E">
              <w:rPr>
                <w:rFonts w:eastAsia="Times New Roman" w:cstheme="minorHAnsi"/>
                <w:color w:val="000000"/>
                <w:lang w:eastAsia="en-GB"/>
              </w:rPr>
              <w:t>9</w:t>
            </w:r>
            <w:r w:rsidRPr="00110DAA">
              <w:rPr>
                <w:rFonts w:eastAsia="Times New Roman" w:cstheme="minorHAnsi"/>
                <w:color w:val="000000"/>
                <w:lang w:eastAsia="en-GB"/>
              </w:rPr>
              <w:t>,</w:t>
            </w:r>
            <w:r w:rsidRPr="00B6620E">
              <w:rPr>
                <w:rFonts w:eastAsia="Times New Roman" w:cstheme="minorHAnsi"/>
                <w:color w:val="000000"/>
                <w:lang w:eastAsia="en-GB"/>
              </w:rPr>
              <w:t>300</w:t>
            </w:r>
            <w:r w:rsidRPr="00110DAA">
              <w:rPr>
                <w:rFonts w:eastAsia="Times New Roman" w:cstheme="minorHAnsi"/>
                <w:color w:val="000000"/>
                <w:lang w:eastAsia="en-GB"/>
              </w:rPr>
              <w:t>,</w:t>
            </w:r>
            <w:r w:rsidRPr="00B6620E">
              <w:rPr>
                <w:rFonts w:eastAsia="Times New Roman" w:cstheme="minorHAnsi"/>
                <w:color w:val="000000"/>
                <w:lang w:eastAsia="en-GB"/>
              </w:rPr>
              <w:t>873</w:t>
            </w:r>
            <w:r w:rsidRPr="00110DAA">
              <w:rPr>
                <w:rFonts w:eastAsia="Times New Roman" w:cstheme="minorHAnsi"/>
                <w:color w:val="000000"/>
                <w:lang w:eastAsia="en-GB"/>
              </w:rPr>
              <w:t>)</w:t>
            </w:r>
          </w:p>
        </w:tc>
        <w:tc>
          <w:tcPr>
            <w:tcW w:w="1984" w:type="dxa"/>
            <w:shd w:val="clear" w:color="auto" w:fill="auto"/>
            <w:noWrap/>
            <w:hideMark/>
          </w:tcPr>
          <w:p w14:paraId="786D18EA" w14:textId="77777777" w:rsidR="00F511F4" w:rsidRPr="00B6620E" w:rsidRDefault="00F511F4" w:rsidP="001F53D9">
            <w:pPr>
              <w:spacing w:after="0" w:line="240" w:lineRule="auto"/>
              <w:rPr>
                <w:rFonts w:eastAsia="Times New Roman" w:cstheme="minorHAnsi"/>
                <w:color w:val="000000"/>
                <w:lang w:eastAsia="en-GB"/>
              </w:rPr>
            </w:pPr>
            <w:r w:rsidRPr="00110DAA">
              <w:rPr>
                <w:rFonts w:eastAsia="Times New Roman" w:cstheme="minorHAnsi"/>
                <w:color w:val="000000"/>
                <w:lang w:eastAsia="en-GB"/>
              </w:rPr>
              <w:t>2.9</w:t>
            </w:r>
            <w:r w:rsidRPr="00110DAA">
              <w:rPr>
                <w:rFonts w:eastAsia="Malgun Gothic" w:cstheme="minorHAnsi"/>
                <w:color w:val="000000"/>
                <w:lang w:eastAsia="en-GB"/>
              </w:rPr>
              <w:t>±1.7 (n=</w:t>
            </w:r>
            <w:r w:rsidRPr="00B6620E">
              <w:rPr>
                <w:rFonts w:eastAsia="Times New Roman" w:cstheme="minorHAnsi"/>
                <w:color w:val="000000"/>
                <w:lang w:eastAsia="en-GB"/>
              </w:rPr>
              <w:t>2</w:t>
            </w:r>
            <w:r w:rsidRPr="00110DAA">
              <w:rPr>
                <w:rFonts w:eastAsia="Times New Roman" w:cstheme="minorHAnsi"/>
                <w:color w:val="000000"/>
                <w:lang w:eastAsia="en-GB"/>
              </w:rPr>
              <w:t>,</w:t>
            </w:r>
            <w:r w:rsidRPr="00B6620E">
              <w:rPr>
                <w:rFonts w:eastAsia="Times New Roman" w:cstheme="minorHAnsi"/>
                <w:color w:val="000000"/>
                <w:lang w:eastAsia="en-GB"/>
              </w:rPr>
              <w:t>314</w:t>
            </w:r>
            <w:r w:rsidRPr="00110DAA">
              <w:rPr>
                <w:rFonts w:eastAsia="Times New Roman" w:cstheme="minorHAnsi"/>
                <w:color w:val="000000"/>
                <w:lang w:eastAsia="en-GB"/>
              </w:rPr>
              <w:t>,</w:t>
            </w:r>
            <w:r w:rsidRPr="00B6620E">
              <w:rPr>
                <w:rFonts w:eastAsia="Times New Roman" w:cstheme="minorHAnsi"/>
                <w:color w:val="000000"/>
                <w:lang w:eastAsia="en-GB"/>
              </w:rPr>
              <w:t>001</w:t>
            </w:r>
            <w:r w:rsidRPr="00110DAA">
              <w:rPr>
                <w:rFonts w:eastAsia="Times New Roman" w:cstheme="minorHAnsi"/>
                <w:color w:val="000000"/>
                <w:lang w:eastAsia="en-GB"/>
              </w:rPr>
              <w:t>)</w:t>
            </w:r>
          </w:p>
        </w:tc>
        <w:tc>
          <w:tcPr>
            <w:tcW w:w="1899" w:type="dxa"/>
            <w:shd w:val="clear" w:color="auto" w:fill="auto"/>
            <w:noWrap/>
            <w:hideMark/>
          </w:tcPr>
          <w:p w14:paraId="0C61B775" w14:textId="77777777" w:rsidR="00F511F4" w:rsidRPr="00B6620E" w:rsidRDefault="00F511F4" w:rsidP="001F53D9">
            <w:pPr>
              <w:spacing w:after="0" w:line="240" w:lineRule="auto"/>
              <w:rPr>
                <w:rFonts w:eastAsia="Times New Roman" w:cstheme="minorHAnsi"/>
                <w:color w:val="000000"/>
                <w:lang w:eastAsia="en-GB"/>
              </w:rPr>
            </w:pPr>
            <w:r w:rsidRPr="00110DAA">
              <w:rPr>
                <w:rFonts w:eastAsia="Times New Roman" w:cstheme="minorHAnsi"/>
                <w:color w:val="000000"/>
                <w:lang w:eastAsia="en-GB"/>
              </w:rPr>
              <w:t>4.1</w:t>
            </w:r>
            <w:r w:rsidRPr="00110DAA">
              <w:rPr>
                <w:rFonts w:eastAsia="Malgun Gothic" w:cstheme="minorHAnsi"/>
                <w:color w:val="000000"/>
                <w:lang w:eastAsia="en-GB"/>
              </w:rPr>
              <w:t>±1.8 (n=</w:t>
            </w:r>
            <w:r w:rsidRPr="00B6620E">
              <w:rPr>
                <w:rFonts w:eastAsia="Times New Roman" w:cstheme="minorHAnsi"/>
                <w:color w:val="000000"/>
                <w:lang w:eastAsia="en-GB"/>
              </w:rPr>
              <w:t>11</w:t>
            </w:r>
            <w:r w:rsidRPr="00110DAA">
              <w:rPr>
                <w:rFonts w:eastAsia="Times New Roman" w:cstheme="minorHAnsi"/>
                <w:color w:val="000000"/>
                <w:lang w:eastAsia="en-GB"/>
              </w:rPr>
              <w:t>,</w:t>
            </w:r>
            <w:r w:rsidRPr="00B6620E">
              <w:rPr>
                <w:rFonts w:eastAsia="Times New Roman" w:cstheme="minorHAnsi"/>
                <w:color w:val="000000"/>
                <w:lang w:eastAsia="en-GB"/>
              </w:rPr>
              <w:t>526</w:t>
            </w:r>
            <w:r w:rsidRPr="00110DAA">
              <w:rPr>
                <w:rFonts w:eastAsia="Times New Roman" w:cstheme="minorHAnsi"/>
                <w:color w:val="000000"/>
                <w:lang w:eastAsia="en-GB"/>
              </w:rPr>
              <w:t>)</w:t>
            </w:r>
          </w:p>
        </w:tc>
        <w:tc>
          <w:tcPr>
            <w:tcW w:w="934" w:type="dxa"/>
          </w:tcPr>
          <w:p w14:paraId="1BC7AD17" w14:textId="77777777" w:rsidR="00F511F4" w:rsidRPr="00110DAA" w:rsidRDefault="00F511F4" w:rsidP="001F53D9">
            <w:pPr>
              <w:spacing w:after="0" w:line="240" w:lineRule="auto"/>
              <w:rPr>
                <w:rFonts w:eastAsia="Times New Roman" w:cstheme="minorHAnsi"/>
                <w:color w:val="000000"/>
                <w:lang w:eastAsia="en-GB"/>
              </w:rPr>
            </w:pPr>
            <w:r>
              <w:rPr>
                <w:rFonts w:eastAsia="Times New Roman" w:cstheme="minorHAnsi"/>
                <w:color w:val="000000"/>
                <w:lang w:eastAsia="en-GB"/>
              </w:rPr>
              <w:t>&lt;0.001</w:t>
            </w:r>
          </w:p>
        </w:tc>
      </w:tr>
      <w:tr w:rsidR="00F511F4" w:rsidRPr="00B6620E" w14:paraId="22F0A1E9" w14:textId="77777777" w:rsidTr="001F53D9">
        <w:trPr>
          <w:trHeight w:val="285"/>
        </w:trPr>
        <w:tc>
          <w:tcPr>
            <w:tcW w:w="8700" w:type="dxa"/>
            <w:gridSpan w:val="4"/>
            <w:shd w:val="clear" w:color="auto" w:fill="auto"/>
            <w:noWrap/>
            <w:hideMark/>
          </w:tcPr>
          <w:p w14:paraId="27B0ED62" w14:textId="77777777" w:rsidR="00F511F4" w:rsidRPr="00E9075D" w:rsidRDefault="00F511F4" w:rsidP="001F53D9">
            <w:pPr>
              <w:spacing w:after="0" w:line="240" w:lineRule="auto"/>
              <w:rPr>
                <w:rFonts w:eastAsia="Times New Roman" w:cstheme="minorHAnsi"/>
                <w:lang w:eastAsia="en-GB"/>
              </w:rPr>
            </w:pPr>
            <w:r w:rsidRPr="00E9075D">
              <w:rPr>
                <w:rFonts w:eastAsia="Times New Roman" w:cstheme="minorHAnsi"/>
                <w:lang w:eastAsia="en-GB"/>
              </w:rPr>
              <w:t>Hospital bed size</w:t>
            </w:r>
          </w:p>
        </w:tc>
        <w:tc>
          <w:tcPr>
            <w:tcW w:w="934" w:type="dxa"/>
            <w:shd w:val="clear" w:color="auto" w:fill="auto"/>
          </w:tcPr>
          <w:p w14:paraId="498F8BBD" w14:textId="77777777" w:rsidR="00F511F4" w:rsidRPr="00E9075D" w:rsidRDefault="00F511F4" w:rsidP="001F53D9">
            <w:pPr>
              <w:spacing w:after="0" w:line="240" w:lineRule="auto"/>
              <w:rPr>
                <w:rFonts w:eastAsia="Times New Roman" w:cstheme="minorHAnsi"/>
                <w:lang w:eastAsia="en-GB"/>
              </w:rPr>
            </w:pPr>
            <w:r>
              <w:rPr>
                <w:rFonts w:eastAsia="Times New Roman" w:cstheme="minorHAnsi"/>
                <w:lang w:eastAsia="en-GB"/>
              </w:rPr>
              <w:t>&lt;0.001</w:t>
            </w:r>
          </w:p>
        </w:tc>
      </w:tr>
      <w:tr w:rsidR="00F511F4" w:rsidRPr="00B6620E" w14:paraId="2FCBB3FA" w14:textId="77777777" w:rsidTr="001F53D9">
        <w:trPr>
          <w:trHeight w:val="285"/>
        </w:trPr>
        <w:tc>
          <w:tcPr>
            <w:tcW w:w="2689" w:type="dxa"/>
            <w:shd w:val="clear" w:color="auto" w:fill="auto"/>
            <w:noWrap/>
            <w:hideMark/>
          </w:tcPr>
          <w:p w14:paraId="04802FBB" w14:textId="77777777" w:rsidR="00F511F4" w:rsidRPr="00B6620E" w:rsidRDefault="00F511F4" w:rsidP="001F53D9">
            <w:pPr>
              <w:spacing w:after="0" w:line="240" w:lineRule="auto"/>
              <w:rPr>
                <w:rFonts w:eastAsia="Times New Roman" w:cstheme="minorHAnsi"/>
                <w:color w:val="000000"/>
                <w:lang w:eastAsia="en-GB"/>
              </w:rPr>
            </w:pPr>
            <w:r w:rsidRPr="00B6620E">
              <w:rPr>
                <w:rFonts w:eastAsia="Times New Roman" w:cstheme="minorHAnsi"/>
                <w:color w:val="000000"/>
                <w:lang w:val="en-US" w:eastAsia="en-GB"/>
              </w:rPr>
              <w:t>Small</w:t>
            </w:r>
          </w:p>
        </w:tc>
        <w:tc>
          <w:tcPr>
            <w:tcW w:w="2128" w:type="dxa"/>
            <w:shd w:val="clear" w:color="auto" w:fill="auto"/>
            <w:noWrap/>
            <w:hideMark/>
          </w:tcPr>
          <w:p w14:paraId="44B3C25E" w14:textId="77777777" w:rsidR="00F511F4" w:rsidRPr="00B6620E" w:rsidRDefault="00F511F4" w:rsidP="001F53D9">
            <w:pPr>
              <w:spacing w:after="0" w:line="240" w:lineRule="auto"/>
              <w:rPr>
                <w:rFonts w:eastAsia="Times New Roman" w:cstheme="minorHAnsi"/>
                <w:color w:val="000000"/>
                <w:lang w:eastAsia="en-GB"/>
              </w:rPr>
            </w:pPr>
            <w:r w:rsidRPr="00B6620E">
              <w:rPr>
                <w:rFonts w:eastAsia="Times New Roman" w:cstheme="minorHAnsi"/>
                <w:color w:val="000000"/>
                <w:lang w:eastAsia="en-GB"/>
              </w:rPr>
              <w:t>1</w:t>
            </w:r>
            <w:r>
              <w:rPr>
                <w:rFonts w:eastAsia="Times New Roman" w:cstheme="minorHAnsi"/>
                <w:color w:val="000000"/>
                <w:lang w:eastAsia="en-GB"/>
              </w:rPr>
              <w:t>,</w:t>
            </w:r>
            <w:r w:rsidRPr="00B6620E">
              <w:rPr>
                <w:rFonts w:eastAsia="Times New Roman" w:cstheme="minorHAnsi"/>
                <w:color w:val="000000"/>
                <w:lang w:eastAsia="en-GB"/>
              </w:rPr>
              <w:t>434</w:t>
            </w:r>
            <w:r>
              <w:rPr>
                <w:rFonts w:eastAsia="Times New Roman" w:cstheme="minorHAnsi"/>
                <w:color w:val="000000"/>
                <w:lang w:eastAsia="en-GB"/>
              </w:rPr>
              <w:t>,</w:t>
            </w:r>
            <w:r w:rsidRPr="00B6620E">
              <w:rPr>
                <w:rFonts w:eastAsia="Times New Roman" w:cstheme="minorHAnsi"/>
                <w:color w:val="000000"/>
                <w:lang w:eastAsia="en-GB"/>
              </w:rPr>
              <w:t>349</w:t>
            </w:r>
            <w:r>
              <w:rPr>
                <w:rFonts w:eastAsia="Times New Roman" w:cstheme="minorHAnsi"/>
                <w:color w:val="000000"/>
                <w:lang w:eastAsia="en-GB"/>
              </w:rPr>
              <w:t xml:space="preserve"> (15.5%)</w:t>
            </w:r>
          </w:p>
        </w:tc>
        <w:tc>
          <w:tcPr>
            <w:tcW w:w="1984" w:type="dxa"/>
            <w:shd w:val="clear" w:color="auto" w:fill="auto"/>
            <w:noWrap/>
            <w:hideMark/>
          </w:tcPr>
          <w:p w14:paraId="3F347B25" w14:textId="77777777" w:rsidR="00F511F4" w:rsidRPr="00B6620E" w:rsidRDefault="00F511F4" w:rsidP="001F53D9">
            <w:pPr>
              <w:spacing w:after="0" w:line="240" w:lineRule="auto"/>
              <w:rPr>
                <w:rFonts w:eastAsia="Times New Roman" w:cstheme="minorHAnsi"/>
                <w:color w:val="000000"/>
                <w:lang w:eastAsia="en-GB"/>
              </w:rPr>
            </w:pPr>
            <w:r w:rsidRPr="00B6620E">
              <w:rPr>
                <w:rFonts w:eastAsia="Times New Roman" w:cstheme="minorHAnsi"/>
                <w:color w:val="000000"/>
                <w:lang w:eastAsia="en-GB"/>
              </w:rPr>
              <w:t>331</w:t>
            </w:r>
            <w:r>
              <w:rPr>
                <w:rFonts w:eastAsia="Times New Roman" w:cstheme="minorHAnsi"/>
                <w:color w:val="000000"/>
                <w:lang w:eastAsia="en-GB"/>
              </w:rPr>
              <w:t>,</w:t>
            </w:r>
            <w:r w:rsidRPr="00B6620E">
              <w:rPr>
                <w:rFonts w:eastAsia="Times New Roman" w:cstheme="minorHAnsi"/>
                <w:color w:val="000000"/>
                <w:lang w:eastAsia="en-GB"/>
              </w:rPr>
              <w:t>306</w:t>
            </w:r>
            <w:r>
              <w:rPr>
                <w:rFonts w:eastAsia="Times New Roman" w:cstheme="minorHAnsi"/>
                <w:color w:val="000000"/>
                <w:lang w:eastAsia="en-GB"/>
              </w:rPr>
              <w:t xml:space="preserve"> (14.4%)</w:t>
            </w:r>
          </w:p>
        </w:tc>
        <w:tc>
          <w:tcPr>
            <w:tcW w:w="1899" w:type="dxa"/>
            <w:shd w:val="clear" w:color="auto" w:fill="auto"/>
            <w:noWrap/>
            <w:hideMark/>
          </w:tcPr>
          <w:p w14:paraId="5B6522F7" w14:textId="77777777" w:rsidR="00F511F4" w:rsidRPr="00B6620E" w:rsidRDefault="00F511F4" w:rsidP="001F53D9">
            <w:pPr>
              <w:spacing w:after="0" w:line="240" w:lineRule="auto"/>
              <w:rPr>
                <w:rFonts w:eastAsia="Times New Roman" w:cstheme="minorHAnsi"/>
                <w:color w:val="000000"/>
                <w:lang w:eastAsia="en-GB"/>
              </w:rPr>
            </w:pPr>
            <w:r w:rsidRPr="00B6620E">
              <w:rPr>
                <w:rFonts w:eastAsia="Times New Roman" w:cstheme="minorHAnsi"/>
                <w:color w:val="000000"/>
                <w:lang w:eastAsia="en-GB"/>
              </w:rPr>
              <w:t>1</w:t>
            </w:r>
            <w:r>
              <w:rPr>
                <w:rFonts w:eastAsia="Times New Roman" w:cstheme="minorHAnsi"/>
                <w:color w:val="000000"/>
                <w:lang w:eastAsia="en-GB"/>
              </w:rPr>
              <w:t>,</w:t>
            </w:r>
            <w:r w:rsidRPr="00B6620E">
              <w:rPr>
                <w:rFonts w:eastAsia="Times New Roman" w:cstheme="minorHAnsi"/>
                <w:color w:val="000000"/>
                <w:lang w:eastAsia="en-GB"/>
              </w:rPr>
              <w:t>661</w:t>
            </w:r>
            <w:r>
              <w:rPr>
                <w:rFonts w:eastAsia="Times New Roman" w:cstheme="minorHAnsi"/>
                <w:color w:val="000000"/>
                <w:lang w:eastAsia="en-GB"/>
              </w:rPr>
              <w:t xml:space="preserve"> (14.5%)</w:t>
            </w:r>
          </w:p>
        </w:tc>
        <w:tc>
          <w:tcPr>
            <w:tcW w:w="934" w:type="dxa"/>
          </w:tcPr>
          <w:p w14:paraId="51FB467B" w14:textId="77777777" w:rsidR="00F511F4" w:rsidRPr="00B6620E" w:rsidRDefault="00F511F4" w:rsidP="001F53D9">
            <w:pPr>
              <w:spacing w:after="0" w:line="240" w:lineRule="auto"/>
              <w:rPr>
                <w:rFonts w:eastAsia="Times New Roman" w:cstheme="minorHAnsi"/>
                <w:color w:val="000000"/>
                <w:lang w:eastAsia="en-GB"/>
              </w:rPr>
            </w:pPr>
          </w:p>
        </w:tc>
      </w:tr>
      <w:tr w:rsidR="00F511F4" w:rsidRPr="00B6620E" w14:paraId="1DE13615" w14:textId="77777777" w:rsidTr="001F53D9">
        <w:trPr>
          <w:trHeight w:val="285"/>
        </w:trPr>
        <w:tc>
          <w:tcPr>
            <w:tcW w:w="2689" w:type="dxa"/>
            <w:shd w:val="clear" w:color="auto" w:fill="auto"/>
            <w:noWrap/>
            <w:hideMark/>
          </w:tcPr>
          <w:p w14:paraId="34C448C0" w14:textId="77777777" w:rsidR="00F511F4" w:rsidRPr="00B6620E" w:rsidRDefault="00F511F4" w:rsidP="001F53D9">
            <w:pPr>
              <w:spacing w:after="0" w:line="240" w:lineRule="auto"/>
              <w:rPr>
                <w:rFonts w:eastAsia="Times New Roman" w:cstheme="minorHAnsi"/>
                <w:color w:val="000000"/>
                <w:lang w:eastAsia="en-GB"/>
              </w:rPr>
            </w:pPr>
            <w:r w:rsidRPr="00B6620E">
              <w:rPr>
                <w:rFonts w:eastAsia="Times New Roman" w:cstheme="minorHAnsi"/>
                <w:color w:val="000000"/>
                <w:lang w:val="en-US" w:eastAsia="en-GB"/>
              </w:rPr>
              <w:t>Medium</w:t>
            </w:r>
          </w:p>
        </w:tc>
        <w:tc>
          <w:tcPr>
            <w:tcW w:w="2128" w:type="dxa"/>
            <w:shd w:val="clear" w:color="auto" w:fill="auto"/>
            <w:noWrap/>
            <w:hideMark/>
          </w:tcPr>
          <w:p w14:paraId="6927B9CD" w14:textId="77777777" w:rsidR="00F511F4" w:rsidRPr="00B6620E" w:rsidRDefault="00F511F4" w:rsidP="001F53D9">
            <w:pPr>
              <w:spacing w:after="0" w:line="240" w:lineRule="auto"/>
              <w:rPr>
                <w:rFonts w:eastAsia="Times New Roman" w:cstheme="minorHAnsi"/>
                <w:color w:val="000000"/>
                <w:lang w:eastAsia="en-GB"/>
              </w:rPr>
            </w:pPr>
            <w:r w:rsidRPr="00B6620E">
              <w:rPr>
                <w:rFonts w:eastAsia="Times New Roman" w:cstheme="minorHAnsi"/>
                <w:color w:val="000000"/>
                <w:lang w:eastAsia="en-GB"/>
              </w:rPr>
              <w:t>2</w:t>
            </w:r>
            <w:r>
              <w:rPr>
                <w:rFonts w:eastAsia="Times New Roman" w:cstheme="minorHAnsi"/>
                <w:color w:val="000000"/>
                <w:lang w:eastAsia="en-GB"/>
              </w:rPr>
              <w:t>,</w:t>
            </w:r>
            <w:r w:rsidRPr="00B6620E">
              <w:rPr>
                <w:rFonts w:eastAsia="Times New Roman" w:cstheme="minorHAnsi"/>
                <w:color w:val="000000"/>
                <w:lang w:eastAsia="en-GB"/>
              </w:rPr>
              <w:t>357</w:t>
            </w:r>
            <w:r>
              <w:rPr>
                <w:rFonts w:eastAsia="Times New Roman" w:cstheme="minorHAnsi"/>
                <w:color w:val="000000"/>
                <w:lang w:eastAsia="en-GB"/>
              </w:rPr>
              <w:t>,</w:t>
            </w:r>
            <w:r w:rsidRPr="00B6620E">
              <w:rPr>
                <w:rFonts w:eastAsia="Times New Roman" w:cstheme="minorHAnsi"/>
                <w:color w:val="000000"/>
                <w:lang w:eastAsia="en-GB"/>
              </w:rPr>
              <w:t>352</w:t>
            </w:r>
            <w:r>
              <w:rPr>
                <w:rFonts w:eastAsia="Times New Roman" w:cstheme="minorHAnsi"/>
                <w:color w:val="000000"/>
                <w:lang w:eastAsia="en-GB"/>
              </w:rPr>
              <w:t xml:space="preserve"> (25.4%)</w:t>
            </w:r>
          </w:p>
        </w:tc>
        <w:tc>
          <w:tcPr>
            <w:tcW w:w="1984" w:type="dxa"/>
            <w:shd w:val="clear" w:color="auto" w:fill="auto"/>
            <w:noWrap/>
            <w:hideMark/>
          </w:tcPr>
          <w:p w14:paraId="340FD553" w14:textId="77777777" w:rsidR="00F511F4" w:rsidRPr="00B6620E" w:rsidRDefault="00F511F4" w:rsidP="001F53D9">
            <w:pPr>
              <w:spacing w:after="0" w:line="240" w:lineRule="auto"/>
              <w:rPr>
                <w:rFonts w:eastAsia="Times New Roman" w:cstheme="minorHAnsi"/>
                <w:color w:val="000000"/>
                <w:lang w:eastAsia="en-GB"/>
              </w:rPr>
            </w:pPr>
            <w:r w:rsidRPr="00B6620E">
              <w:rPr>
                <w:rFonts w:eastAsia="Times New Roman" w:cstheme="minorHAnsi"/>
                <w:color w:val="000000"/>
                <w:lang w:eastAsia="en-GB"/>
              </w:rPr>
              <w:t>595</w:t>
            </w:r>
            <w:r>
              <w:rPr>
                <w:rFonts w:eastAsia="Times New Roman" w:cstheme="minorHAnsi"/>
                <w:color w:val="000000"/>
                <w:lang w:eastAsia="en-GB"/>
              </w:rPr>
              <w:t>,</w:t>
            </w:r>
            <w:r w:rsidRPr="00B6620E">
              <w:rPr>
                <w:rFonts w:eastAsia="Times New Roman" w:cstheme="minorHAnsi"/>
                <w:color w:val="000000"/>
                <w:lang w:eastAsia="en-GB"/>
              </w:rPr>
              <w:t>344</w:t>
            </w:r>
            <w:r>
              <w:rPr>
                <w:rFonts w:eastAsia="Times New Roman" w:cstheme="minorHAnsi"/>
                <w:color w:val="000000"/>
                <w:lang w:eastAsia="en-GB"/>
              </w:rPr>
              <w:t xml:space="preserve"> (25.9%)</w:t>
            </w:r>
          </w:p>
        </w:tc>
        <w:tc>
          <w:tcPr>
            <w:tcW w:w="1899" w:type="dxa"/>
            <w:shd w:val="clear" w:color="auto" w:fill="auto"/>
            <w:noWrap/>
            <w:hideMark/>
          </w:tcPr>
          <w:p w14:paraId="5E77A18D" w14:textId="77777777" w:rsidR="00F511F4" w:rsidRPr="00B6620E" w:rsidRDefault="00F511F4" w:rsidP="001F53D9">
            <w:pPr>
              <w:spacing w:after="0" w:line="240" w:lineRule="auto"/>
              <w:rPr>
                <w:rFonts w:eastAsia="Times New Roman" w:cstheme="minorHAnsi"/>
                <w:color w:val="000000"/>
                <w:lang w:eastAsia="en-GB"/>
              </w:rPr>
            </w:pPr>
            <w:r w:rsidRPr="00B6620E">
              <w:rPr>
                <w:rFonts w:eastAsia="Times New Roman" w:cstheme="minorHAnsi"/>
                <w:color w:val="000000"/>
                <w:lang w:eastAsia="en-GB"/>
              </w:rPr>
              <w:t>2</w:t>
            </w:r>
            <w:r>
              <w:rPr>
                <w:rFonts w:eastAsia="Times New Roman" w:cstheme="minorHAnsi"/>
                <w:color w:val="000000"/>
                <w:lang w:eastAsia="en-GB"/>
              </w:rPr>
              <w:t>,</w:t>
            </w:r>
            <w:r w:rsidRPr="00B6620E">
              <w:rPr>
                <w:rFonts w:eastAsia="Times New Roman" w:cstheme="minorHAnsi"/>
                <w:color w:val="000000"/>
                <w:lang w:eastAsia="en-GB"/>
              </w:rPr>
              <w:t>921</w:t>
            </w:r>
            <w:r>
              <w:rPr>
                <w:rFonts w:eastAsia="Times New Roman" w:cstheme="minorHAnsi"/>
                <w:color w:val="000000"/>
                <w:lang w:eastAsia="en-GB"/>
              </w:rPr>
              <w:t xml:space="preserve"> (25.4%)</w:t>
            </w:r>
          </w:p>
        </w:tc>
        <w:tc>
          <w:tcPr>
            <w:tcW w:w="934" w:type="dxa"/>
          </w:tcPr>
          <w:p w14:paraId="2E7D743E" w14:textId="77777777" w:rsidR="00F511F4" w:rsidRPr="00B6620E" w:rsidRDefault="00F511F4" w:rsidP="001F53D9">
            <w:pPr>
              <w:spacing w:after="0" w:line="240" w:lineRule="auto"/>
              <w:rPr>
                <w:rFonts w:eastAsia="Times New Roman" w:cstheme="minorHAnsi"/>
                <w:color w:val="000000"/>
                <w:lang w:eastAsia="en-GB"/>
              </w:rPr>
            </w:pPr>
          </w:p>
        </w:tc>
      </w:tr>
      <w:tr w:rsidR="00F511F4" w:rsidRPr="00B6620E" w14:paraId="062883A5" w14:textId="77777777" w:rsidTr="001F53D9">
        <w:trPr>
          <w:trHeight w:val="285"/>
        </w:trPr>
        <w:tc>
          <w:tcPr>
            <w:tcW w:w="2689" w:type="dxa"/>
            <w:shd w:val="clear" w:color="auto" w:fill="auto"/>
            <w:noWrap/>
            <w:hideMark/>
          </w:tcPr>
          <w:p w14:paraId="63E48903" w14:textId="77777777" w:rsidR="00F511F4" w:rsidRPr="00B6620E" w:rsidRDefault="00F511F4" w:rsidP="001F53D9">
            <w:pPr>
              <w:spacing w:after="0" w:line="240" w:lineRule="auto"/>
              <w:rPr>
                <w:rFonts w:eastAsia="Times New Roman" w:cstheme="minorHAnsi"/>
                <w:color w:val="000000"/>
                <w:lang w:eastAsia="en-GB"/>
              </w:rPr>
            </w:pPr>
            <w:r w:rsidRPr="00B6620E">
              <w:rPr>
                <w:rFonts w:eastAsia="Times New Roman" w:cstheme="minorHAnsi"/>
                <w:color w:val="000000"/>
                <w:lang w:val="en-US" w:eastAsia="en-GB"/>
              </w:rPr>
              <w:t>Large</w:t>
            </w:r>
          </w:p>
        </w:tc>
        <w:tc>
          <w:tcPr>
            <w:tcW w:w="2128" w:type="dxa"/>
            <w:shd w:val="clear" w:color="auto" w:fill="auto"/>
            <w:noWrap/>
            <w:hideMark/>
          </w:tcPr>
          <w:p w14:paraId="51691992" w14:textId="77777777" w:rsidR="00F511F4" w:rsidRPr="00B6620E" w:rsidRDefault="00F511F4" w:rsidP="001F53D9">
            <w:pPr>
              <w:spacing w:after="0" w:line="240" w:lineRule="auto"/>
              <w:rPr>
                <w:rFonts w:eastAsia="Times New Roman" w:cstheme="minorHAnsi"/>
                <w:color w:val="000000"/>
                <w:lang w:eastAsia="en-GB"/>
              </w:rPr>
            </w:pPr>
            <w:r w:rsidRPr="00B6620E">
              <w:rPr>
                <w:rFonts w:eastAsia="Times New Roman" w:cstheme="minorHAnsi"/>
                <w:color w:val="000000"/>
                <w:lang w:eastAsia="en-GB"/>
              </w:rPr>
              <w:t>5</w:t>
            </w:r>
            <w:r>
              <w:rPr>
                <w:rFonts w:eastAsia="Times New Roman" w:cstheme="minorHAnsi"/>
                <w:color w:val="000000"/>
                <w:lang w:eastAsia="en-GB"/>
              </w:rPr>
              <w:t>,</w:t>
            </w:r>
            <w:r w:rsidRPr="00B6620E">
              <w:rPr>
                <w:rFonts w:eastAsia="Times New Roman" w:cstheme="minorHAnsi"/>
                <w:color w:val="000000"/>
                <w:lang w:eastAsia="en-GB"/>
              </w:rPr>
              <w:t>476</w:t>
            </w:r>
            <w:r>
              <w:rPr>
                <w:rFonts w:eastAsia="Times New Roman" w:cstheme="minorHAnsi"/>
                <w:color w:val="000000"/>
                <w:lang w:eastAsia="en-GB"/>
              </w:rPr>
              <w:t>,</w:t>
            </w:r>
            <w:r w:rsidRPr="00B6620E">
              <w:rPr>
                <w:rFonts w:eastAsia="Times New Roman" w:cstheme="minorHAnsi"/>
                <w:color w:val="000000"/>
                <w:lang w:eastAsia="en-GB"/>
              </w:rPr>
              <w:t>616</w:t>
            </w:r>
            <w:r>
              <w:rPr>
                <w:rFonts w:eastAsia="Times New Roman" w:cstheme="minorHAnsi"/>
                <w:color w:val="000000"/>
                <w:lang w:eastAsia="en-GB"/>
              </w:rPr>
              <w:t xml:space="preserve"> (59.1%)</w:t>
            </w:r>
          </w:p>
        </w:tc>
        <w:tc>
          <w:tcPr>
            <w:tcW w:w="1984" w:type="dxa"/>
            <w:shd w:val="clear" w:color="auto" w:fill="auto"/>
            <w:noWrap/>
            <w:hideMark/>
          </w:tcPr>
          <w:p w14:paraId="4806DBF1" w14:textId="77777777" w:rsidR="00F511F4" w:rsidRPr="00B6620E" w:rsidRDefault="00F511F4" w:rsidP="001F53D9">
            <w:pPr>
              <w:spacing w:after="0" w:line="240" w:lineRule="auto"/>
              <w:rPr>
                <w:rFonts w:eastAsia="Times New Roman" w:cstheme="minorHAnsi"/>
                <w:color w:val="000000"/>
                <w:lang w:eastAsia="en-GB"/>
              </w:rPr>
            </w:pPr>
            <w:r w:rsidRPr="00B6620E">
              <w:rPr>
                <w:rFonts w:eastAsia="Times New Roman" w:cstheme="minorHAnsi"/>
                <w:color w:val="000000"/>
                <w:lang w:eastAsia="en-GB"/>
              </w:rPr>
              <w:t>1</w:t>
            </w:r>
            <w:r>
              <w:rPr>
                <w:rFonts w:eastAsia="Times New Roman" w:cstheme="minorHAnsi"/>
                <w:color w:val="000000"/>
                <w:lang w:eastAsia="en-GB"/>
              </w:rPr>
              <w:t>,</w:t>
            </w:r>
            <w:r w:rsidRPr="00B6620E">
              <w:rPr>
                <w:rFonts w:eastAsia="Times New Roman" w:cstheme="minorHAnsi"/>
                <w:color w:val="000000"/>
                <w:lang w:eastAsia="en-GB"/>
              </w:rPr>
              <w:t>376</w:t>
            </w:r>
            <w:r>
              <w:rPr>
                <w:rFonts w:eastAsia="Times New Roman" w:cstheme="minorHAnsi"/>
                <w:color w:val="000000"/>
                <w:lang w:eastAsia="en-GB"/>
              </w:rPr>
              <w:t>,</w:t>
            </w:r>
            <w:r w:rsidRPr="00B6620E">
              <w:rPr>
                <w:rFonts w:eastAsia="Times New Roman" w:cstheme="minorHAnsi"/>
                <w:color w:val="000000"/>
                <w:lang w:eastAsia="en-GB"/>
              </w:rPr>
              <w:t>230</w:t>
            </w:r>
            <w:r>
              <w:rPr>
                <w:rFonts w:eastAsia="Times New Roman" w:cstheme="minorHAnsi"/>
                <w:color w:val="000000"/>
                <w:lang w:eastAsia="en-GB"/>
              </w:rPr>
              <w:t xml:space="preserve"> (59.8%)</w:t>
            </w:r>
          </w:p>
        </w:tc>
        <w:tc>
          <w:tcPr>
            <w:tcW w:w="1899" w:type="dxa"/>
            <w:shd w:val="clear" w:color="auto" w:fill="auto"/>
            <w:noWrap/>
            <w:hideMark/>
          </w:tcPr>
          <w:p w14:paraId="4A308797" w14:textId="77777777" w:rsidR="00F511F4" w:rsidRPr="00B6620E" w:rsidRDefault="00F511F4" w:rsidP="001F53D9">
            <w:pPr>
              <w:spacing w:after="0" w:line="240" w:lineRule="auto"/>
              <w:rPr>
                <w:rFonts w:eastAsia="Times New Roman" w:cstheme="minorHAnsi"/>
                <w:color w:val="000000"/>
                <w:lang w:eastAsia="en-GB"/>
              </w:rPr>
            </w:pPr>
            <w:r w:rsidRPr="00B6620E">
              <w:rPr>
                <w:rFonts w:eastAsia="Times New Roman" w:cstheme="minorHAnsi"/>
                <w:color w:val="000000"/>
                <w:lang w:eastAsia="en-GB"/>
              </w:rPr>
              <w:t>6</w:t>
            </w:r>
            <w:r>
              <w:rPr>
                <w:rFonts w:eastAsia="Times New Roman" w:cstheme="minorHAnsi"/>
                <w:color w:val="000000"/>
                <w:lang w:eastAsia="en-GB"/>
              </w:rPr>
              <w:t>,</w:t>
            </w:r>
            <w:r w:rsidRPr="00B6620E">
              <w:rPr>
                <w:rFonts w:eastAsia="Times New Roman" w:cstheme="minorHAnsi"/>
                <w:color w:val="000000"/>
                <w:lang w:eastAsia="en-GB"/>
              </w:rPr>
              <w:t>900</w:t>
            </w:r>
            <w:r>
              <w:rPr>
                <w:rFonts w:eastAsia="Times New Roman" w:cstheme="minorHAnsi"/>
                <w:color w:val="000000"/>
                <w:lang w:eastAsia="en-GB"/>
              </w:rPr>
              <w:t xml:space="preserve"> (60.1%)</w:t>
            </w:r>
          </w:p>
        </w:tc>
        <w:tc>
          <w:tcPr>
            <w:tcW w:w="934" w:type="dxa"/>
          </w:tcPr>
          <w:p w14:paraId="42CE79EE" w14:textId="77777777" w:rsidR="00F511F4" w:rsidRPr="00B6620E" w:rsidRDefault="00F511F4" w:rsidP="001F53D9">
            <w:pPr>
              <w:spacing w:after="0" w:line="240" w:lineRule="auto"/>
              <w:rPr>
                <w:rFonts w:eastAsia="Times New Roman" w:cstheme="minorHAnsi"/>
                <w:color w:val="000000"/>
                <w:lang w:eastAsia="en-GB"/>
              </w:rPr>
            </w:pPr>
          </w:p>
        </w:tc>
      </w:tr>
      <w:tr w:rsidR="00F511F4" w:rsidRPr="00B6620E" w14:paraId="64439208" w14:textId="77777777" w:rsidTr="001F53D9">
        <w:trPr>
          <w:trHeight w:val="285"/>
        </w:trPr>
        <w:tc>
          <w:tcPr>
            <w:tcW w:w="2689" w:type="dxa"/>
            <w:shd w:val="clear" w:color="auto" w:fill="auto"/>
            <w:noWrap/>
            <w:hideMark/>
          </w:tcPr>
          <w:p w14:paraId="5B4EFECC" w14:textId="77777777" w:rsidR="00F511F4" w:rsidRPr="00B6620E" w:rsidRDefault="00F511F4" w:rsidP="001F53D9">
            <w:pPr>
              <w:spacing w:after="0" w:line="240" w:lineRule="auto"/>
              <w:rPr>
                <w:rFonts w:eastAsia="Times New Roman" w:cstheme="minorHAnsi"/>
                <w:color w:val="000000"/>
                <w:lang w:eastAsia="en-GB"/>
              </w:rPr>
            </w:pPr>
            <w:r w:rsidRPr="00B6620E">
              <w:rPr>
                <w:rFonts w:eastAsia="Times New Roman" w:cstheme="minorHAnsi"/>
                <w:color w:val="000000"/>
                <w:lang w:eastAsia="en-GB"/>
              </w:rPr>
              <w:t>Teaching hospital</w:t>
            </w:r>
          </w:p>
        </w:tc>
        <w:tc>
          <w:tcPr>
            <w:tcW w:w="2128" w:type="dxa"/>
            <w:shd w:val="clear" w:color="auto" w:fill="auto"/>
            <w:noWrap/>
            <w:hideMark/>
          </w:tcPr>
          <w:p w14:paraId="0091B83F" w14:textId="77777777" w:rsidR="00F511F4" w:rsidRPr="00B6620E" w:rsidRDefault="00F511F4" w:rsidP="001F53D9">
            <w:pPr>
              <w:spacing w:after="0" w:line="240" w:lineRule="auto"/>
              <w:rPr>
                <w:rFonts w:eastAsia="Times New Roman" w:cstheme="minorHAnsi"/>
                <w:color w:val="000000"/>
                <w:lang w:eastAsia="en-GB"/>
              </w:rPr>
            </w:pPr>
            <w:r w:rsidRPr="00B6620E">
              <w:rPr>
                <w:rFonts w:eastAsia="Times New Roman" w:cstheme="minorHAnsi"/>
                <w:color w:val="000000"/>
                <w:lang w:eastAsia="en-GB"/>
              </w:rPr>
              <w:t>2</w:t>
            </w:r>
            <w:r>
              <w:rPr>
                <w:rFonts w:eastAsia="Times New Roman" w:cstheme="minorHAnsi"/>
                <w:color w:val="000000"/>
                <w:lang w:eastAsia="en-GB"/>
              </w:rPr>
              <w:t>,</w:t>
            </w:r>
            <w:r w:rsidRPr="00B6620E">
              <w:rPr>
                <w:rFonts w:eastAsia="Times New Roman" w:cstheme="minorHAnsi"/>
                <w:color w:val="000000"/>
                <w:lang w:eastAsia="en-GB"/>
              </w:rPr>
              <w:t>880</w:t>
            </w:r>
            <w:r>
              <w:rPr>
                <w:rFonts w:eastAsia="Times New Roman" w:cstheme="minorHAnsi"/>
                <w:color w:val="000000"/>
                <w:lang w:eastAsia="en-GB"/>
              </w:rPr>
              <w:t>,</w:t>
            </w:r>
            <w:r w:rsidRPr="00B6620E">
              <w:rPr>
                <w:rFonts w:eastAsia="Times New Roman" w:cstheme="minorHAnsi"/>
                <w:color w:val="000000"/>
                <w:lang w:eastAsia="en-GB"/>
              </w:rPr>
              <w:t>847</w:t>
            </w:r>
            <w:r>
              <w:rPr>
                <w:rFonts w:eastAsia="Times New Roman" w:cstheme="minorHAnsi"/>
                <w:color w:val="000000"/>
                <w:lang w:eastAsia="en-GB"/>
              </w:rPr>
              <w:t xml:space="preserve"> (39.7%)</w:t>
            </w:r>
          </w:p>
        </w:tc>
        <w:tc>
          <w:tcPr>
            <w:tcW w:w="1984" w:type="dxa"/>
            <w:shd w:val="clear" w:color="auto" w:fill="auto"/>
            <w:noWrap/>
            <w:hideMark/>
          </w:tcPr>
          <w:p w14:paraId="7155FE15" w14:textId="77777777" w:rsidR="00F511F4" w:rsidRPr="00B6620E" w:rsidRDefault="00F511F4" w:rsidP="001F53D9">
            <w:pPr>
              <w:spacing w:after="0" w:line="240" w:lineRule="auto"/>
              <w:rPr>
                <w:rFonts w:eastAsia="Times New Roman" w:cstheme="minorHAnsi"/>
                <w:color w:val="000000"/>
                <w:lang w:eastAsia="en-GB"/>
              </w:rPr>
            </w:pPr>
            <w:r w:rsidRPr="00B6620E">
              <w:rPr>
                <w:rFonts w:eastAsia="Times New Roman" w:cstheme="minorHAnsi"/>
                <w:color w:val="000000"/>
                <w:lang w:eastAsia="en-GB"/>
              </w:rPr>
              <w:t>585</w:t>
            </w:r>
            <w:r>
              <w:rPr>
                <w:rFonts w:eastAsia="Times New Roman" w:cstheme="minorHAnsi"/>
                <w:color w:val="000000"/>
                <w:lang w:eastAsia="en-GB"/>
              </w:rPr>
              <w:t>,</w:t>
            </w:r>
            <w:r w:rsidRPr="00B6620E">
              <w:rPr>
                <w:rFonts w:eastAsia="Times New Roman" w:cstheme="minorHAnsi"/>
                <w:color w:val="000000"/>
                <w:lang w:eastAsia="en-GB"/>
              </w:rPr>
              <w:t>440</w:t>
            </w:r>
            <w:r>
              <w:rPr>
                <w:rFonts w:eastAsia="Times New Roman" w:cstheme="minorHAnsi"/>
                <w:color w:val="000000"/>
                <w:lang w:eastAsia="en-GB"/>
              </w:rPr>
              <w:t xml:space="preserve"> (40.1%)</w:t>
            </w:r>
          </w:p>
        </w:tc>
        <w:tc>
          <w:tcPr>
            <w:tcW w:w="1899" w:type="dxa"/>
            <w:shd w:val="clear" w:color="auto" w:fill="auto"/>
            <w:noWrap/>
            <w:hideMark/>
          </w:tcPr>
          <w:p w14:paraId="0B016A7D" w14:textId="77777777" w:rsidR="00F511F4" w:rsidRPr="00B6620E" w:rsidRDefault="00F511F4" w:rsidP="001F53D9">
            <w:pPr>
              <w:spacing w:after="0" w:line="240" w:lineRule="auto"/>
              <w:rPr>
                <w:rFonts w:eastAsia="Times New Roman" w:cstheme="minorHAnsi"/>
                <w:color w:val="000000"/>
                <w:lang w:eastAsia="en-GB"/>
              </w:rPr>
            </w:pPr>
            <w:r w:rsidRPr="00B6620E">
              <w:rPr>
                <w:rFonts w:eastAsia="Times New Roman" w:cstheme="minorHAnsi"/>
                <w:color w:val="000000"/>
                <w:lang w:eastAsia="en-GB"/>
              </w:rPr>
              <w:t>2</w:t>
            </w:r>
            <w:r>
              <w:rPr>
                <w:rFonts w:eastAsia="Times New Roman" w:cstheme="minorHAnsi"/>
                <w:color w:val="000000"/>
                <w:lang w:eastAsia="en-GB"/>
              </w:rPr>
              <w:t>,</w:t>
            </w:r>
            <w:r w:rsidRPr="00B6620E">
              <w:rPr>
                <w:rFonts w:eastAsia="Times New Roman" w:cstheme="minorHAnsi"/>
                <w:color w:val="000000"/>
                <w:lang w:eastAsia="en-GB"/>
              </w:rPr>
              <w:t>363</w:t>
            </w:r>
            <w:r>
              <w:rPr>
                <w:rFonts w:eastAsia="Times New Roman" w:cstheme="minorHAnsi"/>
                <w:color w:val="000000"/>
                <w:lang w:eastAsia="en-GB"/>
              </w:rPr>
              <w:t xml:space="preserve"> (38.6%)</w:t>
            </w:r>
          </w:p>
        </w:tc>
        <w:tc>
          <w:tcPr>
            <w:tcW w:w="934" w:type="dxa"/>
          </w:tcPr>
          <w:p w14:paraId="505EE9FE" w14:textId="77777777" w:rsidR="00F511F4" w:rsidRPr="00B6620E" w:rsidRDefault="00F511F4" w:rsidP="001F53D9">
            <w:pPr>
              <w:spacing w:after="0" w:line="240" w:lineRule="auto"/>
              <w:rPr>
                <w:rFonts w:eastAsia="Times New Roman" w:cstheme="minorHAnsi"/>
                <w:color w:val="000000"/>
                <w:lang w:eastAsia="en-GB"/>
              </w:rPr>
            </w:pPr>
            <w:r>
              <w:rPr>
                <w:rFonts w:eastAsia="Times New Roman" w:cstheme="minorHAnsi"/>
                <w:color w:val="000000"/>
                <w:lang w:eastAsia="en-GB"/>
              </w:rPr>
              <w:t>&lt;0.001</w:t>
            </w:r>
          </w:p>
        </w:tc>
      </w:tr>
      <w:tr w:rsidR="00F511F4" w:rsidRPr="00B6620E" w14:paraId="10EDD81B" w14:textId="77777777" w:rsidTr="001F53D9">
        <w:trPr>
          <w:trHeight w:val="285"/>
        </w:trPr>
        <w:tc>
          <w:tcPr>
            <w:tcW w:w="2689" w:type="dxa"/>
            <w:shd w:val="clear" w:color="auto" w:fill="auto"/>
            <w:noWrap/>
            <w:hideMark/>
          </w:tcPr>
          <w:p w14:paraId="0F46382B" w14:textId="77777777" w:rsidR="00F511F4" w:rsidRPr="00B6620E" w:rsidRDefault="00F511F4" w:rsidP="001F53D9">
            <w:pPr>
              <w:spacing w:after="0" w:line="240" w:lineRule="auto"/>
              <w:rPr>
                <w:rFonts w:eastAsia="Times New Roman" w:cstheme="minorHAnsi"/>
                <w:color w:val="000000"/>
                <w:lang w:eastAsia="en-GB"/>
              </w:rPr>
            </w:pPr>
            <w:r w:rsidRPr="00B6620E">
              <w:rPr>
                <w:rFonts w:eastAsia="Times New Roman" w:cstheme="minorHAnsi"/>
                <w:color w:val="000000"/>
                <w:lang w:eastAsia="en-GB"/>
              </w:rPr>
              <w:t>Urban hospital</w:t>
            </w:r>
          </w:p>
        </w:tc>
        <w:tc>
          <w:tcPr>
            <w:tcW w:w="2128" w:type="dxa"/>
            <w:shd w:val="clear" w:color="auto" w:fill="auto"/>
            <w:noWrap/>
            <w:hideMark/>
          </w:tcPr>
          <w:p w14:paraId="13E57562" w14:textId="77777777" w:rsidR="00F511F4" w:rsidRPr="00B6620E" w:rsidRDefault="00F511F4" w:rsidP="001F53D9">
            <w:pPr>
              <w:spacing w:after="0" w:line="240" w:lineRule="auto"/>
              <w:rPr>
                <w:rFonts w:eastAsia="Times New Roman" w:cstheme="minorHAnsi"/>
                <w:color w:val="000000"/>
                <w:lang w:eastAsia="en-GB"/>
              </w:rPr>
            </w:pPr>
            <w:r w:rsidRPr="00B6620E">
              <w:rPr>
                <w:rFonts w:eastAsia="Times New Roman" w:cstheme="minorHAnsi"/>
                <w:color w:val="000000"/>
                <w:lang w:eastAsia="en-GB"/>
              </w:rPr>
              <w:t>8</w:t>
            </w:r>
            <w:r>
              <w:rPr>
                <w:rFonts w:eastAsia="Times New Roman" w:cstheme="minorHAnsi"/>
                <w:color w:val="000000"/>
                <w:lang w:eastAsia="en-GB"/>
              </w:rPr>
              <w:t>,</w:t>
            </w:r>
            <w:r w:rsidRPr="00B6620E">
              <w:rPr>
                <w:rFonts w:eastAsia="Times New Roman" w:cstheme="minorHAnsi"/>
                <w:color w:val="000000"/>
                <w:lang w:eastAsia="en-GB"/>
              </w:rPr>
              <w:t>631</w:t>
            </w:r>
            <w:r>
              <w:rPr>
                <w:rFonts w:eastAsia="Times New Roman" w:cstheme="minorHAnsi"/>
                <w:color w:val="000000"/>
                <w:lang w:eastAsia="en-GB"/>
              </w:rPr>
              <w:t>,</w:t>
            </w:r>
            <w:r w:rsidRPr="00B6620E">
              <w:rPr>
                <w:rFonts w:eastAsia="Times New Roman" w:cstheme="minorHAnsi"/>
                <w:color w:val="000000"/>
                <w:lang w:eastAsia="en-GB"/>
              </w:rPr>
              <w:t>099</w:t>
            </w:r>
            <w:r>
              <w:rPr>
                <w:rFonts w:eastAsia="Times New Roman" w:cstheme="minorHAnsi"/>
                <w:color w:val="000000"/>
                <w:lang w:eastAsia="en-GB"/>
              </w:rPr>
              <w:t xml:space="preserve"> (94.1%)</w:t>
            </w:r>
          </w:p>
        </w:tc>
        <w:tc>
          <w:tcPr>
            <w:tcW w:w="1984" w:type="dxa"/>
            <w:shd w:val="clear" w:color="auto" w:fill="auto"/>
            <w:noWrap/>
            <w:hideMark/>
          </w:tcPr>
          <w:p w14:paraId="64D4E713" w14:textId="77777777" w:rsidR="00F511F4" w:rsidRPr="00B6620E" w:rsidRDefault="00F511F4" w:rsidP="001F53D9">
            <w:pPr>
              <w:spacing w:after="0" w:line="240" w:lineRule="auto"/>
              <w:rPr>
                <w:rFonts w:eastAsia="Times New Roman" w:cstheme="minorHAnsi"/>
                <w:color w:val="000000"/>
                <w:lang w:eastAsia="en-GB"/>
              </w:rPr>
            </w:pPr>
            <w:r w:rsidRPr="00B6620E">
              <w:rPr>
                <w:rFonts w:eastAsia="Times New Roman" w:cstheme="minorHAnsi"/>
                <w:color w:val="000000"/>
                <w:lang w:eastAsia="en-GB"/>
              </w:rPr>
              <w:t>2</w:t>
            </w:r>
            <w:r>
              <w:rPr>
                <w:rFonts w:eastAsia="Times New Roman" w:cstheme="minorHAnsi"/>
                <w:color w:val="000000"/>
                <w:lang w:eastAsia="en-GB"/>
              </w:rPr>
              <w:t>,</w:t>
            </w:r>
            <w:r w:rsidRPr="00B6620E">
              <w:rPr>
                <w:rFonts w:eastAsia="Times New Roman" w:cstheme="minorHAnsi"/>
                <w:color w:val="000000"/>
                <w:lang w:eastAsia="en-GB"/>
              </w:rPr>
              <w:t>148</w:t>
            </w:r>
            <w:r>
              <w:rPr>
                <w:rFonts w:eastAsia="Times New Roman" w:cstheme="minorHAnsi"/>
                <w:color w:val="000000"/>
                <w:lang w:eastAsia="en-GB"/>
              </w:rPr>
              <w:t>,</w:t>
            </w:r>
            <w:r w:rsidRPr="00B6620E">
              <w:rPr>
                <w:rFonts w:eastAsia="Times New Roman" w:cstheme="minorHAnsi"/>
                <w:color w:val="000000"/>
                <w:lang w:eastAsia="en-GB"/>
              </w:rPr>
              <w:t>689</w:t>
            </w:r>
            <w:r>
              <w:rPr>
                <w:rFonts w:eastAsia="Times New Roman" w:cstheme="minorHAnsi"/>
                <w:color w:val="000000"/>
                <w:lang w:eastAsia="en-GB"/>
              </w:rPr>
              <w:t xml:space="preserve"> (94.1%)</w:t>
            </w:r>
          </w:p>
        </w:tc>
        <w:tc>
          <w:tcPr>
            <w:tcW w:w="1899" w:type="dxa"/>
            <w:shd w:val="clear" w:color="auto" w:fill="auto"/>
            <w:noWrap/>
            <w:hideMark/>
          </w:tcPr>
          <w:p w14:paraId="56B19FC3" w14:textId="77777777" w:rsidR="00F511F4" w:rsidRPr="00B6620E" w:rsidRDefault="00F511F4" w:rsidP="001F53D9">
            <w:pPr>
              <w:spacing w:after="0" w:line="240" w:lineRule="auto"/>
              <w:rPr>
                <w:rFonts w:eastAsia="Times New Roman" w:cstheme="minorHAnsi"/>
                <w:color w:val="000000"/>
                <w:lang w:eastAsia="en-GB"/>
              </w:rPr>
            </w:pPr>
            <w:r w:rsidRPr="00B6620E">
              <w:rPr>
                <w:rFonts w:eastAsia="Times New Roman" w:cstheme="minorHAnsi"/>
                <w:color w:val="000000"/>
                <w:lang w:eastAsia="en-GB"/>
              </w:rPr>
              <w:t>10</w:t>
            </w:r>
            <w:r>
              <w:rPr>
                <w:rFonts w:eastAsia="Times New Roman" w:cstheme="minorHAnsi"/>
                <w:color w:val="000000"/>
                <w:lang w:eastAsia="en-GB"/>
              </w:rPr>
              <w:t>,</w:t>
            </w:r>
            <w:r w:rsidRPr="00B6620E">
              <w:rPr>
                <w:rFonts w:eastAsia="Times New Roman" w:cstheme="minorHAnsi"/>
                <w:color w:val="000000"/>
                <w:lang w:eastAsia="en-GB"/>
              </w:rPr>
              <w:t>859</w:t>
            </w:r>
            <w:r>
              <w:rPr>
                <w:rFonts w:eastAsia="Times New Roman" w:cstheme="minorHAnsi"/>
                <w:color w:val="000000"/>
                <w:lang w:eastAsia="en-GB"/>
              </w:rPr>
              <w:t xml:space="preserve"> (95.0%)</w:t>
            </w:r>
          </w:p>
        </w:tc>
        <w:tc>
          <w:tcPr>
            <w:tcW w:w="934" w:type="dxa"/>
          </w:tcPr>
          <w:p w14:paraId="774AF033" w14:textId="77777777" w:rsidR="00F511F4" w:rsidRPr="00B6620E" w:rsidRDefault="00F511F4" w:rsidP="001F53D9">
            <w:pPr>
              <w:spacing w:after="0" w:line="240" w:lineRule="auto"/>
              <w:rPr>
                <w:rFonts w:eastAsia="Times New Roman" w:cstheme="minorHAnsi"/>
                <w:color w:val="000000"/>
                <w:lang w:eastAsia="en-GB"/>
              </w:rPr>
            </w:pPr>
            <w:r>
              <w:rPr>
                <w:rFonts w:eastAsia="Times New Roman" w:cstheme="minorHAnsi"/>
                <w:color w:val="000000"/>
                <w:lang w:eastAsia="en-GB"/>
              </w:rPr>
              <w:t>0.060</w:t>
            </w:r>
          </w:p>
        </w:tc>
      </w:tr>
      <w:tr w:rsidR="00F511F4" w:rsidRPr="00B6620E" w14:paraId="29F7EF5A" w14:textId="77777777" w:rsidTr="001F53D9">
        <w:trPr>
          <w:trHeight w:val="285"/>
        </w:trPr>
        <w:tc>
          <w:tcPr>
            <w:tcW w:w="2689" w:type="dxa"/>
            <w:shd w:val="clear" w:color="auto" w:fill="auto"/>
            <w:noWrap/>
            <w:hideMark/>
          </w:tcPr>
          <w:p w14:paraId="0F8835CA" w14:textId="77777777" w:rsidR="00F511F4" w:rsidRPr="00B6620E" w:rsidRDefault="00F511F4" w:rsidP="001F53D9">
            <w:pPr>
              <w:spacing w:after="0" w:line="240" w:lineRule="auto"/>
              <w:rPr>
                <w:rFonts w:eastAsia="Times New Roman" w:cstheme="minorHAnsi"/>
                <w:color w:val="000000"/>
                <w:lang w:eastAsia="en-GB"/>
              </w:rPr>
            </w:pPr>
            <w:r w:rsidRPr="00B6620E">
              <w:rPr>
                <w:rFonts w:eastAsia="Times New Roman" w:cstheme="minorHAnsi"/>
                <w:color w:val="000000"/>
                <w:lang w:val="en-US" w:eastAsia="en-GB"/>
              </w:rPr>
              <w:t>Cardiogenic shock</w:t>
            </w:r>
          </w:p>
        </w:tc>
        <w:tc>
          <w:tcPr>
            <w:tcW w:w="2128" w:type="dxa"/>
            <w:shd w:val="clear" w:color="auto" w:fill="auto"/>
            <w:noWrap/>
            <w:hideMark/>
          </w:tcPr>
          <w:p w14:paraId="77843FC6" w14:textId="77777777" w:rsidR="00F511F4" w:rsidRPr="00B6620E" w:rsidRDefault="00F511F4" w:rsidP="001F53D9">
            <w:pPr>
              <w:spacing w:after="0" w:line="240" w:lineRule="auto"/>
              <w:rPr>
                <w:rFonts w:eastAsia="Times New Roman" w:cstheme="minorHAnsi"/>
                <w:color w:val="000000"/>
                <w:lang w:eastAsia="en-GB"/>
              </w:rPr>
            </w:pPr>
            <w:r w:rsidRPr="00B6620E">
              <w:rPr>
                <w:rFonts w:eastAsia="Times New Roman" w:cstheme="minorHAnsi"/>
                <w:color w:val="000000"/>
                <w:lang w:eastAsia="en-GB"/>
              </w:rPr>
              <w:t>46</w:t>
            </w:r>
            <w:r>
              <w:rPr>
                <w:rFonts w:eastAsia="Times New Roman" w:cstheme="minorHAnsi"/>
                <w:color w:val="000000"/>
                <w:lang w:eastAsia="en-GB"/>
              </w:rPr>
              <w:t>,</w:t>
            </w:r>
            <w:r w:rsidRPr="00B6620E">
              <w:rPr>
                <w:rFonts w:eastAsia="Times New Roman" w:cstheme="minorHAnsi"/>
                <w:color w:val="000000"/>
                <w:lang w:eastAsia="en-GB"/>
              </w:rPr>
              <w:t>331</w:t>
            </w:r>
            <w:r>
              <w:rPr>
                <w:rFonts w:eastAsia="Times New Roman" w:cstheme="minorHAnsi"/>
                <w:color w:val="000000"/>
                <w:lang w:eastAsia="en-GB"/>
              </w:rPr>
              <w:t xml:space="preserve"> (0.5%)</w:t>
            </w:r>
          </w:p>
        </w:tc>
        <w:tc>
          <w:tcPr>
            <w:tcW w:w="1984" w:type="dxa"/>
            <w:shd w:val="clear" w:color="auto" w:fill="auto"/>
            <w:noWrap/>
            <w:hideMark/>
          </w:tcPr>
          <w:p w14:paraId="278F9461" w14:textId="77777777" w:rsidR="00F511F4" w:rsidRPr="00B6620E" w:rsidRDefault="00F511F4" w:rsidP="001F53D9">
            <w:pPr>
              <w:spacing w:after="0" w:line="240" w:lineRule="auto"/>
              <w:rPr>
                <w:rFonts w:eastAsia="Times New Roman" w:cstheme="minorHAnsi"/>
                <w:color w:val="000000"/>
                <w:lang w:eastAsia="en-GB"/>
              </w:rPr>
            </w:pPr>
            <w:r w:rsidRPr="00B6620E">
              <w:rPr>
                <w:rFonts w:eastAsia="Times New Roman" w:cstheme="minorHAnsi"/>
                <w:color w:val="000000"/>
                <w:lang w:eastAsia="en-GB"/>
              </w:rPr>
              <w:t>56</w:t>
            </w:r>
            <w:r>
              <w:rPr>
                <w:rFonts w:eastAsia="Times New Roman" w:cstheme="minorHAnsi"/>
                <w:color w:val="000000"/>
                <w:lang w:eastAsia="en-GB"/>
              </w:rPr>
              <w:t>,</w:t>
            </w:r>
            <w:r w:rsidRPr="00B6620E">
              <w:rPr>
                <w:rFonts w:eastAsia="Times New Roman" w:cstheme="minorHAnsi"/>
                <w:color w:val="000000"/>
                <w:lang w:eastAsia="en-GB"/>
              </w:rPr>
              <w:t>434</w:t>
            </w:r>
            <w:r>
              <w:rPr>
                <w:rFonts w:eastAsia="Times New Roman" w:cstheme="minorHAnsi"/>
                <w:color w:val="000000"/>
                <w:lang w:eastAsia="en-GB"/>
              </w:rPr>
              <w:t xml:space="preserve"> (2.4%)</w:t>
            </w:r>
          </w:p>
        </w:tc>
        <w:tc>
          <w:tcPr>
            <w:tcW w:w="1899" w:type="dxa"/>
            <w:shd w:val="clear" w:color="auto" w:fill="auto"/>
            <w:noWrap/>
            <w:hideMark/>
          </w:tcPr>
          <w:p w14:paraId="4A3C140C" w14:textId="77777777" w:rsidR="00F511F4" w:rsidRPr="00B6620E" w:rsidRDefault="00F511F4" w:rsidP="001F53D9">
            <w:pPr>
              <w:spacing w:after="0" w:line="240" w:lineRule="auto"/>
              <w:rPr>
                <w:rFonts w:eastAsia="Times New Roman" w:cstheme="minorHAnsi"/>
                <w:color w:val="000000"/>
                <w:lang w:eastAsia="en-GB"/>
              </w:rPr>
            </w:pPr>
            <w:r w:rsidRPr="00B6620E">
              <w:rPr>
                <w:rFonts w:eastAsia="Times New Roman" w:cstheme="minorHAnsi"/>
                <w:color w:val="000000"/>
                <w:lang w:eastAsia="en-GB"/>
              </w:rPr>
              <w:t>366</w:t>
            </w:r>
            <w:r>
              <w:rPr>
                <w:rFonts w:eastAsia="Times New Roman" w:cstheme="minorHAnsi"/>
                <w:color w:val="000000"/>
                <w:lang w:eastAsia="en-GB"/>
              </w:rPr>
              <w:t xml:space="preserve"> (3.2%)</w:t>
            </w:r>
          </w:p>
        </w:tc>
        <w:tc>
          <w:tcPr>
            <w:tcW w:w="934" w:type="dxa"/>
          </w:tcPr>
          <w:p w14:paraId="7DD9DCC8" w14:textId="77777777" w:rsidR="00F511F4" w:rsidRPr="00B6620E" w:rsidRDefault="00F511F4" w:rsidP="001F53D9">
            <w:pPr>
              <w:spacing w:after="0" w:line="240" w:lineRule="auto"/>
              <w:rPr>
                <w:rFonts w:eastAsia="Times New Roman" w:cstheme="minorHAnsi"/>
                <w:color w:val="000000"/>
                <w:lang w:eastAsia="en-GB"/>
              </w:rPr>
            </w:pPr>
            <w:r>
              <w:rPr>
                <w:rFonts w:eastAsia="Times New Roman" w:cstheme="minorHAnsi"/>
                <w:color w:val="000000"/>
                <w:lang w:eastAsia="en-GB"/>
              </w:rPr>
              <w:t>&lt;0.001</w:t>
            </w:r>
          </w:p>
        </w:tc>
      </w:tr>
      <w:tr w:rsidR="00F511F4" w:rsidRPr="00B6620E" w14:paraId="7D0688B8" w14:textId="77777777" w:rsidTr="001F53D9">
        <w:trPr>
          <w:trHeight w:val="285"/>
        </w:trPr>
        <w:tc>
          <w:tcPr>
            <w:tcW w:w="2689" w:type="dxa"/>
            <w:shd w:val="clear" w:color="auto" w:fill="auto"/>
            <w:noWrap/>
            <w:hideMark/>
          </w:tcPr>
          <w:p w14:paraId="27A60B91" w14:textId="77777777" w:rsidR="00F511F4" w:rsidRPr="00B6620E" w:rsidRDefault="00F511F4" w:rsidP="001F53D9">
            <w:pPr>
              <w:spacing w:after="0" w:line="240" w:lineRule="auto"/>
              <w:rPr>
                <w:rFonts w:eastAsia="Times New Roman" w:cstheme="minorHAnsi"/>
                <w:color w:val="000000"/>
                <w:lang w:eastAsia="en-GB"/>
              </w:rPr>
            </w:pPr>
            <w:r w:rsidRPr="00B6620E">
              <w:rPr>
                <w:rFonts w:eastAsia="Times New Roman" w:cstheme="minorHAnsi"/>
                <w:color w:val="000000"/>
                <w:lang w:eastAsia="en-GB"/>
              </w:rPr>
              <w:t>Cardiac arrest</w:t>
            </w:r>
          </w:p>
        </w:tc>
        <w:tc>
          <w:tcPr>
            <w:tcW w:w="2128" w:type="dxa"/>
            <w:shd w:val="clear" w:color="auto" w:fill="auto"/>
            <w:noWrap/>
            <w:hideMark/>
          </w:tcPr>
          <w:p w14:paraId="2816722C" w14:textId="77777777" w:rsidR="00F511F4" w:rsidRPr="00B6620E" w:rsidRDefault="00F511F4" w:rsidP="001F53D9">
            <w:pPr>
              <w:spacing w:after="0" w:line="240" w:lineRule="auto"/>
              <w:rPr>
                <w:rFonts w:eastAsia="Times New Roman" w:cstheme="minorHAnsi"/>
                <w:color w:val="000000"/>
                <w:lang w:eastAsia="en-GB"/>
              </w:rPr>
            </w:pPr>
            <w:r w:rsidRPr="00B6620E">
              <w:rPr>
                <w:rFonts w:eastAsia="Times New Roman" w:cstheme="minorHAnsi"/>
                <w:color w:val="000000"/>
                <w:lang w:eastAsia="en-GB"/>
              </w:rPr>
              <w:t>35</w:t>
            </w:r>
            <w:r>
              <w:rPr>
                <w:rFonts w:eastAsia="Times New Roman" w:cstheme="minorHAnsi"/>
                <w:color w:val="000000"/>
                <w:lang w:eastAsia="en-GB"/>
              </w:rPr>
              <w:t>,</w:t>
            </w:r>
            <w:r w:rsidRPr="00B6620E">
              <w:rPr>
                <w:rFonts w:eastAsia="Times New Roman" w:cstheme="minorHAnsi"/>
                <w:color w:val="000000"/>
                <w:lang w:eastAsia="en-GB"/>
              </w:rPr>
              <w:t>937</w:t>
            </w:r>
            <w:r>
              <w:rPr>
                <w:rFonts w:eastAsia="Times New Roman" w:cstheme="minorHAnsi"/>
                <w:color w:val="000000"/>
                <w:lang w:eastAsia="en-GB"/>
              </w:rPr>
              <w:t xml:space="preserve"> (0.4%)</w:t>
            </w:r>
          </w:p>
        </w:tc>
        <w:tc>
          <w:tcPr>
            <w:tcW w:w="1984" w:type="dxa"/>
            <w:shd w:val="clear" w:color="auto" w:fill="auto"/>
            <w:noWrap/>
            <w:hideMark/>
          </w:tcPr>
          <w:p w14:paraId="0026DA2E" w14:textId="77777777" w:rsidR="00F511F4" w:rsidRPr="00B6620E" w:rsidRDefault="00F511F4" w:rsidP="001F53D9">
            <w:pPr>
              <w:spacing w:after="0" w:line="240" w:lineRule="auto"/>
              <w:rPr>
                <w:rFonts w:eastAsia="Times New Roman" w:cstheme="minorHAnsi"/>
                <w:color w:val="000000"/>
                <w:lang w:eastAsia="en-GB"/>
              </w:rPr>
            </w:pPr>
            <w:r w:rsidRPr="00B6620E">
              <w:rPr>
                <w:rFonts w:eastAsia="Times New Roman" w:cstheme="minorHAnsi"/>
                <w:color w:val="000000"/>
                <w:lang w:eastAsia="en-GB"/>
              </w:rPr>
              <w:t>32</w:t>
            </w:r>
            <w:r>
              <w:rPr>
                <w:rFonts w:eastAsia="Times New Roman" w:cstheme="minorHAnsi"/>
                <w:color w:val="000000"/>
                <w:lang w:eastAsia="en-GB"/>
              </w:rPr>
              <w:t>,</w:t>
            </w:r>
            <w:r w:rsidRPr="00B6620E">
              <w:rPr>
                <w:rFonts w:eastAsia="Times New Roman" w:cstheme="minorHAnsi"/>
                <w:color w:val="000000"/>
                <w:lang w:eastAsia="en-GB"/>
              </w:rPr>
              <w:t>991</w:t>
            </w:r>
            <w:r>
              <w:rPr>
                <w:rFonts w:eastAsia="Times New Roman" w:cstheme="minorHAnsi"/>
                <w:color w:val="000000"/>
                <w:lang w:eastAsia="en-GB"/>
              </w:rPr>
              <w:t xml:space="preserve"> (1.4%)</w:t>
            </w:r>
          </w:p>
        </w:tc>
        <w:tc>
          <w:tcPr>
            <w:tcW w:w="1899" w:type="dxa"/>
            <w:shd w:val="clear" w:color="auto" w:fill="auto"/>
            <w:noWrap/>
            <w:hideMark/>
          </w:tcPr>
          <w:p w14:paraId="6D8CC22B" w14:textId="77777777" w:rsidR="00F511F4" w:rsidRPr="00B6620E" w:rsidRDefault="00F511F4" w:rsidP="001F53D9">
            <w:pPr>
              <w:spacing w:after="0" w:line="240" w:lineRule="auto"/>
              <w:rPr>
                <w:rFonts w:eastAsia="Times New Roman" w:cstheme="minorHAnsi"/>
                <w:color w:val="000000"/>
                <w:lang w:eastAsia="en-GB"/>
              </w:rPr>
            </w:pPr>
            <w:r w:rsidRPr="00B6620E">
              <w:rPr>
                <w:rFonts w:eastAsia="Times New Roman" w:cstheme="minorHAnsi"/>
                <w:color w:val="000000"/>
                <w:lang w:eastAsia="en-GB"/>
              </w:rPr>
              <w:t>222</w:t>
            </w:r>
            <w:r>
              <w:rPr>
                <w:rFonts w:eastAsia="Times New Roman" w:cstheme="minorHAnsi"/>
                <w:color w:val="000000"/>
                <w:lang w:eastAsia="en-GB"/>
              </w:rPr>
              <w:t xml:space="preserve"> (1.9%)</w:t>
            </w:r>
          </w:p>
        </w:tc>
        <w:tc>
          <w:tcPr>
            <w:tcW w:w="934" w:type="dxa"/>
          </w:tcPr>
          <w:p w14:paraId="4C01D2F3" w14:textId="77777777" w:rsidR="00F511F4" w:rsidRPr="00B6620E" w:rsidRDefault="00F511F4" w:rsidP="001F53D9">
            <w:pPr>
              <w:spacing w:after="0" w:line="240" w:lineRule="auto"/>
              <w:rPr>
                <w:rFonts w:eastAsia="Times New Roman" w:cstheme="minorHAnsi"/>
                <w:color w:val="000000"/>
                <w:lang w:eastAsia="en-GB"/>
              </w:rPr>
            </w:pPr>
            <w:r>
              <w:rPr>
                <w:rFonts w:eastAsia="Times New Roman" w:cstheme="minorHAnsi"/>
                <w:color w:val="000000"/>
                <w:lang w:eastAsia="en-GB"/>
              </w:rPr>
              <w:t>&lt;0.001</w:t>
            </w:r>
          </w:p>
        </w:tc>
      </w:tr>
      <w:tr w:rsidR="00F511F4" w:rsidRPr="00B6620E" w14:paraId="5383A709" w14:textId="77777777" w:rsidTr="001F53D9">
        <w:trPr>
          <w:trHeight w:val="285"/>
        </w:trPr>
        <w:tc>
          <w:tcPr>
            <w:tcW w:w="2689" w:type="dxa"/>
            <w:shd w:val="clear" w:color="auto" w:fill="auto"/>
            <w:noWrap/>
            <w:hideMark/>
          </w:tcPr>
          <w:p w14:paraId="7EB7EFE1" w14:textId="77777777" w:rsidR="00F511F4" w:rsidRPr="00B6620E" w:rsidRDefault="00F511F4" w:rsidP="001F53D9">
            <w:pPr>
              <w:spacing w:after="0" w:line="240" w:lineRule="auto"/>
              <w:rPr>
                <w:rFonts w:eastAsia="Times New Roman" w:cstheme="minorHAnsi"/>
                <w:color w:val="000000"/>
                <w:lang w:eastAsia="en-GB"/>
              </w:rPr>
            </w:pPr>
            <w:r w:rsidRPr="00B6620E">
              <w:rPr>
                <w:rFonts w:eastAsia="Times New Roman" w:cstheme="minorHAnsi"/>
                <w:color w:val="000000"/>
                <w:lang w:eastAsia="en-GB"/>
              </w:rPr>
              <w:t>Ventilation</w:t>
            </w:r>
          </w:p>
        </w:tc>
        <w:tc>
          <w:tcPr>
            <w:tcW w:w="2128" w:type="dxa"/>
            <w:shd w:val="clear" w:color="auto" w:fill="auto"/>
            <w:noWrap/>
            <w:hideMark/>
          </w:tcPr>
          <w:p w14:paraId="717A8073" w14:textId="77777777" w:rsidR="00F511F4" w:rsidRPr="00B6620E" w:rsidRDefault="00F511F4" w:rsidP="001F53D9">
            <w:pPr>
              <w:spacing w:after="0" w:line="240" w:lineRule="auto"/>
              <w:rPr>
                <w:rFonts w:eastAsia="Times New Roman" w:cstheme="minorHAnsi"/>
                <w:color w:val="000000"/>
                <w:lang w:eastAsia="en-GB"/>
              </w:rPr>
            </w:pPr>
            <w:r w:rsidRPr="00B6620E">
              <w:rPr>
                <w:rFonts w:eastAsia="Times New Roman" w:cstheme="minorHAnsi"/>
                <w:color w:val="000000"/>
                <w:lang w:eastAsia="en-GB"/>
              </w:rPr>
              <w:t>126</w:t>
            </w:r>
            <w:r>
              <w:rPr>
                <w:rFonts w:eastAsia="Times New Roman" w:cstheme="minorHAnsi"/>
                <w:color w:val="000000"/>
                <w:lang w:eastAsia="en-GB"/>
              </w:rPr>
              <w:t>,</w:t>
            </w:r>
            <w:r w:rsidRPr="00B6620E">
              <w:rPr>
                <w:rFonts w:eastAsia="Times New Roman" w:cstheme="minorHAnsi"/>
                <w:color w:val="000000"/>
                <w:lang w:eastAsia="en-GB"/>
              </w:rPr>
              <w:t>152</w:t>
            </w:r>
            <w:r>
              <w:rPr>
                <w:rFonts w:eastAsia="Times New Roman" w:cstheme="minorHAnsi"/>
                <w:color w:val="000000"/>
                <w:lang w:eastAsia="en-GB"/>
              </w:rPr>
              <w:t xml:space="preserve"> (1.4%)</w:t>
            </w:r>
          </w:p>
        </w:tc>
        <w:tc>
          <w:tcPr>
            <w:tcW w:w="1984" w:type="dxa"/>
            <w:shd w:val="clear" w:color="auto" w:fill="auto"/>
            <w:noWrap/>
            <w:hideMark/>
          </w:tcPr>
          <w:p w14:paraId="039EA368" w14:textId="77777777" w:rsidR="00F511F4" w:rsidRPr="00B6620E" w:rsidRDefault="00F511F4" w:rsidP="001F53D9">
            <w:pPr>
              <w:spacing w:after="0" w:line="240" w:lineRule="auto"/>
              <w:rPr>
                <w:rFonts w:eastAsia="Times New Roman" w:cstheme="minorHAnsi"/>
                <w:color w:val="000000"/>
                <w:lang w:eastAsia="en-GB"/>
              </w:rPr>
            </w:pPr>
            <w:r w:rsidRPr="00B6620E">
              <w:rPr>
                <w:rFonts w:eastAsia="Times New Roman" w:cstheme="minorHAnsi"/>
                <w:color w:val="000000"/>
                <w:lang w:eastAsia="en-GB"/>
              </w:rPr>
              <w:t>145</w:t>
            </w:r>
            <w:r>
              <w:rPr>
                <w:rFonts w:eastAsia="Times New Roman" w:cstheme="minorHAnsi"/>
                <w:color w:val="000000"/>
                <w:lang w:eastAsia="en-GB"/>
              </w:rPr>
              <w:t>,</w:t>
            </w:r>
            <w:r w:rsidRPr="00B6620E">
              <w:rPr>
                <w:rFonts w:eastAsia="Times New Roman" w:cstheme="minorHAnsi"/>
                <w:color w:val="000000"/>
                <w:lang w:eastAsia="en-GB"/>
              </w:rPr>
              <w:t>013</w:t>
            </w:r>
            <w:r>
              <w:rPr>
                <w:rFonts w:eastAsia="Times New Roman" w:cstheme="minorHAnsi"/>
                <w:color w:val="000000"/>
                <w:lang w:eastAsia="en-GB"/>
              </w:rPr>
              <w:t xml:space="preserve"> (6.3%)</w:t>
            </w:r>
          </w:p>
        </w:tc>
        <w:tc>
          <w:tcPr>
            <w:tcW w:w="1899" w:type="dxa"/>
            <w:shd w:val="clear" w:color="auto" w:fill="auto"/>
            <w:noWrap/>
            <w:hideMark/>
          </w:tcPr>
          <w:p w14:paraId="77EF8859" w14:textId="77777777" w:rsidR="00F511F4" w:rsidRPr="00B6620E" w:rsidRDefault="00F511F4" w:rsidP="001F53D9">
            <w:pPr>
              <w:spacing w:after="0" w:line="240" w:lineRule="auto"/>
              <w:rPr>
                <w:rFonts w:eastAsia="Times New Roman" w:cstheme="minorHAnsi"/>
                <w:color w:val="000000"/>
                <w:lang w:eastAsia="en-GB"/>
              </w:rPr>
            </w:pPr>
            <w:r w:rsidRPr="00B6620E">
              <w:rPr>
                <w:rFonts w:eastAsia="Times New Roman" w:cstheme="minorHAnsi"/>
                <w:color w:val="000000"/>
                <w:lang w:eastAsia="en-GB"/>
              </w:rPr>
              <w:t>1</w:t>
            </w:r>
            <w:r>
              <w:rPr>
                <w:rFonts w:eastAsia="Times New Roman" w:cstheme="minorHAnsi"/>
                <w:color w:val="000000"/>
                <w:lang w:eastAsia="en-GB"/>
              </w:rPr>
              <w:t>,</w:t>
            </w:r>
            <w:r w:rsidRPr="00B6620E">
              <w:rPr>
                <w:rFonts w:eastAsia="Times New Roman" w:cstheme="minorHAnsi"/>
                <w:color w:val="000000"/>
                <w:lang w:eastAsia="en-GB"/>
              </w:rPr>
              <w:t>315</w:t>
            </w:r>
            <w:r>
              <w:rPr>
                <w:rFonts w:eastAsia="Times New Roman" w:cstheme="minorHAnsi"/>
                <w:color w:val="000000"/>
                <w:lang w:eastAsia="en-GB"/>
              </w:rPr>
              <w:t xml:space="preserve"> (11.4%)</w:t>
            </w:r>
          </w:p>
        </w:tc>
        <w:tc>
          <w:tcPr>
            <w:tcW w:w="934" w:type="dxa"/>
          </w:tcPr>
          <w:p w14:paraId="3B4EA7AF" w14:textId="77777777" w:rsidR="00F511F4" w:rsidRPr="00B6620E" w:rsidRDefault="00F511F4" w:rsidP="001F53D9">
            <w:pPr>
              <w:spacing w:after="0" w:line="240" w:lineRule="auto"/>
              <w:rPr>
                <w:rFonts w:eastAsia="Times New Roman" w:cstheme="minorHAnsi"/>
                <w:color w:val="000000"/>
                <w:lang w:eastAsia="en-GB"/>
              </w:rPr>
            </w:pPr>
            <w:r>
              <w:rPr>
                <w:rFonts w:eastAsia="Times New Roman" w:cstheme="minorHAnsi"/>
                <w:color w:val="000000"/>
                <w:lang w:eastAsia="en-GB"/>
              </w:rPr>
              <w:t>&lt;0.001</w:t>
            </w:r>
          </w:p>
        </w:tc>
      </w:tr>
      <w:tr w:rsidR="00F511F4" w:rsidRPr="00B6620E" w14:paraId="457AE09C" w14:textId="77777777" w:rsidTr="001F53D9">
        <w:trPr>
          <w:trHeight w:val="285"/>
        </w:trPr>
        <w:tc>
          <w:tcPr>
            <w:tcW w:w="2689" w:type="dxa"/>
            <w:shd w:val="clear" w:color="auto" w:fill="auto"/>
            <w:noWrap/>
            <w:hideMark/>
          </w:tcPr>
          <w:p w14:paraId="7CABE287" w14:textId="77777777" w:rsidR="00F511F4" w:rsidRPr="00B6620E" w:rsidRDefault="00F511F4" w:rsidP="001F53D9">
            <w:pPr>
              <w:spacing w:after="0" w:line="240" w:lineRule="auto"/>
              <w:rPr>
                <w:rFonts w:eastAsia="Times New Roman" w:cstheme="minorHAnsi"/>
                <w:color w:val="000000"/>
                <w:lang w:eastAsia="en-GB"/>
              </w:rPr>
            </w:pPr>
            <w:r w:rsidRPr="00B6620E">
              <w:rPr>
                <w:rFonts w:eastAsia="Times New Roman" w:cstheme="minorHAnsi"/>
                <w:color w:val="000000"/>
                <w:lang w:eastAsia="en-GB"/>
              </w:rPr>
              <w:t>LV assist device or IABP</w:t>
            </w:r>
          </w:p>
        </w:tc>
        <w:tc>
          <w:tcPr>
            <w:tcW w:w="2128" w:type="dxa"/>
            <w:shd w:val="clear" w:color="auto" w:fill="auto"/>
            <w:noWrap/>
            <w:hideMark/>
          </w:tcPr>
          <w:p w14:paraId="691E4236" w14:textId="77777777" w:rsidR="00F511F4" w:rsidRPr="00B6620E" w:rsidRDefault="00F511F4" w:rsidP="001F53D9">
            <w:pPr>
              <w:spacing w:after="0" w:line="240" w:lineRule="auto"/>
              <w:rPr>
                <w:rFonts w:eastAsia="Times New Roman" w:cstheme="minorHAnsi"/>
                <w:color w:val="000000"/>
                <w:lang w:eastAsia="en-GB"/>
              </w:rPr>
            </w:pPr>
            <w:r w:rsidRPr="00B6620E">
              <w:rPr>
                <w:rFonts w:eastAsia="Times New Roman" w:cstheme="minorHAnsi"/>
                <w:color w:val="000000"/>
                <w:lang w:eastAsia="en-GB"/>
              </w:rPr>
              <w:t>23</w:t>
            </w:r>
            <w:r>
              <w:rPr>
                <w:rFonts w:eastAsia="Times New Roman" w:cstheme="minorHAnsi"/>
                <w:color w:val="000000"/>
                <w:lang w:eastAsia="en-GB"/>
              </w:rPr>
              <w:t>,</w:t>
            </w:r>
            <w:r w:rsidRPr="00B6620E">
              <w:rPr>
                <w:rFonts w:eastAsia="Times New Roman" w:cstheme="minorHAnsi"/>
                <w:color w:val="000000"/>
                <w:lang w:eastAsia="en-GB"/>
              </w:rPr>
              <w:t>600</w:t>
            </w:r>
            <w:r>
              <w:rPr>
                <w:rFonts w:eastAsia="Times New Roman" w:cstheme="minorHAnsi"/>
                <w:color w:val="000000"/>
                <w:lang w:eastAsia="en-GB"/>
              </w:rPr>
              <w:t xml:space="preserve"> (0.3%)</w:t>
            </w:r>
          </w:p>
        </w:tc>
        <w:tc>
          <w:tcPr>
            <w:tcW w:w="1984" w:type="dxa"/>
            <w:shd w:val="clear" w:color="auto" w:fill="auto"/>
            <w:noWrap/>
            <w:hideMark/>
          </w:tcPr>
          <w:p w14:paraId="48DF047B" w14:textId="77777777" w:rsidR="00F511F4" w:rsidRPr="00B6620E" w:rsidRDefault="00F511F4" w:rsidP="001F53D9">
            <w:pPr>
              <w:spacing w:after="0" w:line="240" w:lineRule="auto"/>
              <w:rPr>
                <w:rFonts w:eastAsia="Times New Roman" w:cstheme="minorHAnsi"/>
                <w:color w:val="000000"/>
                <w:lang w:eastAsia="en-GB"/>
              </w:rPr>
            </w:pPr>
            <w:r w:rsidRPr="00B6620E">
              <w:rPr>
                <w:rFonts w:eastAsia="Times New Roman" w:cstheme="minorHAnsi"/>
                <w:color w:val="000000"/>
                <w:lang w:eastAsia="en-GB"/>
              </w:rPr>
              <w:t>18</w:t>
            </w:r>
            <w:r>
              <w:rPr>
                <w:rFonts w:eastAsia="Times New Roman" w:cstheme="minorHAnsi"/>
                <w:color w:val="000000"/>
                <w:lang w:eastAsia="en-GB"/>
              </w:rPr>
              <w:t>,</w:t>
            </w:r>
            <w:r w:rsidRPr="00B6620E">
              <w:rPr>
                <w:rFonts w:eastAsia="Times New Roman" w:cstheme="minorHAnsi"/>
                <w:color w:val="000000"/>
                <w:lang w:eastAsia="en-GB"/>
              </w:rPr>
              <w:t>885</w:t>
            </w:r>
            <w:r>
              <w:rPr>
                <w:rFonts w:eastAsia="Times New Roman" w:cstheme="minorHAnsi"/>
                <w:color w:val="000000"/>
                <w:lang w:eastAsia="en-GB"/>
              </w:rPr>
              <w:t xml:space="preserve"> (0.8%)</w:t>
            </w:r>
          </w:p>
        </w:tc>
        <w:tc>
          <w:tcPr>
            <w:tcW w:w="1899" w:type="dxa"/>
            <w:shd w:val="clear" w:color="auto" w:fill="auto"/>
            <w:noWrap/>
            <w:hideMark/>
          </w:tcPr>
          <w:p w14:paraId="2EBBCDFB" w14:textId="77777777" w:rsidR="00F511F4" w:rsidRPr="00B6620E" w:rsidRDefault="00F511F4" w:rsidP="001F53D9">
            <w:pPr>
              <w:spacing w:after="0" w:line="240" w:lineRule="auto"/>
              <w:rPr>
                <w:rFonts w:eastAsia="Times New Roman" w:cstheme="minorHAnsi"/>
                <w:color w:val="000000"/>
                <w:lang w:eastAsia="en-GB"/>
              </w:rPr>
            </w:pPr>
            <w:r w:rsidRPr="00B6620E">
              <w:rPr>
                <w:rFonts w:eastAsia="Times New Roman" w:cstheme="minorHAnsi"/>
                <w:color w:val="000000"/>
                <w:lang w:eastAsia="en-GB"/>
              </w:rPr>
              <w:t>99</w:t>
            </w:r>
            <w:r>
              <w:rPr>
                <w:rFonts w:eastAsia="Times New Roman" w:cstheme="minorHAnsi"/>
                <w:color w:val="000000"/>
                <w:lang w:eastAsia="en-GB"/>
              </w:rPr>
              <w:t xml:space="preserve"> (0.9%)</w:t>
            </w:r>
          </w:p>
        </w:tc>
        <w:tc>
          <w:tcPr>
            <w:tcW w:w="934" w:type="dxa"/>
          </w:tcPr>
          <w:p w14:paraId="75D9F437" w14:textId="77777777" w:rsidR="00F511F4" w:rsidRPr="00B6620E" w:rsidRDefault="00F511F4" w:rsidP="001F53D9">
            <w:pPr>
              <w:spacing w:after="0" w:line="240" w:lineRule="auto"/>
              <w:rPr>
                <w:rFonts w:eastAsia="Times New Roman" w:cstheme="minorHAnsi"/>
                <w:color w:val="000000"/>
                <w:lang w:eastAsia="en-GB"/>
              </w:rPr>
            </w:pPr>
            <w:r>
              <w:rPr>
                <w:rFonts w:eastAsia="Times New Roman" w:cstheme="minorHAnsi"/>
                <w:color w:val="000000"/>
                <w:lang w:eastAsia="en-GB"/>
              </w:rPr>
              <w:t>&lt;0.001</w:t>
            </w:r>
          </w:p>
        </w:tc>
      </w:tr>
      <w:tr w:rsidR="00F511F4" w:rsidRPr="00B6620E" w14:paraId="3B1D1168" w14:textId="77777777" w:rsidTr="001F53D9">
        <w:trPr>
          <w:trHeight w:val="285"/>
        </w:trPr>
        <w:tc>
          <w:tcPr>
            <w:tcW w:w="2689" w:type="dxa"/>
            <w:shd w:val="clear" w:color="auto" w:fill="auto"/>
            <w:noWrap/>
            <w:hideMark/>
          </w:tcPr>
          <w:p w14:paraId="1607999D" w14:textId="77777777" w:rsidR="00F511F4" w:rsidRPr="00B6620E" w:rsidRDefault="00F511F4" w:rsidP="001F53D9">
            <w:pPr>
              <w:spacing w:after="0" w:line="240" w:lineRule="auto"/>
              <w:rPr>
                <w:rFonts w:eastAsia="Times New Roman" w:cstheme="minorHAnsi"/>
                <w:color w:val="000000"/>
                <w:lang w:eastAsia="en-GB"/>
              </w:rPr>
            </w:pPr>
            <w:r w:rsidRPr="00B6620E">
              <w:rPr>
                <w:rFonts w:eastAsia="Times New Roman" w:cstheme="minorHAnsi"/>
                <w:color w:val="000000"/>
                <w:lang w:eastAsia="en-GB"/>
              </w:rPr>
              <w:t>Vasopressor use</w:t>
            </w:r>
          </w:p>
        </w:tc>
        <w:tc>
          <w:tcPr>
            <w:tcW w:w="2128" w:type="dxa"/>
            <w:shd w:val="clear" w:color="auto" w:fill="auto"/>
            <w:noWrap/>
            <w:hideMark/>
          </w:tcPr>
          <w:p w14:paraId="3C9CE6D0" w14:textId="77777777" w:rsidR="00F511F4" w:rsidRPr="00B6620E" w:rsidRDefault="00F511F4" w:rsidP="001F53D9">
            <w:pPr>
              <w:spacing w:after="0" w:line="240" w:lineRule="auto"/>
              <w:rPr>
                <w:rFonts w:eastAsia="Times New Roman" w:cstheme="minorHAnsi"/>
                <w:color w:val="000000"/>
                <w:lang w:eastAsia="en-GB"/>
              </w:rPr>
            </w:pPr>
            <w:r w:rsidRPr="00B6620E">
              <w:rPr>
                <w:rFonts w:eastAsia="Times New Roman" w:cstheme="minorHAnsi"/>
                <w:color w:val="000000"/>
                <w:lang w:eastAsia="en-GB"/>
              </w:rPr>
              <w:t>19</w:t>
            </w:r>
            <w:r>
              <w:rPr>
                <w:rFonts w:eastAsia="Times New Roman" w:cstheme="minorHAnsi"/>
                <w:color w:val="000000"/>
                <w:lang w:eastAsia="en-GB"/>
              </w:rPr>
              <w:t>,</w:t>
            </w:r>
            <w:r w:rsidRPr="00B6620E">
              <w:rPr>
                <w:rFonts w:eastAsia="Times New Roman" w:cstheme="minorHAnsi"/>
                <w:color w:val="000000"/>
                <w:lang w:eastAsia="en-GB"/>
              </w:rPr>
              <w:t>226</w:t>
            </w:r>
            <w:r>
              <w:rPr>
                <w:rFonts w:eastAsia="Times New Roman" w:cstheme="minorHAnsi"/>
                <w:color w:val="000000"/>
                <w:lang w:eastAsia="en-GB"/>
              </w:rPr>
              <w:t xml:space="preserve"> (0.2%)</w:t>
            </w:r>
          </w:p>
        </w:tc>
        <w:tc>
          <w:tcPr>
            <w:tcW w:w="1984" w:type="dxa"/>
            <w:shd w:val="clear" w:color="auto" w:fill="auto"/>
            <w:noWrap/>
            <w:hideMark/>
          </w:tcPr>
          <w:p w14:paraId="6A4F9E0A" w14:textId="77777777" w:rsidR="00F511F4" w:rsidRPr="00B6620E" w:rsidRDefault="00F511F4" w:rsidP="001F53D9">
            <w:pPr>
              <w:spacing w:after="0" w:line="240" w:lineRule="auto"/>
              <w:rPr>
                <w:rFonts w:eastAsia="Times New Roman" w:cstheme="minorHAnsi"/>
                <w:color w:val="000000"/>
                <w:lang w:eastAsia="en-GB"/>
              </w:rPr>
            </w:pPr>
            <w:r w:rsidRPr="00B6620E">
              <w:rPr>
                <w:rFonts w:eastAsia="Times New Roman" w:cstheme="minorHAnsi"/>
                <w:color w:val="000000"/>
                <w:lang w:eastAsia="en-GB"/>
              </w:rPr>
              <w:t>20</w:t>
            </w:r>
            <w:r>
              <w:rPr>
                <w:rFonts w:eastAsia="Times New Roman" w:cstheme="minorHAnsi"/>
                <w:color w:val="000000"/>
                <w:lang w:eastAsia="en-GB"/>
              </w:rPr>
              <w:t>,</w:t>
            </w:r>
            <w:r w:rsidRPr="00B6620E">
              <w:rPr>
                <w:rFonts w:eastAsia="Times New Roman" w:cstheme="minorHAnsi"/>
                <w:color w:val="000000"/>
                <w:lang w:eastAsia="en-GB"/>
              </w:rPr>
              <w:t>497</w:t>
            </w:r>
            <w:r>
              <w:rPr>
                <w:rFonts w:eastAsia="Times New Roman" w:cstheme="minorHAnsi"/>
                <w:color w:val="000000"/>
                <w:lang w:eastAsia="en-GB"/>
              </w:rPr>
              <w:t xml:space="preserve"> (0.9%)</w:t>
            </w:r>
          </w:p>
        </w:tc>
        <w:tc>
          <w:tcPr>
            <w:tcW w:w="1899" w:type="dxa"/>
            <w:shd w:val="clear" w:color="auto" w:fill="auto"/>
            <w:noWrap/>
            <w:hideMark/>
          </w:tcPr>
          <w:p w14:paraId="0B6ED5BB" w14:textId="77777777" w:rsidR="00F511F4" w:rsidRPr="00B6620E" w:rsidRDefault="00F511F4" w:rsidP="001F53D9">
            <w:pPr>
              <w:spacing w:after="0" w:line="240" w:lineRule="auto"/>
              <w:rPr>
                <w:rFonts w:eastAsia="Times New Roman" w:cstheme="minorHAnsi"/>
                <w:color w:val="000000"/>
                <w:lang w:eastAsia="en-GB"/>
              </w:rPr>
            </w:pPr>
            <w:r w:rsidRPr="00B6620E">
              <w:rPr>
                <w:rFonts w:eastAsia="Times New Roman" w:cstheme="minorHAnsi"/>
                <w:color w:val="000000"/>
                <w:lang w:eastAsia="en-GB"/>
              </w:rPr>
              <w:t>138</w:t>
            </w:r>
            <w:r>
              <w:rPr>
                <w:rFonts w:eastAsia="Times New Roman" w:cstheme="minorHAnsi"/>
                <w:color w:val="000000"/>
                <w:lang w:eastAsia="en-GB"/>
              </w:rPr>
              <w:t xml:space="preserve"> (1.2%)</w:t>
            </w:r>
          </w:p>
        </w:tc>
        <w:tc>
          <w:tcPr>
            <w:tcW w:w="934" w:type="dxa"/>
          </w:tcPr>
          <w:p w14:paraId="360A1038" w14:textId="77777777" w:rsidR="00F511F4" w:rsidRPr="00B6620E" w:rsidRDefault="00F511F4" w:rsidP="001F53D9">
            <w:pPr>
              <w:spacing w:after="0" w:line="240" w:lineRule="auto"/>
              <w:rPr>
                <w:rFonts w:eastAsia="Times New Roman" w:cstheme="minorHAnsi"/>
                <w:color w:val="000000"/>
                <w:lang w:eastAsia="en-GB"/>
              </w:rPr>
            </w:pPr>
            <w:r>
              <w:rPr>
                <w:rFonts w:eastAsia="Times New Roman" w:cstheme="minorHAnsi"/>
                <w:color w:val="000000"/>
                <w:lang w:eastAsia="en-GB"/>
              </w:rPr>
              <w:t>&lt;0.001</w:t>
            </w:r>
          </w:p>
        </w:tc>
      </w:tr>
      <w:tr w:rsidR="00F511F4" w:rsidRPr="00B6620E" w14:paraId="0C16E18E" w14:textId="77777777" w:rsidTr="001F53D9">
        <w:trPr>
          <w:trHeight w:val="285"/>
        </w:trPr>
        <w:tc>
          <w:tcPr>
            <w:tcW w:w="2689" w:type="dxa"/>
            <w:shd w:val="clear" w:color="auto" w:fill="auto"/>
            <w:noWrap/>
            <w:hideMark/>
          </w:tcPr>
          <w:p w14:paraId="65318D2F" w14:textId="77777777" w:rsidR="00F511F4" w:rsidRPr="00B6620E" w:rsidRDefault="00F511F4" w:rsidP="001F53D9">
            <w:pPr>
              <w:spacing w:after="0" w:line="240" w:lineRule="auto"/>
              <w:rPr>
                <w:rFonts w:eastAsia="Times New Roman" w:cstheme="minorHAnsi"/>
                <w:color w:val="000000"/>
                <w:lang w:eastAsia="en-GB"/>
              </w:rPr>
            </w:pPr>
            <w:r w:rsidRPr="00B6620E">
              <w:rPr>
                <w:rFonts w:eastAsia="Times New Roman" w:cstheme="minorHAnsi"/>
                <w:color w:val="000000"/>
                <w:lang w:eastAsia="en-GB"/>
              </w:rPr>
              <w:t>Coronary angiogram</w:t>
            </w:r>
          </w:p>
        </w:tc>
        <w:tc>
          <w:tcPr>
            <w:tcW w:w="2128" w:type="dxa"/>
            <w:shd w:val="clear" w:color="auto" w:fill="auto"/>
            <w:noWrap/>
            <w:hideMark/>
          </w:tcPr>
          <w:p w14:paraId="39022C13" w14:textId="77777777" w:rsidR="00F511F4" w:rsidRPr="00B6620E" w:rsidRDefault="00F511F4" w:rsidP="001F53D9">
            <w:pPr>
              <w:spacing w:after="0" w:line="240" w:lineRule="auto"/>
              <w:rPr>
                <w:rFonts w:eastAsia="Times New Roman" w:cstheme="minorHAnsi"/>
                <w:color w:val="000000"/>
                <w:lang w:eastAsia="en-GB"/>
              </w:rPr>
            </w:pPr>
            <w:r w:rsidRPr="00B6620E">
              <w:rPr>
                <w:rFonts w:eastAsia="Times New Roman" w:cstheme="minorHAnsi"/>
                <w:color w:val="000000"/>
                <w:lang w:eastAsia="en-GB"/>
              </w:rPr>
              <w:t>680</w:t>
            </w:r>
            <w:r>
              <w:rPr>
                <w:rFonts w:eastAsia="Times New Roman" w:cstheme="minorHAnsi"/>
                <w:color w:val="000000"/>
                <w:lang w:eastAsia="en-GB"/>
              </w:rPr>
              <w:t>,</w:t>
            </w:r>
            <w:r w:rsidRPr="00B6620E">
              <w:rPr>
                <w:rFonts w:eastAsia="Times New Roman" w:cstheme="minorHAnsi"/>
                <w:color w:val="000000"/>
                <w:lang w:eastAsia="en-GB"/>
              </w:rPr>
              <w:t>133</w:t>
            </w:r>
            <w:r>
              <w:rPr>
                <w:rFonts w:eastAsia="Times New Roman" w:cstheme="minorHAnsi"/>
                <w:color w:val="000000"/>
                <w:lang w:eastAsia="en-GB"/>
              </w:rPr>
              <w:t xml:space="preserve"> (7.3%)</w:t>
            </w:r>
          </w:p>
        </w:tc>
        <w:tc>
          <w:tcPr>
            <w:tcW w:w="1984" w:type="dxa"/>
            <w:shd w:val="clear" w:color="auto" w:fill="auto"/>
            <w:noWrap/>
            <w:hideMark/>
          </w:tcPr>
          <w:p w14:paraId="2361B33D" w14:textId="77777777" w:rsidR="00F511F4" w:rsidRPr="00B6620E" w:rsidRDefault="00F511F4" w:rsidP="001F53D9">
            <w:pPr>
              <w:spacing w:after="0" w:line="240" w:lineRule="auto"/>
              <w:rPr>
                <w:rFonts w:eastAsia="Times New Roman" w:cstheme="minorHAnsi"/>
                <w:color w:val="000000"/>
                <w:lang w:eastAsia="en-GB"/>
              </w:rPr>
            </w:pPr>
            <w:r w:rsidRPr="00B6620E">
              <w:rPr>
                <w:rFonts w:eastAsia="Times New Roman" w:cstheme="minorHAnsi"/>
                <w:color w:val="000000"/>
                <w:lang w:eastAsia="en-GB"/>
              </w:rPr>
              <w:t>124</w:t>
            </w:r>
            <w:r>
              <w:rPr>
                <w:rFonts w:eastAsia="Times New Roman" w:cstheme="minorHAnsi"/>
                <w:color w:val="000000"/>
                <w:lang w:eastAsia="en-GB"/>
              </w:rPr>
              <w:t>,</w:t>
            </w:r>
            <w:r w:rsidRPr="00B6620E">
              <w:rPr>
                <w:rFonts w:eastAsia="Times New Roman" w:cstheme="minorHAnsi"/>
                <w:color w:val="000000"/>
                <w:lang w:eastAsia="en-GB"/>
              </w:rPr>
              <w:t>269</w:t>
            </w:r>
            <w:r>
              <w:rPr>
                <w:rFonts w:eastAsia="Times New Roman" w:cstheme="minorHAnsi"/>
                <w:color w:val="000000"/>
                <w:lang w:eastAsia="en-GB"/>
              </w:rPr>
              <w:t xml:space="preserve"> (5.3%)</w:t>
            </w:r>
          </w:p>
        </w:tc>
        <w:tc>
          <w:tcPr>
            <w:tcW w:w="1899" w:type="dxa"/>
            <w:shd w:val="clear" w:color="auto" w:fill="auto"/>
            <w:noWrap/>
            <w:hideMark/>
          </w:tcPr>
          <w:p w14:paraId="7625F8EF" w14:textId="77777777" w:rsidR="00F511F4" w:rsidRPr="00B6620E" w:rsidRDefault="00F511F4" w:rsidP="001F53D9">
            <w:pPr>
              <w:spacing w:after="0" w:line="240" w:lineRule="auto"/>
              <w:rPr>
                <w:rFonts w:eastAsia="Times New Roman" w:cstheme="minorHAnsi"/>
                <w:color w:val="000000"/>
                <w:lang w:eastAsia="en-GB"/>
              </w:rPr>
            </w:pPr>
            <w:r w:rsidRPr="00B6620E">
              <w:rPr>
                <w:rFonts w:eastAsia="Times New Roman" w:cstheme="minorHAnsi"/>
                <w:color w:val="000000"/>
                <w:lang w:eastAsia="en-GB"/>
              </w:rPr>
              <w:t>400</w:t>
            </w:r>
            <w:r>
              <w:rPr>
                <w:rFonts w:eastAsia="Times New Roman" w:cstheme="minorHAnsi"/>
                <w:color w:val="000000"/>
                <w:lang w:eastAsia="en-GB"/>
              </w:rPr>
              <w:t xml:space="preserve"> (3.5%)</w:t>
            </w:r>
          </w:p>
        </w:tc>
        <w:tc>
          <w:tcPr>
            <w:tcW w:w="934" w:type="dxa"/>
          </w:tcPr>
          <w:p w14:paraId="29CBD77F" w14:textId="77777777" w:rsidR="00F511F4" w:rsidRPr="00B6620E" w:rsidRDefault="00F511F4" w:rsidP="001F53D9">
            <w:pPr>
              <w:spacing w:after="0" w:line="240" w:lineRule="auto"/>
              <w:rPr>
                <w:rFonts w:eastAsia="Times New Roman" w:cstheme="minorHAnsi"/>
                <w:color w:val="000000"/>
                <w:lang w:eastAsia="en-GB"/>
              </w:rPr>
            </w:pPr>
            <w:r>
              <w:rPr>
                <w:rFonts w:eastAsia="Times New Roman" w:cstheme="minorHAnsi"/>
                <w:color w:val="000000"/>
                <w:lang w:eastAsia="en-GB"/>
              </w:rPr>
              <w:t>&lt;0.001</w:t>
            </w:r>
          </w:p>
        </w:tc>
      </w:tr>
      <w:tr w:rsidR="00F511F4" w:rsidRPr="00B6620E" w14:paraId="35D42421" w14:textId="77777777" w:rsidTr="001F53D9">
        <w:trPr>
          <w:trHeight w:val="285"/>
        </w:trPr>
        <w:tc>
          <w:tcPr>
            <w:tcW w:w="2689" w:type="dxa"/>
            <w:shd w:val="clear" w:color="auto" w:fill="auto"/>
            <w:noWrap/>
            <w:hideMark/>
          </w:tcPr>
          <w:p w14:paraId="64D7C3D3" w14:textId="77777777" w:rsidR="00F511F4" w:rsidRPr="00B6620E" w:rsidRDefault="00F511F4" w:rsidP="001F53D9">
            <w:pPr>
              <w:spacing w:after="0" w:line="240" w:lineRule="auto"/>
              <w:rPr>
                <w:rFonts w:eastAsia="Times New Roman" w:cstheme="minorHAnsi"/>
                <w:color w:val="000000"/>
                <w:lang w:eastAsia="en-GB"/>
              </w:rPr>
            </w:pPr>
            <w:r w:rsidRPr="00B6620E">
              <w:rPr>
                <w:rFonts w:eastAsia="Times New Roman" w:cstheme="minorHAnsi"/>
                <w:color w:val="000000"/>
                <w:lang w:eastAsia="en-GB"/>
              </w:rPr>
              <w:t>PCI</w:t>
            </w:r>
          </w:p>
        </w:tc>
        <w:tc>
          <w:tcPr>
            <w:tcW w:w="2128" w:type="dxa"/>
            <w:shd w:val="clear" w:color="auto" w:fill="auto"/>
            <w:noWrap/>
            <w:hideMark/>
          </w:tcPr>
          <w:p w14:paraId="44805B2E" w14:textId="77777777" w:rsidR="00F511F4" w:rsidRPr="00B6620E" w:rsidRDefault="00F511F4" w:rsidP="001F53D9">
            <w:pPr>
              <w:spacing w:after="0" w:line="240" w:lineRule="auto"/>
              <w:rPr>
                <w:rFonts w:eastAsia="Times New Roman" w:cstheme="minorHAnsi"/>
                <w:color w:val="000000"/>
                <w:lang w:eastAsia="en-GB"/>
              </w:rPr>
            </w:pPr>
            <w:r w:rsidRPr="00B6620E">
              <w:rPr>
                <w:rFonts w:eastAsia="Times New Roman" w:cstheme="minorHAnsi"/>
                <w:color w:val="000000"/>
                <w:lang w:eastAsia="en-GB"/>
              </w:rPr>
              <w:t>85</w:t>
            </w:r>
            <w:r>
              <w:rPr>
                <w:rFonts w:eastAsia="Times New Roman" w:cstheme="minorHAnsi"/>
                <w:color w:val="000000"/>
                <w:lang w:eastAsia="en-GB"/>
              </w:rPr>
              <w:t>,</w:t>
            </w:r>
            <w:r w:rsidRPr="00B6620E">
              <w:rPr>
                <w:rFonts w:eastAsia="Times New Roman" w:cstheme="minorHAnsi"/>
                <w:color w:val="000000"/>
                <w:lang w:eastAsia="en-GB"/>
              </w:rPr>
              <w:t>332</w:t>
            </w:r>
            <w:r>
              <w:rPr>
                <w:rFonts w:eastAsia="Times New Roman" w:cstheme="minorHAnsi"/>
                <w:color w:val="000000"/>
                <w:lang w:eastAsia="en-GB"/>
              </w:rPr>
              <w:t xml:space="preserve"> (2.3%)</w:t>
            </w:r>
          </w:p>
        </w:tc>
        <w:tc>
          <w:tcPr>
            <w:tcW w:w="1984" w:type="dxa"/>
            <w:shd w:val="clear" w:color="auto" w:fill="auto"/>
            <w:noWrap/>
            <w:hideMark/>
          </w:tcPr>
          <w:p w14:paraId="0B36D246" w14:textId="77777777" w:rsidR="00F511F4" w:rsidRPr="00B6620E" w:rsidRDefault="00F511F4" w:rsidP="001F53D9">
            <w:pPr>
              <w:spacing w:after="0" w:line="240" w:lineRule="auto"/>
              <w:rPr>
                <w:rFonts w:eastAsia="Times New Roman" w:cstheme="minorHAnsi"/>
                <w:color w:val="000000"/>
                <w:lang w:eastAsia="en-GB"/>
              </w:rPr>
            </w:pPr>
            <w:r w:rsidRPr="00B6620E">
              <w:rPr>
                <w:rFonts w:eastAsia="Times New Roman" w:cstheme="minorHAnsi"/>
                <w:color w:val="000000"/>
                <w:lang w:eastAsia="en-GB"/>
              </w:rPr>
              <w:t>20</w:t>
            </w:r>
            <w:r>
              <w:rPr>
                <w:rFonts w:eastAsia="Times New Roman" w:cstheme="minorHAnsi"/>
                <w:color w:val="000000"/>
                <w:lang w:eastAsia="en-GB"/>
              </w:rPr>
              <w:t>,</w:t>
            </w:r>
            <w:r w:rsidRPr="00B6620E">
              <w:rPr>
                <w:rFonts w:eastAsia="Times New Roman" w:cstheme="minorHAnsi"/>
                <w:color w:val="000000"/>
                <w:lang w:eastAsia="en-GB"/>
              </w:rPr>
              <w:t>403</w:t>
            </w:r>
            <w:r>
              <w:rPr>
                <w:rFonts w:eastAsia="Times New Roman" w:cstheme="minorHAnsi"/>
                <w:color w:val="000000"/>
                <w:lang w:eastAsia="en-GB"/>
              </w:rPr>
              <w:t xml:space="preserve"> (1.7%)</w:t>
            </w:r>
          </w:p>
        </w:tc>
        <w:tc>
          <w:tcPr>
            <w:tcW w:w="1899" w:type="dxa"/>
            <w:shd w:val="clear" w:color="auto" w:fill="auto"/>
            <w:noWrap/>
            <w:hideMark/>
          </w:tcPr>
          <w:p w14:paraId="512D83BF" w14:textId="77777777" w:rsidR="00F511F4" w:rsidRPr="00B6620E" w:rsidRDefault="00F511F4" w:rsidP="001F53D9">
            <w:pPr>
              <w:spacing w:after="0" w:line="240" w:lineRule="auto"/>
              <w:rPr>
                <w:rFonts w:eastAsia="Times New Roman" w:cstheme="minorHAnsi"/>
                <w:color w:val="000000"/>
                <w:lang w:eastAsia="en-GB"/>
              </w:rPr>
            </w:pPr>
            <w:r w:rsidRPr="00B6620E">
              <w:rPr>
                <w:rFonts w:eastAsia="Times New Roman" w:cstheme="minorHAnsi"/>
                <w:color w:val="000000"/>
                <w:lang w:eastAsia="en-GB"/>
              </w:rPr>
              <w:t>64</w:t>
            </w:r>
            <w:r>
              <w:rPr>
                <w:rFonts w:eastAsia="Times New Roman" w:cstheme="minorHAnsi"/>
                <w:color w:val="000000"/>
                <w:lang w:eastAsia="en-GB"/>
              </w:rPr>
              <w:t xml:space="preserve"> (0.9%)</w:t>
            </w:r>
          </w:p>
        </w:tc>
        <w:tc>
          <w:tcPr>
            <w:tcW w:w="934" w:type="dxa"/>
          </w:tcPr>
          <w:p w14:paraId="5A2418B1" w14:textId="77777777" w:rsidR="00F511F4" w:rsidRPr="00B6620E" w:rsidRDefault="00F511F4" w:rsidP="001F53D9">
            <w:pPr>
              <w:spacing w:after="0" w:line="240" w:lineRule="auto"/>
              <w:rPr>
                <w:rFonts w:eastAsia="Times New Roman" w:cstheme="minorHAnsi"/>
                <w:color w:val="000000"/>
                <w:lang w:eastAsia="en-GB"/>
              </w:rPr>
            </w:pPr>
            <w:r>
              <w:rPr>
                <w:rFonts w:eastAsia="Times New Roman" w:cstheme="minorHAnsi"/>
                <w:color w:val="000000"/>
                <w:lang w:eastAsia="en-GB"/>
              </w:rPr>
              <w:t>&lt;0.001</w:t>
            </w:r>
          </w:p>
        </w:tc>
      </w:tr>
      <w:tr w:rsidR="00F511F4" w:rsidRPr="00B6620E" w14:paraId="68D2BC79" w14:textId="77777777" w:rsidTr="001F53D9">
        <w:trPr>
          <w:trHeight w:val="285"/>
        </w:trPr>
        <w:tc>
          <w:tcPr>
            <w:tcW w:w="2689" w:type="dxa"/>
            <w:shd w:val="clear" w:color="auto" w:fill="auto"/>
            <w:noWrap/>
            <w:hideMark/>
          </w:tcPr>
          <w:p w14:paraId="267ADA0F" w14:textId="77777777" w:rsidR="00F511F4" w:rsidRPr="00B6620E" w:rsidRDefault="00F511F4" w:rsidP="001F53D9">
            <w:pPr>
              <w:spacing w:after="0" w:line="240" w:lineRule="auto"/>
              <w:rPr>
                <w:rFonts w:eastAsia="Times New Roman" w:cstheme="minorHAnsi"/>
                <w:color w:val="000000"/>
                <w:lang w:eastAsia="en-GB"/>
              </w:rPr>
            </w:pPr>
            <w:r w:rsidRPr="00B6620E">
              <w:rPr>
                <w:rFonts w:eastAsia="Times New Roman" w:cstheme="minorHAnsi"/>
                <w:color w:val="000000"/>
                <w:lang w:eastAsia="en-GB"/>
              </w:rPr>
              <w:t>CABG</w:t>
            </w:r>
          </w:p>
        </w:tc>
        <w:tc>
          <w:tcPr>
            <w:tcW w:w="2128" w:type="dxa"/>
            <w:shd w:val="clear" w:color="auto" w:fill="auto"/>
            <w:noWrap/>
            <w:hideMark/>
          </w:tcPr>
          <w:p w14:paraId="520C43A5" w14:textId="77777777" w:rsidR="00F511F4" w:rsidRPr="00B6620E" w:rsidRDefault="00F511F4" w:rsidP="001F53D9">
            <w:pPr>
              <w:spacing w:after="0" w:line="240" w:lineRule="auto"/>
              <w:rPr>
                <w:rFonts w:eastAsia="Times New Roman" w:cstheme="minorHAnsi"/>
                <w:color w:val="000000"/>
                <w:lang w:eastAsia="en-GB"/>
              </w:rPr>
            </w:pPr>
            <w:r w:rsidRPr="00B6620E">
              <w:rPr>
                <w:rFonts w:eastAsia="Times New Roman" w:cstheme="minorHAnsi"/>
                <w:color w:val="000000"/>
                <w:lang w:eastAsia="en-GB"/>
              </w:rPr>
              <w:t>24</w:t>
            </w:r>
            <w:r>
              <w:rPr>
                <w:rFonts w:eastAsia="Times New Roman" w:cstheme="minorHAnsi"/>
                <w:color w:val="000000"/>
                <w:lang w:eastAsia="en-GB"/>
              </w:rPr>
              <w:t>,</w:t>
            </w:r>
            <w:r w:rsidRPr="00B6620E">
              <w:rPr>
                <w:rFonts w:eastAsia="Times New Roman" w:cstheme="minorHAnsi"/>
                <w:color w:val="000000"/>
                <w:lang w:eastAsia="en-GB"/>
              </w:rPr>
              <w:t>905</w:t>
            </w:r>
            <w:r>
              <w:rPr>
                <w:rFonts w:eastAsia="Times New Roman" w:cstheme="minorHAnsi"/>
                <w:color w:val="000000"/>
                <w:lang w:eastAsia="en-GB"/>
              </w:rPr>
              <w:t xml:space="preserve"> (0.3%)</w:t>
            </w:r>
          </w:p>
        </w:tc>
        <w:tc>
          <w:tcPr>
            <w:tcW w:w="1984" w:type="dxa"/>
            <w:shd w:val="clear" w:color="auto" w:fill="auto"/>
            <w:noWrap/>
            <w:hideMark/>
          </w:tcPr>
          <w:p w14:paraId="3B8BF4BF" w14:textId="77777777" w:rsidR="00F511F4" w:rsidRPr="00B6620E" w:rsidRDefault="00F511F4" w:rsidP="001F53D9">
            <w:pPr>
              <w:spacing w:after="0" w:line="240" w:lineRule="auto"/>
              <w:rPr>
                <w:rFonts w:eastAsia="Times New Roman" w:cstheme="minorHAnsi"/>
                <w:color w:val="000000"/>
                <w:lang w:eastAsia="en-GB"/>
              </w:rPr>
            </w:pPr>
            <w:r w:rsidRPr="00B6620E">
              <w:rPr>
                <w:rFonts w:eastAsia="Times New Roman" w:cstheme="minorHAnsi"/>
                <w:color w:val="000000"/>
                <w:lang w:eastAsia="en-GB"/>
              </w:rPr>
              <w:t>10</w:t>
            </w:r>
            <w:r>
              <w:rPr>
                <w:rFonts w:eastAsia="Times New Roman" w:cstheme="minorHAnsi"/>
                <w:color w:val="000000"/>
                <w:lang w:eastAsia="en-GB"/>
              </w:rPr>
              <w:t>,</w:t>
            </w:r>
            <w:r w:rsidRPr="00B6620E">
              <w:rPr>
                <w:rFonts w:eastAsia="Times New Roman" w:cstheme="minorHAnsi"/>
                <w:color w:val="000000"/>
                <w:lang w:eastAsia="en-GB"/>
              </w:rPr>
              <w:t>725</w:t>
            </w:r>
            <w:r>
              <w:rPr>
                <w:rFonts w:eastAsia="Times New Roman" w:cstheme="minorHAnsi"/>
                <w:color w:val="000000"/>
                <w:lang w:eastAsia="en-GB"/>
              </w:rPr>
              <w:t xml:space="preserve"> (0.5%)</w:t>
            </w:r>
          </w:p>
        </w:tc>
        <w:tc>
          <w:tcPr>
            <w:tcW w:w="1899" w:type="dxa"/>
            <w:shd w:val="clear" w:color="auto" w:fill="auto"/>
            <w:noWrap/>
            <w:hideMark/>
          </w:tcPr>
          <w:p w14:paraId="03391B22" w14:textId="77777777" w:rsidR="00F511F4" w:rsidRPr="00B6620E" w:rsidRDefault="00F511F4" w:rsidP="001F53D9">
            <w:pPr>
              <w:spacing w:after="0" w:line="240" w:lineRule="auto"/>
              <w:rPr>
                <w:rFonts w:eastAsia="Times New Roman" w:cstheme="minorHAnsi"/>
                <w:color w:val="000000"/>
                <w:lang w:eastAsia="en-GB"/>
              </w:rPr>
            </w:pPr>
            <w:r w:rsidRPr="00B6620E">
              <w:rPr>
                <w:rFonts w:eastAsia="Times New Roman" w:cstheme="minorHAnsi"/>
                <w:color w:val="000000"/>
                <w:lang w:eastAsia="en-GB"/>
              </w:rPr>
              <w:t>44</w:t>
            </w:r>
            <w:r>
              <w:rPr>
                <w:rFonts w:eastAsia="Times New Roman" w:cstheme="minorHAnsi"/>
                <w:color w:val="000000"/>
                <w:lang w:eastAsia="en-GB"/>
              </w:rPr>
              <w:t xml:space="preserve"> (0.4%)</w:t>
            </w:r>
          </w:p>
        </w:tc>
        <w:tc>
          <w:tcPr>
            <w:tcW w:w="934" w:type="dxa"/>
          </w:tcPr>
          <w:p w14:paraId="40D28F5D" w14:textId="77777777" w:rsidR="00F511F4" w:rsidRPr="00B6620E" w:rsidRDefault="00F511F4" w:rsidP="001F53D9">
            <w:pPr>
              <w:spacing w:after="0" w:line="240" w:lineRule="auto"/>
              <w:rPr>
                <w:rFonts w:eastAsia="Times New Roman" w:cstheme="minorHAnsi"/>
                <w:color w:val="000000"/>
                <w:lang w:eastAsia="en-GB"/>
              </w:rPr>
            </w:pPr>
            <w:r>
              <w:rPr>
                <w:rFonts w:eastAsia="Times New Roman" w:cstheme="minorHAnsi"/>
                <w:color w:val="000000"/>
                <w:lang w:eastAsia="en-GB"/>
              </w:rPr>
              <w:t>&lt;0.001</w:t>
            </w:r>
          </w:p>
        </w:tc>
      </w:tr>
      <w:tr w:rsidR="00F511F4" w:rsidRPr="00B6620E" w14:paraId="03DAD040" w14:textId="77777777" w:rsidTr="001F53D9">
        <w:trPr>
          <w:trHeight w:val="285"/>
        </w:trPr>
        <w:tc>
          <w:tcPr>
            <w:tcW w:w="2689" w:type="dxa"/>
            <w:shd w:val="clear" w:color="auto" w:fill="auto"/>
            <w:noWrap/>
            <w:hideMark/>
          </w:tcPr>
          <w:p w14:paraId="77956F0E" w14:textId="77777777" w:rsidR="00F511F4" w:rsidRPr="00B6620E" w:rsidRDefault="00F511F4" w:rsidP="001F53D9">
            <w:pPr>
              <w:spacing w:after="0" w:line="240" w:lineRule="auto"/>
              <w:rPr>
                <w:rFonts w:eastAsia="Times New Roman" w:cstheme="minorHAnsi"/>
                <w:color w:val="000000"/>
                <w:lang w:eastAsia="en-GB"/>
              </w:rPr>
            </w:pPr>
            <w:r w:rsidRPr="00B6620E">
              <w:rPr>
                <w:rFonts w:eastAsia="Times New Roman" w:cstheme="minorHAnsi"/>
                <w:color w:val="000000"/>
                <w:lang w:eastAsia="en-GB"/>
              </w:rPr>
              <w:t>Pacemaker or ICD insertion</w:t>
            </w:r>
          </w:p>
        </w:tc>
        <w:tc>
          <w:tcPr>
            <w:tcW w:w="2128" w:type="dxa"/>
            <w:shd w:val="clear" w:color="auto" w:fill="auto"/>
            <w:noWrap/>
            <w:hideMark/>
          </w:tcPr>
          <w:p w14:paraId="3AD26B04" w14:textId="77777777" w:rsidR="00F511F4" w:rsidRPr="00B6620E" w:rsidRDefault="00F511F4" w:rsidP="001F53D9">
            <w:pPr>
              <w:spacing w:after="0" w:line="240" w:lineRule="auto"/>
              <w:rPr>
                <w:rFonts w:eastAsia="Times New Roman" w:cstheme="minorHAnsi"/>
                <w:color w:val="000000"/>
                <w:lang w:eastAsia="en-GB"/>
              </w:rPr>
            </w:pPr>
            <w:r w:rsidRPr="00B6620E">
              <w:rPr>
                <w:rFonts w:eastAsia="Times New Roman" w:cstheme="minorHAnsi"/>
                <w:color w:val="000000"/>
                <w:lang w:eastAsia="en-GB"/>
              </w:rPr>
              <w:t>203</w:t>
            </w:r>
            <w:r>
              <w:rPr>
                <w:rFonts w:eastAsia="Times New Roman" w:cstheme="minorHAnsi"/>
                <w:color w:val="000000"/>
                <w:lang w:eastAsia="en-GB"/>
              </w:rPr>
              <w:t>,</w:t>
            </w:r>
            <w:r w:rsidRPr="00B6620E">
              <w:rPr>
                <w:rFonts w:eastAsia="Times New Roman" w:cstheme="minorHAnsi"/>
                <w:color w:val="000000"/>
                <w:lang w:eastAsia="en-GB"/>
              </w:rPr>
              <w:t>760</w:t>
            </w:r>
            <w:r>
              <w:rPr>
                <w:rFonts w:eastAsia="Times New Roman" w:cstheme="minorHAnsi"/>
                <w:color w:val="000000"/>
                <w:lang w:eastAsia="en-GB"/>
              </w:rPr>
              <w:t xml:space="preserve"> (2.2%)</w:t>
            </w:r>
          </w:p>
        </w:tc>
        <w:tc>
          <w:tcPr>
            <w:tcW w:w="1984" w:type="dxa"/>
            <w:shd w:val="clear" w:color="auto" w:fill="auto"/>
            <w:noWrap/>
            <w:hideMark/>
          </w:tcPr>
          <w:p w14:paraId="356046E7" w14:textId="77777777" w:rsidR="00F511F4" w:rsidRPr="00B6620E" w:rsidRDefault="00F511F4" w:rsidP="001F53D9">
            <w:pPr>
              <w:spacing w:after="0" w:line="240" w:lineRule="auto"/>
              <w:rPr>
                <w:rFonts w:eastAsia="Times New Roman" w:cstheme="minorHAnsi"/>
                <w:color w:val="000000"/>
                <w:lang w:eastAsia="en-GB"/>
              </w:rPr>
            </w:pPr>
            <w:r w:rsidRPr="00B6620E">
              <w:rPr>
                <w:rFonts w:eastAsia="Times New Roman" w:cstheme="minorHAnsi"/>
                <w:color w:val="000000"/>
                <w:lang w:eastAsia="en-GB"/>
              </w:rPr>
              <w:t>32</w:t>
            </w:r>
            <w:r>
              <w:rPr>
                <w:rFonts w:eastAsia="Times New Roman" w:cstheme="minorHAnsi"/>
                <w:color w:val="000000"/>
                <w:lang w:eastAsia="en-GB"/>
              </w:rPr>
              <w:t>,</w:t>
            </w:r>
            <w:r w:rsidRPr="00B6620E">
              <w:rPr>
                <w:rFonts w:eastAsia="Times New Roman" w:cstheme="minorHAnsi"/>
                <w:color w:val="000000"/>
                <w:lang w:eastAsia="en-GB"/>
              </w:rPr>
              <w:t>349</w:t>
            </w:r>
            <w:r>
              <w:rPr>
                <w:rFonts w:eastAsia="Times New Roman" w:cstheme="minorHAnsi"/>
                <w:color w:val="000000"/>
                <w:lang w:eastAsia="en-GB"/>
              </w:rPr>
              <w:t xml:space="preserve"> (1.4%)</w:t>
            </w:r>
          </w:p>
        </w:tc>
        <w:tc>
          <w:tcPr>
            <w:tcW w:w="1899" w:type="dxa"/>
            <w:shd w:val="clear" w:color="auto" w:fill="auto"/>
            <w:noWrap/>
            <w:hideMark/>
          </w:tcPr>
          <w:p w14:paraId="498CEC93" w14:textId="77777777" w:rsidR="00F511F4" w:rsidRPr="00B6620E" w:rsidRDefault="00F511F4" w:rsidP="001F53D9">
            <w:pPr>
              <w:spacing w:after="0" w:line="240" w:lineRule="auto"/>
              <w:rPr>
                <w:rFonts w:eastAsia="Times New Roman" w:cstheme="minorHAnsi"/>
                <w:color w:val="000000"/>
                <w:lang w:eastAsia="en-GB"/>
              </w:rPr>
            </w:pPr>
            <w:r w:rsidRPr="00B6620E">
              <w:rPr>
                <w:rFonts w:eastAsia="Times New Roman" w:cstheme="minorHAnsi"/>
                <w:color w:val="000000"/>
                <w:lang w:eastAsia="en-GB"/>
              </w:rPr>
              <w:t>168</w:t>
            </w:r>
            <w:r>
              <w:rPr>
                <w:rFonts w:eastAsia="Times New Roman" w:cstheme="minorHAnsi"/>
                <w:color w:val="000000"/>
                <w:lang w:eastAsia="en-GB"/>
              </w:rPr>
              <w:t xml:space="preserve"> (1.5%)</w:t>
            </w:r>
          </w:p>
        </w:tc>
        <w:tc>
          <w:tcPr>
            <w:tcW w:w="934" w:type="dxa"/>
          </w:tcPr>
          <w:p w14:paraId="3E5CA961" w14:textId="77777777" w:rsidR="00F511F4" w:rsidRPr="00B6620E" w:rsidRDefault="00F511F4" w:rsidP="001F53D9">
            <w:pPr>
              <w:spacing w:after="0" w:line="240" w:lineRule="auto"/>
              <w:rPr>
                <w:rFonts w:eastAsia="Times New Roman" w:cstheme="minorHAnsi"/>
                <w:color w:val="000000"/>
                <w:lang w:eastAsia="en-GB"/>
              </w:rPr>
            </w:pPr>
            <w:r>
              <w:rPr>
                <w:rFonts w:eastAsia="Times New Roman" w:cstheme="minorHAnsi"/>
                <w:color w:val="000000"/>
                <w:lang w:eastAsia="en-GB"/>
              </w:rPr>
              <w:t>&lt;0.001</w:t>
            </w:r>
          </w:p>
        </w:tc>
      </w:tr>
      <w:tr w:rsidR="00F511F4" w:rsidRPr="00B6620E" w14:paraId="214C7F97" w14:textId="77777777" w:rsidTr="001F53D9">
        <w:trPr>
          <w:trHeight w:val="285"/>
        </w:trPr>
        <w:tc>
          <w:tcPr>
            <w:tcW w:w="2689" w:type="dxa"/>
            <w:shd w:val="clear" w:color="auto" w:fill="auto"/>
            <w:noWrap/>
            <w:hideMark/>
          </w:tcPr>
          <w:p w14:paraId="7C73CAD6" w14:textId="77777777" w:rsidR="00F511F4" w:rsidRPr="00B6620E" w:rsidRDefault="00F511F4" w:rsidP="001F53D9">
            <w:pPr>
              <w:spacing w:after="0" w:line="240" w:lineRule="auto"/>
              <w:rPr>
                <w:rFonts w:eastAsia="Times New Roman" w:cstheme="minorHAnsi"/>
                <w:color w:val="000000"/>
                <w:lang w:eastAsia="en-GB"/>
              </w:rPr>
            </w:pPr>
            <w:r w:rsidRPr="00B6620E">
              <w:rPr>
                <w:rFonts w:eastAsia="Times New Roman" w:cstheme="minorHAnsi"/>
                <w:color w:val="000000"/>
                <w:lang w:eastAsia="en-GB"/>
              </w:rPr>
              <w:t>CRT device</w:t>
            </w:r>
          </w:p>
        </w:tc>
        <w:tc>
          <w:tcPr>
            <w:tcW w:w="2128" w:type="dxa"/>
            <w:shd w:val="clear" w:color="auto" w:fill="auto"/>
            <w:noWrap/>
            <w:hideMark/>
          </w:tcPr>
          <w:p w14:paraId="01397EAA" w14:textId="77777777" w:rsidR="00F511F4" w:rsidRPr="00B6620E" w:rsidRDefault="00F511F4" w:rsidP="001F53D9">
            <w:pPr>
              <w:spacing w:after="0" w:line="240" w:lineRule="auto"/>
              <w:rPr>
                <w:rFonts w:eastAsia="Times New Roman" w:cstheme="minorHAnsi"/>
                <w:color w:val="000000"/>
                <w:lang w:eastAsia="en-GB"/>
              </w:rPr>
            </w:pPr>
            <w:r w:rsidRPr="00B6620E">
              <w:rPr>
                <w:rFonts w:eastAsia="Times New Roman" w:cstheme="minorHAnsi"/>
                <w:color w:val="000000"/>
                <w:lang w:eastAsia="en-GB"/>
              </w:rPr>
              <w:t>219</w:t>
            </w:r>
            <w:r>
              <w:rPr>
                <w:rFonts w:eastAsia="Times New Roman" w:cstheme="minorHAnsi"/>
                <w:color w:val="000000"/>
                <w:lang w:eastAsia="en-GB"/>
              </w:rPr>
              <w:t>,</w:t>
            </w:r>
            <w:r w:rsidRPr="00B6620E">
              <w:rPr>
                <w:rFonts w:eastAsia="Times New Roman" w:cstheme="minorHAnsi"/>
                <w:color w:val="000000"/>
                <w:lang w:eastAsia="en-GB"/>
              </w:rPr>
              <w:t>398</w:t>
            </w:r>
            <w:r>
              <w:rPr>
                <w:rFonts w:eastAsia="Times New Roman" w:cstheme="minorHAnsi"/>
                <w:color w:val="000000"/>
                <w:lang w:eastAsia="en-GB"/>
              </w:rPr>
              <w:t xml:space="preserve"> (2.4%)</w:t>
            </w:r>
          </w:p>
        </w:tc>
        <w:tc>
          <w:tcPr>
            <w:tcW w:w="1984" w:type="dxa"/>
            <w:shd w:val="clear" w:color="auto" w:fill="auto"/>
            <w:noWrap/>
            <w:hideMark/>
          </w:tcPr>
          <w:p w14:paraId="15BCEA3F" w14:textId="77777777" w:rsidR="00F511F4" w:rsidRPr="00B6620E" w:rsidRDefault="00F511F4" w:rsidP="001F53D9">
            <w:pPr>
              <w:spacing w:after="0" w:line="240" w:lineRule="auto"/>
              <w:rPr>
                <w:rFonts w:eastAsia="Times New Roman" w:cstheme="minorHAnsi"/>
                <w:color w:val="000000"/>
                <w:lang w:eastAsia="en-GB"/>
              </w:rPr>
            </w:pPr>
            <w:r w:rsidRPr="00B6620E">
              <w:rPr>
                <w:rFonts w:eastAsia="Times New Roman" w:cstheme="minorHAnsi"/>
                <w:color w:val="000000"/>
                <w:lang w:eastAsia="en-GB"/>
              </w:rPr>
              <w:t>20</w:t>
            </w:r>
            <w:r>
              <w:rPr>
                <w:rFonts w:eastAsia="Times New Roman" w:cstheme="minorHAnsi"/>
                <w:color w:val="000000"/>
                <w:lang w:eastAsia="en-GB"/>
              </w:rPr>
              <w:t>,</w:t>
            </w:r>
            <w:r w:rsidRPr="00B6620E">
              <w:rPr>
                <w:rFonts w:eastAsia="Times New Roman" w:cstheme="minorHAnsi"/>
                <w:color w:val="000000"/>
                <w:lang w:eastAsia="en-GB"/>
              </w:rPr>
              <w:t>378</w:t>
            </w:r>
            <w:r>
              <w:rPr>
                <w:rFonts w:eastAsia="Times New Roman" w:cstheme="minorHAnsi"/>
                <w:color w:val="000000"/>
                <w:lang w:eastAsia="en-GB"/>
              </w:rPr>
              <w:t xml:space="preserve"> (0.9%)</w:t>
            </w:r>
          </w:p>
        </w:tc>
        <w:tc>
          <w:tcPr>
            <w:tcW w:w="1899" w:type="dxa"/>
            <w:shd w:val="clear" w:color="auto" w:fill="auto"/>
            <w:noWrap/>
            <w:hideMark/>
          </w:tcPr>
          <w:p w14:paraId="0B7325FE" w14:textId="77777777" w:rsidR="00F511F4" w:rsidRPr="00B6620E" w:rsidRDefault="00F511F4" w:rsidP="001F53D9">
            <w:pPr>
              <w:spacing w:after="0" w:line="240" w:lineRule="auto"/>
              <w:rPr>
                <w:rFonts w:eastAsia="Times New Roman" w:cstheme="minorHAnsi"/>
                <w:color w:val="000000"/>
                <w:lang w:eastAsia="en-GB"/>
              </w:rPr>
            </w:pPr>
            <w:r w:rsidRPr="00B6620E">
              <w:rPr>
                <w:rFonts w:eastAsia="Times New Roman" w:cstheme="minorHAnsi"/>
                <w:color w:val="000000"/>
                <w:lang w:eastAsia="en-GB"/>
              </w:rPr>
              <w:t>59</w:t>
            </w:r>
            <w:r>
              <w:rPr>
                <w:rFonts w:eastAsia="Times New Roman" w:cstheme="minorHAnsi"/>
                <w:color w:val="000000"/>
                <w:lang w:eastAsia="en-GB"/>
              </w:rPr>
              <w:t xml:space="preserve"> (0.5%)</w:t>
            </w:r>
          </w:p>
        </w:tc>
        <w:tc>
          <w:tcPr>
            <w:tcW w:w="934" w:type="dxa"/>
          </w:tcPr>
          <w:p w14:paraId="5B853B9B" w14:textId="77777777" w:rsidR="00F511F4" w:rsidRPr="00B6620E" w:rsidRDefault="00F511F4" w:rsidP="001F53D9">
            <w:pPr>
              <w:spacing w:after="0" w:line="240" w:lineRule="auto"/>
              <w:rPr>
                <w:rFonts w:eastAsia="Times New Roman" w:cstheme="minorHAnsi"/>
                <w:color w:val="000000"/>
                <w:lang w:eastAsia="en-GB"/>
              </w:rPr>
            </w:pPr>
            <w:r>
              <w:rPr>
                <w:rFonts w:eastAsia="Times New Roman" w:cstheme="minorHAnsi"/>
                <w:color w:val="000000"/>
                <w:lang w:eastAsia="en-GB"/>
              </w:rPr>
              <w:t>&lt;0.001</w:t>
            </w:r>
          </w:p>
        </w:tc>
      </w:tr>
      <w:tr w:rsidR="00F511F4" w:rsidRPr="00B6620E" w14:paraId="070BEE2C" w14:textId="77777777" w:rsidTr="001F53D9">
        <w:trPr>
          <w:trHeight w:val="285"/>
        </w:trPr>
        <w:tc>
          <w:tcPr>
            <w:tcW w:w="2689" w:type="dxa"/>
            <w:shd w:val="clear" w:color="auto" w:fill="auto"/>
            <w:noWrap/>
            <w:hideMark/>
          </w:tcPr>
          <w:p w14:paraId="0EC79096" w14:textId="77777777" w:rsidR="00F511F4" w:rsidRPr="00B6620E" w:rsidRDefault="00F511F4" w:rsidP="001F53D9">
            <w:pPr>
              <w:spacing w:after="0" w:line="240" w:lineRule="auto"/>
              <w:rPr>
                <w:rFonts w:eastAsia="Times New Roman" w:cstheme="minorHAnsi"/>
                <w:color w:val="000000"/>
                <w:lang w:eastAsia="en-GB"/>
              </w:rPr>
            </w:pPr>
            <w:r w:rsidRPr="00B6620E">
              <w:rPr>
                <w:rFonts w:eastAsia="Times New Roman" w:cstheme="minorHAnsi"/>
                <w:color w:val="000000"/>
                <w:lang w:eastAsia="en-GB"/>
              </w:rPr>
              <w:t>Heart transplant</w:t>
            </w:r>
          </w:p>
        </w:tc>
        <w:tc>
          <w:tcPr>
            <w:tcW w:w="2128" w:type="dxa"/>
            <w:shd w:val="clear" w:color="auto" w:fill="auto"/>
            <w:noWrap/>
            <w:hideMark/>
          </w:tcPr>
          <w:p w14:paraId="19027DF8" w14:textId="77777777" w:rsidR="00F511F4" w:rsidRPr="00B6620E" w:rsidRDefault="00F511F4" w:rsidP="001F53D9">
            <w:pPr>
              <w:spacing w:after="0" w:line="240" w:lineRule="auto"/>
              <w:rPr>
                <w:rFonts w:eastAsia="Times New Roman" w:cstheme="minorHAnsi"/>
                <w:color w:val="000000"/>
                <w:lang w:eastAsia="en-GB"/>
              </w:rPr>
            </w:pPr>
            <w:r w:rsidRPr="00B6620E">
              <w:rPr>
                <w:rFonts w:eastAsia="Times New Roman" w:cstheme="minorHAnsi"/>
                <w:color w:val="000000"/>
                <w:lang w:eastAsia="en-GB"/>
              </w:rPr>
              <w:t>7</w:t>
            </w:r>
            <w:r>
              <w:rPr>
                <w:rFonts w:eastAsia="Times New Roman" w:cstheme="minorHAnsi"/>
                <w:color w:val="000000"/>
                <w:lang w:eastAsia="en-GB"/>
              </w:rPr>
              <w:t>,</w:t>
            </w:r>
            <w:r w:rsidRPr="00B6620E">
              <w:rPr>
                <w:rFonts w:eastAsia="Times New Roman" w:cstheme="minorHAnsi"/>
                <w:color w:val="000000"/>
                <w:lang w:eastAsia="en-GB"/>
              </w:rPr>
              <w:t>765</w:t>
            </w:r>
            <w:r>
              <w:rPr>
                <w:rFonts w:eastAsia="Times New Roman" w:cstheme="minorHAnsi"/>
                <w:color w:val="000000"/>
                <w:lang w:eastAsia="en-GB"/>
              </w:rPr>
              <w:t xml:space="preserve"> (0.06%)</w:t>
            </w:r>
          </w:p>
        </w:tc>
        <w:tc>
          <w:tcPr>
            <w:tcW w:w="1984" w:type="dxa"/>
            <w:shd w:val="clear" w:color="auto" w:fill="auto"/>
            <w:noWrap/>
            <w:hideMark/>
          </w:tcPr>
          <w:p w14:paraId="0FA764C5" w14:textId="77777777" w:rsidR="00F511F4" w:rsidRPr="00B6620E" w:rsidRDefault="00F511F4" w:rsidP="001F53D9">
            <w:pPr>
              <w:spacing w:after="0" w:line="240" w:lineRule="auto"/>
              <w:rPr>
                <w:rFonts w:eastAsia="Times New Roman" w:cstheme="minorHAnsi"/>
                <w:color w:val="000000"/>
                <w:lang w:eastAsia="en-GB"/>
              </w:rPr>
            </w:pPr>
            <w:r w:rsidRPr="00B6620E">
              <w:rPr>
                <w:rFonts w:eastAsia="Times New Roman" w:cstheme="minorHAnsi"/>
                <w:color w:val="000000"/>
                <w:lang w:eastAsia="en-GB"/>
              </w:rPr>
              <w:t>8</w:t>
            </w:r>
            <w:r>
              <w:rPr>
                <w:rFonts w:eastAsia="Times New Roman" w:cstheme="minorHAnsi"/>
                <w:color w:val="000000"/>
                <w:lang w:eastAsia="en-GB"/>
              </w:rPr>
              <w:t>,</w:t>
            </w:r>
            <w:r w:rsidRPr="00B6620E">
              <w:rPr>
                <w:rFonts w:eastAsia="Times New Roman" w:cstheme="minorHAnsi"/>
                <w:color w:val="000000"/>
                <w:lang w:eastAsia="en-GB"/>
              </w:rPr>
              <w:t>664</w:t>
            </w:r>
            <w:r>
              <w:rPr>
                <w:rFonts w:eastAsia="Times New Roman" w:cstheme="minorHAnsi"/>
                <w:color w:val="000000"/>
                <w:lang w:eastAsia="en-GB"/>
              </w:rPr>
              <w:t xml:space="preserve"> (0.15%)</w:t>
            </w:r>
          </w:p>
        </w:tc>
        <w:tc>
          <w:tcPr>
            <w:tcW w:w="1899" w:type="dxa"/>
            <w:shd w:val="clear" w:color="auto" w:fill="auto"/>
            <w:noWrap/>
            <w:hideMark/>
          </w:tcPr>
          <w:p w14:paraId="23D18C98" w14:textId="77777777" w:rsidR="00F511F4" w:rsidRPr="00B6620E" w:rsidRDefault="00F511F4" w:rsidP="001F53D9">
            <w:pPr>
              <w:spacing w:after="0" w:line="240" w:lineRule="auto"/>
              <w:rPr>
                <w:rFonts w:eastAsia="Times New Roman" w:cstheme="minorHAnsi"/>
                <w:color w:val="000000"/>
                <w:lang w:eastAsia="en-GB"/>
              </w:rPr>
            </w:pPr>
            <w:r w:rsidRPr="00B6620E">
              <w:rPr>
                <w:rFonts w:eastAsia="Times New Roman" w:cstheme="minorHAnsi"/>
                <w:color w:val="000000"/>
                <w:lang w:eastAsia="en-GB"/>
              </w:rPr>
              <w:t>49</w:t>
            </w:r>
            <w:r>
              <w:rPr>
                <w:rFonts w:eastAsia="Times New Roman" w:cstheme="minorHAnsi"/>
                <w:color w:val="000000"/>
                <w:lang w:eastAsia="en-GB"/>
              </w:rPr>
              <w:t xml:space="preserve"> (0.13%)</w:t>
            </w:r>
          </w:p>
        </w:tc>
        <w:tc>
          <w:tcPr>
            <w:tcW w:w="934" w:type="dxa"/>
          </w:tcPr>
          <w:p w14:paraId="390B7172" w14:textId="77777777" w:rsidR="00F511F4" w:rsidRPr="00B6620E" w:rsidRDefault="00F511F4" w:rsidP="001F53D9">
            <w:pPr>
              <w:spacing w:after="0" w:line="240" w:lineRule="auto"/>
              <w:rPr>
                <w:rFonts w:eastAsia="Times New Roman" w:cstheme="minorHAnsi"/>
                <w:color w:val="000000"/>
                <w:lang w:eastAsia="en-GB"/>
              </w:rPr>
            </w:pPr>
            <w:r>
              <w:rPr>
                <w:rFonts w:eastAsia="Times New Roman" w:cstheme="minorHAnsi"/>
                <w:color w:val="000000"/>
                <w:lang w:eastAsia="en-GB"/>
              </w:rPr>
              <w:t>&lt;0.001</w:t>
            </w:r>
          </w:p>
        </w:tc>
      </w:tr>
      <w:tr w:rsidR="00F511F4" w:rsidRPr="00B6620E" w14:paraId="12C7ADC3" w14:textId="77777777" w:rsidTr="001F53D9">
        <w:trPr>
          <w:trHeight w:val="285"/>
        </w:trPr>
        <w:tc>
          <w:tcPr>
            <w:tcW w:w="2689" w:type="dxa"/>
            <w:shd w:val="clear" w:color="auto" w:fill="auto"/>
            <w:noWrap/>
            <w:hideMark/>
          </w:tcPr>
          <w:p w14:paraId="6FBCB399" w14:textId="77777777" w:rsidR="00F511F4" w:rsidRPr="00B6620E" w:rsidRDefault="00F511F4" w:rsidP="001F53D9">
            <w:pPr>
              <w:spacing w:after="0" w:line="240" w:lineRule="auto"/>
              <w:rPr>
                <w:rFonts w:eastAsia="Times New Roman" w:cstheme="minorHAnsi"/>
                <w:color w:val="000000"/>
                <w:lang w:eastAsia="en-GB"/>
              </w:rPr>
            </w:pPr>
            <w:r w:rsidRPr="00B6620E">
              <w:rPr>
                <w:rFonts w:eastAsia="Times New Roman" w:cstheme="minorHAnsi"/>
                <w:color w:val="000000"/>
                <w:lang w:val="en-US" w:eastAsia="en-GB"/>
              </w:rPr>
              <w:t>In-hospital death</w:t>
            </w:r>
          </w:p>
        </w:tc>
        <w:tc>
          <w:tcPr>
            <w:tcW w:w="2128" w:type="dxa"/>
            <w:shd w:val="clear" w:color="auto" w:fill="auto"/>
            <w:noWrap/>
            <w:hideMark/>
          </w:tcPr>
          <w:p w14:paraId="3542D577" w14:textId="77777777" w:rsidR="00F511F4" w:rsidRPr="00B6620E" w:rsidRDefault="00F511F4" w:rsidP="001F53D9">
            <w:pPr>
              <w:spacing w:after="0" w:line="240" w:lineRule="auto"/>
              <w:rPr>
                <w:rFonts w:eastAsia="Times New Roman" w:cstheme="minorHAnsi"/>
                <w:color w:val="000000"/>
                <w:lang w:eastAsia="en-GB"/>
              </w:rPr>
            </w:pPr>
            <w:r w:rsidRPr="00B6620E">
              <w:rPr>
                <w:rFonts w:eastAsia="Times New Roman" w:cstheme="minorHAnsi"/>
                <w:color w:val="000000"/>
                <w:lang w:eastAsia="en-GB"/>
              </w:rPr>
              <w:t>208</w:t>
            </w:r>
            <w:r>
              <w:rPr>
                <w:rFonts w:eastAsia="Times New Roman" w:cstheme="minorHAnsi"/>
                <w:color w:val="000000"/>
                <w:lang w:eastAsia="en-GB"/>
              </w:rPr>
              <w:t>,</w:t>
            </w:r>
            <w:r w:rsidRPr="00B6620E">
              <w:rPr>
                <w:rFonts w:eastAsia="Times New Roman" w:cstheme="minorHAnsi"/>
                <w:color w:val="000000"/>
                <w:lang w:eastAsia="en-GB"/>
              </w:rPr>
              <w:t>623</w:t>
            </w:r>
            <w:r>
              <w:rPr>
                <w:rFonts w:eastAsia="Times New Roman" w:cstheme="minorHAnsi"/>
                <w:color w:val="000000"/>
                <w:lang w:eastAsia="en-GB"/>
              </w:rPr>
              <w:t xml:space="preserve"> (2.2%)</w:t>
            </w:r>
          </w:p>
        </w:tc>
        <w:tc>
          <w:tcPr>
            <w:tcW w:w="1984" w:type="dxa"/>
            <w:shd w:val="clear" w:color="auto" w:fill="auto"/>
            <w:noWrap/>
            <w:hideMark/>
          </w:tcPr>
          <w:p w14:paraId="60040AD3" w14:textId="77777777" w:rsidR="00F511F4" w:rsidRPr="00B6620E" w:rsidRDefault="00F511F4" w:rsidP="001F53D9">
            <w:pPr>
              <w:spacing w:after="0" w:line="240" w:lineRule="auto"/>
              <w:rPr>
                <w:rFonts w:eastAsia="Times New Roman" w:cstheme="minorHAnsi"/>
                <w:color w:val="000000"/>
                <w:lang w:eastAsia="en-GB"/>
              </w:rPr>
            </w:pPr>
            <w:r w:rsidRPr="00B6620E">
              <w:rPr>
                <w:rFonts w:eastAsia="Times New Roman" w:cstheme="minorHAnsi"/>
                <w:color w:val="000000"/>
                <w:lang w:eastAsia="en-GB"/>
              </w:rPr>
              <w:t>173</w:t>
            </w:r>
            <w:r>
              <w:rPr>
                <w:rFonts w:eastAsia="Times New Roman" w:cstheme="minorHAnsi"/>
                <w:color w:val="000000"/>
                <w:lang w:eastAsia="en-GB"/>
              </w:rPr>
              <w:t>,</w:t>
            </w:r>
            <w:r w:rsidRPr="00B6620E">
              <w:rPr>
                <w:rFonts w:eastAsia="Times New Roman" w:cstheme="minorHAnsi"/>
                <w:color w:val="000000"/>
                <w:lang w:eastAsia="en-GB"/>
              </w:rPr>
              <w:t>353</w:t>
            </w:r>
            <w:r>
              <w:rPr>
                <w:rFonts w:eastAsia="Times New Roman" w:cstheme="minorHAnsi"/>
                <w:color w:val="000000"/>
                <w:lang w:eastAsia="en-GB"/>
              </w:rPr>
              <w:t xml:space="preserve"> (7.5%)</w:t>
            </w:r>
          </w:p>
        </w:tc>
        <w:tc>
          <w:tcPr>
            <w:tcW w:w="1899" w:type="dxa"/>
            <w:shd w:val="clear" w:color="auto" w:fill="auto"/>
            <w:noWrap/>
            <w:hideMark/>
          </w:tcPr>
          <w:p w14:paraId="16201D44" w14:textId="77777777" w:rsidR="00F511F4" w:rsidRPr="00B6620E" w:rsidRDefault="00F511F4" w:rsidP="001F53D9">
            <w:pPr>
              <w:spacing w:after="0" w:line="240" w:lineRule="auto"/>
              <w:rPr>
                <w:rFonts w:eastAsia="Times New Roman" w:cstheme="minorHAnsi"/>
                <w:color w:val="000000"/>
                <w:lang w:eastAsia="en-GB"/>
              </w:rPr>
            </w:pPr>
            <w:r w:rsidRPr="00B6620E">
              <w:rPr>
                <w:rFonts w:eastAsia="Times New Roman" w:cstheme="minorHAnsi"/>
                <w:color w:val="000000"/>
                <w:lang w:eastAsia="en-GB"/>
              </w:rPr>
              <w:t>1</w:t>
            </w:r>
            <w:r>
              <w:rPr>
                <w:rFonts w:eastAsia="Times New Roman" w:cstheme="minorHAnsi"/>
                <w:color w:val="000000"/>
                <w:lang w:eastAsia="en-GB"/>
              </w:rPr>
              <w:t>,</w:t>
            </w:r>
            <w:r w:rsidRPr="00B6620E">
              <w:rPr>
                <w:rFonts w:eastAsia="Times New Roman" w:cstheme="minorHAnsi"/>
                <w:color w:val="000000"/>
                <w:lang w:eastAsia="en-GB"/>
              </w:rPr>
              <w:t>463</w:t>
            </w:r>
            <w:r>
              <w:rPr>
                <w:rFonts w:eastAsia="Times New Roman" w:cstheme="minorHAnsi"/>
                <w:color w:val="000000"/>
                <w:lang w:eastAsia="en-GB"/>
              </w:rPr>
              <w:t xml:space="preserve"> (12.7%)</w:t>
            </w:r>
          </w:p>
        </w:tc>
        <w:tc>
          <w:tcPr>
            <w:tcW w:w="934" w:type="dxa"/>
          </w:tcPr>
          <w:p w14:paraId="690F80A8" w14:textId="77777777" w:rsidR="00F511F4" w:rsidRPr="00B6620E" w:rsidRDefault="00F511F4" w:rsidP="001F53D9">
            <w:pPr>
              <w:spacing w:after="0" w:line="240" w:lineRule="auto"/>
              <w:rPr>
                <w:rFonts w:eastAsia="Times New Roman" w:cstheme="minorHAnsi"/>
                <w:color w:val="000000"/>
                <w:lang w:eastAsia="en-GB"/>
              </w:rPr>
            </w:pPr>
            <w:r>
              <w:rPr>
                <w:rFonts w:eastAsia="Times New Roman" w:cstheme="minorHAnsi"/>
                <w:color w:val="000000"/>
                <w:lang w:eastAsia="en-GB"/>
              </w:rPr>
              <w:t>&lt;0.001</w:t>
            </w:r>
          </w:p>
        </w:tc>
      </w:tr>
      <w:tr w:rsidR="00F511F4" w:rsidRPr="00B6620E" w14:paraId="5A175E13" w14:textId="77777777" w:rsidTr="001F53D9">
        <w:trPr>
          <w:trHeight w:val="285"/>
        </w:trPr>
        <w:tc>
          <w:tcPr>
            <w:tcW w:w="2689" w:type="dxa"/>
            <w:shd w:val="clear" w:color="auto" w:fill="auto"/>
            <w:noWrap/>
            <w:hideMark/>
          </w:tcPr>
          <w:p w14:paraId="1161C791" w14:textId="77777777" w:rsidR="00F511F4" w:rsidRPr="00B6620E" w:rsidRDefault="00F511F4" w:rsidP="001F53D9">
            <w:pPr>
              <w:spacing w:after="0" w:line="240" w:lineRule="auto"/>
              <w:rPr>
                <w:rFonts w:eastAsia="Times New Roman" w:cstheme="minorHAnsi"/>
                <w:color w:val="000000"/>
                <w:lang w:eastAsia="en-GB"/>
              </w:rPr>
            </w:pPr>
            <w:r w:rsidRPr="00B6620E">
              <w:rPr>
                <w:rFonts w:eastAsia="Times New Roman" w:cstheme="minorHAnsi"/>
                <w:color w:val="000000"/>
                <w:lang w:val="en-US" w:eastAsia="en-GB"/>
              </w:rPr>
              <w:t>Length of stay during index</w:t>
            </w:r>
            <w:r w:rsidRPr="00E9075D">
              <w:rPr>
                <w:rFonts w:eastAsia="Times New Roman" w:cstheme="minorHAnsi"/>
                <w:color w:val="000000"/>
                <w:lang w:val="en-US" w:eastAsia="en-GB"/>
              </w:rPr>
              <w:t xml:space="preserve"> (days)</w:t>
            </w:r>
          </w:p>
        </w:tc>
        <w:tc>
          <w:tcPr>
            <w:tcW w:w="2128" w:type="dxa"/>
            <w:shd w:val="clear" w:color="auto" w:fill="auto"/>
            <w:noWrap/>
            <w:hideMark/>
          </w:tcPr>
          <w:p w14:paraId="6F31C237" w14:textId="77777777" w:rsidR="00F511F4" w:rsidRPr="00B6620E" w:rsidRDefault="00F511F4" w:rsidP="001F53D9">
            <w:pPr>
              <w:spacing w:after="0" w:line="240" w:lineRule="auto"/>
              <w:rPr>
                <w:rFonts w:eastAsia="Times New Roman" w:cstheme="minorHAnsi"/>
                <w:color w:val="000000"/>
                <w:lang w:eastAsia="en-GB"/>
              </w:rPr>
            </w:pPr>
            <w:r w:rsidRPr="00E9075D">
              <w:rPr>
                <w:rFonts w:eastAsia="Times New Roman" w:cstheme="minorHAnsi"/>
                <w:color w:val="000000"/>
                <w:lang w:eastAsia="en-GB"/>
              </w:rPr>
              <w:t>4.6</w:t>
            </w:r>
            <w:r w:rsidRPr="00E9075D">
              <w:rPr>
                <w:rFonts w:eastAsia="Malgun Gothic" w:cstheme="minorHAnsi"/>
                <w:color w:val="000000"/>
                <w:lang w:eastAsia="en-GB"/>
              </w:rPr>
              <w:t>±4.7 (n=</w:t>
            </w:r>
            <w:r w:rsidRPr="00B6620E">
              <w:rPr>
                <w:rFonts w:eastAsia="Times New Roman" w:cstheme="minorHAnsi"/>
                <w:color w:val="000000"/>
                <w:lang w:eastAsia="en-GB"/>
              </w:rPr>
              <w:t>9</w:t>
            </w:r>
            <w:r w:rsidRPr="00E9075D">
              <w:rPr>
                <w:rFonts w:eastAsia="Times New Roman" w:cstheme="minorHAnsi"/>
                <w:color w:val="000000"/>
                <w:lang w:eastAsia="en-GB"/>
              </w:rPr>
              <w:t>,</w:t>
            </w:r>
            <w:r w:rsidRPr="00B6620E">
              <w:rPr>
                <w:rFonts w:eastAsia="Times New Roman" w:cstheme="minorHAnsi"/>
                <w:color w:val="000000"/>
                <w:lang w:eastAsia="en-GB"/>
              </w:rPr>
              <w:t>300</w:t>
            </w:r>
            <w:r w:rsidRPr="00E9075D">
              <w:rPr>
                <w:rFonts w:eastAsia="Times New Roman" w:cstheme="minorHAnsi"/>
                <w:color w:val="000000"/>
                <w:lang w:eastAsia="en-GB"/>
              </w:rPr>
              <w:t>,</w:t>
            </w:r>
            <w:r w:rsidRPr="00B6620E">
              <w:rPr>
                <w:rFonts w:eastAsia="Times New Roman" w:cstheme="minorHAnsi"/>
                <w:color w:val="000000"/>
                <w:lang w:eastAsia="en-GB"/>
              </w:rPr>
              <w:t>542</w:t>
            </w:r>
            <w:r w:rsidRPr="00E9075D">
              <w:rPr>
                <w:rFonts w:eastAsia="Times New Roman" w:cstheme="minorHAnsi"/>
                <w:color w:val="000000"/>
                <w:lang w:eastAsia="en-GB"/>
              </w:rPr>
              <w:t>)</w:t>
            </w:r>
          </w:p>
        </w:tc>
        <w:tc>
          <w:tcPr>
            <w:tcW w:w="1984" w:type="dxa"/>
            <w:shd w:val="clear" w:color="auto" w:fill="auto"/>
            <w:noWrap/>
            <w:hideMark/>
          </w:tcPr>
          <w:p w14:paraId="62F4AF31" w14:textId="77777777" w:rsidR="00F511F4" w:rsidRPr="00B6620E" w:rsidRDefault="00F511F4" w:rsidP="001F53D9">
            <w:pPr>
              <w:spacing w:after="0" w:line="240" w:lineRule="auto"/>
              <w:rPr>
                <w:rFonts w:eastAsia="Times New Roman" w:cstheme="minorHAnsi"/>
                <w:color w:val="000000"/>
                <w:lang w:eastAsia="en-GB"/>
              </w:rPr>
            </w:pPr>
            <w:r w:rsidRPr="00E9075D">
              <w:rPr>
                <w:rFonts w:eastAsia="Times New Roman" w:cstheme="minorHAnsi"/>
                <w:color w:val="000000"/>
                <w:lang w:eastAsia="en-GB"/>
              </w:rPr>
              <w:t>7.9</w:t>
            </w:r>
            <w:r w:rsidRPr="00E9075D">
              <w:rPr>
                <w:rFonts w:eastAsia="Malgun Gothic" w:cstheme="minorHAnsi"/>
                <w:color w:val="000000"/>
                <w:lang w:eastAsia="en-GB"/>
              </w:rPr>
              <w:t>±8.3 (n=</w:t>
            </w:r>
            <w:r w:rsidRPr="00B6620E">
              <w:rPr>
                <w:rFonts w:eastAsia="Times New Roman" w:cstheme="minorHAnsi"/>
                <w:color w:val="000000"/>
                <w:lang w:eastAsia="en-GB"/>
              </w:rPr>
              <w:t>2</w:t>
            </w:r>
            <w:r w:rsidRPr="00E9075D">
              <w:rPr>
                <w:rFonts w:eastAsia="Times New Roman" w:cstheme="minorHAnsi"/>
                <w:color w:val="000000"/>
                <w:lang w:eastAsia="en-GB"/>
              </w:rPr>
              <w:t>,</w:t>
            </w:r>
            <w:r w:rsidRPr="00B6620E">
              <w:rPr>
                <w:rFonts w:eastAsia="Times New Roman" w:cstheme="minorHAnsi"/>
                <w:color w:val="000000"/>
                <w:lang w:eastAsia="en-GB"/>
              </w:rPr>
              <w:t>313</w:t>
            </w:r>
            <w:r w:rsidRPr="00E9075D">
              <w:rPr>
                <w:rFonts w:eastAsia="Times New Roman" w:cstheme="minorHAnsi"/>
                <w:color w:val="000000"/>
                <w:lang w:eastAsia="en-GB"/>
              </w:rPr>
              <w:t>,</w:t>
            </w:r>
            <w:r w:rsidRPr="00B6620E">
              <w:rPr>
                <w:rFonts w:eastAsia="Times New Roman" w:cstheme="minorHAnsi"/>
                <w:color w:val="000000"/>
                <w:lang w:eastAsia="en-GB"/>
              </w:rPr>
              <w:t>863</w:t>
            </w:r>
            <w:r w:rsidRPr="00E9075D">
              <w:rPr>
                <w:rFonts w:eastAsia="Times New Roman" w:cstheme="minorHAnsi"/>
                <w:color w:val="000000"/>
                <w:lang w:eastAsia="en-GB"/>
              </w:rPr>
              <w:t>)</w:t>
            </w:r>
          </w:p>
        </w:tc>
        <w:tc>
          <w:tcPr>
            <w:tcW w:w="1899" w:type="dxa"/>
            <w:shd w:val="clear" w:color="auto" w:fill="auto"/>
            <w:noWrap/>
            <w:hideMark/>
          </w:tcPr>
          <w:p w14:paraId="5FF1C457" w14:textId="77777777" w:rsidR="00F511F4" w:rsidRPr="00B6620E" w:rsidRDefault="00F511F4" w:rsidP="001F53D9">
            <w:pPr>
              <w:spacing w:after="0" w:line="240" w:lineRule="auto"/>
              <w:rPr>
                <w:rFonts w:eastAsia="Times New Roman" w:cstheme="minorHAnsi"/>
                <w:color w:val="000000"/>
                <w:lang w:eastAsia="en-GB"/>
              </w:rPr>
            </w:pPr>
            <w:r w:rsidRPr="00E9075D">
              <w:rPr>
                <w:rFonts w:eastAsia="Times New Roman" w:cstheme="minorHAnsi"/>
                <w:color w:val="000000"/>
                <w:lang w:eastAsia="en-GB"/>
              </w:rPr>
              <w:t>11.3</w:t>
            </w:r>
            <w:r w:rsidRPr="00E9075D">
              <w:rPr>
                <w:rFonts w:eastAsia="Malgun Gothic" w:cstheme="minorHAnsi"/>
                <w:color w:val="000000"/>
                <w:lang w:eastAsia="en-GB"/>
              </w:rPr>
              <w:t>±12.0 (n=</w:t>
            </w:r>
            <w:r w:rsidRPr="00B6620E">
              <w:rPr>
                <w:rFonts w:eastAsia="Times New Roman" w:cstheme="minorHAnsi"/>
                <w:color w:val="000000"/>
                <w:lang w:eastAsia="en-GB"/>
              </w:rPr>
              <w:t>11</w:t>
            </w:r>
            <w:r w:rsidRPr="00E9075D">
              <w:rPr>
                <w:rFonts w:eastAsia="Times New Roman" w:cstheme="minorHAnsi"/>
                <w:color w:val="000000"/>
                <w:lang w:eastAsia="en-GB"/>
              </w:rPr>
              <w:t>,</w:t>
            </w:r>
            <w:r w:rsidRPr="00B6620E">
              <w:rPr>
                <w:rFonts w:eastAsia="Times New Roman" w:cstheme="minorHAnsi"/>
                <w:color w:val="000000"/>
                <w:lang w:eastAsia="en-GB"/>
              </w:rPr>
              <w:t>526</w:t>
            </w:r>
            <w:r w:rsidRPr="00E9075D">
              <w:rPr>
                <w:rFonts w:eastAsia="Times New Roman" w:cstheme="minorHAnsi"/>
                <w:color w:val="000000"/>
                <w:lang w:eastAsia="en-GB"/>
              </w:rPr>
              <w:t>)</w:t>
            </w:r>
          </w:p>
        </w:tc>
        <w:tc>
          <w:tcPr>
            <w:tcW w:w="934" w:type="dxa"/>
          </w:tcPr>
          <w:p w14:paraId="590619C4" w14:textId="77777777" w:rsidR="00F511F4" w:rsidRPr="00E9075D" w:rsidRDefault="00F511F4" w:rsidP="001F53D9">
            <w:pPr>
              <w:spacing w:after="0" w:line="240" w:lineRule="auto"/>
              <w:rPr>
                <w:rFonts w:eastAsia="Times New Roman" w:cstheme="minorHAnsi"/>
                <w:color w:val="000000"/>
                <w:lang w:eastAsia="en-GB"/>
              </w:rPr>
            </w:pPr>
            <w:r>
              <w:rPr>
                <w:rFonts w:eastAsia="Times New Roman" w:cstheme="minorHAnsi"/>
                <w:color w:val="000000"/>
                <w:lang w:eastAsia="en-GB"/>
              </w:rPr>
              <w:t>&lt;0.001</w:t>
            </w:r>
          </w:p>
        </w:tc>
      </w:tr>
      <w:tr w:rsidR="00F511F4" w:rsidRPr="00B6620E" w14:paraId="1A923860" w14:textId="77777777" w:rsidTr="001F53D9">
        <w:trPr>
          <w:trHeight w:val="285"/>
        </w:trPr>
        <w:tc>
          <w:tcPr>
            <w:tcW w:w="2689" w:type="dxa"/>
            <w:shd w:val="clear" w:color="auto" w:fill="auto"/>
            <w:noWrap/>
            <w:hideMark/>
          </w:tcPr>
          <w:p w14:paraId="4D80F1FE" w14:textId="77777777" w:rsidR="00F511F4" w:rsidRPr="00B6620E" w:rsidRDefault="00F511F4" w:rsidP="001F53D9">
            <w:pPr>
              <w:spacing w:after="0" w:line="240" w:lineRule="auto"/>
              <w:rPr>
                <w:rFonts w:eastAsia="Times New Roman" w:cstheme="minorHAnsi"/>
                <w:color w:val="000000"/>
                <w:lang w:eastAsia="en-GB"/>
              </w:rPr>
            </w:pPr>
            <w:r>
              <w:rPr>
                <w:rFonts w:eastAsia="Times New Roman" w:cstheme="minorHAnsi"/>
                <w:color w:val="000000"/>
                <w:lang w:val="en-US" w:eastAsia="en-GB"/>
              </w:rPr>
              <w:t xml:space="preserve">Cost of admission </w:t>
            </w:r>
            <w:r w:rsidRPr="00E9075D">
              <w:rPr>
                <w:rFonts w:eastAsia="Times New Roman" w:cstheme="minorHAnsi"/>
                <w:color w:val="000000"/>
                <w:lang w:val="en-US" w:eastAsia="en-GB"/>
              </w:rPr>
              <w:t>(USD)</w:t>
            </w:r>
          </w:p>
        </w:tc>
        <w:tc>
          <w:tcPr>
            <w:tcW w:w="2128" w:type="dxa"/>
            <w:shd w:val="clear" w:color="auto" w:fill="auto"/>
            <w:noWrap/>
            <w:hideMark/>
          </w:tcPr>
          <w:p w14:paraId="66D0771C" w14:textId="77777777" w:rsidR="00F511F4" w:rsidRPr="00B6620E" w:rsidRDefault="00F511F4" w:rsidP="001F53D9">
            <w:pPr>
              <w:spacing w:after="0" w:line="240" w:lineRule="auto"/>
              <w:rPr>
                <w:rFonts w:eastAsia="Times New Roman" w:cstheme="minorHAnsi"/>
                <w:color w:val="000000"/>
                <w:lang w:eastAsia="en-GB"/>
              </w:rPr>
            </w:pPr>
            <w:r w:rsidRPr="00E9075D">
              <w:rPr>
                <w:rFonts w:eastAsia="Times New Roman" w:cstheme="minorHAnsi"/>
                <w:color w:val="000000"/>
                <w:lang w:eastAsia="en-GB"/>
              </w:rPr>
              <w:t>9,103</w:t>
            </w:r>
            <w:r w:rsidRPr="00E9075D">
              <w:rPr>
                <w:rFonts w:eastAsia="Malgun Gothic" w:cstheme="minorHAnsi"/>
                <w:color w:val="000000"/>
                <w:lang w:eastAsia="en-GB"/>
              </w:rPr>
              <w:t>±12,768 (n=</w:t>
            </w:r>
            <w:r w:rsidRPr="00B6620E">
              <w:rPr>
                <w:rFonts w:eastAsia="Times New Roman" w:cstheme="minorHAnsi"/>
                <w:color w:val="000000"/>
                <w:lang w:eastAsia="en-GB"/>
              </w:rPr>
              <w:t>8</w:t>
            </w:r>
            <w:r w:rsidRPr="00E9075D">
              <w:rPr>
                <w:rFonts w:eastAsia="Times New Roman" w:cstheme="minorHAnsi"/>
                <w:color w:val="000000"/>
                <w:lang w:eastAsia="en-GB"/>
              </w:rPr>
              <w:t>,</w:t>
            </w:r>
            <w:r w:rsidRPr="00B6620E">
              <w:rPr>
                <w:rFonts w:eastAsia="Times New Roman" w:cstheme="minorHAnsi"/>
                <w:color w:val="000000"/>
                <w:lang w:eastAsia="en-GB"/>
              </w:rPr>
              <w:t>186</w:t>
            </w:r>
            <w:r w:rsidRPr="00E9075D">
              <w:rPr>
                <w:rFonts w:eastAsia="Times New Roman" w:cstheme="minorHAnsi"/>
                <w:color w:val="000000"/>
                <w:lang w:eastAsia="en-GB"/>
              </w:rPr>
              <w:t>,</w:t>
            </w:r>
            <w:r w:rsidRPr="00B6620E">
              <w:rPr>
                <w:rFonts w:eastAsia="Times New Roman" w:cstheme="minorHAnsi"/>
                <w:color w:val="000000"/>
                <w:lang w:eastAsia="en-GB"/>
              </w:rPr>
              <w:t>165</w:t>
            </w:r>
            <w:r w:rsidRPr="00E9075D">
              <w:rPr>
                <w:rFonts w:eastAsia="Times New Roman" w:cstheme="minorHAnsi"/>
                <w:color w:val="000000"/>
                <w:lang w:eastAsia="en-GB"/>
              </w:rPr>
              <w:t>)</w:t>
            </w:r>
          </w:p>
        </w:tc>
        <w:tc>
          <w:tcPr>
            <w:tcW w:w="1984" w:type="dxa"/>
            <w:shd w:val="clear" w:color="auto" w:fill="auto"/>
            <w:noWrap/>
            <w:hideMark/>
          </w:tcPr>
          <w:p w14:paraId="66766534" w14:textId="77777777" w:rsidR="00F511F4" w:rsidRPr="00B6620E" w:rsidRDefault="00F511F4" w:rsidP="001F53D9">
            <w:pPr>
              <w:spacing w:after="0" w:line="240" w:lineRule="auto"/>
              <w:rPr>
                <w:rFonts w:eastAsia="Times New Roman" w:cstheme="minorHAnsi"/>
                <w:color w:val="000000"/>
                <w:lang w:eastAsia="en-GB"/>
              </w:rPr>
            </w:pPr>
            <w:r w:rsidRPr="00E9075D">
              <w:rPr>
                <w:rFonts w:eastAsia="Times New Roman" w:cstheme="minorHAnsi"/>
                <w:color w:val="000000"/>
                <w:lang w:eastAsia="en-GB"/>
              </w:rPr>
              <w:t>15,604</w:t>
            </w:r>
            <w:r w:rsidRPr="00E9075D">
              <w:rPr>
                <w:rFonts w:eastAsia="Malgun Gothic" w:cstheme="minorHAnsi"/>
                <w:color w:val="000000"/>
                <w:lang w:eastAsia="en-GB"/>
              </w:rPr>
              <w:t>±25,889 (n=</w:t>
            </w:r>
            <w:r w:rsidRPr="00B6620E">
              <w:rPr>
                <w:rFonts w:eastAsia="Times New Roman" w:cstheme="minorHAnsi"/>
                <w:color w:val="000000"/>
                <w:lang w:eastAsia="en-GB"/>
              </w:rPr>
              <w:t>2128336</w:t>
            </w:r>
            <w:r w:rsidRPr="00E9075D">
              <w:rPr>
                <w:rFonts w:eastAsia="Times New Roman" w:cstheme="minorHAnsi"/>
                <w:color w:val="000000"/>
                <w:lang w:eastAsia="en-GB"/>
              </w:rPr>
              <w:t>)</w:t>
            </w:r>
          </w:p>
        </w:tc>
        <w:tc>
          <w:tcPr>
            <w:tcW w:w="1899" w:type="dxa"/>
            <w:shd w:val="clear" w:color="auto" w:fill="auto"/>
            <w:noWrap/>
            <w:hideMark/>
          </w:tcPr>
          <w:p w14:paraId="67157BA4" w14:textId="77777777" w:rsidR="00F511F4" w:rsidRPr="00B6620E" w:rsidRDefault="00F511F4" w:rsidP="001F53D9">
            <w:pPr>
              <w:spacing w:after="0" w:line="240" w:lineRule="auto"/>
              <w:rPr>
                <w:rFonts w:eastAsia="Times New Roman" w:cstheme="minorHAnsi"/>
                <w:color w:val="000000"/>
                <w:lang w:eastAsia="en-GB"/>
              </w:rPr>
            </w:pPr>
            <w:r w:rsidRPr="00E9075D">
              <w:rPr>
                <w:rFonts w:eastAsia="Times New Roman" w:cstheme="minorHAnsi"/>
                <w:color w:val="000000"/>
                <w:lang w:eastAsia="en-GB"/>
              </w:rPr>
              <w:t>23,084</w:t>
            </w:r>
            <w:r w:rsidRPr="00E9075D">
              <w:rPr>
                <w:rFonts w:eastAsia="Malgun Gothic" w:cstheme="minorHAnsi"/>
                <w:color w:val="000000"/>
                <w:lang w:eastAsia="en-GB"/>
              </w:rPr>
              <w:t>±39,681 (n=</w:t>
            </w:r>
            <w:r w:rsidRPr="00B6620E">
              <w:rPr>
                <w:rFonts w:eastAsia="Times New Roman" w:cstheme="minorHAnsi"/>
                <w:color w:val="000000"/>
                <w:lang w:eastAsia="en-GB"/>
              </w:rPr>
              <w:t>10</w:t>
            </w:r>
            <w:r w:rsidRPr="00E9075D">
              <w:rPr>
                <w:rFonts w:eastAsia="Times New Roman" w:cstheme="minorHAnsi"/>
                <w:color w:val="000000"/>
                <w:lang w:eastAsia="en-GB"/>
              </w:rPr>
              <w:t>,</w:t>
            </w:r>
            <w:r w:rsidRPr="00B6620E">
              <w:rPr>
                <w:rFonts w:eastAsia="Times New Roman" w:cstheme="minorHAnsi"/>
                <w:color w:val="000000"/>
                <w:lang w:eastAsia="en-GB"/>
              </w:rPr>
              <w:t>864</w:t>
            </w:r>
            <w:r w:rsidRPr="00E9075D">
              <w:rPr>
                <w:rFonts w:eastAsia="Times New Roman" w:cstheme="minorHAnsi"/>
                <w:color w:val="000000"/>
                <w:lang w:eastAsia="en-GB"/>
              </w:rPr>
              <w:t>)</w:t>
            </w:r>
          </w:p>
        </w:tc>
        <w:tc>
          <w:tcPr>
            <w:tcW w:w="934" w:type="dxa"/>
          </w:tcPr>
          <w:p w14:paraId="3E35372B" w14:textId="77777777" w:rsidR="00F511F4" w:rsidRPr="00E9075D" w:rsidRDefault="00F511F4" w:rsidP="001F53D9">
            <w:pPr>
              <w:spacing w:after="0" w:line="240" w:lineRule="auto"/>
              <w:rPr>
                <w:rFonts w:eastAsia="Times New Roman" w:cstheme="minorHAnsi"/>
                <w:color w:val="000000"/>
                <w:lang w:eastAsia="en-GB"/>
              </w:rPr>
            </w:pPr>
            <w:r>
              <w:rPr>
                <w:rFonts w:eastAsia="Times New Roman" w:cstheme="minorHAnsi"/>
                <w:color w:val="000000"/>
                <w:lang w:eastAsia="en-GB"/>
              </w:rPr>
              <w:t>&lt;0.001</w:t>
            </w:r>
          </w:p>
        </w:tc>
      </w:tr>
    </w:tbl>
    <w:p w14:paraId="768986D9" w14:textId="77777777" w:rsidR="00F511F4" w:rsidRDefault="00F511F4" w:rsidP="00F511F4">
      <w:pPr>
        <w:spacing w:after="0" w:line="240" w:lineRule="auto"/>
        <w:rPr>
          <w:lang w:val="en-US"/>
        </w:rPr>
      </w:pPr>
      <w:r>
        <w:rPr>
          <w:lang w:val="en-US"/>
        </w:rPr>
        <w:t>P-values were determined from one-way analysis of variance for continuous variables and Chi2 test for categorical variables.</w:t>
      </w:r>
    </w:p>
    <w:p w14:paraId="15073A15" w14:textId="77777777" w:rsidR="00F511F4" w:rsidRPr="000A283E" w:rsidRDefault="00F511F4" w:rsidP="00F511F4">
      <w:pPr>
        <w:spacing w:after="0" w:line="240" w:lineRule="auto"/>
      </w:pPr>
      <w:r>
        <w:rPr>
          <w:lang w:val="en-US"/>
        </w:rPr>
        <w:t>PCI=percutaneous coronary intervention, CABG=coronary artery bypass graft, LV=left ventricular, IABP=intra-aortic balloon pump, ICD=implantable cardioverter defibrillator, CRT=cardiac resynchronization therapy, USD=United States Dollar</w:t>
      </w:r>
    </w:p>
    <w:p w14:paraId="1618D7E2" w14:textId="77777777" w:rsidR="00F511F4" w:rsidRPr="005B4824" w:rsidRDefault="00F511F4" w:rsidP="00F511F4">
      <w:pPr>
        <w:spacing w:after="0" w:line="240" w:lineRule="auto"/>
        <w:rPr>
          <w:rFonts w:ascii="Times New Roman" w:hAnsi="Times New Roman" w:cs="Times New Roman"/>
          <w:b/>
          <w:sz w:val="24"/>
          <w:szCs w:val="24"/>
          <w:lang w:val="en-US"/>
        </w:rPr>
      </w:pPr>
    </w:p>
    <w:p w14:paraId="7FE71FB9" w14:textId="77777777" w:rsidR="00F511F4" w:rsidRDefault="00F511F4">
      <w:pPr>
        <w:rPr>
          <w:rFonts w:ascii="Times New Roman" w:hAnsi="Times New Roman" w:cs="Times New Roman"/>
          <w:b/>
          <w:sz w:val="24"/>
          <w:szCs w:val="24"/>
          <w:lang w:val="en-US"/>
        </w:rPr>
      </w:pPr>
      <w:r>
        <w:rPr>
          <w:rFonts w:ascii="Times New Roman" w:hAnsi="Times New Roman" w:cs="Times New Roman"/>
          <w:b/>
          <w:sz w:val="24"/>
          <w:szCs w:val="24"/>
          <w:lang w:val="en-US"/>
        </w:rPr>
        <w:br w:type="page"/>
      </w:r>
    </w:p>
    <w:p w14:paraId="521EAE13" w14:textId="67BE0588" w:rsidR="00F511F4" w:rsidRDefault="00F511F4" w:rsidP="00F511F4">
      <w:pPr>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Table 2</w:t>
      </w:r>
      <w:r w:rsidRPr="005B4824">
        <w:rPr>
          <w:rFonts w:ascii="Times New Roman" w:hAnsi="Times New Roman" w:cs="Times New Roman"/>
          <w:b/>
          <w:sz w:val="24"/>
          <w:szCs w:val="24"/>
          <w:lang w:val="en-US"/>
        </w:rPr>
        <w:t>: Adjusted odds of in-hosp</w:t>
      </w:r>
      <w:r>
        <w:rPr>
          <w:rFonts w:ascii="Times New Roman" w:hAnsi="Times New Roman" w:cs="Times New Roman"/>
          <w:b/>
          <w:sz w:val="24"/>
          <w:szCs w:val="24"/>
          <w:lang w:val="en-US"/>
        </w:rPr>
        <w:t>ital death by frailty group</w:t>
      </w:r>
    </w:p>
    <w:p w14:paraId="7E08F8D9" w14:textId="77777777" w:rsidR="00F511F4" w:rsidRDefault="00F511F4" w:rsidP="00F511F4">
      <w:pPr>
        <w:spacing w:after="0" w:line="240" w:lineRule="auto"/>
        <w:rPr>
          <w:rFonts w:ascii="Times New Roman" w:hAnsi="Times New Roman" w:cs="Times New Roman"/>
          <w:b/>
          <w:sz w:val="24"/>
          <w:szCs w:val="24"/>
          <w:lang w:val="en-US"/>
        </w:rPr>
      </w:pPr>
    </w:p>
    <w:tbl>
      <w:tblPr>
        <w:tblStyle w:val="TableGrid"/>
        <w:tblW w:w="0" w:type="auto"/>
        <w:tblLook w:val="04A0" w:firstRow="1" w:lastRow="0" w:firstColumn="1" w:lastColumn="0" w:noHBand="0" w:noVBand="1"/>
      </w:tblPr>
      <w:tblGrid>
        <w:gridCol w:w="3005"/>
        <w:gridCol w:w="3005"/>
        <w:gridCol w:w="3006"/>
      </w:tblGrid>
      <w:tr w:rsidR="00F511F4" w14:paraId="29C65D48" w14:textId="77777777" w:rsidTr="001F53D9">
        <w:tc>
          <w:tcPr>
            <w:tcW w:w="3005" w:type="dxa"/>
          </w:tcPr>
          <w:p w14:paraId="6DCD5444" w14:textId="77777777" w:rsidR="00F511F4" w:rsidRPr="00026232" w:rsidRDefault="00F511F4" w:rsidP="001F53D9">
            <w:pPr>
              <w:rPr>
                <w:lang w:val="en-US"/>
              </w:rPr>
            </w:pPr>
            <w:r>
              <w:rPr>
                <w:lang w:val="en-US"/>
              </w:rPr>
              <w:t>Group</w:t>
            </w:r>
          </w:p>
        </w:tc>
        <w:tc>
          <w:tcPr>
            <w:tcW w:w="3005" w:type="dxa"/>
          </w:tcPr>
          <w:p w14:paraId="7926A59E" w14:textId="77777777" w:rsidR="00F511F4" w:rsidRPr="00026232" w:rsidRDefault="00F511F4" w:rsidP="001F53D9">
            <w:pPr>
              <w:rPr>
                <w:lang w:val="en-US"/>
              </w:rPr>
            </w:pPr>
            <w:r>
              <w:rPr>
                <w:lang w:val="en-US"/>
              </w:rPr>
              <w:t>Odds ratio (95%CI)</w:t>
            </w:r>
          </w:p>
        </w:tc>
        <w:tc>
          <w:tcPr>
            <w:tcW w:w="3006" w:type="dxa"/>
          </w:tcPr>
          <w:p w14:paraId="5AAC9469" w14:textId="77777777" w:rsidR="00F511F4" w:rsidRPr="00026232" w:rsidRDefault="00F511F4" w:rsidP="001F53D9">
            <w:pPr>
              <w:rPr>
                <w:lang w:val="en-US"/>
              </w:rPr>
            </w:pPr>
            <w:r w:rsidRPr="00026232">
              <w:rPr>
                <w:lang w:val="en-US"/>
              </w:rPr>
              <w:t>p-value</w:t>
            </w:r>
          </w:p>
        </w:tc>
      </w:tr>
      <w:tr w:rsidR="00F511F4" w14:paraId="107F1C6C" w14:textId="77777777" w:rsidTr="001F53D9">
        <w:tc>
          <w:tcPr>
            <w:tcW w:w="3005" w:type="dxa"/>
          </w:tcPr>
          <w:p w14:paraId="39F56487" w14:textId="77777777" w:rsidR="00F511F4" w:rsidRDefault="00F511F4" w:rsidP="001F53D9">
            <w:pPr>
              <w:rPr>
                <w:lang w:val="en-US"/>
              </w:rPr>
            </w:pPr>
            <w:r>
              <w:rPr>
                <w:lang w:val="en-US"/>
              </w:rPr>
              <w:t>Full heart failure cohort</w:t>
            </w:r>
          </w:p>
          <w:p w14:paraId="161E72ED" w14:textId="77777777" w:rsidR="00F511F4" w:rsidRDefault="00F511F4" w:rsidP="001F53D9">
            <w:pPr>
              <w:rPr>
                <w:lang w:val="en-US"/>
              </w:rPr>
            </w:pPr>
            <w:r>
              <w:rPr>
                <w:lang w:val="en-US"/>
              </w:rPr>
              <w:t>Low frailty risk</w:t>
            </w:r>
          </w:p>
          <w:p w14:paraId="292BA672" w14:textId="77777777" w:rsidR="00F511F4" w:rsidRDefault="00F511F4" w:rsidP="001F53D9">
            <w:pPr>
              <w:rPr>
                <w:lang w:val="en-US"/>
              </w:rPr>
            </w:pPr>
            <w:r>
              <w:rPr>
                <w:lang w:val="en-US"/>
              </w:rPr>
              <w:t>Intermediate frailty risk</w:t>
            </w:r>
          </w:p>
          <w:p w14:paraId="0A9D2DAC" w14:textId="77777777" w:rsidR="00F511F4" w:rsidRPr="00026232" w:rsidRDefault="00F511F4" w:rsidP="001F53D9">
            <w:pPr>
              <w:rPr>
                <w:lang w:val="en-US"/>
              </w:rPr>
            </w:pPr>
            <w:r>
              <w:rPr>
                <w:lang w:val="en-US"/>
              </w:rPr>
              <w:t>High frailty risk</w:t>
            </w:r>
          </w:p>
        </w:tc>
        <w:tc>
          <w:tcPr>
            <w:tcW w:w="3005" w:type="dxa"/>
          </w:tcPr>
          <w:p w14:paraId="4AEDD32F" w14:textId="77777777" w:rsidR="00F511F4" w:rsidRDefault="00F511F4" w:rsidP="001F53D9">
            <w:pPr>
              <w:rPr>
                <w:lang w:val="en-US"/>
              </w:rPr>
            </w:pPr>
          </w:p>
          <w:p w14:paraId="20CB98A7" w14:textId="77777777" w:rsidR="00F511F4" w:rsidRDefault="00F511F4" w:rsidP="001F53D9">
            <w:pPr>
              <w:rPr>
                <w:lang w:val="en-US"/>
              </w:rPr>
            </w:pPr>
            <w:r>
              <w:rPr>
                <w:lang w:val="en-US"/>
              </w:rPr>
              <w:t>1.00 (Ref)</w:t>
            </w:r>
          </w:p>
          <w:p w14:paraId="3DAC0BB2" w14:textId="77777777" w:rsidR="00F511F4" w:rsidRDefault="00F511F4" w:rsidP="001F53D9">
            <w:pPr>
              <w:rPr>
                <w:lang w:val="en-US"/>
              </w:rPr>
            </w:pPr>
            <w:r>
              <w:rPr>
                <w:lang w:val="en-US"/>
              </w:rPr>
              <w:t>2.28 (2.22-2.34)</w:t>
            </w:r>
          </w:p>
          <w:p w14:paraId="0C497B04" w14:textId="77777777" w:rsidR="00F511F4" w:rsidRPr="00026232" w:rsidRDefault="00F511F4" w:rsidP="001F53D9">
            <w:pPr>
              <w:rPr>
                <w:lang w:val="en-US"/>
              </w:rPr>
            </w:pPr>
            <w:r>
              <w:rPr>
                <w:lang w:val="en-US"/>
              </w:rPr>
              <w:t>3.05 (2.57-3.62)</w:t>
            </w:r>
          </w:p>
        </w:tc>
        <w:tc>
          <w:tcPr>
            <w:tcW w:w="3006" w:type="dxa"/>
          </w:tcPr>
          <w:p w14:paraId="7A0109A3" w14:textId="77777777" w:rsidR="00F511F4" w:rsidRDefault="00F511F4" w:rsidP="001F53D9">
            <w:pPr>
              <w:rPr>
                <w:lang w:val="en-US"/>
              </w:rPr>
            </w:pPr>
          </w:p>
          <w:p w14:paraId="14DBB378" w14:textId="77777777" w:rsidR="00F511F4" w:rsidRDefault="00F511F4" w:rsidP="001F53D9">
            <w:pPr>
              <w:rPr>
                <w:lang w:val="en-US"/>
              </w:rPr>
            </w:pPr>
            <w:r>
              <w:rPr>
                <w:lang w:val="en-US"/>
              </w:rPr>
              <w:t>-</w:t>
            </w:r>
          </w:p>
          <w:p w14:paraId="4B80C2CF" w14:textId="77777777" w:rsidR="00F511F4" w:rsidRDefault="00F511F4" w:rsidP="001F53D9">
            <w:pPr>
              <w:rPr>
                <w:lang w:val="en-US"/>
              </w:rPr>
            </w:pPr>
            <w:r>
              <w:rPr>
                <w:lang w:val="en-US"/>
              </w:rPr>
              <w:t>&lt;0.001</w:t>
            </w:r>
          </w:p>
          <w:p w14:paraId="25BE4C3A" w14:textId="77777777" w:rsidR="00F511F4" w:rsidRPr="00026232" w:rsidRDefault="00F511F4" w:rsidP="001F53D9">
            <w:pPr>
              <w:rPr>
                <w:lang w:val="en-US"/>
              </w:rPr>
            </w:pPr>
            <w:r>
              <w:rPr>
                <w:lang w:val="en-US"/>
              </w:rPr>
              <w:t>&lt;0.001</w:t>
            </w:r>
          </w:p>
        </w:tc>
      </w:tr>
      <w:tr w:rsidR="00F511F4" w14:paraId="3834C031" w14:textId="77777777" w:rsidTr="001F53D9">
        <w:tc>
          <w:tcPr>
            <w:tcW w:w="3005" w:type="dxa"/>
          </w:tcPr>
          <w:p w14:paraId="77721C6B" w14:textId="77777777" w:rsidR="00F511F4" w:rsidRDefault="00F511F4" w:rsidP="001F53D9">
            <w:pPr>
              <w:rPr>
                <w:lang w:val="en-US"/>
              </w:rPr>
            </w:pPr>
            <w:r>
              <w:rPr>
                <w:lang w:val="en-US"/>
              </w:rPr>
              <w:t>Heart failure cohort excluding high risk patients*</w:t>
            </w:r>
          </w:p>
          <w:p w14:paraId="6FB9361F" w14:textId="77777777" w:rsidR="00F511F4" w:rsidRDefault="00F511F4" w:rsidP="001F53D9">
            <w:pPr>
              <w:rPr>
                <w:lang w:val="en-US"/>
              </w:rPr>
            </w:pPr>
            <w:r>
              <w:rPr>
                <w:lang w:val="en-US"/>
              </w:rPr>
              <w:t>Low frailty risk</w:t>
            </w:r>
          </w:p>
          <w:p w14:paraId="2F5E29D7" w14:textId="77777777" w:rsidR="00F511F4" w:rsidRDefault="00F511F4" w:rsidP="001F53D9">
            <w:pPr>
              <w:rPr>
                <w:lang w:val="en-US"/>
              </w:rPr>
            </w:pPr>
            <w:r>
              <w:rPr>
                <w:lang w:val="en-US"/>
              </w:rPr>
              <w:t>Intermediate frailty risk</w:t>
            </w:r>
          </w:p>
          <w:p w14:paraId="4A77EA35" w14:textId="77777777" w:rsidR="00F511F4" w:rsidRDefault="00F511F4" w:rsidP="001F53D9">
            <w:pPr>
              <w:rPr>
                <w:lang w:val="en-US"/>
              </w:rPr>
            </w:pPr>
            <w:r>
              <w:rPr>
                <w:lang w:val="en-US"/>
              </w:rPr>
              <w:t>High frailty risk</w:t>
            </w:r>
          </w:p>
        </w:tc>
        <w:tc>
          <w:tcPr>
            <w:tcW w:w="3005" w:type="dxa"/>
          </w:tcPr>
          <w:p w14:paraId="7560C992" w14:textId="77777777" w:rsidR="00F511F4" w:rsidRDefault="00F511F4" w:rsidP="001F53D9">
            <w:pPr>
              <w:rPr>
                <w:lang w:val="en-US"/>
              </w:rPr>
            </w:pPr>
          </w:p>
          <w:p w14:paraId="1D21C979" w14:textId="77777777" w:rsidR="00F511F4" w:rsidRDefault="00F511F4" w:rsidP="001F53D9">
            <w:pPr>
              <w:rPr>
                <w:lang w:val="en-US"/>
              </w:rPr>
            </w:pPr>
          </w:p>
          <w:p w14:paraId="343ADBEF" w14:textId="77777777" w:rsidR="00F511F4" w:rsidRDefault="00F511F4" w:rsidP="001F53D9">
            <w:pPr>
              <w:rPr>
                <w:lang w:val="en-US"/>
              </w:rPr>
            </w:pPr>
            <w:r>
              <w:rPr>
                <w:lang w:val="en-US"/>
              </w:rPr>
              <w:t>1.00 (Ref)</w:t>
            </w:r>
          </w:p>
          <w:p w14:paraId="51142369" w14:textId="77777777" w:rsidR="00F511F4" w:rsidRDefault="00F511F4" w:rsidP="001F53D9">
            <w:pPr>
              <w:rPr>
                <w:lang w:val="en-US"/>
              </w:rPr>
            </w:pPr>
            <w:r>
              <w:rPr>
                <w:lang w:val="en-US"/>
              </w:rPr>
              <w:t>3.06 (2.96-3.16)</w:t>
            </w:r>
          </w:p>
          <w:p w14:paraId="0C9F46D8" w14:textId="77777777" w:rsidR="00F511F4" w:rsidRPr="00026232" w:rsidRDefault="00F511F4" w:rsidP="001F53D9">
            <w:pPr>
              <w:rPr>
                <w:lang w:val="en-US"/>
              </w:rPr>
            </w:pPr>
            <w:r>
              <w:rPr>
                <w:lang w:val="en-US"/>
              </w:rPr>
              <w:t>4.90 (3.96-6.08)</w:t>
            </w:r>
          </w:p>
        </w:tc>
        <w:tc>
          <w:tcPr>
            <w:tcW w:w="3006" w:type="dxa"/>
          </w:tcPr>
          <w:p w14:paraId="556D7BD3" w14:textId="77777777" w:rsidR="00F511F4" w:rsidRDefault="00F511F4" w:rsidP="001F53D9">
            <w:pPr>
              <w:rPr>
                <w:lang w:val="en-US"/>
              </w:rPr>
            </w:pPr>
          </w:p>
          <w:p w14:paraId="64341FB2" w14:textId="77777777" w:rsidR="00F511F4" w:rsidRDefault="00F511F4" w:rsidP="001F53D9">
            <w:pPr>
              <w:rPr>
                <w:lang w:val="en-US"/>
              </w:rPr>
            </w:pPr>
          </w:p>
          <w:p w14:paraId="3EB0EBE5" w14:textId="77777777" w:rsidR="00F511F4" w:rsidRDefault="00F511F4" w:rsidP="001F53D9">
            <w:pPr>
              <w:rPr>
                <w:lang w:val="en-US"/>
              </w:rPr>
            </w:pPr>
            <w:r>
              <w:rPr>
                <w:lang w:val="en-US"/>
              </w:rPr>
              <w:t>-</w:t>
            </w:r>
          </w:p>
          <w:p w14:paraId="2456902D" w14:textId="77777777" w:rsidR="00F511F4" w:rsidRDefault="00F511F4" w:rsidP="001F53D9">
            <w:pPr>
              <w:rPr>
                <w:lang w:val="en-US"/>
              </w:rPr>
            </w:pPr>
            <w:r>
              <w:rPr>
                <w:lang w:val="en-US"/>
              </w:rPr>
              <w:t>&lt;0.001</w:t>
            </w:r>
          </w:p>
          <w:p w14:paraId="27E5DBFA" w14:textId="77777777" w:rsidR="00F511F4" w:rsidRPr="00026232" w:rsidRDefault="00F511F4" w:rsidP="001F53D9">
            <w:pPr>
              <w:rPr>
                <w:lang w:val="en-US"/>
              </w:rPr>
            </w:pPr>
            <w:r>
              <w:rPr>
                <w:lang w:val="en-US"/>
              </w:rPr>
              <w:t>&lt;0.001</w:t>
            </w:r>
          </w:p>
        </w:tc>
      </w:tr>
    </w:tbl>
    <w:p w14:paraId="5ABDDE62" w14:textId="77777777" w:rsidR="00F511F4" w:rsidRDefault="00F511F4" w:rsidP="00F511F4">
      <w:pPr>
        <w:spacing w:after="0" w:line="240" w:lineRule="auto"/>
        <w:rPr>
          <w:lang w:val="en-US"/>
        </w:rPr>
      </w:pPr>
      <w:r>
        <w:rPr>
          <w:lang w:val="en-US"/>
        </w:rPr>
        <w:t>Adjusted for age, sex, race, weekend admission, year, primary expected payer, quartile of income, hypertension, hypercholesterolemia, obesity, diabetes, smoking, coronary artery disease, previous myocardial infarction, previous PCI, previous CABG, previous heart failure, atrial fibrillation, valvular heart disease, peripheral vascular disease, chronic lung disease, hypothyroidism, liver disease, peptic ulcer, cancer, hospital bed size, teaching hospital, urban hospital, shock, cardiac arrest, ventilation, left ventricular assist device or intra-aortic balloon pump, vasopressor, coronary angiogram, percutaneous coronary intervention, coronary artery bypass graft, pacemaker or implantable cardioverter defibrillator, cardiac resynchronization therapy and heart transplant.</w:t>
      </w:r>
    </w:p>
    <w:p w14:paraId="4109337D" w14:textId="77777777" w:rsidR="00F511F4" w:rsidRDefault="00F511F4" w:rsidP="00F511F4">
      <w:pPr>
        <w:spacing w:after="0" w:line="240" w:lineRule="auto"/>
        <w:rPr>
          <w:b/>
          <w:lang w:val="en-US"/>
        </w:rPr>
      </w:pPr>
      <w:r>
        <w:rPr>
          <w:lang w:val="en-US"/>
        </w:rPr>
        <w:t>*Excluding patients with shock, cardiac arrest, ventilation, left ventricular assist device or intra-aortic balloon pump or vasopressor use</w:t>
      </w:r>
    </w:p>
    <w:p w14:paraId="393F96E4" w14:textId="77777777" w:rsidR="00F511F4" w:rsidRDefault="00F511F4" w:rsidP="00F511F4">
      <w:pPr>
        <w:spacing w:after="0" w:line="240" w:lineRule="auto"/>
        <w:rPr>
          <w:rFonts w:ascii="Times New Roman" w:hAnsi="Times New Roman" w:cs="Times New Roman"/>
          <w:b/>
          <w:sz w:val="24"/>
          <w:szCs w:val="24"/>
          <w:lang w:val="en-US"/>
        </w:rPr>
      </w:pPr>
    </w:p>
    <w:p w14:paraId="1A2A08C3" w14:textId="77777777" w:rsidR="00F511F4" w:rsidRDefault="00F511F4">
      <w:pPr>
        <w:rPr>
          <w:rFonts w:ascii="Times New Roman" w:hAnsi="Times New Roman" w:cs="Times New Roman"/>
          <w:b/>
          <w:sz w:val="24"/>
          <w:szCs w:val="24"/>
          <w:lang w:val="en-US"/>
        </w:rPr>
      </w:pPr>
      <w:r>
        <w:rPr>
          <w:rFonts w:ascii="Times New Roman" w:hAnsi="Times New Roman" w:cs="Times New Roman"/>
          <w:b/>
          <w:sz w:val="24"/>
          <w:szCs w:val="24"/>
          <w:lang w:val="en-US"/>
        </w:rPr>
        <w:br w:type="page"/>
      </w:r>
    </w:p>
    <w:p w14:paraId="44B0037E" w14:textId="77777777" w:rsidR="00F511F4" w:rsidRPr="00F511F4" w:rsidRDefault="00F511F4" w:rsidP="00F511F4">
      <w:pPr>
        <w:spacing w:after="0" w:line="240" w:lineRule="auto"/>
        <w:rPr>
          <w:rFonts w:ascii="Times New Roman" w:hAnsi="Times New Roman" w:cs="Times New Roman"/>
          <w:b/>
          <w:sz w:val="24"/>
          <w:szCs w:val="24"/>
          <w:lang w:val="en-US"/>
        </w:rPr>
      </w:pPr>
      <w:r w:rsidRPr="00F511F4">
        <w:rPr>
          <w:rFonts w:ascii="Times New Roman" w:hAnsi="Times New Roman" w:cs="Times New Roman"/>
          <w:b/>
          <w:sz w:val="24"/>
          <w:szCs w:val="24"/>
          <w:lang w:val="en-US"/>
        </w:rPr>
        <w:lastRenderedPageBreak/>
        <w:t>Supplementary Figure 1: Flow diagram of patient inclusion</w:t>
      </w:r>
    </w:p>
    <w:p w14:paraId="2F82DC94" w14:textId="77777777" w:rsidR="00F511F4" w:rsidRPr="00DC5B04" w:rsidRDefault="00F511F4" w:rsidP="00F511F4">
      <w:pPr>
        <w:spacing w:after="0" w:line="240" w:lineRule="auto"/>
        <w:rPr>
          <w:lang w:val="en-US"/>
        </w:rPr>
      </w:pPr>
    </w:p>
    <w:p w14:paraId="4A54F182" w14:textId="77777777" w:rsidR="00F511F4" w:rsidRPr="00DC5B04" w:rsidRDefault="00F511F4" w:rsidP="00F511F4">
      <w:pPr>
        <w:spacing w:after="0" w:line="240" w:lineRule="auto"/>
        <w:rPr>
          <w:b/>
          <w:lang w:val="en-US"/>
        </w:rPr>
      </w:pPr>
      <w:r w:rsidRPr="00DC5B04">
        <w:rPr>
          <w:b/>
          <w:noProof/>
          <w:lang w:eastAsia="en-GB"/>
        </w:rPr>
        <mc:AlternateContent>
          <mc:Choice Requires="wps">
            <w:drawing>
              <wp:anchor distT="0" distB="0" distL="114300" distR="114300" simplePos="0" relativeHeight="251660288" behindDoc="0" locked="0" layoutInCell="1" allowOverlap="1" wp14:anchorId="59858030" wp14:editId="719389ED">
                <wp:simplePos x="0" y="0"/>
                <wp:positionH relativeFrom="column">
                  <wp:posOffset>429683</wp:posOffset>
                </wp:positionH>
                <wp:positionV relativeFrom="paragraph">
                  <wp:posOffset>1784138</wp:posOffset>
                </wp:positionV>
                <wp:extent cx="2400300" cy="1716617"/>
                <wp:effectExtent l="0" t="0" r="19050" b="17145"/>
                <wp:wrapNone/>
                <wp:docPr id="3" name="Text Box 3"/>
                <wp:cNvGraphicFramePr/>
                <a:graphic xmlns:a="http://schemas.openxmlformats.org/drawingml/2006/main">
                  <a:graphicData uri="http://schemas.microsoft.com/office/word/2010/wordprocessingShape">
                    <wps:wsp>
                      <wps:cNvSpPr txBox="1"/>
                      <wps:spPr>
                        <a:xfrm>
                          <a:off x="0" y="0"/>
                          <a:ext cx="2400300" cy="171661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D1BBAE9" w14:textId="77777777" w:rsidR="00F511F4" w:rsidRDefault="00F511F4" w:rsidP="00F511F4">
                            <w:pPr>
                              <w:spacing w:after="0" w:line="240" w:lineRule="auto"/>
                            </w:pPr>
                            <w:r>
                              <w:t>Patients included in the analysis (n=11,626,400)</w:t>
                            </w:r>
                          </w:p>
                          <w:p w14:paraId="6BDE4300" w14:textId="77777777" w:rsidR="00F511F4" w:rsidRDefault="00F511F4" w:rsidP="00F511F4">
                            <w:pPr>
                              <w:spacing w:after="0" w:line="240" w:lineRule="auto"/>
                            </w:pPr>
                            <w:r>
                              <w:t>Frailty in cohort</w:t>
                            </w:r>
                          </w:p>
                          <w:p w14:paraId="48BD4658" w14:textId="77777777" w:rsidR="00F511F4" w:rsidRDefault="00F511F4" w:rsidP="00F511F4">
                            <w:pPr>
                              <w:pStyle w:val="ListParagraph"/>
                              <w:numPr>
                                <w:ilvl w:val="0"/>
                                <w:numId w:val="3"/>
                              </w:numPr>
                              <w:spacing w:after="0" w:line="240" w:lineRule="auto"/>
                            </w:pPr>
                            <w:r>
                              <w:t>Low Risk (&lt;5) 80.0% (n=9,300,873)</w:t>
                            </w:r>
                          </w:p>
                          <w:p w14:paraId="204074D0" w14:textId="77777777" w:rsidR="00F511F4" w:rsidRDefault="00F511F4" w:rsidP="00F511F4">
                            <w:pPr>
                              <w:pStyle w:val="ListParagraph"/>
                              <w:numPr>
                                <w:ilvl w:val="0"/>
                                <w:numId w:val="3"/>
                              </w:numPr>
                              <w:spacing w:after="0" w:line="240" w:lineRule="auto"/>
                            </w:pPr>
                            <w:r>
                              <w:t>Intermediate Risk (5-15) 19.9% (n=2,314,001)</w:t>
                            </w:r>
                          </w:p>
                          <w:p w14:paraId="63CE170B" w14:textId="77777777" w:rsidR="00F511F4" w:rsidRDefault="00F511F4" w:rsidP="00F511F4">
                            <w:pPr>
                              <w:pStyle w:val="ListParagraph"/>
                              <w:numPr>
                                <w:ilvl w:val="0"/>
                                <w:numId w:val="3"/>
                              </w:numPr>
                              <w:spacing w:after="0" w:line="240" w:lineRule="auto"/>
                            </w:pPr>
                            <w:r>
                              <w:t>High Risk (&gt;15) 0.1% (n=11,526)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9858030" id="_x0000_t202" coordsize="21600,21600" o:spt="202" path="m,l,21600r21600,l21600,xe">
                <v:stroke joinstyle="miter"/>
                <v:path gradientshapeok="t" o:connecttype="rect"/>
              </v:shapetype>
              <v:shape id="Text Box 3" o:spid="_x0000_s1026" type="#_x0000_t202" style="position:absolute;margin-left:33.85pt;margin-top:140.5pt;width:189pt;height:135.1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" fillcolor="white [3201]" strokeweight=".5pt">
                <v:textbox>
                  <w:txbxContent>
                    <w:p w14:paraId="3D1BBAE9" w14:textId="77777777" w:rsidR="00F511F4" w:rsidRDefault="00F511F4" w:rsidP="00F511F4">
                      <w:pPr>
                        <w:spacing w:after="0" w:line="240" w:lineRule="auto"/>
                      </w:pPr>
                      <w:r>
                        <w:t>Patients included in the analysis (n=11,626,400)</w:t>
                      </w:r>
                    </w:p>
                    <w:p w14:paraId="6BDE4300" w14:textId="77777777" w:rsidR="00F511F4" w:rsidRDefault="00F511F4" w:rsidP="00F511F4">
                      <w:pPr>
                        <w:spacing w:after="0" w:line="240" w:lineRule="auto"/>
                      </w:pPr>
                      <w:r>
                        <w:t>Frailty in cohort</w:t>
                      </w:r>
                    </w:p>
                    <w:p w14:paraId="48BD4658" w14:textId="77777777" w:rsidR="00F511F4" w:rsidRDefault="00F511F4" w:rsidP="00F511F4">
                      <w:pPr>
                        <w:pStyle w:val="ListParagraph"/>
                        <w:numPr>
                          <w:ilvl w:val="0"/>
                          <w:numId w:val="3"/>
                        </w:numPr>
                        <w:spacing w:after="0" w:line="240" w:lineRule="auto"/>
                      </w:pPr>
                      <w:r>
                        <w:t>Low Risk (&lt;5) 80.0% (n=9,300,873)</w:t>
                      </w:r>
                    </w:p>
                    <w:p w14:paraId="204074D0" w14:textId="77777777" w:rsidR="00F511F4" w:rsidRDefault="00F511F4" w:rsidP="00F511F4">
                      <w:pPr>
                        <w:pStyle w:val="ListParagraph"/>
                        <w:numPr>
                          <w:ilvl w:val="0"/>
                          <w:numId w:val="3"/>
                        </w:numPr>
                        <w:spacing w:after="0" w:line="240" w:lineRule="auto"/>
                      </w:pPr>
                      <w:r>
                        <w:t>Intermediate Risk (5-15) 19.9% (n=2,314,001)</w:t>
                      </w:r>
                    </w:p>
                    <w:p w14:paraId="63CE170B" w14:textId="77777777" w:rsidR="00F511F4" w:rsidRDefault="00F511F4" w:rsidP="00F511F4">
                      <w:pPr>
                        <w:pStyle w:val="ListParagraph"/>
                        <w:numPr>
                          <w:ilvl w:val="0"/>
                          <w:numId w:val="3"/>
                        </w:numPr>
                        <w:spacing w:after="0" w:line="240" w:lineRule="auto"/>
                      </w:pPr>
                      <w:r>
                        <w:t>High Risk (&gt;15) 0.1% (n=11,526)</w:t>
                      </w:r>
                    </w:p>
                  </w:txbxContent>
                </v:textbox>
              </v:shape>
            </w:pict>
          </mc:Fallback>
        </mc:AlternateContent>
      </w:r>
      <w:r w:rsidRPr="00DC5B04">
        <w:rPr>
          <w:b/>
          <w:noProof/>
          <w:lang w:eastAsia="en-GB"/>
        </w:rPr>
        <mc:AlternateContent>
          <mc:Choice Requires="wps">
            <w:drawing>
              <wp:anchor distT="0" distB="0" distL="114300" distR="114300" simplePos="0" relativeHeight="251663360" behindDoc="0" locked="0" layoutInCell="1" allowOverlap="1" wp14:anchorId="441F452E" wp14:editId="7EADC7C1">
                <wp:simplePos x="0" y="0"/>
                <wp:positionH relativeFrom="column">
                  <wp:posOffset>1628775</wp:posOffset>
                </wp:positionH>
                <wp:positionV relativeFrom="paragraph">
                  <wp:posOffset>1326515</wp:posOffset>
                </wp:positionV>
                <wp:extent cx="1628775" cy="0"/>
                <wp:effectExtent l="0" t="76200" r="28575" b="114300"/>
                <wp:wrapNone/>
                <wp:docPr id="5" name="Straight Arrow Connector 5"/>
                <wp:cNvGraphicFramePr/>
                <a:graphic xmlns:a="http://schemas.openxmlformats.org/drawingml/2006/main">
                  <a:graphicData uri="http://schemas.microsoft.com/office/word/2010/wordprocessingShape">
                    <wps:wsp>
                      <wps:cNvCnPr/>
                      <wps:spPr>
                        <a:xfrm>
                          <a:off x="0" y="0"/>
                          <a:ext cx="1628775"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5A93698" id="_x0000_t32" coordsize="21600,21600" o:spt="32" o:oned="t" path="m,l21600,21600e" filled="f">
                <v:path arrowok="t" fillok="f" o:connecttype="none"/>
                <o:lock v:ext="edit" shapetype="t"/>
              </v:shapetype>
              <v:shape id="Straight Arrow Connector 5" o:spid="_x0000_s1026" type="#_x0000_t32" style="position:absolute;margin-left:128.25pt;margin-top:104.45pt;width:128.2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" strokecolor="black [3213]" strokeweight=".5pt">
                <v:stroke endarrow="open" joinstyle="miter"/>
              </v:shape>
            </w:pict>
          </mc:Fallback>
        </mc:AlternateContent>
      </w:r>
      <w:r w:rsidRPr="00DC5B04">
        <w:rPr>
          <w:b/>
          <w:noProof/>
          <w:lang w:eastAsia="en-GB"/>
        </w:rPr>
        <mc:AlternateContent>
          <mc:Choice Requires="wps">
            <w:drawing>
              <wp:anchor distT="0" distB="0" distL="114300" distR="114300" simplePos="0" relativeHeight="251662336" behindDoc="0" locked="0" layoutInCell="1" allowOverlap="1" wp14:anchorId="6BD53358" wp14:editId="6D1F9719">
                <wp:simplePos x="0" y="0"/>
                <wp:positionH relativeFrom="column">
                  <wp:posOffset>1623377</wp:posOffset>
                </wp:positionH>
                <wp:positionV relativeFrom="paragraph">
                  <wp:posOffset>925830</wp:posOffset>
                </wp:positionV>
                <wp:extent cx="0" cy="862330"/>
                <wp:effectExtent l="95250" t="0" r="57150" b="52070"/>
                <wp:wrapNone/>
                <wp:docPr id="4" name="Straight Arrow Connector 4"/>
                <wp:cNvGraphicFramePr/>
                <a:graphic xmlns:a="http://schemas.openxmlformats.org/drawingml/2006/main">
                  <a:graphicData uri="http://schemas.microsoft.com/office/word/2010/wordprocessingShape">
                    <wps:wsp>
                      <wps:cNvCnPr/>
                      <wps:spPr>
                        <a:xfrm>
                          <a:off x="0" y="0"/>
                          <a:ext cx="0" cy="86233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5FD14BE" id="Straight Arrow Connector 4" o:spid="_x0000_s1026" type="#_x0000_t32" style="position:absolute;margin-left:127.8pt;margin-top:72.9pt;width:0;height:67.9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" strokecolor="black [3213]" strokeweight=".5pt">
                <v:stroke endarrow="open" joinstyle="miter"/>
              </v:shape>
            </w:pict>
          </mc:Fallback>
        </mc:AlternateContent>
      </w:r>
      <w:r w:rsidRPr="00DC5B04">
        <w:rPr>
          <w:b/>
          <w:noProof/>
          <w:lang w:eastAsia="en-GB"/>
        </w:rPr>
        <mc:AlternateContent>
          <mc:Choice Requires="wps">
            <w:drawing>
              <wp:anchor distT="0" distB="0" distL="114300" distR="114300" simplePos="0" relativeHeight="251661312" behindDoc="0" locked="0" layoutInCell="1" allowOverlap="1" wp14:anchorId="6FF49C14" wp14:editId="1614B12A">
                <wp:simplePos x="0" y="0"/>
                <wp:positionH relativeFrom="column">
                  <wp:posOffset>3257550</wp:posOffset>
                </wp:positionH>
                <wp:positionV relativeFrom="paragraph">
                  <wp:posOffset>749935</wp:posOffset>
                </wp:positionV>
                <wp:extent cx="1924050" cy="1209675"/>
                <wp:effectExtent l="0" t="0" r="19050" b="28575"/>
                <wp:wrapNone/>
                <wp:docPr id="6" name="Text Box 6"/>
                <wp:cNvGraphicFramePr/>
                <a:graphic xmlns:a="http://schemas.openxmlformats.org/drawingml/2006/main">
                  <a:graphicData uri="http://schemas.microsoft.com/office/word/2010/wordprocessingShape">
                    <wps:wsp>
                      <wps:cNvSpPr txBox="1"/>
                      <wps:spPr>
                        <a:xfrm>
                          <a:off x="0" y="0"/>
                          <a:ext cx="1924050" cy="12096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4B9C288" w14:textId="77777777" w:rsidR="00F511F4" w:rsidRDefault="00F511F4" w:rsidP="00F511F4">
                            <w:pPr>
                              <w:spacing w:after="0" w:line="240" w:lineRule="auto"/>
                            </w:pPr>
                            <w:r>
                              <w:t>Patients excluded for missing data for:</w:t>
                            </w:r>
                          </w:p>
                          <w:p w14:paraId="2568C0F0" w14:textId="77777777" w:rsidR="00F511F4" w:rsidRDefault="00F511F4" w:rsidP="00F511F4">
                            <w:pPr>
                              <w:pStyle w:val="ListParagraph"/>
                              <w:numPr>
                                <w:ilvl w:val="0"/>
                                <w:numId w:val="2"/>
                              </w:numPr>
                              <w:spacing w:after="0" w:line="240" w:lineRule="auto"/>
                            </w:pPr>
                            <w:r>
                              <w:t>Age (n=16,874)</w:t>
                            </w:r>
                          </w:p>
                          <w:p w14:paraId="3EBE6F62" w14:textId="77777777" w:rsidR="00F511F4" w:rsidRDefault="00F511F4" w:rsidP="00F511F4">
                            <w:pPr>
                              <w:pStyle w:val="ListParagraph"/>
                              <w:numPr>
                                <w:ilvl w:val="0"/>
                                <w:numId w:val="2"/>
                              </w:numPr>
                              <w:spacing w:after="0" w:line="240" w:lineRule="auto"/>
                            </w:pPr>
                            <w:r>
                              <w:t>Sex (n=1,216)</w:t>
                            </w:r>
                          </w:p>
                          <w:p w14:paraId="2AC3E549" w14:textId="77777777" w:rsidR="00F511F4" w:rsidRDefault="00F511F4" w:rsidP="00F511F4">
                            <w:pPr>
                              <w:pStyle w:val="ListParagraph"/>
                              <w:numPr>
                                <w:ilvl w:val="0"/>
                                <w:numId w:val="2"/>
                              </w:numPr>
                              <w:spacing w:after="0" w:line="240" w:lineRule="auto"/>
                            </w:pPr>
                            <w:r>
                              <w:t>In-hospital death (n=5,545)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F49C14" id="Text Box 6" o:spid="_x0000_s1027" type="#_x0000_t202" style="position:absolute;margin-left:256.5pt;margin-top:59.05pt;width:151.5pt;height:9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" fillcolor="white [3201]" strokeweight=".5pt">
                <v:textbox>
                  <w:txbxContent>
                    <w:p w14:paraId="44B9C288" w14:textId="77777777" w:rsidR="00F511F4" w:rsidRDefault="00F511F4" w:rsidP="00F511F4">
                      <w:pPr>
                        <w:spacing w:after="0" w:line="240" w:lineRule="auto"/>
                      </w:pPr>
                      <w:r>
                        <w:t>Patients excluded for missing data for:</w:t>
                      </w:r>
                    </w:p>
                    <w:p w14:paraId="2568C0F0" w14:textId="77777777" w:rsidR="00F511F4" w:rsidRDefault="00F511F4" w:rsidP="00F511F4">
                      <w:pPr>
                        <w:pStyle w:val="ListParagraph"/>
                        <w:numPr>
                          <w:ilvl w:val="0"/>
                          <w:numId w:val="2"/>
                        </w:numPr>
                        <w:spacing w:after="0" w:line="240" w:lineRule="auto"/>
                      </w:pPr>
                      <w:r>
                        <w:t>Age (n=16,874)</w:t>
                      </w:r>
                    </w:p>
                    <w:p w14:paraId="3EBE6F62" w14:textId="77777777" w:rsidR="00F511F4" w:rsidRDefault="00F511F4" w:rsidP="00F511F4">
                      <w:pPr>
                        <w:pStyle w:val="ListParagraph"/>
                        <w:numPr>
                          <w:ilvl w:val="0"/>
                          <w:numId w:val="2"/>
                        </w:numPr>
                        <w:spacing w:after="0" w:line="240" w:lineRule="auto"/>
                      </w:pPr>
                      <w:r>
                        <w:t>Sex (n=1,216)</w:t>
                      </w:r>
                    </w:p>
                    <w:p w14:paraId="2AC3E549" w14:textId="77777777" w:rsidR="00F511F4" w:rsidRDefault="00F511F4" w:rsidP="00F511F4">
                      <w:pPr>
                        <w:pStyle w:val="ListParagraph"/>
                        <w:numPr>
                          <w:ilvl w:val="0"/>
                          <w:numId w:val="2"/>
                        </w:numPr>
                        <w:spacing w:after="0" w:line="240" w:lineRule="auto"/>
                      </w:pPr>
                      <w:r>
                        <w:t>In-hospital death (n=5,545)</w:t>
                      </w:r>
                    </w:p>
                  </w:txbxContent>
                </v:textbox>
              </v:shape>
            </w:pict>
          </mc:Fallback>
        </mc:AlternateContent>
      </w:r>
      <w:r w:rsidRPr="00DC5B04">
        <w:rPr>
          <w:b/>
          <w:noProof/>
          <w:lang w:eastAsia="en-GB"/>
        </w:rPr>
        <mc:AlternateContent>
          <mc:Choice Requires="wps">
            <w:drawing>
              <wp:anchor distT="0" distB="0" distL="114300" distR="114300" simplePos="0" relativeHeight="251659264" behindDoc="0" locked="0" layoutInCell="1" allowOverlap="1" wp14:anchorId="32DD6283" wp14:editId="721915A7">
                <wp:simplePos x="0" y="0"/>
                <wp:positionH relativeFrom="column">
                  <wp:posOffset>422910</wp:posOffset>
                </wp:positionH>
                <wp:positionV relativeFrom="paragraph">
                  <wp:posOffset>34925</wp:posOffset>
                </wp:positionV>
                <wp:extent cx="2400300" cy="890270"/>
                <wp:effectExtent l="0" t="0" r="19050" b="24130"/>
                <wp:wrapNone/>
                <wp:docPr id="7" name="Text Box 7"/>
                <wp:cNvGraphicFramePr/>
                <a:graphic xmlns:a="http://schemas.openxmlformats.org/drawingml/2006/main">
                  <a:graphicData uri="http://schemas.microsoft.com/office/word/2010/wordprocessingShape">
                    <wps:wsp>
                      <wps:cNvSpPr txBox="1"/>
                      <wps:spPr>
                        <a:xfrm>
                          <a:off x="0" y="0"/>
                          <a:ext cx="2400300" cy="8902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51FDDB3" w14:textId="77777777" w:rsidR="00F511F4" w:rsidRDefault="00F511F4" w:rsidP="00F511F4">
                            <w:r>
                              <w:t>Patients in the National Inpatient Sample with heart failure between 2004 and 2014 (n=11,650,035)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2DD6283" id="Text Box 7" o:spid="_x0000_s1028" type="#_x0000_t202" style="position:absolute;margin-left:33.3pt;margin-top:2.75pt;width:189pt;height:70.1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" fillcolor="white [3201]" strokeweight=".5pt">
                <v:textbox>
                  <w:txbxContent>
                    <w:p w14:paraId="051FDDB3" w14:textId="77777777" w:rsidR="00F511F4" w:rsidRDefault="00F511F4" w:rsidP="00F511F4">
                      <w:r>
                        <w:t>Patients in the National Inpatient Sample with heart failure between 2004 and 2014 (n=11,650,035)</w:t>
                      </w:r>
                    </w:p>
                  </w:txbxContent>
                </v:textbox>
              </v:shape>
            </w:pict>
          </mc:Fallback>
        </mc:AlternateContent>
      </w:r>
      <w:r w:rsidRPr="00DC5B04">
        <w:rPr>
          <w:b/>
          <w:lang w:val="en-US"/>
        </w:rPr>
        <w:br w:type="page"/>
      </w:r>
    </w:p>
    <w:p w14:paraId="37C1D69A" w14:textId="77777777" w:rsidR="00F511F4" w:rsidRPr="00F511F4" w:rsidRDefault="00F511F4" w:rsidP="00F511F4">
      <w:pPr>
        <w:spacing w:after="0" w:line="240" w:lineRule="auto"/>
        <w:rPr>
          <w:rFonts w:ascii="Times New Roman" w:hAnsi="Times New Roman" w:cs="Times New Roman"/>
          <w:b/>
          <w:sz w:val="24"/>
          <w:szCs w:val="24"/>
          <w:lang w:val="en-US"/>
        </w:rPr>
      </w:pPr>
      <w:r w:rsidRPr="00F511F4">
        <w:rPr>
          <w:rFonts w:ascii="Times New Roman" w:hAnsi="Times New Roman" w:cs="Times New Roman"/>
          <w:b/>
          <w:sz w:val="24"/>
          <w:szCs w:val="24"/>
          <w:lang w:val="en-US"/>
        </w:rPr>
        <w:lastRenderedPageBreak/>
        <w:t>Supplementary Figure 2: Trends in frailty by age, sex and race</w:t>
      </w:r>
    </w:p>
    <w:p w14:paraId="2252ABA3" w14:textId="77777777" w:rsidR="00F511F4" w:rsidRDefault="00F511F4" w:rsidP="00F511F4">
      <w:pPr>
        <w:spacing w:after="0" w:line="240" w:lineRule="auto"/>
        <w:rPr>
          <w:b/>
          <w:lang w:val="en-US"/>
        </w:rPr>
      </w:pPr>
      <w:r>
        <w:rPr>
          <w:b/>
          <w:noProof/>
          <w:lang w:eastAsia="en-GB"/>
        </w:rPr>
        <w:drawing>
          <wp:inline distT="0" distB="0" distL="0" distR="0" wp14:anchorId="47608E3F" wp14:editId="5E3DD3FD">
            <wp:extent cx="5191125" cy="369570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91125" cy="3695700"/>
                    </a:xfrm>
                    <a:prstGeom prst="rect">
                      <a:avLst/>
                    </a:prstGeom>
                    <a:noFill/>
                    <a:ln>
                      <a:noFill/>
                    </a:ln>
                  </pic:spPr>
                </pic:pic>
              </a:graphicData>
            </a:graphic>
          </wp:inline>
        </w:drawing>
      </w:r>
    </w:p>
    <w:p w14:paraId="588F4FF3" w14:textId="77777777" w:rsidR="00F511F4" w:rsidRDefault="00F511F4" w:rsidP="00F511F4">
      <w:pPr>
        <w:spacing w:after="0" w:line="240" w:lineRule="auto"/>
        <w:rPr>
          <w:b/>
          <w:lang w:val="en-US"/>
        </w:rPr>
      </w:pPr>
      <w:r>
        <w:rPr>
          <w:b/>
          <w:noProof/>
          <w:lang w:eastAsia="en-GB"/>
        </w:rPr>
        <w:drawing>
          <wp:inline distT="0" distB="0" distL="0" distR="0" wp14:anchorId="04FA673B" wp14:editId="1556FF81">
            <wp:extent cx="5200650" cy="370078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00650" cy="3700780"/>
                    </a:xfrm>
                    <a:prstGeom prst="rect">
                      <a:avLst/>
                    </a:prstGeom>
                    <a:noFill/>
                    <a:ln>
                      <a:noFill/>
                    </a:ln>
                  </pic:spPr>
                </pic:pic>
              </a:graphicData>
            </a:graphic>
          </wp:inline>
        </w:drawing>
      </w:r>
    </w:p>
    <w:p w14:paraId="0CFAFEEA" w14:textId="77777777" w:rsidR="00F511F4" w:rsidRDefault="00F511F4" w:rsidP="00F511F4">
      <w:pPr>
        <w:spacing w:after="0" w:line="240" w:lineRule="auto"/>
        <w:rPr>
          <w:b/>
          <w:lang w:val="en-US"/>
        </w:rPr>
      </w:pPr>
      <w:r>
        <w:rPr>
          <w:b/>
          <w:noProof/>
          <w:lang w:eastAsia="en-GB"/>
        </w:rPr>
        <w:lastRenderedPageBreak/>
        <w:drawing>
          <wp:inline distT="0" distB="0" distL="0" distR="0" wp14:anchorId="4594ACC3" wp14:editId="73B497D1">
            <wp:extent cx="5224780" cy="370522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24780" cy="3705225"/>
                    </a:xfrm>
                    <a:prstGeom prst="rect">
                      <a:avLst/>
                    </a:prstGeom>
                    <a:noFill/>
                    <a:ln>
                      <a:noFill/>
                    </a:ln>
                  </pic:spPr>
                </pic:pic>
              </a:graphicData>
            </a:graphic>
          </wp:inline>
        </w:drawing>
      </w:r>
    </w:p>
    <w:p w14:paraId="1411FE20" w14:textId="77777777" w:rsidR="00F511F4" w:rsidRDefault="00F511F4" w:rsidP="00F511F4">
      <w:pPr>
        <w:spacing w:after="0" w:line="240" w:lineRule="auto"/>
        <w:rPr>
          <w:b/>
          <w:lang w:val="en-US"/>
        </w:rPr>
        <w:sectPr w:rsidR="00F511F4" w:rsidSect="006669C7">
          <w:endnotePr>
            <w:numFmt w:val="decimal"/>
          </w:endnotePr>
          <w:pgSz w:w="11906" w:h="16838"/>
          <w:pgMar w:top="1440" w:right="1440" w:bottom="1440" w:left="1440" w:header="708" w:footer="708" w:gutter="0"/>
          <w:cols w:space="708"/>
          <w:docGrid w:linePitch="360"/>
        </w:sectPr>
      </w:pPr>
    </w:p>
    <w:p w14:paraId="114EBE10" w14:textId="77777777" w:rsidR="00F511F4" w:rsidRPr="00F511F4" w:rsidRDefault="00F511F4" w:rsidP="00F511F4">
      <w:pPr>
        <w:spacing w:after="0" w:line="240" w:lineRule="auto"/>
        <w:rPr>
          <w:rFonts w:ascii="Times New Roman" w:hAnsi="Times New Roman" w:cs="Times New Roman"/>
          <w:b/>
          <w:sz w:val="24"/>
          <w:szCs w:val="24"/>
          <w:lang w:val="en-US"/>
        </w:rPr>
      </w:pPr>
      <w:r w:rsidRPr="00F511F4">
        <w:rPr>
          <w:rFonts w:ascii="Times New Roman" w:hAnsi="Times New Roman" w:cs="Times New Roman"/>
          <w:b/>
          <w:sz w:val="24"/>
          <w:szCs w:val="24"/>
          <w:lang w:val="en-US"/>
        </w:rPr>
        <w:lastRenderedPageBreak/>
        <w:t>Supplementary Table 1: Frailty score ICD-10 and ICD-9 codes</w:t>
      </w:r>
    </w:p>
    <w:tbl>
      <w:tblPr>
        <w:tblW w:w="12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2835"/>
        <w:gridCol w:w="865"/>
        <w:gridCol w:w="2253"/>
        <w:gridCol w:w="5954"/>
      </w:tblGrid>
      <w:tr w:rsidR="00F511F4" w:rsidRPr="00F05560" w14:paraId="498CD944" w14:textId="77777777" w:rsidTr="001F53D9">
        <w:trPr>
          <w:trHeight w:val="285"/>
        </w:trPr>
        <w:tc>
          <w:tcPr>
            <w:tcW w:w="988" w:type="dxa"/>
            <w:shd w:val="clear" w:color="auto" w:fill="auto"/>
            <w:noWrap/>
            <w:hideMark/>
          </w:tcPr>
          <w:p w14:paraId="14DE1447"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ICD-10</w:t>
            </w:r>
          </w:p>
        </w:tc>
        <w:tc>
          <w:tcPr>
            <w:tcW w:w="2835" w:type="dxa"/>
            <w:shd w:val="clear" w:color="auto" w:fill="auto"/>
            <w:noWrap/>
            <w:hideMark/>
          </w:tcPr>
          <w:p w14:paraId="26BC9E91"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ICD Description</w:t>
            </w:r>
          </w:p>
        </w:tc>
        <w:tc>
          <w:tcPr>
            <w:tcW w:w="865" w:type="dxa"/>
            <w:shd w:val="clear" w:color="auto" w:fill="auto"/>
            <w:noWrap/>
            <w:hideMark/>
          </w:tcPr>
          <w:p w14:paraId="2D1BF20D"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Weight</w:t>
            </w:r>
          </w:p>
        </w:tc>
        <w:tc>
          <w:tcPr>
            <w:tcW w:w="2253" w:type="dxa"/>
            <w:shd w:val="clear" w:color="auto" w:fill="auto"/>
            <w:noWrap/>
            <w:hideMark/>
          </w:tcPr>
          <w:p w14:paraId="24219A3E"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ICD-9</w:t>
            </w:r>
          </w:p>
        </w:tc>
        <w:tc>
          <w:tcPr>
            <w:tcW w:w="5954" w:type="dxa"/>
            <w:shd w:val="clear" w:color="auto" w:fill="auto"/>
            <w:noWrap/>
            <w:hideMark/>
          </w:tcPr>
          <w:p w14:paraId="3826F4DF"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ICD-9 Description</w:t>
            </w:r>
          </w:p>
        </w:tc>
      </w:tr>
      <w:tr w:rsidR="00F511F4" w:rsidRPr="00F05560" w14:paraId="20B6366D" w14:textId="77777777" w:rsidTr="001F53D9">
        <w:trPr>
          <w:trHeight w:val="285"/>
        </w:trPr>
        <w:tc>
          <w:tcPr>
            <w:tcW w:w="988" w:type="dxa"/>
            <w:shd w:val="clear" w:color="auto" w:fill="auto"/>
            <w:noWrap/>
            <w:hideMark/>
          </w:tcPr>
          <w:p w14:paraId="3B77DFC4"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F00</w:t>
            </w:r>
          </w:p>
        </w:tc>
        <w:tc>
          <w:tcPr>
            <w:tcW w:w="2835" w:type="dxa"/>
            <w:shd w:val="clear" w:color="auto" w:fill="auto"/>
            <w:noWrap/>
            <w:hideMark/>
          </w:tcPr>
          <w:p w14:paraId="00D048C9"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Dementia in Alzheimer's disease</w:t>
            </w:r>
          </w:p>
        </w:tc>
        <w:tc>
          <w:tcPr>
            <w:tcW w:w="865" w:type="dxa"/>
            <w:shd w:val="clear" w:color="auto" w:fill="auto"/>
            <w:noWrap/>
            <w:hideMark/>
          </w:tcPr>
          <w:p w14:paraId="5184EDAF"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7.1</w:t>
            </w:r>
          </w:p>
        </w:tc>
        <w:tc>
          <w:tcPr>
            <w:tcW w:w="2253" w:type="dxa"/>
            <w:shd w:val="clear" w:color="auto" w:fill="auto"/>
            <w:noWrap/>
            <w:hideMark/>
          </w:tcPr>
          <w:p w14:paraId="739F21EC" w14:textId="77777777" w:rsidR="00F511F4" w:rsidRDefault="00F511F4" w:rsidP="001F53D9">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331.0 AND </w:t>
            </w:r>
            <w:r w:rsidRPr="00F05560">
              <w:rPr>
                <w:rFonts w:ascii="Calibri" w:eastAsia="Times New Roman" w:hAnsi="Calibri" w:cs="Calibri"/>
                <w:color w:val="000000"/>
                <w:lang w:eastAsia="en-GB"/>
              </w:rPr>
              <w:t>290*</w:t>
            </w:r>
            <w:r>
              <w:rPr>
                <w:rFonts w:ascii="Calibri" w:eastAsia="Times New Roman" w:hAnsi="Calibri" w:cs="Calibri"/>
                <w:color w:val="000000"/>
                <w:lang w:eastAsia="en-GB"/>
              </w:rPr>
              <w:t xml:space="preserve"> OR</w:t>
            </w:r>
          </w:p>
          <w:p w14:paraId="3AE54DC0" w14:textId="77777777" w:rsidR="00F511F4" w:rsidRPr="00F05560" w:rsidRDefault="00F511F4" w:rsidP="001F53D9">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331.0 AND 294.2</w:t>
            </w:r>
          </w:p>
        </w:tc>
        <w:tc>
          <w:tcPr>
            <w:tcW w:w="5954" w:type="dxa"/>
            <w:shd w:val="clear" w:color="auto" w:fill="auto"/>
            <w:noWrap/>
            <w:hideMark/>
          </w:tcPr>
          <w:p w14:paraId="09E491B3" w14:textId="77777777" w:rsidR="00F511F4" w:rsidRPr="00F05560" w:rsidRDefault="00F511F4" w:rsidP="001F53D9">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Alzheimer’s disease and dementia and dementia unspecified</w:t>
            </w:r>
          </w:p>
        </w:tc>
      </w:tr>
      <w:tr w:rsidR="00F511F4" w:rsidRPr="00F05560" w14:paraId="35A525F1" w14:textId="77777777" w:rsidTr="001F53D9">
        <w:trPr>
          <w:trHeight w:val="285"/>
        </w:trPr>
        <w:tc>
          <w:tcPr>
            <w:tcW w:w="988" w:type="dxa"/>
            <w:shd w:val="clear" w:color="auto" w:fill="auto"/>
            <w:noWrap/>
            <w:hideMark/>
          </w:tcPr>
          <w:p w14:paraId="0952C87F"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G81</w:t>
            </w:r>
          </w:p>
        </w:tc>
        <w:tc>
          <w:tcPr>
            <w:tcW w:w="2835" w:type="dxa"/>
            <w:shd w:val="clear" w:color="auto" w:fill="auto"/>
            <w:noWrap/>
            <w:hideMark/>
          </w:tcPr>
          <w:p w14:paraId="47E25BE5"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Hemiplegia</w:t>
            </w:r>
          </w:p>
        </w:tc>
        <w:tc>
          <w:tcPr>
            <w:tcW w:w="865" w:type="dxa"/>
            <w:shd w:val="clear" w:color="auto" w:fill="auto"/>
            <w:noWrap/>
            <w:hideMark/>
          </w:tcPr>
          <w:p w14:paraId="51EC3D07"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4.4</w:t>
            </w:r>
          </w:p>
        </w:tc>
        <w:tc>
          <w:tcPr>
            <w:tcW w:w="2253" w:type="dxa"/>
            <w:shd w:val="clear" w:color="auto" w:fill="auto"/>
            <w:noWrap/>
            <w:hideMark/>
          </w:tcPr>
          <w:p w14:paraId="6EEE1167"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342*</w:t>
            </w:r>
          </w:p>
        </w:tc>
        <w:tc>
          <w:tcPr>
            <w:tcW w:w="5954" w:type="dxa"/>
            <w:shd w:val="clear" w:color="auto" w:fill="auto"/>
            <w:noWrap/>
            <w:hideMark/>
          </w:tcPr>
          <w:p w14:paraId="3E1E90C8"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Hemiplegia and hemiparesis</w:t>
            </w:r>
          </w:p>
        </w:tc>
      </w:tr>
      <w:tr w:rsidR="00F511F4" w:rsidRPr="00F05560" w14:paraId="52B01DC1" w14:textId="77777777" w:rsidTr="001F53D9">
        <w:trPr>
          <w:trHeight w:val="285"/>
        </w:trPr>
        <w:tc>
          <w:tcPr>
            <w:tcW w:w="988" w:type="dxa"/>
            <w:shd w:val="clear" w:color="auto" w:fill="auto"/>
            <w:noWrap/>
            <w:hideMark/>
          </w:tcPr>
          <w:p w14:paraId="1BAD6DDD"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G30</w:t>
            </w:r>
          </w:p>
        </w:tc>
        <w:tc>
          <w:tcPr>
            <w:tcW w:w="2835" w:type="dxa"/>
            <w:shd w:val="clear" w:color="auto" w:fill="auto"/>
            <w:noWrap/>
            <w:hideMark/>
          </w:tcPr>
          <w:p w14:paraId="675C6C8F"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Alzheimer's disease</w:t>
            </w:r>
          </w:p>
        </w:tc>
        <w:tc>
          <w:tcPr>
            <w:tcW w:w="865" w:type="dxa"/>
            <w:shd w:val="clear" w:color="auto" w:fill="auto"/>
            <w:noWrap/>
            <w:hideMark/>
          </w:tcPr>
          <w:p w14:paraId="5FBD8968"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4</w:t>
            </w:r>
          </w:p>
        </w:tc>
        <w:tc>
          <w:tcPr>
            <w:tcW w:w="2253" w:type="dxa"/>
            <w:shd w:val="clear" w:color="auto" w:fill="auto"/>
            <w:noWrap/>
            <w:hideMark/>
          </w:tcPr>
          <w:p w14:paraId="054D445C"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331.0</w:t>
            </w:r>
          </w:p>
        </w:tc>
        <w:tc>
          <w:tcPr>
            <w:tcW w:w="5954" w:type="dxa"/>
            <w:shd w:val="clear" w:color="auto" w:fill="auto"/>
            <w:noWrap/>
            <w:hideMark/>
          </w:tcPr>
          <w:p w14:paraId="00442E48"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Alzheimer's disease</w:t>
            </w:r>
          </w:p>
        </w:tc>
      </w:tr>
      <w:tr w:rsidR="00F511F4" w:rsidRPr="00F05560" w14:paraId="691C1850" w14:textId="77777777" w:rsidTr="001F53D9">
        <w:trPr>
          <w:trHeight w:val="285"/>
        </w:trPr>
        <w:tc>
          <w:tcPr>
            <w:tcW w:w="988" w:type="dxa"/>
            <w:shd w:val="clear" w:color="auto" w:fill="auto"/>
            <w:noWrap/>
            <w:hideMark/>
          </w:tcPr>
          <w:p w14:paraId="4972454A"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I69</w:t>
            </w:r>
          </w:p>
        </w:tc>
        <w:tc>
          <w:tcPr>
            <w:tcW w:w="2835" w:type="dxa"/>
            <w:shd w:val="clear" w:color="auto" w:fill="auto"/>
            <w:noWrap/>
            <w:hideMark/>
          </w:tcPr>
          <w:p w14:paraId="3FD8F762"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Sequelae of cerebrovascular disease</w:t>
            </w:r>
          </w:p>
        </w:tc>
        <w:tc>
          <w:tcPr>
            <w:tcW w:w="865" w:type="dxa"/>
            <w:shd w:val="clear" w:color="auto" w:fill="auto"/>
            <w:noWrap/>
            <w:hideMark/>
          </w:tcPr>
          <w:p w14:paraId="019739BB"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3.7</w:t>
            </w:r>
          </w:p>
        </w:tc>
        <w:tc>
          <w:tcPr>
            <w:tcW w:w="2253" w:type="dxa"/>
            <w:shd w:val="clear" w:color="auto" w:fill="auto"/>
            <w:noWrap/>
            <w:hideMark/>
          </w:tcPr>
          <w:p w14:paraId="218E6738"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438.9</w:t>
            </w:r>
          </w:p>
        </w:tc>
        <w:tc>
          <w:tcPr>
            <w:tcW w:w="5954" w:type="dxa"/>
            <w:shd w:val="clear" w:color="auto" w:fill="auto"/>
            <w:noWrap/>
            <w:hideMark/>
          </w:tcPr>
          <w:p w14:paraId="6F1A903B"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Late effects of cerebrovascular disease</w:t>
            </w:r>
          </w:p>
        </w:tc>
      </w:tr>
      <w:tr w:rsidR="00F511F4" w:rsidRPr="00F05560" w14:paraId="6601FBAD" w14:textId="77777777" w:rsidTr="001F53D9">
        <w:trPr>
          <w:trHeight w:val="285"/>
        </w:trPr>
        <w:tc>
          <w:tcPr>
            <w:tcW w:w="988" w:type="dxa"/>
            <w:shd w:val="clear" w:color="auto" w:fill="auto"/>
            <w:noWrap/>
            <w:hideMark/>
          </w:tcPr>
          <w:p w14:paraId="75DD9471"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R29</w:t>
            </w:r>
          </w:p>
        </w:tc>
        <w:tc>
          <w:tcPr>
            <w:tcW w:w="2835" w:type="dxa"/>
            <w:shd w:val="clear" w:color="auto" w:fill="auto"/>
            <w:noWrap/>
            <w:hideMark/>
          </w:tcPr>
          <w:p w14:paraId="5094BC05"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Other symptoms and signs involving the nervous and musculoskeletal systems (R29.6 Tendency to fall)</w:t>
            </w:r>
          </w:p>
        </w:tc>
        <w:tc>
          <w:tcPr>
            <w:tcW w:w="865" w:type="dxa"/>
            <w:shd w:val="clear" w:color="auto" w:fill="auto"/>
            <w:noWrap/>
            <w:hideMark/>
          </w:tcPr>
          <w:p w14:paraId="74FDE727"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3.6</w:t>
            </w:r>
          </w:p>
        </w:tc>
        <w:tc>
          <w:tcPr>
            <w:tcW w:w="2253" w:type="dxa"/>
            <w:shd w:val="clear" w:color="auto" w:fill="auto"/>
            <w:noWrap/>
            <w:hideMark/>
          </w:tcPr>
          <w:p w14:paraId="4B99AD1E"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781.9</w:t>
            </w:r>
          </w:p>
        </w:tc>
        <w:tc>
          <w:tcPr>
            <w:tcW w:w="5954" w:type="dxa"/>
            <w:shd w:val="clear" w:color="auto" w:fill="auto"/>
            <w:noWrap/>
            <w:hideMark/>
          </w:tcPr>
          <w:p w14:paraId="61932BBE"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Other symptoms and signs involving the nervous and musculoskeletal systems (R29.6 Tendency to fall)</w:t>
            </w:r>
          </w:p>
        </w:tc>
      </w:tr>
      <w:tr w:rsidR="00F511F4" w:rsidRPr="00F05560" w14:paraId="75F68B22" w14:textId="77777777" w:rsidTr="001F53D9">
        <w:trPr>
          <w:trHeight w:val="285"/>
        </w:trPr>
        <w:tc>
          <w:tcPr>
            <w:tcW w:w="988" w:type="dxa"/>
            <w:shd w:val="clear" w:color="auto" w:fill="auto"/>
            <w:noWrap/>
            <w:hideMark/>
          </w:tcPr>
          <w:p w14:paraId="75210C03"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N39</w:t>
            </w:r>
          </w:p>
        </w:tc>
        <w:tc>
          <w:tcPr>
            <w:tcW w:w="2835" w:type="dxa"/>
            <w:shd w:val="clear" w:color="auto" w:fill="auto"/>
            <w:noWrap/>
            <w:hideMark/>
          </w:tcPr>
          <w:p w14:paraId="0FD6CC13"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Other disorders of urinary system (including urinary tract infection and urinary incontinence)</w:t>
            </w:r>
          </w:p>
        </w:tc>
        <w:tc>
          <w:tcPr>
            <w:tcW w:w="865" w:type="dxa"/>
            <w:shd w:val="clear" w:color="auto" w:fill="auto"/>
            <w:noWrap/>
            <w:hideMark/>
          </w:tcPr>
          <w:p w14:paraId="3E5FA77B"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3.2</w:t>
            </w:r>
          </w:p>
        </w:tc>
        <w:tc>
          <w:tcPr>
            <w:tcW w:w="2253" w:type="dxa"/>
            <w:shd w:val="clear" w:color="auto" w:fill="auto"/>
            <w:noWrap/>
            <w:hideMark/>
          </w:tcPr>
          <w:p w14:paraId="76A8E476" w14:textId="77777777" w:rsidR="00F511F4" w:rsidRPr="00F05560" w:rsidRDefault="00F511F4" w:rsidP="001F53D9">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599.1* 599.2* 599.3* 599.4* 599.5* 599.6* 599.8* 599.9*</w:t>
            </w:r>
          </w:p>
        </w:tc>
        <w:tc>
          <w:tcPr>
            <w:tcW w:w="5954" w:type="dxa"/>
            <w:shd w:val="clear" w:color="auto" w:fill="auto"/>
            <w:noWrap/>
            <w:hideMark/>
          </w:tcPr>
          <w:p w14:paraId="48516759"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Other disorders of urethra and urinary tract</w:t>
            </w:r>
          </w:p>
        </w:tc>
      </w:tr>
      <w:tr w:rsidR="00F511F4" w:rsidRPr="00F05560" w14:paraId="360C2DBC" w14:textId="77777777" w:rsidTr="001F53D9">
        <w:trPr>
          <w:trHeight w:val="285"/>
        </w:trPr>
        <w:tc>
          <w:tcPr>
            <w:tcW w:w="988" w:type="dxa"/>
            <w:shd w:val="clear" w:color="auto" w:fill="auto"/>
            <w:noWrap/>
            <w:hideMark/>
          </w:tcPr>
          <w:p w14:paraId="0E449456"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F05</w:t>
            </w:r>
          </w:p>
        </w:tc>
        <w:tc>
          <w:tcPr>
            <w:tcW w:w="2835" w:type="dxa"/>
            <w:shd w:val="clear" w:color="auto" w:fill="auto"/>
            <w:noWrap/>
            <w:hideMark/>
          </w:tcPr>
          <w:p w14:paraId="77FB59D1"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Delirium, not induced by alcohol and other psychoactive substances</w:t>
            </w:r>
          </w:p>
        </w:tc>
        <w:tc>
          <w:tcPr>
            <w:tcW w:w="865" w:type="dxa"/>
            <w:shd w:val="clear" w:color="auto" w:fill="auto"/>
            <w:noWrap/>
            <w:hideMark/>
          </w:tcPr>
          <w:p w14:paraId="00B19812"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3.2</w:t>
            </w:r>
          </w:p>
        </w:tc>
        <w:tc>
          <w:tcPr>
            <w:tcW w:w="2253" w:type="dxa"/>
            <w:shd w:val="clear" w:color="auto" w:fill="auto"/>
            <w:noWrap/>
            <w:hideMark/>
          </w:tcPr>
          <w:p w14:paraId="3823A8CE" w14:textId="77777777" w:rsidR="00F511F4" w:rsidRPr="00F05560" w:rsidRDefault="00F511F4" w:rsidP="001F53D9">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290.11 290.3 290.41 293.0 293.1 293.89</w:t>
            </w:r>
          </w:p>
        </w:tc>
        <w:tc>
          <w:tcPr>
            <w:tcW w:w="5954" w:type="dxa"/>
            <w:shd w:val="clear" w:color="auto" w:fill="auto"/>
            <w:noWrap/>
            <w:hideMark/>
          </w:tcPr>
          <w:p w14:paraId="4B0FBE81" w14:textId="77777777" w:rsidR="00F511F4" w:rsidRPr="00F05560" w:rsidRDefault="00F511F4" w:rsidP="001F53D9">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Presenile dementia with delirium, senile dementia with delirium, vascular dementia with delirium, delirium not classified elsewhere, subacute delirium, other transient mental disorder</w:t>
            </w:r>
          </w:p>
        </w:tc>
      </w:tr>
      <w:tr w:rsidR="00F511F4" w:rsidRPr="00F05560" w14:paraId="78D09F75" w14:textId="77777777" w:rsidTr="001F53D9">
        <w:trPr>
          <w:trHeight w:val="285"/>
        </w:trPr>
        <w:tc>
          <w:tcPr>
            <w:tcW w:w="988" w:type="dxa"/>
            <w:shd w:val="clear" w:color="auto" w:fill="auto"/>
            <w:noWrap/>
            <w:hideMark/>
          </w:tcPr>
          <w:p w14:paraId="0C435B18"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W19</w:t>
            </w:r>
          </w:p>
        </w:tc>
        <w:tc>
          <w:tcPr>
            <w:tcW w:w="2835" w:type="dxa"/>
            <w:shd w:val="clear" w:color="auto" w:fill="auto"/>
            <w:noWrap/>
            <w:hideMark/>
          </w:tcPr>
          <w:p w14:paraId="0F0A5A60"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Unspecified fall</w:t>
            </w:r>
          </w:p>
        </w:tc>
        <w:tc>
          <w:tcPr>
            <w:tcW w:w="865" w:type="dxa"/>
            <w:shd w:val="clear" w:color="auto" w:fill="auto"/>
            <w:noWrap/>
            <w:hideMark/>
          </w:tcPr>
          <w:p w14:paraId="1B39C043"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3.2</w:t>
            </w:r>
          </w:p>
        </w:tc>
        <w:tc>
          <w:tcPr>
            <w:tcW w:w="2253" w:type="dxa"/>
            <w:shd w:val="clear" w:color="auto" w:fill="auto"/>
            <w:noWrap/>
            <w:hideMark/>
          </w:tcPr>
          <w:p w14:paraId="11918456"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E888*</w:t>
            </w:r>
          </w:p>
        </w:tc>
        <w:tc>
          <w:tcPr>
            <w:tcW w:w="5954" w:type="dxa"/>
            <w:shd w:val="clear" w:color="auto" w:fill="auto"/>
            <w:noWrap/>
            <w:hideMark/>
          </w:tcPr>
          <w:p w14:paraId="168EA159"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Fall striking sharp object, fall striking object NEC, fall NEC, fall NOS</w:t>
            </w:r>
          </w:p>
        </w:tc>
      </w:tr>
      <w:tr w:rsidR="00F511F4" w:rsidRPr="00F05560" w14:paraId="0921E6BE" w14:textId="77777777" w:rsidTr="001F53D9">
        <w:trPr>
          <w:trHeight w:val="285"/>
        </w:trPr>
        <w:tc>
          <w:tcPr>
            <w:tcW w:w="988" w:type="dxa"/>
            <w:shd w:val="clear" w:color="auto" w:fill="auto"/>
            <w:noWrap/>
            <w:hideMark/>
          </w:tcPr>
          <w:p w14:paraId="76823A52"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S00</w:t>
            </w:r>
          </w:p>
        </w:tc>
        <w:tc>
          <w:tcPr>
            <w:tcW w:w="2835" w:type="dxa"/>
            <w:shd w:val="clear" w:color="auto" w:fill="auto"/>
            <w:noWrap/>
            <w:hideMark/>
          </w:tcPr>
          <w:p w14:paraId="7D044E80"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Superficial injury of head</w:t>
            </w:r>
          </w:p>
        </w:tc>
        <w:tc>
          <w:tcPr>
            <w:tcW w:w="865" w:type="dxa"/>
            <w:shd w:val="clear" w:color="auto" w:fill="auto"/>
            <w:noWrap/>
            <w:hideMark/>
          </w:tcPr>
          <w:p w14:paraId="2944884D"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3.2</w:t>
            </w:r>
          </w:p>
        </w:tc>
        <w:tc>
          <w:tcPr>
            <w:tcW w:w="2253" w:type="dxa"/>
            <w:shd w:val="clear" w:color="auto" w:fill="auto"/>
            <w:noWrap/>
            <w:hideMark/>
          </w:tcPr>
          <w:p w14:paraId="452DB8EE"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910.0 910.1 910.8 910.9</w:t>
            </w:r>
          </w:p>
        </w:tc>
        <w:tc>
          <w:tcPr>
            <w:tcW w:w="5954" w:type="dxa"/>
            <w:shd w:val="clear" w:color="auto" w:fill="auto"/>
            <w:noWrap/>
            <w:hideMark/>
          </w:tcPr>
          <w:p w14:paraId="061C5CD4"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Abrasion head, abrasion head-infected, superficial injury head NEC, superficial injury head NED-infected</w:t>
            </w:r>
          </w:p>
        </w:tc>
      </w:tr>
      <w:tr w:rsidR="00F511F4" w:rsidRPr="00F05560" w14:paraId="26F98D63" w14:textId="77777777" w:rsidTr="001F53D9">
        <w:trPr>
          <w:trHeight w:val="285"/>
        </w:trPr>
        <w:tc>
          <w:tcPr>
            <w:tcW w:w="988" w:type="dxa"/>
            <w:shd w:val="clear" w:color="auto" w:fill="auto"/>
            <w:noWrap/>
            <w:hideMark/>
          </w:tcPr>
          <w:p w14:paraId="749DC390"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R31</w:t>
            </w:r>
          </w:p>
        </w:tc>
        <w:tc>
          <w:tcPr>
            <w:tcW w:w="2835" w:type="dxa"/>
            <w:shd w:val="clear" w:color="auto" w:fill="auto"/>
            <w:noWrap/>
            <w:hideMark/>
          </w:tcPr>
          <w:p w14:paraId="63646286"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Unspecified haematuria</w:t>
            </w:r>
          </w:p>
        </w:tc>
        <w:tc>
          <w:tcPr>
            <w:tcW w:w="865" w:type="dxa"/>
            <w:shd w:val="clear" w:color="auto" w:fill="auto"/>
            <w:noWrap/>
            <w:hideMark/>
          </w:tcPr>
          <w:p w14:paraId="1D248839"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3</w:t>
            </w:r>
          </w:p>
        </w:tc>
        <w:tc>
          <w:tcPr>
            <w:tcW w:w="2253" w:type="dxa"/>
            <w:shd w:val="clear" w:color="auto" w:fill="auto"/>
            <w:noWrap/>
            <w:hideMark/>
          </w:tcPr>
          <w:p w14:paraId="1D8AA882"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599.7*</w:t>
            </w:r>
          </w:p>
        </w:tc>
        <w:tc>
          <w:tcPr>
            <w:tcW w:w="5954" w:type="dxa"/>
            <w:shd w:val="clear" w:color="auto" w:fill="auto"/>
            <w:noWrap/>
            <w:hideMark/>
          </w:tcPr>
          <w:p w14:paraId="6B6F46BC"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H</w:t>
            </w:r>
            <w:r>
              <w:rPr>
                <w:rFonts w:ascii="Calibri" w:eastAsia="Times New Roman" w:hAnsi="Calibri" w:cs="Calibri"/>
                <w:color w:val="000000"/>
                <w:lang w:eastAsia="en-GB"/>
              </w:rPr>
              <w:t>a</w:t>
            </w:r>
            <w:r w:rsidRPr="00F05560">
              <w:rPr>
                <w:rFonts w:ascii="Calibri" w:eastAsia="Times New Roman" w:hAnsi="Calibri" w:cs="Calibri"/>
                <w:color w:val="000000"/>
                <w:lang w:eastAsia="en-GB"/>
              </w:rPr>
              <w:t>ematuria</w:t>
            </w:r>
          </w:p>
        </w:tc>
      </w:tr>
      <w:tr w:rsidR="00F511F4" w:rsidRPr="00F05560" w14:paraId="690BC3B7" w14:textId="77777777" w:rsidTr="001F53D9">
        <w:trPr>
          <w:trHeight w:val="285"/>
        </w:trPr>
        <w:tc>
          <w:tcPr>
            <w:tcW w:w="988" w:type="dxa"/>
            <w:shd w:val="clear" w:color="auto" w:fill="auto"/>
            <w:noWrap/>
            <w:hideMark/>
          </w:tcPr>
          <w:p w14:paraId="4EB1E8CE"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B96</w:t>
            </w:r>
          </w:p>
        </w:tc>
        <w:tc>
          <w:tcPr>
            <w:tcW w:w="2835" w:type="dxa"/>
            <w:shd w:val="clear" w:color="auto" w:fill="auto"/>
            <w:noWrap/>
            <w:hideMark/>
          </w:tcPr>
          <w:p w14:paraId="1A3CF883"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Other bacterial agents as the cause of diseases classified to other chapters (secondary code)</w:t>
            </w:r>
          </w:p>
        </w:tc>
        <w:tc>
          <w:tcPr>
            <w:tcW w:w="865" w:type="dxa"/>
            <w:shd w:val="clear" w:color="auto" w:fill="auto"/>
            <w:noWrap/>
            <w:hideMark/>
          </w:tcPr>
          <w:p w14:paraId="30166C9E"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2.9</w:t>
            </w:r>
          </w:p>
        </w:tc>
        <w:tc>
          <w:tcPr>
            <w:tcW w:w="2253" w:type="dxa"/>
            <w:shd w:val="clear" w:color="auto" w:fill="auto"/>
            <w:noWrap/>
            <w:hideMark/>
          </w:tcPr>
          <w:p w14:paraId="6751B79F"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041*</w:t>
            </w:r>
          </w:p>
        </w:tc>
        <w:tc>
          <w:tcPr>
            <w:tcW w:w="5954" w:type="dxa"/>
            <w:shd w:val="clear" w:color="auto" w:fill="auto"/>
            <w:noWrap/>
            <w:hideMark/>
          </w:tcPr>
          <w:p w14:paraId="44FE40E1"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Bacterial infections in conditions classified elsewhere and of unspecified site</w:t>
            </w:r>
          </w:p>
        </w:tc>
      </w:tr>
      <w:tr w:rsidR="00F511F4" w:rsidRPr="00F05560" w14:paraId="6827E31F" w14:textId="77777777" w:rsidTr="001F53D9">
        <w:trPr>
          <w:trHeight w:val="285"/>
        </w:trPr>
        <w:tc>
          <w:tcPr>
            <w:tcW w:w="988" w:type="dxa"/>
            <w:shd w:val="clear" w:color="auto" w:fill="auto"/>
            <w:noWrap/>
            <w:hideMark/>
          </w:tcPr>
          <w:p w14:paraId="0360245E"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R41</w:t>
            </w:r>
          </w:p>
        </w:tc>
        <w:tc>
          <w:tcPr>
            <w:tcW w:w="2835" w:type="dxa"/>
            <w:shd w:val="clear" w:color="auto" w:fill="auto"/>
            <w:noWrap/>
            <w:hideMark/>
          </w:tcPr>
          <w:p w14:paraId="1A5FD84F"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Other symptoms and signs involving cognitive functions and awareness</w:t>
            </w:r>
          </w:p>
        </w:tc>
        <w:tc>
          <w:tcPr>
            <w:tcW w:w="865" w:type="dxa"/>
            <w:shd w:val="clear" w:color="auto" w:fill="auto"/>
            <w:noWrap/>
            <w:hideMark/>
          </w:tcPr>
          <w:p w14:paraId="69F9FDFA"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2.7</w:t>
            </w:r>
          </w:p>
        </w:tc>
        <w:tc>
          <w:tcPr>
            <w:tcW w:w="2253" w:type="dxa"/>
            <w:shd w:val="clear" w:color="auto" w:fill="auto"/>
            <w:noWrap/>
            <w:hideMark/>
          </w:tcPr>
          <w:p w14:paraId="36915143"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799.5*</w:t>
            </w:r>
          </w:p>
        </w:tc>
        <w:tc>
          <w:tcPr>
            <w:tcW w:w="5954" w:type="dxa"/>
            <w:shd w:val="clear" w:color="auto" w:fill="auto"/>
            <w:noWrap/>
            <w:hideMark/>
          </w:tcPr>
          <w:p w14:paraId="7FE75153"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Signs and symptoms involving cognition</w:t>
            </w:r>
          </w:p>
        </w:tc>
      </w:tr>
      <w:tr w:rsidR="00F511F4" w:rsidRPr="00F05560" w14:paraId="45166207" w14:textId="77777777" w:rsidTr="001F53D9">
        <w:trPr>
          <w:trHeight w:val="285"/>
        </w:trPr>
        <w:tc>
          <w:tcPr>
            <w:tcW w:w="988" w:type="dxa"/>
            <w:shd w:val="clear" w:color="auto" w:fill="auto"/>
            <w:noWrap/>
            <w:hideMark/>
          </w:tcPr>
          <w:p w14:paraId="5D4113C5"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lastRenderedPageBreak/>
              <w:t>R26</w:t>
            </w:r>
          </w:p>
        </w:tc>
        <w:tc>
          <w:tcPr>
            <w:tcW w:w="2835" w:type="dxa"/>
            <w:shd w:val="clear" w:color="auto" w:fill="auto"/>
            <w:noWrap/>
            <w:hideMark/>
          </w:tcPr>
          <w:p w14:paraId="24A061E8"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Abnormalities of gait and mobility</w:t>
            </w:r>
          </w:p>
        </w:tc>
        <w:tc>
          <w:tcPr>
            <w:tcW w:w="865" w:type="dxa"/>
            <w:shd w:val="clear" w:color="auto" w:fill="auto"/>
            <w:noWrap/>
            <w:hideMark/>
          </w:tcPr>
          <w:p w14:paraId="37D8C5FE"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2.6</w:t>
            </w:r>
          </w:p>
        </w:tc>
        <w:tc>
          <w:tcPr>
            <w:tcW w:w="2253" w:type="dxa"/>
            <w:shd w:val="clear" w:color="auto" w:fill="auto"/>
            <w:noWrap/>
            <w:hideMark/>
          </w:tcPr>
          <w:p w14:paraId="12306A68"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781.2</w:t>
            </w:r>
          </w:p>
        </w:tc>
        <w:tc>
          <w:tcPr>
            <w:tcW w:w="5954" w:type="dxa"/>
            <w:shd w:val="clear" w:color="auto" w:fill="auto"/>
            <w:noWrap/>
            <w:hideMark/>
          </w:tcPr>
          <w:p w14:paraId="666ED60B"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Abnormality of gait</w:t>
            </w:r>
          </w:p>
        </w:tc>
      </w:tr>
      <w:tr w:rsidR="00F511F4" w:rsidRPr="00F05560" w14:paraId="5D917CBF" w14:textId="77777777" w:rsidTr="001F53D9">
        <w:trPr>
          <w:trHeight w:val="285"/>
        </w:trPr>
        <w:tc>
          <w:tcPr>
            <w:tcW w:w="988" w:type="dxa"/>
            <w:shd w:val="clear" w:color="auto" w:fill="auto"/>
            <w:noWrap/>
            <w:hideMark/>
          </w:tcPr>
          <w:p w14:paraId="06BB6DF4"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I67</w:t>
            </w:r>
          </w:p>
        </w:tc>
        <w:tc>
          <w:tcPr>
            <w:tcW w:w="2835" w:type="dxa"/>
            <w:shd w:val="clear" w:color="auto" w:fill="auto"/>
            <w:noWrap/>
            <w:hideMark/>
          </w:tcPr>
          <w:p w14:paraId="5F75E116"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Other cerebrovascular diseases</w:t>
            </w:r>
          </w:p>
        </w:tc>
        <w:tc>
          <w:tcPr>
            <w:tcW w:w="865" w:type="dxa"/>
            <w:shd w:val="clear" w:color="auto" w:fill="auto"/>
            <w:noWrap/>
            <w:hideMark/>
          </w:tcPr>
          <w:p w14:paraId="4848F2B7"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2.6</w:t>
            </w:r>
          </w:p>
        </w:tc>
        <w:tc>
          <w:tcPr>
            <w:tcW w:w="2253" w:type="dxa"/>
            <w:shd w:val="clear" w:color="auto" w:fill="auto"/>
            <w:noWrap/>
            <w:hideMark/>
          </w:tcPr>
          <w:p w14:paraId="31943BA3"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437</w:t>
            </w:r>
          </w:p>
        </w:tc>
        <w:tc>
          <w:tcPr>
            <w:tcW w:w="5954" w:type="dxa"/>
            <w:shd w:val="clear" w:color="auto" w:fill="auto"/>
            <w:noWrap/>
            <w:hideMark/>
          </w:tcPr>
          <w:p w14:paraId="1EC097EF"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Other and ill-defined cerebrovascular disease</w:t>
            </w:r>
          </w:p>
        </w:tc>
      </w:tr>
      <w:tr w:rsidR="00F511F4" w:rsidRPr="00F05560" w14:paraId="3E4FE38B" w14:textId="77777777" w:rsidTr="001F53D9">
        <w:trPr>
          <w:trHeight w:val="285"/>
        </w:trPr>
        <w:tc>
          <w:tcPr>
            <w:tcW w:w="988" w:type="dxa"/>
            <w:shd w:val="clear" w:color="auto" w:fill="auto"/>
            <w:noWrap/>
            <w:hideMark/>
          </w:tcPr>
          <w:p w14:paraId="316B8BD2"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R56</w:t>
            </w:r>
          </w:p>
        </w:tc>
        <w:tc>
          <w:tcPr>
            <w:tcW w:w="2835" w:type="dxa"/>
            <w:shd w:val="clear" w:color="auto" w:fill="auto"/>
            <w:noWrap/>
            <w:hideMark/>
          </w:tcPr>
          <w:p w14:paraId="05DFC85E"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Convulsions, not elsewhere classified</w:t>
            </w:r>
          </w:p>
        </w:tc>
        <w:tc>
          <w:tcPr>
            <w:tcW w:w="865" w:type="dxa"/>
            <w:shd w:val="clear" w:color="auto" w:fill="auto"/>
            <w:noWrap/>
            <w:hideMark/>
          </w:tcPr>
          <w:p w14:paraId="75165FCA"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2.6</w:t>
            </w:r>
          </w:p>
        </w:tc>
        <w:tc>
          <w:tcPr>
            <w:tcW w:w="2253" w:type="dxa"/>
            <w:shd w:val="clear" w:color="auto" w:fill="auto"/>
            <w:noWrap/>
            <w:hideMark/>
          </w:tcPr>
          <w:p w14:paraId="7665B793"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780.39</w:t>
            </w:r>
          </w:p>
        </w:tc>
        <w:tc>
          <w:tcPr>
            <w:tcW w:w="5954" w:type="dxa"/>
            <w:shd w:val="clear" w:color="auto" w:fill="auto"/>
            <w:noWrap/>
            <w:hideMark/>
          </w:tcPr>
          <w:p w14:paraId="37407186"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Convulsions NEC</w:t>
            </w:r>
          </w:p>
        </w:tc>
      </w:tr>
      <w:tr w:rsidR="00F511F4" w:rsidRPr="00F05560" w14:paraId="0C2A56AF" w14:textId="77777777" w:rsidTr="001F53D9">
        <w:trPr>
          <w:trHeight w:val="285"/>
        </w:trPr>
        <w:tc>
          <w:tcPr>
            <w:tcW w:w="988" w:type="dxa"/>
            <w:shd w:val="clear" w:color="auto" w:fill="auto"/>
            <w:noWrap/>
            <w:hideMark/>
          </w:tcPr>
          <w:p w14:paraId="19D91860"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R40</w:t>
            </w:r>
          </w:p>
        </w:tc>
        <w:tc>
          <w:tcPr>
            <w:tcW w:w="2835" w:type="dxa"/>
            <w:shd w:val="clear" w:color="auto" w:fill="auto"/>
            <w:noWrap/>
            <w:hideMark/>
          </w:tcPr>
          <w:p w14:paraId="3888DC4A"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Somnolence, stupor and coma</w:t>
            </w:r>
          </w:p>
        </w:tc>
        <w:tc>
          <w:tcPr>
            <w:tcW w:w="865" w:type="dxa"/>
            <w:shd w:val="clear" w:color="auto" w:fill="auto"/>
            <w:noWrap/>
            <w:hideMark/>
          </w:tcPr>
          <w:p w14:paraId="7577CC4F"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2.5</w:t>
            </w:r>
          </w:p>
        </w:tc>
        <w:tc>
          <w:tcPr>
            <w:tcW w:w="2253" w:type="dxa"/>
            <w:shd w:val="clear" w:color="auto" w:fill="auto"/>
            <w:noWrap/>
            <w:hideMark/>
          </w:tcPr>
          <w:p w14:paraId="0FE5F334"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780.0*</w:t>
            </w:r>
          </w:p>
        </w:tc>
        <w:tc>
          <w:tcPr>
            <w:tcW w:w="5954" w:type="dxa"/>
            <w:shd w:val="clear" w:color="auto" w:fill="auto"/>
            <w:noWrap/>
            <w:hideMark/>
          </w:tcPr>
          <w:p w14:paraId="03AFD927"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Alteration of consciousness</w:t>
            </w:r>
          </w:p>
        </w:tc>
      </w:tr>
      <w:tr w:rsidR="00F511F4" w:rsidRPr="00F05560" w14:paraId="0A6DB3D2" w14:textId="77777777" w:rsidTr="001F53D9">
        <w:trPr>
          <w:trHeight w:val="285"/>
        </w:trPr>
        <w:tc>
          <w:tcPr>
            <w:tcW w:w="988" w:type="dxa"/>
            <w:shd w:val="clear" w:color="auto" w:fill="auto"/>
            <w:noWrap/>
            <w:hideMark/>
          </w:tcPr>
          <w:p w14:paraId="4F4C1CD0"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T83</w:t>
            </w:r>
          </w:p>
        </w:tc>
        <w:tc>
          <w:tcPr>
            <w:tcW w:w="2835" w:type="dxa"/>
            <w:shd w:val="clear" w:color="auto" w:fill="auto"/>
            <w:noWrap/>
            <w:hideMark/>
          </w:tcPr>
          <w:p w14:paraId="35FA3BF8"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Complications of genitourinary prosthetic device, implants and grafts</w:t>
            </w:r>
          </w:p>
        </w:tc>
        <w:tc>
          <w:tcPr>
            <w:tcW w:w="865" w:type="dxa"/>
            <w:shd w:val="clear" w:color="auto" w:fill="auto"/>
            <w:noWrap/>
            <w:hideMark/>
          </w:tcPr>
          <w:p w14:paraId="5BDB5BDA"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2.4</w:t>
            </w:r>
          </w:p>
        </w:tc>
        <w:tc>
          <w:tcPr>
            <w:tcW w:w="2253" w:type="dxa"/>
            <w:shd w:val="clear" w:color="auto" w:fill="auto"/>
            <w:noWrap/>
            <w:hideMark/>
          </w:tcPr>
          <w:p w14:paraId="095FB455"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997.70</w:t>
            </w:r>
          </w:p>
        </w:tc>
        <w:tc>
          <w:tcPr>
            <w:tcW w:w="5954" w:type="dxa"/>
            <w:shd w:val="clear" w:color="auto" w:fill="auto"/>
            <w:noWrap/>
            <w:hideMark/>
          </w:tcPr>
          <w:p w14:paraId="3795D734"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Other complications due to unspecified device, implant, and graft</w:t>
            </w:r>
          </w:p>
        </w:tc>
      </w:tr>
      <w:tr w:rsidR="00F511F4" w:rsidRPr="00F05560" w14:paraId="0A9658F4" w14:textId="77777777" w:rsidTr="001F53D9">
        <w:trPr>
          <w:trHeight w:val="285"/>
        </w:trPr>
        <w:tc>
          <w:tcPr>
            <w:tcW w:w="988" w:type="dxa"/>
            <w:shd w:val="clear" w:color="auto" w:fill="auto"/>
            <w:noWrap/>
            <w:hideMark/>
          </w:tcPr>
          <w:p w14:paraId="2D982F2B"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S06</w:t>
            </w:r>
          </w:p>
        </w:tc>
        <w:tc>
          <w:tcPr>
            <w:tcW w:w="2835" w:type="dxa"/>
            <w:shd w:val="clear" w:color="auto" w:fill="auto"/>
            <w:noWrap/>
            <w:hideMark/>
          </w:tcPr>
          <w:p w14:paraId="42566115"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Intracranial injury</w:t>
            </w:r>
          </w:p>
        </w:tc>
        <w:tc>
          <w:tcPr>
            <w:tcW w:w="865" w:type="dxa"/>
            <w:shd w:val="clear" w:color="auto" w:fill="auto"/>
            <w:noWrap/>
            <w:hideMark/>
          </w:tcPr>
          <w:p w14:paraId="06D74204"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2.4</w:t>
            </w:r>
          </w:p>
        </w:tc>
        <w:tc>
          <w:tcPr>
            <w:tcW w:w="2253" w:type="dxa"/>
            <w:shd w:val="clear" w:color="auto" w:fill="auto"/>
            <w:noWrap/>
            <w:hideMark/>
          </w:tcPr>
          <w:p w14:paraId="0B0C4FB3"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850* 851* 852* 853* 854*</w:t>
            </w:r>
          </w:p>
        </w:tc>
        <w:tc>
          <w:tcPr>
            <w:tcW w:w="5954" w:type="dxa"/>
            <w:shd w:val="clear" w:color="auto" w:fill="auto"/>
            <w:noWrap/>
            <w:hideMark/>
          </w:tcPr>
          <w:p w14:paraId="725A3B00"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Intracranial injury, excluding those with skull fracture</w:t>
            </w:r>
          </w:p>
        </w:tc>
      </w:tr>
      <w:tr w:rsidR="00F511F4" w:rsidRPr="00F05560" w14:paraId="6A9BBC43" w14:textId="77777777" w:rsidTr="001F53D9">
        <w:trPr>
          <w:trHeight w:val="285"/>
        </w:trPr>
        <w:tc>
          <w:tcPr>
            <w:tcW w:w="988" w:type="dxa"/>
            <w:shd w:val="clear" w:color="auto" w:fill="auto"/>
            <w:noWrap/>
            <w:hideMark/>
          </w:tcPr>
          <w:p w14:paraId="44DF361F"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S42</w:t>
            </w:r>
          </w:p>
        </w:tc>
        <w:tc>
          <w:tcPr>
            <w:tcW w:w="2835" w:type="dxa"/>
            <w:shd w:val="clear" w:color="auto" w:fill="auto"/>
            <w:noWrap/>
            <w:hideMark/>
          </w:tcPr>
          <w:p w14:paraId="422C26EB"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Fracture of shoulder and upper arm</w:t>
            </w:r>
          </w:p>
        </w:tc>
        <w:tc>
          <w:tcPr>
            <w:tcW w:w="865" w:type="dxa"/>
            <w:shd w:val="clear" w:color="auto" w:fill="auto"/>
            <w:noWrap/>
            <w:hideMark/>
          </w:tcPr>
          <w:p w14:paraId="32DDCF2D"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2.3</w:t>
            </w:r>
          </w:p>
        </w:tc>
        <w:tc>
          <w:tcPr>
            <w:tcW w:w="2253" w:type="dxa"/>
            <w:shd w:val="clear" w:color="auto" w:fill="auto"/>
            <w:noWrap/>
            <w:hideMark/>
          </w:tcPr>
          <w:p w14:paraId="0261C7F8"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810 811 812</w:t>
            </w:r>
          </w:p>
        </w:tc>
        <w:tc>
          <w:tcPr>
            <w:tcW w:w="5954" w:type="dxa"/>
            <w:shd w:val="clear" w:color="auto" w:fill="auto"/>
            <w:noWrap/>
            <w:hideMark/>
          </w:tcPr>
          <w:p w14:paraId="7C4127AB"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Fracture of clavicle, fracture of scapula, fracture of humerus</w:t>
            </w:r>
          </w:p>
        </w:tc>
      </w:tr>
      <w:tr w:rsidR="00F511F4" w:rsidRPr="00F05560" w14:paraId="6819F390" w14:textId="77777777" w:rsidTr="001F53D9">
        <w:trPr>
          <w:trHeight w:val="285"/>
        </w:trPr>
        <w:tc>
          <w:tcPr>
            <w:tcW w:w="988" w:type="dxa"/>
            <w:shd w:val="clear" w:color="auto" w:fill="auto"/>
            <w:noWrap/>
            <w:hideMark/>
          </w:tcPr>
          <w:p w14:paraId="739251E5"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E87</w:t>
            </w:r>
          </w:p>
        </w:tc>
        <w:tc>
          <w:tcPr>
            <w:tcW w:w="2835" w:type="dxa"/>
            <w:shd w:val="clear" w:color="auto" w:fill="auto"/>
            <w:noWrap/>
            <w:hideMark/>
          </w:tcPr>
          <w:p w14:paraId="4F5CAC2F"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Other disorders of fluid, electrolyte and acid-base balance</w:t>
            </w:r>
          </w:p>
        </w:tc>
        <w:tc>
          <w:tcPr>
            <w:tcW w:w="865" w:type="dxa"/>
            <w:shd w:val="clear" w:color="auto" w:fill="auto"/>
            <w:noWrap/>
            <w:hideMark/>
          </w:tcPr>
          <w:p w14:paraId="314679CA"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2.3</w:t>
            </w:r>
          </w:p>
        </w:tc>
        <w:tc>
          <w:tcPr>
            <w:tcW w:w="2253" w:type="dxa"/>
            <w:shd w:val="clear" w:color="auto" w:fill="auto"/>
            <w:noWrap/>
            <w:hideMark/>
          </w:tcPr>
          <w:p w14:paraId="77BB17BE" w14:textId="77777777" w:rsidR="00F511F4" w:rsidRPr="00F05560" w:rsidRDefault="00F511F4" w:rsidP="001F53D9">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276.0 276.1 276.2 276.3 276.5 276.6* 276.7 276.8 276.9</w:t>
            </w:r>
          </w:p>
        </w:tc>
        <w:tc>
          <w:tcPr>
            <w:tcW w:w="5954" w:type="dxa"/>
            <w:shd w:val="clear" w:color="auto" w:fill="auto"/>
            <w:noWrap/>
            <w:hideMark/>
          </w:tcPr>
          <w:p w14:paraId="5F8ABA4D"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Disorders of fluid, electrolyte and acid-base balance</w:t>
            </w:r>
          </w:p>
        </w:tc>
      </w:tr>
      <w:tr w:rsidR="00F511F4" w:rsidRPr="00F05560" w14:paraId="76B684EC" w14:textId="77777777" w:rsidTr="001F53D9">
        <w:trPr>
          <w:trHeight w:val="285"/>
        </w:trPr>
        <w:tc>
          <w:tcPr>
            <w:tcW w:w="988" w:type="dxa"/>
            <w:shd w:val="clear" w:color="auto" w:fill="auto"/>
            <w:noWrap/>
            <w:hideMark/>
          </w:tcPr>
          <w:p w14:paraId="46A1C21D"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M25</w:t>
            </w:r>
          </w:p>
        </w:tc>
        <w:tc>
          <w:tcPr>
            <w:tcW w:w="2835" w:type="dxa"/>
            <w:shd w:val="clear" w:color="auto" w:fill="auto"/>
            <w:noWrap/>
            <w:hideMark/>
          </w:tcPr>
          <w:p w14:paraId="46A0B477"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Other joint disorders, not elsewhere classified</w:t>
            </w:r>
          </w:p>
        </w:tc>
        <w:tc>
          <w:tcPr>
            <w:tcW w:w="865" w:type="dxa"/>
            <w:shd w:val="clear" w:color="auto" w:fill="auto"/>
            <w:noWrap/>
            <w:hideMark/>
          </w:tcPr>
          <w:p w14:paraId="1E382295"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2.3</w:t>
            </w:r>
          </w:p>
        </w:tc>
        <w:tc>
          <w:tcPr>
            <w:tcW w:w="2253" w:type="dxa"/>
            <w:shd w:val="clear" w:color="auto" w:fill="auto"/>
            <w:noWrap/>
            <w:hideMark/>
          </w:tcPr>
          <w:p w14:paraId="6A937070"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719.9*</w:t>
            </w:r>
          </w:p>
        </w:tc>
        <w:tc>
          <w:tcPr>
            <w:tcW w:w="5954" w:type="dxa"/>
            <w:shd w:val="clear" w:color="auto" w:fill="auto"/>
            <w:noWrap/>
            <w:hideMark/>
          </w:tcPr>
          <w:p w14:paraId="354D6F60"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Unspecified disorder of joint</w:t>
            </w:r>
          </w:p>
        </w:tc>
      </w:tr>
      <w:tr w:rsidR="00F511F4" w:rsidRPr="00F05560" w14:paraId="6817397B" w14:textId="77777777" w:rsidTr="001F53D9">
        <w:trPr>
          <w:trHeight w:val="285"/>
        </w:trPr>
        <w:tc>
          <w:tcPr>
            <w:tcW w:w="988" w:type="dxa"/>
            <w:shd w:val="clear" w:color="auto" w:fill="auto"/>
            <w:noWrap/>
            <w:hideMark/>
          </w:tcPr>
          <w:p w14:paraId="531643C6"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E86</w:t>
            </w:r>
          </w:p>
        </w:tc>
        <w:tc>
          <w:tcPr>
            <w:tcW w:w="2835" w:type="dxa"/>
            <w:shd w:val="clear" w:color="auto" w:fill="auto"/>
            <w:noWrap/>
            <w:hideMark/>
          </w:tcPr>
          <w:p w14:paraId="1832EE74"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Volume depletion</w:t>
            </w:r>
          </w:p>
        </w:tc>
        <w:tc>
          <w:tcPr>
            <w:tcW w:w="865" w:type="dxa"/>
            <w:shd w:val="clear" w:color="auto" w:fill="auto"/>
            <w:noWrap/>
            <w:hideMark/>
          </w:tcPr>
          <w:p w14:paraId="74F2A4B7"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2.3</w:t>
            </w:r>
          </w:p>
        </w:tc>
        <w:tc>
          <w:tcPr>
            <w:tcW w:w="2253" w:type="dxa"/>
            <w:shd w:val="clear" w:color="auto" w:fill="auto"/>
            <w:noWrap/>
            <w:hideMark/>
          </w:tcPr>
          <w:p w14:paraId="1BA5F2C0"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276*</w:t>
            </w:r>
          </w:p>
        </w:tc>
        <w:tc>
          <w:tcPr>
            <w:tcW w:w="5954" w:type="dxa"/>
            <w:shd w:val="clear" w:color="auto" w:fill="auto"/>
            <w:noWrap/>
            <w:hideMark/>
          </w:tcPr>
          <w:p w14:paraId="485E6360"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Volume depletion</w:t>
            </w:r>
          </w:p>
        </w:tc>
      </w:tr>
      <w:tr w:rsidR="00F511F4" w:rsidRPr="00F05560" w14:paraId="676C9102" w14:textId="77777777" w:rsidTr="001F53D9">
        <w:trPr>
          <w:trHeight w:val="285"/>
        </w:trPr>
        <w:tc>
          <w:tcPr>
            <w:tcW w:w="988" w:type="dxa"/>
            <w:shd w:val="clear" w:color="auto" w:fill="auto"/>
            <w:noWrap/>
            <w:hideMark/>
          </w:tcPr>
          <w:p w14:paraId="5E051B31"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R54</w:t>
            </w:r>
          </w:p>
        </w:tc>
        <w:tc>
          <w:tcPr>
            <w:tcW w:w="2835" w:type="dxa"/>
            <w:shd w:val="clear" w:color="auto" w:fill="auto"/>
            <w:noWrap/>
            <w:hideMark/>
          </w:tcPr>
          <w:p w14:paraId="04F11C24"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Senility</w:t>
            </w:r>
          </w:p>
        </w:tc>
        <w:tc>
          <w:tcPr>
            <w:tcW w:w="865" w:type="dxa"/>
            <w:shd w:val="clear" w:color="auto" w:fill="auto"/>
            <w:noWrap/>
            <w:hideMark/>
          </w:tcPr>
          <w:p w14:paraId="30D155CA"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2.2</w:t>
            </w:r>
          </w:p>
        </w:tc>
        <w:tc>
          <w:tcPr>
            <w:tcW w:w="2253" w:type="dxa"/>
            <w:shd w:val="clear" w:color="auto" w:fill="auto"/>
            <w:noWrap/>
            <w:hideMark/>
          </w:tcPr>
          <w:p w14:paraId="69D4EF83"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797</w:t>
            </w:r>
          </w:p>
        </w:tc>
        <w:tc>
          <w:tcPr>
            <w:tcW w:w="5954" w:type="dxa"/>
            <w:shd w:val="clear" w:color="auto" w:fill="auto"/>
            <w:noWrap/>
            <w:hideMark/>
          </w:tcPr>
          <w:p w14:paraId="28F55938"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Senility without mention of psychosis</w:t>
            </w:r>
          </w:p>
        </w:tc>
      </w:tr>
      <w:tr w:rsidR="00F511F4" w:rsidRPr="00F05560" w14:paraId="655B3D3F" w14:textId="77777777" w:rsidTr="001F53D9">
        <w:trPr>
          <w:trHeight w:val="285"/>
        </w:trPr>
        <w:tc>
          <w:tcPr>
            <w:tcW w:w="988" w:type="dxa"/>
            <w:shd w:val="clear" w:color="auto" w:fill="auto"/>
            <w:noWrap/>
            <w:hideMark/>
          </w:tcPr>
          <w:p w14:paraId="4B03E77F"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Z50</w:t>
            </w:r>
          </w:p>
        </w:tc>
        <w:tc>
          <w:tcPr>
            <w:tcW w:w="2835" w:type="dxa"/>
            <w:shd w:val="clear" w:color="auto" w:fill="auto"/>
            <w:noWrap/>
            <w:hideMark/>
          </w:tcPr>
          <w:p w14:paraId="6FD4D0F2"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Care involving use of rehabilitation procedures</w:t>
            </w:r>
          </w:p>
        </w:tc>
        <w:tc>
          <w:tcPr>
            <w:tcW w:w="865" w:type="dxa"/>
            <w:shd w:val="clear" w:color="auto" w:fill="auto"/>
            <w:noWrap/>
            <w:hideMark/>
          </w:tcPr>
          <w:p w14:paraId="5260BDA3"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2.1</w:t>
            </w:r>
          </w:p>
        </w:tc>
        <w:tc>
          <w:tcPr>
            <w:tcW w:w="2253" w:type="dxa"/>
            <w:shd w:val="clear" w:color="auto" w:fill="auto"/>
            <w:noWrap/>
            <w:hideMark/>
          </w:tcPr>
          <w:p w14:paraId="6457FB71"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V57</w:t>
            </w:r>
          </w:p>
        </w:tc>
        <w:tc>
          <w:tcPr>
            <w:tcW w:w="5954" w:type="dxa"/>
            <w:shd w:val="clear" w:color="auto" w:fill="auto"/>
            <w:noWrap/>
            <w:hideMark/>
          </w:tcPr>
          <w:p w14:paraId="1E56071A"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Care involving use of rehabilitation procedures</w:t>
            </w:r>
          </w:p>
        </w:tc>
      </w:tr>
      <w:tr w:rsidR="00F511F4" w:rsidRPr="00F05560" w14:paraId="5D374EB3" w14:textId="77777777" w:rsidTr="001F53D9">
        <w:trPr>
          <w:trHeight w:val="285"/>
        </w:trPr>
        <w:tc>
          <w:tcPr>
            <w:tcW w:w="988" w:type="dxa"/>
            <w:shd w:val="clear" w:color="auto" w:fill="auto"/>
            <w:noWrap/>
            <w:hideMark/>
          </w:tcPr>
          <w:p w14:paraId="78497AB1"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F03</w:t>
            </w:r>
          </w:p>
        </w:tc>
        <w:tc>
          <w:tcPr>
            <w:tcW w:w="2835" w:type="dxa"/>
            <w:shd w:val="clear" w:color="auto" w:fill="auto"/>
            <w:noWrap/>
            <w:hideMark/>
          </w:tcPr>
          <w:p w14:paraId="35F4CC37"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Unspecified dementia</w:t>
            </w:r>
          </w:p>
        </w:tc>
        <w:tc>
          <w:tcPr>
            <w:tcW w:w="865" w:type="dxa"/>
            <w:shd w:val="clear" w:color="auto" w:fill="auto"/>
            <w:noWrap/>
            <w:hideMark/>
          </w:tcPr>
          <w:p w14:paraId="0B4B33D3"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2.1</w:t>
            </w:r>
          </w:p>
        </w:tc>
        <w:tc>
          <w:tcPr>
            <w:tcW w:w="2253" w:type="dxa"/>
            <w:shd w:val="clear" w:color="auto" w:fill="auto"/>
            <w:noWrap/>
            <w:hideMark/>
          </w:tcPr>
          <w:p w14:paraId="5F0FD0F6" w14:textId="77777777" w:rsidR="00F511F4" w:rsidRPr="00F05560" w:rsidRDefault="00F511F4" w:rsidP="001F53D9">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290.0* 290.1* 290.2* 290.8* 290.9* 294.2 excluding Alzheimer’s disease (331.0)</w:t>
            </w:r>
          </w:p>
        </w:tc>
        <w:tc>
          <w:tcPr>
            <w:tcW w:w="5954" w:type="dxa"/>
            <w:shd w:val="clear" w:color="auto" w:fill="auto"/>
            <w:noWrap/>
            <w:hideMark/>
          </w:tcPr>
          <w:p w14:paraId="7CD046C1"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Dementia, unspecified</w:t>
            </w:r>
          </w:p>
        </w:tc>
      </w:tr>
      <w:tr w:rsidR="00F511F4" w:rsidRPr="00F05560" w14:paraId="32215237" w14:textId="77777777" w:rsidTr="001F53D9">
        <w:trPr>
          <w:trHeight w:val="285"/>
        </w:trPr>
        <w:tc>
          <w:tcPr>
            <w:tcW w:w="988" w:type="dxa"/>
            <w:shd w:val="clear" w:color="auto" w:fill="auto"/>
            <w:noWrap/>
            <w:hideMark/>
          </w:tcPr>
          <w:p w14:paraId="2DD31B25"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W18</w:t>
            </w:r>
          </w:p>
        </w:tc>
        <w:tc>
          <w:tcPr>
            <w:tcW w:w="2835" w:type="dxa"/>
            <w:shd w:val="clear" w:color="auto" w:fill="auto"/>
            <w:noWrap/>
            <w:hideMark/>
          </w:tcPr>
          <w:p w14:paraId="16C5266C"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Other fall on same level</w:t>
            </w:r>
          </w:p>
        </w:tc>
        <w:tc>
          <w:tcPr>
            <w:tcW w:w="865" w:type="dxa"/>
            <w:shd w:val="clear" w:color="auto" w:fill="auto"/>
            <w:noWrap/>
            <w:hideMark/>
          </w:tcPr>
          <w:p w14:paraId="245FB7C1"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2.1</w:t>
            </w:r>
          </w:p>
        </w:tc>
        <w:tc>
          <w:tcPr>
            <w:tcW w:w="2253" w:type="dxa"/>
            <w:shd w:val="clear" w:color="auto" w:fill="auto"/>
            <w:noWrap/>
            <w:hideMark/>
          </w:tcPr>
          <w:p w14:paraId="07193BA3"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E885 E886</w:t>
            </w:r>
          </w:p>
        </w:tc>
        <w:tc>
          <w:tcPr>
            <w:tcW w:w="5954" w:type="dxa"/>
            <w:shd w:val="clear" w:color="auto" w:fill="auto"/>
            <w:noWrap/>
            <w:hideMark/>
          </w:tcPr>
          <w:p w14:paraId="6E118B7E"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Fall on same level from slipping, tripping, or stumbling, fall on same level from collision, pushing, or shoving by or with other person</w:t>
            </w:r>
          </w:p>
        </w:tc>
      </w:tr>
      <w:tr w:rsidR="00F511F4" w:rsidRPr="00F05560" w14:paraId="2397481F" w14:textId="77777777" w:rsidTr="001F53D9">
        <w:trPr>
          <w:trHeight w:val="285"/>
        </w:trPr>
        <w:tc>
          <w:tcPr>
            <w:tcW w:w="988" w:type="dxa"/>
            <w:shd w:val="clear" w:color="auto" w:fill="auto"/>
            <w:noWrap/>
            <w:hideMark/>
          </w:tcPr>
          <w:p w14:paraId="435BE21F"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lastRenderedPageBreak/>
              <w:t>Z75</w:t>
            </w:r>
          </w:p>
        </w:tc>
        <w:tc>
          <w:tcPr>
            <w:tcW w:w="2835" w:type="dxa"/>
            <w:shd w:val="clear" w:color="auto" w:fill="auto"/>
            <w:noWrap/>
            <w:hideMark/>
          </w:tcPr>
          <w:p w14:paraId="36FE8672"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Problems related to medical facilities and other health care</w:t>
            </w:r>
          </w:p>
        </w:tc>
        <w:tc>
          <w:tcPr>
            <w:tcW w:w="865" w:type="dxa"/>
            <w:shd w:val="clear" w:color="auto" w:fill="auto"/>
            <w:noWrap/>
            <w:hideMark/>
          </w:tcPr>
          <w:p w14:paraId="5D788C51"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2</w:t>
            </w:r>
          </w:p>
        </w:tc>
        <w:tc>
          <w:tcPr>
            <w:tcW w:w="2253" w:type="dxa"/>
            <w:shd w:val="clear" w:color="auto" w:fill="auto"/>
            <w:noWrap/>
            <w:hideMark/>
          </w:tcPr>
          <w:p w14:paraId="74ABF583"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V63.2 V63.8 V63.9</w:t>
            </w:r>
          </w:p>
        </w:tc>
        <w:tc>
          <w:tcPr>
            <w:tcW w:w="5954" w:type="dxa"/>
            <w:shd w:val="clear" w:color="auto" w:fill="auto"/>
            <w:noWrap/>
            <w:hideMark/>
          </w:tcPr>
          <w:p w14:paraId="03F686A0"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Person awaiting admission adequate facility elsewhere, reasons unavailability medical facilities, unspecified reason unavailability medical facilities</w:t>
            </w:r>
          </w:p>
        </w:tc>
      </w:tr>
      <w:tr w:rsidR="00F511F4" w:rsidRPr="00F05560" w14:paraId="71434253" w14:textId="77777777" w:rsidTr="001F53D9">
        <w:trPr>
          <w:trHeight w:val="285"/>
        </w:trPr>
        <w:tc>
          <w:tcPr>
            <w:tcW w:w="988" w:type="dxa"/>
            <w:shd w:val="clear" w:color="auto" w:fill="auto"/>
            <w:noWrap/>
            <w:hideMark/>
          </w:tcPr>
          <w:p w14:paraId="7DB6963D"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F01</w:t>
            </w:r>
          </w:p>
        </w:tc>
        <w:tc>
          <w:tcPr>
            <w:tcW w:w="2835" w:type="dxa"/>
            <w:shd w:val="clear" w:color="auto" w:fill="auto"/>
            <w:noWrap/>
            <w:hideMark/>
          </w:tcPr>
          <w:p w14:paraId="60AE9F37"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Vascular dementia</w:t>
            </w:r>
          </w:p>
        </w:tc>
        <w:tc>
          <w:tcPr>
            <w:tcW w:w="865" w:type="dxa"/>
            <w:shd w:val="clear" w:color="auto" w:fill="auto"/>
            <w:noWrap/>
            <w:hideMark/>
          </w:tcPr>
          <w:p w14:paraId="261EE0F7"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2</w:t>
            </w:r>
          </w:p>
        </w:tc>
        <w:tc>
          <w:tcPr>
            <w:tcW w:w="2253" w:type="dxa"/>
            <w:shd w:val="clear" w:color="auto" w:fill="auto"/>
            <w:noWrap/>
            <w:hideMark/>
          </w:tcPr>
          <w:p w14:paraId="09A9315C"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290.4*</w:t>
            </w:r>
          </w:p>
        </w:tc>
        <w:tc>
          <w:tcPr>
            <w:tcW w:w="5954" w:type="dxa"/>
            <w:shd w:val="clear" w:color="auto" w:fill="auto"/>
            <w:noWrap/>
            <w:hideMark/>
          </w:tcPr>
          <w:p w14:paraId="3AD750CB"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Vascular dementia</w:t>
            </w:r>
          </w:p>
        </w:tc>
      </w:tr>
      <w:tr w:rsidR="00F511F4" w:rsidRPr="00F05560" w14:paraId="66AA3391" w14:textId="77777777" w:rsidTr="001F53D9">
        <w:trPr>
          <w:trHeight w:val="285"/>
        </w:trPr>
        <w:tc>
          <w:tcPr>
            <w:tcW w:w="988" w:type="dxa"/>
            <w:shd w:val="clear" w:color="auto" w:fill="auto"/>
            <w:noWrap/>
            <w:hideMark/>
          </w:tcPr>
          <w:p w14:paraId="3C546E67"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S80</w:t>
            </w:r>
          </w:p>
        </w:tc>
        <w:tc>
          <w:tcPr>
            <w:tcW w:w="2835" w:type="dxa"/>
            <w:shd w:val="clear" w:color="auto" w:fill="auto"/>
            <w:noWrap/>
            <w:hideMark/>
          </w:tcPr>
          <w:p w14:paraId="0E1C2FD3"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Superficial injury of lower leg</w:t>
            </w:r>
          </w:p>
        </w:tc>
        <w:tc>
          <w:tcPr>
            <w:tcW w:w="865" w:type="dxa"/>
            <w:shd w:val="clear" w:color="auto" w:fill="auto"/>
            <w:noWrap/>
            <w:hideMark/>
          </w:tcPr>
          <w:p w14:paraId="6A63734A"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2</w:t>
            </w:r>
          </w:p>
        </w:tc>
        <w:tc>
          <w:tcPr>
            <w:tcW w:w="2253" w:type="dxa"/>
            <w:shd w:val="clear" w:color="auto" w:fill="auto"/>
            <w:noWrap/>
            <w:hideMark/>
          </w:tcPr>
          <w:p w14:paraId="044ABC39"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916*</w:t>
            </w:r>
          </w:p>
        </w:tc>
        <w:tc>
          <w:tcPr>
            <w:tcW w:w="5954" w:type="dxa"/>
            <w:shd w:val="clear" w:color="auto" w:fill="auto"/>
            <w:noWrap/>
            <w:hideMark/>
          </w:tcPr>
          <w:p w14:paraId="42237E1F"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Superficial injury of hip, thigh, leg, and ankle</w:t>
            </w:r>
          </w:p>
        </w:tc>
      </w:tr>
      <w:tr w:rsidR="00F511F4" w:rsidRPr="00F05560" w14:paraId="282343A5" w14:textId="77777777" w:rsidTr="001F53D9">
        <w:trPr>
          <w:trHeight w:val="285"/>
        </w:trPr>
        <w:tc>
          <w:tcPr>
            <w:tcW w:w="988" w:type="dxa"/>
            <w:shd w:val="clear" w:color="auto" w:fill="auto"/>
            <w:noWrap/>
            <w:hideMark/>
          </w:tcPr>
          <w:p w14:paraId="2A892662"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L03</w:t>
            </w:r>
          </w:p>
        </w:tc>
        <w:tc>
          <w:tcPr>
            <w:tcW w:w="2835" w:type="dxa"/>
            <w:shd w:val="clear" w:color="auto" w:fill="auto"/>
            <w:noWrap/>
            <w:hideMark/>
          </w:tcPr>
          <w:p w14:paraId="6A9235DF"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Cellulitis</w:t>
            </w:r>
          </w:p>
        </w:tc>
        <w:tc>
          <w:tcPr>
            <w:tcW w:w="865" w:type="dxa"/>
            <w:shd w:val="clear" w:color="auto" w:fill="auto"/>
            <w:noWrap/>
            <w:hideMark/>
          </w:tcPr>
          <w:p w14:paraId="062995AA"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2</w:t>
            </w:r>
          </w:p>
        </w:tc>
        <w:tc>
          <w:tcPr>
            <w:tcW w:w="2253" w:type="dxa"/>
            <w:shd w:val="clear" w:color="auto" w:fill="auto"/>
            <w:noWrap/>
            <w:hideMark/>
          </w:tcPr>
          <w:p w14:paraId="045F5295"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681* 682*</w:t>
            </w:r>
          </w:p>
        </w:tc>
        <w:tc>
          <w:tcPr>
            <w:tcW w:w="5954" w:type="dxa"/>
            <w:shd w:val="clear" w:color="auto" w:fill="auto"/>
            <w:noWrap/>
            <w:hideMark/>
          </w:tcPr>
          <w:p w14:paraId="57EFDDF7"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Cellulitis and abscesses of finger and toe, other cellulitis and abscess</w:t>
            </w:r>
          </w:p>
        </w:tc>
      </w:tr>
      <w:tr w:rsidR="00F511F4" w:rsidRPr="00F05560" w14:paraId="1731F8A3" w14:textId="77777777" w:rsidTr="001F53D9">
        <w:trPr>
          <w:trHeight w:val="285"/>
        </w:trPr>
        <w:tc>
          <w:tcPr>
            <w:tcW w:w="988" w:type="dxa"/>
            <w:shd w:val="clear" w:color="auto" w:fill="auto"/>
            <w:noWrap/>
            <w:hideMark/>
          </w:tcPr>
          <w:p w14:paraId="6BE6CE88"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H54</w:t>
            </w:r>
          </w:p>
        </w:tc>
        <w:tc>
          <w:tcPr>
            <w:tcW w:w="2835" w:type="dxa"/>
            <w:shd w:val="clear" w:color="auto" w:fill="auto"/>
            <w:noWrap/>
            <w:hideMark/>
          </w:tcPr>
          <w:p w14:paraId="108E1D16"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Blindness and low vision</w:t>
            </w:r>
          </w:p>
        </w:tc>
        <w:tc>
          <w:tcPr>
            <w:tcW w:w="865" w:type="dxa"/>
            <w:shd w:val="clear" w:color="auto" w:fill="auto"/>
            <w:noWrap/>
            <w:hideMark/>
          </w:tcPr>
          <w:p w14:paraId="36FE9B33"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1.9</w:t>
            </w:r>
          </w:p>
        </w:tc>
        <w:tc>
          <w:tcPr>
            <w:tcW w:w="2253" w:type="dxa"/>
            <w:shd w:val="clear" w:color="auto" w:fill="auto"/>
            <w:noWrap/>
            <w:hideMark/>
          </w:tcPr>
          <w:p w14:paraId="6094D4EF"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369*</w:t>
            </w:r>
          </w:p>
        </w:tc>
        <w:tc>
          <w:tcPr>
            <w:tcW w:w="5954" w:type="dxa"/>
            <w:shd w:val="clear" w:color="auto" w:fill="auto"/>
            <w:noWrap/>
            <w:hideMark/>
          </w:tcPr>
          <w:p w14:paraId="48B9B3C2"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Blindness and low vision</w:t>
            </w:r>
          </w:p>
        </w:tc>
      </w:tr>
      <w:tr w:rsidR="00F511F4" w:rsidRPr="00F05560" w14:paraId="1D3BE620" w14:textId="77777777" w:rsidTr="001F53D9">
        <w:trPr>
          <w:trHeight w:val="285"/>
        </w:trPr>
        <w:tc>
          <w:tcPr>
            <w:tcW w:w="988" w:type="dxa"/>
            <w:shd w:val="clear" w:color="auto" w:fill="auto"/>
            <w:noWrap/>
            <w:hideMark/>
          </w:tcPr>
          <w:p w14:paraId="731C52EA"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E53</w:t>
            </w:r>
          </w:p>
        </w:tc>
        <w:tc>
          <w:tcPr>
            <w:tcW w:w="2835" w:type="dxa"/>
            <w:shd w:val="clear" w:color="auto" w:fill="auto"/>
            <w:noWrap/>
            <w:hideMark/>
          </w:tcPr>
          <w:p w14:paraId="20A5C2B6"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Deficiency of other B group vitamins</w:t>
            </w:r>
          </w:p>
        </w:tc>
        <w:tc>
          <w:tcPr>
            <w:tcW w:w="865" w:type="dxa"/>
            <w:shd w:val="clear" w:color="auto" w:fill="auto"/>
            <w:noWrap/>
            <w:hideMark/>
          </w:tcPr>
          <w:p w14:paraId="122B8295"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1.9</w:t>
            </w:r>
          </w:p>
        </w:tc>
        <w:tc>
          <w:tcPr>
            <w:tcW w:w="2253" w:type="dxa"/>
            <w:shd w:val="clear" w:color="auto" w:fill="auto"/>
            <w:noWrap/>
            <w:hideMark/>
          </w:tcPr>
          <w:p w14:paraId="2A3D4607"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266*</w:t>
            </w:r>
          </w:p>
        </w:tc>
        <w:tc>
          <w:tcPr>
            <w:tcW w:w="5954" w:type="dxa"/>
            <w:shd w:val="clear" w:color="auto" w:fill="auto"/>
            <w:noWrap/>
            <w:hideMark/>
          </w:tcPr>
          <w:p w14:paraId="0BB4415B"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Deficiency of B-complex components</w:t>
            </w:r>
          </w:p>
        </w:tc>
      </w:tr>
      <w:tr w:rsidR="00F511F4" w:rsidRPr="00F05560" w14:paraId="5F37C4FA" w14:textId="77777777" w:rsidTr="001F53D9">
        <w:trPr>
          <w:trHeight w:val="285"/>
        </w:trPr>
        <w:tc>
          <w:tcPr>
            <w:tcW w:w="988" w:type="dxa"/>
            <w:shd w:val="clear" w:color="auto" w:fill="auto"/>
            <w:noWrap/>
            <w:hideMark/>
          </w:tcPr>
          <w:p w14:paraId="1DF81798"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Z60</w:t>
            </w:r>
          </w:p>
        </w:tc>
        <w:tc>
          <w:tcPr>
            <w:tcW w:w="2835" w:type="dxa"/>
            <w:shd w:val="clear" w:color="auto" w:fill="auto"/>
            <w:noWrap/>
            <w:hideMark/>
          </w:tcPr>
          <w:p w14:paraId="51ADDE03"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Problems related to social environment</w:t>
            </w:r>
          </w:p>
        </w:tc>
        <w:tc>
          <w:tcPr>
            <w:tcW w:w="865" w:type="dxa"/>
            <w:shd w:val="clear" w:color="auto" w:fill="auto"/>
            <w:noWrap/>
            <w:hideMark/>
          </w:tcPr>
          <w:p w14:paraId="162AF0FC"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1.8</w:t>
            </w:r>
          </w:p>
        </w:tc>
        <w:tc>
          <w:tcPr>
            <w:tcW w:w="2253" w:type="dxa"/>
            <w:shd w:val="clear" w:color="auto" w:fill="auto"/>
            <w:noWrap/>
            <w:hideMark/>
          </w:tcPr>
          <w:p w14:paraId="086BA980"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V62.9</w:t>
            </w:r>
          </w:p>
        </w:tc>
        <w:tc>
          <w:tcPr>
            <w:tcW w:w="5954" w:type="dxa"/>
            <w:shd w:val="clear" w:color="auto" w:fill="auto"/>
            <w:noWrap/>
            <w:hideMark/>
          </w:tcPr>
          <w:p w14:paraId="25523E96"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Unspecified psychosocial circumstance</w:t>
            </w:r>
          </w:p>
        </w:tc>
      </w:tr>
      <w:tr w:rsidR="00F511F4" w:rsidRPr="00F05560" w14:paraId="7DBB7E86" w14:textId="77777777" w:rsidTr="001F53D9">
        <w:trPr>
          <w:trHeight w:val="285"/>
        </w:trPr>
        <w:tc>
          <w:tcPr>
            <w:tcW w:w="988" w:type="dxa"/>
            <w:shd w:val="clear" w:color="auto" w:fill="auto"/>
            <w:noWrap/>
            <w:hideMark/>
          </w:tcPr>
          <w:p w14:paraId="798C8568"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G20</w:t>
            </w:r>
          </w:p>
        </w:tc>
        <w:tc>
          <w:tcPr>
            <w:tcW w:w="2835" w:type="dxa"/>
            <w:shd w:val="clear" w:color="auto" w:fill="auto"/>
            <w:noWrap/>
            <w:hideMark/>
          </w:tcPr>
          <w:p w14:paraId="1EE6D7C7"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Parkinson's disease</w:t>
            </w:r>
          </w:p>
        </w:tc>
        <w:tc>
          <w:tcPr>
            <w:tcW w:w="865" w:type="dxa"/>
            <w:shd w:val="clear" w:color="auto" w:fill="auto"/>
            <w:noWrap/>
            <w:hideMark/>
          </w:tcPr>
          <w:p w14:paraId="18F09D79"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1.8</w:t>
            </w:r>
          </w:p>
        </w:tc>
        <w:tc>
          <w:tcPr>
            <w:tcW w:w="2253" w:type="dxa"/>
            <w:shd w:val="clear" w:color="auto" w:fill="auto"/>
            <w:noWrap/>
            <w:hideMark/>
          </w:tcPr>
          <w:p w14:paraId="61D5FCED"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332*</w:t>
            </w:r>
          </w:p>
        </w:tc>
        <w:tc>
          <w:tcPr>
            <w:tcW w:w="5954" w:type="dxa"/>
            <w:shd w:val="clear" w:color="auto" w:fill="auto"/>
            <w:noWrap/>
            <w:hideMark/>
          </w:tcPr>
          <w:p w14:paraId="6955055C"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Parkinson's disease</w:t>
            </w:r>
          </w:p>
        </w:tc>
      </w:tr>
      <w:tr w:rsidR="00F511F4" w:rsidRPr="00F05560" w14:paraId="71255F30" w14:textId="77777777" w:rsidTr="001F53D9">
        <w:trPr>
          <w:trHeight w:val="285"/>
        </w:trPr>
        <w:tc>
          <w:tcPr>
            <w:tcW w:w="988" w:type="dxa"/>
            <w:shd w:val="clear" w:color="auto" w:fill="auto"/>
            <w:noWrap/>
            <w:hideMark/>
          </w:tcPr>
          <w:p w14:paraId="1CF1CE4C"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R55</w:t>
            </w:r>
          </w:p>
        </w:tc>
        <w:tc>
          <w:tcPr>
            <w:tcW w:w="2835" w:type="dxa"/>
            <w:shd w:val="clear" w:color="auto" w:fill="auto"/>
            <w:noWrap/>
            <w:hideMark/>
          </w:tcPr>
          <w:p w14:paraId="0383F794"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Syncope and collapse</w:t>
            </w:r>
          </w:p>
        </w:tc>
        <w:tc>
          <w:tcPr>
            <w:tcW w:w="865" w:type="dxa"/>
            <w:shd w:val="clear" w:color="auto" w:fill="auto"/>
            <w:noWrap/>
            <w:hideMark/>
          </w:tcPr>
          <w:p w14:paraId="78BDA48E"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1.8</w:t>
            </w:r>
          </w:p>
        </w:tc>
        <w:tc>
          <w:tcPr>
            <w:tcW w:w="2253" w:type="dxa"/>
            <w:shd w:val="clear" w:color="auto" w:fill="auto"/>
            <w:noWrap/>
            <w:hideMark/>
          </w:tcPr>
          <w:p w14:paraId="1E5ED9D8"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780.2</w:t>
            </w:r>
          </w:p>
        </w:tc>
        <w:tc>
          <w:tcPr>
            <w:tcW w:w="5954" w:type="dxa"/>
            <w:shd w:val="clear" w:color="auto" w:fill="auto"/>
            <w:noWrap/>
            <w:hideMark/>
          </w:tcPr>
          <w:p w14:paraId="37D7E97E"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Syncope and collapse</w:t>
            </w:r>
          </w:p>
        </w:tc>
      </w:tr>
      <w:tr w:rsidR="00F511F4" w:rsidRPr="00F05560" w14:paraId="48A37BE2" w14:textId="77777777" w:rsidTr="001F53D9">
        <w:trPr>
          <w:trHeight w:val="285"/>
        </w:trPr>
        <w:tc>
          <w:tcPr>
            <w:tcW w:w="988" w:type="dxa"/>
            <w:shd w:val="clear" w:color="auto" w:fill="auto"/>
            <w:noWrap/>
            <w:hideMark/>
          </w:tcPr>
          <w:p w14:paraId="41C19B2A"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S22</w:t>
            </w:r>
          </w:p>
        </w:tc>
        <w:tc>
          <w:tcPr>
            <w:tcW w:w="2835" w:type="dxa"/>
            <w:shd w:val="clear" w:color="auto" w:fill="auto"/>
            <w:noWrap/>
            <w:hideMark/>
          </w:tcPr>
          <w:p w14:paraId="3B6A754C"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Fracture of rib(s), sternum and thoracic spine</w:t>
            </w:r>
          </w:p>
        </w:tc>
        <w:tc>
          <w:tcPr>
            <w:tcW w:w="865" w:type="dxa"/>
            <w:shd w:val="clear" w:color="auto" w:fill="auto"/>
            <w:noWrap/>
            <w:hideMark/>
          </w:tcPr>
          <w:p w14:paraId="7E22B2AE"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1.8</w:t>
            </w:r>
          </w:p>
        </w:tc>
        <w:tc>
          <w:tcPr>
            <w:tcW w:w="2253" w:type="dxa"/>
            <w:shd w:val="clear" w:color="auto" w:fill="auto"/>
            <w:noWrap/>
            <w:hideMark/>
          </w:tcPr>
          <w:p w14:paraId="142DC7C2"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807.0* 807.1* 807.2 807.3 807.4  805.2 805.4</w:t>
            </w:r>
          </w:p>
        </w:tc>
        <w:tc>
          <w:tcPr>
            <w:tcW w:w="5954" w:type="dxa"/>
            <w:shd w:val="clear" w:color="auto" w:fill="auto"/>
            <w:noWrap/>
            <w:hideMark/>
          </w:tcPr>
          <w:p w14:paraId="3B550B69"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Closed fracture of rib(s), open fracture of rib(s), closed fracture of sternum, open fracture of sternum, flail chest, closed fracture of dorsal (thoracic) vertebra without mention of spinal cord injury, open fracture of dorsal (thoracic) vertebra without mention of spinal cord injury</w:t>
            </w:r>
          </w:p>
        </w:tc>
      </w:tr>
      <w:tr w:rsidR="00F511F4" w:rsidRPr="00F05560" w14:paraId="539DE11C" w14:textId="77777777" w:rsidTr="001F53D9">
        <w:trPr>
          <w:trHeight w:val="285"/>
        </w:trPr>
        <w:tc>
          <w:tcPr>
            <w:tcW w:w="988" w:type="dxa"/>
            <w:shd w:val="clear" w:color="auto" w:fill="auto"/>
            <w:noWrap/>
            <w:hideMark/>
          </w:tcPr>
          <w:p w14:paraId="42D4648B"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K59</w:t>
            </w:r>
          </w:p>
        </w:tc>
        <w:tc>
          <w:tcPr>
            <w:tcW w:w="2835" w:type="dxa"/>
            <w:shd w:val="clear" w:color="auto" w:fill="auto"/>
            <w:noWrap/>
            <w:hideMark/>
          </w:tcPr>
          <w:p w14:paraId="6922015C"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Other functional intestinal disorders</w:t>
            </w:r>
          </w:p>
        </w:tc>
        <w:tc>
          <w:tcPr>
            <w:tcW w:w="865" w:type="dxa"/>
            <w:shd w:val="clear" w:color="auto" w:fill="auto"/>
            <w:noWrap/>
            <w:hideMark/>
          </w:tcPr>
          <w:p w14:paraId="589B1098"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1.8</w:t>
            </w:r>
          </w:p>
        </w:tc>
        <w:tc>
          <w:tcPr>
            <w:tcW w:w="2253" w:type="dxa"/>
            <w:shd w:val="clear" w:color="auto" w:fill="auto"/>
            <w:noWrap/>
            <w:hideMark/>
          </w:tcPr>
          <w:p w14:paraId="4FD87FD1"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564.89</w:t>
            </w:r>
          </w:p>
        </w:tc>
        <w:tc>
          <w:tcPr>
            <w:tcW w:w="5954" w:type="dxa"/>
            <w:shd w:val="clear" w:color="auto" w:fill="auto"/>
            <w:noWrap/>
            <w:hideMark/>
          </w:tcPr>
          <w:p w14:paraId="3FAC64A5"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Other functional disorders of intestine</w:t>
            </w:r>
          </w:p>
        </w:tc>
      </w:tr>
      <w:tr w:rsidR="00F511F4" w:rsidRPr="00F05560" w14:paraId="23425D08" w14:textId="77777777" w:rsidTr="001F53D9">
        <w:trPr>
          <w:trHeight w:val="285"/>
        </w:trPr>
        <w:tc>
          <w:tcPr>
            <w:tcW w:w="988" w:type="dxa"/>
            <w:shd w:val="clear" w:color="auto" w:fill="auto"/>
            <w:noWrap/>
            <w:hideMark/>
          </w:tcPr>
          <w:p w14:paraId="6AD1E0D6"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N17</w:t>
            </w:r>
          </w:p>
        </w:tc>
        <w:tc>
          <w:tcPr>
            <w:tcW w:w="2835" w:type="dxa"/>
            <w:shd w:val="clear" w:color="auto" w:fill="auto"/>
            <w:noWrap/>
            <w:hideMark/>
          </w:tcPr>
          <w:p w14:paraId="10AB60A4"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Acute renal failure</w:t>
            </w:r>
          </w:p>
        </w:tc>
        <w:tc>
          <w:tcPr>
            <w:tcW w:w="865" w:type="dxa"/>
            <w:shd w:val="clear" w:color="auto" w:fill="auto"/>
            <w:noWrap/>
            <w:hideMark/>
          </w:tcPr>
          <w:p w14:paraId="19A72076"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1.8</w:t>
            </w:r>
          </w:p>
        </w:tc>
        <w:tc>
          <w:tcPr>
            <w:tcW w:w="2253" w:type="dxa"/>
            <w:shd w:val="clear" w:color="auto" w:fill="auto"/>
            <w:noWrap/>
            <w:hideMark/>
          </w:tcPr>
          <w:p w14:paraId="3B952124"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584</w:t>
            </w:r>
          </w:p>
        </w:tc>
        <w:tc>
          <w:tcPr>
            <w:tcW w:w="5954" w:type="dxa"/>
            <w:shd w:val="clear" w:color="auto" w:fill="auto"/>
            <w:noWrap/>
            <w:hideMark/>
          </w:tcPr>
          <w:p w14:paraId="6325267C"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Acute kidney failure</w:t>
            </w:r>
          </w:p>
        </w:tc>
      </w:tr>
      <w:tr w:rsidR="00F511F4" w:rsidRPr="00F05560" w14:paraId="36786CAD" w14:textId="77777777" w:rsidTr="001F53D9">
        <w:trPr>
          <w:trHeight w:val="285"/>
        </w:trPr>
        <w:tc>
          <w:tcPr>
            <w:tcW w:w="988" w:type="dxa"/>
            <w:shd w:val="clear" w:color="auto" w:fill="auto"/>
            <w:noWrap/>
            <w:hideMark/>
          </w:tcPr>
          <w:p w14:paraId="43F7CAA8"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L89</w:t>
            </w:r>
          </w:p>
        </w:tc>
        <w:tc>
          <w:tcPr>
            <w:tcW w:w="2835" w:type="dxa"/>
            <w:shd w:val="clear" w:color="auto" w:fill="auto"/>
            <w:noWrap/>
            <w:hideMark/>
          </w:tcPr>
          <w:p w14:paraId="14266534"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Decubitus ulcer</w:t>
            </w:r>
          </w:p>
        </w:tc>
        <w:tc>
          <w:tcPr>
            <w:tcW w:w="865" w:type="dxa"/>
            <w:shd w:val="clear" w:color="auto" w:fill="auto"/>
            <w:noWrap/>
            <w:hideMark/>
          </w:tcPr>
          <w:p w14:paraId="20052B06"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1.7</w:t>
            </w:r>
          </w:p>
        </w:tc>
        <w:tc>
          <w:tcPr>
            <w:tcW w:w="2253" w:type="dxa"/>
            <w:shd w:val="clear" w:color="auto" w:fill="auto"/>
            <w:noWrap/>
            <w:hideMark/>
          </w:tcPr>
          <w:p w14:paraId="01504253"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707.0*</w:t>
            </w:r>
          </w:p>
        </w:tc>
        <w:tc>
          <w:tcPr>
            <w:tcW w:w="5954" w:type="dxa"/>
            <w:shd w:val="clear" w:color="auto" w:fill="auto"/>
            <w:noWrap/>
            <w:hideMark/>
          </w:tcPr>
          <w:p w14:paraId="7F0D2604"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Pressure ulcer</w:t>
            </w:r>
          </w:p>
        </w:tc>
      </w:tr>
      <w:tr w:rsidR="00F511F4" w:rsidRPr="00F05560" w14:paraId="3E517B5B" w14:textId="77777777" w:rsidTr="001F53D9">
        <w:trPr>
          <w:trHeight w:val="285"/>
        </w:trPr>
        <w:tc>
          <w:tcPr>
            <w:tcW w:w="988" w:type="dxa"/>
            <w:shd w:val="clear" w:color="auto" w:fill="auto"/>
            <w:noWrap/>
            <w:hideMark/>
          </w:tcPr>
          <w:p w14:paraId="44EE0C94"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Z22</w:t>
            </w:r>
          </w:p>
        </w:tc>
        <w:tc>
          <w:tcPr>
            <w:tcW w:w="2835" w:type="dxa"/>
            <w:shd w:val="clear" w:color="auto" w:fill="auto"/>
            <w:noWrap/>
            <w:hideMark/>
          </w:tcPr>
          <w:p w14:paraId="7B655A89"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Carrier of infectious disease</w:t>
            </w:r>
          </w:p>
        </w:tc>
        <w:tc>
          <w:tcPr>
            <w:tcW w:w="865" w:type="dxa"/>
            <w:shd w:val="clear" w:color="auto" w:fill="auto"/>
            <w:noWrap/>
            <w:hideMark/>
          </w:tcPr>
          <w:p w14:paraId="7A4F32A0"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1.7</w:t>
            </w:r>
          </w:p>
        </w:tc>
        <w:tc>
          <w:tcPr>
            <w:tcW w:w="2253" w:type="dxa"/>
            <w:shd w:val="clear" w:color="auto" w:fill="auto"/>
            <w:noWrap/>
            <w:hideMark/>
          </w:tcPr>
          <w:p w14:paraId="4B5623E1"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V02*</w:t>
            </w:r>
          </w:p>
        </w:tc>
        <w:tc>
          <w:tcPr>
            <w:tcW w:w="5954" w:type="dxa"/>
            <w:shd w:val="clear" w:color="auto" w:fill="auto"/>
            <w:noWrap/>
            <w:hideMark/>
          </w:tcPr>
          <w:p w14:paraId="42AB3D0A"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Carrier or suspected carrier of infectious disease</w:t>
            </w:r>
          </w:p>
        </w:tc>
      </w:tr>
      <w:tr w:rsidR="00F511F4" w:rsidRPr="00F05560" w14:paraId="03F4C764" w14:textId="77777777" w:rsidTr="001F53D9">
        <w:trPr>
          <w:trHeight w:val="285"/>
        </w:trPr>
        <w:tc>
          <w:tcPr>
            <w:tcW w:w="988" w:type="dxa"/>
            <w:shd w:val="clear" w:color="auto" w:fill="auto"/>
            <w:noWrap/>
            <w:hideMark/>
          </w:tcPr>
          <w:p w14:paraId="56F619EA"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B95</w:t>
            </w:r>
          </w:p>
        </w:tc>
        <w:tc>
          <w:tcPr>
            <w:tcW w:w="2835" w:type="dxa"/>
            <w:shd w:val="clear" w:color="auto" w:fill="auto"/>
            <w:noWrap/>
            <w:hideMark/>
          </w:tcPr>
          <w:p w14:paraId="3A4D0744"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Streptococcus and staphylococcus as the cause of diseases classified to other chapters</w:t>
            </w:r>
          </w:p>
        </w:tc>
        <w:tc>
          <w:tcPr>
            <w:tcW w:w="865" w:type="dxa"/>
            <w:shd w:val="clear" w:color="auto" w:fill="auto"/>
            <w:noWrap/>
            <w:hideMark/>
          </w:tcPr>
          <w:p w14:paraId="381C8CB4"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1.7</w:t>
            </w:r>
          </w:p>
        </w:tc>
        <w:tc>
          <w:tcPr>
            <w:tcW w:w="2253" w:type="dxa"/>
            <w:shd w:val="clear" w:color="auto" w:fill="auto"/>
            <w:noWrap/>
            <w:hideMark/>
          </w:tcPr>
          <w:p w14:paraId="3A4E966E" w14:textId="77777777" w:rsidR="00F511F4" w:rsidRPr="00F05560" w:rsidRDefault="00F511F4" w:rsidP="001F53D9">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041.0* 041.1</w:t>
            </w:r>
            <w:r w:rsidRPr="00F05560">
              <w:rPr>
                <w:rFonts w:ascii="Calibri" w:eastAsia="Times New Roman" w:hAnsi="Calibri" w:cs="Calibri"/>
                <w:color w:val="000000"/>
                <w:lang w:eastAsia="en-GB"/>
              </w:rPr>
              <w:t>*</w:t>
            </w:r>
          </w:p>
        </w:tc>
        <w:tc>
          <w:tcPr>
            <w:tcW w:w="5954" w:type="dxa"/>
            <w:shd w:val="clear" w:color="auto" w:fill="auto"/>
            <w:noWrap/>
            <w:hideMark/>
          </w:tcPr>
          <w:p w14:paraId="73EDC6E9"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Streptococcus infection in conditions classified elsewhere and of unspecified site, streptococcus, unspecified, staphylococcus infection in conditions classified elsewhere and of unspecified site, staphylococcus, unspecified.</w:t>
            </w:r>
          </w:p>
        </w:tc>
      </w:tr>
      <w:tr w:rsidR="00F511F4" w:rsidRPr="00F05560" w14:paraId="1E932744" w14:textId="77777777" w:rsidTr="001F53D9">
        <w:trPr>
          <w:trHeight w:val="285"/>
        </w:trPr>
        <w:tc>
          <w:tcPr>
            <w:tcW w:w="988" w:type="dxa"/>
            <w:shd w:val="clear" w:color="auto" w:fill="auto"/>
            <w:noWrap/>
            <w:hideMark/>
          </w:tcPr>
          <w:p w14:paraId="60920CC9"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L97</w:t>
            </w:r>
          </w:p>
        </w:tc>
        <w:tc>
          <w:tcPr>
            <w:tcW w:w="2835" w:type="dxa"/>
            <w:shd w:val="clear" w:color="auto" w:fill="auto"/>
            <w:noWrap/>
            <w:hideMark/>
          </w:tcPr>
          <w:p w14:paraId="5E016378"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Ulcer of lower limb, not elsewhere classified</w:t>
            </w:r>
          </w:p>
        </w:tc>
        <w:tc>
          <w:tcPr>
            <w:tcW w:w="865" w:type="dxa"/>
            <w:shd w:val="clear" w:color="auto" w:fill="auto"/>
            <w:noWrap/>
            <w:hideMark/>
          </w:tcPr>
          <w:p w14:paraId="7651D45F"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1.6</w:t>
            </w:r>
          </w:p>
        </w:tc>
        <w:tc>
          <w:tcPr>
            <w:tcW w:w="2253" w:type="dxa"/>
            <w:shd w:val="clear" w:color="auto" w:fill="auto"/>
            <w:noWrap/>
            <w:hideMark/>
          </w:tcPr>
          <w:p w14:paraId="3C4D424A"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707.10</w:t>
            </w:r>
          </w:p>
        </w:tc>
        <w:tc>
          <w:tcPr>
            <w:tcW w:w="5954" w:type="dxa"/>
            <w:shd w:val="clear" w:color="auto" w:fill="auto"/>
            <w:noWrap/>
            <w:hideMark/>
          </w:tcPr>
          <w:p w14:paraId="7AF4DB6F"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Ulcer of lower limb, unspecified</w:t>
            </w:r>
          </w:p>
        </w:tc>
      </w:tr>
      <w:tr w:rsidR="00F511F4" w:rsidRPr="00F05560" w14:paraId="42453F15" w14:textId="77777777" w:rsidTr="001F53D9">
        <w:trPr>
          <w:trHeight w:val="285"/>
        </w:trPr>
        <w:tc>
          <w:tcPr>
            <w:tcW w:w="988" w:type="dxa"/>
            <w:shd w:val="clear" w:color="auto" w:fill="auto"/>
            <w:noWrap/>
            <w:hideMark/>
          </w:tcPr>
          <w:p w14:paraId="0E560B96"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lastRenderedPageBreak/>
              <w:t>R44</w:t>
            </w:r>
          </w:p>
        </w:tc>
        <w:tc>
          <w:tcPr>
            <w:tcW w:w="2835" w:type="dxa"/>
            <w:shd w:val="clear" w:color="auto" w:fill="auto"/>
            <w:noWrap/>
            <w:hideMark/>
          </w:tcPr>
          <w:p w14:paraId="16072F98"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Other symptoms and signs involving general sensations and perceptions</w:t>
            </w:r>
          </w:p>
        </w:tc>
        <w:tc>
          <w:tcPr>
            <w:tcW w:w="865" w:type="dxa"/>
            <w:shd w:val="clear" w:color="auto" w:fill="auto"/>
            <w:noWrap/>
            <w:hideMark/>
          </w:tcPr>
          <w:p w14:paraId="2CB9933E"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1.6</w:t>
            </w:r>
          </w:p>
        </w:tc>
        <w:tc>
          <w:tcPr>
            <w:tcW w:w="2253" w:type="dxa"/>
            <w:shd w:val="clear" w:color="auto" w:fill="auto"/>
            <w:noWrap/>
            <w:hideMark/>
          </w:tcPr>
          <w:p w14:paraId="66526DC4"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781.1 782.0</w:t>
            </w:r>
          </w:p>
        </w:tc>
        <w:tc>
          <w:tcPr>
            <w:tcW w:w="5954" w:type="dxa"/>
            <w:shd w:val="clear" w:color="auto" w:fill="auto"/>
            <w:noWrap/>
            <w:hideMark/>
          </w:tcPr>
          <w:p w14:paraId="0349D38B"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Disturbances, smell and taste, sensory disturbance skin</w:t>
            </w:r>
          </w:p>
        </w:tc>
      </w:tr>
      <w:tr w:rsidR="00F511F4" w:rsidRPr="00F05560" w14:paraId="70FE5025" w14:textId="77777777" w:rsidTr="001F53D9">
        <w:trPr>
          <w:trHeight w:val="285"/>
        </w:trPr>
        <w:tc>
          <w:tcPr>
            <w:tcW w:w="988" w:type="dxa"/>
            <w:shd w:val="clear" w:color="auto" w:fill="auto"/>
            <w:noWrap/>
            <w:hideMark/>
          </w:tcPr>
          <w:p w14:paraId="7591DC53"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K26</w:t>
            </w:r>
          </w:p>
        </w:tc>
        <w:tc>
          <w:tcPr>
            <w:tcW w:w="2835" w:type="dxa"/>
            <w:shd w:val="clear" w:color="auto" w:fill="auto"/>
            <w:noWrap/>
            <w:hideMark/>
          </w:tcPr>
          <w:p w14:paraId="77BE48DF"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Duodenal ulcer</w:t>
            </w:r>
          </w:p>
        </w:tc>
        <w:tc>
          <w:tcPr>
            <w:tcW w:w="865" w:type="dxa"/>
            <w:shd w:val="clear" w:color="auto" w:fill="auto"/>
            <w:noWrap/>
            <w:hideMark/>
          </w:tcPr>
          <w:p w14:paraId="59FE826E"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1.6</w:t>
            </w:r>
          </w:p>
        </w:tc>
        <w:tc>
          <w:tcPr>
            <w:tcW w:w="2253" w:type="dxa"/>
            <w:shd w:val="clear" w:color="auto" w:fill="auto"/>
            <w:noWrap/>
            <w:hideMark/>
          </w:tcPr>
          <w:p w14:paraId="13DE93B3"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532*</w:t>
            </w:r>
          </w:p>
        </w:tc>
        <w:tc>
          <w:tcPr>
            <w:tcW w:w="5954" w:type="dxa"/>
            <w:shd w:val="clear" w:color="auto" w:fill="auto"/>
            <w:noWrap/>
            <w:hideMark/>
          </w:tcPr>
          <w:p w14:paraId="5CD4F66B"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Duodenal ulcer</w:t>
            </w:r>
          </w:p>
        </w:tc>
      </w:tr>
      <w:tr w:rsidR="00F511F4" w:rsidRPr="00F05560" w14:paraId="7A7BD9D6" w14:textId="77777777" w:rsidTr="001F53D9">
        <w:trPr>
          <w:trHeight w:val="285"/>
        </w:trPr>
        <w:tc>
          <w:tcPr>
            <w:tcW w:w="988" w:type="dxa"/>
            <w:shd w:val="clear" w:color="auto" w:fill="auto"/>
            <w:noWrap/>
            <w:hideMark/>
          </w:tcPr>
          <w:p w14:paraId="67557D25"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I95</w:t>
            </w:r>
          </w:p>
        </w:tc>
        <w:tc>
          <w:tcPr>
            <w:tcW w:w="2835" w:type="dxa"/>
            <w:shd w:val="clear" w:color="auto" w:fill="auto"/>
            <w:noWrap/>
            <w:hideMark/>
          </w:tcPr>
          <w:p w14:paraId="55AEEF3F"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Hypotension</w:t>
            </w:r>
          </w:p>
        </w:tc>
        <w:tc>
          <w:tcPr>
            <w:tcW w:w="865" w:type="dxa"/>
            <w:shd w:val="clear" w:color="auto" w:fill="auto"/>
            <w:noWrap/>
            <w:hideMark/>
          </w:tcPr>
          <w:p w14:paraId="331D38ED"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1.6</w:t>
            </w:r>
          </w:p>
        </w:tc>
        <w:tc>
          <w:tcPr>
            <w:tcW w:w="2253" w:type="dxa"/>
            <w:shd w:val="clear" w:color="auto" w:fill="auto"/>
            <w:noWrap/>
            <w:hideMark/>
          </w:tcPr>
          <w:p w14:paraId="031DAB4D"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458*</w:t>
            </w:r>
          </w:p>
        </w:tc>
        <w:tc>
          <w:tcPr>
            <w:tcW w:w="5954" w:type="dxa"/>
            <w:shd w:val="clear" w:color="auto" w:fill="auto"/>
            <w:noWrap/>
            <w:hideMark/>
          </w:tcPr>
          <w:p w14:paraId="24415C3A"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Hypotension</w:t>
            </w:r>
          </w:p>
        </w:tc>
      </w:tr>
      <w:tr w:rsidR="00F511F4" w:rsidRPr="00F05560" w14:paraId="1EB49CEC" w14:textId="77777777" w:rsidTr="001F53D9">
        <w:trPr>
          <w:trHeight w:val="285"/>
        </w:trPr>
        <w:tc>
          <w:tcPr>
            <w:tcW w:w="988" w:type="dxa"/>
            <w:shd w:val="clear" w:color="auto" w:fill="auto"/>
            <w:noWrap/>
            <w:hideMark/>
          </w:tcPr>
          <w:p w14:paraId="7C60E37F"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N19</w:t>
            </w:r>
          </w:p>
        </w:tc>
        <w:tc>
          <w:tcPr>
            <w:tcW w:w="2835" w:type="dxa"/>
            <w:shd w:val="clear" w:color="auto" w:fill="auto"/>
            <w:noWrap/>
            <w:hideMark/>
          </w:tcPr>
          <w:p w14:paraId="2C04699D"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Unspecified renal failure</w:t>
            </w:r>
          </w:p>
        </w:tc>
        <w:tc>
          <w:tcPr>
            <w:tcW w:w="865" w:type="dxa"/>
            <w:shd w:val="clear" w:color="auto" w:fill="auto"/>
            <w:noWrap/>
            <w:hideMark/>
          </w:tcPr>
          <w:p w14:paraId="405463DB"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1.6</w:t>
            </w:r>
          </w:p>
        </w:tc>
        <w:tc>
          <w:tcPr>
            <w:tcW w:w="2253" w:type="dxa"/>
            <w:shd w:val="clear" w:color="auto" w:fill="auto"/>
            <w:noWrap/>
            <w:hideMark/>
          </w:tcPr>
          <w:p w14:paraId="0087AEC4"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586</w:t>
            </w:r>
          </w:p>
        </w:tc>
        <w:tc>
          <w:tcPr>
            <w:tcW w:w="5954" w:type="dxa"/>
            <w:shd w:val="clear" w:color="auto" w:fill="auto"/>
            <w:noWrap/>
            <w:hideMark/>
          </w:tcPr>
          <w:p w14:paraId="70483F63"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Renal failure, unspecified</w:t>
            </w:r>
          </w:p>
        </w:tc>
      </w:tr>
      <w:tr w:rsidR="00F511F4" w:rsidRPr="00F05560" w14:paraId="337EBCB3" w14:textId="77777777" w:rsidTr="001F53D9">
        <w:trPr>
          <w:trHeight w:val="285"/>
        </w:trPr>
        <w:tc>
          <w:tcPr>
            <w:tcW w:w="988" w:type="dxa"/>
            <w:shd w:val="clear" w:color="auto" w:fill="auto"/>
            <w:noWrap/>
            <w:hideMark/>
          </w:tcPr>
          <w:p w14:paraId="11F4D497"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A41</w:t>
            </w:r>
          </w:p>
        </w:tc>
        <w:tc>
          <w:tcPr>
            <w:tcW w:w="2835" w:type="dxa"/>
            <w:shd w:val="clear" w:color="auto" w:fill="auto"/>
            <w:noWrap/>
            <w:hideMark/>
          </w:tcPr>
          <w:p w14:paraId="788C69F0"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Other septicaemia</w:t>
            </w:r>
          </w:p>
        </w:tc>
        <w:tc>
          <w:tcPr>
            <w:tcW w:w="865" w:type="dxa"/>
            <w:shd w:val="clear" w:color="auto" w:fill="auto"/>
            <w:noWrap/>
            <w:hideMark/>
          </w:tcPr>
          <w:p w14:paraId="3DC90829"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1.6</w:t>
            </w:r>
          </w:p>
        </w:tc>
        <w:tc>
          <w:tcPr>
            <w:tcW w:w="2253" w:type="dxa"/>
            <w:shd w:val="clear" w:color="auto" w:fill="auto"/>
            <w:noWrap/>
            <w:hideMark/>
          </w:tcPr>
          <w:p w14:paraId="644ADCFE"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038.9</w:t>
            </w:r>
          </w:p>
        </w:tc>
        <w:tc>
          <w:tcPr>
            <w:tcW w:w="5954" w:type="dxa"/>
            <w:shd w:val="clear" w:color="auto" w:fill="auto"/>
            <w:noWrap/>
            <w:hideMark/>
          </w:tcPr>
          <w:p w14:paraId="270CDCC8"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Unspecified septic</w:t>
            </w:r>
            <w:r>
              <w:rPr>
                <w:rFonts w:ascii="Calibri" w:eastAsia="Times New Roman" w:hAnsi="Calibri" w:cs="Calibri"/>
                <w:color w:val="000000"/>
                <w:lang w:eastAsia="en-GB"/>
              </w:rPr>
              <w:t>a</w:t>
            </w:r>
            <w:r w:rsidRPr="00F05560">
              <w:rPr>
                <w:rFonts w:ascii="Calibri" w:eastAsia="Times New Roman" w:hAnsi="Calibri" w:cs="Calibri"/>
                <w:color w:val="000000"/>
                <w:lang w:eastAsia="en-GB"/>
              </w:rPr>
              <w:t>emia</w:t>
            </w:r>
          </w:p>
        </w:tc>
      </w:tr>
      <w:tr w:rsidR="00F511F4" w:rsidRPr="00F05560" w14:paraId="5003CEF1" w14:textId="77777777" w:rsidTr="001F53D9">
        <w:trPr>
          <w:trHeight w:val="285"/>
        </w:trPr>
        <w:tc>
          <w:tcPr>
            <w:tcW w:w="988" w:type="dxa"/>
            <w:shd w:val="clear" w:color="auto" w:fill="auto"/>
            <w:noWrap/>
            <w:hideMark/>
          </w:tcPr>
          <w:p w14:paraId="2019E2EA"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Z87</w:t>
            </w:r>
          </w:p>
        </w:tc>
        <w:tc>
          <w:tcPr>
            <w:tcW w:w="2835" w:type="dxa"/>
            <w:shd w:val="clear" w:color="auto" w:fill="auto"/>
            <w:noWrap/>
            <w:hideMark/>
          </w:tcPr>
          <w:p w14:paraId="1C22F437"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Personal history of other disease and conditions</w:t>
            </w:r>
          </w:p>
        </w:tc>
        <w:tc>
          <w:tcPr>
            <w:tcW w:w="865" w:type="dxa"/>
            <w:shd w:val="clear" w:color="auto" w:fill="auto"/>
            <w:noWrap/>
            <w:hideMark/>
          </w:tcPr>
          <w:p w14:paraId="03FFA738"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1.5</w:t>
            </w:r>
          </w:p>
        </w:tc>
        <w:tc>
          <w:tcPr>
            <w:tcW w:w="2253" w:type="dxa"/>
            <w:shd w:val="clear" w:color="auto" w:fill="auto"/>
            <w:noWrap/>
            <w:hideMark/>
          </w:tcPr>
          <w:p w14:paraId="01BEBC88"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V12.60 V12.69</w:t>
            </w:r>
          </w:p>
        </w:tc>
        <w:tc>
          <w:tcPr>
            <w:tcW w:w="5954" w:type="dxa"/>
            <w:shd w:val="clear" w:color="auto" w:fill="auto"/>
            <w:noWrap/>
            <w:hideMark/>
          </w:tcPr>
          <w:p w14:paraId="0D534ED4"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Personal history of unspecified disease of respiratory system, personal history of other disease of respiratory system</w:t>
            </w:r>
          </w:p>
        </w:tc>
      </w:tr>
      <w:tr w:rsidR="00F511F4" w:rsidRPr="00F05560" w14:paraId="2D0436B4" w14:textId="77777777" w:rsidTr="001F53D9">
        <w:trPr>
          <w:trHeight w:val="285"/>
        </w:trPr>
        <w:tc>
          <w:tcPr>
            <w:tcW w:w="988" w:type="dxa"/>
            <w:shd w:val="clear" w:color="auto" w:fill="auto"/>
            <w:noWrap/>
            <w:hideMark/>
          </w:tcPr>
          <w:p w14:paraId="3D26DFAA"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J96</w:t>
            </w:r>
          </w:p>
        </w:tc>
        <w:tc>
          <w:tcPr>
            <w:tcW w:w="2835" w:type="dxa"/>
            <w:shd w:val="clear" w:color="auto" w:fill="auto"/>
            <w:noWrap/>
            <w:hideMark/>
          </w:tcPr>
          <w:p w14:paraId="175F4B6F"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Respiratory failure, not elsewhere classified</w:t>
            </w:r>
          </w:p>
        </w:tc>
        <w:tc>
          <w:tcPr>
            <w:tcW w:w="865" w:type="dxa"/>
            <w:shd w:val="clear" w:color="auto" w:fill="auto"/>
            <w:noWrap/>
            <w:hideMark/>
          </w:tcPr>
          <w:p w14:paraId="3DDDB086"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1.5</w:t>
            </w:r>
          </w:p>
        </w:tc>
        <w:tc>
          <w:tcPr>
            <w:tcW w:w="2253" w:type="dxa"/>
            <w:shd w:val="clear" w:color="auto" w:fill="auto"/>
            <w:noWrap/>
            <w:hideMark/>
          </w:tcPr>
          <w:p w14:paraId="7CC9DE4A"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518.81 518.84 518.51 518.83</w:t>
            </w:r>
          </w:p>
        </w:tc>
        <w:tc>
          <w:tcPr>
            <w:tcW w:w="5954" w:type="dxa"/>
            <w:shd w:val="clear" w:color="auto" w:fill="auto"/>
            <w:noWrap/>
            <w:hideMark/>
          </w:tcPr>
          <w:p w14:paraId="6761C660"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Acute respiratory failure, acute and chronic respiratory failure, acute respiratory failure following trauma and surgery, chronic respiratory failure</w:t>
            </w:r>
          </w:p>
        </w:tc>
      </w:tr>
      <w:tr w:rsidR="00F511F4" w:rsidRPr="00F05560" w14:paraId="65FAFCD4" w14:textId="77777777" w:rsidTr="001F53D9">
        <w:trPr>
          <w:trHeight w:val="285"/>
        </w:trPr>
        <w:tc>
          <w:tcPr>
            <w:tcW w:w="988" w:type="dxa"/>
            <w:shd w:val="clear" w:color="auto" w:fill="auto"/>
            <w:noWrap/>
            <w:hideMark/>
          </w:tcPr>
          <w:p w14:paraId="15B36B77"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X59</w:t>
            </w:r>
          </w:p>
        </w:tc>
        <w:tc>
          <w:tcPr>
            <w:tcW w:w="2835" w:type="dxa"/>
            <w:shd w:val="clear" w:color="auto" w:fill="auto"/>
            <w:noWrap/>
            <w:hideMark/>
          </w:tcPr>
          <w:p w14:paraId="1F2E6011"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Exposure to unspecific factor</w:t>
            </w:r>
          </w:p>
        </w:tc>
        <w:tc>
          <w:tcPr>
            <w:tcW w:w="865" w:type="dxa"/>
            <w:shd w:val="clear" w:color="auto" w:fill="auto"/>
            <w:noWrap/>
            <w:hideMark/>
          </w:tcPr>
          <w:p w14:paraId="5128299E"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1.5</w:t>
            </w:r>
          </w:p>
        </w:tc>
        <w:tc>
          <w:tcPr>
            <w:tcW w:w="2253" w:type="dxa"/>
            <w:shd w:val="clear" w:color="auto" w:fill="auto"/>
            <w:noWrap/>
            <w:hideMark/>
          </w:tcPr>
          <w:p w14:paraId="0CD16A25"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E928.9</w:t>
            </w:r>
          </w:p>
        </w:tc>
        <w:tc>
          <w:tcPr>
            <w:tcW w:w="5954" w:type="dxa"/>
            <w:shd w:val="clear" w:color="auto" w:fill="auto"/>
            <w:noWrap/>
            <w:hideMark/>
          </w:tcPr>
          <w:p w14:paraId="58E1B574"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Unspecific accident</w:t>
            </w:r>
          </w:p>
        </w:tc>
      </w:tr>
      <w:tr w:rsidR="00F511F4" w:rsidRPr="00F05560" w14:paraId="67AC0061" w14:textId="77777777" w:rsidTr="001F53D9">
        <w:trPr>
          <w:trHeight w:val="285"/>
        </w:trPr>
        <w:tc>
          <w:tcPr>
            <w:tcW w:w="988" w:type="dxa"/>
            <w:shd w:val="clear" w:color="auto" w:fill="auto"/>
            <w:noWrap/>
            <w:hideMark/>
          </w:tcPr>
          <w:p w14:paraId="68C23B1D"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M19</w:t>
            </w:r>
          </w:p>
        </w:tc>
        <w:tc>
          <w:tcPr>
            <w:tcW w:w="2835" w:type="dxa"/>
            <w:shd w:val="clear" w:color="auto" w:fill="auto"/>
            <w:noWrap/>
            <w:hideMark/>
          </w:tcPr>
          <w:p w14:paraId="7E62A92A"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Other arthrosis</w:t>
            </w:r>
          </w:p>
        </w:tc>
        <w:tc>
          <w:tcPr>
            <w:tcW w:w="865" w:type="dxa"/>
            <w:shd w:val="clear" w:color="auto" w:fill="auto"/>
            <w:noWrap/>
            <w:hideMark/>
          </w:tcPr>
          <w:p w14:paraId="2A00A419"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1.5</w:t>
            </w:r>
          </w:p>
        </w:tc>
        <w:tc>
          <w:tcPr>
            <w:tcW w:w="2253" w:type="dxa"/>
            <w:shd w:val="clear" w:color="auto" w:fill="auto"/>
            <w:noWrap/>
            <w:hideMark/>
          </w:tcPr>
          <w:p w14:paraId="75A42606"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715*</w:t>
            </w:r>
          </w:p>
        </w:tc>
        <w:tc>
          <w:tcPr>
            <w:tcW w:w="5954" w:type="dxa"/>
            <w:shd w:val="clear" w:color="auto" w:fill="auto"/>
            <w:noWrap/>
            <w:hideMark/>
          </w:tcPr>
          <w:p w14:paraId="3553B74E"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Osteoarthrosis and allied disorders</w:t>
            </w:r>
          </w:p>
        </w:tc>
      </w:tr>
      <w:tr w:rsidR="00F511F4" w:rsidRPr="00F05560" w14:paraId="57050FC1" w14:textId="77777777" w:rsidTr="001F53D9">
        <w:trPr>
          <w:trHeight w:val="285"/>
        </w:trPr>
        <w:tc>
          <w:tcPr>
            <w:tcW w:w="988" w:type="dxa"/>
            <w:shd w:val="clear" w:color="auto" w:fill="auto"/>
            <w:noWrap/>
            <w:hideMark/>
          </w:tcPr>
          <w:p w14:paraId="4C97694C"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G40</w:t>
            </w:r>
          </w:p>
        </w:tc>
        <w:tc>
          <w:tcPr>
            <w:tcW w:w="2835" w:type="dxa"/>
            <w:shd w:val="clear" w:color="auto" w:fill="auto"/>
            <w:noWrap/>
            <w:hideMark/>
          </w:tcPr>
          <w:p w14:paraId="67AF5D34"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Epilepsy</w:t>
            </w:r>
          </w:p>
        </w:tc>
        <w:tc>
          <w:tcPr>
            <w:tcW w:w="865" w:type="dxa"/>
            <w:shd w:val="clear" w:color="auto" w:fill="auto"/>
            <w:noWrap/>
            <w:hideMark/>
          </w:tcPr>
          <w:p w14:paraId="4D977080"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1.4</w:t>
            </w:r>
          </w:p>
        </w:tc>
        <w:tc>
          <w:tcPr>
            <w:tcW w:w="2253" w:type="dxa"/>
            <w:shd w:val="clear" w:color="auto" w:fill="auto"/>
            <w:noWrap/>
            <w:hideMark/>
          </w:tcPr>
          <w:p w14:paraId="45C3CBD2"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345*</w:t>
            </w:r>
          </w:p>
        </w:tc>
        <w:tc>
          <w:tcPr>
            <w:tcW w:w="5954" w:type="dxa"/>
            <w:shd w:val="clear" w:color="auto" w:fill="auto"/>
            <w:noWrap/>
            <w:hideMark/>
          </w:tcPr>
          <w:p w14:paraId="036F11A8"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Epilepsy and recurrent seizures</w:t>
            </w:r>
          </w:p>
        </w:tc>
      </w:tr>
      <w:tr w:rsidR="00F511F4" w:rsidRPr="00F05560" w14:paraId="40D638AB" w14:textId="77777777" w:rsidTr="001F53D9">
        <w:trPr>
          <w:trHeight w:val="285"/>
        </w:trPr>
        <w:tc>
          <w:tcPr>
            <w:tcW w:w="988" w:type="dxa"/>
            <w:shd w:val="clear" w:color="auto" w:fill="auto"/>
            <w:noWrap/>
            <w:hideMark/>
          </w:tcPr>
          <w:p w14:paraId="783A4204"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M81</w:t>
            </w:r>
          </w:p>
        </w:tc>
        <w:tc>
          <w:tcPr>
            <w:tcW w:w="2835" w:type="dxa"/>
            <w:shd w:val="clear" w:color="auto" w:fill="auto"/>
            <w:noWrap/>
            <w:hideMark/>
          </w:tcPr>
          <w:p w14:paraId="6E038AA9"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Osteoporosis without pathological fracture</w:t>
            </w:r>
          </w:p>
        </w:tc>
        <w:tc>
          <w:tcPr>
            <w:tcW w:w="865" w:type="dxa"/>
            <w:shd w:val="clear" w:color="auto" w:fill="auto"/>
            <w:noWrap/>
            <w:hideMark/>
          </w:tcPr>
          <w:p w14:paraId="18EB754D"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1.4</w:t>
            </w:r>
          </w:p>
        </w:tc>
        <w:tc>
          <w:tcPr>
            <w:tcW w:w="2253" w:type="dxa"/>
            <w:shd w:val="clear" w:color="auto" w:fill="auto"/>
            <w:noWrap/>
            <w:hideMark/>
          </w:tcPr>
          <w:p w14:paraId="1BFFC0D9"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733.0*</w:t>
            </w:r>
          </w:p>
        </w:tc>
        <w:tc>
          <w:tcPr>
            <w:tcW w:w="5954" w:type="dxa"/>
            <w:shd w:val="clear" w:color="auto" w:fill="auto"/>
            <w:noWrap/>
            <w:hideMark/>
          </w:tcPr>
          <w:p w14:paraId="3D960F50"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Osteoporosis</w:t>
            </w:r>
          </w:p>
        </w:tc>
      </w:tr>
      <w:tr w:rsidR="00F511F4" w:rsidRPr="00F05560" w14:paraId="04769C7C" w14:textId="77777777" w:rsidTr="001F53D9">
        <w:trPr>
          <w:trHeight w:val="285"/>
        </w:trPr>
        <w:tc>
          <w:tcPr>
            <w:tcW w:w="988" w:type="dxa"/>
            <w:shd w:val="clear" w:color="auto" w:fill="auto"/>
            <w:noWrap/>
            <w:hideMark/>
          </w:tcPr>
          <w:p w14:paraId="7548D255"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S72</w:t>
            </w:r>
          </w:p>
        </w:tc>
        <w:tc>
          <w:tcPr>
            <w:tcW w:w="2835" w:type="dxa"/>
            <w:shd w:val="clear" w:color="auto" w:fill="auto"/>
            <w:noWrap/>
            <w:hideMark/>
          </w:tcPr>
          <w:p w14:paraId="05B9FB65"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Fracture of femur</w:t>
            </w:r>
          </w:p>
        </w:tc>
        <w:tc>
          <w:tcPr>
            <w:tcW w:w="865" w:type="dxa"/>
            <w:shd w:val="clear" w:color="auto" w:fill="auto"/>
            <w:noWrap/>
            <w:hideMark/>
          </w:tcPr>
          <w:p w14:paraId="4AEE168D"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1.4</w:t>
            </w:r>
          </w:p>
        </w:tc>
        <w:tc>
          <w:tcPr>
            <w:tcW w:w="2253" w:type="dxa"/>
            <w:shd w:val="clear" w:color="auto" w:fill="auto"/>
            <w:noWrap/>
            <w:hideMark/>
          </w:tcPr>
          <w:p w14:paraId="2AE3F64A"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820* 821*</w:t>
            </w:r>
          </w:p>
        </w:tc>
        <w:tc>
          <w:tcPr>
            <w:tcW w:w="5954" w:type="dxa"/>
            <w:shd w:val="clear" w:color="auto" w:fill="auto"/>
            <w:noWrap/>
            <w:hideMark/>
          </w:tcPr>
          <w:p w14:paraId="066C5146"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Fracture of neck of femur, fracture of other and unspecified parts of femur</w:t>
            </w:r>
          </w:p>
        </w:tc>
      </w:tr>
      <w:tr w:rsidR="00F511F4" w:rsidRPr="00F05560" w14:paraId="42B2B10B" w14:textId="77777777" w:rsidTr="001F53D9">
        <w:trPr>
          <w:trHeight w:val="285"/>
        </w:trPr>
        <w:tc>
          <w:tcPr>
            <w:tcW w:w="988" w:type="dxa"/>
            <w:shd w:val="clear" w:color="auto" w:fill="auto"/>
            <w:noWrap/>
            <w:hideMark/>
          </w:tcPr>
          <w:p w14:paraId="555E0169"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S32</w:t>
            </w:r>
          </w:p>
        </w:tc>
        <w:tc>
          <w:tcPr>
            <w:tcW w:w="2835" w:type="dxa"/>
            <w:shd w:val="clear" w:color="auto" w:fill="auto"/>
            <w:noWrap/>
            <w:hideMark/>
          </w:tcPr>
          <w:p w14:paraId="1268F41C"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Fracture of lumbar spine and pelvis</w:t>
            </w:r>
          </w:p>
        </w:tc>
        <w:tc>
          <w:tcPr>
            <w:tcW w:w="865" w:type="dxa"/>
            <w:shd w:val="clear" w:color="auto" w:fill="auto"/>
            <w:noWrap/>
            <w:hideMark/>
          </w:tcPr>
          <w:p w14:paraId="5F699D47"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1.4</w:t>
            </w:r>
          </w:p>
        </w:tc>
        <w:tc>
          <w:tcPr>
            <w:tcW w:w="2253" w:type="dxa"/>
            <w:shd w:val="clear" w:color="auto" w:fill="auto"/>
            <w:noWrap/>
            <w:hideMark/>
          </w:tcPr>
          <w:p w14:paraId="71C39517"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805.4 805.5 808*</w:t>
            </w:r>
          </w:p>
        </w:tc>
        <w:tc>
          <w:tcPr>
            <w:tcW w:w="5954" w:type="dxa"/>
            <w:shd w:val="clear" w:color="auto" w:fill="auto"/>
            <w:noWrap/>
            <w:hideMark/>
          </w:tcPr>
          <w:p w14:paraId="773B8D8F"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Closed fracture of lumbar vertebra without mention of spinal cord injury, open fracture of lumbar vertebra without mention of spinal cord injury, fracture of pelvis</w:t>
            </w:r>
          </w:p>
        </w:tc>
      </w:tr>
      <w:tr w:rsidR="00F511F4" w:rsidRPr="00F05560" w14:paraId="6FBAAC1C" w14:textId="77777777" w:rsidTr="001F53D9">
        <w:trPr>
          <w:trHeight w:val="285"/>
        </w:trPr>
        <w:tc>
          <w:tcPr>
            <w:tcW w:w="988" w:type="dxa"/>
            <w:shd w:val="clear" w:color="auto" w:fill="auto"/>
            <w:noWrap/>
            <w:hideMark/>
          </w:tcPr>
          <w:p w14:paraId="5C3EC3D8"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E16</w:t>
            </w:r>
          </w:p>
        </w:tc>
        <w:tc>
          <w:tcPr>
            <w:tcW w:w="2835" w:type="dxa"/>
            <w:shd w:val="clear" w:color="auto" w:fill="auto"/>
            <w:noWrap/>
            <w:hideMark/>
          </w:tcPr>
          <w:p w14:paraId="6EEC0EEE"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Other disorders of pancreatic internal secretion</w:t>
            </w:r>
          </w:p>
        </w:tc>
        <w:tc>
          <w:tcPr>
            <w:tcW w:w="865" w:type="dxa"/>
            <w:shd w:val="clear" w:color="auto" w:fill="auto"/>
            <w:noWrap/>
            <w:hideMark/>
          </w:tcPr>
          <w:p w14:paraId="7105BC04"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1.4</w:t>
            </w:r>
          </w:p>
        </w:tc>
        <w:tc>
          <w:tcPr>
            <w:tcW w:w="2253" w:type="dxa"/>
            <w:shd w:val="clear" w:color="auto" w:fill="auto"/>
            <w:noWrap/>
            <w:hideMark/>
          </w:tcPr>
          <w:p w14:paraId="040AD387"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251*</w:t>
            </w:r>
          </w:p>
        </w:tc>
        <w:tc>
          <w:tcPr>
            <w:tcW w:w="5954" w:type="dxa"/>
            <w:shd w:val="clear" w:color="auto" w:fill="auto"/>
            <w:noWrap/>
            <w:hideMark/>
          </w:tcPr>
          <w:p w14:paraId="2E618F14"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Other disorders of pancreatic internal secretion</w:t>
            </w:r>
          </w:p>
        </w:tc>
      </w:tr>
      <w:tr w:rsidR="00F511F4" w:rsidRPr="00F05560" w14:paraId="23F51C3F" w14:textId="77777777" w:rsidTr="001F53D9">
        <w:trPr>
          <w:trHeight w:val="285"/>
        </w:trPr>
        <w:tc>
          <w:tcPr>
            <w:tcW w:w="988" w:type="dxa"/>
            <w:shd w:val="clear" w:color="auto" w:fill="auto"/>
            <w:noWrap/>
            <w:hideMark/>
          </w:tcPr>
          <w:p w14:paraId="676990B3"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R94</w:t>
            </w:r>
          </w:p>
        </w:tc>
        <w:tc>
          <w:tcPr>
            <w:tcW w:w="2835" w:type="dxa"/>
            <w:shd w:val="clear" w:color="auto" w:fill="auto"/>
            <w:noWrap/>
            <w:hideMark/>
          </w:tcPr>
          <w:p w14:paraId="57E11DD5"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Abnormal results of function studies</w:t>
            </w:r>
          </w:p>
        </w:tc>
        <w:tc>
          <w:tcPr>
            <w:tcW w:w="865" w:type="dxa"/>
            <w:shd w:val="clear" w:color="auto" w:fill="auto"/>
            <w:noWrap/>
            <w:hideMark/>
          </w:tcPr>
          <w:p w14:paraId="7242696A"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1.4</w:t>
            </w:r>
          </w:p>
        </w:tc>
        <w:tc>
          <w:tcPr>
            <w:tcW w:w="2253" w:type="dxa"/>
            <w:shd w:val="clear" w:color="auto" w:fill="auto"/>
            <w:noWrap/>
            <w:hideMark/>
          </w:tcPr>
          <w:p w14:paraId="78D2FD11"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794*</w:t>
            </w:r>
          </w:p>
        </w:tc>
        <w:tc>
          <w:tcPr>
            <w:tcW w:w="5954" w:type="dxa"/>
            <w:shd w:val="clear" w:color="auto" w:fill="auto"/>
            <w:noWrap/>
            <w:hideMark/>
          </w:tcPr>
          <w:p w14:paraId="5143753A"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Nonspecific abnormal results of function studies</w:t>
            </w:r>
          </w:p>
        </w:tc>
      </w:tr>
      <w:tr w:rsidR="00F511F4" w:rsidRPr="00F05560" w14:paraId="742723AC" w14:textId="77777777" w:rsidTr="001F53D9">
        <w:trPr>
          <w:trHeight w:val="285"/>
        </w:trPr>
        <w:tc>
          <w:tcPr>
            <w:tcW w:w="988" w:type="dxa"/>
            <w:shd w:val="clear" w:color="auto" w:fill="auto"/>
            <w:noWrap/>
            <w:hideMark/>
          </w:tcPr>
          <w:p w14:paraId="0D495F20"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N18</w:t>
            </w:r>
          </w:p>
        </w:tc>
        <w:tc>
          <w:tcPr>
            <w:tcW w:w="2835" w:type="dxa"/>
            <w:shd w:val="clear" w:color="auto" w:fill="auto"/>
            <w:noWrap/>
            <w:hideMark/>
          </w:tcPr>
          <w:p w14:paraId="52D317FB"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Chronic renal failure</w:t>
            </w:r>
          </w:p>
        </w:tc>
        <w:tc>
          <w:tcPr>
            <w:tcW w:w="865" w:type="dxa"/>
            <w:shd w:val="clear" w:color="auto" w:fill="auto"/>
            <w:noWrap/>
            <w:hideMark/>
          </w:tcPr>
          <w:p w14:paraId="074BCB5C"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1.4</w:t>
            </w:r>
          </w:p>
        </w:tc>
        <w:tc>
          <w:tcPr>
            <w:tcW w:w="2253" w:type="dxa"/>
            <w:shd w:val="clear" w:color="auto" w:fill="auto"/>
            <w:noWrap/>
            <w:hideMark/>
          </w:tcPr>
          <w:p w14:paraId="01C52D5E"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585*</w:t>
            </w:r>
          </w:p>
        </w:tc>
        <w:tc>
          <w:tcPr>
            <w:tcW w:w="5954" w:type="dxa"/>
            <w:shd w:val="clear" w:color="auto" w:fill="auto"/>
            <w:noWrap/>
            <w:hideMark/>
          </w:tcPr>
          <w:p w14:paraId="046A1152"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Chronic kidney disease</w:t>
            </w:r>
          </w:p>
        </w:tc>
      </w:tr>
      <w:tr w:rsidR="00F511F4" w:rsidRPr="00F05560" w14:paraId="39E955D0" w14:textId="77777777" w:rsidTr="001F53D9">
        <w:trPr>
          <w:trHeight w:val="285"/>
        </w:trPr>
        <w:tc>
          <w:tcPr>
            <w:tcW w:w="988" w:type="dxa"/>
            <w:shd w:val="clear" w:color="auto" w:fill="auto"/>
            <w:noWrap/>
            <w:hideMark/>
          </w:tcPr>
          <w:p w14:paraId="1C9066C0"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R33</w:t>
            </w:r>
          </w:p>
        </w:tc>
        <w:tc>
          <w:tcPr>
            <w:tcW w:w="2835" w:type="dxa"/>
            <w:shd w:val="clear" w:color="auto" w:fill="auto"/>
            <w:noWrap/>
            <w:hideMark/>
          </w:tcPr>
          <w:p w14:paraId="6AC2A63E"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Retention of urine</w:t>
            </w:r>
          </w:p>
        </w:tc>
        <w:tc>
          <w:tcPr>
            <w:tcW w:w="865" w:type="dxa"/>
            <w:shd w:val="clear" w:color="auto" w:fill="auto"/>
            <w:noWrap/>
            <w:hideMark/>
          </w:tcPr>
          <w:p w14:paraId="48709833"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1.3</w:t>
            </w:r>
          </w:p>
        </w:tc>
        <w:tc>
          <w:tcPr>
            <w:tcW w:w="2253" w:type="dxa"/>
            <w:shd w:val="clear" w:color="auto" w:fill="auto"/>
            <w:noWrap/>
            <w:hideMark/>
          </w:tcPr>
          <w:p w14:paraId="228BCA26"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788.2*</w:t>
            </w:r>
          </w:p>
        </w:tc>
        <w:tc>
          <w:tcPr>
            <w:tcW w:w="5954" w:type="dxa"/>
            <w:shd w:val="clear" w:color="auto" w:fill="auto"/>
            <w:noWrap/>
            <w:hideMark/>
          </w:tcPr>
          <w:p w14:paraId="67D6E3AD"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Retention of urine</w:t>
            </w:r>
          </w:p>
        </w:tc>
      </w:tr>
      <w:tr w:rsidR="00F511F4" w:rsidRPr="00F05560" w14:paraId="7245A009" w14:textId="77777777" w:rsidTr="001F53D9">
        <w:trPr>
          <w:trHeight w:val="285"/>
        </w:trPr>
        <w:tc>
          <w:tcPr>
            <w:tcW w:w="988" w:type="dxa"/>
            <w:shd w:val="clear" w:color="auto" w:fill="auto"/>
            <w:noWrap/>
            <w:hideMark/>
          </w:tcPr>
          <w:p w14:paraId="478DF0F7"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R69</w:t>
            </w:r>
          </w:p>
        </w:tc>
        <w:tc>
          <w:tcPr>
            <w:tcW w:w="2835" w:type="dxa"/>
            <w:shd w:val="clear" w:color="auto" w:fill="auto"/>
            <w:noWrap/>
            <w:hideMark/>
          </w:tcPr>
          <w:p w14:paraId="2B621CDB"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Unknown and unspecified causes of morbidity</w:t>
            </w:r>
          </w:p>
        </w:tc>
        <w:tc>
          <w:tcPr>
            <w:tcW w:w="865" w:type="dxa"/>
            <w:shd w:val="clear" w:color="auto" w:fill="auto"/>
            <w:noWrap/>
            <w:hideMark/>
          </w:tcPr>
          <w:p w14:paraId="6DF9D153"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1.3</w:t>
            </w:r>
          </w:p>
        </w:tc>
        <w:tc>
          <w:tcPr>
            <w:tcW w:w="2253" w:type="dxa"/>
            <w:shd w:val="clear" w:color="auto" w:fill="auto"/>
            <w:noWrap/>
            <w:hideMark/>
          </w:tcPr>
          <w:p w14:paraId="23E06034"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799.9</w:t>
            </w:r>
          </w:p>
        </w:tc>
        <w:tc>
          <w:tcPr>
            <w:tcW w:w="5954" w:type="dxa"/>
            <w:shd w:val="clear" w:color="auto" w:fill="auto"/>
            <w:noWrap/>
            <w:hideMark/>
          </w:tcPr>
          <w:p w14:paraId="71D778E3"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Other unknown and unspecified cause of morbidity and mortality</w:t>
            </w:r>
          </w:p>
        </w:tc>
      </w:tr>
      <w:tr w:rsidR="00F511F4" w:rsidRPr="00F05560" w14:paraId="3954338B" w14:textId="77777777" w:rsidTr="001F53D9">
        <w:trPr>
          <w:trHeight w:val="285"/>
        </w:trPr>
        <w:tc>
          <w:tcPr>
            <w:tcW w:w="988" w:type="dxa"/>
            <w:shd w:val="clear" w:color="auto" w:fill="auto"/>
            <w:noWrap/>
            <w:hideMark/>
          </w:tcPr>
          <w:p w14:paraId="741977F8"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lastRenderedPageBreak/>
              <w:t>N28</w:t>
            </w:r>
          </w:p>
        </w:tc>
        <w:tc>
          <w:tcPr>
            <w:tcW w:w="2835" w:type="dxa"/>
            <w:shd w:val="clear" w:color="auto" w:fill="auto"/>
            <w:noWrap/>
            <w:hideMark/>
          </w:tcPr>
          <w:p w14:paraId="101C6B4B"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Other disorders of kidney and ureters, not elsewhere classified</w:t>
            </w:r>
          </w:p>
        </w:tc>
        <w:tc>
          <w:tcPr>
            <w:tcW w:w="865" w:type="dxa"/>
            <w:shd w:val="clear" w:color="auto" w:fill="auto"/>
            <w:noWrap/>
            <w:hideMark/>
          </w:tcPr>
          <w:p w14:paraId="2D4CDC03"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1.3</w:t>
            </w:r>
          </w:p>
        </w:tc>
        <w:tc>
          <w:tcPr>
            <w:tcW w:w="2253" w:type="dxa"/>
            <w:shd w:val="clear" w:color="auto" w:fill="auto"/>
            <w:noWrap/>
            <w:hideMark/>
          </w:tcPr>
          <w:p w14:paraId="78A128AB"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593*</w:t>
            </w:r>
          </w:p>
        </w:tc>
        <w:tc>
          <w:tcPr>
            <w:tcW w:w="5954" w:type="dxa"/>
            <w:shd w:val="clear" w:color="auto" w:fill="auto"/>
            <w:noWrap/>
            <w:hideMark/>
          </w:tcPr>
          <w:p w14:paraId="59A21032"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Other disorders of kidney and ureter</w:t>
            </w:r>
          </w:p>
        </w:tc>
      </w:tr>
      <w:tr w:rsidR="00F511F4" w:rsidRPr="00F05560" w14:paraId="47D8A855" w14:textId="77777777" w:rsidTr="001F53D9">
        <w:trPr>
          <w:trHeight w:val="285"/>
        </w:trPr>
        <w:tc>
          <w:tcPr>
            <w:tcW w:w="988" w:type="dxa"/>
            <w:shd w:val="clear" w:color="auto" w:fill="auto"/>
            <w:noWrap/>
            <w:hideMark/>
          </w:tcPr>
          <w:p w14:paraId="6E4A2C1E"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R32</w:t>
            </w:r>
          </w:p>
        </w:tc>
        <w:tc>
          <w:tcPr>
            <w:tcW w:w="2835" w:type="dxa"/>
            <w:shd w:val="clear" w:color="auto" w:fill="auto"/>
            <w:noWrap/>
            <w:hideMark/>
          </w:tcPr>
          <w:p w14:paraId="2E8B65D3"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Unspecified urinary incontinence</w:t>
            </w:r>
          </w:p>
        </w:tc>
        <w:tc>
          <w:tcPr>
            <w:tcW w:w="865" w:type="dxa"/>
            <w:shd w:val="clear" w:color="auto" w:fill="auto"/>
            <w:noWrap/>
            <w:hideMark/>
          </w:tcPr>
          <w:p w14:paraId="34CE0AEC"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1.2</w:t>
            </w:r>
          </w:p>
        </w:tc>
        <w:tc>
          <w:tcPr>
            <w:tcW w:w="2253" w:type="dxa"/>
            <w:shd w:val="clear" w:color="auto" w:fill="auto"/>
            <w:noWrap/>
            <w:hideMark/>
          </w:tcPr>
          <w:p w14:paraId="5F85CD35"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788.30</w:t>
            </w:r>
          </w:p>
        </w:tc>
        <w:tc>
          <w:tcPr>
            <w:tcW w:w="5954" w:type="dxa"/>
            <w:shd w:val="clear" w:color="auto" w:fill="auto"/>
            <w:noWrap/>
            <w:hideMark/>
          </w:tcPr>
          <w:p w14:paraId="2B1E636A"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Urinary incontinence, unspecified</w:t>
            </w:r>
          </w:p>
        </w:tc>
      </w:tr>
      <w:tr w:rsidR="00F511F4" w:rsidRPr="00F05560" w14:paraId="1C4DEF20" w14:textId="77777777" w:rsidTr="001F53D9">
        <w:trPr>
          <w:trHeight w:val="285"/>
        </w:trPr>
        <w:tc>
          <w:tcPr>
            <w:tcW w:w="988" w:type="dxa"/>
            <w:shd w:val="clear" w:color="auto" w:fill="auto"/>
            <w:noWrap/>
            <w:hideMark/>
          </w:tcPr>
          <w:p w14:paraId="5DBEA203"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G31</w:t>
            </w:r>
          </w:p>
        </w:tc>
        <w:tc>
          <w:tcPr>
            <w:tcW w:w="2835" w:type="dxa"/>
            <w:shd w:val="clear" w:color="auto" w:fill="auto"/>
            <w:noWrap/>
            <w:hideMark/>
          </w:tcPr>
          <w:p w14:paraId="755A44D3"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Other degenerative disease of the nervous system, not elsewhere classified</w:t>
            </w:r>
          </w:p>
        </w:tc>
        <w:tc>
          <w:tcPr>
            <w:tcW w:w="865" w:type="dxa"/>
            <w:shd w:val="clear" w:color="auto" w:fill="auto"/>
            <w:noWrap/>
            <w:hideMark/>
          </w:tcPr>
          <w:p w14:paraId="230F3689"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1.2</w:t>
            </w:r>
          </w:p>
        </w:tc>
        <w:tc>
          <w:tcPr>
            <w:tcW w:w="2253" w:type="dxa"/>
            <w:shd w:val="clear" w:color="auto" w:fill="auto"/>
            <w:noWrap/>
            <w:hideMark/>
          </w:tcPr>
          <w:p w14:paraId="19ABDE31"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331.11 331.19 331.2 330.8 330.8 331.82 331.83 331.6 331.89 331.9</w:t>
            </w:r>
          </w:p>
        </w:tc>
        <w:tc>
          <w:tcPr>
            <w:tcW w:w="5954" w:type="dxa"/>
            <w:shd w:val="clear" w:color="auto" w:fill="auto"/>
            <w:noWrap/>
            <w:hideMark/>
          </w:tcPr>
          <w:p w14:paraId="7177CF05"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Pick's disease, other frontotemporal dementia, senile degeneration of the brain, other specified cerebral degeneratio</w:t>
            </w:r>
            <w:r>
              <w:rPr>
                <w:rFonts w:ascii="Calibri" w:eastAsia="Times New Roman" w:hAnsi="Calibri" w:cs="Calibri"/>
                <w:color w:val="000000"/>
                <w:lang w:eastAsia="en-GB"/>
              </w:rPr>
              <w:t>ns in childhood, dementia with L</w:t>
            </w:r>
            <w:r w:rsidRPr="00F05560">
              <w:rPr>
                <w:rFonts w:ascii="Calibri" w:eastAsia="Times New Roman" w:hAnsi="Calibri" w:cs="Calibri"/>
                <w:color w:val="000000"/>
                <w:lang w:eastAsia="en-GB"/>
              </w:rPr>
              <w:t>ewy bodies, mild cognitive impairment, corticobasal degeneration, other cerebral degeneration, cerebral degeneration unspecified</w:t>
            </w:r>
          </w:p>
        </w:tc>
      </w:tr>
      <w:tr w:rsidR="00F511F4" w:rsidRPr="00F05560" w14:paraId="5144AF03" w14:textId="77777777" w:rsidTr="001F53D9">
        <w:trPr>
          <w:trHeight w:val="285"/>
        </w:trPr>
        <w:tc>
          <w:tcPr>
            <w:tcW w:w="988" w:type="dxa"/>
            <w:shd w:val="clear" w:color="auto" w:fill="auto"/>
            <w:noWrap/>
            <w:hideMark/>
          </w:tcPr>
          <w:p w14:paraId="74DB5F49"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Y95</w:t>
            </w:r>
          </w:p>
        </w:tc>
        <w:tc>
          <w:tcPr>
            <w:tcW w:w="2835" w:type="dxa"/>
            <w:shd w:val="clear" w:color="auto" w:fill="auto"/>
            <w:noWrap/>
            <w:hideMark/>
          </w:tcPr>
          <w:p w14:paraId="1EE36A5C"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Nosocomial condition</w:t>
            </w:r>
          </w:p>
        </w:tc>
        <w:tc>
          <w:tcPr>
            <w:tcW w:w="865" w:type="dxa"/>
            <w:shd w:val="clear" w:color="auto" w:fill="auto"/>
            <w:noWrap/>
            <w:hideMark/>
          </w:tcPr>
          <w:p w14:paraId="15740233"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1.2</w:t>
            </w:r>
          </w:p>
        </w:tc>
        <w:tc>
          <w:tcPr>
            <w:tcW w:w="2253" w:type="dxa"/>
            <w:shd w:val="clear" w:color="auto" w:fill="auto"/>
            <w:noWrap/>
            <w:hideMark/>
          </w:tcPr>
          <w:p w14:paraId="1E85098A"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136.9</w:t>
            </w:r>
          </w:p>
        </w:tc>
        <w:tc>
          <w:tcPr>
            <w:tcW w:w="5954" w:type="dxa"/>
            <w:shd w:val="clear" w:color="auto" w:fill="auto"/>
            <w:noWrap/>
            <w:hideMark/>
          </w:tcPr>
          <w:p w14:paraId="70CBB0A5"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Unspecified infectious and parasitic diseases</w:t>
            </w:r>
          </w:p>
        </w:tc>
      </w:tr>
      <w:tr w:rsidR="00F511F4" w:rsidRPr="00F05560" w14:paraId="08FB4C1E" w14:textId="77777777" w:rsidTr="001F53D9">
        <w:trPr>
          <w:trHeight w:val="285"/>
        </w:trPr>
        <w:tc>
          <w:tcPr>
            <w:tcW w:w="988" w:type="dxa"/>
            <w:shd w:val="clear" w:color="auto" w:fill="auto"/>
            <w:noWrap/>
            <w:hideMark/>
          </w:tcPr>
          <w:p w14:paraId="52FAF6B5"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S09</w:t>
            </w:r>
          </w:p>
        </w:tc>
        <w:tc>
          <w:tcPr>
            <w:tcW w:w="2835" w:type="dxa"/>
            <w:shd w:val="clear" w:color="auto" w:fill="auto"/>
            <w:noWrap/>
            <w:hideMark/>
          </w:tcPr>
          <w:p w14:paraId="00D757D2"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Other and unspecified injuries of head</w:t>
            </w:r>
          </w:p>
        </w:tc>
        <w:tc>
          <w:tcPr>
            <w:tcW w:w="865" w:type="dxa"/>
            <w:shd w:val="clear" w:color="auto" w:fill="auto"/>
            <w:noWrap/>
            <w:hideMark/>
          </w:tcPr>
          <w:p w14:paraId="6050D380"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1.2</w:t>
            </w:r>
          </w:p>
        </w:tc>
        <w:tc>
          <w:tcPr>
            <w:tcW w:w="2253" w:type="dxa"/>
            <w:shd w:val="clear" w:color="auto" w:fill="auto"/>
            <w:noWrap/>
            <w:hideMark/>
          </w:tcPr>
          <w:p w14:paraId="17CEC8E5"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959.01</w:t>
            </w:r>
          </w:p>
        </w:tc>
        <w:tc>
          <w:tcPr>
            <w:tcW w:w="5954" w:type="dxa"/>
            <w:shd w:val="clear" w:color="auto" w:fill="auto"/>
            <w:noWrap/>
            <w:hideMark/>
          </w:tcPr>
          <w:p w14:paraId="72FDADA3"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Head injury, unspecified</w:t>
            </w:r>
          </w:p>
        </w:tc>
      </w:tr>
      <w:tr w:rsidR="00F511F4" w:rsidRPr="00F05560" w14:paraId="61BA2757" w14:textId="77777777" w:rsidTr="001F53D9">
        <w:trPr>
          <w:trHeight w:val="285"/>
        </w:trPr>
        <w:tc>
          <w:tcPr>
            <w:tcW w:w="988" w:type="dxa"/>
            <w:shd w:val="clear" w:color="auto" w:fill="auto"/>
            <w:noWrap/>
            <w:hideMark/>
          </w:tcPr>
          <w:p w14:paraId="2BA3BECA"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R45</w:t>
            </w:r>
          </w:p>
        </w:tc>
        <w:tc>
          <w:tcPr>
            <w:tcW w:w="2835" w:type="dxa"/>
            <w:shd w:val="clear" w:color="auto" w:fill="auto"/>
            <w:noWrap/>
            <w:hideMark/>
          </w:tcPr>
          <w:p w14:paraId="43DB2572"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Symptoms and signs involving emotional state</w:t>
            </w:r>
          </w:p>
        </w:tc>
        <w:tc>
          <w:tcPr>
            <w:tcW w:w="865" w:type="dxa"/>
            <w:shd w:val="clear" w:color="auto" w:fill="auto"/>
            <w:noWrap/>
            <w:hideMark/>
          </w:tcPr>
          <w:p w14:paraId="49386CFE"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1.2</w:t>
            </w:r>
          </w:p>
        </w:tc>
        <w:tc>
          <w:tcPr>
            <w:tcW w:w="2253" w:type="dxa"/>
            <w:shd w:val="clear" w:color="auto" w:fill="auto"/>
            <w:noWrap/>
            <w:hideMark/>
          </w:tcPr>
          <w:p w14:paraId="14BA194D"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308.0</w:t>
            </w:r>
          </w:p>
        </w:tc>
        <w:tc>
          <w:tcPr>
            <w:tcW w:w="5954" w:type="dxa"/>
            <w:shd w:val="clear" w:color="auto" w:fill="auto"/>
            <w:noWrap/>
            <w:hideMark/>
          </w:tcPr>
          <w:p w14:paraId="42696E52"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Predominant disturbance of emotions</w:t>
            </w:r>
          </w:p>
        </w:tc>
      </w:tr>
      <w:tr w:rsidR="00F511F4" w:rsidRPr="00F05560" w14:paraId="044CB53D" w14:textId="77777777" w:rsidTr="001F53D9">
        <w:trPr>
          <w:trHeight w:val="285"/>
        </w:trPr>
        <w:tc>
          <w:tcPr>
            <w:tcW w:w="988" w:type="dxa"/>
            <w:shd w:val="clear" w:color="auto" w:fill="auto"/>
            <w:noWrap/>
            <w:hideMark/>
          </w:tcPr>
          <w:p w14:paraId="3D840F7E"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G45</w:t>
            </w:r>
          </w:p>
        </w:tc>
        <w:tc>
          <w:tcPr>
            <w:tcW w:w="2835" w:type="dxa"/>
            <w:shd w:val="clear" w:color="auto" w:fill="auto"/>
            <w:noWrap/>
            <w:hideMark/>
          </w:tcPr>
          <w:p w14:paraId="0E533B47"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Transient cerebral ischaemic attacks and related syndromes</w:t>
            </w:r>
          </w:p>
        </w:tc>
        <w:tc>
          <w:tcPr>
            <w:tcW w:w="865" w:type="dxa"/>
            <w:shd w:val="clear" w:color="auto" w:fill="auto"/>
            <w:noWrap/>
            <w:hideMark/>
          </w:tcPr>
          <w:p w14:paraId="2A15D8DA"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1.2</w:t>
            </w:r>
          </w:p>
        </w:tc>
        <w:tc>
          <w:tcPr>
            <w:tcW w:w="2253" w:type="dxa"/>
            <w:shd w:val="clear" w:color="auto" w:fill="auto"/>
            <w:noWrap/>
            <w:hideMark/>
          </w:tcPr>
          <w:p w14:paraId="232CF6AB"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435*</w:t>
            </w:r>
          </w:p>
        </w:tc>
        <w:tc>
          <w:tcPr>
            <w:tcW w:w="5954" w:type="dxa"/>
            <w:shd w:val="clear" w:color="auto" w:fill="auto"/>
            <w:noWrap/>
            <w:hideMark/>
          </w:tcPr>
          <w:p w14:paraId="0EFFBEF0"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Transient cerebral ischemia</w:t>
            </w:r>
          </w:p>
        </w:tc>
      </w:tr>
      <w:tr w:rsidR="00F511F4" w:rsidRPr="00F05560" w14:paraId="7B1E3257" w14:textId="77777777" w:rsidTr="001F53D9">
        <w:trPr>
          <w:trHeight w:val="285"/>
        </w:trPr>
        <w:tc>
          <w:tcPr>
            <w:tcW w:w="988" w:type="dxa"/>
            <w:shd w:val="clear" w:color="auto" w:fill="auto"/>
            <w:noWrap/>
            <w:hideMark/>
          </w:tcPr>
          <w:p w14:paraId="0DD1938B"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Z74</w:t>
            </w:r>
          </w:p>
        </w:tc>
        <w:tc>
          <w:tcPr>
            <w:tcW w:w="2835" w:type="dxa"/>
            <w:shd w:val="clear" w:color="auto" w:fill="auto"/>
            <w:noWrap/>
            <w:hideMark/>
          </w:tcPr>
          <w:p w14:paraId="3C15FFAE"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Problems related to care-provider dependency</w:t>
            </w:r>
          </w:p>
        </w:tc>
        <w:tc>
          <w:tcPr>
            <w:tcW w:w="865" w:type="dxa"/>
            <w:shd w:val="clear" w:color="auto" w:fill="auto"/>
            <w:noWrap/>
            <w:hideMark/>
          </w:tcPr>
          <w:p w14:paraId="32FE9B4A"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1.1</w:t>
            </w:r>
          </w:p>
        </w:tc>
        <w:tc>
          <w:tcPr>
            <w:tcW w:w="2253" w:type="dxa"/>
            <w:shd w:val="clear" w:color="auto" w:fill="auto"/>
            <w:noWrap/>
            <w:hideMark/>
          </w:tcPr>
          <w:p w14:paraId="6C9840FE"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V60.9</w:t>
            </w:r>
          </w:p>
        </w:tc>
        <w:tc>
          <w:tcPr>
            <w:tcW w:w="5954" w:type="dxa"/>
            <w:shd w:val="clear" w:color="auto" w:fill="auto"/>
            <w:noWrap/>
            <w:hideMark/>
          </w:tcPr>
          <w:p w14:paraId="28024BAF"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Unspecified housing or economic circumstance</w:t>
            </w:r>
          </w:p>
        </w:tc>
      </w:tr>
      <w:tr w:rsidR="00F511F4" w:rsidRPr="00F05560" w14:paraId="6461A13A" w14:textId="77777777" w:rsidTr="001F53D9">
        <w:trPr>
          <w:trHeight w:val="285"/>
        </w:trPr>
        <w:tc>
          <w:tcPr>
            <w:tcW w:w="988" w:type="dxa"/>
            <w:shd w:val="clear" w:color="auto" w:fill="auto"/>
            <w:noWrap/>
            <w:hideMark/>
          </w:tcPr>
          <w:p w14:paraId="507E3588"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M79</w:t>
            </w:r>
          </w:p>
        </w:tc>
        <w:tc>
          <w:tcPr>
            <w:tcW w:w="2835" w:type="dxa"/>
            <w:shd w:val="clear" w:color="auto" w:fill="auto"/>
            <w:noWrap/>
            <w:hideMark/>
          </w:tcPr>
          <w:p w14:paraId="14D87B0D"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Other soft tissue disorder, not elsewhere classified</w:t>
            </w:r>
          </w:p>
        </w:tc>
        <w:tc>
          <w:tcPr>
            <w:tcW w:w="865" w:type="dxa"/>
            <w:shd w:val="clear" w:color="auto" w:fill="auto"/>
            <w:noWrap/>
            <w:hideMark/>
          </w:tcPr>
          <w:p w14:paraId="4FF550A1"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1.1</w:t>
            </w:r>
          </w:p>
        </w:tc>
        <w:tc>
          <w:tcPr>
            <w:tcW w:w="2253" w:type="dxa"/>
            <w:shd w:val="clear" w:color="auto" w:fill="auto"/>
            <w:noWrap/>
            <w:hideMark/>
          </w:tcPr>
          <w:p w14:paraId="1122FF17"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729.99</w:t>
            </w:r>
          </w:p>
        </w:tc>
        <w:tc>
          <w:tcPr>
            <w:tcW w:w="5954" w:type="dxa"/>
            <w:shd w:val="clear" w:color="auto" w:fill="auto"/>
            <w:noWrap/>
            <w:hideMark/>
          </w:tcPr>
          <w:p w14:paraId="06A0DD97"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Soft tissue disorder NEC</w:t>
            </w:r>
          </w:p>
        </w:tc>
      </w:tr>
      <w:tr w:rsidR="00F511F4" w:rsidRPr="00F05560" w14:paraId="42907D94" w14:textId="77777777" w:rsidTr="001F53D9">
        <w:trPr>
          <w:trHeight w:val="285"/>
        </w:trPr>
        <w:tc>
          <w:tcPr>
            <w:tcW w:w="988" w:type="dxa"/>
            <w:shd w:val="clear" w:color="auto" w:fill="auto"/>
            <w:noWrap/>
            <w:hideMark/>
          </w:tcPr>
          <w:p w14:paraId="107310D4"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W06</w:t>
            </w:r>
          </w:p>
        </w:tc>
        <w:tc>
          <w:tcPr>
            <w:tcW w:w="2835" w:type="dxa"/>
            <w:shd w:val="clear" w:color="auto" w:fill="auto"/>
            <w:noWrap/>
            <w:hideMark/>
          </w:tcPr>
          <w:p w14:paraId="295957EE"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Fall involving bed</w:t>
            </w:r>
          </w:p>
        </w:tc>
        <w:tc>
          <w:tcPr>
            <w:tcW w:w="865" w:type="dxa"/>
            <w:shd w:val="clear" w:color="auto" w:fill="auto"/>
            <w:noWrap/>
            <w:hideMark/>
          </w:tcPr>
          <w:p w14:paraId="638F00CD"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1.1</w:t>
            </w:r>
          </w:p>
        </w:tc>
        <w:tc>
          <w:tcPr>
            <w:tcW w:w="2253" w:type="dxa"/>
            <w:shd w:val="clear" w:color="auto" w:fill="auto"/>
            <w:noWrap/>
            <w:hideMark/>
          </w:tcPr>
          <w:p w14:paraId="001EB349"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E884.4</w:t>
            </w:r>
          </w:p>
        </w:tc>
        <w:tc>
          <w:tcPr>
            <w:tcW w:w="5954" w:type="dxa"/>
            <w:shd w:val="clear" w:color="auto" w:fill="auto"/>
            <w:noWrap/>
            <w:hideMark/>
          </w:tcPr>
          <w:p w14:paraId="34D09FD5"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Fall from bed</w:t>
            </w:r>
          </w:p>
        </w:tc>
      </w:tr>
      <w:tr w:rsidR="00F511F4" w:rsidRPr="00F05560" w14:paraId="06E56DD2" w14:textId="77777777" w:rsidTr="001F53D9">
        <w:trPr>
          <w:trHeight w:val="285"/>
        </w:trPr>
        <w:tc>
          <w:tcPr>
            <w:tcW w:w="988" w:type="dxa"/>
            <w:shd w:val="clear" w:color="auto" w:fill="auto"/>
            <w:noWrap/>
            <w:hideMark/>
          </w:tcPr>
          <w:p w14:paraId="3C2E7EC4"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S01</w:t>
            </w:r>
          </w:p>
        </w:tc>
        <w:tc>
          <w:tcPr>
            <w:tcW w:w="2835" w:type="dxa"/>
            <w:shd w:val="clear" w:color="auto" w:fill="auto"/>
            <w:noWrap/>
            <w:hideMark/>
          </w:tcPr>
          <w:p w14:paraId="5EC20389"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Open wound of head</w:t>
            </w:r>
          </w:p>
        </w:tc>
        <w:tc>
          <w:tcPr>
            <w:tcW w:w="865" w:type="dxa"/>
            <w:shd w:val="clear" w:color="auto" w:fill="auto"/>
            <w:noWrap/>
            <w:hideMark/>
          </w:tcPr>
          <w:p w14:paraId="540E92E8"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1.1</w:t>
            </w:r>
          </w:p>
        </w:tc>
        <w:tc>
          <w:tcPr>
            <w:tcW w:w="2253" w:type="dxa"/>
            <w:shd w:val="clear" w:color="auto" w:fill="auto"/>
            <w:noWrap/>
            <w:hideMark/>
          </w:tcPr>
          <w:p w14:paraId="4E26BCF3"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870*/873*</w:t>
            </w:r>
          </w:p>
        </w:tc>
        <w:tc>
          <w:tcPr>
            <w:tcW w:w="5954" w:type="dxa"/>
            <w:shd w:val="clear" w:color="auto" w:fill="auto"/>
            <w:noWrap/>
            <w:hideMark/>
          </w:tcPr>
          <w:p w14:paraId="3F2B9AFB"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Open wound of ocular adnexa, open wound of eyeball, open wound of ear, other open wound of head</w:t>
            </w:r>
          </w:p>
        </w:tc>
      </w:tr>
      <w:tr w:rsidR="00F511F4" w:rsidRPr="00F05560" w14:paraId="5ADD33DE" w14:textId="77777777" w:rsidTr="001F53D9">
        <w:trPr>
          <w:trHeight w:val="285"/>
        </w:trPr>
        <w:tc>
          <w:tcPr>
            <w:tcW w:w="988" w:type="dxa"/>
            <w:shd w:val="clear" w:color="auto" w:fill="auto"/>
            <w:noWrap/>
            <w:hideMark/>
          </w:tcPr>
          <w:p w14:paraId="2AB2D494"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A04</w:t>
            </w:r>
          </w:p>
        </w:tc>
        <w:tc>
          <w:tcPr>
            <w:tcW w:w="2835" w:type="dxa"/>
            <w:shd w:val="clear" w:color="auto" w:fill="auto"/>
            <w:noWrap/>
            <w:hideMark/>
          </w:tcPr>
          <w:p w14:paraId="2991E997"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Other bacterial intestinal infections</w:t>
            </w:r>
          </w:p>
        </w:tc>
        <w:tc>
          <w:tcPr>
            <w:tcW w:w="865" w:type="dxa"/>
            <w:shd w:val="clear" w:color="auto" w:fill="auto"/>
            <w:noWrap/>
            <w:hideMark/>
          </w:tcPr>
          <w:p w14:paraId="5DBB05B1"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1.1</w:t>
            </w:r>
          </w:p>
        </w:tc>
        <w:tc>
          <w:tcPr>
            <w:tcW w:w="2253" w:type="dxa"/>
            <w:shd w:val="clear" w:color="auto" w:fill="auto"/>
            <w:noWrap/>
            <w:hideMark/>
          </w:tcPr>
          <w:p w14:paraId="6AD64E36"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008.49</w:t>
            </w:r>
          </w:p>
        </w:tc>
        <w:tc>
          <w:tcPr>
            <w:tcW w:w="5954" w:type="dxa"/>
            <w:shd w:val="clear" w:color="auto" w:fill="auto"/>
            <w:noWrap/>
            <w:hideMark/>
          </w:tcPr>
          <w:p w14:paraId="3A835192"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Bacterial enteritis NEC</w:t>
            </w:r>
          </w:p>
        </w:tc>
      </w:tr>
      <w:tr w:rsidR="00F511F4" w:rsidRPr="00F05560" w14:paraId="2FFC2636" w14:textId="77777777" w:rsidTr="001F53D9">
        <w:trPr>
          <w:trHeight w:val="285"/>
        </w:trPr>
        <w:tc>
          <w:tcPr>
            <w:tcW w:w="988" w:type="dxa"/>
            <w:shd w:val="clear" w:color="auto" w:fill="auto"/>
            <w:noWrap/>
            <w:hideMark/>
          </w:tcPr>
          <w:p w14:paraId="731B9FB7"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A09</w:t>
            </w:r>
          </w:p>
        </w:tc>
        <w:tc>
          <w:tcPr>
            <w:tcW w:w="2835" w:type="dxa"/>
            <w:shd w:val="clear" w:color="auto" w:fill="auto"/>
            <w:noWrap/>
            <w:hideMark/>
          </w:tcPr>
          <w:p w14:paraId="05CB280B"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Diarrhoea and gastroenteritis of presumed infectious origin</w:t>
            </w:r>
          </w:p>
        </w:tc>
        <w:tc>
          <w:tcPr>
            <w:tcW w:w="865" w:type="dxa"/>
            <w:shd w:val="clear" w:color="auto" w:fill="auto"/>
            <w:noWrap/>
            <w:hideMark/>
          </w:tcPr>
          <w:p w14:paraId="5DCBEB83"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1.1</w:t>
            </w:r>
          </w:p>
        </w:tc>
        <w:tc>
          <w:tcPr>
            <w:tcW w:w="2253" w:type="dxa"/>
            <w:shd w:val="clear" w:color="auto" w:fill="auto"/>
            <w:noWrap/>
            <w:hideMark/>
          </w:tcPr>
          <w:p w14:paraId="7316DF4C"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009.3</w:t>
            </w:r>
          </w:p>
        </w:tc>
        <w:tc>
          <w:tcPr>
            <w:tcW w:w="5954" w:type="dxa"/>
            <w:shd w:val="clear" w:color="auto" w:fill="auto"/>
            <w:noWrap/>
            <w:hideMark/>
          </w:tcPr>
          <w:p w14:paraId="4F81573A"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Diarrhoea of presumed infectious origin</w:t>
            </w:r>
          </w:p>
        </w:tc>
      </w:tr>
      <w:tr w:rsidR="00F511F4" w:rsidRPr="00F05560" w14:paraId="07EC5CD3" w14:textId="77777777" w:rsidTr="001F53D9">
        <w:trPr>
          <w:trHeight w:val="285"/>
        </w:trPr>
        <w:tc>
          <w:tcPr>
            <w:tcW w:w="988" w:type="dxa"/>
            <w:shd w:val="clear" w:color="auto" w:fill="auto"/>
            <w:noWrap/>
            <w:hideMark/>
          </w:tcPr>
          <w:p w14:paraId="7752ACCC"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J18</w:t>
            </w:r>
          </w:p>
        </w:tc>
        <w:tc>
          <w:tcPr>
            <w:tcW w:w="2835" w:type="dxa"/>
            <w:shd w:val="clear" w:color="auto" w:fill="auto"/>
            <w:noWrap/>
            <w:hideMark/>
          </w:tcPr>
          <w:p w14:paraId="39BBFD61"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Pneumonia, organism unspecified</w:t>
            </w:r>
          </w:p>
        </w:tc>
        <w:tc>
          <w:tcPr>
            <w:tcW w:w="865" w:type="dxa"/>
            <w:shd w:val="clear" w:color="auto" w:fill="auto"/>
            <w:noWrap/>
            <w:hideMark/>
          </w:tcPr>
          <w:p w14:paraId="7BF44209"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1.1</w:t>
            </w:r>
          </w:p>
        </w:tc>
        <w:tc>
          <w:tcPr>
            <w:tcW w:w="2253" w:type="dxa"/>
            <w:shd w:val="clear" w:color="auto" w:fill="auto"/>
            <w:noWrap/>
            <w:hideMark/>
          </w:tcPr>
          <w:p w14:paraId="64963E44"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486*</w:t>
            </w:r>
          </w:p>
        </w:tc>
        <w:tc>
          <w:tcPr>
            <w:tcW w:w="5954" w:type="dxa"/>
            <w:shd w:val="clear" w:color="auto" w:fill="auto"/>
            <w:noWrap/>
            <w:hideMark/>
          </w:tcPr>
          <w:p w14:paraId="72DF9F3A"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Pneumonia, organism unspecified</w:t>
            </w:r>
          </w:p>
        </w:tc>
      </w:tr>
      <w:tr w:rsidR="00F511F4" w:rsidRPr="00F05560" w14:paraId="552ED88C" w14:textId="77777777" w:rsidTr="001F53D9">
        <w:trPr>
          <w:trHeight w:val="285"/>
        </w:trPr>
        <w:tc>
          <w:tcPr>
            <w:tcW w:w="988" w:type="dxa"/>
            <w:shd w:val="clear" w:color="auto" w:fill="auto"/>
            <w:noWrap/>
            <w:hideMark/>
          </w:tcPr>
          <w:p w14:paraId="11B1BBBC"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lastRenderedPageBreak/>
              <w:t>J69</w:t>
            </w:r>
          </w:p>
        </w:tc>
        <w:tc>
          <w:tcPr>
            <w:tcW w:w="2835" w:type="dxa"/>
            <w:shd w:val="clear" w:color="auto" w:fill="auto"/>
            <w:noWrap/>
            <w:hideMark/>
          </w:tcPr>
          <w:p w14:paraId="6A7BCDCC"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Pneumonitis due to solids and liquids</w:t>
            </w:r>
          </w:p>
        </w:tc>
        <w:tc>
          <w:tcPr>
            <w:tcW w:w="865" w:type="dxa"/>
            <w:shd w:val="clear" w:color="auto" w:fill="auto"/>
            <w:noWrap/>
            <w:hideMark/>
          </w:tcPr>
          <w:p w14:paraId="2A92F549"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1</w:t>
            </w:r>
          </w:p>
        </w:tc>
        <w:tc>
          <w:tcPr>
            <w:tcW w:w="2253" w:type="dxa"/>
            <w:shd w:val="clear" w:color="auto" w:fill="auto"/>
            <w:noWrap/>
            <w:hideMark/>
          </w:tcPr>
          <w:p w14:paraId="62D8B3C1"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507.0</w:t>
            </w:r>
          </w:p>
        </w:tc>
        <w:tc>
          <w:tcPr>
            <w:tcW w:w="5954" w:type="dxa"/>
            <w:shd w:val="clear" w:color="auto" w:fill="auto"/>
            <w:noWrap/>
            <w:hideMark/>
          </w:tcPr>
          <w:p w14:paraId="2E74E2D5"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Pneumonitis due to inhalation of food or vomitus</w:t>
            </w:r>
          </w:p>
        </w:tc>
      </w:tr>
      <w:tr w:rsidR="00F511F4" w:rsidRPr="00F05560" w14:paraId="7FDE054B" w14:textId="77777777" w:rsidTr="001F53D9">
        <w:trPr>
          <w:trHeight w:val="285"/>
        </w:trPr>
        <w:tc>
          <w:tcPr>
            <w:tcW w:w="988" w:type="dxa"/>
            <w:shd w:val="clear" w:color="auto" w:fill="auto"/>
            <w:noWrap/>
            <w:hideMark/>
          </w:tcPr>
          <w:p w14:paraId="01366488"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R47</w:t>
            </w:r>
          </w:p>
        </w:tc>
        <w:tc>
          <w:tcPr>
            <w:tcW w:w="2835" w:type="dxa"/>
            <w:shd w:val="clear" w:color="auto" w:fill="auto"/>
            <w:noWrap/>
            <w:hideMark/>
          </w:tcPr>
          <w:p w14:paraId="1EBB5793"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Speech disturbances, not elsewhere classified</w:t>
            </w:r>
          </w:p>
        </w:tc>
        <w:tc>
          <w:tcPr>
            <w:tcW w:w="865" w:type="dxa"/>
            <w:shd w:val="clear" w:color="auto" w:fill="auto"/>
            <w:noWrap/>
            <w:hideMark/>
          </w:tcPr>
          <w:p w14:paraId="141B75A7"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1</w:t>
            </w:r>
          </w:p>
        </w:tc>
        <w:tc>
          <w:tcPr>
            <w:tcW w:w="2253" w:type="dxa"/>
            <w:shd w:val="clear" w:color="auto" w:fill="auto"/>
            <w:noWrap/>
            <w:hideMark/>
          </w:tcPr>
          <w:p w14:paraId="7C7D3F13"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784.59</w:t>
            </w:r>
          </w:p>
        </w:tc>
        <w:tc>
          <w:tcPr>
            <w:tcW w:w="5954" w:type="dxa"/>
            <w:shd w:val="clear" w:color="auto" w:fill="auto"/>
            <w:noWrap/>
            <w:hideMark/>
          </w:tcPr>
          <w:p w14:paraId="6BE9B552"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Other speech disturbance</w:t>
            </w:r>
          </w:p>
        </w:tc>
      </w:tr>
      <w:tr w:rsidR="00F511F4" w:rsidRPr="00F05560" w14:paraId="74448996" w14:textId="77777777" w:rsidTr="001F53D9">
        <w:trPr>
          <w:trHeight w:val="285"/>
        </w:trPr>
        <w:tc>
          <w:tcPr>
            <w:tcW w:w="988" w:type="dxa"/>
            <w:shd w:val="clear" w:color="auto" w:fill="auto"/>
            <w:noWrap/>
            <w:hideMark/>
          </w:tcPr>
          <w:p w14:paraId="037E0DDA"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E55</w:t>
            </w:r>
          </w:p>
        </w:tc>
        <w:tc>
          <w:tcPr>
            <w:tcW w:w="2835" w:type="dxa"/>
            <w:shd w:val="clear" w:color="auto" w:fill="auto"/>
            <w:noWrap/>
            <w:hideMark/>
          </w:tcPr>
          <w:p w14:paraId="15E62490"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Vitamin D deficiency</w:t>
            </w:r>
          </w:p>
        </w:tc>
        <w:tc>
          <w:tcPr>
            <w:tcW w:w="865" w:type="dxa"/>
            <w:shd w:val="clear" w:color="auto" w:fill="auto"/>
            <w:noWrap/>
            <w:hideMark/>
          </w:tcPr>
          <w:p w14:paraId="39155CEA"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1</w:t>
            </w:r>
          </w:p>
        </w:tc>
        <w:tc>
          <w:tcPr>
            <w:tcW w:w="2253" w:type="dxa"/>
            <w:shd w:val="clear" w:color="auto" w:fill="auto"/>
            <w:noWrap/>
            <w:hideMark/>
          </w:tcPr>
          <w:p w14:paraId="039A441E"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268*</w:t>
            </w:r>
          </w:p>
        </w:tc>
        <w:tc>
          <w:tcPr>
            <w:tcW w:w="5954" w:type="dxa"/>
            <w:shd w:val="clear" w:color="auto" w:fill="auto"/>
            <w:noWrap/>
            <w:hideMark/>
          </w:tcPr>
          <w:p w14:paraId="5033F4D6"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Vitamin D deficiency</w:t>
            </w:r>
          </w:p>
        </w:tc>
      </w:tr>
      <w:tr w:rsidR="00F511F4" w:rsidRPr="00F05560" w14:paraId="265FA00D" w14:textId="77777777" w:rsidTr="001F53D9">
        <w:trPr>
          <w:trHeight w:val="285"/>
        </w:trPr>
        <w:tc>
          <w:tcPr>
            <w:tcW w:w="988" w:type="dxa"/>
            <w:shd w:val="clear" w:color="auto" w:fill="auto"/>
            <w:noWrap/>
            <w:hideMark/>
          </w:tcPr>
          <w:p w14:paraId="045F2327"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Z93</w:t>
            </w:r>
          </w:p>
        </w:tc>
        <w:tc>
          <w:tcPr>
            <w:tcW w:w="2835" w:type="dxa"/>
            <w:shd w:val="clear" w:color="auto" w:fill="auto"/>
            <w:noWrap/>
            <w:hideMark/>
          </w:tcPr>
          <w:p w14:paraId="50D432C2"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Artificial opening status</w:t>
            </w:r>
          </w:p>
        </w:tc>
        <w:tc>
          <w:tcPr>
            <w:tcW w:w="865" w:type="dxa"/>
            <w:shd w:val="clear" w:color="auto" w:fill="auto"/>
            <w:noWrap/>
            <w:hideMark/>
          </w:tcPr>
          <w:p w14:paraId="77AC2107"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1</w:t>
            </w:r>
          </w:p>
        </w:tc>
        <w:tc>
          <w:tcPr>
            <w:tcW w:w="2253" w:type="dxa"/>
            <w:shd w:val="clear" w:color="auto" w:fill="auto"/>
            <w:noWrap/>
            <w:hideMark/>
          </w:tcPr>
          <w:p w14:paraId="217C009B"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V44</w:t>
            </w:r>
          </w:p>
        </w:tc>
        <w:tc>
          <w:tcPr>
            <w:tcW w:w="5954" w:type="dxa"/>
            <w:shd w:val="clear" w:color="auto" w:fill="auto"/>
            <w:noWrap/>
            <w:hideMark/>
          </w:tcPr>
          <w:p w14:paraId="2D3005EA"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Artificial opening status</w:t>
            </w:r>
          </w:p>
        </w:tc>
      </w:tr>
      <w:tr w:rsidR="00F511F4" w:rsidRPr="00F05560" w14:paraId="58773722" w14:textId="77777777" w:rsidTr="001F53D9">
        <w:trPr>
          <w:trHeight w:val="285"/>
        </w:trPr>
        <w:tc>
          <w:tcPr>
            <w:tcW w:w="988" w:type="dxa"/>
            <w:shd w:val="clear" w:color="auto" w:fill="auto"/>
            <w:noWrap/>
            <w:hideMark/>
          </w:tcPr>
          <w:p w14:paraId="3D8BD57C"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R02</w:t>
            </w:r>
          </w:p>
        </w:tc>
        <w:tc>
          <w:tcPr>
            <w:tcW w:w="2835" w:type="dxa"/>
            <w:shd w:val="clear" w:color="auto" w:fill="auto"/>
            <w:noWrap/>
            <w:hideMark/>
          </w:tcPr>
          <w:p w14:paraId="3889C9D1"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Gangrene, not elsewhere classified</w:t>
            </w:r>
          </w:p>
        </w:tc>
        <w:tc>
          <w:tcPr>
            <w:tcW w:w="865" w:type="dxa"/>
            <w:shd w:val="clear" w:color="auto" w:fill="auto"/>
            <w:noWrap/>
            <w:hideMark/>
          </w:tcPr>
          <w:p w14:paraId="1910339D"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1</w:t>
            </w:r>
          </w:p>
        </w:tc>
        <w:tc>
          <w:tcPr>
            <w:tcW w:w="2253" w:type="dxa"/>
            <w:shd w:val="clear" w:color="auto" w:fill="auto"/>
            <w:noWrap/>
            <w:hideMark/>
          </w:tcPr>
          <w:p w14:paraId="1D98DBF7"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785.4</w:t>
            </w:r>
          </w:p>
        </w:tc>
        <w:tc>
          <w:tcPr>
            <w:tcW w:w="5954" w:type="dxa"/>
            <w:shd w:val="clear" w:color="auto" w:fill="auto"/>
            <w:noWrap/>
            <w:hideMark/>
          </w:tcPr>
          <w:p w14:paraId="0C3B429D"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Gangrene</w:t>
            </w:r>
          </w:p>
        </w:tc>
      </w:tr>
      <w:tr w:rsidR="00F511F4" w:rsidRPr="00F05560" w14:paraId="2A06DE72" w14:textId="77777777" w:rsidTr="001F53D9">
        <w:trPr>
          <w:trHeight w:val="285"/>
        </w:trPr>
        <w:tc>
          <w:tcPr>
            <w:tcW w:w="988" w:type="dxa"/>
            <w:shd w:val="clear" w:color="auto" w:fill="auto"/>
            <w:noWrap/>
            <w:hideMark/>
          </w:tcPr>
          <w:p w14:paraId="708AF2BC"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R63</w:t>
            </w:r>
          </w:p>
        </w:tc>
        <w:tc>
          <w:tcPr>
            <w:tcW w:w="2835" w:type="dxa"/>
            <w:shd w:val="clear" w:color="auto" w:fill="auto"/>
            <w:noWrap/>
            <w:hideMark/>
          </w:tcPr>
          <w:p w14:paraId="1D8EF8E8"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Symptoms and signs concerning food and fluid intake</w:t>
            </w:r>
          </w:p>
        </w:tc>
        <w:tc>
          <w:tcPr>
            <w:tcW w:w="865" w:type="dxa"/>
            <w:shd w:val="clear" w:color="auto" w:fill="auto"/>
            <w:noWrap/>
            <w:hideMark/>
          </w:tcPr>
          <w:p w14:paraId="10EF9142"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0.9</w:t>
            </w:r>
          </w:p>
        </w:tc>
        <w:tc>
          <w:tcPr>
            <w:tcW w:w="2253" w:type="dxa"/>
            <w:shd w:val="clear" w:color="auto" w:fill="auto"/>
            <w:noWrap/>
            <w:hideMark/>
          </w:tcPr>
          <w:p w14:paraId="51A45490"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783.9</w:t>
            </w:r>
          </w:p>
        </w:tc>
        <w:tc>
          <w:tcPr>
            <w:tcW w:w="5954" w:type="dxa"/>
            <w:shd w:val="clear" w:color="auto" w:fill="auto"/>
            <w:noWrap/>
            <w:hideMark/>
          </w:tcPr>
          <w:p w14:paraId="284CEC02"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Other symptoms concerning nutrition, metabolism, and development</w:t>
            </w:r>
          </w:p>
        </w:tc>
      </w:tr>
      <w:tr w:rsidR="00F511F4" w:rsidRPr="00F05560" w14:paraId="2E74AFFD" w14:textId="77777777" w:rsidTr="001F53D9">
        <w:trPr>
          <w:trHeight w:val="285"/>
        </w:trPr>
        <w:tc>
          <w:tcPr>
            <w:tcW w:w="988" w:type="dxa"/>
            <w:shd w:val="clear" w:color="auto" w:fill="auto"/>
            <w:noWrap/>
            <w:hideMark/>
          </w:tcPr>
          <w:p w14:paraId="64908D75"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H91</w:t>
            </w:r>
          </w:p>
        </w:tc>
        <w:tc>
          <w:tcPr>
            <w:tcW w:w="2835" w:type="dxa"/>
            <w:shd w:val="clear" w:color="auto" w:fill="auto"/>
            <w:noWrap/>
            <w:hideMark/>
          </w:tcPr>
          <w:p w14:paraId="188FBDBD"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Other hearing loss</w:t>
            </w:r>
          </w:p>
        </w:tc>
        <w:tc>
          <w:tcPr>
            <w:tcW w:w="865" w:type="dxa"/>
            <w:shd w:val="clear" w:color="auto" w:fill="auto"/>
            <w:noWrap/>
            <w:hideMark/>
          </w:tcPr>
          <w:p w14:paraId="5D6EB547"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0.9</w:t>
            </w:r>
          </w:p>
        </w:tc>
        <w:tc>
          <w:tcPr>
            <w:tcW w:w="2253" w:type="dxa"/>
            <w:shd w:val="clear" w:color="auto" w:fill="auto"/>
            <w:noWrap/>
            <w:hideMark/>
          </w:tcPr>
          <w:p w14:paraId="7B2D58C7"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389.9</w:t>
            </w:r>
          </w:p>
        </w:tc>
        <w:tc>
          <w:tcPr>
            <w:tcW w:w="5954" w:type="dxa"/>
            <w:shd w:val="clear" w:color="auto" w:fill="auto"/>
            <w:noWrap/>
            <w:hideMark/>
          </w:tcPr>
          <w:p w14:paraId="15B3D164"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Unspecified hearing loss</w:t>
            </w:r>
          </w:p>
        </w:tc>
      </w:tr>
      <w:tr w:rsidR="00F511F4" w:rsidRPr="00F05560" w14:paraId="2863DFE8" w14:textId="77777777" w:rsidTr="001F53D9">
        <w:trPr>
          <w:trHeight w:val="285"/>
        </w:trPr>
        <w:tc>
          <w:tcPr>
            <w:tcW w:w="988" w:type="dxa"/>
            <w:shd w:val="clear" w:color="auto" w:fill="auto"/>
            <w:noWrap/>
            <w:hideMark/>
          </w:tcPr>
          <w:p w14:paraId="4D903B66"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W10</w:t>
            </w:r>
          </w:p>
        </w:tc>
        <w:tc>
          <w:tcPr>
            <w:tcW w:w="2835" w:type="dxa"/>
            <w:shd w:val="clear" w:color="auto" w:fill="auto"/>
            <w:noWrap/>
            <w:hideMark/>
          </w:tcPr>
          <w:p w14:paraId="3143A4A1"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Fall on and from stairs and steps</w:t>
            </w:r>
          </w:p>
        </w:tc>
        <w:tc>
          <w:tcPr>
            <w:tcW w:w="865" w:type="dxa"/>
            <w:shd w:val="clear" w:color="auto" w:fill="auto"/>
            <w:noWrap/>
            <w:hideMark/>
          </w:tcPr>
          <w:p w14:paraId="0B0F6F89"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0.9</w:t>
            </w:r>
          </w:p>
        </w:tc>
        <w:tc>
          <w:tcPr>
            <w:tcW w:w="2253" w:type="dxa"/>
            <w:shd w:val="clear" w:color="auto" w:fill="auto"/>
            <w:noWrap/>
            <w:hideMark/>
          </w:tcPr>
          <w:p w14:paraId="6A369357"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E880.9</w:t>
            </w:r>
          </w:p>
        </w:tc>
        <w:tc>
          <w:tcPr>
            <w:tcW w:w="5954" w:type="dxa"/>
            <w:shd w:val="clear" w:color="auto" w:fill="auto"/>
            <w:noWrap/>
            <w:hideMark/>
          </w:tcPr>
          <w:p w14:paraId="4ABF4FC4"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Accidental fall on or from other stairs or steps</w:t>
            </w:r>
          </w:p>
        </w:tc>
      </w:tr>
      <w:tr w:rsidR="00F511F4" w:rsidRPr="00F05560" w14:paraId="4FF36C4C" w14:textId="77777777" w:rsidTr="001F53D9">
        <w:trPr>
          <w:trHeight w:val="285"/>
        </w:trPr>
        <w:tc>
          <w:tcPr>
            <w:tcW w:w="988" w:type="dxa"/>
            <w:shd w:val="clear" w:color="auto" w:fill="auto"/>
            <w:noWrap/>
            <w:hideMark/>
          </w:tcPr>
          <w:p w14:paraId="1A91889F"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W01</w:t>
            </w:r>
          </w:p>
        </w:tc>
        <w:tc>
          <w:tcPr>
            <w:tcW w:w="2835" w:type="dxa"/>
            <w:shd w:val="clear" w:color="auto" w:fill="auto"/>
            <w:noWrap/>
            <w:hideMark/>
          </w:tcPr>
          <w:p w14:paraId="5C32FE39"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Fall on same level from slipping, tripping and stumbling</w:t>
            </w:r>
          </w:p>
        </w:tc>
        <w:tc>
          <w:tcPr>
            <w:tcW w:w="865" w:type="dxa"/>
            <w:shd w:val="clear" w:color="auto" w:fill="auto"/>
            <w:noWrap/>
            <w:hideMark/>
          </w:tcPr>
          <w:p w14:paraId="2B4FAEF8"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0.9</w:t>
            </w:r>
          </w:p>
        </w:tc>
        <w:tc>
          <w:tcPr>
            <w:tcW w:w="2253" w:type="dxa"/>
            <w:shd w:val="clear" w:color="auto" w:fill="auto"/>
            <w:noWrap/>
            <w:hideMark/>
          </w:tcPr>
          <w:p w14:paraId="2AF826E7"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E885</w:t>
            </w:r>
          </w:p>
        </w:tc>
        <w:tc>
          <w:tcPr>
            <w:tcW w:w="5954" w:type="dxa"/>
            <w:shd w:val="clear" w:color="auto" w:fill="auto"/>
            <w:noWrap/>
            <w:hideMark/>
          </w:tcPr>
          <w:p w14:paraId="0CF93859"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Fall on same level from slipping, tripping and stumbling</w:t>
            </w:r>
          </w:p>
        </w:tc>
      </w:tr>
      <w:tr w:rsidR="00F511F4" w:rsidRPr="00F05560" w14:paraId="4DF3DB3C" w14:textId="77777777" w:rsidTr="001F53D9">
        <w:trPr>
          <w:trHeight w:val="285"/>
        </w:trPr>
        <w:tc>
          <w:tcPr>
            <w:tcW w:w="988" w:type="dxa"/>
            <w:shd w:val="clear" w:color="auto" w:fill="auto"/>
            <w:noWrap/>
            <w:hideMark/>
          </w:tcPr>
          <w:p w14:paraId="488E81C4"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E05</w:t>
            </w:r>
          </w:p>
        </w:tc>
        <w:tc>
          <w:tcPr>
            <w:tcW w:w="2835" w:type="dxa"/>
            <w:shd w:val="clear" w:color="auto" w:fill="auto"/>
            <w:noWrap/>
            <w:hideMark/>
          </w:tcPr>
          <w:p w14:paraId="1E151419" w14:textId="77777777" w:rsidR="00F511F4" w:rsidRPr="00F05560" w:rsidRDefault="00F511F4" w:rsidP="001F53D9">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Th</w:t>
            </w:r>
            <w:r w:rsidRPr="00F05560">
              <w:rPr>
                <w:rFonts w:ascii="Calibri" w:eastAsia="Times New Roman" w:hAnsi="Calibri" w:cs="Calibri"/>
                <w:color w:val="000000"/>
                <w:lang w:eastAsia="en-GB"/>
              </w:rPr>
              <w:t>y</w:t>
            </w:r>
            <w:r>
              <w:rPr>
                <w:rFonts w:ascii="Calibri" w:eastAsia="Times New Roman" w:hAnsi="Calibri" w:cs="Calibri"/>
                <w:color w:val="000000"/>
                <w:lang w:eastAsia="en-GB"/>
              </w:rPr>
              <w:t>r</w:t>
            </w:r>
            <w:r w:rsidRPr="00F05560">
              <w:rPr>
                <w:rFonts w:ascii="Calibri" w:eastAsia="Times New Roman" w:hAnsi="Calibri" w:cs="Calibri"/>
                <w:color w:val="000000"/>
                <w:lang w:eastAsia="en-GB"/>
              </w:rPr>
              <w:t>otoxicosis (hyperthyroidism)</w:t>
            </w:r>
          </w:p>
        </w:tc>
        <w:tc>
          <w:tcPr>
            <w:tcW w:w="865" w:type="dxa"/>
            <w:shd w:val="clear" w:color="auto" w:fill="auto"/>
            <w:noWrap/>
            <w:hideMark/>
          </w:tcPr>
          <w:p w14:paraId="29B0B908"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0.9</w:t>
            </w:r>
          </w:p>
        </w:tc>
        <w:tc>
          <w:tcPr>
            <w:tcW w:w="2253" w:type="dxa"/>
            <w:shd w:val="clear" w:color="auto" w:fill="auto"/>
            <w:noWrap/>
            <w:hideMark/>
          </w:tcPr>
          <w:p w14:paraId="7BB7395A"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242*</w:t>
            </w:r>
          </w:p>
        </w:tc>
        <w:tc>
          <w:tcPr>
            <w:tcW w:w="5954" w:type="dxa"/>
            <w:shd w:val="clear" w:color="auto" w:fill="auto"/>
            <w:noWrap/>
            <w:hideMark/>
          </w:tcPr>
          <w:p w14:paraId="3F201C8B"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Thyrotoxicosis with or without goitre</w:t>
            </w:r>
          </w:p>
        </w:tc>
      </w:tr>
      <w:tr w:rsidR="00F511F4" w:rsidRPr="00F05560" w14:paraId="25B05381" w14:textId="77777777" w:rsidTr="001F53D9">
        <w:trPr>
          <w:trHeight w:val="285"/>
        </w:trPr>
        <w:tc>
          <w:tcPr>
            <w:tcW w:w="988" w:type="dxa"/>
            <w:shd w:val="clear" w:color="auto" w:fill="auto"/>
            <w:noWrap/>
            <w:hideMark/>
          </w:tcPr>
          <w:p w14:paraId="1F2E655D"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M41</w:t>
            </w:r>
          </w:p>
        </w:tc>
        <w:tc>
          <w:tcPr>
            <w:tcW w:w="2835" w:type="dxa"/>
            <w:shd w:val="clear" w:color="auto" w:fill="auto"/>
            <w:noWrap/>
            <w:hideMark/>
          </w:tcPr>
          <w:p w14:paraId="51F36F16"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Scoliosis</w:t>
            </w:r>
          </w:p>
        </w:tc>
        <w:tc>
          <w:tcPr>
            <w:tcW w:w="865" w:type="dxa"/>
            <w:shd w:val="clear" w:color="auto" w:fill="auto"/>
            <w:noWrap/>
            <w:hideMark/>
          </w:tcPr>
          <w:p w14:paraId="02F971B8"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0.9</w:t>
            </w:r>
          </w:p>
        </w:tc>
        <w:tc>
          <w:tcPr>
            <w:tcW w:w="2253" w:type="dxa"/>
            <w:shd w:val="clear" w:color="auto" w:fill="auto"/>
            <w:noWrap/>
            <w:hideMark/>
          </w:tcPr>
          <w:p w14:paraId="368C4156"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737.3*</w:t>
            </w:r>
          </w:p>
        </w:tc>
        <w:tc>
          <w:tcPr>
            <w:tcW w:w="5954" w:type="dxa"/>
            <w:shd w:val="clear" w:color="auto" w:fill="auto"/>
            <w:noWrap/>
            <w:hideMark/>
          </w:tcPr>
          <w:p w14:paraId="3DB36180"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Kyphoscoliosis and scoliosis</w:t>
            </w:r>
          </w:p>
        </w:tc>
      </w:tr>
      <w:tr w:rsidR="00F511F4" w:rsidRPr="00F05560" w14:paraId="5183BB15" w14:textId="77777777" w:rsidTr="001F53D9">
        <w:trPr>
          <w:trHeight w:val="285"/>
        </w:trPr>
        <w:tc>
          <w:tcPr>
            <w:tcW w:w="988" w:type="dxa"/>
            <w:shd w:val="clear" w:color="auto" w:fill="auto"/>
            <w:noWrap/>
            <w:hideMark/>
          </w:tcPr>
          <w:p w14:paraId="788033D5"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R13</w:t>
            </w:r>
          </w:p>
        </w:tc>
        <w:tc>
          <w:tcPr>
            <w:tcW w:w="2835" w:type="dxa"/>
            <w:shd w:val="clear" w:color="auto" w:fill="auto"/>
            <w:noWrap/>
            <w:hideMark/>
          </w:tcPr>
          <w:p w14:paraId="69516684"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Dysphagia</w:t>
            </w:r>
          </w:p>
        </w:tc>
        <w:tc>
          <w:tcPr>
            <w:tcW w:w="865" w:type="dxa"/>
            <w:shd w:val="clear" w:color="auto" w:fill="auto"/>
            <w:noWrap/>
            <w:hideMark/>
          </w:tcPr>
          <w:p w14:paraId="72D6C4C5"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0.8</w:t>
            </w:r>
          </w:p>
        </w:tc>
        <w:tc>
          <w:tcPr>
            <w:tcW w:w="2253" w:type="dxa"/>
            <w:shd w:val="clear" w:color="auto" w:fill="auto"/>
            <w:noWrap/>
            <w:hideMark/>
          </w:tcPr>
          <w:p w14:paraId="3447AC35"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787.2*</w:t>
            </w:r>
          </w:p>
        </w:tc>
        <w:tc>
          <w:tcPr>
            <w:tcW w:w="5954" w:type="dxa"/>
            <w:shd w:val="clear" w:color="auto" w:fill="auto"/>
            <w:noWrap/>
            <w:hideMark/>
          </w:tcPr>
          <w:p w14:paraId="3CA643CC"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Dysphagia</w:t>
            </w:r>
          </w:p>
        </w:tc>
      </w:tr>
      <w:tr w:rsidR="00F511F4" w:rsidRPr="00F05560" w14:paraId="20D2B1C3" w14:textId="77777777" w:rsidTr="001F53D9">
        <w:trPr>
          <w:trHeight w:val="285"/>
        </w:trPr>
        <w:tc>
          <w:tcPr>
            <w:tcW w:w="988" w:type="dxa"/>
            <w:shd w:val="clear" w:color="auto" w:fill="auto"/>
            <w:noWrap/>
            <w:hideMark/>
          </w:tcPr>
          <w:p w14:paraId="45ACE387"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Z99</w:t>
            </w:r>
          </w:p>
        </w:tc>
        <w:tc>
          <w:tcPr>
            <w:tcW w:w="2835" w:type="dxa"/>
            <w:shd w:val="clear" w:color="auto" w:fill="auto"/>
            <w:noWrap/>
            <w:hideMark/>
          </w:tcPr>
          <w:p w14:paraId="14A19626"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Dependence on enabling machines and devices</w:t>
            </w:r>
          </w:p>
        </w:tc>
        <w:tc>
          <w:tcPr>
            <w:tcW w:w="865" w:type="dxa"/>
            <w:shd w:val="clear" w:color="auto" w:fill="auto"/>
            <w:noWrap/>
            <w:hideMark/>
          </w:tcPr>
          <w:p w14:paraId="1609FD0F"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0.8</w:t>
            </w:r>
          </w:p>
        </w:tc>
        <w:tc>
          <w:tcPr>
            <w:tcW w:w="2253" w:type="dxa"/>
            <w:shd w:val="clear" w:color="auto" w:fill="auto"/>
            <w:noWrap/>
            <w:hideMark/>
          </w:tcPr>
          <w:p w14:paraId="183DE658"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V46</w:t>
            </w:r>
          </w:p>
        </w:tc>
        <w:tc>
          <w:tcPr>
            <w:tcW w:w="5954" w:type="dxa"/>
            <w:shd w:val="clear" w:color="auto" w:fill="auto"/>
            <w:noWrap/>
            <w:hideMark/>
          </w:tcPr>
          <w:p w14:paraId="19BA72CC"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Other dependence on machines and devices</w:t>
            </w:r>
          </w:p>
        </w:tc>
      </w:tr>
      <w:tr w:rsidR="00F511F4" w:rsidRPr="00F05560" w14:paraId="4157D260" w14:textId="77777777" w:rsidTr="001F53D9">
        <w:trPr>
          <w:trHeight w:val="285"/>
        </w:trPr>
        <w:tc>
          <w:tcPr>
            <w:tcW w:w="988" w:type="dxa"/>
            <w:shd w:val="clear" w:color="auto" w:fill="auto"/>
            <w:noWrap/>
            <w:hideMark/>
          </w:tcPr>
          <w:p w14:paraId="4DFA3B6A"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U80</w:t>
            </w:r>
          </w:p>
        </w:tc>
        <w:tc>
          <w:tcPr>
            <w:tcW w:w="2835" w:type="dxa"/>
            <w:shd w:val="clear" w:color="auto" w:fill="auto"/>
            <w:noWrap/>
            <w:hideMark/>
          </w:tcPr>
          <w:p w14:paraId="13C6267B"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Agent resistant to penicillin and related antibiotics</w:t>
            </w:r>
          </w:p>
        </w:tc>
        <w:tc>
          <w:tcPr>
            <w:tcW w:w="865" w:type="dxa"/>
            <w:shd w:val="clear" w:color="auto" w:fill="auto"/>
            <w:noWrap/>
            <w:hideMark/>
          </w:tcPr>
          <w:p w14:paraId="33BEEF69"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0.8</w:t>
            </w:r>
          </w:p>
        </w:tc>
        <w:tc>
          <w:tcPr>
            <w:tcW w:w="2253" w:type="dxa"/>
            <w:shd w:val="clear" w:color="auto" w:fill="auto"/>
            <w:noWrap/>
            <w:hideMark/>
          </w:tcPr>
          <w:p w14:paraId="3EF367DC"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V09.1</w:t>
            </w:r>
          </w:p>
        </w:tc>
        <w:tc>
          <w:tcPr>
            <w:tcW w:w="5954" w:type="dxa"/>
            <w:shd w:val="clear" w:color="auto" w:fill="auto"/>
            <w:noWrap/>
            <w:hideMark/>
          </w:tcPr>
          <w:p w14:paraId="1AE43F29"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Infection with microorganisms resistant to cephalosporins and other B-lactam antibiotics</w:t>
            </w:r>
          </w:p>
        </w:tc>
      </w:tr>
      <w:tr w:rsidR="00F511F4" w:rsidRPr="00F05560" w14:paraId="7BE4B3AE" w14:textId="77777777" w:rsidTr="001F53D9">
        <w:trPr>
          <w:trHeight w:val="285"/>
        </w:trPr>
        <w:tc>
          <w:tcPr>
            <w:tcW w:w="988" w:type="dxa"/>
            <w:shd w:val="clear" w:color="auto" w:fill="auto"/>
            <w:noWrap/>
            <w:hideMark/>
          </w:tcPr>
          <w:p w14:paraId="612E757B"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M80</w:t>
            </w:r>
          </w:p>
        </w:tc>
        <w:tc>
          <w:tcPr>
            <w:tcW w:w="2835" w:type="dxa"/>
            <w:shd w:val="clear" w:color="auto" w:fill="auto"/>
            <w:noWrap/>
            <w:hideMark/>
          </w:tcPr>
          <w:p w14:paraId="4E5DC9E6"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Osteoporosis with pathological fracture</w:t>
            </w:r>
          </w:p>
        </w:tc>
        <w:tc>
          <w:tcPr>
            <w:tcW w:w="865" w:type="dxa"/>
            <w:shd w:val="clear" w:color="auto" w:fill="auto"/>
            <w:noWrap/>
            <w:hideMark/>
          </w:tcPr>
          <w:p w14:paraId="7F174AB4"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0.8</w:t>
            </w:r>
          </w:p>
        </w:tc>
        <w:tc>
          <w:tcPr>
            <w:tcW w:w="2253" w:type="dxa"/>
            <w:shd w:val="clear" w:color="auto" w:fill="auto"/>
            <w:noWrap/>
            <w:hideMark/>
          </w:tcPr>
          <w:p w14:paraId="3B99C68A" w14:textId="77777777" w:rsidR="00F511F4" w:rsidRPr="00F05560" w:rsidRDefault="00F511F4" w:rsidP="001F53D9">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733.0* AND</w:t>
            </w:r>
            <w:r w:rsidRPr="00F05560">
              <w:rPr>
                <w:rFonts w:ascii="Calibri" w:eastAsia="Times New Roman" w:hAnsi="Calibri" w:cs="Calibri"/>
                <w:color w:val="000000"/>
                <w:lang w:eastAsia="en-GB"/>
              </w:rPr>
              <w:t xml:space="preserve"> 733.1 V13.51</w:t>
            </w:r>
          </w:p>
        </w:tc>
        <w:tc>
          <w:tcPr>
            <w:tcW w:w="5954" w:type="dxa"/>
            <w:shd w:val="clear" w:color="auto" w:fill="auto"/>
            <w:noWrap/>
            <w:hideMark/>
          </w:tcPr>
          <w:p w14:paraId="15626C62" w14:textId="77777777" w:rsidR="00F511F4" w:rsidRPr="00F05560" w:rsidRDefault="00F511F4" w:rsidP="001F53D9">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Pathological fracture, history of</w:t>
            </w:r>
            <w:r w:rsidRPr="00F05560">
              <w:rPr>
                <w:rFonts w:ascii="Calibri" w:eastAsia="Times New Roman" w:hAnsi="Calibri" w:cs="Calibri"/>
                <w:color w:val="000000"/>
                <w:lang w:eastAsia="en-GB"/>
              </w:rPr>
              <w:t xml:space="preserve"> pathological fracture</w:t>
            </w:r>
          </w:p>
        </w:tc>
      </w:tr>
      <w:tr w:rsidR="00F511F4" w:rsidRPr="00F05560" w14:paraId="59B8F2EA" w14:textId="77777777" w:rsidTr="001F53D9">
        <w:trPr>
          <w:trHeight w:val="285"/>
        </w:trPr>
        <w:tc>
          <w:tcPr>
            <w:tcW w:w="988" w:type="dxa"/>
            <w:shd w:val="clear" w:color="auto" w:fill="auto"/>
            <w:noWrap/>
            <w:hideMark/>
          </w:tcPr>
          <w:p w14:paraId="0FCE1060"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K92</w:t>
            </w:r>
          </w:p>
        </w:tc>
        <w:tc>
          <w:tcPr>
            <w:tcW w:w="2835" w:type="dxa"/>
            <w:shd w:val="clear" w:color="auto" w:fill="auto"/>
            <w:noWrap/>
            <w:hideMark/>
          </w:tcPr>
          <w:p w14:paraId="6F56F795"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Other diseases of digestive system</w:t>
            </w:r>
          </w:p>
        </w:tc>
        <w:tc>
          <w:tcPr>
            <w:tcW w:w="865" w:type="dxa"/>
            <w:shd w:val="clear" w:color="auto" w:fill="auto"/>
            <w:noWrap/>
            <w:hideMark/>
          </w:tcPr>
          <w:p w14:paraId="7664FE9F"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0.8</w:t>
            </w:r>
          </w:p>
        </w:tc>
        <w:tc>
          <w:tcPr>
            <w:tcW w:w="2253" w:type="dxa"/>
            <w:shd w:val="clear" w:color="auto" w:fill="auto"/>
            <w:noWrap/>
            <w:hideMark/>
          </w:tcPr>
          <w:p w14:paraId="1B88FE65"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570*/579*</w:t>
            </w:r>
          </w:p>
        </w:tc>
        <w:tc>
          <w:tcPr>
            <w:tcW w:w="5954" w:type="dxa"/>
            <w:shd w:val="clear" w:color="auto" w:fill="auto"/>
            <w:noWrap/>
            <w:hideMark/>
          </w:tcPr>
          <w:p w14:paraId="71941A11"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Other disease of digestive system</w:t>
            </w:r>
          </w:p>
        </w:tc>
      </w:tr>
      <w:tr w:rsidR="00F511F4" w:rsidRPr="00F05560" w14:paraId="335D5DFA" w14:textId="77777777" w:rsidTr="001F53D9">
        <w:trPr>
          <w:trHeight w:val="285"/>
        </w:trPr>
        <w:tc>
          <w:tcPr>
            <w:tcW w:w="988" w:type="dxa"/>
            <w:shd w:val="clear" w:color="auto" w:fill="auto"/>
            <w:noWrap/>
            <w:hideMark/>
          </w:tcPr>
          <w:p w14:paraId="274BD4D9"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I63</w:t>
            </w:r>
          </w:p>
        </w:tc>
        <w:tc>
          <w:tcPr>
            <w:tcW w:w="2835" w:type="dxa"/>
            <w:shd w:val="clear" w:color="auto" w:fill="auto"/>
            <w:noWrap/>
            <w:hideMark/>
          </w:tcPr>
          <w:p w14:paraId="23315A82"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Cerebral infarction</w:t>
            </w:r>
          </w:p>
        </w:tc>
        <w:tc>
          <w:tcPr>
            <w:tcW w:w="865" w:type="dxa"/>
            <w:shd w:val="clear" w:color="auto" w:fill="auto"/>
            <w:noWrap/>
            <w:hideMark/>
          </w:tcPr>
          <w:p w14:paraId="3769E041"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0.8</w:t>
            </w:r>
          </w:p>
        </w:tc>
        <w:tc>
          <w:tcPr>
            <w:tcW w:w="2253" w:type="dxa"/>
            <w:shd w:val="clear" w:color="auto" w:fill="auto"/>
            <w:noWrap/>
            <w:hideMark/>
          </w:tcPr>
          <w:p w14:paraId="73CCEBD6"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434.91* 434.11 434.01 V12.54 997.02</w:t>
            </w:r>
          </w:p>
        </w:tc>
        <w:tc>
          <w:tcPr>
            <w:tcW w:w="5954" w:type="dxa"/>
            <w:shd w:val="clear" w:color="auto" w:fill="auto"/>
            <w:noWrap/>
            <w:hideMark/>
          </w:tcPr>
          <w:p w14:paraId="178062DC"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 xml:space="preserve">Cerebral artery occlusion, unspecified with cerebral infarction, cerebral embolism with cerebral infarction, personal history of transient ischemic attack, and cerebral infarction without </w:t>
            </w:r>
            <w:r w:rsidRPr="00F05560">
              <w:rPr>
                <w:rFonts w:ascii="Calibri" w:eastAsia="Times New Roman" w:hAnsi="Calibri" w:cs="Calibri"/>
                <w:color w:val="000000"/>
                <w:lang w:eastAsia="en-GB"/>
              </w:rPr>
              <w:lastRenderedPageBreak/>
              <w:t>residual deficits, iatrogenic cerebrovascular infarction or haemorrhage</w:t>
            </w:r>
          </w:p>
        </w:tc>
      </w:tr>
      <w:tr w:rsidR="00F511F4" w:rsidRPr="00F05560" w14:paraId="00E5E1DF" w14:textId="77777777" w:rsidTr="001F53D9">
        <w:trPr>
          <w:trHeight w:val="285"/>
        </w:trPr>
        <w:tc>
          <w:tcPr>
            <w:tcW w:w="988" w:type="dxa"/>
            <w:shd w:val="clear" w:color="auto" w:fill="auto"/>
            <w:noWrap/>
            <w:hideMark/>
          </w:tcPr>
          <w:p w14:paraId="1FEB014F"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lastRenderedPageBreak/>
              <w:t>N20</w:t>
            </w:r>
          </w:p>
        </w:tc>
        <w:tc>
          <w:tcPr>
            <w:tcW w:w="2835" w:type="dxa"/>
            <w:shd w:val="clear" w:color="auto" w:fill="auto"/>
            <w:noWrap/>
            <w:hideMark/>
          </w:tcPr>
          <w:p w14:paraId="159E041A"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Calculus of kidney and ureter</w:t>
            </w:r>
          </w:p>
        </w:tc>
        <w:tc>
          <w:tcPr>
            <w:tcW w:w="865" w:type="dxa"/>
            <w:shd w:val="clear" w:color="auto" w:fill="auto"/>
            <w:noWrap/>
            <w:hideMark/>
          </w:tcPr>
          <w:p w14:paraId="6A100919"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0.7</w:t>
            </w:r>
          </w:p>
        </w:tc>
        <w:tc>
          <w:tcPr>
            <w:tcW w:w="2253" w:type="dxa"/>
            <w:shd w:val="clear" w:color="auto" w:fill="auto"/>
            <w:noWrap/>
            <w:hideMark/>
          </w:tcPr>
          <w:p w14:paraId="0439F201"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592*</w:t>
            </w:r>
          </w:p>
        </w:tc>
        <w:tc>
          <w:tcPr>
            <w:tcW w:w="5954" w:type="dxa"/>
            <w:shd w:val="clear" w:color="auto" w:fill="auto"/>
            <w:noWrap/>
            <w:hideMark/>
          </w:tcPr>
          <w:p w14:paraId="3E05D5BF"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Calculus of kidney and ureter</w:t>
            </w:r>
          </w:p>
        </w:tc>
      </w:tr>
      <w:tr w:rsidR="00F511F4" w:rsidRPr="00F05560" w14:paraId="603E8EB9" w14:textId="77777777" w:rsidTr="001F53D9">
        <w:trPr>
          <w:trHeight w:val="285"/>
        </w:trPr>
        <w:tc>
          <w:tcPr>
            <w:tcW w:w="988" w:type="dxa"/>
            <w:shd w:val="clear" w:color="auto" w:fill="auto"/>
            <w:noWrap/>
            <w:hideMark/>
          </w:tcPr>
          <w:p w14:paraId="0E16E78E"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F10</w:t>
            </w:r>
          </w:p>
        </w:tc>
        <w:tc>
          <w:tcPr>
            <w:tcW w:w="2835" w:type="dxa"/>
            <w:shd w:val="clear" w:color="auto" w:fill="auto"/>
            <w:noWrap/>
            <w:hideMark/>
          </w:tcPr>
          <w:p w14:paraId="1FBDE744"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Mental and behavioural disorders due to use of alcohol</w:t>
            </w:r>
          </w:p>
        </w:tc>
        <w:tc>
          <w:tcPr>
            <w:tcW w:w="865" w:type="dxa"/>
            <w:shd w:val="clear" w:color="auto" w:fill="auto"/>
            <w:noWrap/>
            <w:hideMark/>
          </w:tcPr>
          <w:p w14:paraId="535DCEEA"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0.7</w:t>
            </w:r>
          </w:p>
        </w:tc>
        <w:tc>
          <w:tcPr>
            <w:tcW w:w="2253" w:type="dxa"/>
            <w:shd w:val="clear" w:color="auto" w:fill="auto"/>
            <w:noWrap/>
            <w:hideMark/>
          </w:tcPr>
          <w:p w14:paraId="50D7D9D6"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291* 303*</w:t>
            </w:r>
          </w:p>
        </w:tc>
        <w:tc>
          <w:tcPr>
            <w:tcW w:w="5954" w:type="dxa"/>
            <w:shd w:val="clear" w:color="auto" w:fill="auto"/>
            <w:noWrap/>
            <w:hideMark/>
          </w:tcPr>
          <w:p w14:paraId="03CCBB6A"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Alcohol-induced mental disorders, alcohol dependence syndrome</w:t>
            </w:r>
          </w:p>
        </w:tc>
      </w:tr>
      <w:tr w:rsidR="00F511F4" w:rsidRPr="00F05560" w14:paraId="457058EF" w14:textId="77777777" w:rsidTr="001F53D9">
        <w:trPr>
          <w:trHeight w:val="285"/>
        </w:trPr>
        <w:tc>
          <w:tcPr>
            <w:tcW w:w="988" w:type="dxa"/>
            <w:shd w:val="clear" w:color="auto" w:fill="auto"/>
            <w:noWrap/>
            <w:hideMark/>
          </w:tcPr>
          <w:p w14:paraId="5AF63868"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Y84</w:t>
            </w:r>
          </w:p>
        </w:tc>
        <w:tc>
          <w:tcPr>
            <w:tcW w:w="2835" w:type="dxa"/>
            <w:shd w:val="clear" w:color="auto" w:fill="auto"/>
            <w:noWrap/>
            <w:hideMark/>
          </w:tcPr>
          <w:p w14:paraId="32DEC885"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Other medical procedures as the cause of abnormal reaction to the patient</w:t>
            </w:r>
          </w:p>
        </w:tc>
        <w:tc>
          <w:tcPr>
            <w:tcW w:w="865" w:type="dxa"/>
            <w:shd w:val="clear" w:color="auto" w:fill="auto"/>
            <w:noWrap/>
            <w:hideMark/>
          </w:tcPr>
          <w:p w14:paraId="27BF6EE2"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0.7</w:t>
            </w:r>
          </w:p>
        </w:tc>
        <w:tc>
          <w:tcPr>
            <w:tcW w:w="2253" w:type="dxa"/>
            <w:shd w:val="clear" w:color="auto" w:fill="auto"/>
            <w:noWrap/>
            <w:hideMark/>
          </w:tcPr>
          <w:p w14:paraId="760DA266"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E878 E879</w:t>
            </w:r>
          </w:p>
        </w:tc>
        <w:tc>
          <w:tcPr>
            <w:tcW w:w="5954" w:type="dxa"/>
            <w:shd w:val="clear" w:color="auto" w:fill="auto"/>
            <w:noWrap/>
            <w:hideMark/>
          </w:tcPr>
          <w:p w14:paraId="041C1C25"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Surgical operation and other surgical procedures as the cause of abnormal reaction of patient or later complication without mention of misadventure at time of operation, cardiac catheterization as the cause of abnormal reaction to patient, or of later complication, without mention of misadventure at time of procedure</w:t>
            </w:r>
          </w:p>
        </w:tc>
      </w:tr>
      <w:tr w:rsidR="00F511F4" w:rsidRPr="00F05560" w14:paraId="75C0408E" w14:textId="77777777" w:rsidTr="001F53D9">
        <w:trPr>
          <w:trHeight w:val="285"/>
        </w:trPr>
        <w:tc>
          <w:tcPr>
            <w:tcW w:w="988" w:type="dxa"/>
            <w:shd w:val="clear" w:color="auto" w:fill="auto"/>
            <w:noWrap/>
            <w:hideMark/>
          </w:tcPr>
          <w:p w14:paraId="0210AA16"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R00</w:t>
            </w:r>
          </w:p>
        </w:tc>
        <w:tc>
          <w:tcPr>
            <w:tcW w:w="2835" w:type="dxa"/>
            <w:shd w:val="clear" w:color="auto" w:fill="auto"/>
            <w:noWrap/>
            <w:hideMark/>
          </w:tcPr>
          <w:p w14:paraId="5459B8A0"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Abnormalities of heart beat</w:t>
            </w:r>
          </w:p>
        </w:tc>
        <w:tc>
          <w:tcPr>
            <w:tcW w:w="865" w:type="dxa"/>
            <w:shd w:val="clear" w:color="auto" w:fill="auto"/>
            <w:noWrap/>
            <w:hideMark/>
          </w:tcPr>
          <w:p w14:paraId="110CB988"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0.7</w:t>
            </w:r>
          </w:p>
        </w:tc>
        <w:tc>
          <w:tcPr>
            <w:tcW w:w="2253" w:type="dxa"/>
            <w:shd w:val="clear" w:color="auto" w:fill="auto"/>
            <w:noWrap/>
            <w:hideMark/>
          </w:tcPr>
          <w:p w14:paraId="30365400"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785.1</w:t>
            </w:r>
          </w:p>
        </w:tc>
        <w:tc>
          <w:tcPr>
            <w:tcW w:w="5954" w:type="dxa"/>
            <w:shd w:val="clear" w:color="auto" w:fill="auto"/>
            <w:noWrap/>
            <w:hideMark/>
          </w:tcPr>
          <w:p w14:paraId="2F414351"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Palpitations</w:t>
            </w:r>
          </w:p>
        </w:tc>
      </w:tr>
      <w:tr w:rsidR="00F511F4" w:rsidRPr="00F05560" w14:paraId="7F0241D5" w14:textId="77777777" w:rsidTr="001F53D9">
        <w:trPr>
          <w:trHeight w:val="285"/>
        </w:trPr>
        <w:tc>
          <w:tcPr>
            <w:tcW w:w="988" w:type="dxa"/>
            <w:shd w:val="clear" w:color="auto" w:fill="auto"/>
            <w:noWrap/>
            <w:hideMark/>
          </w:tcPr>
          <w:p w14:paraId="6B798863"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J22</w:t>
            </w:r>
          </w:p>
        </w:tc>
        <w:tc>
          <w:tcPr>
            <w:tcW w:w="2835" w:type="dxa"/>
            <w:shd w:val="clear" w:color="auto" w:fill="auto"/>
            <w:noWrap/>
            <w:hideMark/>
          </w:tcPr>
          <w:p w14:paraId="30722119"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Unspecified acute lower respiratory infection</w:t>
            </w:r>
          </w:p>
        </w:tc>
        <w:tc>
          <w:tcPr>
            <w:tcW w:w="865" w:type="dxa"/>
            <w:shd w:val="clear" w:color="auto" w:fill="auto"/>
            <w:noWrap/>
            <w:hideMark/>
          </w:tcPr>
          <w:p w14:paraId="256C7B8C"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0.7</w:t>
            </w:r>
          </w:p>
        </w:tc>
        <w:tc>
          <w:tcPr>
            <w:tcW w:w="2253" w:type="dxa"/>
            <w:shd w:val="clear" w:color="auto" w:fill="auto"/>
            <w:noWrap/>
            <w:hideMark/>
          </w:tcPr>
          <w:p w14:paraId="4DCC7DEE"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465.9</w:t>
            </w:r>
          </w:p>
        </w:tc>
        <w:tc>
          <w:tcPr>
            <w:tcW w:w="5954" w:type="dxa"/>
            <w:shd w:val="clear" w:color="auto" w:fill="auto"/>
            <w:noWrap/>
            <w:hideMark/>
          </w:tcPr>
          <w:p w14:paraId="3907E5A8"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Acute upper respiratory infection NOS</w:t>
            </w:r>
          </w:p>
        </w:tc>
      </w:tr>
      <w:tr w:rsidR="00F511F4" w:rsidRPr="00F05560" w14:paraId="13B358F0" w14:textId="77777777" w:rsidTr="001F53D9">
        <w:trPr>
          <w:trHeight w:val="285"/>
        </w:trPr>
        <w:tc>
          <w:tcPr>
            <w:tcW w:w="988" w:type="dxa"/>
            <w:shd w:val="clear" w:color="auto" w:fill="auto"/>
            <w:noWrap/>
            <w:hideMark/>
          </w:tcPr>
          <w:p w14:paraId="14A4867C"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Z73</w:t>
            </w:r>
          </w:p>
        </w:tc>
        <w:tc>
          <w:tcPr>
            <w:tcW w:w="2835" w:type="dxa"/>
            <w:shd w:val="clear" w:color="auto" w:fill="auto"/>
            <w:noWrap/>
            <w:hideMark/>
          </w:tcPr>
          <w:p w14:paraId="06C81180"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Problems related to life-management difficulty</w:t>
            </w:r>
          </w:p>
        </w:tc>
        <w:tc>
          <w:tcPr>
            <w:tcW w:w="865" w:type="dxa"/>
            <w:shd w:val="clear" w:color="auto" w:fill="auto"/>
            <w:noWrap/>
            <w:hideMark/>
          </w:tcPr>
          <w:p w14:paraId="445415CB"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0.6</w:t>
            </w:r>
          </w:p>
        </w:tc>
        <w:tc>
          <w:tcPr>
            <w:tcW w:w="2253" w:type="dxa"/>
            <w:shd w:val="clear" w:color="auto" w:fill="auto"/>
            <w:noWrap/>
            <w:hideMark/>
          </w:tcPr>
          <w:p w14:paraId="68D4F2B9"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V695 V4985</w:t>
            </w:r>
          </w:p>
        </w:tc>
        <w:tc>
          <w:tcPr>
            <w:tcW w:w="5954" w:type="dxa"/>
            <w:shd w:val="clear" w:color="auto" w:fill="auto"/>
            <w:noWrap/>
            <w:hideMark/>
          </w:tcPr>
          <w:p w14:paraId="4C708536"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Behavioural insomnia of childhood, dual sensory impairment</w:t>
            </w:r>
          </w:p>
        </w:tc>
      </w:tr>
      <w:tr w:rsidR="00F511F4" w:rsidRPr="00F05560" w14:paraId="3D6DC402" w14:textId="77777777" w:rsidTr="001F53D9">
        <w:trPr>
          <w:trHeight w:val="285"/>
        </w:trPr>
        <w:tc>
          <w:tcPr>
            <w:tcW w:w="988" w:type="dxa"/>
            <w:shd w:val="clear" w:color="auto" w:fill="auto"/>
            <w:noWrap/>
            <w:hideMark/>
          </w:tcPr>
          <w:p w14:paraId="6267AD60"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R79</w:t>
            </w:r>
          </w:p>
        </w:tc>
        <w:tc>
          <w:tcPr>
            <w:tcW w:w="2835" w:type="dxa"/>
            <w:shd w:val="clear" w:color="auto" w:fill="auto"/>
            <w:noWrap/>
            <w:hideMark/>
          </w:tcPr>
          <w:p w14:paraId="3E7332F0"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Other abnormal findings of blood chemistry</w:t>
            </w:r>
          </w:p>
        </w:tc>
        <w:tc>
          <w:tcPr>
            <w:tcW w:w="865" w:type="dxa"/>
            <w:shd w:val="clear" w:color="auto" w:fill="auto"/>
            <w:noWrap/>
            <w:hideMark/>
          </w:tcPr>
          <w:p w14:paraId="6475ECB7"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0.6</w:t>
            </w:r>
          </w:p>
        </w:tc>
        <w:tc>
          <w:tcPr>
            <w:tcW w:w="2253" w:type="dxa"/>
            <w:shd w:val="clear" w:color="auto" w:fill="auto"/>
            <w:noWrap/>
            <w:hideMark/>
          </w:tcPr>
          <w:p w14:paraId="1B0705EB"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790.6</w:t>
            </w:r>
          </w:p>
        </w:tc>
        <w:tc>
          <w:tcPr>
            <w:tcW w:w="5954" w:type="dxa"/>
            <w:shd w:val="clear" w:color="auto" w:fill="auto"/>
            <w:noWrap/>
            <w:hideMark/>
          </w:tcPr>
          <w:p w14:paraId="777ACF40"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Abnormal blood chemistry NEC</w:t>
            </w:r>
          </w:p>
        </w:tc>
      </w:tr>
      <w:tr w:rsidR="00F511F4" w:rsidRPr="00F05560" w14:paraId="6DC182F0" w14:textId="77777777" w:rsidTr="001F53D9">
        <w:trPr>
          <w:trHeight w:val="285"/>
        </w:trPr>
        <w:tc>
          <w:tcPr>
            <w:tcW w:w="988" w:type="dxa"/>
            <w:shd w:val="clear" w:color="auto" w:fill="auto"/>
            <w:noWrap/>
            <w:hideMark/>
          </w:tcPr>
          <w:p w14:paraId="37056103"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Z91</w:t>
            </w:r>
          </w:p>
        </w:tc>
        <w:tc>
          <w:tcPr>
            <w:tcW w:w="2835" w:type="dxa"/>
            <w:shd w:val="clear" w:color="auto" w:fill="auto"/>
            <w:noWrap/>
            <w:hideMark/>
          </w:tcPr>
          <w:p w14:paraId="64677339"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Personal history of risk factor, not elsewhere classified</w:t>
            </w:r>
          </w:p>
        </w:tc>
        <w:tc>
          <w:tcPr>
            <w:tcW w:w="865" w:type="dxa"/>
            <w:shd w:val="clear" w:color="auto" w:fill="auto"/>
            <w:noWrap/>
            <w:hideMark/>
          </w:tcPr>
          <w:p w14:paraId="6FBC4851"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0.5</w:t>
            </w:r>
          </w:p>
        </w:tc>
        <w:tc>
          <w:tcPr>
            <w:tcW w:w="2253" w:type="dxa"/>
            <w:shd w:val="clear" w:color="auto" w:fill="auto"/>
            <w:noWrap/>
            <w:hideMark/>
          </w:tcPr>
          <w:p w14:paraId="252F39DF"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V15*</w:t>
            </w:r>
          </w:p>
        </w:tc>
        <w:tc>
          <w:tcPr>
            <w:tcW w:w="5954" w:type="dxa"/>
            <w:shd w:val="clear" w:color="auto" w:fill="auto"/>
            <w:noWrap/>
            <w:hideMark/>
          </w:tcPr>
          <w:p w14:paraId="1FCBEFF6"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Other personal history presenting hazards to health</w:t>
            </w:r>
          </w:p>
        </w:tc>
      </w:tr>
      <w:tr w:rsidR="00F511F4" w:rsidRPr="00F05560" w14:paraId="11519FD0" w14:textId="77777777" w:rsidTr="001F53D9">
        <w:trPr>
          <w:trHeight w:val="285"/>
        </w:trPr>
        <w:tc>
          <w:tcPr>
            <w:tcW w:w="988" w:type="dxa"/>
            <w:shd w:val="clear" w:color="auto" w:fill="auto"/>
            <w:noWrap/>
            <w:hideMark/>
          </w:tcPr>
          <w:p w14:paraId="33C91179"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S51</w:t>
            </w:r>
          </w:p>
        </w:tc>
        <w:tc>
          <w:tcPr>
            <w:tcW w:w="2835" w:type="dxa"/>
            <w:shd w:val="clear" w:color="auto" w:fill="auto"/>
            <w:noWrap/>
            <w:hideMark/>
          </w:tcPr>
          <w:p w14:paraId="43B0122B"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Open wound of forearm</w:t>
            </w:r>
          </w:p>
        </w:tc>
        <w:tc>
          <w:tcPr>
            <w:tcW w:w="865" w:type="dxa"/>
            <w:shd w:val="clear" w:color="auto" w:fill="auto"/>
            <w:noWrap/>
            <w:hideMark/>
          </w:tcPr>
          <w:p w14:paraId="54B5D2D6"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0.5</w:t>
            </w:r>
          </w:p>
        </w:tc>
        <w:tc>
          <w:tcPr>
            <w:tcW w:w="2253" w:type="dxa"/>
            <w:shd w:val="clear" w:color="auto" w:fill="auto"/>
            <w:noWrap/>
            <w:hideMark/>
          </w:tcPr>
          <w:p w14:paraId="5E664610"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881.00</w:t>
            </w:r>
          </w:p>
        </w:tc>
        <w:tc>
          <w:tcPr>
            <w:tcW w:w="5954" w:type="dxa"/>
            <w:shd w:val="clear" w:color="auto" w:fill="auto"/>
            <w:noWrap/>
            <w:hideMark/>
          </w:tcPr>
          <w:p w14:paraId="149ACA5A"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Open wound of forearm</w:t>
            </w:r>
          </w:p>
        </w:tc>
      </w:tr>
      <w:tr w:rsidR="00F511F4" w:rsidRPr="00F05560" w14:paraId="01B77E70" w14:textId="77777777" w:rsidTr="001F53D9">
        <w:trPr>
          <w:trHeight w:val="285"/>
        </w:trPr>
        <w:tc>
          <w:tcPr>
            <w:tcW w:w="988" w:type="dxa"/>
            <w:shd w:val="clear" w:color="auto" w:fill="auto"/>
            <w:noWrap/>
            <w:hideMark/>
          </w:tcPr>
          <w:p w14:paraId="036C9C1F"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R32</w:t>
            </w:r>
          </w:p>
        </w:tc>
        <w:tc>
          <w:tcPr>
            <w:tcW w:w="2835" w:type="dxa"/>
            <w:shd w:val="clear" w:color="auto" w:fill="auto"/>
            <w:noWrap/>
            <w:hideMark/>
          </w:tcPr>
          <w:p w14:paraId="78AE1585"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Depressive episode</w:t>
            </w:r>
          </w:p>
        </w:tc>
        <w:tc>
          <w:tcPr>
            <w:tcW w:w="865" w:type="dxa"/>
            <w:shd w:val="clear" w:color="auto" w:fill="auto"/>
            <w:noWrap/>
            <w:hideMark/>
          </w:tcPr>
          <w:p w14:paraId="497C7B5D"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0.5</w:t>
            </w:r>
          </w:p>
        </w:tc>
        <w:tc>
          <w:tcPr>
            <w:tcW w:w="2253" w:type="dxa"/>
            <w:shd w:val="clear" w:color="auto" w:fill="auto"/>
            <w:noWrap/>
            <w:hideMark/>
          </w:tcPr>
          <w:p w14:paraId="479575ED"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296.20/296.26 296.30/296.36 331</w:t>
            </w:r>
          </w:p>
        </w:tc>
        <w:tc>
          <w:tcPr>
            <w:tcW w:w="5954" w:type="dxa"/>
            <w:shd w:val="clear" w:color="auto" w:fill="auto"/>
            <w:noWrap/>
            <w:hideMark/>
          </w:tcPr>
          <w:p w14:paraId="4BD9E874"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Major depressive disorder, single episode, major depressive disorder, recurrent episode, depressive disorder, not elsewhere classified</w:t>
            </w:r>
          </w:p>
        </w:tc>
      </w:tr>
      <w:tr w:rsidR="00F511F4" w:rsidRPr="00F05560" w14:paraId="67E67EA6" w14:textId="77777777" w:rsidTr="001F53D9">
        <w:trPr>
          <w:trHeight w:val="285"/>
        </w:trPr>
        <w:tc>
          <w:tcPr>
            <w:tcW w:w="988" w:type="dxa"/>
            <w:shd w:val="clear" w:color="auto" w:fill="auto"/>
            <w:noWrap/>
            <w:hideMark/>
          </w:tcPr>
          <w:p w14:paraId="777A4F6C"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M48</w:t>
            </w:r>
          </w:p>
        </w:tc>
        <w:tc>
          <w:tcPr>
            <w:tcW w:w="2835" w:type="dxa"/>
            <w:shd w:val="clear" w:color="auto" w:fill="auto"/>
            <w:noWrap/>
            <w:hideMark/>
          </w:tcPr>
          <w:p w14:paraId="2A45E00B"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Spinal stenosis (secondary code only)</w:t>
            </w:r>
          </w:p>
        </w:tc>
        <w:tc>
          <w:tcPr>
            <w:tcW w:w="865" w:type="dxa"/>
            <w:shd w:val="clear" w:color="auto" w:fill="auto"/>
            <w:noWrap/>
            <w:hideMark/>
          </w:tcPr>
          <w:p w14:paraId="55B0CF80"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0.5</w:t>
            </w:r>
          </w:p>
        </w:tc>
        <w:tc>
          <w:tcPr>
            <w:tcW w:w="2253" w:type="dxa"/>
            <w:shd w:val="clear" w:color="auto" w:fill="auto"/>
            <w:noWrap/>
            <w:hideMark/>
          </w:tcPr>
          <w:p w14:paraId="7B15429B"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724.0* 723.0</w:t>
            </w:r>
          </w:p>
        </w:tc>
        <w:tc>
          <w:tcPr>
            <w:tcW w:w="5954" w:type="dxa"/>
            <w:shd w:val="clear" w:color="auto" w:fill="auto"/>
            <w:noWrap/>
            <w:hideMark/>
          </w:tcPr>
          <w:p w14:paraId="79A91DBB"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Spinal stenosis, other than cervical, cervical spinal stenosis</w:t>
            </w:r>
          </w:p>
        </w:tc>
      </w:tr>
      <w:tr w:rsidR="00F511F4" w:rsidRPr="00F05560" w14:paraId="69639396" w14:textId="77777777" w:rsidTr="001F53D9">
        <w:trPr>
          <w:trHeight w:val="285"/>
        </w:trPr>
        <w:tc>
          <w:tcPr>
            <w:tcW w:w="988" w:type="dxa"/>
            <w:shd w:val="clear" w:color="auto" w:fill="auto"/>
            <w:noWrap/>
            <w:hideMark/>
          </w:tcPr>
          <w:p w14:paraId="10959FEB"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E83</w:t>
            </w:r>
          </w:p>
        </w:tc>
        <w:tc>
          <w:tcPr>
            <w:tcW w:w="2835" w:type="dxa"/>
            <w:shd w:val="clear" w:color="auto" w:fill="auto"/>
            <w:noWrap/>
            <w:hideMark/>
          </w:tcPr>
          <w:p w14:paraId="5724A647"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Disorders of mineral metabolism</w:t>
            </w:r>
          </w:p>
        </w:tc>
        <w:tc>
          <w:tcPr>
            <w:tcW w:w="865" w:type="dxa"/>
            <w:shd w:val="clear" w:color="auto" w:fill="auto"/>
            <w:noWrap/>
            <w:hideMark/>
          </w:tcPr>
          <w:p w14:paraId="340BDC91"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0.4</w:t>
            </w:r>
          </w:p>
        </w:tc>
        <w:tc>
          <w:tcPr>
            <w:tcW w:w="2253" w:type="dxa"/>
            <w:shd w:val="clear" w:color="auto" w:fill="auto"/>
            <w:noWrap/>
            <w:hideMark/>
          </w:tcPr>
          <w:p w14:paraId="46197A4C"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275</w:t>
            </w:r>
          </w:p>
        </w:tc>
        <w:tc>
          <w:tcPr>
            <w:tcW w:w="5954" w:type="dxa"/>
            <w:shd w:val="clear" w:color="auto" w:fill="auto"/>
            <w:noWrap/>
            <w:hideMark/>
          </w:tcPr>
          <w:p w14:paraId="5A75845C"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Disorders of mineral metabolism</w:t>
            </w:r>
          </w:p>
        </w:tc>
      </w:tr>
      <w:tr w:rsidR="00F511F4" w:rsidRPr="00F05560" w14:paraId="4C497638" w14:textId="77777777" w:rsidTr="001F53D9">
        <w:trPr>
          <w:trHeight w:val="285"/>
        </w:trPr>
        <w:tc>
          <w:tcPr>
            <w:tcW w:w="988" w:type="dxa"/>
            <w:shd w:val="clear" w:color="auto" w:fill="auto"/>
            <w:noWrap/>
            <w:hideMark/>
          </w:tcPr>
          <w:p w14:paraId="2C21DD5A"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M15</w:t>
            </w:r>
          </w:p>
        </w:tc>
        <w:tc>
          <w:tcPr>
            <w:tcW w:w="2835" w:type="dxa"/>
            <w:shd w:val="clear" w:color="auto" w:fill="auto"/>
            <w:noWrap/>
            <w:hideMark/>
          </w:tcPr>
          <w:p w14:paraId="2A3582D7"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Polyarthrosis</w:t>
            </w:r>
          </w:p>
        </w:tc>
        <w:tc>
          <w:tcPr>
            <w:tcW w:w="865" w:type="dxa"/>
            <w:shd w:val="clear" w:color="auto" w:fill="auto"/>
            <w:noWrap/>
            <w:hideMark/>
          </w:tcPr>
          <w:p w14:paraId="61E92DF9"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0.4</w:t>
            </w:r>
          </w:p>
        </w:tc>
        <w:tc>
          <w:tcPr>
            <w:tcW w:w="2253" w:type="dxa"/>
            <w:shd w:val="clear" w:color="auto" w:fill="auto"/>
            <w:noWrap/>
            <w:hideMark/>
          </w:tcPr>
          <w:p w14:paraId="49958851"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7165*</w:t>
            </w:r>
          </w:p>
        </w:tc>
        <w:tc>
          <w:tcPr>
            <w:tcW w:w="5954" w:type="dxa"/>
            <w:shd w:val="clear" w:color="auto" w:fill="auto"/>
            <w:noWrap/>
            <w:hideMark/>
          </w:tcPr>
          <w:p w14:paraId="089B639F"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Unspecified polyarthropathy or polyarthritis</w:t>
            </w:r>
          </w:p>
        </w:tc>
      </w:tr>
      <w:tr w:rsidR="00F511F4" w:rsidRPr="00F05560" w14:paraId="15969BAE" w14:textId="77777777" w:rsidTr="001F53D9">
        <w:trPr>
          <w:trHeight w:val="285"/>
        </w:trPr>
        <w:tc>
          <w:tcPr>
            <w:tcW w:w="988" w:type="dxa"/>
            <w:shd w:val="clear" w:color="auto" w:fill="auto"/>
            <w:noWrap/>
            <w:hideMark/>
          </w:tcPr>
          <w:p w14:paraId="394929AC"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D64</w:t>
            </w:r>
          </w:p>
        </w:tc>
        <w:tc>
          <w:tcPr>
            <w:tcW w:w="2835" w:type="dxa"/>
            <w:shd w:val="clear" w:color="auto" w:fill="auto"/>
            <w:noWrap/>
            <w:hideMark/>
          </w:tcPr>
          <w:p w14:paraId="46D07178"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Other anaemias</w:t>
            </w:r>
          </w:p>
        </w:tc>
        <w:tc>
          <w:tcPr>
            <w:tcW w:w="865" w:type="dxa"/>
            <w:shd w:val="clear" w:color="auto" w:fill="auto"/>
            <w:noWrap/>
            <w:hideMark/>
          </w:tcPr>
          <w:p w14:paraId="459DD518"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0.4</w:t>
            </w:r>
          </w:p>
        </w:tc>
        <w:tc>
          <w:tcPr>
            <w:tcW w:w="2253" w:type="dxa"/>
            <w:shd w:val="clear" w:color="auto" w:fill="auto"/>
            <w:noWrap/>
            <w:hideMark/>
          </w:tcPr>
          <w:p w14:paraId="5304E504"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285.8 285.9</w:t>
            </w:r>
          </w:p>
        </w:tc>
        <w:tc>
          <w:tcPr>
            <w:tcW w:w="5954" w:type="dxa"/>
            <w:shd w:val="clear" w:color="auto" w:fill="auto"/>
            <w:noWrap/>
            <w:hideMark/>
          </w:tcPr>
          <w:p w14:paraId="7DD2A87C"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Anaemia NEC, Anaemia NOS</w:t>
            </w:r>
          </w:p>
        </w:tc>
      </w:tr>
      <w:tr w:rsidR="00F511F4" w:rsidRPr="00F05560" w14:paraId="55179E5C" w14:textId="77777777" w:rsidTr="001F53D9">
        <w:trPr>
          <w:trHeight w:val="285"/>
        </w:trPr>
        <w:tc>
          <w:tcPr>
            <w:tcW w:w="988" w:type="dxa"/>
            <w:shd w:val="clear" w:color="auto" w:fill="auto"/>
            <w:noWrap/>
            <w:hideMark/>
          </w:tcPr>
          <w:p w14:paraId="4DDF14C9"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lastRenderedPageBreak/>
              <w:t>L08</w:t>
            </w:r>
          </w:p>
        </w:tc>
        <w:tc>
          <w:tcPr>
            <w:tcW w:w="2835" w:type="dxa"/>
            <w:shd w:val="clear" w:color="auto" w:fill="auto"/>
            <w:noWrap/>
            <w:hideMark/>
          </w:tcPr>
          <w:p w14:paraId="022D542A"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Other local infections of skin and subcutaneous tissue</w:t>
            </w:r>
          </w:p>
        </w:tc>
        <w:tc>
          <w:tcPr>
            <w:tcW w:w="865" w:type="dxa"/>
            <w:shd w:val="clear" w:color="auto" w:fill="auto"/>
            <w:noWrap/>
            <w:hideMark/>
          </w:tcPr>
          <w:p w14:paraId="20028D60"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0.4</w:t>
            </w:r>
          </w:p>
        </w:tc>
        <w:tc>
          <w:tcPr>
            <w:tcW w:w="2253" w:type="dxa"/>
            <w:shd w:val="clear" w:color="auto" w:fill="auto"/>
            <w:noWrap/>
            <w:hideMark/>
          </w:tcPr>
          <w:p w14:paraId="1CF6659C"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686</w:t>
            </w:r>
          </w:p>
        </w:tc>
        <w:tc>
          <w:tcPr>
            <w:tcW w:w="5954" w:type="dxa"/>
            <w:shd w:val="clear" w:color="auto" w:fill="auto"/>
            <w:noWrap/>
            <w:hideMark/>
          </w:tcPr>
          <w:p w14:paraId="33A4D1F6"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Other local infections of skin and subcutaneous tissue</w:t>
            </w:r>
          </w:p>
        </w:tc>
      </w:tr>
      <w:tr w:rsidR="00F511F4" w:rsidRPr="00F05560" w14:paraId="3BC39560" w14:textId="77777777" w:rsidTr="001F53D9">
        <w:trPr>
          <w:trHeight w:val="285"/>
        </w:trPr>
        <w:tc>
          <w:tcPr>
            <w:tcW w:w="988" w:type="dxa"/>
            <w:shd w:val="clear" w:color="auto" w:fill="auto"/>
            <w:noWrap/>
            <w:hideMark/>
          </w:tcPr>
          <w:p w14:paraId="06232104"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R11</w:t>
            </w:r>
          </w:p>
        </w:tc>
        <w:tc>
          <w:tcPr>
            <w:tcW w:w="2835" w:type="dxa"/>
            <w:shd w:val="clear" w:color="auto" w:fill="auto"/>
            <w:noWrap/>
            <w:hideMark/>
          </w:tcPr>
          <w:p w14:paraId="0CB65805"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Nausea and vomiting</w:t>
            </w:r>
          </w:p>
        </w:tc>
        <w:tc>
          <w:tcPr>
            <w:tcW w:w="865" w:type="dxa"/>
            <w:shd w:val="clear" w:color="auto" w:fill="auto"/>
            <w:noWrap/>
            <w:hideMark/>
          </w:tcPr>
          <w:p w14:paraId="4A5B68D2"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0.3</w:t>
            </w:r>
          </w:p>
        </w:tc>
        <w:tc>
          <w:tcPr>
            <w:tcW w:w="2253" w:type="dxa"/>
            <w:shd w:val="clear" w:color="auto" w:fill="auto"/>
            <w:noWrap/>
            <w:hideMark/>
          </w:tcPr>
          <w:p w14:paraId="2FD11230"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787.0*</w:t>
            </w:r>
          </w:p>
        </w:tc>
        <w:tc>
          <w:tcPr>
            <w:tcW w:w="5954" w:type="dxa"/>
            <w:shd w:val="clear" w:color="auto" w:fill="auto"/>
            <w:noWrap/>
            <w:hideMark/>
          </w:tcPr>
          <w:p w14:paraId="02B3835F"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Nausea and vomiting</w:t>
            </w:r>
          </w:p>
        </w:tc>
      </w:tr>
      <w:tr w:rsidR="00F511F4" w:rsidRPr="00F05560" w14:paraId="4DC294C8" w14:textId="77777777" w:rsidTr="001F53D9">
        <w:trPr>
          <w:trHeight w:val="285"/>
        </w:trPr>
        <w:tc>
          <w:tcPr>
            <w:tcW w:w="988" w:type="dxa"/>
            <w:shd w:val="clear" w:color="auto" w:fill="auto"/>
            <w:noWrap/>
            <w:hideMark/>
          </w:tcPr>
          <w:p w14:paraId="594650C1"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K52</w:t>
            </w:r>
          </w:p>
        </w:tc>
        <w:tc>
          <w:tcPr>
            <w:tcW w:w="2835" w:type="dxa"/>
            <w:shd w:val="clear" w:color="auto" w:fill="auto"/>
            <w:noWrap/>
            <w:hideMark/>
          </w:tcPr>
          <w:p w14:paraId="7994D487"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Other noninfective gastroenteritis and colitis</w:t>
            </w:r>
          </w:p>
        </w:tc>
        <w:tc>
          <w:tcPr>
            <w:tcW w:w="865" w:type="dxa"/>
            <w:shd w:val="clear" w:color="auto" w:fill="auto"/>
            <w:noWrap/>
            <w:hideMark/>
          </w:tcPr>
          <w:p w14:paraId="5DAA25C5"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0.3</w:t>
            </w:r>
          </w:p>
        </w:tc>
        <w:tc>
          <w:tcPr>
            <w:tcW w:w="2253" w:type="dxa"/>
            <w:shd w:val="clear" w:color="auto" w:fill="auto"/>
            <w:noWrap/>
            <w:hideMark/>
          </w:tcPr>
          <w:p w14:paraId="6377D19A"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558*</w:t>
            </w:r>
          </w:p>
        </w:tc>
        <w:tc>
          <w:tcPr>
            <w:tcW w:w="5954" w:type="dxa"/>
            <w:shd w:val="clear" w:color="auto" w:fill="auto"/>
            <w:noWrap/>
            <w:hideMark/>
          </w:tcPr>
          <w:p w14:paraId="06B0F563"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Other and unspecified noninfectious gastroenteritis and colitis</w:t>
            </w:r>
          </w:p>
        </w:tc>
      </w:tr>
      <w:tr w:rsidR="00F511F4" w:rsidRPr="00F05560" w14:paraId="02BFC662" w14:textId="77777777" w:rsidTr="001F53D9">
        <w:trPr>
          <w:trHeight w:val="285"/>
        </w:trPr>
        <w:tc>
          <w:tcPr>
            <w:tcW w:w="988" w:type="dxa"/>
            <w:shd w:val="clear" w:color="auto" w:fill="auto"/>
            <w:noWrap/>
            <w:hideMark/>
          </w:tcPr>
          <w:p w14:paraId="3CD290E0"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R50</w:t>
            </w:r>
          </w:p>
        </w:tc>
        <w:tc>
          <w:tcPr>
            <w:tcW w:w="2835" w:type="dxa"/>
            <w:shd w:val="clear" w:color="auto" w:fill="auto"/>
            <w:noWrap/>
            <w:hideMark/>
          </w:tcPr>
          <w:p w14:paraId="750CC181"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Fever of unknown origin</w:t>
            </w:r>
          </w:p>
        </w:tc>
        <w:tc>
          <w:tcPr>
            <w:tcW w:w="865" w:type="dxa"/>
            <w:shd w:val="clear" w:color="auto" w:fill="auto"/>
            <w:noWrap/>
            <w:hideMark/>
          </w:tcPr>
          <w:p w14:paraId="056873CB"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0.1</w:t>
            </w:r>
          </w:p>
        </w:tc>
        <w:tc>
          <w:tcPr>
            <w:tcW w:w="2253" w:type="dxa"/>
            <w:shd w:val="clear" w:color="auto" w:fill="auto"/>
            <w:noWrap/>
            <w:hideMark/>
          </w:tcPr>
          <w:p w14:paraId="132EE507"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780.60</w:t>
            </w:r>
          </w:p>
        </w:tc>
        <w:tc>
          <w:tcPr>
            <w:tcW w:w="5954" w:type="dxa"/>
            <w:shd w:val="clear" w:color="auto" w:fill="auto"/>
            <w:noWrap/>
            <w:hideMark/>
          </w:tcPr>
          <w:p w14:paraId="0914EC74" w14:textId="77777777" w:rsidR="00F511F4" w:rsidRPr="00F05560" w:rsidRDefault="00F511F4" w:rsidP="001F53D9">
            <w:pPr>
              <w:spacing w:after="0" w:line="240" w:lineRule="auto"/>
              <w:rPr>
                <w:rFonts w:ascii="Calibri" w:eastAsia="Times New Roman" w:hAnsi="Calibri" w:cs="Calibri"/>
                <w:color w:val="000000"/>
                <w:lang w:eastAsia="en-GB"/>
              </w:rPr>
            </w:pPr>
            <w:r w:rsidRPr="00F05560">
              <w:rPr>
                <w:rFonts w:ascii="Calibri" w:eastAsia="Times New Roman" w:hAnsi="Calibri" w:cs="Calibri"/>
                <w:color w:val="000000"/>
                <w:lang w:eastAsia="en-GB"/>
              </w:rPr>
              <w:t>Fever NOS</w:t>
            </w:r>
          </w:p>
        </w:tc>
      </w:tr>
    </w:tbl>
    <w:p w14:paraId="122A3F79" w14:textId="77777777" w:rsidR="00F511F4" w:rsidRDefault="00F511F4" w:rsidP="00F511F4">
      <w:pPr>
        <w:spacing w:after="0" w:line="240" w:lineRule="auto"/>
        <w:rPr>
          <w:lang w:val="en-US"/>
        </w:rPr>
        <w:sectPr w:rsidR="00F511F4" w:rsidSect="006669C7">
          <w:endnotePr>
            <w:numFmt w:val="decimal"/>
          </w:endnotePr>
          <w:pgSz w:w="16838" w:h="11906" w:orient="landscape"/>
          <w:pgMar w:top="1440" w:right="1440" w:bottom="1440" w:left="1440" w:header="708" w:footer="708" w:gutter="0"/>
          <w:cols w:space="708"/>
          <w:docGrid w:linePitch="360"/>
        </w:sectPr>
      </w:pPr>
      <w:r>
        <w:rPr>
          <w:lang w:val="en-US"/>
        </w:rPr>
        <w:t>NEC=not elsewhere specified, NOS=not otherwise specified</w:t>
      </w:r>
    </w:p>
    <w:p w14:paraId="79D1BC54" w14:textId="77777777" w:rsidR="00F511F4" w:rsidRPr="00F511F4" w:rsidRDefault="00F511F4" w:rsidP="00F511F4">
      <w:pPr>
        <w:spacing w:after="0" w:line="240" w:lineRule="auto"/>
        <w:rPr>
          <w:rFonts w:ascii="Times New Roman" w:hAnsi="Times New Roman" w:cs="Times New Roman"/>
          <w:b/>
          <w:sz w:val="24"/>
          <w:szCs w:val="24"/>
          <w:lang w:val="en-US"/>
        </w:rPr>
      </w:pPr>
      <w:r w:rsidRPr="00F511F4">
        <w:rPr>
          <w:rFonts w:ascii="Times New Roman" w:hAnsi="Times New Roman" w:cs="Times New Roman"/>
          <w:b/>
          <w:sz w:val="24"/>
          <w:szCs w:val="24"/>
          <w:lang w:val="en-US"/>
        </w:rPr>
        <w:lastRenderedPageBreak/>
        <w:t>Supplementary Table 2: Variables with greater than 1% prevalence in the Hospital Frailty Score</w:t>
      </w:r>
    </w:p>
    <w:tbl>
      <w:tblPr>
        <w:tblW w:w="78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7"/>
        <w:gridCol w:w="1020"/>
        <w:gridCol w:w="1020"/>
      </w:tblGrid>
      <w:tr w:rsidR="00F511F4" w:rsidRPr="008978C9" w14:paraId="5E99C184" w14:textId="77777777" w:rsidTr="001F53D9">
        <w:trPr>
          <w:trHeight w:val="285"/>
        </w:trPr>
        <w:tc>
          <w:tcPr>
            <w:tcW w:w="5807" w:type="dxa"/>
            <w:shd w:val="clear" w:color="auto" w:fill="auto"/>
            <w:noWrap/>
            <w:hideMark/>
          </w:tcPr>
          <w:p w14:paraId="7E32DC45" w14:textId="77777777" w:rsidR="00F511F4" w:rsidRPr="008978C9" w:rsidRDefault="00F511F4" w:rsidP="001F53D9">
            <w:pPr>
              <w:spacing w:after="0" w:line="240" w:lineRule="auto"/>
              <w:rPr>
                <w:rFonts w:ascii="Calibri" w:eastAsia="Times New Roman" w:hAnsi="Calibri" w:cs="Calibri"/>
                <w:color w:val="000000"/>
                <w:lang w:eastAsia="en-GB"/>
              </w:rPr>
            </w:pPr>
            <w:r w:rsidRPr="008978C9">
              <w:rPr>
                <w:rFonts w:ascii="Calibri" w:eastAsia="Times New Roman" w:hAnsi="Calibri" w:cs="Calibri"/>
                <w:color w:val="000000"/>
                <w:lang w:val="en-US" w:eastAsia="en-GB"/>
              </w:rPr>
              <w:t>Variable</w:t>
            </w:r>
          </w:p>
        </w:tc>
        <w:tc>
          <w:tcPr>
            <w:tcW w:w="1020" w:type="dxa"/>
            <w:shd w:val="clear" w:color="auto" w:fill="auto"/>
            <w:noWrap/>
            <w:hideMark/>
          </w:tcPr>
          <w:p w14:paraId="003949B7" w14:textId="77777777" w:rsidR="00F511F4" w:rsidRPr="008978C9" w:rsidRDefault="00F511F4" w:rsidP="001F53D9">
            <w:pPr>
              <w:spacing w:after="0" w:line="240" w:lineRule="auto"/>
              <w:rPr>
                <w:rFonts w:ascii="Calibri" w:eastAsia="Times New Roman" w:hAnsi="Calibri" w:cs="Calibri"/>
                <w:color w:val="000000"/>
                <w:lang w:eastAsia="en-GB"/>
              </w:rPr>
            </w:pPr>
            <w:r w:rsidRPr="008978C9">
              <w:rPr>
                <w:rFonts w:ascii="Calibri" w:eastAsia="Times New Roman" w:hAnsi="Calibri" w:cs="Calibri"/>
                <w:color w:val="000000"/>
                <w:lang w:eastAsia="en-GB"/>
              </w:rPr>
              <w:t>n</w:t>
            </w:r>
          </w:p>
        </w:tc>
        <w:tc>
          <w:tcPr>
            <w:tcW w:w="1020" w:type="dxa"/>
            <w:shd w:val="clear" w:color="auto" w:fill="auto"/>
            <w:noWrap/>
            <w:hideMark/>
          </w:tcPr>
          <w:p w14:paraId="30CDB4B1" w14:textId="77777777" w:rsidR="00F511F4" w:rsidRPr="008978C9" w:rsidRDefault="00F511F4" w:rsidP="001F53D9">
            <w:pPr>
              <w:spacing w:after="0" w:line="240" w:lineRule="auto"/>
              <w:rPr>
                <w:rFonts w:ascii="Calibri" w:eastAsia="Times New Roman" w:hAnsi="Calibri" w:cs="Calibri"/>
                <w:color w:val="000000"/>
                <w:lang w:eastAsia="en-GB"/>
              </w:rPr>
            </w:pPr>
            <w:r w:rsidRPr="008978C9">
              <w:rPr>
                <w:rFonts w:ascii="Calibri" w:eastAsia="Times New Roman" w:hAnsi="Calibri" w:cs="Calibri"/>
                <w:color w:val="000000"/>
                <w:lang w:eastAsia="en-GB"/>
              </w:rPr>
              <w:t>%</w:t>
            </w:r>
          </w:p>
        </w:tc>
      </w:tr>
      <w:tr w:rsidR="00F511F4" w:rsidRPr="008978C9" w14:paraId="4186A11B" w14:textId="77777777" w:rsidTr="001F53D9">
        <w:trPr>
          <w:trHeight w:val="285"/>
        </w:trPr>
        <w:tc>
          <w:tcPr>
            <w:tcW w:w="5807" w:type="dxa"/>
            <w:shd w:val="clear" w:color="auto" w:fill="auto"/>
            <w:noWrap/>
            <w:hideMark/>
          </w:tcPr>
          <w:p w14:paraId="4BA1DDAA" w14:textId="77777777" w:rsidR="00F511F4" w:rsidRPr="008978C9" w:rsidRDefault="00F511F4" w:rsidP="001F53D9">
            <w:pPr>
              <w:spacing w:after="0" w:line="240" w:lineRule="auto"/>
              <w:rPr>
                <w:rFonts w:ascii="Calibri" w:eastAsia="Times New Roman" w:hAnsi="Calibri" w:cs="Calibri"/>
                <w:color w:val="000000"/>
                <w:lang w:eastAsia="en-GB"/>
              </w:rPr>
            </w:pPr>
            <w:r w:rsidRPr="008978C9">
              <w:rPr>
                <w:rFonts w:ascii="Calibri" w:eastAsia="Times New Roman" w:hAnsi="Calibri" w:cs="Calibri"/>
                <w:color w:val="000000"/>
                <w:lang w:val="en-US" w:eastAsia="en-GB"/>
              </w:rPr>
              <w:t>Chronic kidney disease</w:t>
            </w:r>
          </w:p>
        </w:tc>
        <w:tc>
          <w:tcPr>
            <w:tcW w:w="1020" w:type="dxa"/>
            <w:shd w:val="clear" w:color="auto" w:fill="auto"/>
            <w:noWrap/>
            <w:hideMark/>
          </w:tcPr>
          <w:p w14:paraId="1BC18E23" w14:textId="77777777" w:rsidR="00F511F4" w:rsidRPr="008978C9" w:rsidRDefault="00F511F4" w:rsidP="001F53D9">
            <w:pPr>
              <w:spacing w:after="0" w:line="240" w:lineRule="auto"/>
              <w:rPr>
                <w:rFonts w:ascii="Calibri" w:eastAsia="Times New Roman" w:hAnsi="Calibri" w:cs="Calibri"/>
                <w:color w:val="000000"/>
                <w:lang w:eastAsia="en-GB"/>
              </w:rPr>
            </w:pPr>
            <w:r w:rsidRPr="008978C9">
              <w:rPr>
                <w:rFonts w:ascii="Calibri" w:eastAsia="Times New Roman" w:hAnsi="Calibri" w:cs="Calibri"/>
                <w:color w:val="000000"/>
                <w:lang w:eastAsia="en-GB"/>
              </w:rPr>
              <w:t>746757</w:t>
            </w:r>
          </w:p>
        </w:tc>
        <w:tc>
          <w:tcPr>
            <w:tcW w:w="1020" w:type="dxa"/>
            <w:shd w:val="clear" w:color="auto" w:fill="auto"/>
            <w:noWrap/>
            <w:hideMark/>
          </w:tcPr>
          <w:p w14:paraId="6B76A436" w14:textId="77777777" w:rsidR="00F511F4" w:rsidRPr="008978C9" w:rsidRDefault="00F511F4" w:rsidP="001F53D9">
            <w:pPr>
              <w:spacing w:after="0" w:line="240" w:lineRule="auto"/>
              <w:rPr>
                <w:rFonts w:ascii="Calibri" w:eastAsia="Times New Roman" w:hAnsi="Calibri" w:cs="Calibri"/>
                <w:color w:val="000000"/>
                <w:lang w:eastAsia="en-GB"/>
              </w:rPr>
            </w:pPr>
            <w:r w:rsidRPr="008978C9">
              <w:rPr>
                <w:rFonts w:ascii="Calibri" w:eastAsia="Times New Roman" w:hAnsi="Calibri" w:cs="Calibri"/>
                <w:color w:val="000000"/>
                <w:lang w:eastAsia="en-GB"/>
              </w:rPr>
              <w:t>31.7</w:t>
            </w:r>
          </w:p>
        </w:tc>
      </w:tr>
      <w:tr w:rsidR="00F511F4" w:rsidRPr="008978C9" w14:paraId="2DCFC561" w14:textId="77777777" w:rsidTr="001F53D9">
        <w:trPr>
          <w:trHeight w:val="285"/>
        </w:trPr>
        <w:tc>
          <w:tcPr>
            <w:tcW w:w="5807" w:type="dxa"/>
            <w:shd w:val="clear" w:color="auto" w:fill="auto"/>
            <w:noWrap/>
            <w:hideMark/>
          </w:tcPr>
          <w:p w14:paraId="64DF5B74" w14:textId="77777777" w:rsidR="00F511F4" w:rsidRPr="008978C9" w:rsidRDefault="00F511F4" w:rsidP="001F53D9">
            <w:pPr>
              <w:spacing w:after="0" w:line="240" w:lineRule="auto"/>
              <w:rPr>
                <w:rFonts w:ascii="Calibri" w:eastAsia="Times New Roman" w:hAnsi="Calibri" w:cs="Calibri"/>
                <w:color w:val="000000"/>
                <w:lang w:eastAsia="en-GB"/>
              </w:rPr>
            </w:pPr>
            <w:r w:rsidRPr="008978C9">
              <w:rPr>
                <w:rFonts w:ascii="Calibri" w:eastAsia="Times New Roman" w:hAnsi="Calibri" w:cs="Calibri"/>
                <w:color w:val="000000"/>
                <w:lang w:val="en-US" w:eastAsia="en-GB"/>
              </w:rPr>
              <w:t>Disorders of fluid, electrolyte and acid-base balance</w:t>
            </w:r>
          </w:p>
        </w:tc>
        <w:tc>
          <w:tcPr>
            <w:tcW w:w="1020" w:type="dxa"/>
            <w:shd w:val="clear" w:color="auto" w:fill="auto"/>
            <w:noWrap/>
            <w:hideMark/>
          </w:tcPr>
          <w:p w14:paraId="67C45864" w14:textId="77777777" w:rsidR="00F511F4" w:rsidRPr="008978C9" w:rsidRDefault="00F511F4" w:rsidP="001F53D9">
            <w:pPr>
              <w:spacing w:after="0" w:line="240" w:lineRule="auto"/>
              <w:rPr>
                <w:rFonts w:ascii="Calibri" w:eastAsia="Times New Roman" w:hAnsi="Calibri" w:cs="Calibri"/>
                <w:color w:val="000000"/>
                <w:lang w:eastAsia="en-GB"/>
              </w:rPr>
            </w:pPr>
            <w:r w:rsidRPr="008978C9">
              <w:rPr>
                <w:rFonts w:ascii="Calibri" w:eastAsia="Times New Roman" w:hAnsi="Calibri" w:cs="Calibri"/>
                <w:color w:val="000000"/>
                <w:lang w:eastAsia="en-GB"/>
              </w:rPr>
              <w:t>569250</w:t>
            </w:r>
          </w:p>
        </w:tc>
        <w:tc>
          <w:tcPr>
            <w:tcW w:w="1020" w:type="dxa"/>
            <w:shd w:val="clear" w:color="auto" w:fill="auto"/>
            <w:noWrap/>
            <w:hideMark/>
          </w:tcPr>
          <w:p w14:paraId="727FD9B4" w14:textId="77777777" w:rsidR="00F511F4" w:rsidRPr="008978C9" w:rsidRDefault="00F511F4" w:rsidP="001F53D9">
            <w:pPr>
              <w:spacing w:after="0" w:line="240" w:lineRule="auto"/>
              <w:rPr>
                <w:rFonts w:ascii="Calibri" w:eastAsia="Times New Roman" w:hAnsi="Calibri" w:cs="Calibri"/>
                <w:color w:val="000000"/>
                <w:lang w:eastAsia="en-GB"/>
              </w:rPr>
            </w:pPr>
            <w:r w:rsidRPr="008978C9">
              <w:rPr>
                <w:rFonts w:ascii="Calibri" w:eastAsia="Times New Roman" w:hAnsi="Calibri" w:cs="Calibri"/>
                <w:color w:val="000000"/>
                <w:lang w:eastAsia="en-GB"/>
              </w:rPr>
              <w:t>24.2</w:t>
            </w:r>
          </w:p>
        </w:tc>
      </w:tr>
      <w:tr w:rsidR="00F511F4" w:rsidRPr="008978C9" w14:paraId="52D3A667" w14:textId="77777777" w:rsidTr="001F53D9">
        <w:trPr>
          <w:trHeight w:val="285"/>
        </w:trPr>
        <w:tc>
          <w:tcPr>
            <w:tcW w:w="5807" w:type="dxa"/>
            <w:shd w:val="clear" w:color="auto" w:fill="auto"/>
            <w:noWrap/>
            <w:hideMark/>
          </w:tcPr>
          <w:p w14:paraId="16D3DECD" w14:textId="77777777" w:rsidR="00F511F4" w:rsidRPr="008978C9" w:rsidRDefault="00F511F4" w:rsidP="001F53D9">
            <w:pPr>
              <w:spacing w:after="0" w:line="240" w:lineRule="auto"/>
              <w:rPr>
                <w:rFonts w:ascii="Calibri" w:eastAsia="Times New Roman" w:hAnsi="Calibri" w:cs="Calibri"/>
                <w:color w:val="000000"/>
                <w:lang w:eastAsia="en-GB"/>
              </w:rPr>
            </w:pPr>
            <w:r w:rsidRPr="008978C9">
              <w:rPr>
                <w:rFonts w:ascii="Calibri" w:eastAsia="Times New Roman" w:hAnsi="Calibri" w:cs="Calibri"/>
                <w:color w:val="000000"/>
                <w:lang w:val="en-US" w:eastAsia="en-GB"/>
              </w:rPr>
              <w:t>Other personal history presenting hazards to health</w:t>
            </w:r>
          </w:p>
        </w:tc>
        <w:tc>
          <w:tcPr>
            <w:tcW w:w="1020" w:type="dxa"/>
            <w:shd w:val="clear" w:color="auto" w:fill="auto"/>
            <w:noWrap/>
            <w:hideMark/>
          </w:tcPr>
          <w:p w14:paraId="591719AA" w14:textId="77777777" w:rsidR="00F511F4" w:rsidRPr="008978C9" w:rsidRDefault="00F511F4" w:rsidP="001F53D9">
            <w:pPr>
              <w:spacing w:after="0" w:line="240" w:lineRule="auto"/>
              <w:rPr>
                <w:rFonts w:ascii="Calibri" w:eastAsia="Times New Roman" w:hAnsi="Calibri" w:cs="Calibri"/>
                <w:color w:val="000000"/>
                <w:lang w:eastAsia="en-GB"/>
              </w:rPr>
            </w:pPr>
            <w:r w:rsidRPr="008978C9">
              <w:rPr>
                <w:rFonts w:ascii="Calibri" w:eastAsia="Times New Roman" w:hAnsi="Calibri" w:cs="Calibri"/>
                <w:color w:val="000000"/>
                <w:lang w:eastAsia="en-GB"/>
              </w:rPr>
              <w:t>443693</w:t>
            </w:r>
          </w:p>
        </w:tc>
        <w:tc>
          <w:tcPr>
            <w:tcW w:w="1020" w:type="dxa"/>
            <w:shd w:val="clear" w:color="auto" w:fill="auto"/>
            <w:noWrap/>
            <w:hideMark/>
          </w:tcPr>
          <w:p w14:paraId="66407BA0" w14:textId="77777777" w:rsidR="00F511F4" w:rsidRPr="008978C9" w:rsidRDefault="00F511F4" w:rsidP="001F53D9">
            <w:pPr>
              <w:spacing w:after="0" w:line="240" w:lineRule="auto"/>
              <w:rPr>
                <w:rFonts w:ascii="Calibri" w:eastAsia="Times New Roman" w:hAnsi="Calibri" w:cs="Calibri"/>
                <w:color w:val="000000"/>
                <w:lang w:eastAsia="en-GB"/>
              </w:rPr>
            </w:pPr>
            <w:r w:rsidRPr="008978C9">
              <w:rPr>
                <w:rFonts w:ascii="Calibri" w:eastAsia="Times New Roman" w:hAnsi="Calibri" w:cs="Calibri"/>
                <w:color w:val="000000"/>
                <w:lang w:eastAsia="en-GB"/>
              </w:rPr>
              <w:t>18.9</w:t>
            </w:r>
          </w:p>
        </w:tc>
      </w:tr>
      <w:tr w:rsidR="00F511F4" w:rsidRPr="008978C9" w14:paraId="1A4188E3" w14:textId="77777777" w:rsidTr="001F53D9">
        <w:trPr>
          <w:trHeight w:val="285"/>
        </w:trPr>
        <w:tc>
          <w:tcPr>
            <w:tcW w:w="5807" w:type="dxa"/>
            <w:shd w:val="clear" w:color="auto" w:fill="auto"/>
            <w:noWrap/>
            <w:hideMark/>
          </w:tcPr>
          <w:p w14:paraId="1CA3B23C" w14:textId="77777777" w:rsidR="00F511F4" w:rsidRPr="008978C9" w:rsidRDefault="00F511F4" w:rsidP="001F53D9">
            <w:pPr>
              <w:spacing w:after="0" w:line="240" w:lineRule="auto"/>
              <w:rPr>
                <w:rFonts w:ascii="Calibri" w:eastAsia="Times New Roman" w:hAnsi="Calibri" w:cs="Calibri"/>
                <w:color w:val="000000"/>
                <w:lang w:eastAsia="en-GB"/>
              </w:rPr>
            </w:pPr>
            <w:r w:rsidRPr="008978C9">
              <w:rPr>
                <w:rFonts w:ascii="Calibri" w:eastAsia="Times New Roman" w:hAnsi="Calibri" w:cs="Calibri"/>
                <w:color w:val="000000"/>
                <w:lang w:val="en-US" w:eastAsia="en-GB"/>
              </w:rPr>
              <w:t>Acute kidney failure</w:t>
            </w:r>
          </w:p>
        </w:tc>
        <w:tc>
          <w:tcPr>
            <w:tcW w:w="1020" w:type="dxa"/>
            <w:shd w:val="clear" w:color="auto" w:fill="auto"/>
            <w:noWrap/>
            <w:hideMark/>
          </w:tcPr>
          <w:p w14:paraId="4EF96217" w14:textId="77777777" w:rsidR="00F511F4" w:rsidRPr="008978C9" w:rsidRDefault="00F511F4" w:rsidP="001F53D9">
            <w:pPr>
              <w:spacing w:after="0" w:line="240" w:lineRule="auto"/>
              <w:rPr>
                <w:rFonts w:ascii="Calibri" w:eastAsia="Times New Roman" w:hAnsi="Calibri" w:cs="Calibri"/>
                <w:color w:val="000000"/>
                <w:lang w:eastAsia="en-GB"/>
              </w:rPr>
            </w:pPr>
            <w:r w:rsidRPr="008978C9">
              <w:rPr>
                <w:rFonts w:ascii="Calibri" w:eastAsia="Times New Roman" w:hAnsi="Calibri" w:cs="Calibri"/>
                <w:color w:val="000000"/>
                <w:lang w:eastAsia="en-GB"/>
              </w:rPr>
              <w:t>384338</w:t>
            </w:r>
          </w:p>
        </w:tc>
        <w:tc>
          <w:tcPr>
            <w:tcW w:w="1020" w:type="dxa"/>
            <w:shd w:val="clear" w:color="auto" w:fill="auto"/>
            <w:noWrap/>
            <w:hideMark/>
          </w:tcPr>
          <w:p w14:paraId="5034F255" w14:textId="77777777" w:rsidR="00F511F4" w:rsidRPr="008978C9" w:rsidRDefault="00F511F4" w:rsidP="001F53D9">
            <w:pPr>
              <w:spacing w:after="0" w:line="240" w:lineRule="auto"/>
              <w:rPr>
                <w:rFonts w:ascii="Calibri" w:eastAsia="Times New Roman" w:hAnsi="Calibri" w:cs="Calibri"/>
                <w:color w:val="000000"/>
                <w:lang w:eastAsia="en-GB"/>
              </w:rPr>
            </w:pPr>
            <w:r w:rsidRPr="008978C9">
              <w:rPr>
                <w:rFonts w:ascii="Calibri" w:eastAsia="Times New Roman" w:hAnsi="Calibri" w:cs="Calibri"/>
                <w:color w:val="000000"/>
                <w:lang w:eastAsia="en-GB"/>
              </w:rPr>
              <w:t>16.3</w:t>
            </w:r>
          </w:p>
        </w:tc>
      </w:tr>
      <w:tr w:rsidR="00F511F4" w:rsidRPr="008978C9" w14:paraId="70142022" w14:textId="77777777" w:rsidTr="001F53D9">
        <w:trPr>
          <w:trHeight w:val="285"/>
        </w:trPr>
        <w:tc>
          <w:tcPr>
            <w:tcW w:w="5807" w:type="dxa"/>
            <w:shd w:val="clear" w:color="auto" w:fill="auto"/>
            <w:noWrap/>
            <w:hideMark/>
          </w:tcPr>
          <w:p w14:paraId="5F2D366B" w14:textId="77777777" w:rsidR="00F511F4" w:rsidRPr="008978C9" w:rsidRDefault="00F511F4" w:rsidP="001F53D9">
            <w:pPr>
              <w:spacing w:after="0" w:line="240" w:lineRule="auto"/>
              <w:rPr>
                <w:rFonts w:ascii="Calibri" w:eastAsia="Times New Roman" w:hAnsi="Calibri" w:cs="Calibri"/>
                <w:color w:val="000000"/>
                <w:lang w:eastAsia="en-GB"/>
              </w:rPr>
            </w:pPr>
            <w:r w:rsidRPr="008978C9">
              <w:rPr>
                <w:rFonts w:ascii="Calibri" w:eastAsia="Times New Roman" w:hAnsi="Calibri" w:cs="Calibri"/>
                <w:color w:val="000000"/>
                <w:lang w:val="en-US" w:eastAsia="en-GB"/>
              </w:rPr>
              <w:t>Anemia, not elsewhere specified</w:t>
            </w:r>
          </w:p>
        </w:tc>
        <w:tc>
          <w:tcPr>
            <w:tcW w:w="1020" w:type="dxa"/>
            <w:shd w:val="clear" w:color="auto" w:fill="auto"/>
            <w:noWrap/>
            <w:hideMark/>
          </w:tcPr>
          <w:p w14:paraId="648D8B6C" w14:textId="77777777" w:rsidR="00F511F4" w:rsidRPr="008978C9" w:rsidRDefault="00F511F4" w:rsidP="001F53D9">
            <w:pPr>
              <w:spacing w:after="0" w:line="240" w:lineRule="auto"/>
              <w:rPr>
                <w:rFonts w:ascii="Calibri" w:eastAsia="Times New Roman" w:hAnsi="Calibri" w:cs="Calibri"/>
                <w:color w:val="000000"/>
                <w:lang w:eastAsia="en-GB"/>
              </w:rPr>
            </w:pPr>
            <w:r w:rsidRPr="008978C9">
              <w:rPr>
                <w:rFonts w:ascii="Calibri" w:eastAsia="Times New Roman" w:hAnsi="Calibri" w:cs="Calibri"/>
                <w:color w:val="000000"/>
                <w:lang w:eastAsia="en-GB"/>
              </w:rPr>
              <w:t>311302</w:t>
            </w:r>
          </w:p>
        </w:tc>
        <w:tc>
          <w:tcPr>
            <w:tcW w:w="1020" w:type="dxa"/>
            <w:shd w:val="clear" w:color="auto" w:fill="auto"/>
            <w:noWrap/>
            <w:hideMark/>
          </w:tcPr>
          <w:p w14:paraId="252AA54C" w14:textId="77777777" w:rsidR="00F511F4" w:rsidRPr="008978C9" w:rsidRDefault="00F511F4" w:rsidP="001F53D9">
            <w:pPr>
              <w:spacing w:after="0" w:line="240" w:lineRule="auto"/>
              <w:rPr>
                <w:rFonts w:ascii="Calibri" w:eastAsia="Times New Roman" w:hAnsi="Calibri" w:cs="Calibri"/>
                <w:color w:val="000000"/>
                <w:lang w:eastAsia="en-GB"/>
              </w:rPr>
            </w:pPr>
            <w:r w:rsidRPr="008978C9">
              <w:rPr>
                <w:rFonts w:ascii="Calibri" w:eastAsia="Times New Roman" w:hAnsi="Calibri" w:cs="Calibri"/>
                <w:color w:val="000000"/>
                <w:lang w:eastAsia="en-GB"/>
              </w:rPr>
              <w:t>13.2</w:t>
            </w:r>
          </w:p>
        </w:tc>
      </w:tr>
      <w:tr w:rsidR="00F511F4" w:rsidRPr="008978C9" w14:paraId="0BA43A00" w14:textId="77777777" w:rsidTr="001F53D9">
        <w:trPr>
          <w:trHeight w:val="285"/>
        </w:trPr>
        <w:tc>
          <w:tcPr>
            <w:tcW w:w="5807" w:type="dxa"/>
            <w:shd w:val="clear" w:color="auto" w:fill="auto"/>
            <w:noWrap/>
            <w:hideMark/>
          </w:tcPr>
          <w:p w14:paraId="4F21BC26" w14:textId="77777777" w:rsidR="00F511F4" w:rsidRPr="008978C9" w:rsidRDefault="00F511F4" w:rsidP="001F53D9">
            <w:pPr>
              <w:spacing w:after="0" w:line="240" w:lineRule="auto"/>
              <w:rPr>
                <w:rFonts w:ascii="Calibri" w:eastAsia="Times New Roman" w:hAnsi="Calibri" w:cs="Calibri"/>
                <w:color w:val="000000"/>
                <w:lang w:eastAsia="en-GB"/>
              </w:rPr>
            </w:pPr>
            <w:r w:rsidRPr="008978C9">
              <w:rPr>
                <w:rFonts w:ascii="Calibri" w:eastAsia="Times New Roman" w:hAnsi="Calibri" w:cs="Calibri"/>
                <w:color w:val="000000"/>
                <w:lang w:val="en-US" w:eastAsia="en-GB"/>
              </w:rPr>
              <w:t>Pneumonia, organism unspecified</w:t>
            </w:r>
          </w:p>
        </w:tc>
        <w:tc>
          <w:tcPr>
            <w:tcW w:w="1020" w:type="dxa"/>
            <w:shd w:val="clear" w:color="auto" w:fill="auto"/>
            <w:noWrap/>
            <w:hideMark/>
          </w:tcPr>
          <w:p w14:paraId="5C3BEB20" w14:textId="77777777" w:rsidR="00F511F4" w:rsidRPr="008978C9" w:rsidRDefault="00F511F4" w:rsidP="001F53D9">
            <w:pPr>
              <w:spacing w:after="0" w:line="240" w:lineRule="auto"/>
              <w:rPr>
                <w:rFonts w:ascii="Calibri" w:eastAsia="Times New Roman" w:hAnsi="Calibri" w:cs="Calibri"/>
                <w:color w:val="000000"/>
                <w:lang w:eastAsia="en-GB"/>
              </w:rPr>
            </w:pPr>
            <w:r w:rsidRPr="008978C9">
              <w:rPr>
                <w:rFonts w:ascii="Calibri" w:eastAsia="Times New Roman" w:hAnsi="Calibri" w:cs="Calibri"/>
                <w:color w:val="000000"/>
                <w:lang w:eastAsia="en-GB"/>
              </w:rPr>
              <w:t>262530</w:t>
            </w:r>
          </w:p>
        </w:tc>
        <w:tc>
          <w:tcPr>
            <w:tcW w:w="1020" w:type="dxa"/>
            <w:shd w:val="clear" w:color="auto" w:fill="auto"/>
            <w:noWrap/>
            <w:hideMark/>
          </w:tcPr>
          <w:p w14:paraId="01B804FE" w14:textId="77777777" w:rsidR="00F511F4" w:rsidRPr="008978C9" w:rsidRDefault="00F511F4" w:rsidP="001F53D9">
            <w:pPr>
              <w:spacing w:after="0" w:line="240" w:lineRule="auto"/>
              <w:rPr>
                <w:rFonts w:ascii="Calibri" w:eastAsia="Times New Roman" w:hAnsi="Calibri" w:cs="Calibri"/>
                <w:color w:val="000000"/>
                <w:lang w:eastAsia="en-GB"/>
              </w:rPr>
            </w:pPr>
            <w:r w:rsidRPr="008978C9">
              <w:rPr>
                <w:rFonts w:ascii="Calibri" w:eastAsia="Times New Roman" w:hAnsi="Calibri" w:cs="Calibri"/>
                <w:color w:val="000000"/>
                <w:lang w:eastAsia="en-GB"/>
              </w:rPr>
              <w:t>11.2</w:t>
            </w:r>
          </w:p>
        </w:tc>
      </w:tr>
      <w:tr w:rsidR="00F511F4" w:rsidRPr="008978C9" w14:paraId="03546AD8" w14:textId="77777777" w:rsidTr="001F53D9">
        <w:trPr>
          <w:trHeight w:val="285"/>
        </w:trPr>
        <w:tc>
          <w:tcPr>
            <w:tcW w:w="5807" w:type="dxa"/>
            <w:shd w:val="clear" w:color="auto" w:fill="auto"/>
            <w:noWrap/>
            <w:hideMark/>
          </w:tcPr>
          <w:p w14:paraId="3651CE8C" w14:textId="77777777" w:rsidR="00F511F4" w:rsidRPr="008978C9" w:rsidRDefault="00F511F4" w:rsidP="001F53D9">
            <w:pPr>
              <w:spacing w:after="0" w:line="240" w:lineRule="auto"/>
              <w:rPr>
                <w:rFonts w:ascii="Calibri" w:eastAsia="Times New Roman" w:hAnsi="Calibri" w:cs="Calibri"/>
                <w:color w:val="000000"/>
                <w:lang w:eastAsia="en-GB"/>
              </w:rPr>
            </w:pPr>
            <w:r w:rsidRPr="008978C9">
              <w:rPr>
                <w:rFonts w:ascii="Calibri" w:eastAsia="Times New Roman" w:hAnsi="Calibri" w:cs="Calibri"/>
                <w:color w:val="000000"/>
                <w:lang w:val="en-US" w:eastAsia="en-GB"/>
              </w:rPr>
              <w:t>Respiratory failure</w:t>
            </w:r>
          </w:p>
        </w:tc>
        <w:tc>
          <w:tcPr>
            <w:tcW w:w="1020" w:type="dxa"/>
            <w:shd w:val="clear" w:color="auto" w:fill="auto"/>
            <w:noWrap/>
            <w:hideMark/>
          </w:tcPr>
          <w:p w14:paraId="7B6D9256" w14:textId="77777777" w:rsidR="00F511F4" w:rsidRPr="008978C9" w:rsidRDefault="00F511F4" w:rsidP="001F53D9">
            <w:pPr>
              <w:spacing w:after="0" w:line="240" w:lineRule="auto"/>
              <w:rPr>
                <w:rFonts w:ascii="Calibri" w:eastAsia="Times New Roman" w:hAnsi="Calibri" w:cs="Calibri"/>
                <w:color w:val="000000"/>
                <w:lang w:eastAsia="en-GB"/>
              </w:rPr>
            </w:pPr>
            <w:r w:rsidRPr="008978C9">
              <w:rPr>
                <w:rFonts w:ascii="Calibri" w:eastAsia="Times New Roman" w:hAnsi="Calibri" w:cs="Calibri"/>
                <w:color w:val="000000"/>
                <w:lang w:eastAsia="en-GB"/>
              </w:rPr>
              <w:t>251986</w:t>
            </w:r>
          </w:p>
        </w:tc>
        <w:tc>
          <w:tcPr>
            <w:tcW w:w="1020" w:type="dxa"/>
            <w:shd w:val="clear" w:color="auto" w:fill="auto"/>
            <w:noWrap/>
            <w:hideMark/>
          </w:tcPr>
          <w:p w14:paraId="3593D4B8" w14:textId="77777777" w:rsidR="00F511F4" w:rsidRPr="008978C9" w:rsidRDefault="00F511F4" w:rsidP="001F53D9">
            <w:pPr>
              <w:spacing w:after="0" w:line="240" w:lineRule="auto"/>
              <w:rPr>
                <w:rFonts w:ascii="Calibri" w:eastAsia="Times New Roman" w:hAnsi="Calibri" w:cs="Calibri"/>
                <w:color w:val="000000"/>
                <w:lang w:eastAsia="en-GB"/>
              </w:rPr>
            </w:pPr>
            <w:r w:rsidRPr="008978C9">
              <w:rPr>
                <w:rFonts w:ascii="Calibri" w:eastAsia="Times New Roman" w:hAnsi="Calibri" w:cs="Calibri"/>
                <w:color w:val="000000"/>
                <w:lang w:eastAsia="en-GB"/>
              </w:rPr>
              <w:t>10.7</w:t>
            </w:r>
          </w:p>
        </w:tc>
      </w:tr>
      <w:tr w:rsidR="00F511F4" w:rsidRPr="008978C9" w14:paraId="256B9016" w14:textId="77777777" w:rsidTr="001F53D9">
        <w:trPr>
          <w:trHeight w:val="285"/>
        </w:trPr>
        <w:tc>
          <w:tcPr>
            <w:tcW w:w="5807" w:type="dxa"/>
            <w:shd w:val="clear" w:color="auto" w:fill="auto"/>
            <w:noWrap/>
            <w:hideMark/>
          </w:tcPr>
          <w:p w14:paraId="58938555" w14:textId="77777777" w:rsidR="00F511F4" w:rsidRPr="008978C9" w:rsidRDefault="00F511F4" w:rsidP="001F53D9">
            <w:pPr>
              <w:spacing w:after="0" w:line="240" w:lineRule="auto"/>
              <w:rPr>
                <w:rFonts w:ascii="Calibri" w:eastAsia="Times New Roman" w:hAnsi="Calibri" w:cs="Calibri"/>
                <w:color w:val="000000"/>
                <w:lang w:eastAsia="en-GB"/>
              </w:rPr>
            </w:pPr>
            <w:r w:rsidRPr="008978C9">
              <w:rPr>
                <w:rFonts w:ascii="Calibri" w:eastAsia="Times New Roman" w:hAnsi="Calibri" w:cs="Calibri"/>
                <w:color w:val="000000"/>
                <w:lang w:val="en-US" w:eastAsia="en-GB"/>
              </w:rPr>
              <w:t>Osteoarthrosis and allied disorders</w:t>
            </w:r>
          </w:p>
        </w:tc>
        <w:tc>
          <w:tcPr>
            <w:tcW w:w="1020" w:type="dxa"/>
            <w:shd w:val="clear" w:color="auto" w:fill="auto"/>
            <w:noWrap/>
            <w:hideMark/>
          </w:tcPr>
          <w:p w14:paraId="2E6EF5CF" w14:textId="77777777" w:rsidR="00F511F4" w:rsidRPr="008978C9" w:rsidRDefault="00F511F4" w:rsidP="001F53D9">
            <w:pPr>
              <w:spacing w:after="0" w:line="240" w:lineRule="auto"/>
              <w:rPr>
                <w:rFonts w:ascii="Calibri" w:eastAsia="Times New Roman" w:hAnsi="Calibri" w:cs="Calibri"/>
                <w:color w:val="000000"/>
                <w:lang w:eastAsia="en-GB"/>
              </w:rPr>
            </w:pPr>
            <w:r w:rsidRPr="008978C9">
              <w:rPr>
                <w:rFonts w:ascii="Calibri" w:eastAsia="Times New Roman" w:hAnsi="Calibri" w:cs="Calibri"/>
                <w:color w:val="000000"/>
                <w:lang w:eastAsia="en-GB"/>
              </w:rPr>
              <w:t>190030</w:t>
            </w:r>
          </w:p>
        </w:tc>
        <w:tc>
          <w:tcPr>
            <w:tcW w:w="1020" w:type="dxa"/>
            <w:shd w:val="clear" w:color="auto" w:fill="auto"/>
            <w:noWrap/>
            <w:hideMark/>
          </w:tcPr>
          <w:p w14:paraId="71D8CE34" w14:textId="77777777" w:rsidR="00F511F4" w:rsidRPr="008978C9" w:rsidRDefault="00F511F4" w:rsidP="001F53D9">
            <w:pPr>
              <w:spacing w:after="0" w:line="240" w:lineRule="auto"/>
              <w:rPr>
                <w:rFonts w:ascii="Calibri" w:eastAsia="Times New Roman" w:hAnsi="Calibri" w:cs="Calibri"/>
                <w:color w:val="000000"/>
                <w:lang w:eastAsia="en-GB"/>
              </w:rPr>
            </w:pPr>
            <w:r w:rsidRPr="008978C9">
              <w:rPr>
                <w:rFonts w:ascii="Calibri" w:eastAsia="Times New Roman" w:hAnsi="Calibri" w:cs="Calibri"/>
                <w:color w:val="000000"/>
                <w:lang w:eastAsia="en-GB"/>
              </w:rPr>
              <w:t>8.1</w:t>
            </w:r>
          </w:p>
        </w:tc>
      </w:tr>
      <w:tr w:rsidR="00F511F4" w:rsidRPr="008978C9" w14:paraId="09648289" w14:textId="77777777" w:rsidTr="001F53D9">
        <w:trPr>
          <w:trHeight w:val="285"/>
        </w:trPr>
        <w:tc>
          <w:tcPr>
            <w:tcW w:w="5807" w:type="dxa"/>
            <w:shd w:val="clear" w:color="auto" w:fill="auto"/>
            <w:noWrap/>
            <w:hideMark/>
          </w:tcPr>
          <w:p w14:paraId="2A8364C0" w14:textId="77777777" w:rsidR="00F511F4" w:rsidRPr="008978C9" w:rsidRDefault="00F511F4" w:rsidP="001F53D9">
            <w:pPr>
              <w:spacing w:after="0" w:line="240" w:lineRule="auto"/>
              <w:rPr>
                <w:rFonts w:ascii="Calibri" w:eastAsia="Times New Roman" w:hAnsi="Calibri" w:cs="Calibri"/>
                <w:color w:val="000000"/>
                <w:lang w:eastAsia="en-GB"/>
              </w:rPr>
            </w:pPr>
            <w:r w:rsidRPr="008978C9">
              <w:rPr>
                <w:rFonts w:ascii="Calibri" w:eastAsia="Times New Roman" w:hAnsi="Calibri" w:cs="Calibri"/>
                <w:color w:val="000000"/>
                <w:lang w:val="en-US" w:eastAsia="en-GB"/>
              </w:rPr>
              <w:t>Other disorders of kidney and ureter</w:t>
            </w:r>
          </w:p>
        </w:tc>
        <w:tc>
          <w:tcPr>
            <w:tcW w:w="1020" w:type="dxa"/>
            <w:shd w:val="clear" w:color="auto" w:fill="auto"/>
            <w:noWrap/>
            <w:hideMark/>
          </w:tcPr>
          <w:p w14:paraId="0DBCDB8A" w14:textId="77777777" w:rsidR="00F511F4" w:rsidRPr="008978C9" w:rsidRDefault="00F511F4" w:rsidP="001F53D9">
            <w:pPr>
              <w:spacing w:after="0" w:line="240" w:lineRule="auto"/>
              <w:rPr>
                <w:rFonts w:ascii="Calibri" w:eastAsia="Times New Roman" w:hAnsi="Calibri" w:cs="Calibri"/>
                <w:color w:val="000000"/>
                <w:lang w:eastAsia="en-GB"/>
              </w:rPr>
            </w:pPr>
            <w:r w:rsidRPr="008978C9">
              <w:rPr>
                <w:rFonts w:ascii="Calibri" w:eastAsia="Times New Roman" w:hAnsi="Calibri" w:cs="Calibri"/>
                <w:color w:val="000000"/>
                <w:lang w:eastAsia="en-GB"/>
              </w:rPr>
              <w:t>150353</w:t>
            </w:r>
          </w:p>
        </w:tc>
        <w:tc>
          <w:tcPr>
            <w:tcW w:w="1020" w:type="dxa"/>
            <w:shd w:val="clear" w:color="auto" w:fill="auto"/>
            <w:noWrap/>
            <w:hideMark/>
          </w:tcPr>
          <w:p w14:paraId="213F030B" w14:textId="77777777" w:rsidR="00F511F4" w:rsidRPr="008978C9" w:rsidRDefault="00F511F4" w:rsidP="001F53D9">
            <w:pPr>
              <w:spacing w:after="0" w:line="240" w:lineRule="auto"/>
              <w:rPr>
                <w:rFonts w:ascii="Calibri" w:eastAsia="Times New Roman" w:hAnsi="Calibri" w:cs="Calibri"/>
                <w:color w:val="000000"/>
                <w:lang w:eastAsia="en-GB"/>
              </w:rPr>
            </w:pPr>
            <w:r w:rsidRPr="008978C9">
              <w:rPr>
                <w:rFonts w:ascii="Calibri" w:eastAsia="Times New Roman" w:hAnsi="Calibri" w:cs="Calibri"/>
                <w:color w:val="000000"/>
                <w:lang w:eastAsia="en-GB"/>
              </w:rPr>
              <w:t>6.4</w:t>
            </w:r>
          </w:p>
        </w:tc>
      </w:tr>
      <w:tr w:rsidR="00F511F4" w:rsidRPr="008978C9" w14:paraId="15A5503B" w14:textId="77777777" w:rsidTr="001F53D9">
        <w:trPr>
          <w:trHeight w:val="285"/>
        </w:trPr>
        <w:tc>
          <w:tcPr>
            <w:tcW w:w="5807" w:type="dxa"/>
            <w:shd w:val="clear" w:color="auto" w:fill="auto"/>
            <w:noWrap/>
            <w:hideMark/>
          </w:tcPr>
          <w:p w14:paraId="6FF06475" w14:textId="77777777" w:rsidR="00F511F4" w:rsidRPr="008978C9" w:rsidRDefault="00F511F4" w:rsidP="001F53D9">
            <w:pPr>
              <w:spacing w:after="0" w:line="240" w:lineRule="auto"/>
              <w:rPr>
                <w:rFonts w:ascii="Calibri" w:eastAsia="Times New Roman" w:hAnsi="Calibri" w:cs="Calibri"/>
                <w:color w:val="000000"/>
                <w:lang w:eastAsia="en-GB"/>
              </w:rPr>
            </w:pPr>
            <w:r w:rsidRPr="008978C9">
              <w:rPr>
                <w:rFonts w:ascii="Calibri" w:eastAsia="Times New Roman" w:hAnsi="Calibri" w:cs="Calibri"/>
                <w:color w:val="000000"/>
                <w:lang w:val="en-US" w:eastAsia="en-GB"/>
              </w:rPr>
              <w:t>Other disease of digestive system</w:t>
            </w:r>
          </w:p>
        </w:tc>
        <w:tc>
          <w:tcPr>
            <w:tcW w:w="1020" w:type="dxa"/>
            <w:shd w:val="clear" w:color="auto" w:fill="auto"/>
            <w:noWrap/>
            <w:hideMark/>
          </w:tcPr>
          <w:p w14:paraId="744AE086" w14:textId="77777777" w:rsidR="00F511F4" w:rsidRPr="008978C9" w:rsidRDefault="00F511F4" w:rsidP="001F53D9">
            <w:pPr>
              <w:spacing w:after="0" w:line="240" w:lineRule="auto"/>
              <w:rPr>
                <w:rFonts w:ascii="Calibri" w:eastAsia="Times New Roman" w:hAnsi="Calibri" w:cs="Calibri"/>
                <w:color w:val="000000"/>
                <w:lang w:eastAsia="en-GB"/>
              </w:rPr>
            </w:pPr>
            <w:r w:rsidRPr="008978C9">
              <w:rPr>
                <w:rFonts w:ascii="Calibri" w:eastAsia="Times New Roman" w:hAnsi="Calibri" w:cs="Calibri"/>
                <w:color w:val="000000"/>
                <w:lang w:eastAsia="en-GB"/>
              </w:rPr>
              <w:t>119489</w:t>
            </w:r>
          </w:p>
        </w:tc>
        <w:tc>
          <w:tcPr>
            <w:tcW w:w="1020" w:type="dxa"/>
            <w:shd w:val="clear" w:color="auto" w:fill="auto"/>
            <w:noWrap/>
            <w:hideMark/>
          </w:tcPr>
          <w:p w14:paraId="779476FA" w14:textId="77777777" w:rsidR="00F511F4" w:rsidRPr="008978C9" w:rsidRDefault="00F511F4" w:rsidP="001F53D9">
            <w:pPr>
              <w:spacing w:after="0" w:line="240" w:lineRule="auto"/>
              <w:rPr>
                <w:rFonts w:ascii="Calibri" w:eastAsia="Times New Roman" w:hAnsi="Calibri" w:cs="Calibri"/>
                <w:color w:val="000000"/>
                <w:lang w:eastAsia="en-GB"/>
              </w:rPr>
            </w:pPr>
            <w:r w:rsidRPr="008978C9">
              <w:rPr>
                <w:rFonts w:ascii="Calibri" w:eastAsia="Times New Roman" w:hAnsi="Calibri" w:cs="Calibri"/>
                <w:color w:val="000000"/>
                <w:lang w:eastAsia="en-GB"/>
              </w:rPr>
              <w:t>5.1</w:t>
            </w:r>
          </w:p>
        </w:tc>
      </w:tr>
      <w:tr w:rsidR="00F511F4" w:rsidRPr="008978C9" w14:paraId="605AB22F" w14:textId="77777777" w:rsidTr="001F53D9">
        <w:trPr>
          <w:trHeight w:val="285"/>
        </w:trPr>
        <w:tc>
          <w:tcPr>
            <w:tcW w:w="5807" w:type="dxa"/>
            <w:shd w:val="clear" w:color="auto" w:fill="auto"/>
            <w:noWrap/>
            <w:hideMark/>
          </w:tcPr>
          <w:p w14:paraId="0203A135" w14:textId="77777777" w:rsidR="00F511F4" w:rsidRPr="008978C9" w:rsidRDefault="00F511F4" w:rsidP="001F53D9">
            <w:pPr>
              <w:spacing w:after="0" w:line="240" w:lineRule="auto"/>
              <w:rPr>
                <w:rFonts w:ascii="Calibri" w:eastAsia="Times New Roman" w:hAnsi="Calibri" w:cs="Calibri"/>
                <w:color w:val="000000"/>
                <w:lang w:eastAsia="en-GB"/>
              </w:rPr>
            </w:pPr>
            <w:r w:rsidRPr="008978C9">
              <w:rPr>
                <w:rFonts w:ascii="Calibri" w:eastAsia="Times New Roman" w:hAnsi="Calibri" w:cs="Calibri"/>
                <w:color w:val="000000"/>
                <w:lang w:val="en-US" w:eastAsia="en-GB"/>
              </w:rPr>
              <w:t>Hypotension</w:t>
            </w:r>
          </w:p>
        </w:tc>
        <w:tc>
          <w:tcPr>
            <w:tcW w:w="1020" w:type="dxa"/>
            <w:shd w:val="clear" w:color="auto" w:fill="auto"/>
            <w:noWrap/>
            <w:hideMark/>
          </w:tcPr>
          <w:p w14:paraId="604C2374" w14:textId="77777777" w:rsidR="00F511F4" w:rsidRPr="008978C9" w:rsidRDefault="00F511F4" w:rsidP="001F53D9">
            <w:pPr>
              <w:spacing w:after="0" w:line="240" w:lineRule="auto"/>
              <w:rPr>
                <w:rFonts w:ascii="Calibri" w:eastAsia="Times New Roman" w:hAnsi="Calibri" w:cs="Calibri"/>
                <w:color w:val="000000"/>
                <w:lang w:eastAsia="en-GB"/>
              </w:rPr>
            </w:pPr>
            <w:r w:rsidRPr="008978C9">
              <w:rPr>
                <w:rFonts w:ascii="Calibri" w:eastAsia="Times New Roman" w:hAnsi="Calibri" w:cs="Calibri"/>
                <w:color w:val="000000"/>
                <w:lang w:eastAsia="en-GB"/>
              </w:rPr>
              <w:t>107876</w:t>
            </w:r>
          </w:p>
        </w:tc>
        <w:tc>
          <w:tcPr>
            <w:tcW w:w="1020" w:type="dxa"/>
            <w:shd w:val="clear" w:color="auto" w:fill="auto"/>
            <w:noWrap/>
            <w:hideMark/>
          </w:tcPr>
          <w:p w14:paraId="63F8F1A2" w14:textId="77777777" w:rsidR="00F511F4" w:rsidRPr="008978C9" w:rsidRDefault="00F511F4" w:rsidP="001F53D9">
            <w:pPr>
              <w:spacing w:after="0" w:line="240" w:lineRule="auto"/>
              <w:rPr>
                <w:rFonts w:ascii="Calibri" w:eastAsia="Times New Roman" w:hAnsi="Calibri" w:cs="Calibri"/>
                <w:color w:val="000000"/>
                <w:lang w:eastAsia="en-GB"/>
              </w:rPr>
            </w:pPr>
            <w:r w:rsidRPr="008978C9">
              <w:rPr>
                <w:rFonts w:ascii="Calibri" w:eastAsia="Times New Roman" w:hAnsi="Calibri" w:cs="Calibri"/>
                <w:color w:val="000000"/>
                <w:lang w:eastAsia="en-GB"/>
              </w:rPr>
              <w:t>4.6</w:t>
            </w:r>
          </w:p>
        </w:tc>
      </w:tr>
      <w:tr w:rsidR="00F511F4" w:rsidRPr="008978C9" w14:paraId="7A90CD57" w14:textId="77777777" w:rsidTr="001F53D9">
        <w:trPr>
          <w:trHeight w:val="285"/>
        </w:trPr>
        <w:tc>
          <w:tcPr>
            <w:tcW w:w="5807" w:type="dxa"/>
            <w:shd w:val="clear" w:color="auto" w:fill="auto"/>
            <w:noWrap/>
            <w:hideMark/>
          </w:tcPr>
          <w:p w14:paraId="1272A937" w14:textId="77777777" w:rsidR="00F511F4" w:rsidRPr="008978C9" w:rsidRDefault="00F511F4" w:rsidP="001F53D9">
            <w:pPr>
              <w:spacing w:after="0" w:line="240" w:lineRule="auto"/>
              <w:rPr>
                <w:rFonts w:ascii="Calibri" w:eastAsia="Times New Roman" w:hAnsi="Calibri" w:cs="Calibri"/>
                <w:color w:val="000000"/>
                <w:lang w:eastAsia="en-GB"/>
              </w:rPr>
            </w:pPr>
            <w:r w:rsidRPr="008978C9">
              <w:rPr>
                <w:rFonts w:ascii="Calibri" w:eastAsia="Times New Roman" w:hAnsi="Calibri" w:cs="Calibri"/>
                <w:color w:val="000000"/>
                <w:lang w:val="en-US" w:eastAsia="en-GB"/>
              </w:rPr>
              <w:t>Bacterial infections in conditions classified elsewhere and of unspecified site</w:t>
            </w:r>
          </w:p>
        </w:tc>
        <w:tc>
          <w:tcPr>
            <w:tcW w:w="1020" w:type="dxa"/>
            <w:shd w:val="clear" w:color="auto" w:fill="auto"/>
            <w:noWrap/>
            <w:hideMark/>
          </w:tcPr>
          <w:p w14:paraId="53D26B49" w14:textId="77777777" w:rsidR="00F511F4" w:rsidRPr="008978C9" w:rsidRDefault="00F511F4" w:rsidP="001F53D9">
            <w:pPr>
              <w:spacing w:after="0" w:line="240" w:lineRule="auto"/>
              <w:rPr>
                <w:rFonts w:ascii="Calibri" w:eastAsia="Times New Roman" w:hAnsi="Calibri" w:cs="Calibri"/>
                <w:color w:val="000000"/>
                <w:lang w:eastAsia="en-GB"/>
              </w:rPr>
            </w:pPr>
            <w:r w:rsidRPr="008978C9">
              <w:rPr>
                <w:rFonts w:ascii="Calibri" w:eastAsia="Times New Roman" w:hAnsi="Calibri" w:cs="Calibri"/>
                <w:color w:val="000000"/>
                <w:lang w:eastAsia="en-GB"/>
              </w:rPr>
              <w:t>88460</w:t>
            </w:r>
          </w:p>
        </w:tc>
        <w:tc>
          <w:tcPr>
            <w:tcW w:w="1020" w:type="dxa"/>
            <w:shd w:val="clear" w:color="auto" w:fill="auto"/>
            <w:noWrap/>
            <w:hideMark/>
          </w:tcPr>
          <w:p w14:paraId="4A6AB439" w14:textId="77777777" w:rsidR="00F511F4" w:rsidRPr="008978C9" w:rsidRDefault="00F511F4" w:rsidP="001F53D9">
            <w:pPr>
              <w:spacing w:after="0" w:line="240" w:lineRule="auto"/>
              <w:rPr>
                <w:rFonts w:ascii="Calibri" w:eastAsia="Times New Roman" w:hAnsi="Calibri" w:cs="Calibri"/>
                <w:color w:val="000000"/>
                <w:lang w:eastAsia="en-GB"/>
              </w:rPr>
            </w:pPr>
            <w:r w:rsidRPr="008978C9">
              <w:rPr>
                <w:rFonts w:ascii="Calibri" w:eastAsia="Times New Roman" w:hAnsi="Calibri" w:cs="Calibri"/>
                <w:color w:val="000000"/>
                <w:lang w:eastAsia="en-GB"/>
              </w:rPr>
              <w:t>3.8</w:t>
            </w:r>
          </w:p>
        </w:tc>
      </w:tr>
      <w:tr w:rsidR="00F511F4" w:rsidRPr="008978C9" w14:paraId="6D7B0864" w14:textId="77777777" w:rsidTr="001F53D9">
        <w:trPr>
          <w:trHeight w:val="285"/>
        </w:trPr>
        <w:tc>
          <w:tcPr>
            <w:tcW w:w="5807" w:type="dxa"/>
            <w:shd w:val="clear" w:color="auto" w:fill="auto"/>
            <w:noWrap/>
            <w:hideMark/>
          </w:tcPr>
          <w:p w14:paraId="20226C42" w14:textId="77777777" w:rsidR="00F511F4" w:rsidRPr="008978C9" w:rsidRDefault="00F511F4" w:rsidP="001F53D9">
            <w:pPr>
              <w:spacing w:after="0" w:line="240" w:lineRule="auto"/>
              <w:rPr>
                <w:rFonts w:ascii="Calibri" w:eastAsia="Times New Roman" w:hAnsi="Calibri" w:cs="Calibri"/>
                <w:color w:val="000000"/>
                <w:lang w:eastAsia="en-GB"/>
              </w:rPr>
            </w:pPr>
            <w:r w:rsidRPr="008978C9">
              <w:rPr>
                <w:rFonts w:ascii="Calibri" w:eastAsia="Times New Roman" w:hAnsi="Calibri" w:cs="Calibri"/>
                <w:color w:val="000000"/>
                <w:lang w:val="en-US" w:eastAsia="en-GB"/>
              </w:rPr>
              <w:t>Cellulitis</w:t>
            </w:r>
          </w:p>
        </w:tc>
        <w:tc>
          <w:tcPr>
            <w:tcW w:w="1020" w:type="dxa"/>
            <w:shd w:val="clear" w:color="auto" w:fill="auto"/>
            <w:noWrap/>
            <w:hideMark/>
          </w:tcPr>
          <w:p w14:paraId="639FD7F2" w14:textId="77777777" w:rsidR="00F511F4" w:rsidRPr="008978C9" w:rsidRDefault="00F511F4" w:rsidP="001F53D9">
            <w:pPr>
              <w:spacing w:after="0" w:line="240" w:lineRule="auto"/>
              <w:rPr>
                <w:rFonts w:ascii="Calibri" w:eastAsia="Times New Roman" w:hAnsi="Calibri" w:cs="Calibri"/>
                <w:color w:val="000000"/>
                <w:lang w:eastAsia="en-GB"/>
              </w:rPr>
            </w:pPr>
            <w:r w:rsidRPr="008978C9">
              <w:rPr>
                <w:rFonts w:ascii="Calibri" w:eastAsia="Times New Roman" w:hAnsi="Calibri" w:cs="Calibri"/>
                <w:color w:val="000000"/>
                <w:lang w:eastAsia="en-GB"/>
              </w:rPr>
              <w:t>82636</w:t>
            </w:r>
          </w:p>
        </w:tc>
        <w:tc>
          <w:tcPr>
            <w:tcW w:w="1020" w:type="dxa"/>
            <w:shd w:val="clear" w:color="auto" w:fill="auto"/>
            <w:noWrap/>
            <w:hideMark/>
          </w:tcPr>
          <w:p w14:paraId="062C530F" w14:textId="77777777" w:rsidR="00F511F4" w:rsidRPr="008978C9" w:rsidRDefault="00F511F4" w:rsidP="001F53D9">
            <w:pPr>
              <w:spacing w:after="0" w:line="240" w:lineRule="auto"/>
              <w:rPr>
                <w:rFonts w:ascii="Calibri" w:eastAsia="Times New Roman" w:hAnsi="Calibri" w:cs="Calibri"/>
                <w:color w:val="000000"/>
                <w:lang w:eastAsia="en-GB"/>
              </w:rPr>
            </w:pPr>
            <w:r w:rsidRPr="008978C9">
              <w:rPr>
                <w:rFonts w:ascii="Calibri" w:eastAsia="Times New Roman" w:hAnsi="Calibri" w:cs="Calibri"/>
                <w:color w:val="000000"/>
                <w:lang w:eastAsia="en-GB"/>
              </w:rPr>
              <w:t>3.5</w:t>
            </w:r>
          </w:p>
        </w:tc>
      </w:tr>
      <w:tr w:rsidR="00F511F4" w:rsidRPr="008978C9" w14:paraId="665DF7D7" w14:textId="77777777" w:rsidTr="001F53D9">
        <w:trPr>
          <w:trHeight w:val="285"/>
        </w:trPr>
        <w:tc>
          <w:tcPr>
            <w:tcW w:w="5807" w:type="dxa"/>
            <w:shd w:val="clear" w:color="auto" w:fill="auto"/>
            <w:noWrap/>
            <w:hideMark/>
          </w:tcPr>
          <w:p w14:paraId="23FDC909" w14:textId="77777777" w:rsidR="00F511F4" w:rsidRPr="008978C9" w:rsidRDefault="00F511F4" w:rsidP="001F53D9">
            <w:pPr>
              <w:spacing w:after="0" w:line="240" w:lineRule="auto"/>
              <w:rPr>
                <w:rFonts w:ascii="Calibri" w:eastAsia="Times New Roman" w:hAnsi="Calibri" w:cs="Calibri"/>
                <w:color w:val="000000"/>
                <w:lang w:eastAsia="en-GB"/>
              </w:rPr>
            </w:pPr>
            <w:r w:rsidRPr="008978C9">
              <w:rPr>
                <w:rFonts w:ascii="Calibri" w:eastAsia="Times New Roman" w:hAnsi="Calibri" w:cs="Calibri"/>
                <w:color w:val="000000"/>
                <w:lang w:val="en-US" w:eastAsia="en-GB"/>
              </w:rPr>
              <w:t>Pathological fracture or history of pathological fracture</w:t>
            </w:r>
          </w:p>
        </w:tc>
        <w:tc>
          <w:tcPr>
            <w:tcW w:w="1020" w:type="dxa"/>
            <w:shd w:val="clear" w:color="auto" w:fill="auto"/>
            <w:noWrap/>
            <w:hideMark/>
          </w:tcPr>
          <w:p w14:paraId="5A16168A" w14:textId="77777777" w:rsidR="00F511F4" w:rsidRPr="008978C9" w:rsidRDefault="00F511F4" w:rsidP="001F53D9">
            <w:pPr>
              <w:spacing w:after="0" w:line="240" w:lineRule="auto"/>
              <w:rPr>
                <w:rFonts w:ascii="Calibri" w:eastAsia="Times New Roman" w:hAnsi="Calibri" w:cs="Calibri"/>
                <w:color w:val="000000"/>
                <w:lang w:eastAsia="en-GB"/>
              </w:rPr>
            </w:pPr>
            <w:r w:rsidRPr="008978C9">
              <w:rPr>
                <w:rFonts w:ascii="Calibri" w:eastAsia="Times New Roman" w:hAnsi="Calibri" w:cs="Calibri"/>
                <w:color w:val="000000"/>
                <w:lang w:eastAsia="en-GB"/>
              </w:rPr>
              <w:t>82419</w:t>
            </w:r>
          </w:p>
        </w:tc>
        <w:tc>
          <w:tcPr>
            <w:tcW w:w="1020" w:type="dxa"/>
            <w:shd w:val="clear" w:color="auto" w:fill="auto"/>
            <w:noWrap/>
            <w:hideMark/>
          </w:tcPr>
          <w:p w14:paraId="1C6B95C9" w14:textId="77777777" w:rsidR="00F511F4" w:rsidRPr="008978C9" w:rsidRDefault="00F511F4" w:rsidP="001F53D9">
            <w:pPr>
              <w:spacing w:after="0" w:line="240" w:lineRule="auto"/>
              <w:rPr>
                <w:rFonts w:ascii="Calibri" w:eastAsia="Times New Roman" w:hAnsi="Calibri" w:cs="Calibri"/>
                <w:color w:val="000000"/>
                <w:lang w:eastAsia="en-GB"/>
              </w:rPr>
            </w:pPr>
            <w:r w:rsidRPr="008978C9">
              <w:rPr>
                <w:rFonts w:ascii="Calibri" w:eastAsia="Times New Roman" w:hAnsi="Calibri" w:cs="Calibri"/>
                <w:color w:val="000000"/>
                <w:lang w:eastAsia="en-GB"/>
              </w:rPr>
              <w:t>3.5</w:t>
            </w:r>
          </w:p>
        </w:tc>
      </w:tr>
      <w:tr w:rsidR="00F511F4" w:rsidRPr="008978C9" w14:paraId="17D0FDC9" w14:textId="77777777" w:rsidTr="001F53D9">
        <w:trPr>
          <w:trHeight w:val="285"/>
        </w:trPr>
        <w:tc>
          <w:tcPr>
            <w:tcW w:w="5807" w:type="dxa"/>
            <w:shd w:val="clear" w:color="auto" w:fill="auto"/>
            <w:noWrap/>
            <w:hideMark/>
          </w:tcPr>
          <w:p w14:paraId="3DF9D94F" w14:textId="77777777" w:rsidR="00F511F4" w:rsidRPr="008978C9" w:rsidRDefault="00F511F4" w:rsidP="001F53D9">
            <w:pPr>
              <w:spacing w:after="0" w:line="240" w:lineRule="auto"/>
              <w:rPr>
                <w:rFonts w:ascii="Calibri" w:eastAsia="Times New Roman" w:hAnsi="Calibri" w:cs="Calibri"/>
                <w:color w:val="000000"/>
                <w:lang w:eastAsia="en-GB"/>
              </w:rPr>
            </w:pPr>
            <w:r w:rsidRPr="008978C9">
              <w:rPr>
                <w:rFonts w:ascii="Calibri" w:eastAsia="Times New Roman" w:hAnsi="Calibri" w:cs="Calibri"/>
                <w:color w:val="000000"/>
                <w:lang w:val="en-US" w:eastAsia="en-GB"/>
              </w:rPr>
              <w:t>Osteoporosis</w:t>
            </w:r>
          </w:p>
        </w:tc>
        <w:tc>
          <w:tcPr>
            <w:tcW w:w="1020" w:type="dxa"/>
            <w:shd w:val="clear" w:color="auto" w:fill="auto"/>
            <w:noWrap/>
            <w:hideMark/>
          </w:tcPr>
          <w:p w14:paraId="35127C40" w14:textId="77777777" w:rsidR="00F511F4" w:rsidRPr="008978C9" w:rsidRDefault="00F511F4" w:rsidP="001F53D9">
            <w:pPr>
              <w:spacing w:after="0" w:line="240" w:lineRule="auto"/>
              <w:rPr>
                <w:rFonts w:ascii="Calibri" w:eastAsia="Times New Roman" w:hAnsi="Calibri" w:cs="Calibri"/>
                <w:color w:val="000000"/>
                <w:lang w:eastAsia="en-GB"/>
              </w:rPr>
            </w:pPr>
            <w:r w:rsidRPr="008978C9">
              <w:rPr>
                <w:rFonts w:ascii="Calibri" w:eastAsia="Times New Roman" w:hAnsi="Calibri" w:cs="Calibri"/>
                <w:color w:val="000000"/>
                <w:lang w:eastAsia="en-GB"/>
              </w:rPr>
              <w:t>82181</w:t>
            </w:r>
          </w:p>
        </w:tc>
        <w:tc>
          <w:tcPr>
            <w:tcW w:w="1020" w:type="dxa"/>
            <w:shd w:val="clear" w:color="auto" w:fill="auto"/>
            <w:noWrap/>
            <w:hideMark/>
          </w:tcPr>
          <w:p w14:paraId="213560D8" w14:textId="77777777" w:rsidR="00F511F4" w:rsidRPr="008978C9" w:rsidRDefault="00F511F4" w:rsidP="001F53D9">
            <w:pPr>
              <w:spacing w:after="0" w:line="240" w:lineRule="auto"/>
              <w:rPr>
                <w:rFonts w:ascii="Calibri" w:eastAsia="Times New Roman" w:hAnsi="Calibri" w:cs="Calibri"/>
                <w:color w:val="000000"/>
                <w:lang w:eastAsia="en-GB"/>
              </w:rPr>
            </w:pPr>
            <w:r w:rsidRPr="008978C9">
              <w:rPr>
                <w:rFonts w:ascii="Calibri" w:eastAsia="Times New Roman" w:hAnsi="Calibri" w:cs="Calibri"/>
                <w:color w:val="000000"/>
                <w:lang w:eastAsia="en-GB"/>
              </w:rPr>
              <w:t>3.5</w:t>
            </w:r>
          </w:p>
        </w:tc>
      </w:tr>
      <w:tr w:rsidR="00F511F4" w:rsidRPr="008978C9" w14:paraId="21C71F92" w14:textId="77777777" w:rsidTr="001F53D9">
        <w:trPr>
          <w:trHeight w:val="285"/>
        </w:trPr>
        <w:tc>
          <w:tcPr>
            <w:tcW w:w="5807" w:type="dxa"/>
            <w:shd w:val="clear" w:color="auto" w:fill="auto"/>
            <w:noWrap/>
            <w:hideMark/>
          </w:tcPr>
          <w:p w14:paraId="47A4CE27" w14:textId="77777777" w:rsidR="00F511F4" w:rsidRPr="008978C9" w:rsidRDefault="00F511F4" w:rsidP="001F53D9">
            <w:pPr>
              <w:spacing w:after="0" w:line="240" w:lineRule="auto"/>
              <w:rPr>
                <w:rFonts w:ascii="Calibri" w:eastAsia="Times New Roman" w:hAnsi="Calibri" w:cs="Calibri"/>
                <w:color w:val="000000"/>
                <w:lang w:eastAsia="en-GB"/>
              </w:rPr>
            </w:pPr>
            <w:r w:rsidRPr="008978C9">
              <w:rPr>
                <w:rFonts w:ascii="Calibri" w:eastAsia="Times New Roman" w:hAnsi="Calibri" w:cs="Calibri"/>
                <w:color w:val="000000"/>
                <w:lang w:val="en-US" w:eastAsia="en-GB"/>
              </w:rPr>
              <w:t>Volume depletion</w:t>
            </w:r>
          </w:p>
        </w:tc>
        <w:tc>
          <w:tcPr>
            <w:tcW w:w="1020" w:type="dxa"/>
            <w:shd w:val="clear" w:color="auto" w:fill="auto"/>
            <w:noWrap/>
            <w:hideMark/>
          </w:tcPr>
          <w:p w14:paraId="1885889C" w14:textId="77777777" w:rsidR="00F511F4" w:rsidRPr="008978C9" w:rsidRDefault="00F511F4" w:rsidP="001F53D9">
            <w:pPr>
              <w:spacing w:after="0" w:line="240" w:lineRule="auto"/>
              <w:rPr>
                <w:rFonts w:ascii="Calibri" w:eastAsia="Times New Roman" w:hAnsi="Calibri" w:cs="Calibri"/>
                <w:color w:val="000000"/>
                <w:lang w:eastAsia="en-GB"/>
              </w:rPr>
            </w:pPr>
            <w:r w:rsidRPr="008978C9">
              <w:rPr>
                <w:rFonts w:ascii="Calibri" w:eastAsia="Times New Roman" w:hAnsi="Calibri" w:cs="Calibri"/>
                <w:color w:val="000000"/>
                <w:lang w:eastAsia="en-GB"/>
              </w:rPr>
              <w:t>63574</w:t>
            </w:r>
          </w:p>
        </w:tc>
        <w:tc>
          <w:tcPr>
            <w:tcW w:w="1020" w:type="dxa"/>
            <w:shd w:val="clear" w:color="auto" w:fill="auto"/>
            <w:noWrap/>
            <w:hideMark/>
          </w:tcPr>
          <w:p w14:paraId="55D6855D" w14:textId="77777777" w:rsidR="00F511F4" w:rsidRPr="008978C9" w:rsidRDefault="00F511F4" w:rsidP="001F53D9">
            <w:pPr>
              <w:spacing w:after="0" w:line="240" w:lineRule="auto"/>
              <w:rPr>
                <w:rFonts w:ascii="Calibri" w:eastAsia="Times New Roman" w:hAnsi="Calibri" w:cs="Calibri"/>
                <w:color w:val="000000"/>
                <w:lang w:eastAsia="en-GB"/>
              </w:rPr>
            </w:pPr>
            <w:r w:rsidRPr="008978C9">
              <w:rPr>
                <w:rFonts w:ascii="Calibri" w:eastAsia="Times New Roman" w:hAnsi="Calibri" w:cs="Calibri"/>
                <w:color w:val="000000"/>
                <w:lang w:eastAsia="en-GB"/>
              </w:rPr>
              <w:t>2.7</w:t>
            </w:r>
          </w:p>
        </w:tc>
      </w:tr>
      <w:tr w:rsidR="00F511F4" w:rsidRPr="008978C9" w14:paraId="2911D18D" w14:textId="77777777" w:rsidTr="001F53D9">
        <w:trPr>
          <w:trHeight w:val="285"/>
        </w:trPr>
        <w:tc>
          <w:tcPr>
            <w:tcW w:w="5807" w:type="dxa"/>
            <w:shd w:val="clear" w:color="auto" w:fill="auto"/>
            <w:noWrap/>
            <w:hideMark/>
          </w:tcPr>
          <w:p w14:paraId="6F12F542" w14:textId="77777777" w:rsidR="00F511F4" w:rsidRPr="008978C9" w:rsidRDefault="00F511F4" w:rsidP="001F53D9">
            <w:pPr>
              <w:spacing w:after="0" w:line="240" w:lineRule="auto"/>
              <w:rPr>
                <w:rFonts w:ascii="Calibri" w:eastAsia="Times New Roman" w:hAnsi="Calibri" w:cs="Calibri"/>
                <w:color w:val="000000"/>
                <w:lang w:eastAsia="en-GB"/>
              </w:rPr>
            </w:pPr>
            <w:r w:rsidRPr="008978C9">
              <w:rPr>
                <w:rFonts w:ascii="Calibri" w:eastAsia="Times New Roman" w:hAnsi="Calibri" w:cs="Calibri"/>
                <w:color w:val="000000"/>
                <w:lang w:val="en-US" w:eastAsia="en-GB"/>
              </w:rPr>
              <w:t>Pressure ulcer</w:t>
            </w:r>
          </w:p>
        </w:tc>
        <w:tc>
          <w:tcPr>
            <w:tcW w:w="1020" w:type="dxa"/>
            <w:shd w:val="clear" w:color="auto" w:fill="auto"/>
            <w:noWrap/>
            <w:hideMark/>
          </w:tcPr>
          <w:p w14:paraId="4557E148" w14:textId="77777777" w:rsidR="00F511F4" w:rsidRPr="008978C9" w:rsidRDefault="00F511F4" w:rsidP="001F53D9">
            <w:pPr>
              <w:spacing w:after="0" w:line="240" w:lineRule="auto"/>
              <w:rPr>
                <w:rFonts w:ascii="Calibri" w:eastAsia="Times New Roman" w:hAnsi="Calibri" w:cs="Calibri"/>
                <w:color w:val="000000"/>
                <w:lang w:eastAsia="en-GB"/>
              </w:rPr>
            </w:pPr>
            <w:r w:rsidRPr="008978C9">
              <w:rPr>
                <w:rFonts w:ascii="Calibri" w:eastAsia="Times New Roman" w:hAnsi="Calibri" w:cs="Calibri"/>
                <w:color w:val="000000"/>
                <w:lang w:eastAsia="en-GB"/>
              </w:rPr>
              <w:t>51463</w:t>
            </w:r>
          </w:p>
        </w:tc>
        <w:tc>
          <w:tcPr>
            <w:tcW w:w="1020" w:type="dxa"/>
            <w:shd w:val="clear" w:color="auto" w:fill="auto"/>
            <w:noWrap/>
            <w:hideMark/>
          </w:tcPr>
          <w:p w14:paraId="576A6E2E" w14:textId="77777777" w:rsidR="00F511F4" w:rsidRPr="008978C9" w:rsidRDefault="00F511F4" w:rsidP="001F53D9">
            <w:pPr>
              <w:spacing w:after="0" w:line="240" w:lineRule="auto"/>
              <w:rPr>
                <w:rFonts w:ascii="Calibri" w:eastAsia="Times New Roman" w:hAnsi="Calibri" w:cs="Calibri"/>
                <w:color w:val="000000"/>
                <w:lang w:eastAsia="en-GB"/>
              </w:rPr>
            </w:pPr>
            <w:r w:rsidRPr="008978C9">
              <w:rPr>
                <w:rFonts w:ascii="Calibri" w:eastAsia="Times New Roman" w:hAnsi="Calibri" w:cs="Calibri"/>
                <w:color w:val="000000"/>
                <w:lang w:eastAsia="en-GB"/>
              </w:rPr>
              <w:t>2.2</w:t>
            </w:r>
          </w:p>
        </w:tc>
      </w:tr>
      <w:tr w:rsidR="00F511F4" w:rsidRPr="008978C9" w14:paraId="5CB3049C" w14:textId="77777777" w:rsidTr="001F53D9">
        <w:trPr>
          <w:trHeight w:val="285"/>
        </w:trPr>
        <w:tc>
          <w:tcPr>
            <w:tcW w:w="5807" w:type="dxa"/>
            <w:shd w:val="clear" w:color="auto" w:fill="auto"/>
            <w:noWrap/>
            <w:hideMark/>
          </w:tcPr>
          <w:p w14:paraId="2BA0C4D9" w14:textId="77777777" w:rsidR="00F511F4" w:rsidRPr="008978C9" w:rsidRDefault="00F511F4" w:rsidP="001F53D9">
            <w:pPr>
              <w:spacing w:after="0" w:line="240" w:lineRule="auto"/>
              <w:rPr>
                <w:rFonts w:ascii="Calibri" w:eastAsia="Times New Roman" w:hAnsi="Calibri" w:cs="Calibri"/>
                <w:color w:val="000000"/>
                <w:lang w:eastAsia="en-GB"/>
              </w:rPr>
            </w:pPr>
            <w:r w:rsidRPr="008978C9">
              <w:rPr>
                <w:rFonts w:ascii="Calibri" w:eastAsia="Times New Roman" w:hAnsi="Calibri" w:cs="Calibri"/>
                <w:color w:val="000000"/>
                <w:lang w:val="en-US" w:eastAsia="en-GB"/>
              </w:rPr>
              <w:t>Alzheimer’s disease</w:t>
            </w:r>
          </w:p>
        </w:tc>
        <w:tc>
          <w:tcPr>
            <w:tcW w:w="1020" w:type="dxa"/>
            <w:shd w:val="clear" w:color="auto" w:fill="auto"/>
            <w:noWrap/>
            <w:hideMark/>
          </w:tcPr>
          <w:p w14:paraId="51AC7C44" w14:textId="77777777" w:rsidR="00F511F4" w:rsidRPr="008978C9" w:rsidRDefault="00F511F4" w:rsidP="001F53D9">
            <w:pPr>
              <w:spacing w:after="0" w:line="240" w:lineRule="auto"/>
              <w:rPr>
                <w:rFonts w:ascii="Calibri" w:eastAsia="Times New Roman" w:hAnsi="Calibri" w:cs="Calibri"/>
                <w:color w:val="000000"/>
                <w:lang w:eastAsia="en-GB"/>
              </w:rPr>
            </w:pPr>
            <w:r w:rsidRPr="008978C9">
              <w:rPr>
                <w:rFonts w:ascii="Calibri" w:eastAsia="Times New Roman" w:hAnsi="Calibri" w:cs="Calibri"/>
                <w:color w:val="000000"/>
                <w:lang w:eastAsia="en-GB"/>
              </w:rPr>
              <w:t>41064</w:t>
            </w:r>
          </w:p>
        </w:tc>
        <w:tc>
          <w:tcPr>
            <w:tcW w:w="1020" w:type="dxa"/>
            <w:shd w:val="clear" w:color="auto" w:fill="auto"/>
            <w:noWrap/>
            <w:hideMark/>
          </w:tcPr>
          <w:p w14:paraId="612828D3" w14:textId="77777777" w:rsidR="00F511F4" w:rsidRPr="008978C9" w:rsidRDefault="00F511F4" w:rsidP="001F53D9">
            <w:pPr>
              <w:spacing w:after="0" w:line="240" w:lineRule="auto"/>
              <w:rPr>
                <w:rFonts w:ascii="Calibri" w:eastAsia="Times New Roman" w:hAnsi="Calibri" w:cs="Calibri"/>
                <w:color w:val="000000"/>
                <w:lang w:eastAsia="en-GB"/>
              </w:rPr>
            </w:pPr>
            <w:r w:rsidRPr="008978C9">
              <w:rPr>
                <w:rFonts w:ascii="Calibri" w:eastAsia="Times New Roman" w:hAnsi="Calibri" w:cs="Calibri"/>
                <w:color w:val="000000"/>
                <w:lang w:eastAsia="en-GB"/>
              </w:rPr>
              <w:t>1.7</w:t>
            </w:r>
          </w:p>
        </w:tc>
      </w:tr>
      <w:tr w:rsidR="00F511F4" w:rsidRPr="008978C9" w14:paraId="5EF8ACDC" w14:textId="77777777" w:rsidTr="001F53D9">
        <w:trPr>
          <w:trHeight w:val="285"/>
        </w:trPr>
        <w:tc>
          <w:tcPr>
            <w:tcW w:w="5807" w:type="dxa"/>
            <w:shd w:val="clear" w:color="auto" w:fill="auto"/>
            <w:noWrap/>
            <w:hideMark/>
          </w:tcPr>
          <w:p w14:paraId="5AC4CC55" w14:textId="77777777" w:rsidR="00F511F4" w:rsidRPr="008978C9" w:rsidRDefault="00F511F4" w:rsidP="001F53D9">
            <w:pPr>
              <w:spacing w:after="0" w:line="240" w:lineRule="auto"/>
              <w:rPr>
                <w:rFonts w:ascii="Calibri" w:eastAsia="Times New Roman" w:hAnsi="Calibri" w:cs="Calibri"/>
                <w:color w:val="000000"/>
                <w:lang w:eastAsia="en-GB"/>
              </w:rPr>
            </w:pPr>
            <w:r w:rsidRPr="008978C9">
              <w:rPr>
                <w:rFonts w:ascii="Calibri" w:eastAsia="Times New Roman" w:hAnsi="Calibri" w:cs="Calibri"/>
                <w:color w:val="000000"/>
                <w:lang w:val="en-US" w:eastAsia="en-GB"/>
              </w:rPr>
              <w:t>Hematuria</w:t>
            </w:r>
          </w:p>
        </w:tc>
        <w:tc>
          <w:tcPr>
            <w:tcW w:w="1020" w:type="dxa"/>
            <w:shd w:val="clear" w:color="auto" w:fill="auto"/>
            <w:noWrap/>
            <w:hideMark/>
          </w:tcPr>
          <w:p w14:paraId="4ADFB5CA" w14:textId="77777777" w:rsidR="00F511F4" w:rsidRPr="008978C9" w:rsidRDefault="00F511F4" w:rsidP="001F53D9">
            <w:pPr>
              <w:spacing w:after="0" w:line="240" w:lineRule="auto"/>
              <w:rPr>
                <w:rFonts w:ascii="Calibri" w:eastAsia="Times New Roman" w:hAnsi="Calibri" w:cs="Calibri"/>
                <w:color w:val="000000"/>
                <w:lang w:eastAsia="en-GB"/>
              </w:rPr>
            </w:pPr>
            <w:r w:rsidRPr="008978C9">
              <w:rPr>
                <w:rFonts w:ascii="Calibri" w:eastAsia="Times New Roman" w:hAnsi="Calibri" w:cs="Calibri"/>
                <w:color w:val="000000"/>
                <w:lang w:eastAsia="en-GB"/>
              </w:rPr>
              <w:t>32304</w:t>
            </w:r>
          </w:p>
        </w:tc>
        <w:tc>
          <w:tcPr>
            <w:tcW w:w="1020" w:type="dxa"/>
            <w:shd w:val="clear" w:color="auto" w:fill="auto"/>
            <w:noWrap/>
            <w:hideMark/>
          </w:tcPr>
          <w:p w14:paraId="034DE938" w14:textId="77777777" w:rsidR="00F511F4" w:rsidRPr="008978C9" w:rsidRDefault="00F511F4" w:rsidP="001F53D9">
            <w:pPr>
              <w:spacing w:after="0" w:line="240" w:lineRule="auto"/>
              <w:rPr>
                <w:rFonts w:ascii="Calibri" w:eastAsia="Times New Roman" w:hAnsi="Calibri" w:cs="Calibri"/>
                <w:color w:val="000000"/>
                <w:lang w:eastAsia="en-GB"/>
              </w:rPr>
            </w:pPr>
            <w:r w:rsidRPr="008978C9">
              <w:rPr>
                <w:rFonts w:ascii="Calibri" w:eastAsia="Times New Roman" w:hAnsi="Calibri" w:cs="Calibri"/>
                <w:color w:val="000000"/>
                <w:lang w:eastAsia="en-GB"/>
              </w:rPr>
              <w:t>1.4</w:t>
            </w:r>
          </w:p>
        </w:tc>
      </w:tr>
      <w:tr w:rsidR="00F511F4" w:rsidRPr="008978C9" w14:paraId="2B3CBEFB" w14:textId="77777777" w:rsidTr="001F53D9">
        <w:trPr>
          <w:trHeight w:val="285"/>
        </w:trPr>
        <w:tc>
          <w:tcPr>
            <w:tcW w:w="5807" w:type="dxa"/>
            <w:shd w:val="clear" w:color="auto" w:fill="auto"/>
            <w:noWrap/>
            <w:hideMark/>
          </w:tcPr>
          <w:p w14:paraId="050C5183" w14:textId="77777777" w:rsidR="00F511F4" w:rsidRPr="008978C9" w:rsidRDefault="00F511F4" w:rsidP="001F53D9">
            <w:pPr>
              <w:spacing w:after="0" w:line="240" w:lineRule="auto"/>
              <w:rPr>
                <w:rFonts w:ascii="Calibri" w:eastAsia="Times New Roman" w:hAnsi="Calibri" w:cs="Calibri"/>
                <w:color w:val="000000"/>
                <w:lang w:eastAsia="en-GB"/>
              </w:rPr>
            </w:pPr>
            <w:r w:rsidRPr="008978C9">
              <w:rPr>
                <w:rFonts w:ascii="Calibri" w:eastAsia="Times New Roman" w:hAnsi="Calibri" w:cs="Calibri"/>
                <w:color w:val="000000"/>
                <w:lang w:val="en-US" w:eastAsia="en-GB"/>
              </w:rPr>
              <w:t>Retention of urine</w:t>
            </w:r>
          </w:p>
        </w:tc>
        <w:tc>
          <w:tcPr>
            <w:tcW w:w="1020" w:type="dxa"/>
            <w:shd w:val="clear" w:color="auto" w:fill="auto"/>
            <w:noWrap/>
            <w:hideMark/>
          </w:tcPr>
          <w:p w14:paraId="449FD40C" w14:textId="77777777" w:rsidR="00F511F4" w:rsidRPr="008978C9" w:rsidRDefault="00F511F4" w:rsidP="001F53D9">
            <w:pPr>
              <w:spacing w:after="0" w:line="240" w:lineRule="auto"/>
              <w:rPr>
                <w:rFonts w:ascii="Calibri" w:eastAsia="Times New Roman" w:hAnsi="Calibri" w:cs="Calibri"/>
                <w:color w:val="000000"/>
                <w:lang w:eastAsia="en-GB"/>
              </w:rPr>
            </w:pPr>
            <w:r w:rsidRPr="008978C9">
              <w:rPr>
                <w:rFonts w:ascii="Calibri" w:eastAsia="Times New Roman" w:hAnsi="Calibri" w:cs="Calibri"/>
                <w:color w:val="000000"/>
                <w:lang w:eastAsia="en-GB"/>
              </w:rPr>
              <w:t>31435</w:t>
            </w:r>
          </w:p>
        </w:tc>
        <w:tc>
          <w:tcPr>
            <w:tcW w:w="1020" w:type="dxa"/>
            <w:shd w:val="clear" w:color="auto" w:fill="auto"/>
            <w:noWrap/>
            <w:hideMark/>
          </w:tcPr>
          <w:p w14:paraId="4296B8CF" w14:textId="77777777" w:rsidR="00F511F4" w:rsidRPr="008978C9" w:rsidRDefault="00F511F4" w:rsidP="001F53D9">
            <w:pPr>
              <w:spacing w:after="0" w:line="240" w:lineRule="auto"/>
              <w:rPr>
                <w:rFonts w:ascii="Calibri" w:eastAsia="Times New Roman" w:hAnsi="Calibri" w:cs="Calibri"/>
                <w:color w:val="000000"/>
                <w:lang w:eastAsia="en-GB"/>
              </w:rPr>
            </w:pPr>
            <w:r w:rsidRPr="008978C9">
              <w:rPr>
                <w:rFonts w:ascii="Calibri" w:eastAsia="Times New Roman" w:hAnsi="Calibri" w:cs="Calibri"/>
                <w:color w:val="000000"/>
                <w:lang w:eastAsia="en-GB"/>
              </w:rPr>
              <w:t>1.3</w:t>
            </w:r>
          </w:p>
        </w:tc>
      </w:tr>
      <w:tr w:rsidR="00F511F4" w:rsidRPr="008978C9" w14:paraId="6F63F0F9" w14:textId="77777777" w:rsidTr="001F53D9">
        <w:trPr>
          <w:trHeight w:val="285"/>
        </w:trPr>
        <w:tc>
          <w:tcPr>
            <w:tcW w:w="5807" w:type="dxa"/>
            <w:shd w:val="clear" w:color="auto" w:fill="auto"/>
            <w:noWrap/>
            <w:hideMark/>
          </w:tcPr>
          <w:p w14:paraId="54777E98" w14:textId="77777777" w:rsidR="00F511F4" w:rsidRPr="008978C9" w:rsidRDefault="00F511F4" w:rsidP="001F53D9">
            <w:pPr>
              <w:spacing w:after="0" w:line="240" w:lineRule="auto"/>
              <w:rPr>
                <w:rFonts w:ascii="Calibri" w:eastAsia="Times New Roman" w:hAnsi="Calibri" w:cs="Calibri"/>
                <w:color w:val="000000"/>
                <w:lang w:eastAsia="en-GB"/>
              </w:rPr>
            </w:pPr>
            <w:r w:rsidRPr="008978C9">
              <w:rPr>
                <w:rFonts w:ascii="Calibri" w:eastAsia="Times New Roman" w:hAnsi="Calibri" w:cs="Calibri"/>
                <w:color w:val="000000"/>
                <w:lang w:val="en-US" w:eastAsia="en-GB"/>
              </w:rPr>
              <w:t>Staphylococcus or streptococcus infection of unspecified site</w:t>
            </w:r>
          </w:p>
        </w:tc>
        <w:tc>
          <w:tcPr>
            <w:tcW w:w="1020" w:type="dxa"/>
            <w:shd w:val="clear" w:color="auto" w:fill="auto"/>
            <w:noWrap/>
            <w:hideMark/>
          </w:tcPr>
          <w:p w14:paraId="07407E24" w14:textId="77777777" w:rsidR="00F511F4" w:rsidRPr="008978C9" w:rsidRDefault="00F511F4" w:rsidP="001F53D9">
            <w:pPr>
              <w:spacing w:after="0" w:line="240" w:lineRule="auto"/>
              <w:rPr>
                <w:rFonts w:ascii="Calibri" w:eastAsia="Times New Roman" w:hAnsi="Calibri" w:cs="Calibri"/>
                <w:color w:val="000000"/>
                <w:lang w:eastAsia="en-GB"/>
              </w:rPr>
            </w:pPr>
            <w:r w:rsidRPr="008978C9">
              <w:rPr>
                <w:rFonts w:ascii="Calibri" w:eastAsia="Times New Roman" w:hAnsi="Calibri" w:cs="Calibri"/>
                <w:color w:val="000000"/>
                <w:lang w:eastAsia="en-GB"/>
              </w:rPr>
              <w:t>30955</w:t>
            </w:r>
          </w:p>
        </w:tc>
        <w:tc>
          <w:tcPr>
            <w:tcW w:w="1020" w:type="dxa"/>
            <w:shd w:val="clear" w:color="auto" w:fill="auto"/>
            <w:noWrap/>
            <w:hideMark/>
          </w:tcPr>
          <w:p w14:paraId="5033D44A" w14:textId="77777777" w:rsidR="00F511F4" w:rsidRPr="008978C9" w:rsidRDefault="00F511F4" w:rsidP="001F53D9">
            <w:pPr>
              <w:spacing w:after="0" w:line="240" w:lineRule="auto"/>
              <w:rPr>
                <w:rFonts w:ascii="Calibri" w:eastAsia="Times New Roman" w:hAnsi="Calibri" w:cs="Calibri"/>
                <w:color w:val="000000"/>
                <w:lang w:eastAsia="en-GB"/>
              </w:rPr>
            </w:pPr>
            <w:r w:rsidRPr="008978C9">
              <w:rPr>
                <w:rFonts w:ascii="Calibri" w:eastAsia="Times New Roman" w:hAnsi="Calibri" w:cs="Calibri"/>
                <w:color w:val="000000"/>
                <w:lang w:eastAsia="en-GB"/>
              </w:rPr>
              <w:t>1.3</w:t>
            </w:r>
          </w:p>
        </w:tc>
      </w:tr>
      <w:tr w:rsidR="00F511F4" w:rsidRPr="008978C9" w14:paraId="489B7848" w14:textId="77777777" w:rsidTr="001F53D9">
        <w:trPr>
          <w:trHeight w:val="285"/>
        </w:trPr>
        <w:tc>
          <w:tcPr>
            <w:tcW w:w="5807" w:type="dxa"/>
            <w:shd w:val="clear" w:color="auto" w:fill="auto"/>
            <w:noWrap/>
            <w:hideMark/>
          </w:tcPr>
          <w:p w14:paraId="68207558" w14:textId="77777777" w:rsidR="00F511F4" w:rsidRPr="008978C9" w:rsidRDefault="00F511F4" w:rsidP="001F53D9">
            <w:pPr>
              <w:spacing w:after="0" w:line="240" w:lineRule="auto"/>
              <w:rPr>
                <w:rFonts w:ascii="Calibri" w:eastAsia="Times New Roman" w:hAnsi="Calibri" w:cs="Calibri"/>
                <w:color w:val="000000"/>
                <w:lang w:eastAsia="en-GB"/>
              </w:rPr>
            </w:pPr>
            <w:r w:rsidRPr="008978C9">
              <w:rPr>
                <w:rFonts w:ascii="Calibri" w:eastAsia="Times New Roman" w:hAnsi="Calibri" w:cs="Calibri"/>
                <w:color w:val="000000"/>
                <w:lang w:val="en-US" w:eastAsia="en-GB"/>
              </w:rPr>
              <w:t>Dysphagia</w:t>
            </w:r>
          </w:p>
        </w:tc>
        <w:tc>
          <w:tcPr>
            <w:tcW w:w="1020" w:type="dxa"/>
            <w:shd w:val="clear" w:color="auto" w:fill="auto"/>
            <w:noWrap/>
            <w:hideMark/>
          </w:tcPr>
          <w:p w14:paraId="40429898" w14:textId="77777777" w:rsidR="00F511F4" w:rsidRPr="008978C9" w:rsidRDefault="00F511F4" w:rsidP="001F53D9">
            <w:pPr>
              <w:spacing w:after="0" w:line="240" w:lineRule="auto"/>
              <w:rPr>
                <w:rFonts w:ascii="Calibri" w:eastAsia="Times New Roman" w:hAnsi="Calibri" w:cs="Calibri"/>
                <w:color w:val="000000"/>
                <w:lang w:eastAsia="en-GB"/>
              </w:rPr>
            </w:pPr>
            <w:r w:rsidRPr="008978C9">
              <w:rPr>
                <w:rFonts w:ascii="Calibri" w:eastAsia="Times New Roman" w:hAnsi="Calibri" w:cs="Calibri"/>
                <w:color w:val="000000"/>
                <w:lang w:eastAsia="en-GB"/>
              </w:rPr>
              <w:t>29382</w:t>
            </w:r>
          </w:p>
        </w:tc>
        <w:tc>
          <w:tcPr>
            <w:tcW w:w="1020" w:type="dxa"/>
            <w:shd w:val="clear" w:color="auto" w:fill="auto"/>
            <w:noWrap/>
            <w:hideMark/>
          </w:tcPr>
          <w:p w14:paraId="55E4E113" w14:textId="77777777" w:rsidR="00F511F4" w:rsidRPr="008978C9" w:rsidRDefault="00F511F4" w:rsidP="001F53D9">
            <w:pPr>
              <w:spacing w:after="0" w:line="240" w:lineRule="auto"/>
              <w:rPr>
                <w:rFonts w:ascii="Calibri" w:eastAsia="Times New Roman" w:hAnsi="Calibri" w:cs="Calibri"/>
                <w:color w:val="000000"/>
                <w:lang w:eastAsia="en-GB"/>
              </w:rPr>
            </w:pPr>
            <w:r w:rsidRPr="008978C9">
              <w:rPr>
                <w:rFonts w:ascii="Calibri" w:eastAsia="Times New Roman" w:hAnsi="Calibri" w:cs="Calibri"/>
                <w:color w:val="000000"/>
                <w:lang w:eastAsia="en-GB"/>
              </w:rPr>
              <w:t>1.2</w:t>
            </w:r>
          </w:p>
        </w:tc>
      </w:tr>
      <w:tr w:rsidR="00F511F4" w:rsidRPr="008978C9" w14:paraId="0B8FE2E2" w14:textId="77777777" w:rsidTr="001F53D9">
        <w:trPr>
          <w:trHeight w:val="285"/>
        </w:trPr>
        <w:tc>
          <w:tcPr>
            <w:tcW w:w="5807" w:type="dxa"/>
            <w:shd w:val="clear" w:color="auto" w:fill="auto"/>
            <w:noWrap/>
            <w:hideMark/>
          </w:tcPr>
          <w:p w14:paraId="0F624EF5" w14:textId="77777777" w:rsidR="00F511F4" w:rsidRPr="008978C9" w:rsidRDefault="00F511F4" w:rsidP="001F53D9">
            <w:pPr>
              <w:spacing w:after="0" w:line="240" w:lineRule="auto"/>
              <w:rPr>
                <w:rFonts w:ascii="Calibri" w:eastAsia="Times New Roman" w:hAnsi="Calibri" w:cs="Calibri"/>
                <w:color w:val="000000"/>
                <w:lang w:eastAsia="en-GB"/>
              </w:rPr>
            </w:pPr>
            <w:r w:rsidRPr="008978C9">
              <w:rPr>
                <w:rFonts w:ascii="Calibri" w:eastAsia="Times New Roman" w:hAnsi="Calibri" w:cs="Calibri"/>
                <w:color w:val="000000"/>
                <w:lang w:val="en-US" w:eastAsia="en-GB"/>
              </w:rPr>
              <w:t>Calculus of kidney and ureters</w:t>
            </w:r>
          </w:p>
        </w:tc>
        <w:tc>
          <w:tcPr>
            <w:tcW w:w="1020" w:type="dxa"/>
            <w:shd w:val="clear" w:color="auto" w:fill="auto"/>
            <w:noWrap/>
            <w:hideMark/>
          </w:tcPr>
          <w:p w14:paraId="497BB697" w14:textId="77777777" w:rsidR="00F511F4" w:rsidRPr="008978C9" w:rsidRDefault="00F511F4" w:rsidP="001F53D9">
            <w:pPr>
              <w:spacing w:after="0" w:line="240" w:lineRule="auto"/>
              <w:rPr>
                <w:rFonts w:ascii="Calibri" w:eastAsia="Times New Roman" w:hAnsi="Calibri" w:cs="Calibri"/>
                <w:color w:val="000000"/>
                <w:lang w:eastAsia="en-GB"/>
              </w:rPr>
            </w:pPr>
            <w:r w:rsidRPr="008978C9">
              <w:rPr>
                <w:rFonts w:ascii="Calibri" w:eastAsia="Times New Roman" w:hAnsi="Calibri" w:cs="Calibri"/>
                <w:color w:val="000000"/>
                <w:lang w:eastAsia="en-GB"/>
              </w:rPr>
              <w:t>25650</w:t>
            </w:r>
          </w:p>
        </w:tc>
        <w:tc>
          <w:tcPr>
            <w:tcW w:w="1020" w:type="dxa"/>
            <w:shd w:val="clear" w:color="auto" w:fill="auto"/>
            <w:noWrap/>
            <w:hideMark/>
          </w:tcPr>
          <w:p w14:paraId="2A18916E" w14:textId="77777777" w:rsidR="00F511F4" w:rsidRPr="008978C9" w:rsidRDefault="00F511F4" w:rsidP="001F53D9">
            <w:pPr>
              <w:spacing w:after="0" w:line="240" w:lineRule="auto"/>
              <w:rPr>
                <w:rFonts w:ascii="Calibri" w:eastAsia="Times New Roman" w:hAnsi="Calibri" w:cs="Calibri"/>
                <w:color w:val="000000"/>
                <w:lang w:eastAsia="en-GB"/>
              </w:rPr>
            </w:pPr>
            <w:r w:rsidRPr="008978C9">
              <w:rPr>
                <w:rFonts w:ascii="Calibri" w:eastAsia="Times New Roman" w:hAnsi="Calibri" w:cs="Calibri"/>
                <w:color w:val="000000"/>
                <w:lang w:eastAsia="en-GB"/>
              </w:rPr>
              <w:t>1.1</w:t>
            </w:r>
          </w:p>
        </w:tc>
      </w:tr>
      <w:tr w:rsidR="00F511F4" w:rsidRPr="008978C9" w14:paraId="7280AFDE" w14:textId="77777777" w:rsidTr="001F53D9">
        <w:trPr>
          <w:trHeight w:val="285"/>
        </w:trPr>
        <w:tc>
          <w:tcPr>
            <w:tcW w:w="5807" w:type="dxa"/>
            <w:shd w:val="clear" w:color="auto" w:fill="auto"/>
            <w:noWrap/>
            <w:hideMark/>
          </w:tcPr>
          <w:p w14:paraId="29FFBB3D" w14:textId="77777777" w:rsidR="00F511F4" w:rsidRPr="008978C9" w:rsidRDefault="00F511F4" w:rsidP="001F53D9">
            <w:pPr>
              <w:spacing w:after="0" w:line="240" w:lineRule="auto"/>
              <w:rPr>
                <w:rFonts w:ascii="Calibri" w:eastAsia="Times New Roman" w:hAnsi="Calibri" w:cs="Calibri"/>
                <w:color w:val="000000"/>
                <w:lang w:eastAsia="en-GB"/>
              </w:rPr>
            </w:pPr>
            <w:r w:rsidRPr="008978C9">
              <w:rPr>
                <w:rFonts w:ascii="Calibri" w:eastAsia="Times New Roman" w:hAnsi="Calibri" w:cs="Calibri"/>
                <w:color w:val="000000"/>
                <w:lang w:val="en-US" w:eastAsia="en-GB"/>
              </w:rPr>
              <w:t>Alcohol-induced mental disorders including alcohol dependence syndrome</w:t>
            </w:r>
          </w:p>
        </w:tc>
        <w:tc>
          <w:tcPr>
            <w:tcW w:w="1020" w:type="dxa"/>
            <w:shd w:val="clear" w:color="auto" w:fill="auto"/>
            <w:noWrap/>
            <w:hideMark/>
          </w:tcPr>
          <w:p w14:paraId="52BEE368" w14:textId="77777777" w:rsidR="00F511F4" w:rsidRPr="008978C9" w:rsidRDefault="00F511F4" w:rsidP="001F53D9">
            <w:pPr>
              <w:spacing w:after="0" w:line="240" w:lineRule="auto"/>
              <w:rPr>
                <w:rFonts w:ascii="Calibri" w:eastAsia="Times New Roman" w:hAnsi="Calibri" w:cs="Calibri"/>
                <w:color w:val="000000"/>
                <w:lang w:eastAsia="en-GB"/>
              </w:rPr>
            </w:pPr>
            <w:r w:rsidRPr="008978C9">
              <w:rPr>
                <w:rFonts w:ascii="Calibri" w:eastAsia="Times New Roman" w:hAnsi="Calibri" w:cs="Calibri"/>
                <w:color w:val="000000"/>
                <w:lang w:eastAsia="en-GB"/>
              </w:rPr>
              <w:t>25650</w:t>
            </w:r>
          </w:p>
        </w:tc>
        <w:tc>
          <w:tcPr>
            <w:tcW w:w="1020" w:type="dxa"/>
            <w:shd w:val="clear" w:color="auto" w:fill="auto"/>
            <w:noWrap/>
            <w:hideMark/>
          </w:tcPr>
          <w:p w14:paraId="0026FB3B" w14:textId="77777777" w:rsidR="00F511F4" w:rsidRPr="008978C9" w:rsidRDefault="00F511F4" w:rsidP="001F53D9">
            <w:pPr>
              <w:spacing w:after="0" w:line="240" w:lineRule="auto"/>
              <w:rPr>
                <w:rFonts w:ascii="Calibri" w:eastAsia="Times New Roman" w:hAnsi="Calibri" w:cs="Calibri"/>
                <w:color w:val="000000"/>
                <w:lang w:eastAsia="en-GB"/>
              </w:rPr>
            </w:pPr>
            <w:r w:rsidRPr="008978C9">
              <w:rPr>
                <w:rFonts w:ascii="Calibri" w:eastAsia="Times New Roman" w:hAnsi="Calibri" w:cs="Calibri"/>
                <w:color w:val="000000"/>
                <w:lang w:eastAsia="en-GB"/>
              </w:rPr>
              <w:t>1.1</w:t>
            </w:r>
          </w:p>
        </w:tc>
      </w:tr>
      <w:tr w:rsidR="00F511F4" w:rsidRPr="008978C9" w14:paraId="2C77847C" w14:textId="77777777" w:rsidTr="001F53D9">
        <w:trPr>
          <w:trHeight w:val="285"/>
        </w:trPr>
        <w:tc>
          <w:tcPr>
            <w:tcW w:w="5807" w:type="dxa"/>
            <w:shd w:val="clear" w:color="auto" w:fill="auto"/>
            <w:noWrap/>
            <w:hideMark/>
          </w:tcPr>
          <w:p w14:paraId="4DE7C2A6" w14:textId="77777777" w:rsidR="00F511F4" w:rsidRPr="008978C9" w:rsidRDefault="00F511F4" w:rsidP="001F53D9">
            <w:pPr>
              <w:spacing w:after="0" w:line="240" w:lineRule="auto"/>
              <w:rPr>
                <w:rFonts w:ascii="Calibri" w:eastAsia="Times New Roman" w:hAnsi="Calibri" w:cs="Calibri"/>
                <w:color w:val="000000"/>
                <w:lang w:eastAsia="en-GB"/>
              </w:rPr>
            </w:pPr>
            <w:r w:rsidRPr="008978C9">
              <w:rPr>
                <w:rFonts w:ascii="Calibri" w:eastAsia="Times New Roman" w:hAnsi="Calibri" w:cs="Calibri"/>
                <w:color w:val="000000"/>
                <w:lang w:val="en-US" w:eastAsia="en-GB"/>
              </w:rPr>
              <w:t>Epilepsy and recurrent seizures</w:t>
            </w:r>
          </w:p>
        </w:tc>
        <w:tc>
          <w:tcPr>
            <w:tcW w:w="1020" w:type="dxa"/>
            <w:shd w:val="clear" w:color="auto" w:fill="auto"/>
            <w:noWrap/>
            <w:hideMark/>
          </w:tcPr>
          <w:p w14:paraId="4F232ADA" w14:textId="77777777" w:rsidR="00F511F4" w:rsidRPr="008978C9" w:rsidRDefault="00F511F4" w:rsidP="001F53D9">
            <w:pPr>
              <w:spacing w:after="0" w:line="240" w:lineRule="auto"/>
              <w:rPr>
                <w:rFonts w:ascii="Calibri" w:eastAsia="Times New Roman" w:hAnsi="Calibri" w:cs="Calibri"/>
                <w:color w:val="000000"/>
                <w:lang w:eastAsia="en-GB"/>
              </w:rPr>
            </w:pPr>
            <w:r w:rsidRPr="008978C9">
              <w:rPr>
                <w:rFonts w:ascii="Calibri" w:eastAsia="Times New Roman" w:hAnsi="Calibri" w:cs="Calibri"/>
                <w:color w:val="000000"/>
                <w:lang w:eastAsia="en-GB"/>
              </w:rPr>
              <w:t>25249</w:t>
            </w:r>
          </w:p>
        </w:tc>
        <w:tc>
          <w:tcPr>
            <w:tcW w:w="1020" w:type="dxa"/>
            <w:shd w:val="clear" w:color="auto" w:fill="auto"/>
            <w:noWrap/>
            <w:hideMark/>
          </w:tcPr>
          <w:p w14:paraId="132FD127" w14:textId="77777777" w:rsidR="00F511F4" w:rsidRPr="008978C9" w:rsidRDefault="00F511F4" w:rsidP="001F53D9">
            <w:pPr>
              <w:spacing w:after="0" w:line="240" w:lineRule="auto"/>
              <w:rPr>
                <w:rFonts w:ascii="Calibri" w:eastAsia="Times New Roman" w:hAnsi="Calibri" w:cs="Calibri"/>
                <w:color w:val="000000"/>
                <w:lang w:eastAsia="en-GB"/>
              </w:rPr>
            </w:pPr>
            <w:r w:rsidRPr="008978C9">
              <w:rPr>
                <w:rFonts w:ascii="Calibri" w:eastAsia="Times New Roman" w:hAnsi="Calibri" w:cs="Calibri"/>
                <w:color w:val="000000"/>
                <w:lang w:eastAsia="en-GB"/>
              </w:rPr>
              <w:t>1.1</w:t>
            </w:r>
          </w:p>
        </w:tc>
      </w:tr>
      <w:tr w:rsidR="00F511F4" w:rsidRPr="008978C9" w14:paraId="75CD2B17" w14:textId="77777777" w:rsidTr="001F53D9">
        <w:trPr>
          <w:trHeight w:val="285"/>
        </w:trPr>
        <w:tc>
          <w:tcPr>
            <w:tcW w:w="5807" w:type="dxa"/>
            <w:shd w:val="clear" w:color="auto" w:fill="auto"/>
            <w:noWrap/>
            <w:hideMark/>
          </w:tcPr>
          <w:p w14:paraId="00224F2F" w14:textId="77777777" w:rsidR="00F511F4" w:rsidRPr="008978C9" w:rsidRDefault="00F511F4" w:rsidP="001F53D9">
            <w:pPr>
              <w:spacing w:after="0" w:line="240" w:lineRule="auto"/>
              <w:rPr>
                <w:rFonts w:ascii="Calibri" w:eastAsia="Times New Roman" w:hAnsi="Calibri" w:cs="Calibri"/>
                <w:color w:val="000000"/>
                <w:lang w:eastAsia="en-GB"/>
              </w:rPr>
            </w:pPr>
            <w:r w:rsidRPr="008978C9">
              <w:rPr>
                <w:rFonts w:ascii="Calibri" w:eastAsia="Times New Roman" w:hAnsi="Calibri" w:cs="Calibri"/>
                <w:color w:val="000000"/>
                <w:lang w:val="en-US" w:eastAsia="en-GB"/>
              </w:rPr>
              <w:t>Parkinson’s disease</w:t>
            </w:r>
          </w:p>
        </w:tc>
        <w:tc>
          <w:tcPr>
            <w:tcW w:w="1020" w:type="dxa"/>
            <w:shd w:val="clear" w:color="auto" w:fill="auto"/>
            <w:noWrap/>
            <w:hideMark/>
          </w:tcPr>
          <w:p w14:paraId="3F447226" w14:textId="77777777" w:rsidR="00F511F4" w:rsidRPr="008978C9" w:rsidRDefault="00F511F4" w:rsidP="001F53D9">
            <w:pPr>
              <w:spacing w:after="0" w:line="240" w:lineRule="auto"/>
              <w:rPr>
                <w:rFonts w:ascii="Calibri" w:eastAsia="Times New Roman" w:hAnsi="Calibri" w:cs="Calibri"/>
                <w:color w:val="000000"/>
                <w:lang w:eastAsia="en-GB"/>
              </w:rPr>
            </w:pPr>
            <w:r w:rsidRPr="008978C9">
              <w:rPr>
                <w:rFonts w:ascii="Calibri" w:eastAsia="Times New Roman" w:hAnsi="Calibri" w:cs="Calibri"/>
                <w:color w:val="000000"/>
                <w:lang w:eastAsia="en-GB"/>
              </w:rPr>
              <w:t>23738</w:t>
            </w:r>
          </w:p>
        </w:tc>
        <w:tc>
          <w:tcPr>
            <w:tcW w:w="1020" w:type="dxa"/>
            <w:shd w:val="clear" w:color="auto" w:fill="auto"/>
            <w:noWrap/>
            <w:hideMark/>
          </w:tcPr>
          <w:p w14:paraId="3FDBFEDD" w14:textId="77777777" w:rsidR="00F511F4" w:rsidRPr="008978C9" w:rsidRDefault="00F511F4" w:rsidP="001F53D9">
            <w:pPr>
              <w:spacing w:after="0" w:line="240" w:lineRule="auto"/>
              <w:rPr>
                <w:rFonts w:ascii="Calibri" w:eastAsia="Times New Roman" w:hAnsi="Calibri" w:cs="Calibri"/>
                <w:color w:val="000000"/>
                <w:lang w:eastAsia="en-GB"/>
              </w:rPr>
            </w:pPr>
            <w:r w:rsidRPr="008978C9">
              <w:rPr>
                <w:rFonts w:ascii="Calibri" w:eastAsia="Times New Roman" w:hAnsi="Calibri" w:cs="Calibri"/>
                <w:color w:val="000000"/>
                <w:lang w:eastAsia="en-GB"/>
              </w:rPr>
              <w:t>1.0</w:t>
            </w:r>
          </w:p>
        </w:tc>
      </w:tr>
      <w:tr w:rsidR="00F511F4" w:rsidRPr="008978C9" w14:paraId="214D3740" w14:textId="77777777" w:rsidTr="001F53D9">
        <w:trPr>
          <w:trHeight w:val="285"/>
        </w:trPr>
        <w:tc>
          <w:tcPr>
            <w:tcW w:w="5807" w:type="dxa"/>
            <w:shd w:val="clear" w:color="auto" w:fill="auto"/>
            <w:noWrap/>
            <w:hideMark/>
          </w:tcPr>
          <w:p w14:paraId="5AFB0425" w14:textId="77777777" w:rsidR="00F511F4" w:rsidRPr="008978C9" w:rsidRDefault="00F511F4" w:rsidP="001F53D9">
            <w:pPr>
              <w:spacing w:after="0" w:line="240" w:lineRule="auto"/>
              <w:rPr>
                <w:rFonts w:ascii="Calibri" w:eastAsia="Times New Roman" w:hAnsi="Calibri" w:cs="Calibri"/>
                <w:color w:val="000000"/>
                <w:lang w:eastAsia="en-GB"/>
              </w:rPr>
            </w:pPr>
            <w:r w:rsidRPr="008978C9">
              <w:rPr>
                <w:rFonts w:ascii="Calibri" w:eastAsia="Times New Roman" w:hAnsi="Calibri" w:cs="Calibri"/>
                <w:color w:val="000000"/>
                <w:lang w:val="en-US" w:eastAsia="en-GB"/>
              </w:rPr>
              <w:t>Unspecified hearing loss</w:t>
            </w:r>
          </w:p>
        </w:tc>
        <w:tc>
          <w:tcPr>
            <w:tcW w:w="1020" w:type="dxa"/>
            <w:shd w:val="clear" w:color="auto" w:fill="auto"/>
            <w:noWrap/>
            <w:hideMark/>
          </w:tcPr>
          <w:p w14:paraId="6ADAE3C5" w14:textId="77777777" w:rsidR="00F511F4" w:rsidRPr="008978C9" w:rsidRDefault="00F511F4" w:rsidP="001F53D9">
            <w:pPr>
              <w:spacing w:after="0" w:line="240" w:lineRule="auto"/>
              <w:rPr>
                <w:rFonts w:ascii="Calibri" w:eastAsia="Times New Roman" w:hAnsi="Calibri" w:cs="Calibri"/>
                <w:color w:val="000000"/>
                <w:lang w:eastAsia="en-GB"/>
              </w:rPr>
            </w:pPr>
            <w:r w:rsidRPr="008978C9">
              <w:rPr>
                <w:rFonts w:ascii="Calibri" w:eastAsia="Times New Roman" w:hAnsi="Calibri" w:cs="Calibri"/>
                <w:color w:val="000000"/>
                <w:lang w:eastAsia="en-GB"/>
              </w:rPr>
              <w:t>23080</w:t>
            </w:r>
          </w:p>
        </w:tc>
        <w:tc>
          <w:tcPr>
            <w:tcW w:w="1020" w:type="dxa"/>
            <w:shd w:val="clear" w:color="auto" w:fill="auto"/>
            <w:noWrap/>
            <w:hideMark/>
          </w:tcPr>
          <w:p w14:paraId="6A60DEB8" w14:textId="77777777" w:rsidR="00F511F4" w:rsidRPr="008978C9" w:rsidRDefault="00F511F4" w:rsidP="001F53D9">
            <w:pPr>
              <w:spacing w:after="0" w:line="240" w:lineRule="auto"/>
              <w:rPr>
                <w:rFonts w:ascii="Calibri" w:eastAsia="Times New Roman" w:hAnsi="Calibri" w:cs="Calibri"/>
                <w:color w:val="000000"/>
                <w:lang w:eastAsia="en-GB"/>
              </w:rPr>
            </w:pPr>
            <w:r w:rsidRPr="008978C9">
              <w:rPr>
                <w:rFonts w:ascii="Calibri" w:eastAsia="Times New Roman" w:hAnsi="Calibri" w:cs="Calibri"/>
                <w:color w:val="000000"/>
                <w:lang w:eastAsia="en-GB"/>
              </w:rPr>
              <w:t>1.0</w:t>
            </w:r>
          </w:p>
        </w:tc>
      </w:tr>
      <w:tr w:rsidR="00F511F4" w:rsidRPr="008978C9" w14:paraId="0ABF84A4" w14:textId="77777777" w:rsidTr="001F53D9">
        <w:trPr>
          <w:trHeight w:val="285"/>
        </w:trPr>
        <w:tc>
          <w:tcPr>
            <w:tcW w:w="5807" w:type="dxa"/>
            <w:shd w:val="clear" w:color="auto" w:fill="auto"/>
            <w:noWrap/>
            <w:hideMark/>
          </w:tcPr>
          <w:p w14:paraId="2A4D5623" w14:textId="77777777" w:rsidR="00F511F4" w:rsidRPr="008978C9" w:rsidRDefault="00F511F4" w:rsidP="001F53D9">
            <w:pPr>
              <w:spacing w:after="0" w:line="240" w:lineRule="auto"/>
              <w:rPr>
                <w:rFonts w:ascii="Calibri" w:eastAsia="Times New Roman" w:hAnsi="Calibri" w:cs="Calibri"/>
                <w:color w:val="000000"/>
                <w:lang w:eastAsia="en-GB"/>
              </w:rPr>
            </w:pPr>
            <w:r w:rsidRPr="008978C9">
              <w:rPr>
                <w:rFonts w:ascii="Calibri" w:eastAsia="Times New Roman" w:hAnsi="Calibri" w:cs="Calibri"/>
                <w:color w:val="000000"/>
                <w:lang w:val="en-US" w:eastAsia="en-GB"/>
              </w:rPr>
              <w:t>Blindness or low vision</w:t>
            </w:r>
          </w:p>
        </w:tc>
        <w:tc>
          <w:tcPr>
            <w:tcW w:w="1020" w:type="dxa"/>
            <w:shd w:val="clear" w:color="auto" w:fill="auto"/>
            <w:noWrap/>
            <w:hideMark/>
          </w:tcPr>
          <w:p w14:paraId="73EE45EB" w14:textId="77777777" w:rsidR="00F511F4" w:rsidRPr="008978C9" w:rsidRDefault="00F511F4" w:rsidP="001F53D9">
            <w:pPr>
              <w:spacing w:after="0" w:line="240" w:lineRule="auto"/>
              <w:rPr>
                <w:rFonts w:ascii="Calibri" w:eastAsia="Times New Roman" w:hAnsi="Calibri" w:cs="Calibri"/>
                <w:color w:val="000000"/>
                <w:lang w:eastAsia="en-GB"/>
              </w:rPr>
            </w:pPr>
            <w:r w:rsidRPr="008978C9">
              <w:rPr>
                <w:rFonts w:ascii="Calibri" w:eastAsia="Times New Roman" w:hAnsi="Calibri" w:cs="Calibri"/>
                <w:color w:val="000000"/>
                <w:lang w:eastAsia="en-GB"/>
              </w:rPr>
              <w:t>22854</w:t>
            </w:r>
          </w:p>
        </w:tc>
        <w:tc>
          <w:tcPr>
            <w:tcW w:w="1020" w:type="dxa"/>
            <w:shd w:val="clear" w:color="auto" w:fill="auto"/>
            <w:noWrap/>
            <w:hideMark/>
          </w:tcPr>
          <w:p w14:paraId="16FD33F9" w14:textId="77777777" w:rsidR="00F511F4" w:rsidRPr="008978C9" w:rsidRDefault="00F511F4" w:rsidP="001F53D9">
            <w:pPr>
              <w:spacing w:after="0" w:line="240" w:lineRule="auto"/>
              <w:rPr>
                <w:rFonts w:ascii="Calibri" w:eastAsia="Times New Roman" w:hAnsi="Calibri" w:cs="Calibri"/>
                <w:color w:val="000000"/>
                <w:lang w:eastAsia="en-GB"/>
              </w:rPr>
            </w:pPr>
            <w:r w:rsidRPr="008978C9">
              <w:rPr>
                <w:rFonts w:ascii="Calibri" w:eastAsia="Times New Roman" w:hAnsi="Calibri" w:cs="Calibri"/>
                <w:color w:val="000000"/>
                <w:lang w:eastAsia="en-GB"/>
              </w:rPr>
              <w:t>1.0</w:t>
            </w:r>
          </w:p>
        </w:tc>
      </w:tr>
    </w:tbl>
    <w:p w14:paraId="70504F5B" w14:textId="77777777" w:rsidR="00F511F4" w:rsidRDefault="00F511F4" w:rsidP="00F511F4">
      <w:pPr>
        <w:sectPr w:rsidR="00F511F4">
          <w:pgSz w:w="11906" w:h="16838"/>
          <w:pgMar w:top="1440" w:right="1440" w:bottom="1440" w:left="1440" w:header="708" w:footer="708" w:gutter="0"/>
          <w:cols w:space="708"/>
          <w:docGrid w:linePitch="360"/>
        </w:sectPr>
      </w:pPr>
    </w:p>
    <w:p w14:paraId="540156B6" w14:textId="77777777" w:rsidR="00F511F4" w:rsidRPr="00F511F4" w:rsidRDefault="00F511F4" w:rsidP="00F511F4">
      <w:pPr>
        <w:spacing w:after="0" w:line="240" w:lineRule="auto"/>
        <w:jc w:val="both"/>
        <w:rPr>
          <w:rFonts w:ascii="Times New Roman" w:hAnsi="Times New Roman" w:cs="Times New Roman"/>
          <w:b/>
          <w:sz w:val="24"/>
          <w:szCs w:val="24"/>
        </w:rPr>
      </w:pPr>
      <w:r w:rsidRPr="00F511F4">
        <w:rPr>
          <w:rFonts w:ascii="Times New Roman" w:hAnsi="Times New Roman" w:cs="Times New Roman"/>
          <w:b/>
          <w:sz w:val="24"/>
          <w:szCs w:val="24"/>
        </w:rPr>
        <w:lastRenderedPageBreak/>
        <w:t>Supplementary Table 3: Changes in age and prevalent and highly weighted variables in the Hospital Frailty Risk score</w:t>
      </w:r>
    </w:p>
    <w:tbl>
      <w:tblPr>
        <w:tblStyle w:val="TableGrid"/>
        <w:tblW w:w="0" w:type="auto"/>
        <w:tblLook w:val="04A0" w:firstRow="1" w:lastRow="0" w:firstColumn="1" w:lastColumn="0" w:noHBand="0" w:noVBand="1"/>
      </w:tblPr>
      <w:tblGrid>
        <w:gridCol w:w="1393"/>
        <w:gridCol w:w="750"/>
        <w:gridCol w:w="1020"/>
        <w:gridCol w:w="950"/>
        <w:gridCol w:w="949"/>
        <w:gridCol w:w="949"/>
        <w:gridCol w:w="949"/>
        <w:gridCol w:w="949"/>
        <w:gridCol w:w="949"/>
        <w:gridCol w:w="949"/>
        <w:gridCol w:w="949"/>
        <w:gridCol w:w="949"/>
        <w:gridCol w:w="949"/>
        <w:gridCol w:w="949"/>
      </w:tblGrid>
      <w:tr w:rsidR="00F511F4" w:rsidRPr="00E643DB" w14:paraId="2905BA1B" w14:textId="77777777" w:rsidTr="001F53D9">
        <w:tc>
          <w:tcPr>
            <w:tcW w:w="1384" w:type="dxa"/>
          </w:tcPr>
          <w:p w14:paraId="5268594F" w14:textId="77777777" w:rsidR="00F511F4" w:rsidRPr="00E643DB" w:rsidRDefault="00F511F4" w:rsidP="001F53D9">
            <w:pPr>
              <w:jc w:val="both"/>
              <w:rPr>
                <w:rFonts w:cs="Times New Roman"/>
                <w:sz w:val="18"/>
                <w:szCs w:val="18"/>
              </w:rPr>
            </w:pPr>
            <w:r w:rsidRPr="00E643DB">
              <w:rPr>
                <w:rFonts w:cs="Times New Roman"/>
                <w:sz w:val="18"/>
                <w:szCs w:val="18"/>
              </w:rPr>
              <w:t>Variable</w:t>
            </w:r>
          </w:p>
        </w:tc>
        <w:tc>
          <w:tcPr>
            <w:tcW w:w="750" w:type="dxa"/>
          </w:tcPr>
          <w:p w14:paraId="083719B3" w14:textId="77777777" w:rsidR="00F511F4" w:rsidRPr="00E643DB" w:rsidRDefault="00F511F4" w:rsidP="001F53D9">
            <w:pPr>
              <w:jc w:val="both"/>
              <w:rPr>
                <w:rFonts w:cs="Times New Roman"/>
                <w:sz w:val="18"/>
                <w:szCs w:val="18"/>
              </w:rPr>
            </w:pPr>
            <w:r w:rsidRPr="00E643DB">
              <w:rPr>
                <w:rFonts w:cs="Times New Roman"/>
                <w:sz w:val="18"/>
                <w:szCs w:val="18"/>
              </w:rPr>
              <w:t>Weight</w:t>
            </w:r>
          </w:p>
        </w:tc>
        <w:tc>
          <w:tcPr>
            <w:tcW w:w="1012" w:type="dxa"/>
          </w:tcPr>
          <w:p w14:paraId="44E18E04" w14:textId="77777777" w:rsidR="00F511F4" w:rsidRPr="00E643DB" w:rsidRDefault="00F511F4" w:rsidP="001F53D9">
            <w:pPr>
              <w:jc w:val="both"/>
              <w:rPr>
                <w:rFonts w:cs="Times New Roman"/>
                <w:sz w:val="18"/>
                <w:szCs w:val="18"/>
              </w:rPr>
            </w:pPr>
            <w:r w:rsidRPr="00E643DB">
              <w:rPr>
                <w:rFonts w:cs="Times New Roman"/>
                <w:sz w:val="18"/>
                <w:szCs w:val="18"/>
              </w:rPr>
              <w:t>Prevalence</w:t>
            </w:r>
          </w:p>
        </w:tc>
        <w:tc>
          <w:tcPr>
            <w:tcW w:w="950" w:type="dxa"/>
          </w:tcPr>
          <w:p w14:paraId="1C120CD1" w14:textId="77777777" w:rsidR="00F511F4" w:rsidRPr="00E643DB" w:rsidRDefault="00F511F4" w:rsidP="001F53D9">
            <w:pPr>
              <w:jc w:val="both"/>
              <w:rPr>
                <w:rFonts w:cs="Times New Roman"/>
                <w:sz w:val="18"/>
                <w:szCs w:val="18"/>
              </w:rPr>
            </w:pPr>
            <w:r w:rsidRPr="00E643DB">
              <w:rPr>
                <w:rFonts w:cs="Times New Roman"/>
                <w:sz w:val="18"/>
                <w:szCs w:val="18"/>
              </w:rPr>
              <w:t>2004</w:t>
            </w:r>
          </w:p>
        </w:tc>
        <w:tc>
          <w:tcPr>
            <w:tcW w:w="949" w:type="dxa"/>
          </w:tcPr>
          <w:p w14:paraId="7B826DD6" w14:textId="77777777" w:rsidR="00F511F4" w:rsidRPr="00E643DB" w:rsidRDefault="00F511F4" w:rsidP="001F53D9">
            <w:pPr>
              <w:jc w:val="both"/>
              <w:rPr>
                <w:rFonts w:cs="Times New Roman"/>
                <w:sz w:val="18"/>
                <w:szCs w:val="18"/>
              </w:rPr>
            </w:pPr>
            <w:r w:rsidRPr="00E643DB">
              <w:rPr>
                <w:rFonts w:cs="Times New Roman"/>
                <w:sz w:val="18"/>
                <w:szCs w:val="18"/>
              </w:rPr>
              <w:t>2005</w:t>
            </w:r>
          </w:p>
        </w:tc>
        <w:tc>
          <w:tcPr>
            <w:tcW w:w="949" w:type="dxa"/>
          </w:tcPr>
          <w:p w14:paraId="55BCA89F" w14:textId="77777777" w:rsidR="00F511F4" w:rsidRPr="00E643DB" w:rsidRDefault="00F511F4" w:rsidP="001F53D9">
            <w:pPr>
              <w:jc w:val="both"/>
              <w:rPr>
                <w:rFonts w:cs="Times New Roman"/>
                <w:sz w:val="18"/>
                <w:szCs w:val="18"/>
              </w:rPr>
            </w:pPr>
            <w:r w:rsidRPr="00E643DB">
              <w:rPr>
                <w:rFonts w:cs="Times New Roman"/>
                <w:sz w:val="18"/>
                <w:szCs w:val="18"/>
              </w:rPr>
              <w:t>2006</w:t>
            </w:r>
          </w:p>
        </w:tc>
        <w:tc>
          <w:tcPr>
            <w:tcW w:w="949" w:type="dxa"/>
          </w:tcPr>
          <w:p w14:paraId="419DBB98" w14:textId="77777777" w:rsidR="00F511F4" w:rsidRPr="00E643DB" w:rsidRDefault="00F511F4" w:rsidP="001F53D9">
            <w:pPr>
              <w:jc w:val="both"/>
              <w:rPr>
                <w:rFonts w:cs="Times New Roman"/>
                <w:sz w:val="18"/>
                <w:szCs w:val="18"/>
              </w:rPr>
            </w:pPr>
            <w:r w:rsidRPr="00E643DB">
              <w:rPr>
                <w:rFonts w:cs="Times New Roman"/>
                <w:sz w:val="18"/>
                <w:szCs w:val="18"/>
              </w:rPr>
              <w:t>2007</w:t>
            </w:r>
          </w:p>
        </w:tc>
        <w:tc>
          <w:tcPr>
            <w:tcW w:w="949" w:type="dxa"/>
          </w:tcPr>
          <w:p w14:paraId="5B329C45" w14:textId="77777777" w:rsidR="00F511F4" w:rsidRPr="00E643DB" w:rsidRDefault="00F511F4" w:rsidP="001F53D9">
            <w:pPr>
              <w:jc w:val="both"/>
              <w:rPr>
                <w:rFonts w:cs="Times New Roman"/>
                <w:sz w:val="18"/>
                <w:szCs w:val="18"/>
              </w:rPr>
            </w:pPr>
            <w:r w:rsidRPr="00E643DB">
              <w:rPr>
                <w:rFonts w:cs="Times New Roman"/>
                <w:sz w:val="18"/>
                <w:szCs w:val="18"/>
              </w:rPr>
              <w:t>2008</w:t>
            </w:r>
          </w:p>
        </w:tc>
        <w:tc>
          <w:tcPr>
            <w:tcW w:w="949" w:type="dxa"/>
          </w:tcPr>
          <w:p w14:paraId="3FA1EC0B" w14:textId="77777777" w:rsidR="00F511F4" w:rsidRPr="00E643DB" w:rsidRDefault="00F511F4" w:rsidP="001F53D9">
            <w:pPr>
              <w:jc w:val="both"/>
              <w:rPr>
                <w:rFonts w:cs="Times New Roman"/>
                <w:sz w:val="18"/>
                <w:szCs w:val="18"/>
              </w:rPr>
            </w:pPr>
            <w:r w:rsidRPr="00E643DB">
              <w:rPr>
                <w:rFonts w:cs="Times New Roman"/>
                <w:sz w:val="18"/>
                <w:szCs w:val="18"/>
              </w:rPr>
              <w:t>2009</w:t>
            </w:r>
          </w:p>
        </w:tc>
        <w:tc>
          <w:tcPr>
            <w:tcW w:w="949" w:type="dxa"/>
          </w:tcPr>
          <w:p w14:paraId="41E927D4" w14:textId="77777777" w:rsidR="00F511F4" w:rsidRPr="00E643DB" w:rsidRDefault="00F511F4" w:rsidP="001F53D9">
            <w:pPr>
              <w:jc w:val="both"/>
              <w:rPr>
                <w:rFonts w:cs="Times New Roman"/>
                <w:sz w:val="18"/>
                <w:szCs w:val="18"/>
              </w:rPr>
            </w:pPr>
            <w:r w:rsidRPr="00E643DB">
              <w:rPr>
                <w:rFonts w:cs="Times New Roman"/>
                <w:sz w:val="18"/>
                <w:szCs w:val="18"/>
              </w:rPr>
              <w:t>2010</w:t>
            </w:r>
          </w:p>
        </w:tc>
        <w:tc>
          <w:tcPr>
            <w:tcW w:w="949" w:type="dxa"/>
          </w:tcPr>
          <w:p w14:paraId="28A9D4F2" w14:textId="77777777" w:rsidR="00F511F4" w:rsidRPr="00E643DB" w:rsidRDefault="00F511F4" w:rsidP="001F53D9">
            <w:pPr>
              <w:jc w:val="both"/>
              <w:rPr>
                <w:rFonts w:cs="Times New Roman"/>
                <w:sz w:val="18"/>
                <w:szCs w:val="18"/>
              </w:rPr>
            </w:pPr>
            <w:r w:rsidRPr="00E643DB">
              <w:rPr>
                <w:rFonts w:cs="Times New Roman"/>
                <w:sz w:val="18"/>
                <w:szCs w:val="18"/>
              </w:rPr>
              <w:t>2011</w:t>
            </w:r>
          </w:p>
        </w:tc>
        <w:tc>
          <w:tcPr>
            <w:tcW w:w="949" w:type="dxa"/>
          </w:tcPr>
          <w:p w14:paraId="165B1518" w14:textId="77777777" w:rsidR="00F511F4" w:rsidRPr="00E643DB" w:rsidRDefault="00F511F4" w:rsidP="001F53D9">
            <w:pPr>
              <w:jc w:val="both"/>
              <w:rPr>
                <w:rFonts w:cs="Times New Roman"/>
                <w:sz w:val="18"/>
                <w:szCs w:val="18"/>
              </w:rPr>
            </w:pPr>
            <w:r w:rsidRPr="00E643DB">
              <w:rPr>
                <w:rFonts w:cs="Times New Roman"/>
                <w:sz w:val="18"/>
                <w:szCs w:val="18"/>
              </w:rPr>
              <w:t>2012</w:t>
            </w:r>
          </w:p>
        </w:tc>
        <w:tc>
          <w:tcPr>
            <w:tcW w:w="949" w:type="dxa"/>
          </w:tcPr>
          <w:p w14:paraId="3F44F0A4" w14:textId="77777777" w:rsidR="00F511F4" w:rsidRPr="00E643DB" w:rsidRDefault="00F511F4" w:rsidP="001F53D9">
            <w:pPr>
              <w:jc w:val="both"/>
              <w:rPr>
                <w:rFonts w:cs="Times New Roman"/>
                <w:sz w:val="18"/>
                <w:szCs w:val="18"/>
              </w:rPr>
            </w:pPr>
            <w:r w:rsidRPr="00E643DB">
              <w:rPr>
                <w:rFonts w:cs="Times New Roman"/>
                <w:sz w:val="18"/>
                <w:szCs w:val="18"/>
              </w:rPr>
              <w:t>2013</w:t>
            </w:r>
          </w:p>
        </w:tc>
        <w:tc>
          <w:tcPr>
            <w:tcW w:w="949" w:type="dxa"/>
          </w:tcPr>
          <w:p w14:paraId="52D0A2E3" w14:textId="77777777" w:rsidR="00F511F4" w:rsidRPr="00E643DB" w:rsidRDefault="00F511F4" w:rsidP="001F53D9">
            <w:pPr>
              <w:jc w:val="both"/>
              <w:rPr>
                <w:rFonts w:cs="Times New Roman"/>
                <w:sz w:val="18"/>
                <w:szCs w:val="18"/>
              </w:rPr>
            </w:pPr>
            <w:r w:rsidRPr="00E643DB">
              <w:rPr>
                <w:rFonts w:cs="Times New Roman"/>
                <w:sz w:val="18"/>
                <w:szCs w:val="18"/>
              </w:rPr>
              <w:t>2014</w:t>
            </w:r>
          </w:p>
        </w:tc>
      </w:tr>
      <w:tr w:rsidR="00F511F4" w:rsidRPr="00E643DB" w14:paraId="07470029" w14:textId="77777777" w:rsidTr="001F53D9">
        <w:tc>
          <w:tcPr>
            <w:tcW w:w="1384" w:type="dxa"/>
          </w:tcPr>
          <w:p w14:paraId="5BC156E7" w14:textId="77777777" w:rsidR="00F511F4" w:rsidRPr="00E643DB" w:rsidRDefault="00F511F4" w:rsidP="001F53D9">
            <w:pPr>
              <w:jc w:val="both"/>
              <w:rPr>
                <w:rFonts w:cs="Times New Roman"/>
                <w:sz w:val="18"/>
                <w:szCs w:val="18"/>
              </w:rPr>
            </w:pPr>
            <w:r w:rsidRPr="00E643DB">
              <w:rPr>
                <w:rFonts w:cs="Times New Roman"/>
                <w:sz w:val="18"/>
                <w:szCs w:val="18"/>
              </w:rPr>
              <w:t>Mean age</w:t>
            </w:r>
          </w:p>
        </w:tc>
        <w:tc>
          <w:tcPr>
            <w:tcW w:w="750" w:type="dxa"/>
          </w:tcPr>
          <w:p w14:paraId="232FC57E" w14:textId="77777777" w:rsidR="00F511F4" w:rsidRPr="00E643DB" w:rsidRDefault="00F511F4" w:rsidP="001F53D9">
            <w:pPr>
              <w:jc w:val="both"/>
              <w:rPr>
                <w:rFonts w:cs="Times New Roman"/>
                <w:sz w:val="18"/>
                <w:szCs w:val="18"/>
              </w:rPr>
            </w:pPr>
            <w:r w:rsidRPr="00E643DB">
              <w:rPr>
                <w:rFonts w:cs="Times New Roman"/>
                <w:sz w:val="18"/>
                <w:szCs w:val="18"/>
              </w:rPr>
              <w:t>-</w:t>
            </w:r>
          </w:p>
        </w:tc>
        <w:tc>
          <w:tcPr>
            <w:tcW w:w="1012" w:type="dxa"/>
          </w:tcPr>
          <w:p w14:paraId="7AB849FD" w14:textId="77777777" w:rsidR="00F511F4" w:rsidRPr="00E643DB" w:rsidRDefault="00F511F4" w:rsidP="001F53D9">
            <w:pPr>
              <w:jc w:val="both"/>
              <w:rPr>
                <w:rFonts w:cs="Times New Roman"/>
                <w:sz w:val="18"/>
                <w:szCs w:val="18"/>
              </w:rPr>
            </w:pPr>
            <w:r w:rsidRPr="00E643DB">
              <w:rPr>
                <w:rFonts w:cs="Times New Roman"/>
                <w:sz w:val="18"/>
                <w:szCs w:val="18"/>
              </w:rPr>
              <w:t>-</w:t>
            </w:r>
          </w:p>
        </w:tc>
        <w:tc>
          <w:tcPr>
            <w:tcW w:w="950" w:type="dxa"/>
          </w:tcPr>
          <w:p w14:paraId="0AFB593D" w14:textId="77777777" w:rsidR="00F511F4" w:rsidRPr="00E643DB" w:rsidRDefault="00F511F4" w:rsidP="001F53D9">
            <w:pPr>
              <w:jc w:val="both"/>
              <w:rPr>
                <w:rFonts w:cs="Times New Roman"/>
                <w:sz w:val="18"/>
                <w:szCs w:val="18"/>
              </w:rPr>
            </w:pPr>
            <w:r w:rsidRPr="00E643DB">
              <w:rPr>
                <w:rFonts w:cs="Times New Roman"/>
                <w:sz w:val="18"/>
                <w:szCs w:val="18"/>
              </w:rPr>
              <w:t>72.6±14.1</w:t>
            </w:r>
          </w:p>
        </w:tc>
        <w:tc>
          <w:tcPr>
            <w:tcW w:w="949" w:type="dxa"/>
          </w:tcPr>
          <w:p w14:paraId="679B230B" w14:textId="77777777" w:rsidR="00F511F4" w:rsidRPr="00E643DB" w:rsidRDefault="00F511F4" w:rsidP="001F53D9">
            <w:pPr>
              <w:jc w:val="both"/>
              <w:rPr>
                <w:rFonts w:cs="Times New Roman"/>
                <w:sz w:val="18"/>
                <w:szCs w:val="18"/>
              </w:rPr>
            </w:pPr>
            <w:r w:rsidRPr="00E643DB">
              <w:rPr>
                <w:rFonts w:cs="Times New Roman"/>
                <w:sz w:val="18"/>
                <w:szCs w:val="18"/>
              </w:rPr>
              <w:t>73.0±14.2</w:t>
            </w:r>
          </w:p>
        </w:tc>
        <w:tc>
          <w:tcPr>
            <w:tcW w:w="949" w:type="dxa"/>
          </w:tcPr>
          <w:p w14:paraId="459C4B71" w14:textId="77777777" w:rsidR="00F511F4" w:rsidRPr="00E643DB" w:rsidRDefault="00F511F4" w:rsidP="001F53D9">
            <w:pPr>
              <w:jc w:val="both"/>
              <w:rPr>
                <w:rFonts w:cs="Times New Roman"/>
                <w:sz w:val="18"/>
                <w:szCs w:val="18"/>
              </w:rPr>
            </w:pPr>
            <w:r w:rsidRPr="00E643DB">
              <w:rPr>
                <w:rFonts w:cs="Times New Roman"/>
                <w:sz w:val="18"/>
                <w:szCs w:val="18"/>
              </w:rPr>
              <w:t>72.4±14.5</w:t>
            </w:r>
          </w:p>
        </w:tc>
        <w:tc>
          <w:tcPr>
            <w:tcW w:w="949" w:type="dxa"/>
          </w:tcPr>
          <w:p w14:paraId="1806FDDA" w14:textId="77777777" w:rsidR="00F511F4" w:rsidRPr="00E643DB" w:rsidRDefault="00F511F4" w:rsidP="001F53D9">
            <w:pPr>
              <w:jc w:val="both"/>
              <w:rPr>
                <w:rFonts w:cs="Times New Roman"/>
                <w:sz w:val="18"/>
                <w:szCs w:val="18"/>
              </w:rPr>
            </w:pPr>
            <w:r w:rsidRPr="00E643DB">
              <w:rPr>
                <w:rFonts w:cs="Times New Roman"/>
                <w:sz w:val="18"/>
                <w:szCs w:val="18"/>
              </w:rPr>
              <w:t>72.3±14.6</w:t>
            </w:r>
          </w:p>
        </w:tc>
        <w:tc>
          <w:tcPr>
            <w:tcW w:w="949" w:type="dxa"/>
          </w:tcPr>
          <w:p w14:paraId="5F4558D4" w14:textId="77777777" w:rsidR="00F511F4" w:rsidRPr="00E643DB" w:rsidRDefault="00F511F4" w:rsidP="001F53D9">
            <w:pPr>
              <w:jc w:val="both"/>
              <w:rPr>
                <w:rFonts w:cs="Times New Roman"/>
                <w:sz w:val="18"/>
                <w:szCs w:val="18"/>
              </w:rPr>
            </w:pPr>
            <w:r w:rsidRPr="00E643DB">
              <w:rPr>
                <w:rFonts w:cs="Times New Roman"/>
                <w:sz w:val="18"/>
                <w:szCs w:val="18"/>
              </w:rPr>
              <w:t>72.6±14.5</w:t>
            </w:r>
          </w:p>
        </w:tc>
        <w:tc>
          <w:tcPr>
            <w:tcW w:w="949" w:type="dxa"/>
          </w:tcPr>
          <w:p w14:paraId="026DA58B" w14:textId="77777777" w:rsidR="00F511F4" w:rsidRPr="00E643DB" w:rsidRDefault="00F511F4" w:rsidP="001F53D9">
            <w:pPr>
              <w:jc w:val="both"/>
              <w:rPr>
                <w:rFonts w:cs="Times New Roman"/>
                <w:sz w:val="18"/>
                <w:szCs w:val="18"/>
              </w:rPr>
            </w:pPr>
            <w:r w:rsidRPr="00E643DB">
              <w:rPr>
                <w:rFonts w:cs="Times New Roman"/>
                <w:sz w:val="18"/>
                <w:szCs w:val="18"/>
              </w:rPr>
              <w:t>72.5±14.6</w:t>
            </w:r>
          </w:p>
        </w:tc>
        <w:tc>
          <w:tcPr>
            <w:tcW w:w="949" w:type="dxa"/>
          </w:tcPr>
          <w:p w14:paraId="437487E2" w14:textId="77777777" w:rsidR="00F511F4" w:rsidRPr="00E643DB" w:rsidRDefault="00F511F4" w:rsidP="001F53D9">
            <w:pPr>
              <w:jc w:val="both"/>
              <w:rPr>
                <w:rFonts w:cs="Times New Roman"/>
                <w:sz w:val="18"/>
                <w:szCs w:val="18"/>
              </w:rPr>
            </w:pPr>
            <w:r w:rsidRPr="00E643DB">
              <w:rPr>
                <w:rFonts w:cs="Times New Roman"/>
                <w:sz w:val="18"/>
                <w:szCs w:val="18"/>
              </w:rPr>
              <w:t>72.6±14.7</w:t>
            </w:r>
          </w:p>
        </w:tc>
        <w:tc>
          <w:tcPr>
            <w:tcW w:w="949" w:type="dxa"/>
          </w:tcPr>
          <w:p w14:paraId="688DC065" w14:textId="77777777" w:rsidR="00F511F4" w:rsidRPr="00E643DB" w:rsidRDefault="00F511F4" w:rsidP="001F53D9">
            <w:pPr>
              <w:jc w:val="both"/>
              <w:rPr>
                <w:rFonts w:cs="Times New Roman"/>
                <w:sz w:val="18"/>
                <w:szCs w:val="18"/>
              </w:rPr>
            </w:pPr>
            <w:r w:rsidRPr="00E643DB">
              <w:rPr>
                <w:rFonts w:cs="Times New Roman"/>
                <w:sz w:val="18"/>
                <w:szCs w:val="18"/>
              </w:rPr>
              <w:t>72.9±14.6</w:t>
            </w:r>
          </w:p>
        </w:tc>
        <w:tc>
          <w:tcPr>
            <w:tcW w:w="949" w:type="dxa"/>
          </w:tcPr>
          <w:p w14:paraId="211AC4A0" w14:textId="77777777" w:rsidR="00F511F4" w:rsidRPr="00E643DB" w:rsidRDefault="00F511F4" w:rsidP="001F53D9">
            <w:pPr>
              <w:jc w:val="both"/>
              <w:rPr>
                <w:rFonts w:cs="Times New Roman"/>
                <w:sz w:val="18"/>
                <w:szCs w:val="18"/>
              </w:rPr>
            </w:pPr>
            <w:r w:rsidRPr="00E643DB">
              <w:rPr>
                <w:rFonts w:cs="Times New Roman"/>
                <w:sz w:val="18"/>
                <w:szCs w:val="18"/>
              </w:rPr>
              <w:t>72.5±14.2</w:t>
            </w:r>
          </w:p>
        </w:tc>
        <w:tc>
          <w:tcPr>
            <w:tcW w:w="949" w:type="dxa"/>
          </w:tcPr>
          <w:p w14:paraId="1AF5F11D" w14:textId="77777777" w:rsidR="00F511F4" w:rsidRPr="00E643DB" w:rsidRDefault="00F511F4" w:rsidP="001F53D9">
            <w:pPr>
              <w:jc w:val="both"/>
              <w:rPr>
                <w:rFonts w:cs="Times New Roman"/>
                <w:sz w:val="18"/>
                <w:szCs w:val="18"/>
              </w:rPr>
            </w:pPr>
            <w:r w:rsidRPr="00E643DB">
              <w:rPr>
                <w:rFonts w:cs="Times New Roman"/>
                <w:sz w:val="18"/>
                <w:szCs w:val="18"/>
              </w:rPr>
              <w:t>72.2±14.2</w:t>
            </w:r>
          </w:p>
        </w:tc>
        <w:tc>
          <w:tcPr>
            <w:tcW w:w="949" w:type="dxa"/>
          </w:tcPr>
          <w:p w14:paraId="682FA7D8" w14:textId="77777777" w:rsidR="00F511F4" w:rsidRPr="00E643DB" w:rsidRDefault="00F511F4" w:rsidP="001F53D9">
            <w:pPr>
              <w:jc w:val="both"/>
              <w:rPr>
                <w:rFonts w:cs="Times New Roman"/>
                <w:sz w:val="18"/>
                <w:szCs w:val="18"/>
              </w:rPr>
            </w:pPr>
            <w:r w:rsidRPr="00E643DB">
              <w:rPr>
                <w:rFonts w:cs="Times New Roman"/>
                <w:sz w:val="18"/>
                <w:szCs w:val="18"/>
              </w:rPr>
              <w:t>72.0±14.2</w:t>
            </w:r>
          </w:p>
        </w:tc>
      </w:tr>
      <w:tr w:rsidR="00F511F4" w:rsidRPr="00E643DB" w14:paraId="11DEEC18" w14:textId="77777777" w:rsidTr="001F53D9">
        <w:tc>
          <w:tcPr>
            <w:tcW w:w="1384" w:type="dxa"/>
          </w:tcPr>
          <w:p w14:paraId="49DDCD95" w14:textId="77777777" w:rsidR="00F511F4" w:rsidRPr="00E643DB" w:rsidRDefault="00F511F4" w:rsidP="001F53D9">
            <w:pPr>
              <w:jc w:val="both"/>
              <w:rPr>
                <w:rFonts w:cs="Times New Roman"/>
                <w:sz w:val="18"/>
                <w:szCs w:val="18"/>
              </w:rPr>
            </w:pPr>
            <w:r w:rsidRPr="00E643DB">
              <w:rPr>
                <w:rFonts w:cs="Times New Roman"/>
                <w:sz w:val="18"/>
                <w:szCs w:val="18"/>
              </w:rPr>
              <w:t>Dementia in Alzheimer’s disease</w:t>
            </w:r>
          </w:p>
        </w:tc>
        <w:tc>
          <w:tcPr>
            <w:tcW w:w="750" w:type="dxa"/>
          </w:tcPr>
          <w:p w14:paraId="5D2498CE" w14:textId="77777777" w:rsidR="00F511F4" w:rsidRPr="00E643DB" w:rsidRDefault="00F511F4" w:rsidP="001F53D9">
            <w:pPr>
              <w:jc w:val="both"/>
              <w:rPr>
                <w:rFonts w:cs="Times New Roman"/>
                <w:sz w:val="18"/>
                <w:szCs w:val="18"/>
              </w:rPr>
            </w:pPr>
            <w:r w:rsidRPr="00E643DB">
              <w:rPr>
                <w:rFonts w:cs="Times New Roman"/>
                <w:sz w:val="18"/>
                <w:szCs w:val="18"/>
              </w:rPr>
              <w:t>7.1</w:t>
            </w:r>
          </w:p>
        </w:tc>
        <w:tc>
          <w:tcPr>
            <w:tcW w:w="1012" w:type="dxa"/>
          </w:tcPr>
          <w:p w14:paraId="60070235" w14:textId="77777777" w:rsidR="00F511F4" w:rsidRPr="00E643DB" w:rsidRDefault="00F511F4" w:rsidP="001F53D9">
            <w:pPr>
              <w:jc w:val="both"/>
              <w:rPr>
                <w:rFonts w:cs="Times New Roman"/>
                <w:sz w:val="18"/>
                <w:szCs w:val="18"/>
              </w:rPr>
            </w:pPr>
            <w:r w:rsidRPr="00E643DB">
              <w:rPr>
                <w:rFonts w:cs="Times New Roman"/>
                <w:sz w:val="18"/>
                <w:szCs w:val="18"/>
              </w:rPr>
              <w:t>0.04%</w:t>
            </w:r>
          </w:p>
        </w:tc>
        <w:tc>
          <w:tcPr>
            <w:tcW w:w="950" w:type="dxa"/>
          </w:tcPr>
          <w:p w14:paraId="07EC9043" w14:textId="77777777" w:rsidR="00F511F4" w:rsidRPr="00E643DB" w:rsidRDefault="00F511F4" w:rsidP="001F53D9">
            <w:pPr>
              <w:jc w:val="both"/>
              <w:rPr>
                <w:rFonts w:cs="Times New Roman"/>
                <w:sz w:val="18"/>
                <w:szCs w:val="18"/>
              </w:rPr>
            </w:pPr>
            <w:r w:rsidRPr="00E643DB">
              <w:rPr>
                <w:rFonts w:cs="Times New Roman"/>
                <w:sz w:val="18"/>
                <w:szCs w:val="18"/>
              </w:rPr>
              <w:t>0.05%</w:t>
            </w:r>
          </w:p>
        </w:tc>
        <w:tc>
          <w:tcPr>
            <w:tcW w:w="949" w:type="dxa"/>
          </w:tcPr>
          <w:p w14:paraId="19670820" w14:textId="77777777" w:rsidR="00F511F4" w:rsidRPr="00E643DB" w:rsidRDefault="00F511F4" w:rsidP="001F53D9">
            <w:pPr>
              <w:jc w:val="both"/>
              <w:rPr>
                <w:rFonts w:cs="Times New Roman"/>
                <w:sz w:val="18"/>
                <w:szCs w:val="18"/>
              </w:rPr>
            </w:pPr>
            <w:r w:rsidRPr="00E643DB">
              <w:rPr>
                <w:rFonts w:cs="Times New Roman"/>
                <w:sz w:val="18"/>
                <w:szCs w:val="18"/>
              </w:rPr>
              <w:t>0.03%</w:t>
            </w:r>
          </w:p>
        </w:tc>
        <w:tc>
          <w:tcPr>
            <w:tcW w:w="949" w:type="dxa"/>
          </w:tcPr>
          <w:p w14:paraId="20AF666E" w14:textId="77777777" w:rsidR="00F511F4" w:rsidRPr="00E643DB" w:rsidRDefault="00F511F4" w:rsidP="001F53D9">
            <w:pPr>
              <w:jc w:val="both"/>
              <w:rPr>
                <w:rFonts w:cs="Times New Roman"/>
                <w:sz w:val="18"/>
                <w:szCs w:val="18"/>
              </w:rPr>
            </w:pPr>
            <w:r w:rsidRPr="00E643DB">
              <w:rPr>
                <w:rFonts w:cs="Times New Roman"/>
                <w:sz w:val="18"/>
                <w:szCs w:val="18"/>
              </w:rPr>
              <w:t>0.03%</w:t>
            </w:r>
          </w:p>
        </w:tc>
        <w:tc>
          <w:tcPr>
            <w:tcW w:w="949" w:type="dxa"/>
          </w:tcPr>
          <w:p w14:paraId="03F94349" w14:textId="77777777" w:rsidR="00F511F4" w:rsidRPr="00E643DB" w:rsidRDefault="00F511F4" w:rsidP="001F53D9">
            <w:pPr>
              <w:jc w:val="both"/>
              <w:rPr>
                <w:rFonts w:cs="Times New Roman"/>
                <w:sz w:val="18"/>
                <w:szCs w:val="18"/>
              </w:rPr>
            </w:pPr>
            <w:r w:rsidRPr="00E643DB">
              <w:rPr>
                <w:rFonts w:cs="Times New Roman"/>
                <w:sz w:val="18"/>
                <w:szCs w:val="18"/>
              </w:rPr>
              <w:t>0.04%</w:t>
            </w:r>
          </w:p>
        </w:tc>
        <w:tc>
          <w:tcPr>
            <w:tcW w:w="949" w:type="dxa"/>
          </w:tcPr>
          <w:p w14:paraId="0C96F946" w14:textId="77777777" w:rsidR="00F511F4" w:rsidRPr="00E643DB" w:rsidRDefault="00F511F4" w:rsidP="001F53D9">
            <w:pPr>
              <w:jc w:val="both"/>
              <w:rPr>
                <w:rFonts w:cs="Times New Roman"/>
                <w:sz w:val="18"/>
                <w:szCs w:val="18"/>
              </w:rPr>
            </w:pPr>
            <w:r w:rsidRPr="00E643DB">
              <w:rPr>
                <w:rFonts w:cs="Times New Roman"/>
                <w:sz w:val="18"/>
                <w:szCs w:val="18"/>
              </w:rPr>
              <w:t>0.04%</w:t>
            </w:r>
          </w:p>
        </w:tc>
        <w:tc>
          <w:tcPr>
            <w:tcW w:w="949" w:type="dxa"/>
          </w:tcPr>
          <w:p w14:paraId="16E5BD49" w14:textId="77777777" w:rsidR="00F511F4" w:rsidRPr="00E643DB" w:rsidRDefault="00F511F4" w:rsidP="001F53D9">
            <w:pPr>
              <w:jc w:val="both"/>
              <w:rPr>
                <w:rFonts w:cs="Times New Roman"/>
                <w:sz w:val="18"/>
                <w:szCs w:val="18"/>
              </w:rPr>
            </w:pPr>
            <w:r w:rsidRPr="00E643DB">
              <w:rPr>
                <w:rFonts w:cs="Times New Roman"/>
                <w:sz w:val="18"/>
                <w:szCs w:val="18"/>
              </w:rPr>
              <w:t>0.04%</w:t>
            </w:r>
          </w:p>
        </w:tc>
        <w:tc>
          <w:tcPr>
            <w:tcW w:w="949" w:type="dxa"/>
          </w:tcPr>
          <w:p w14:paraId="069B5E9B" w14:textId="77777777" w:rsidR="00F511F4" w:rsidRPr="00E643DB" w:rsidRDefault="00F511F4" w:rsidP="001F53D9">
            <w:pPr>
              <w:jc w:val="both"/>
              <w:rPr>
                <w:rFonts w:cs="Times New Roman"/>
                <w:sz w:val="18"/>
                <w:szCs w:val="18"/>
              </w:rPr>
            </w:pPr>
            <w:r w:rsidRPr="00E643DB">
              <w:rPr>
                <w:rFonts w:cs="Times New Roman"/>
                <w:sz w:val="18"/>
                <w:szCs w:val="18"/>
              </w:rPr>
              <w:t>0.04%</w:t>
            </w:r>
          </w:p>
        </w:tc>
        <w:tc>
          <w:tcPr>
            <w:tcW w:w="949" w:type="dxa"/>
          </w:tcPr>
          <w:p w14:paraId="118925EC" w14:textId="77777777" w:rsidR="00F511F4" w:rsidRPr="00E643DB" w:rsidRDefault="00F511F4" w:rsidP="001F53D9">
            <w:pPr>
              <w:jc w:val="both"/>
              <w:rPr>
                <w:rFonts w:cs="Times New Roman"/>
                <w:sz w:val="18"/>
                <w:szCs w:val="18"/>
              </w:rPr>
            </w:pPr>
            <w:r w:rsidRPr="00E643DB">
              <w:rPr>
                <w:rFonts w:cs="Times New Roman"/>
                <w:sz w:val="18"/>
                <w:szCs w:val="18"/>
              </w:rPr>
              <w:t>0.04%</w:t>
            </w:r>
          </w:p>
        </w:tc>
        <w:tc>
          <w:tcPr>
            <w:tcW w:w="949" w:type="dxa"/>
          </w:tcPr>
          <w:p w14:paraId="55807865" w14:textId="77777777" w:rsidR="00F511F4" w:rsidRPr="00E643DB" w:rsidRDefault="00F511F4" w:rsidP="001F53D9">
            <w:pPr>
              <w:jc w:val="both"/>
              <w:rPr>
                <w:rFonts w:cs="Times New Roman"/>
                <w:sz w:val="18"/>
                <w:szCs w:val="18"/>
              </w:rPr>
            </w:pPr>
            <w:r w:rsidRPr="00E643DB">
              <w:rPr>
                <w:rFonts w:cs="Times New Roman"/>
                <w:sz w:val="18"/>
                <w:szCs w:val="18"/>
              </w:rPr>
              <w:t>0.05%</w:t>
            </w:r>
          </w:p>
        </w:tc>
        <w:tc>
          <w:tcPr>
            <w:tcW w:w="949" w:type="dxa"/>
          </w:tcPr>
          <w:p w14:paraId="3C97943B" w14:textId="77777777" w:rsidR="00F511F4" w:rsidRPr="00E643DB" w:rsidRDefault="00F511F4" w:rsidP="001F53D9">
            <w:pPr>
              <w:jc w:val="both"/>
              <w:rPr>
                <w:rFonts w:cs="Times New Roman"/>
                <w:sz w:val="18"/>
                <w:szCs w:val="18"/>
              </w:rPr>
            </w:pPr>
            <w:r w:rsidRPr="00E643DB">
              <w:rPr>
                <w:rFonts w:cs="Times New Roman"/>
                <w:sz w:val="18"/>
                <w:szCs w:val="18"/>
              </w:rPr>
              <w:t>0.04%</w:t>
            </w:r>
          </w:p>
        </w:tc>
        <w:tc>
          <w:tcPr>
            <w:tcW w:w="949" w:type="dxa"/>
          </w:tcPr>
          <w:p w14:paraId="1E1E7799" w14:textId="77777777" w:rsidR="00F511F4" w:rsidRPr="00E643DB" w:rsidRDefault="00F511F4" w:rsidP="001F53D9">
            <w:pPr>
              <w:jc w:val="both"/>
              <w:rPr>
                <w:rFonts w:cs="Times New Roman"/>
                <w:sz w:val="18"/>
                <w:szCs w:val="18"/>
              </w:rPr>
            </w:pPr>
            <w:r w:rsidRPr="00E643DB">
              <w:rPr>
                <w:rFonts w:cs="Times New Roman"/>
                <w:sz w:val="18"/>
                <w:szCs w:val="18"/>
              </w:rPr>
              <w:t>0.04%</w:t>
            </w:r>
          </w:p>
        </w:tc>
      </w:tr>
      <w:tr w:rsidR="00F511F4" w:rsidRPr="00E643DB" w14:paraId="096FBF8C" w14:textId="77777777" w:rsidTr="001F53D9">
        <w:tc>
          <w:tcPr>
            <w:tcW w:w="1384" w:type="dxa"/>
          </w:tcPr>
          <w:p w14:paraId="30142172" w14:textId="77777777" w:rsidR="00F511F4" w:rsidRPr="00E643DB" w:rsidRDefault="00F511F4" w:rsidP="001F53D9">
            <w:pPr>
              <w:jc w:val="both"/>
              <w:rPr>
                <w:rFonts w:cs="Times New Roman"/>
                <w:sz w:val="18"/>
                <w:szCs w:val="18"/>
              </w:rPr>
            </w:pPr>
            <w:r w:rsidRPr="00E643DB">
              <w:rPr>
                <w:rFonts w:cs="Times New Roman"/>
                <w:sz w:val="18"/>
                <w:szCs w:val="18"/>
              </w:rPr>
              <w:t>Hemiplegia</w:t>
            </w:r>
          </w:p>
        </w:tc>
        <w:tc>
          <w:tcPr>
            <w:tcW w:w="750" w:type="dxa"/>
          </w:tcPr>
          <w:p w14:paraId="0F53EC42" w14:textId="77777777" w:rsidR="00F511F4" w:rsidRPr="00E643DB" w:rsidRDefault="00F511F4" w:rsidP="001F53D9">
            <w:pPr>
              <w:jc w:val="both"/>
              <w:rPr>
                <w:rFonts w:cs="Times New Roman"/>
                <w:sz w:val="18"/>
                <w:szCs w:val="18"/>
              </w:rPr>
            </w:pPr>
            <w:r w:rsidRPr="00E643DB">
              <w:rPr>
                <w:rFonts w:cs="Times New Roman"/>
                <w:sz w:val="18"/>
                <w:szCs w:val="18"/>
              </w:rPr>
              <w:t>4.4</w:t>
            </w:r>
          </w:p>
        </w:tc>
        <w:tc>
          <w:tcPr>
            <w:tcW w:w="1012" w:type="dxa"/>
          </w:tcPr>
          <w:p w14:paraId="219B4B4A" w14:textId="77777777" w:rsidR="00F511F4" w:rsidRPr="00E643DB" w:rsidRDefault="00F511F4" w:rsidP="001F53D9">
            <w:pPr>
              <w:jc w:val="both"/>
              <w:rPr>
                <w:rFonts w:cs="Times New Roman"/>
                <w:sz w:val="18"/>
                <w:szCs w:val="18"/>
              </w:rPr>
            </w:pPr>
            <w:r w:rsidRPr="00E643DB">
              <w:rPr>
                <w:rFonts w:cs="Times New Roman"/>
                <w:sz w:val="18"/>
                <w:szCs w:val="18"/>
              </w:rPr>
              <w:t>0.14%</w:t>
            </w:r>
          </w:p>
        </w:tc>
        <w:tc>
          <w:tcPr>
            <w:tcW w:w="950" w:type="dxa"/>
          </w:tcPr>
          <w:p w14:paraId="5DA408E8" w14:textId="77777777" w:rsidR="00F511F4" w:rsidRPr="00E643DB" w:rsidRDefault="00F511F4" w:rsidP="001F53D9">
            <w:pPr>
              <w:jc w:val="both"/>
              <w:rPr>
                <w:rFonts w:cs="Times New Roman"/>
                <w:sz w:val="18"/>
                <w:szCs w:val="18"/>
              </w:rPr>
            </w:pPr>
            <w:r w:rsidRPr="00E643DB">
              <w:rPr>
                <w:rFonts w:cs="Times New Roman"/>
                <w:sz w:val="18"/>
                <w:szCs w:val="18"/>
              </w:rPr>
              <w:t>0.10%</w:t>
            </w:r>
          </w:p>
        </w:tc>
        <w:tc>
          <w:tcPr>
            <w:tcW w:w="949" w:type="dxa"/>
          </w:tcPr>
          <w:p w14:paraId="78F6A0DE" w14:textId="77777777" w:rsidR="00F511F4" w:rsidRPr="00E643DB" w:rsidRDefault="00F511F4" w:rsidP="001F53D9">
            <w:pPr>
              <w:jc w:val="both"/>
              <w:rPr>
                <w:rFonts w:cs="Times New Roman"/>
                <w:sz w:val="18"/>
                <w:szCs w:val="18"/>
              </w:rPr>
            </w:pPr>
            <w:r w:rsidRPr="00E643DB">
              <w:rPr>
                <w:rFonts w:cs="Times New Roman"/>
                <w:sz w:val="18"/>
                <w:szCs w:val="18"/>
              </w:rPr>
              <w:t>0.11%</w:t>
            </w:r>
          </w:p>
        </w:tc>
        <w:tc>
          <w:tcPr>
            <w:tcW w:w="949" w:type="dxa"/>
          </w:tcPr>
          <w:p w14:paraId="288656C4" w14:textId="77777777" w:rsidR="00F511F4" w:rsidRPr="00E643DB" w:rsidRDefault="00F511F4" w:rsidP="001F53D9">
            <w:pPr>
              <w:jc w:val="both"/>
              <w:rPr>
                <w:rFonts w:cs="Times New Roman"/>
                <w:sz w:val="18"/>
                <w:szCs w:val="18"/>
              </w:rPr>
            </w:pPr>
            <w:r w:rsidRPr="00E643DB">
              <w:rPr>
                <w:rFonts w:cs="Times New Roman"/>
                <w:sz w:val="18"/>
                <w:szCs w:val="18"/>
              </w:rPr>
              <w:t>0.09%</w:t>
            </w:r>
          </w:p>
        </w:tc>
        <w:tc>
          <w:tcPr>
            <w:tcW w:w="949" w:type="dxa"/>
          </w:tcPr>
          <w:p w14:paraId="44BB6941" w14:textId="77777777" w:rsidR="00F511F4" w:rsidRPr="00E643DB" w:rsidRDefault="00F511F4" w:rsidP="001F53D9">
            <w:pPr>
              <w:jc w:val="both"/>
              <w:rPr>
                <w:rFonts w:cs="Times New Roman"/>
                <w:sz w:val="18"/>
                <w:szCs w:val="18"/>
              </w:rPr>
            </w:pPr>
            <w:r w:rsidRPr="00E643DB">
              <w:rPr>
                <w:rFonts w:cs="Times New Roman"/>
                <w:sz w:val="18"/>
                <w:szCs w:val="18"/>
              </w:rPr>
              <w:t>0.10%</w:t>
            </w:r>
          </w:p>
        </w:tc>
        <w:tc>
          <w:tcPr>
            <w:tcW w:w="949" w:type="dxa"/>
          </w:tcPr>
          <w:p w14:paraId="64C1CA76" w14:textId="77777777" w:rsidR="00F511F4" w:rsidRPr="00E643DB" w:rsidRDefault="00F511F4" w:rsidP="001F53D9">
            <w:pPr>
              <w:jc w:val="both"/>
              <w:rPr>
                <w:rFonts w:cs="Times New Roman"/>
                <w:sz w:val="18"/>
                <w:szCs w:val="18"/>
              </w:rPr>
            </w:pPr>
            <w:r w:rsidRPr="00E643DB">
              <w:rPr>
                <w:rFonts w:cs="Times New Roman"/>
                <w:sz w:val="18"/>
                <w:szCs w:val="18"/>
              </w:rPr>
              <w:t>0.14%</w:t>
            </w:r>
          </w:p>
        </w:tc>
        <w:tc>
          <w:tcPr>
            <w:tcW w:w="949" w:type="dxa"/>
          </w:tcPr>
          <w:p w14:paraId="798107A0" w14:textId="77777777" w:rsidR="00F511F4" w:rsidRPr="00E643DB" w:rsidRDefault="00F511F4" w:rsidP="001F53D9">
            <w:pPr>
              <w:jc w:val="both"/>
              <w:rPr>
                <w:rFonts w:cs="Times New Roman"/>
                <w:sz w:val="18"/>
                <w:szCs w:val="18"/>
              </w:rPr>
            </w:pPr>
            <w:r w:rsidRPr="00E643DB">
              <w:rPr>
                <w:rFonts w:cs="Times New Roman"/>
                <w:sz w:val="18"/>
                <w:szCs w:val="18"/>
              </w:rPr>
              <w:t>0.16%</w:t>
            </w:r>
          </w:p>
        </w:tc>
        <w:tc>
          <w:tcPr>
            <w:tcW w:w="949" w:type="dxa"/>
          </w:tcPr>
          <w:p w14:paraId="660E8181" w14:textId="77777777" w:rsidR="00F511F4" w:rsidRPr="00E643DB" w:rsidRDefault="00F511F4" w:rsidP="001F53D9">
            <w:pPr>
              <w:jc w:val="both"/>
              <w:rPr>
                <w:rFonts w:cs="Times New Roman"/>
                <w:sz w:val="18"/>
                <w:szCs w:val="18"/>
              </w:rPr>
            </w:pPr>
            <w:r w:rsidRPr="00E643DB">
              <w:rPr>
                <w:rFonts w:cs="Times New Roman"/>
                <w:sz w:val="18"/>
                <w:szCs w:val="18"/>
              </w:rPr>
              <w:t>0.17%</w:t>
            </w:r>
          </w:p>
        </w:tc>
        <w:tc>
          <w:tcPr>
            <w:tcW w:w="949" w:type="dxa"/>
          </w:tcPr>
          <w:p w14:paraId="558B1FC8" w14:textId="77777777" w:rsidR="00F511F4" w:rsidRPr="00E643DB" w:rsidRDefault="00F511F4" w:rsidP="001F53D9">
            <w:pPr>
              <w:jc w:val="both"/>
              <w:rPr>
                <w:rFonts w:cs="Times New Roman"/>
                <w:sz w:val="18"/>
                <w:szCs w:val="18"/>
              </w:rPr>
            </w:pPr>
            <w:r w:rsidRPr="00E643DB">
              <w:rPr>
                <w:rFonts w:cs="Times New Roman"/>
                <w:sz w:val="18"/>
                <w:szCs w:val="18"/>
              </w:rPr>
              <w:t>0.17%</w:t>
            </w:r>
          </w:p>
        </w:tc>
        <w:tc>
          <w:tcPr>
            <w:tcW w:w="949" w:type="dxa"/>
          </w:tcPr>
          <w:p w14:paraId="554F2767" w14:textId="77777777" w:rsidR="00F511F4" w:rsidRPr="00E643DB" w:rsidRDefault="00F511F4" w:rsidP="001F53D9">
            <w:pPr>
              <w:jc w:val="both"/>
              <w:rPr>
                <w:rFonts w:cs="Times New Roman"/>
                <w:sz w:val="18"/>
                <w:szCs w:val="18"/>
              </w:rPr>
            </w:pPr>
            <w:r w:rsidRPr="00E643DB">
              <w:rPr>
                <w:rFonts w:cs="Times New Roman"/>
                <w:sz w:val="18"/>
                <w:szCs w:val="18"/>
              </w:rPr>
              <w:t>0.16%</w:t>
            </w:r>
          </w:p>
        </w:tc>
        <w:tc>
          <w:tcPr>
            <w:tcW w:w="949" w:type="dxa"/>
          </w:tcPr>
          <w:p w14:paraId="58A77BE6" w14:textId="77777777" w:rsidR="00F511F4" w:rsidRPr="00E643DB" w:rsidRDefault="00F511F4" w:rsidP="001F53D9">
            <w:pPr>
              <w:jc w:val="both"/>
              <w:rPr>
                <w:rFonts w:cs="Times New Roman"/>
                <w:sz w:val="18"/>
                <w:szCs w:val="18"/>
              </w:rPr>
            </w:pPr>
            <w:r w:rsidRPr="00E643DB">
              <w:rPr>
                <w:rFonts w:cs="Times New Roman"/>
                <w:sz w:val="18"/>
                <w:szCs w:val="18"/>
              </w:rPr>
              <w:t>0.17%</w:t>
            </w:r>
          </w:p>
        </w:tc>
        <w:tc>
          <w:tcPr>
            <w:tcW w:w="949" w:type="dxa"/>
          </w:tcPr>
          <w:p w14:paraId="2C490C75" w14:textId="77777777" w:rsidR="00F511F4" w:rsidRPr="00E643DB" w:rsidRDefault="00F511F4" w:rsidP="001F53D9">
            <w:pPr>
              <w:jc w:val="both"/>
              <w:rPr>
                <w:rFonts w:cs="Times New Roman"/>
                <w:sz w:val="18"/>
                <w:szCs w:val="18"/>
              </w:rPr>
            </w:pPr>
            <w:r w:rsidRPr="00E643DB">
              <w:rPr>
                <w:rFonts w:cs="Times New Roman"/>
                <w:sz w:val="18"/>
                <w:szCs w:val="18"/>
              </w:rPr>
              <w:t>0.19%</w:t>
            </w:r>
          </w:p>
        </w:tc>
      </w:tr>
      <w:tr w:rsidR="00F511F4" w:rsidRPr="00E643DB" w14:paraId="32FF7CBD" w14:textId="77777777" w:rsidTr="001F53D9">
        <w:tc>
          <w:tcPr>
            <w:tcW w:w="1384" w:type="dxa"/>
          </w:tcPr>
          <w:p w14:paraId="1F140593" w14:textId="77777777" w:rsidR="00F511F4" w:rsidRPr="00E643DB" w:rsidRDefault="00F511F4" w:rsidP="001F53D9">
            <w:pPr>
              <w:jc w:val="both"/>
              <w:rPr>
                <w:rFonts w:cs="Times New Roman"/>
                <w:sz w:val="18"/>
                <w:szCs w:val="18"/>
              </w:rPr>
            </w:pPr>
            <w:r w:rsidRPr="00E643DB">
              <w:rPr>
                <w:rFonts w:cs="Times New Roman"/>
                <w:sz w:val="18"/>
                <w:szCs w:val="18"/>
              </w:rPr>
              <w:t>Alzheimer’s disease</w:t>
            </w:r>
          </w:p>
        </w:tc>
        <w:tc>
          <w:tcPr>
            <w:tcW w:w="750" w:type="dxa"/>
          </w:tcPr>
          <w:p w14:paraId="5E269637" w14:textId="77777777" w:rsidR="00F511F4" w:rsidRPr="00E643DB" w:rsidRDefault="00F511F4" w:rsidP="001F53D9">
            <w:pPr>
              <w:jc w:val="both"/>
              <w:rPr>
                <w:rFonts w:cs="Times New Roman"/>
                <w:sz w:val="18"/>
                <w:szCs w:val="18"/>
              </w:rPr>
            </w:pPr>
            <w:r w:rsidRPr="00E643DB">
              <w:rPr>
                <w:rFonts w:cs="Times New Roman"/>
                <w:sz w:val="18"/>
                <w:szCs w:val="18"/>
              </w:rPr>
              <w:t>4.0</w:t>
            </w:r>
          </w:p>
        </w:tc>
        <w:tc>
          <w:tcPr>
            <w:tcW w:w="1012" w:type="dxa"/>
          </w:tcPr>
          <w:p w14:paraId="095DB691" w14:textId="77777777" w:rsidR="00F511F4" w:rsidRPr="00E643DB" w:rsidRDefault="00F511F4" w:rsidP="001F53D9">
            <w:pPr>
              <w:jc w:val="both"/>
              <w:rPr>
                <w:rFonts w:cs="Times New Roman"/>
                <w:sz w:val="18"/>
                <w:szCs w:val="18"/>
              </w:rPr>
            </w:pPr>
            <w:r w:rsidRPr="00E643DB">
              <w:rPr>
                <w:rFonts w:cs="Times New Roman"/>
                <w:sz w:val="18"/>
                <w:szCs w:val="18"/>
              </w:rPr>
              <w:t>1.75%</w:t>
            </w:r>
          </w:p>
        </w:tc>
        <w:tc>
          <w:tcPr>
            <w:tcW w:w="950" w:type="dxa"/>
          </w:tcPr>
          <w:p w14:paraId="6B319271" w14:textId="77777777" w:rsidR="00F511F4" w:rsidRPr="00E643DB" w:rsidRDefault="00F511F4" w:rsidP="001F53D9">
            <w:pPr>
              <w:jc w:val="both"/>
              <w:rPr>
                <w:rFonts w:cs="Times New Roman"/>
                <w:sz w:val="18"/>
                <w:szCs w:val="18"/>
              </w:rPr>
            </w:pPr>
            <w:r w:rsidRPr="00E643DB">
              <w:rPr>
                <w:rFonts w:cs="Times New Roman"/>
                <w:sz w:val="18"/>
                <w:szCs w:val="18"/>
              </w:rPr>
              <w:t>1.73%</w:t>
            </w:r>
          </w:p>
        </w:tc>
        <w:tc>
          <w:tcPr>
            <w:tcW w:w="949" w:type="dxa"/>
          </w:tcPr>
          <w:p w14:paraId="67CBFAF9" w14:textId="77777777" w:rsidR="00F511F4" w:rsidRPr="00E643DB" w:rsidRDefault="00F511F4" w:rsidP="001F53D9">
            <w:pPr>
              <w:jc w:val="both"/>
              <w:rPr>
                <w:rFonts w:cs="Times New Roman"/>
                <w:sz w:val="18"/>
                <w:szCs w:val="18"/>
              </w:rPr>
            </w:pPr>
            <w:r w:rsidRPr="00E643DB">
              <w:rPr>
                <w:rFonts w:cs="Times New Roman"/>
                <w:sz w:val="18"/>
                <w:szCs w:val="18"/>
              </w:rPr>
              <w:t>1.66%</w:t>
            </w:r>
          </w:p>
        </w:tc>
        <w:tc>
          <w:tcPr>
            <w:tcW w:w="949" w:type="dxa"/>
          </w:tcPr>
          <w:p w14:paraId="17682177" w14:textId="77777777" w:rsidR="00F511F4" w:rsidRPr="00E643DB" w:rsidRDefault="00F511F4" w:rsidP="001F53D9">
            <w:pPr>
              <w:jc w:val="both"/>
              <w:rPr>
                <w:rFonts w:cs="Times New Roman"/>
                <w:sz w:val="18"/>
                <w:szCs w:val="18"/>
              </w:rPr>
            </w:pPr>
            <w:r w:rsidRPr="00E643DB">
              <w:rPr>
                <w:rFonts w:cs="Times New Roman"/>
                <w:sz w:val="18"/>
                <w:szCs w:val="18"/>
              </w:rPr>
              <w:t>1.70%</w:t>
            </w:r>
          </w:p>
        </w:tc>
        <w:tc>
          <w:tcPr>
            <w:tcW w:w="949" w:type="dxa"/>
          </w:tcPr>
          <w:p w14:paraId="10D88124" w14:textId="77777777" w:rsidR="00F511F4" w:rsidRPr="00E643DB" w:rsidRDefault="00F511F4" w:rsidP="001F53D9">
            <w:pPr>
              <w:jc w:val="both"/>
              <w:rPr>
                <w:rFonts w:cs="Times New Roman"/>
                <w:sz w:val="18"/>
                <w:szCs w:val="18"/>
              </w:rPr>
            </w:pPr>
            <w:r w:rsidRPr="00E643DB">
              <w:rPr>
                <w:rFonts w:cs="Times New Roman"/>
                <w:sz w:val="18"/>
                <w:szCs w:val="18"/>
              </w:rPr>
              <w:t>1.81%</w:t>
            </w:r>
          </w:p>
        </w:tc>
        <w:tc>
          <w:tcPr>
            <w:tcW w:w="949" w:type="dxa"/>
          </w:tcPr>
          <w:p w14:paraId="5CDEEA50" w14:textId="77777777" w:rsidR="00F511F4" w:rsidRPr="00E643DB" w:rsidRDefault="00F511F4" w:rsidP="001F53D9">
            <w:pPr>
              <w:jc w:val="both"/>
              <w:rPr>
                <w:rFonts w:cs="Times New Roman"/>
                <w:sz w:val="18"/>
                <w:szCs w:val="18"/>
              </w:rPr>
            </w:pPr>
            <w:r w:rsidRPr="00E643DB">
              <w:rPr>
                <w:rFonts w:cs="Times New Roman"/>
                <w:sz w:val="18"/>
                <w:szCs w:val="18"/>
              </w:rPr>
              <w:t>1.95%</w:t>
            </w:r>
          </w:p>
        </w:tc>
        <w:tc>
          <w:tcPr>
            <w:tcW w:w="949" w:type="dxa"/>
          </w:tcPr>
          <w:p w14:paraId="6ECFEDA7" w14:textId="77777777" w:rsidR="00F511F4" w:rsidRPr="00E643DB" w:rsidRDefault="00F511F4" w:rsidP="001F53D9">
            <w:pPr>
              <w:jc w:val="both"/>
              <w:rPr>
                <w:rFonts w:cs="Times New Roman"/>
                <w:sz w:val="18"/>
                <w:szCs w:val="18"/>
              </w:rPr>
            </w:pPr>
            <w:r w:rsidRPr="00E643DB">
              <w:rPr>
                <w:rFonts w:cs="Times New Roman"/>
                <w:sz w:val="18"/>
                <w:szCs w:val="18"/>
              </w:rPr>
              <w:t>1.97%</w:t>
            </w:r>
          </w:p>
        </w:tc>
        <w:tc>
          <w:tcPr>
            <w:tcW w:w="949" w:type="dxa"/>
          </w:tcPr>
          <w:p w14:paraId="39DD23C4" w14:textId="77777777" w:rsidR="00F511F4" w:rsidRPr="00E643DB" w:rsidRDefault="00F511F4" w:rsidP="001F53D9">
            <w:pPr>
              <w:jc w:val="both"/>
              <w:rPr>
                <w:rFonts w:cs="Times New Roman"/>
                <w:sz w:val="18"/>
                <w:szCs w:val="18"/>
              </w:rPr>
            </w:pPr>
            <w:r w:rsidRPr="00E643DB">
              <w:rPr>
                <w:rFonts w:cs="Times New Roman"/>
                <w:sz w:val="18"/>
                <w:szCs w:val="18"/>
              </w:rPr>
              <w:t>1.92%</w:t>
            </w:r>
          </w:p>
        </w:tc>
        <w:tc>
          <w:tcPr>
            <w:tcW w:w="949" w:type="dxa"/>
          </w:tcPr>
          <w:p w14:paraId="73B1F908" w14:textId="77777777" w:rsidR="00F511F4" w:rsidRPr="00E643DB" w:rsidRDefault="00F511F4" w:rsidP="001F53D9">
            <w:pPr>
              <w:jc w:val="both"/>
              <w:rPr>
                <w:rFonts w:cs="Times New Roman"/>
                <w:sz w:val="18"/>
                <w:szCs w:val="18"/>
              </w:rPr>
            </w:pPr>
            <w:r w:rsidRPr="00E643DB">
              <w:rPr>
                <w:rFonts w:cs="Times New Roman"/>
                <w:sz w:val="18"/>
                <w:szCs w:val="18"/>
              </w:rPr>
              <w:t>1.89%</w:t>
            </w:r>
          </w:p>
        </w:tc>
        <w:tc>
          <w:tcPr>
            <w:tcW w:w="949" w:type="dxa"/>
          </w:tcPr>
          <w:p w14:paraId="0DAB9827" w14:textId="77777777" w:rsidR="00F511F4" w:rsidRPr="00E643DB" w:rsidRDefault="00F511F4" w:rsidP="001F53D9">
            <w:pPr>
              <w:jc w:val="both"/>
              <w:rPr>
                <w:rFonts w:cs="Times New Roman"/>
                <w:sz w:val="18"/>
                <w:szCs w:val="18"/>
              </w:rPr>
            </w:pPr>
            <w:r w:rsidRPr="00E643DB">
              <w:rPr>
                <w:rFonts w:cs="Times New Roman"/>
                <w:sz w:val="18"/>
                <w:szCs w:val="18"/>
              </w:rPr>
              <w:t>1.69%</w:t>
            </w:r>
          </w:p>
        </w:tc>
        <w:tc>
          <w:tcPr>
            <w:tcW w:w="949" w:type="dxa"/>
          </w:tcPr>
          <w:p w14:paraId="0AF8C78B" w14:textId="77777777" w:rsidR="00F511F4" w:rsidRPr="00E643DB" w:rsidRDefault="00F511F4" w:rsidP="001F53D9">
            <w:pPr>
              <w:jc w:val="both"/>
              <w:rPr>
                <w:rFonts w:cs="Times New Roman"/>
                <w:sz w:val="18"/>
                <w:szCs w:val="18"/>
              </w:rPr>
            </w:pPr>
            <w:r w:rsidRPr="00E643DB">
              <w:rPr>
                <w:rFonts w:cs="Times New Roman"/>
                <w:sz w:val="18"/>
                <w:szCs w:val="18"/>
              </w:rPr>
              <w:t>1.56%</w:t>
            </w:r>
          </w:p>
        </w:tc>
        <w:tc>
          <w:tcPr>
            <w:tcW w:w="949" w:type="dxa"/>
          </w:tcPr>
          <w:p w14:paraId="050BDBE4" w14:textId="77777777" w:rsidR="00F511F4" w:rsidRPr="00E643DB" w:rsidRDefault="00F511F4" w:rsidP="001F53D9">
            <w:pPr>
              <w:jc w:val="both"/>
              <w:rPr>
                <w:rFonts w:cs="Times New Roman"/>
                <w:sz w:val="18"/>
                <w:szCs w:val="18"/>
              </w:rPr>
            </w:pPr>
            <w:r w:rsidRPr="00E643DB">
              <w:rPr>
                <w:rFonts w:cs="Times New Roman"/>
                <w:sz w:val="18"/>
                <w:szCs w:val="18"/>
              </w:rPr>
              <w:t>1.38%</w:t>
            </w:r>
          </w:p>
        </w:tc>
      </w:tr>
      <w:tr w:rsidR="00F511F4" w:rsidRPr="00E643DB" w14:paraId="282D0FDD" w14:textId="77777777" w:rsidTr="001F53D9">
        <w:tc>
          <w:tcPr>
            <w:tcW w:w="1384" w:type="dxa"/>
          </w:tcPr>
          <w:p w14:paraId="0E61405F" w14:textId="77777777" w:rsidR="00F511F4" w:rsidRPr="00E643DB" w:rsidRDefault="00F511F4" w:rsidP="001F53D9">
            <w:pPr>
              <w:jc w:val="both"/>
              <w:rPr>
                <w:rFonts w:cs="Times New Roman"/>
                <w:sz w:val="18"/>
                <w:szCs w:val="18"/>
              </w:rPr>
            </w:pPr>
            <w:r w:rsidRPr="00E643DB">
              <w:rPr>
                <w:rFonts w:cs="Times New Roman"/>
                <w:sz w:val="18"/>
                <w:szCs w:val="18"/>
              </w:rPr>
              <w:t>Sequelae of cerebrovascular disease</w:t>
            </w:r>
          </w:p>
        </w:tc>
        <w:tc>
          <w:tcPr>
            <w:tcW w:w="750" w:type="dxa"/>
          </w:tcPr>
          <w:p w14:paraId="43EF2A98" w14:textId="77777777" w:rsidR="00F511F4" w:rsidRPr="00E643DB" w:rsidRDefault="00F511F4" w:rsidP="001F53D9">
            <w:pPr>
              <w:jc w:val="both"/>
              <w:rPr>
                <w:rFonts w:cs="Times New Roman"/>
                <w:sz w:val="18"/>
                <w:szCs w:val="18"/>
              </w:rPr>
            </w:pPr>
            <w:r w:rsidRPr="00E643DB">
              <w:rPr>
                <w:rFonts w:cs="Times New Roman"/>
                <w:sz w:val="18"/>
                <w:szCs w:val="18"/>
              </w:rPr>
              <w:t>3.7</w:t>
            </w:r>
          </w:p>
        </w:tc>
        <w:tc>
          <w:tcPr>
            <w:tcW w:w="1012" w:type="dxa"/>
          </w:tcPr>
          <w:p w14:paraId="4941D7E5" w14:textId="77777777" w:rsidR="00F511F4" w:rsidRPr="00E643DB" w:rsidRDefault="00F511F4" w:rsidP="001F53D9">
            <w:pPr>
              <w:jc w:val="both"/>
              <w:rPr>
                <w:rFonts w:cs="Times New Roman"/>
                <w:sz w:val="18"/>
                <w:szCs w:val="18"/>
              </w:rPr>
            </w:pPr>
            <w:r w:rsidRPr="00E643DB">
              <w:rPr>
                <w:rFonts w:cs="Times New Roman"/>
                <w:sz w:val="18"/>
                <w:szCs w:val="18"/>
              </w:rPr>
              <w:t>0.07%</w:t>
            </w:r>
          </w:p>
        </w:tc>
        <w:tc>
          <w:tcPr>
            <w:tcW w:w="950" w:type="dxa"/>
          </w:tcPr>
          <w:p w14:paraId="7E043B63" w14:textId="77777777" w:rsidR="00F511F4" w:rsidRPr="00E643DB" w:rsidRDefault="00F511F4" w:rsidP="001F53D9">
            <w:pPr>
              <w:jc w:val="both"/>
              <w:rPr>
                <w:rFonts w:cs="Times New Roman"/>
                <w:sz w:val="18"/>
                <w:szCs w:val="18"/>
              </w:rPr>
            </w:pPr>
            <w:r w:rsidRPr="00E643DB">
              <w:rPr>
                <w:rFonts w:cs="Times New Roman"/>
                <w:sz w:val="18"/>
                <w:szCs w:val="18"/>
              </w:rPr>
              <w:t>0.13%</w:t>
            </w:r>
          </w:p>
        </w:tc>
        <w:tc>
          <w:tcPr>
            <w:tcW w:w="949" w:type="dxa"/>
          </w:tcPr>
          <w:p w14:paraId="036744F2" w14:textId="77777777" w:rsidR="00F511F4" w:rsidRPr="00E643DB" w:rsidRDefault="00F511F4" w:rsidP="001F53D9">
            <w:pPr>
              <w:jc w:val="both"/>
              <w:rPr>
                <w:rFonts w:cs="Times New Roman"/>
                <w:sz w:val="18"/>
                <w:szCs w:val="18"/>
              </w:rPr>
            </w:pPr>
            <w:r w:rsidRPr="00E643DB">
              <w:rPr>
                <w:rFonts w:cs="Times New Roman"/>
                <w:sz w:val="18"/>
                <w:szCs w:val="18"/>
              </w:rPr>
              <w:t>0.10%</w:t>
            </w:r>
          </w:p>
        </w:tc>
        <w:tc>
          <w:tcPr>
            <w:tcW w:w="949" w:type="dxa"/>
          </w:tcPr>
          <w:p w14:paraId="2BCCB4AF" w14:textId="77777777" w:rsidR="00F511F4" w:rsidRPr="00E643DB" w:rsidRDefault="00F511F4" w:rsidP="001F53D9">
            <w:pPr>
              <w:jc w:val="both"/>
              <w:rPr>
                <w:rFonts w:cs="Times New Roman"/>
                <w:sz w:val="18"/>
                <w:szCs w:val="18"/>
              </w:rPr>
            </w:pPr>
            <w:r w:rsidRPr="00E643DB">
              <w:rPr>
                <w:rFonts w:cs="Times New Roman"/>
                <w:sz w:val="18"/>
                <w:szCs w:val="18"/>
              </w:rPr>
              <w:t>0.07%</w:t>
            </w:r>
          </w:p>
        </w:tc>
        <w:tc>
          <w:tcPr>
            <w:tcW w:w="949" w:type="dxa"/>
          </w:tcPr>
          <w:p w14:paraId="673C5CF6" w14:textId="77777777" w:rsidR="00F511F4" w:rsidRPr="00E643DB" w:rsidRDefault="00F511F4" w:rsidP="001F53D9">
            <w:pPr>
              <w:jc w:val="both"/>
              <w:rPr>
                <w:rFonts w:cs="Times New Roman"/>
                <w:sz w:val="18"/>
                <w:szCs w:val="18"/>
              </w:rPr>
            </w:pPr>
            <w:r w:rsidRPr="00E643DB">
              <w:rPr>
                <w:rFonts w:cs="Times New Roman"/>
                <w:sz w:val="18"/>
                <w:szCs w:val="18"/>
              </w:rPr>
              <w:t>0.09%</w:t>
            </w:r>
          </w:p>
        </w:tc>
        <w:tc>
          <w:tcPr>
            <w:tcW w:w="949" w:type="dxa"/>
          </w:tcPr>
          <w:p w14:paraId="11C73CD6" w14:textId="77777777" w:rsidR="00F511F4" w:rsidRPr="00E643DB" w:rsidRDefault="00F511F4" w:rsidP="001F53D9">
            <w:pPr>
              <w:jc w:val="both"/>
              <w:rPr>
                <w:rFonts w:cs="Times New Roman"/>
                <w:sz w:val="18"/>
                <w:szCs w:val="18"/>
              </w:rPr>
            </w:pPr>
            <w:r w:rsidRPr="00E643DB">
              <w:rPr>
                <w:rFonts w:cs="Times New Roman"/>
                <w:sz w:val="18"/>
                <w:szCs w:val="18"/>
              </w:rPr>
              <w:t>0.07%</w:t>
            </w:r>
          </w:p>
        </w:tc>
        <w:tc>
          <w:tcPr>
            <w:tcW w:w="949" w:type="dxa"/>
          </w:tcPr>
          <w:p w14:paraId="23758DB3" w14:textId="77777777" w:rsidR="00F511F4" w:rsidRPr="00E643DB" w:rsidRDefault="00F511F4" w:rsidP="001F53D9">
            <w:pPr>
              <w:jc w:val="both"/>
              <w:rPr>
                <w:rFonts w:cs="Times New Roman"/>
                <w:sz w:val="18"/>
                <w:szCs w:val="18"/>
              </w:rPr>
            </w:pPr>
            <w:r w:rsidRPr="00E643DB">
              <w:rPr>
                <w:rFonts w:cs="Times New Roman"/>
                <w:sz w:val="18"/>
                <w:szCs w:val="18"/>
              </w:rPr>
              <w:t>0.06%</w:t>
            </w:r>
          </w:p>
        </w:tc>
        <w:tc>
          <w:tcPr>
            <w:tcW w:w="949" w:type="dxa"/>
          </w:tcPr>
          <w:p w14:paraId="6FC9C917" w14:textId="77777777" w:rsidR="00F511F4" w:rsidRPr="00E643DB" w:rsidRDefault="00F511F4" w:rsidP="001F53D9">
            <w:pPr>
              <w:jc w:val="both"/>
              <w:rPr>
                <w:rFonts w:cs="Times New Roman"/>
                <w:sz w:val="18"/>
                <w:szCs w:val="18"/>
              </w:rPr>
            </w:pPr>
            <w:r w:rsidRPr="00E643DB">
              <w:rPr>
                <w:rFonts w:cs="Times New Roman"/>
                <w:sz w:val="18"/>
                <w:szCs w:val="18"/>
              </w:rPr>
              <w:t>0.05%</w:t>
            </w:r>
          </w:p>
        </w:tc>
        <w:tc>
          <w:tcPr>
            <w:tcW w:w="949" w:type="dxa"/>
          </w:tcPr>
          <w:p w14:paraId="2B3478FC" w14:textId="77777777" w:rsidR="00F511F4" w:rsidRPr="00E643DB" w:rsidRDefault="00F511F4" w:rsidP="001F53D9">
            <w:pPr>
              <w:jc w:val="both"/>
              <w:rPr>
                <w:rFonts w:cs="Times New Roman"/>
                <w:sz w:val="18"/>
                <w:szCs w:val="18"/>
              </w:rPr>
            </w:pPr>
            <w:r w:rsidRPr="00E643DB">
              <w:rPr>
                <w:rFonts w:cs="Times New Roman"/>
                <w:sz w:val="18"/>
                <w:szCs w:val="18"/>
              </w:rPr>
              <w:t>0.05%</w:t>
            </w:r>
          </w:p>
        </w:tc>
        <w:tc>
          <w:tcPr>
            <w:tcW w:w="949" w:type="dxa"/>
          </w:tcPr>
          <w:p w14:paraId="17121851" w14:textId="77777777" w:rsidR="00F511F4" w:rsidRPr="00E643DB" w:rsidRDefault="00F511F4" w:rsidP="001F53D9">
            <w:pPr>
              <w:jc w:val="both"/>
              <w:rPr>
                <w:rFonts w:cs="Times New Roman"/>
                <w:sz w:val="18"/>
                <w:szCs w:val="18"/>
              </w:rPr>
            </w:pPr>
            <w:r w:rsidRPr="00E643DB">
              <w:rPr>
                <w:rFonts w:cs="Times New Roman"/>
                <w:sz w:val="18"/>
                <w:szCs w:val="18"/>
              </w:rPr>
              <w:t>0.05%</w:t>
            </w:r>
          </w:p>
        </w:tc>
        <w:tc>
          <w:tcPr>
            <w:tcW w:w="949" w:type="dxa"/>
          </w:tcPr>
          <w:p w14:paraId="2C3B9AD1" w14:textId="77777777" w:rsidR="00F511F4" w:rsidRPr="00E643DB" w:rsidRDefault="00F511F4" w:rsidP="001F53D9">
            <w:pPr>
              <w:jc w:val="both"/>
              <w:rPr>
                <w:rFonts w:cs="Times New Roman"/>
                <w:sz w:val="18"/>
                <w:szCs w:val="18"/>
              </w:rPr>
            </w:pPr>
            <w:r w:rsidRPr="00E643DB">
              <w:rPr>
                <w:rFonts w:cs="Times New Roman"/>
                <w:sz w:val="18"/>
                <w:szCs w:val="18"/>
              </w:rPr>
              <w:t>0.05%</w:t>
            </w:r>
          </w:p>
        </w:tc>
        <w:tc>
          <w:tcPr>
            <w:tcW w:w="949" w:type="dxa"/>
          </w:tcPr>
          <w:p w14:paraId="05AF1108" w14:textId="77777777" w:rsidR="00F511F4" w:rsidRPr="00E643DB" w:rsidRDefault="00F511F4" w:rsidP="001F53D9">
            <w:pPr>
              <w:jc w:val="both"/>
              <w:rPr>
                <w:rFonts w:cs="Times New Roman"/>
                <w:sz w:val="18"/>
                <w:szCs w:val="18"/>
              </w:rPr>
            </w:pPr>
            <w:r w:rsidRPr="00E643DB">
              <w:rPr>
                <w:rFonts w:cs="Times New Roman"/>
                <w:sz w:val="18"/>
                <w:szCs w:val="18"/>
              </w:rPr>
              <w:t>0.04%</w:t>
            </w:r>
          </w:p>
        </w:tc>
      </w:tr>
      <w:tr w:rsidR="00F511F4" w:rsidRPr="00E643DB" w14:paraId="5CC185B0" w14:textId="77777777" w:rsidTr="001F53D9">
        <w:tc>
          <w:tcPr>
            <w:tcW w:w="1384" w:type="dxa"/>
          </w:tcPr>
          <w:p w14:paraId="63C64E5A" w14:textId="77777777" w:rsidR="00F511F4" w:rsidRPr="00E643DB" w:rsidRDefault="00F511F4" w:rsidP="001F53D9">
            <w:pPr>
              <w:jc w:val="both"/>
              <w:rPr>
                <w:rFonts w:cs="Times New Roman"/>
                <w:sz w:val="18"/>
                <w:szCs w:val="18"/>
              </w:rPr>
            </w:pPr>
            <w:r w:rsidRPr="00E643DB">
              <w:rPr>
                <w:rFonts w:cs="Times New Roman"/>
                <w:sz w:val="18"/>
                <w:szCs w:val="18"/>
              </w:rPr>
              <w:t>Other symptoms and signs involving the nervous and musculoskeletal systems</w:t>
            </w:r>
          </w:p>
        </w:tc>
        <w:tc>
          <w:tcPr>
            <w:tcW w:w="750" w:type="dxa"/>
          </w:tcPr>
          <w:p w14:paraId="49B8ADF5" w14:textId="77777777" w:rsidR="00F511F4" w:rsidRPr="00E643DB" w:rsidRDefault="00F511F4" w:rsidP="001F53D9">
            <w:pPr>
              <w:jc w:val="both"/>
              <w:rPr>
                <w:rFonts w:cs="Times New Roman"/>
                <w:sz w:val="18"/>
                <w:szCs w:val="18"/>
              </w:rPr>
            </w:pPr>
            <w:r w:rsidRPr="00E643DB">
              <w:rPr>
                <w:rFonts w:cs="Times New Roman"/>
                <w:sz w:val="18"/>
                <w:szCs w:val="18"/>
              </w:rPr>
              <w:t>3.6</w:t>
            </w:r>
          </w:p>
        </w:tc>
        <w:tc>
          <w:tcPr>
            <w:tcW w:w="1012" w:type="dxa"/>
          </w:tcPr>
          <w:p w14:paraId="4CF672FC" w14:textId="77777777" w:rsidR="00F511F4" w:rsidRPr="00E643DB" w:rsidRDefault="00F511F4" w:rsidP="001F53D9">
            <w:pPr>
              <w:jc w:val="both"/>
              <w:rPr>
                <w:rFonts w:cs="Times New Roman"/>
                <w:sz w:val="18"/>
                <w:szCs w:val="18"/>
              </w:rPr>
            </w:pPr>
            <w:r w:rsidRPr="00E643DB">
              <w:rPr>
                <w:rFonts w:cs="Times New Roman"/>
                <w:sz w:val="18"/>
                <w:szCs w:val="18"/>
              </w:rPr>
              <w:t>0%</w:t>
            </w:r>
          </w:p>
        </w:tc>
        <w:tc>
          <w:tcPr>
            <w:tcW w:w="950" w:type="dxa"/>
          </w:tcPr>
          <w:p w14:paraId="25A6055D" w14:textId="77777777" w:rsidR="00F511F4" w:rsidRPr="00E643DB" w:rsidRDefault="00F511F4" w:rsidP="001F53D9">
            <w:pPr>
              <w:jc w:val="both"/>
              <w:rPr>
                <w:rFonts w:cs="Times New Roman"/>
                <w:sz w:val="18"/>
                <w:szCs w:val="18"/>
              </w:rPr>
            </w:pPr>
            <w:r w:rsidRPr="00E643DB">
              <w:rPr>
                <w:rFonts w:cs="Times New Roman"/>
                <w:sz w:val="18"/>
                <w:szCs w:val="18"/>
              </w:rPr>
              <w:t>0%</w:t>
            </w:r>
          </w:p>
        </w:tc>
        <w:tc>
          <w:tcPr>
            <w:tcW w:w="949" w:type="dxa"/>
          </w:tcPr>
          <w:p w14:paraId="6D289620" w14:textId="77777777" w:rsidR="00F511F4" w:rsidRPr="00E643DB" w:rsidRDefault="00F511F4" w:rsidP="001F53D9">
            <w:pPr>
              <w:jc w:val="both"/>
              <w:rPr>
                <w:rFonts w:cs="Times New Roman"/>
                <w:sz w:val="18"/>
                <w:szCs w:val="18"/>
              </w:rPr>
            </w:pPr>
            <w:r w:rsidRPr="00E643DB">
              <w:rPr>
                <w:rFonts w:cs="Times New Roman"/>
                <w:sz w:val="18"/>
                <w:szCs w:val="18"/>
              </w:rPr>
              <w:t>0%</w:t>
            </w:r>
          </w:p>
        </w:tc>
        <w:tc>
          <w:tcPr>
            <w:tcW w:w="949" w:type="dxa"/>
          </w:tcPr>
          <w:p w14:paraId="4914458E" w14:textId="77777777" w:rsidR="00F511F4" w:rsidRPr="00E643DB" w:rsidRDefault="00F511F4" w:rsidP="001F53D9">
            <w:pPr>
              <w:jc w:val="both"/>
              <w:rPr>
                <w:rFonts w:cs="Times New Roman"/>
                <w:sz w:val="18"/>
                <w:szCs w:val="18"/>
              </w:rPr>
            </w:pPr>
            <w:r w:rsidRPr="00E643DB">
              <w:rPr>
                <w:rFonts w:cs="Times New Roman"/>
                <w:sz w:val="18"/>
                <w:szCs w:val="18"/>
              </w:rPr>
              <w:t>0%</w:t>
            </w:r>
          </w:p>
        </w:tc>
        <w:tc>
          <w:tcPr>
            <w:tcW w:w="949" w:type="dxa"/>
          </w:tcPr>
          <w:p w14:paraId="29BD4336" w14:textId="77777777" w:rsidR="00F511F4" w:rsidRPr="00E643DB" w:rsidRDefault="00F511F4" w:rsidP="001F53D9">
            <w:pPr>
              <w:jc w:val="both"/>
              <w:rPr>
                <w:rFonts w:cs="Times New Roman"/>
                <w:sz w:val="18"/>
                <w:szCs w:val="18"/>
              </w:rPr>
            </w:pPr>
            <w:r w:rsidRPr="00E643DB">
              <w:rPr>
                <w:rFonts w:cs="Times New Roman"/>
                <w:sz w:val="18"/>
                <w:szCs w:val="18"/>
              </w:rPr>
              <w:t>0%</w:t>
            </w:r>
          </w:p>
        </w:tc>
        <w:tc>
          <w:tcPr>
            <w:tcW w:w="949" w:type="dxa"/>
          </w:tcPr>
          <w:p w14:paraId="5CC8344D" w14:textId="77777777" w:rsidR="00F511F4" w:rsidRPr="00E643DB" w:rsidRDefault="00F511F4" w:rsidP="001F53D9">
            <w:pPr>
              <w:jc w:val="both"/>
              <w:rPr>
                <w:rFonts w:cs="Times New Roman"/>
                <w:sz w:val="18"/>
                <w:szCs w:val="18"/>
              </w:rPr>
            </w:pPr>
            <w:r w:rsidRPr="00E643DB">
              <w:rPr>
                <w:rFonts w:cs="Times New Roman"/>
                <w:sz w:val="18"/>
                <w:szCs w:val="18"/>
              </w:rPr>
              <w:t>0%</w:t>
            </w:r>
          </w:p>
        </w:tc>
        <w:tc>
          <w:tcPr>
            <w:tcW w:w="949" w:type="dxa"/>
          </w:tcPr>
          <w:p w14:paraId="078B44F8" w14:textId="77777777" w:rsidR="00F511F4" w:rsidRPr="00E643DB" w:rsidRDefault="00F511F4" w:rsidP="001F53D9">
            <w:pPr>
              <w:jc w:val="both"/>
              <w:rPr>
                <w:rFonts w:cs="Times New Roman"/>
                <w:sz w:val="18"/>
                <w:szCs w:val="18"/>
              </w:rPr>
            </w:pPr>
            <w:r w:rsidRPr="00E643DB">
              <w:rPr>
                <w:rFonts w:cs="Times New Roman"/>
                <w:sz w:val="18"/>
                <w:szCs w:val="18"/>
              </w:rPr>
              <w:t>0%</w:t>
            </w:r>
          </w:p>
        </w:tc>
        <w:tc>
          <w:tcPr>
            <w:tcW w:w="949" w:type="dxa"/>
          </w:tcPr>
          <w:p w14:paraId="04E18D27" w14:textId="77777777" w:rsidR="00F511F4" w:rsidRPr="00E643DB" w:rsidRDefault="00F511F4" w:rsidP="001F53D9">
            <w:pPr>
              <w:jc w:val="both"/>
              <w:rPr>
                <w:rFonts w:cs="Times New Roman"/>
                <w:sz w:val="18"/>
                <w:szCs w:val="18"/>
              </w:rPr>
            </w:pPr>
            <w:r w:rsidRPr="00E643DB">
              <w:rPr>
                <w:rFonts w:cs="Times New Roman"/>
                <w:sz w:val="18"/>
                <w:szCs w:val="18"/>
              </w:rPr>
              <w:t>0%</w:t>
            </w:r>
          </w:p>
        </w:tc>
        <w:tc>
          <w:tcPr>
            <w:tcW w:w="949" w:type="dxa"/>
          </w:tcPr>
          <w:p w14:paraId="5BF0C757" w14:textId="77777777" w:rsidR="00F511F4" w:rsidRPr="00E643DB" w:rsidRDefault="00F511F4" w:rsidP="001F53D9">
            <w:pPr>
              <w:jc w:val="both"/>
              <w:rPr>
                <w:rFonts w:cs="Times New Roman"/>
                <w:sz w:val="18"/>
                <w:szCs w:val="18"/>
              </w:rPr>
            </w:pPr>
            <w:r w:rsidRPr="00E643DB">
              <w:rPr>
                <w:rFonts w:cs="Times New Roman"/>
                <w:sz w:val="18"/>
                <w:szCs w:val="18"/>
              </w:rPr>
              <w:t>0%</w:t>
            </w:r>
          </w:p>
        </w:tc>
        <w:tc>
          <w:tcPr>
            <w:tcW w:w="949" w:type="dxa"/>
          </w:tcPr>
          <w:p w14:paraId="3F1C3AF5" w14:textId="77777777" w:rsidR="00F511F4" w:rsidRPr="00E643DB" w:rsidRDefault="00F511F4" w:rsidP="001F53D9">
            <w:pPr>
              <w:jc w:val="both"/>
              <w:rPr>
                <w:rFonts w:cs="Times New Roman"/>
                <w:sz w:val="18"/>
                <w:szCs w:val="18"/>
              </w:rPr>
            </w:pPr>
            <w:r w:rsidRPr="00E643DB">
              <w:rPr>
                <w:rFonts w:cs="Times New Roman"/>
                <w:sz w:val="18"/>
                <w:szCs w:val="18"/>
              </w:rPr>
              <w:t>0%</w:t>
            </w:r>
          </w:p>
        </w:tc>
        <w:tc>
          <w:tcPr>
            <w:tcW w:w="949" w:type="dxa"/>
          </w:tcPr>
          <w:p w14:paraId="390EA77D" w14:textId="77777777" w:rsidR="00F511F4" w:rsidRPr="00E643DB" w:rsidRDefault="00F511F4" w:rsidP="001F53D9">
            <w:pPr>
              <w:jc w:val="both"/>
              <w:rPr>
                <w:rFonts w:cs="Times New Roman"/>
                <w:sz w:val="18"/>
                <w:szCs w:val="18"/>
              </w:rPr>
            </w:pPr>
            <w:r w:rsidRPr="00E643DB">
              <w:rPr>
                <w:rFonts w:cs="Times New Roman"/>
                <w:sz w:val="18"/>
                <w:szCs w:val="18"/>
              </w:rPr>
              <w:t>0%</w:t>
            </w:r>
          </w:p>
        </w:tc>
        <w:tc>
          <w:tcPr>
            <w:tcW w:w="949" w:type="dxa"/>
          </w:tcPr>
          <w:p w14:paraId="023C4220" w14:textId="77777777" w:rsidR="00F511F4" w:rsidRPr="00E643DB" w:rsidRDefault="00F511F4" w:rsidP="001F53D9">
            <w:pPr>
              <w:jc w:val="both"/>
              <w:rPr>
                <w:rFonts w:cs="Times New Roman"/>
                <w:sz w:val="18"/>
                <w:szCs w:val="18"/>
              </w:rPr>
            </w:pPr>
            <w:r w:rsidRPr="00E643DB">
              <w:rPr>
                <w:rFonts w:cs="Times New Roman"/>
                <w:sz w:val="18"/>
                <w:szCs w:val="18"/>
              </w:rPr>
              <w:t>0%</w:t>
            </w:r>
          </w:p>
        </w:tc>
      </w:tr>
      <w:tr w:rsidR="00F511F4" w:rsidRPr="00E643DB" w14:paraId="51E7897F" w14:textId="77777777" w:rsidTr="001F53D9">
        <w:tc>
          <w:tcPr>
            <w:tcW w:w="1384" w:type="dxa"/>
          </w:tcPr>
          <w:p w14:paraId="07329666" w14:textId="77777777" w:rsidR="00F511F4" w:rsidRPr="00E643DB" w:rsidRDefault="00F511F4" w:rsidP="001F53D9">
            <w:pPr>
              <w:jc w:val="both"/>
              <w:rPr>
                <w:rFonts w:cs="Times New Roman"/>
                <w:sz w:val="18"/>
                <w:szCs w:val="18"/>
              </w:rPr>
            </w:pPr>
            <w:r w:rsidRPr="00E643DB">
              <w:rPr>
                <w:rFonts w:cs="Times New Roman"/>
                <w:sz w:val="18"/>
                <w:szCs w:val="18"/>
              </w:rPr>
              <w:t>Other disorders of the urinary system</w:t>
            </w:r>
          </w:p>
        </w:tc>
        <w:tc>
          <w:tcPr>
            <w:tcW w:w="750" w:type="dxa"/>
          </w:tcPr>
          <w:p w14:paraId="3AC068EC" w14:textId="77777777" w:rsidR="00F511F4" w:rsidRPr="00E643DB" w:rsidRDefault="00F511F4" w:rsidP="001F53D9">
            <w:pPr>
              <w:jc w:val="both"/>
              <w:rPr>
                <w:rFonts w:cs="Times New Roman"/>
                <w:sz w:val="18"/>
                <w:szCs w:val="18"/>
              </w:rPr>
            </w:pPr>
            <w:r w:rsidRPr="00E643DB">
              <w:rPr>
                <w:rFonts w:cs="Times New Roman"/>
                <w:sz w:val="18"/>
                <w:szCs w:val="18"/>
              </w:rPr>
              <w:t>3.2</w:t>
            </w:r>
          </w:p>
        </w:tc>
        <w:tc>
          <w:tcPr>
            <w:tcW w:w="1012" w:type="dxa"/>
          </w:tcPr>
          <w:p w14:paraId="02860379" w14:textId="77777777" w:rsidR="00F511F4" w:rsidRPr="00E643DB" w:rsidRDefault="00F511F4" w:rsidP="001F53D9">
            <w:pPr>
              <w:jc w:val="both"/>
              <w:rPr>
                <w:rFonts w:cs="Times New Roman"/>
                <w:sz w:val="18"/>
                <w:szCs w:val="18"/>
              </w:rPr>
            </w:pPr>
            <w:r w:rsidRPr="00E643DB">
              <w:rPr>
                <w:rFonts w:cs="Times New Roman"/>
                <w:sz w:val="18"/>
                <w:szCs w:val="18"/>
              </w:rPr>
              <w:t>0.20%</w:t>
            </w:r>
          </w:p>
        </w:tc>
        <w:tc>
          <w:tcPr>
            <w:tcW w:w="950" w:type="dxa"/>
          </w:tcPr>
          <w:p w14:paraId="6A3FF559" w14:textId="77777777" w:rsidR="00F511F4" w:rsidRPr="00E643DB" w:rsidRDefault="00F511F4" w:rsidP="001F53D9">
            <w:pPr>
              <w:jc w:val="both"/>
              <w:rPr>
                <w:rFonts w:cs="Times New Roman"/>
                <w:sz w:val="18"/>
                <w:szCs w:val="18"/>
              </w:rPr>
            </w:pPr>
            <w:r w:rsidRPr="00E643DB">
              <w:rPr>
                <w:rFonts w:cs="Times New Roman"/>
                <w:sz w:val="18"/>
                <w:szCs w:val="18"/>
              </w:rPr>
              <w:t>0.14%</w:t>
            </w:r>
          </w:p>
        </w:tc>
        <w:tc>
          <w:tcPr>
            <w:tcW w:w="949" w:type="dxa"/>
          </w:tcPr>
          <w:p w14:paraId="32B4409C" w14:textId="77777777" w:rsidR="00F511F4" w:rsidRPr="00E643DB" w:rsidRDefault="00F511F4" w:rsidP="001F53D9">
            <w:pPr>
              <w:jc w:val="both"/>
              <w:rPr>
                <w:rFonts w:cs="Times New Roman"/>
                <w:sz w:val="18"/>
                <w:szCs w:val="18"/>
              </w:rPr>
            </w:pPr>
            <w:r w:rsidRPr="00E643DB">
              <w:rPr>
                <w:rFonts w:cs="Times New Roman"/>
                <w:sz w:val="18"/>
                <w:szCs w:val="18"/>
              </w:rPr>
              <w:t>0.14%</w:t>
            </w:r>
          </w:p>
        </w:tc>
        <w:tc>
          <w:tcPr>
            <w:tcW w:w="949" w:type="dxa"/>
          </w:tcPr>
          <w:p w14:paraId="481F7305" w14:textId="77777777" w:rsidR="00F511F4" w:rsidRPr="00E643DB" w:rsidRDefault="00F511F4" w:rsidP="001F53D9">
            <w:pPr>
              <w:jc w:val="both"/>
              <w:rPr>
                <w:rFonts w:cs="Times New Roman"/>
                <w:sz w:val="18"/>
                <w:szCs w:val="18"/>
              </w:rPr>
            </w:pPr>
            <w:r w:rsidRPr="00E643DB">
              <w:rPr>
                <w:rFonts w:cs="Times New Roman"/>
                <w:sz w:val="18"/>
                <w:szCs w:val="18"/>
              </w:rPr>
              <w:t>0.13%</w:t>
            </w:r>
          </w:p>
        </w:tc>
        <w:tc>
          <w:tcPr>
            <w:tcW w:w="949" w:type="dxa"/>
          </w:tcPr>
          <w:p w14:paraId="798C5231" w14:textId="77777777" w:rsidR="00F511F4" w:rsidRPr="00E643DB" w:rsidRDefault="00F511F4" w:rsidP="001F53D9">
            <w:pPr>
              <w:jc w:val="both"/>
              <w:rPr>
                <w:rFonts w:cs="Times New Roman"/>
                <w:sz w:val="18"/>
                <w:szCs w:val="18"/>
              </w:rPr>
            </w:pPr>
            <w:r w:rsidRPr="00E643DB">
              <w:rPr>
                <w:rFonts w:cs="Times New Roman"/>
                <w:sz w:val="18"/>
                <w:szCs w:val="18"/>
              </w:rPr>
              <w:t>0.18%</w:t>
            </w:r>
          </w:p>
        </w:tc>
        <w:tc>
          <w:tcPr>
            <w:tcW w:w="949" w:type="dxa"/>
          </w:tcPr>
          <w:p w14:paraId="173A17AA" w14:textId="77777777" w:rsidR="00F511F4" w:rsidRPr="00E643DB" w:rsidRDefault="00F511F4" w:rsidP="001F53D9">
            <w:pPr>
              <w:jc w:val="both"/>
              <w:rPr>
                <w:rFonts w:cs="Times New Roman"/>
                <w:sz w:val="18"/>
                <w:szCs w:val="18"/>
              </w:rPr>
            </w:pPr>
            <w:r w:rsidRPr="00E643DB">
              <w:rPr>
                <w:rFonts w:cs="Times New Roman"/>
                <w:sz w:val="18"/>
                <w:szCs w:val="18"/>
              </w:rPr>
              <w:t>0.19%</w:t>
            </w:r>
          </w:p>
        </w:tc>
        <w:tc>
          <w:tcPr>
            <w:tcW w:w="949" w:type="dxa"/>
          </w:tcPr>
          <w:p w14:paraId="2AAAA3F5" w14:textId="77777777" w:rsidR="00F511F4" w:rsidRPr="00E643DB" w:rsidRDefault="00F511F4" w:rsidP="001F53D9">
            <w:pPr>
              <w:jc w:val="both"/>
              <w:rPr>
                <w:rFonts w:cs="Times New Roman"/>
                <w:sz w:val="18"/>
                <w:szCs w:val="18"/>
              </w:rPr>
            </w:pPr>
            <w:r w:rsidRPr="00E643DB">
              <w:rPr>
                <w:rFonts w:cs="Times New Roman"/>
                <w:sz w:val="18"/>
                <w:szCs w:val="18"/>
              </w:rPr>
              <w:t>0.20%</w:t>
            </w:r>
          </w:p>
        </w:tc>
        <w:tc>
          <w:tcPr>
            <w:tcW w:w="949" w:type="dxa"/>
          </w:tcPr>
          <w:p w14:paraId="6F60C79E" w14:textId="77777777" w:rsidR="00F511F4" w:rsidRPr="00E643DB" w:rsidRDefault="00F511F4" w:rsidP="001F53D9">
            <w:pPr>
              <w:jc w:val="both"/>
              <w:rPr>
                <w:rFonts w:cs="Times New Roman"/>
                <w:sz w:val="18"/>
                <w:szCs w:val="18"/>
              </w:rPr>
            </w:pPr>
            <w:r w:rsidRPr="00E643DB">
              <w:rPr>
                <w:rFonts w:cs="Times New Roman"/>
                <w:sz w:val="18"/>
                <w:szCs w:val="18"/>
              </w:rPr>
              <w:t>0.21%</w:t>
            </w:r>
          </w:p>
        </w:tc>
        <w:tc>
          <w:tcPr>
            <w:tcW w:w="949" w:type="dxa"/>
          </w:tcPr>
          <w:p w14:paraId="6ED6DB87" w14:textId="77777777" w:rsidR="00F511F4" w:rsidRPr="00E643DB" w:rsidRDefault="00F511F4" w:rsidP="001F53D9">
            <w:pPr>
              <w:jc w:val="both"/>
              <w:rPr>
                <w:rFonts w:cs="Times New Roman"/>
                <w:sz w:val="18"/>
                <w:szCs w:val="18"/>
              </w:rPr>
            </w:pPr>
            <w:r w:rsidRPr="00E643DB">
              <w:rPr>
                <w:rFonts w:cs="Times New Roman"/>
                <w:sz w:val="18"/>
                <w:szCs w:val="18"/>
              </w:rPr>
              <w:t>0.23%</w:t>
            </w:r>
          </w:p>
        </w:tc>
        <w:tc>
          <w:tcPr>
            <w:tcW w:w="949" w:type="dxa"/>
          </w:tcPr>
          <w:p w14:paraId="43B0AFDF" w14:textId="77777777" w:rsidR="00F511F4" w:rsidRPr="00E643DB" w:rsidRDefault="00F511F4" w:rsidP="001F53D9">
            <w:pPr>
              <w:jc w:val="both"/>
              <w:rPr>
                <w:rFonts w:cs="Times New Roman"/>
                <w:sz w:val="18"/>
                <w:szCs w:val="18"/>
              </w:rPr>
            </w:pPr>
            <w:r w:rsidRPr="00E643DB">
              <w:rPr>
                <w:rFonts w:cs="Times New Roman"/>
                <w:sz w:val="18"/>
                <w:szCs w:val="18"/>
              </w:rPr>
              <w:t>0.23%</w:t>
            </w:r>
          </w:p>
        </w:tc>
        <w:tc>
          <w:tcPr>
            <w:tcW w:w="949" w:type="dxa"/>
          </w:tcPr>
          <w:p w14:paraId="6C57D227" w14:textId="77777777" w:rsidR="00F511F4" w:rsidRPr="00E643DB" w:rsidRDefault="00F511F4" w:rsidP="001F53D9">
            <w:pPr>
              <w:jc w:val="both"/>
              <w:rPr>
                <w:rFonts w:cs="Times New Roman"/>
                <w:sz w:val="18"/>
                <w:szCs w:val="18"/>
              </w:rPr>
            </w:pPr>
            <w:r w:rsidRPr="00E643DB">
              <w:rPr>
                <w:rFonts w:cs="Times New Roman"/>
                <w:sz w:val="18"/>
                <w:szCs w:val="18"/>
              </w:rPr>
              <w:t>0.24%</w:t>
            </w:r>
          </w:p>
        </w:tc>
        <w:tc>
          <w:tcPr>
            <w:tcW w:w="949" w:type="dxa"/>
          </w:tcPr>
          <w:p w14:paraId="002621B3" w14:textId="77777777" w:rsidR="00F511F4" w:rsidRPr="00E643DB" w:rsidRDefault="00F511F4" w:rsidP="001F53D9">
            <w:pPr>
              <w:jc w:val="both"/>
              <w:rPr>
                <w:rFonts w:cs="Times New Roman"/>
                <w:sz w:val="18"/>
                <w:szCs w:val="18"/>
              </w:rPr>
            </w:pPr>
            <w:r w:rsidRPr="00E643DB">
              <w:rPr>
                <w:rFonts w:cs="Times New Roman"/>
                <w:sz w:val="18"/>
                <w:szCs w:val="18"/>
              </w:rPr>
              <w:t>0.29%</w:t>
            </w:r>
          </w:p>
        </w:tc>
      </w:tr>
      <w:tr w:rsidR="00F511F4" w:rsidRPr="00E643DB" w14:paraId="2A83037A" w14:textId="77777777" w:rsidTr="001F53D9">
        <w:tc>
          <w:tcPr>
            <w:tcW w:w="1384" w:type="dxa"/>
          </w:tcPr>
          <w:p w14:paraId="3A92B331" w14:textId="77777777" w:rsidR="00F511F4" w:rsidRPr="00E643DB" w:rsidRDefault="00F511F4" w:rsidP="001F53D9">
            <w:pPr>
              <w:jc w:val="both"/>
              <w:rPr>
                <w:rFonts w:cs="Times New Roman"/>
                <w:sz w:val="18"/>
                <w:szCs w:val="18"/>
              </w:rPr>
            </w:pPr>
            <w:r w:rsidRPr="00E643DB">
              <w:rPr>
                <w:rFonts w:cs="Times New Roman"/>
                <w:sz w:val="18"/>
                <w:szCs w:val="18"/>
              </w:rPr>
              <w:t>Delirium, not induced by alcohol and other psychoactive substances</w:t>
            </w:r>
          </w:p>
        </w:tc>
        <w:tc>
          <w:tcPr>
            <w:tcW w:w="750" w:type="dxa"/>
          </w:tcPr>
          <w:p w14:paraId="28F12FCD" w14:textId="77777777" w:rsidR="00F511F4" w:rsidRPr="00E643DB" w:rsidRDefault="00F511F4" w:rsidP="001F53D9">
            <w:pPr>
              <w:jc w:val="both"/>
              <w:rPr>
                <w:rFonts w:cs="Times New Roman"/>
                <w:sz w:val="18"/>
                <w:szCs w:val="18"/>
              </w:rPr>
            </w:pPr>
            <w:r w:rsidRPr="00E643DB">
              <w:rPr>
                <w:rFonts w:cs="Times New Roman"/>
                <w:sz w:val="18"/>
                <w:szCs w:val="18"/>
              </w:rPr>
              <w:t>3.2</w:t>
            </w:r>
          </w:p>
        </w:tc>
        <w:tc>
          <w:tcPr>
            <w:tcW w:w="1012" w:type="dxa"/>
          </w:tcPr>
          <w:p w14:paraId="47C38C83" w14:textId="77777777" w:rsidR="00F511F4" w:rsidRPr="00E643DB" w:rsidRDefault="00F511F4" w:rsidP="001F53D9">
            <w:pPr>
              <w:jc w:val="both"/>
              <w:rPr>
                <w:rFonts w:cs="Times New Roman"/>
                <w:sz w:val="18"/>
                <w:szCs w:val="18"/>
              </w:rPr>
            </w:pPr>
            <w:r w:rsidRPr="00E643DB">
              <w:rPr>
                <w:rFonts w:cs="Times New Roman"/>
                <w:sz w:val="18"/>
                <w:szCs w:val="18"/>
              </w:rPr>
              <w:t>0.48%</w:t>
            </w:r>
          </w:p>
        </w:tc>
        <w:tc>
          <w:tcPr>
            <w:tcW w:w="950" w:type="dxa"/>
          </w:tcPr>
          <w:p w14:paraId="33F24A8B" w14:textId="77777777" w:rsidR="00F511F4" w:rsidRPr="00E643DB" w:rsidRDefault="00F511F4" w:rsidP="001F53D9">
            <w:pPr>
              <w:jc w:val="both"/>
              <w:rPr>
                <w:rFonts w:cs="Times New Roman"/>
                <w:sz w:val="18"/>
                <w:szCs w:val="18"/>
              </w:rPr>
            </w:pPr>
            <w:r w:rsidRPr="00E643DB">
              <w:rPr>
                <w:rFonts w:cs="Times New Roman"/>
                <w:sz w:val="18"/>
                <w:szCs w:val="18"/>
              </w:rPr>
              <w:t>0.32%</w:t>
            </w:r>
          </w:p>
        </w:tc>
        <w:tc>
          <w:tcPr>
            <w:tcW w:w="949" w:type="dxa"/>
          </w:tcPr>
          <w:p w14:paraId="71227EE0" w14:textId="77777777" w:rsidR="00F511F4" w:rsidRPr="00E643DB" w:rsidRDefault="00F511F4" w:rsidP="001F53D9">
            <w:pPr>
              <w:jc w:val="both"/>
              <w:rPr>
                <w:rFonts w:cs="Times New Roman"/>
                <w:sz w:val="18"/>
                <w:szCs w:val="18"/>
              </w:rPr>
            </w:pPr>
            <w:r w:rsidRPr="00E643DB">
              <w:rPr>
                <w:rFonts w:cs="Times New Roman"/>
                <w:sz w:val="18"/>
                <w:szCs w:val="18"/>
              </w:rPr>
              <w:t>0.32%</w:t>
            </w:r>
          </w:p>
        </w:tc>
        <w:tc>
          <w:tcPr>
            <w:tcW w:w="949" w:type="dxa"/>
          </w:tcPr>
          <w:p w14:paraId="536A430C" w14:textId="77777777" w:rsidR="00F511F4" w:rsidRPr="00E643DB" w:rsidRDefault="00F511F4" w:rsidP="001F53D9">
            <w:pPr>
              <w:jc w:val="both"/>
              <w:rPr>
                <w:rFonts w:cs="Times New Roman"/>
                <w:sz w:val="18"/>
                <w:szCs w:val="18"/>
              </w:rPr>
            </w:pPr>
            <w:r w:rsidRPr="00E643DB">
              <w:rPr>
                <w:rFonts w:cs="Times New Roman"/>
                <w:sz w:val="18"/>
                <w:szCs w:val="18"/>
              </w:rPr>
              <w:t>0.29%</w:t>
            </w:r>
          </w:p>
        </w:tc>
        <w:tc>
          <w:tcPr>
            <w:tcW w:w="949" w:type="dxa"/>
          </w:tcPr>
          <w:p w14:paraId="2E9AFDF3" w14:textId="77777777" w:rsidR="00F511F4" w:rsidRPr="00E643DB" w:rsidRDefault="00F511F4" w:rsidP="001F53D9">
            <w:pPr>
              <w:jc w:val="both"/>
              <w:rPr>
                <w:rFonts w:cs="Times New Roman"/>
                <w:sz w:val="18"/>
                <w:szCs w:val="18"/>
              </w:rPr>
            </w:pPr>
            <w:r w:rsidRPr="00E643DB">
              <w:rPr>
                <w:rFonts w:cs="Times New Roman"/>
                <w:sz w:val="18"/>
                <w:szCs w:val="18"/>
              </w:rPr>
              <w:t>0.33%</w:t>
            </w:r>
          </w:p>
        </w:tc>
        <w:tc>
          <w:tcPr>
            <w:tcW w:w="949" w:type="dxa"/>
          </w:tcPr>
          <w:p w14:paraId="0B0D1DE9" w14:textId="77777777" w:rsidR="00F511F4" w:rsidRPr="00E643DB" w:rsidRDefault="00F511F4" w:rsidP="001F53D9">
            <w:pPr>
              <w:jc w:val="both"/>
              <w:rPr>
                <w:rFonts w:cs="Times New Roman"/>
                <w:sz w:val="18"/>
                <w:szCs w:val="18"/>
              </w:rPr>
            </w:pPr>
            <w:r w:rsidRPr="00E643DB">
              <w:rPr>
                <w:rFonts w:cs="Times New Roman"/>
                <w:sz w:val="18"/>
                <w:szCs w:val="18"/>
              </w:rPr>
              <w:t>0.56%</w:t>
            </w:r>
          </w:p>
        </w:tc>
        <w:tc>
          <w:tcPr>
            <w:tcW w:w="949" w:type="dxa"/>
          </w:tcPr>
          <w:p w14:paraId="114123D4" w14:textId="77777777" w:rsidR="00F511F4" w:rsidRPr="00E643DB" w:rsidRDefault="00F511F4" w:rsidP="001F53D9">
            <w:pPr>
              <w:jc w:val="both"/>
              <w:rPr>
                <w:rFonts w:cs="Times New Roman"/>
                <w:sz w:val="18"/>
                <w:szCs w:val="18"/>
              </w:rPr>
            </w:pPr>
            <w:r w:rsidRPr="00E643DB">
              <w:rPr>
                <w:rFonts w:cs="Times New Roman"/>
                <w:sz w:val="18"/>
                <w:szCs w:val="18"/>
              </w:rPr>
              <w:t>0.56%</w:t>
            </w:r>
          </w:p>
        </w:tc>
        <w:tc>
          <w:tcPr>
            <w:tcW w:w="949" w:type="dxa"/>
          </w:tcPr>
          <w:p w14:paraId="0B0827A1" w14:textId="77777777" w:rsidR="00F511F4" w:rsidRPr="00E643DB" w:rsidRDefault="00F511F4" w:rsidP="001F53D9">
            <w:pPr>
              <w:jc w:val="both"/>
              <w:rPr>
                <w:rFonts w:cs="Times New Roman"/>
                <w:sz w:val="18"/>
                <w:szCs w:val="18"/>
              </w:rPr>
            </w:pPr>
            <w:r w:rsidRPr="00E643DB">
              <w:rPr>
                <w:rFonts w:cs="Times New Roman"/>
                <w:sz w:val="18"/>
                <w:szCs w:val="18"/>
              </w:rPr>
              <w:t>0.59%</w:t>
            </w:r>
          </w:p>
        </w:tc>
        <w:tc>
          <w:tcPr>
            <w:tcW w:w="949" w:type="dxa"/>
          </w:tcPr>
          <w:p w14:paraId="52E4F406" w14:textId="77777777" w:rsidR="00F511F4" w:rsidRPr="00E643DB" w:rsidRDefault="00F511F4" w:rsidP="001F53D9">
            <w:pPr>
              <w:jc w:val="both"/>
              <w:rPr>
                <w:rFonts w:cs="Times New Roman"/>
                <w:sz w:val="18"/>
                <w:szCs w:val="18"/>
              </w:rPr>
            </w:pPr>
            <w:r w:rsidRPr="00E643DB">
              <w:rPr>
                <w:rFonts w:cs="Times New Roman"/>
                <w:sz w:val="18"/>
                <w:szCs w:val="18"/>
              </w:rPr>
              <w:t>0.60%</w:t>
            </w:r>
          </w:p>
        </w:tc>
        <w:tc>
          <w:tcPr>
            <w:tcW w:w="949" w:type="dxa"/>
          </w:tcPr>
          <w:p w14:paraId="34726E49" w14:textId="77777777" w:rsidR="00F511F4" w:rsidRPr="00E643DB" w:rsidRDefault="00F511F4" w:rsidP="001F53D9">
            <w:pPr>
              <w:jc w:val="both"/>
              <w:rPr>
                <w:rFonts w:cs="Times New Roman"/>
                <w:sz w:val="18"/>
                <w:szCs w:val="18"/>
              </w:rPr>
            </w:pPr>
            <w:r w:rsidRPr="00E643DB">
              <w:rPr>
                <w:rFonts w:cs="Times New Roman"/>
                <w:sz w:val="18"/>
                <w:szCs w:val="18"/>
              </w:rPr>
              <w:t>0.57%</w:t>
            </w:r>
          </w:p>
        </w:tc>
        <w:tc>
          <w:tcPr>
            <w:tcW w:w="949" w:type="dxa"/>
          </w:tcPr>
          <w:p w14:paraId="24FDB3C6" w14:textId="77777777" w:rsidR="00F511F4" w:rsidRPr="00E643DB" w:rsidRDefault="00F511F4" w:rsidP="001F53D9">
            <w:pPr>
              <w:jc w:val="both"/>
              <w:rPr>
                <w:rFonts w:cs="Times New Roman"/>
                <w:sz w:val="18"/>
                <w:szCs w:val="18"/>
              </w:rPr>
            </w:pPr>
            <w:r w:rsidRPr="00E643DB">
              <w:rPr>
                <w:rFonts w:cs="Times New Roman"/>
                <w:sz w:val="18"/>
                <w:szCs w:val="18"/>
              </w:rPr>
              <w:t>0.63%</w:t>
            </w:r>
          </w:p>
        </w:tc>
        <w:tc>
          <w:tcPr>
            <w:tcW w:w="949" w:type="dxa"/>
          </w:tcPr>
          <w:p w14:paraId="33E670D2" w14:textId="77777777" w:rsidR="00F511F4" w:rsidRPr="00E643DB" w:rsidRDefault="00F511F4" w:rsidP="001F53D9">
            <w:pPr>
              <w:jc w:val="both"/>
              <w:rPr>
                <w:rFonts w:cs="Times New Roman"/>
                <w:sz w:val="18"/>
                <w:szCs w:val="18"/>
              </w:rPr>
            </w:pPr>
            <w:r w:rsidRPr="00E643DB">
              <w:rPr>
                <w:rFonts w:cs="Times New Roman"/>
                <w:sz w:val="18"/>
                <w:szCs w:val="18"/>
              </w:rPr>
              <w:t>0.57%</w:t>
            </w:r>
          </w:p>
        </w:tc>
      </w:tr>
      <w:tr w:rsidR="00F511F4" w:rsidRPr="00E643DB" w14:paraId="0C555AA7" w14:textId="77777777" w:rsidTr="001F53D9">
        <w:tc>
          <w:tcPr>
            <w:tcW w:w="1384" w:type="dxa"/>
          </w:tcPr>
          <w:p w14:paraId="7F293B54" w14:textId="77777777" w:rsidR="00F511F4" w:rsidRPr="00E643DB" w:rsidRDefault="00F511F4" w:rsidP="001F53D9">
            <w:pPr>
              <w:jc w:val="both"/>
              <w:rPr>
                <w:rFonts w:cs="Times New Roman"/>
                <w:sz w:val="18"/>
                <w:szCs w:val="18"/>
              </w:rPr>
            </w:pPr>
            <w:r w:rsidRPr="00E643DB">
              <w:rPr>
                <w:rFonts w:cs="Times New Roman"/>
                <w:sz w:val="18"/>
                <w:szCs w:val="18"/>
              </w:rPr>
              <w:t>Unspecified fall</w:t>
            </w:r>
          </w:p>
        </w:tc>
        <w:tc>
          <w:tcPr>
            <w:tcW w:w="750" w:type="dxa"/>
          </w:tcPr>
          <w:p w14:paraId="6BD607D0" w14:textId="77777777" w:rsidR="00F511F4" w:rsidRPr="00E643DB" w:rsidRDefault="00F511F4" w:rsidP="001F53D9">
            <w:pPr>
              <w:jc w:val="both"/>
              <w:rPr>
                <w:rFonts w:cs="Times New Roman"/>
                <w:sz w:val="18"/>
                <w:szCs w:val="18"/>
              </w:rPr>
            </w:pPr>
            <w:r w:rsidRPr="00E643DB">
              <w:rPr>
                <w:rFonts w:cs="Times New Roman"/>
                <w:sz w:val="18"/>
                <w:szCs w:val="18"/>
              </w:rPr>
              <w:t>3.2</w:t>
            </w:r>
          </w:p>
        </w:tc>
        <w:tc>
          <w:tcPr>
            <w:tcW w:w="1012" w:type="dxa"/>
          </w:tcPr>
          <w:p w14:paraId="0CF6B1F9" w14:textId="77777777" w:rsidR="00F511F4" w:rsidRPr="00E643DB" w:rsidRDefault="00F511F4" w:rsidP="001F53D9">
            <w:pPr>
              <w:jc w:val="both"/>
              <w:rPr>
                <w:rFonts w:cs="Times New Roman"/>
                <w:sz w:val="18"/>
                <w:szCs w:val="18"/>
              </w:rPr>
            </w:pPr>
            <w:r w:rsidRPr="00E643DB">
              <w:rPr>
                <w:rFonts w:cs="Times New Roman"/>
                <w:sz w:val="18"/>
                <w:szCs w:val="18"/>
              </w:rPr>
              <w:t>0%</w:t>
            </w:r>
          </w:p>
        </w:tc>
        <w:tc>
          <w:tcPr>
            <w:tcW w:w="950" w:type="dxa"/>
          </w:tcPr>
          <w:p w14:paraId="6F165739" w14:textId="77777777" w:rsidR="00F511F4" w:rsidRPr="00E643DB" w:rsidRDefault="00F511F4" w:rsidP="001F53D9">
            <w:pPr>
              <w:jc w:val="both"/>
              <w:rPr>
                <w:rFonts w:cs="Times New Roman"/>
                <w:sz w:val="18"/>
                <w:szCs w:val="18"/>
              </w:rPr>
            </w:pPr>
            <w:r w:rsidRPr="00E643DB">
              <w:rPr>
                <w:rFonts w:cs="Times New Roman"/>
                <w:sz w:val="18"/>
                <w:szCs w:val="18"/>
              </w:rPr>
              <w:t>0%</w:t>
            </w:r>
          </w:p>
        </w:tc>
        <w:tc>
          <w:tcPr>
            <w:tcW w:w="949" w:type="dxa"/>
          </w:tcPr>
          <w:p w14:paraId="471D27A2" w14:textId="77777777" w:rsidR="00F511F4" w:rsidRPr="00E643DB" w:rsidRDefault="00F511F4" w:rsidP="001F53D9">
            <w:pPr>
              <w:jc w:val="both"/>
              <w:rPr>
                <w:rFonts w:cs="Times New Roman"/>
                <w:sz w:val="18"/>
                <w:szCs w:val="18"/>
              </w:rPr>
            </w:pPr>
            <w:r w:rsidRPr="00E643DB">
              <w:rPr>
                <w:rFonts w:cs="Times New Roman"/>
                <w:sz w:val="18"/>
                <w:szCs w:val="18"/>
              </w:rPr>
              <w:t>0%</w:t>
            </w:r>
          </w:p>
        </w:tc>
        <w:tc>
          <w:tcPr>
            <w:tcW w:w="949" w:type="dxa"/>
          </w:tcPr>
          <w:p w14:paraId="44864A7E" w14:textId="77777777" w:rsidR="00F511F4" w:rsidRPr="00E643DB" w:rsidRDefault="00F511F4" w:rsidP="001F53D9">
            <w:pPr>
              <w:jc w:val="both"/>
              <w:rPr>
                <w:rFonts w:cs="Times New Roman"/>
                <w:sz w:val="18"/>
                <w:szCs w:val="18"/>
              </w:rPr>
            </w:pPr>
            <w:r w:rsidRPr="00E643DB">
              <w:rPr>
                <w:rFonts w:cs="Times New Roman"/>
                <w:sz w:val="18"/>
                <w:szCs w:val="18"/>
              </w:rPr>
              <w:t>0%</w:t>
            </w:r>
          </w:p>
        </w:tc>
        <w:tc>
          <w:tcPr>
            <w:tcW w:w="949" w:type="dxa"/>
          </w:tcPr>
          <w:p w14:paraId="6EE4990A" w14:textId="77777777" w:rsidR="00F511F4" w:rsidRPr="00E643DB" w:rsidRDefault="00F511F4" w:rsidP="001F53D9">
            <w:pPr>
              <w:jc w:val="both"/>
              <w:rPr>
                <w:rFonts w:cs="Times New Roman"/>
                <w:sz w:val="18"/>
                <w:szCs w:val="18"/>
              </w:rPr>
            </w:pPr>
            <w:r w:rsidRPr="00E643DB">
              <w:rPr>
                <w:rFonts w:cs="Times New Roman"/>
                <w:sz w:val="18"/>
                <w:szCs w:val="18"/>
              </w:rPr>
              <w:t>0%</w:t>
            </w:r>
          </w:p>
        </w:tc>
        <w:tc>
          <w:tcPr>
            <w:tcW w:w="949" w:type="dxa"/>
          </w:tcPr>
          <w:p w14:paraId="52D00998" w14:textId="77777777" w:rsidR="00F511F4" w:rsidRPr="00E643DB" w:rsidRDefault="00F511F4" w:rsidP="001F53D9">
            <w:pPr>
              <w:jc w:val="both"/>
              <w:rPr>
                <w:rFonts w:cs="Times New Roman"/>
                <w:sz w:val="18"/>
                <w:szCs w:val="18"/>
              </w:rPr>
            </w:pPr>
            <w:r w:rsidRPr="00E643DB">
              <w:rPr>
                <w:rFonts w:cs="Times New Roman"/>
                <w:sz w:val="18"/>
                <w:szCs w:val="18"/>
              </w:rPr>
              <w:t>0%</w:t>
            </w:r>
          </w:p>
        </w:tc>
        <w:tc>
          <w:tcPr>
            <w:tcW w:w="949" w:type="dxa"/>
          </w:tcPr>
          <w:p w14:paraId="120CFAE4" w14:textId="77777777" w:rsidR="00F511F4" w:rsidRPr="00E643DB" w:rsidRDefault="00F511F4" w:rsidP="001F53D9">
            <w:pPr>
              <w:jc w:val="both"/>
              <w:rPr>
                <w:rFonts w:cs="Times New Roman"/>
                <w:sz w:val="18"/>
                <w:szCs w:val="18"/>
              </w:rPr>
            </w:pPr>
            <w:r w:rsidRPr="00E643DB">
              <w:rPr>
                <w:rFonts w:cs="Times New Roman"/>
                <w:sz w:val="18"/>
                <w:szCs w:val="18"/>
              </w:rPr>
              <w:t>0%</w:t>
            </w:r>
          </w:p>
        </w:tc>
        <w:tc>
          <w:tcPr>
            <w:tcW w:w="949" w:type="dxa"/>
          </w:tcPr>
          <w:p w14:paraId="1701BB2C" w14:textId="77777777" w:rsidR="00F511F4" w:rsidRPr="00E643DB" w:rsidRDefault="00F511F4" w:rsidP="001F53D9">
            <w:pPr>
              <w:jc w:val="both"/>
              <w:rPr>
                <w:rFonts w:cs="Times New Roman"/>
                <w:sz w:val="18"/>
                <w:szCs w:val="18"/>
              </w:rPr>
            </w:pPr>
            <w:r w:rsidRPr="00E643DB">
              <w:rPr>
                <w:rFonts w:cs="Times New Roman"/>
                <w:sz w:val="18"/>
                <w:szCs w:val="18"/>
              </w:rPr>
              <w:t>0%</w:t>
            </w:r>
          </w:p>
        </w:tc>
        <w:tc>
          <w:tcPr>
            <w:tcW w:w="949" w:type="dxa"/>
          </w:tcPr>
          <w:p w14:paraId="38763F42" w14:textId="77777777" w:rsidR="00F511F4" w:rsidRPr="00E643DB" w:rsidRDefault="00F511F4" w:rsidP="001F53D9">
            <w:pPr>
              <w:jc w:val="both"/>
              <w:rPr>
                <w:rFonts w:cs="Times New Roman"/>
                <w:sz w:val="18"/>
                <w:szCs w:val="18"/>
              </w:rPr>
            </w:pPr>
            <w:r w:rsidRPr="00E643DB">
              <w:rPr>
                <w:rFonts w:cs="Times New Roman"/>
                <w:sz w:val="18"/>
                <w:szCs w:val="18"/>
              </w:rPr>
              <w:t>0%</w:t>
            </w:r>
          </w:p>
        </w:tc>
        <w:tc>
          <w:tcPr>
            <w:tcW w:w="949" w:type="dxa"/>
          </w:tcPr>
          <w:p w14:paraId="2B658A44" w14:textId="77777777" w:rsidR="00F511F4" w:rsidRPr="00E643DB" w:rsidRDefault="00F511F4" w:rsidP="001F53D9">
            <w:pPr>
              <w:jc w:val="both"/>
              <w:rPr>
                <w:rFonts w:cs="Times New Roman"/>
                <w:sz w:val="18"/>
                <w:szCs w:val="18"/>
              </w:rPr>
            </w:pPr>
            <w:r w:rsidRPr="00E643DB">
              <w:rPr>
                <w:rFonts w:cs="Times New Roman"/>
                <w:sz w:val="18"/>
                <w:szCs w:val="18"/>
              </w:rPr>
              <w:t>0%</w:t>
            </w:r>
          </w:p>
        </w:tc>
        <w:tc>
          <w:tcPr>
            <w:tcW w:w="949" w:type="dxa"/>
          </w:tcPr>
          <w:p w14:paraId="71760A86" w14:textId="77777777" w:rsidR="00F511F4" w:rsidRPr="00E643DB" w:rsidRDefault="00F511F4" w:rsidP="001F53D9">
            <w:pPr>
              <w:jc w:val="both"/>
              <w:rPr>
                <w:rFonts w:cs="Times New Roman"/>
                <w:sz w:val="18"/>
                <w:szCs w:val="18"/>
              </w:rPr>
            </w:pPr>
            <w:r w:rsidRPr="00E643DB">
              <w:rPr>
                <w:rFonts w:cs="Times New Roman"/>
                <w:sz w:val="18"/>
                <w:szCs w:val="18"/>
              </w:rPr>
              <w:t>0%</w:t>
            </w:r>
          </w:p>
        </w:tc>
        <w:tc>
          <w:tcPr>
            <w:tcW w:w="949" w:type="dxa"/>
          </w:tcPr>
          <w:p w14:paraId="587E9CE1" w14:textId="77777777" w:rsidR="00F511F4" w:rsidRPr="00E643DB" w:rsidRDefault="00F511F4" w:rsidP="001F53D9">
            <w:pPr>
              <w:jc w:val="both"/>
              <w:rPr>
                <w:rFonts w:cs="Times New Roman"/>
                <w:sz w:val="18"/>
                <w:szCs w:val="18"/>
              </w:rPr>
            </w:pPr>
            <w:r w:rsidRPr="00E643DB">
              <w:rPr>
                <w:rFonts w:cs="Times New Roman"/>
                <w:sz w:val="18"/>
                <w:szCs w:val="18"/>
              </w:rPr>
              <w:t>0%</w:t>
            </w:r>
          </w:p>
        </w:tc>
      </w:tr>
      <w:tr w:rsidR="00F511F4" w:rsidRPr="00E643DB" w14:paraId="42B01257" w14:textId="77777777" w:rsidTr="001F53D9">
        <w:tc>
          <w:tcPr>
            <w:tcW w:w="1384" w:type="dxa"/>
          </w:tcPr>
          <w:p w14:paraId="41837642" w14:textId="77777777" w:rsidR="00F511F4" w:rsidRPr="00E643DB" w:rsidRDefault="00F511F4" w:rsidP="001F53D9">
            <w:pPr>
              <w:jc w:val="both"/>
              <w:rPr>
                <w:rFonts w:cs="Times New Roman"/>
                <w:sz w:val="18"/>
                <w:szCs w:val="18"/>
              </w:rPr>
            </w:pPr>
            <w:r w:rsidRPr="00E643DB">
              <w:rPr>
                <w:rFonts w:cs="Times New Roman"/>
                <w:sz w:val="18"/>
                <w:szCs w:val="18"/>
              </w:rPr>
              <w:t>Superficial injury of head</w:t>
            </w:r>
          </w:p>
        </w:tc>
        <w:tc>
          <w:tcPr>
            <w:tcW w:w="750" w:type="dxa"/>
          </w:tcPr>
          <w:p w14:paraId="6B5CA7A7" w14:textId="77777777" w:rsidR="00F511F4" w:rsidRPr="00E643DB" w:rsidRDefault="00F511F4" w:rsidP="001F53D9">
            <w:pPr>
              <w:jc w:val="both"/>
              <w:rPr>
                <w:rFonts w:cs="Times New Roman"/>
                <w:sz w:val="18"/>
                <w:szCs w:val="18"/>
              </w:rPr>
            </w:pPr>
            <w:r w:rsidRPr="00E643DB">
              <w:rPr>
                <w:rFonts w:cs="Times New Roman"/>
                <w:sz w:val="18"/>
                <w:szCs w:val="18"/>
              </w:rPr>
              <w:t>3.2</w:t>
            </w:r>
          </w:p>
        </w:tc>
        <w:tc>
          <w:tcPr>
            <w:tcW w:w="1012" w:type="dxa"/>
          </w:tcPr>
          <w:p w14:paraId="5C989E2A" w14:textId="77777777" w:rsidR="00F511F4" w:rsidRPr="00E643DB" w:rsidRDefault="00F511F4" w:rsidP="001F53D9">
            <w:pPr>
              <w:jc w:val="both"/>
              <w:rPr>
                <w:rFonts w:cs="Times New Roman"/>
                <w:sz w:val="18"/>
                <w:szCs w:val="18"/>
              </w:rPr>
            </w:pPr>
            <w:r w:rsidRPr="00E643DB">
              <w:rPr>
                <w:rFonts w:cs="Times New Roman"/>
                <w:sz w:val="18"/>
                <w:szCs w:val="18"/>
              </w:rPr>
              <w:t>0.03%</w:t>
            </w:r>
          </w:p>
        </w:tc>
        <w:tc>
          <w:tcPr>
            <w:tcW w:w="950" w:type="dxa"/>
          </w:tcPr>
          <w:p w14:paraId="65F88BB2" w14:textId="77777777" w:rsidR="00F511F4" w:rsidRPr="00E643DB" w:rsidRDefault="00F511F4" w:rsidP="001F53D9">
            <w:pPr>
              <w:jc w:val="both"/>
              <w:rPr>
                <w:rFonts w:cs="Times New Roman"/>
                <w:sz w:val="18"/>
                <w:szCs w:val="18"/>
              </w:rPr>
            </w:pPr>
            <w:r w:rsidRPr="00E643DB">
              <w:rPr>
                <w:rFonts w:cs="Times New Roman"/>
                <w:sz w:val="18"/>
                <w:szCs w:val="18"/>
              </w:rPr>
              <w:t>0.02%</w:t>
            </w:r>
          </w:p>
        </w:tc>
        <w:tc>
          <w:tcPr>
            <w:tcW w:w="949" w:type="dxa"/>
          </w:tcPr>
          <w:p w14:paraId="0B140EB9" w14:textId="77777777" w:rsidR="00F511F4" w:rsidRPr="00E643DB" w:rsidRDefault="00F511F4" w:rsidP="001F53D9">
            <w:pPr>
              <w:jc w:val="both"/>
              <w:rPr>
                <w:rFonts w:cs="Times New Roman"/>
                <w:sz w:val="18"/>
                <w:szCs w:val="18"/>
              </w:rPr>
            </w:pPr>
            <w:r w:rsidRPr="00E643DB">
              <w:rPr>
                <w:rFonts w:cs="Times New Roman"/>
                <w:sz w:val="18"/>
                <w:szCs w:val="18"/>
              </w:rPr>
              <w:t>0.02%</w:t>
            </w:r>
          </w:p>
        </w:tc>
        <w:tc>
          <w:tcPr>
            <w:tcW w:w="949" w:type="dxa"/>
          </w:tcPr>
          <w:p w14:paraId="1B8587A1" w14:textId="77777777" w:rsidR="00F511F4" w:rsidRPr="00E643DB" w:rsidRDefault="00F511F4" w:rsidP="001F53D9">
            <w:pPr>
              <w:jc w:val="both"/>
              <w:rPr>
                <w:rFonts w:cs="Times New Roman"/>
                <w:sz w:val="18"/>
                <w:szCs w:val="18"/>
              </w:rPr>
            </w:pPr>
            <w:r w:rsidRPr="00E643DB">
              <w:rPr>
                <w:rFonts w:cs="Times New Roman"/>
                <w:sz w:val="18"/>
                <w:szCs w:val="18"/>
              </w:rPr>
              <w:t>0.02%</w:t>
            </w:r>
          </w:p>
        </w:tc>
        <w:tc>
          <w:tcPr>
            <w:tcW w:w="949" w:type="dxa"/>
          </w:tcPr>
          <w:p w14:paraId="6CB0FCB5" w14:textId="77777777" w:rsidR="00F511F4" w:rsidRPr="00E643DB" w:rsidRDefault="00F511F4" w:rsidP="001F53D9">
            <w:pPr>
              <w:jc w:val="both"/>
              <w:rPr>
                <w:rFonts w:cs="Times New Roman"/>
                <w:sz w:val="18"/>
                <w:szCs w:val="18"/>
              </w:rPr>
            </w:pPr>
            <w:r w:rsidRPr="00E643DB">
              <w:rPr>
                <w:rFonts w:cs="Times New Roman"/>
                <w:sz w:val="18"/>
                <w:szCs w:val="18"/>
              </w:rPr>
              <w:t>0.02%</w:t>
            </w:r>
          </w:p>
        </w:tc>
        <w:tc>
          <w:tcPr>
            <w:tcW w:w="949" w:type="dxa"/>
          </w:tcPr>
          <w:p w14:paraId="5CDBA80F" w14:textId="77777777" w:rsidR="00F511F4" w:rsidRPr="00E643DB" w:rsidRDefault="00F511F4" w:rsidP="001F53D9">
            <w:pPr>
              <w:jc w:val="both"/>
              <w:rPr>
                <w:rFonts w:cs="Times New Roman"/>
                <w:sz w:val="18"/>
                <w:szCs w:val="18"/>
              </w:rPr>
            </w:pPr>
            <w:r w:rsidRPr="00E643DB">
              <w:rPr>
                <w:rFonts w:cs="Times New Roman"/>
                <w:sz w:val="18"/>
                <w:szCs w:val="18"/>
              </w:rPr>
              <w:t>0.02%</w:t>
            </w:r>
          </w:p>
        </w:tc>
        <w:tc>
          <w:tcPr>
            <w:tcW w:w="949" w:type="dxa"/>
          </w:tcPr>
          <w:p w14:paraId="71CB2E79" w14:textId="77777777" w:rsidR="00F511F4" w:rsidRPr="00E643DB" w:rsidRDefault="00F511F4" w:rsidP="001F53D9">
            <w:pPr>
              <w:jc w:val="both"/>
              <w:rPr>
                <w:rFonts w:cs="Times New Roman"/>
                <w:sz w:val="18"/>
                <w:szCs w:val="18"/>
              </w:rPr>
            </w:pPr>
            <w:r w:rsidRPr="00E643DB">
              <w:rPr>
                <w:rFonts w:cs="Times New Roman"/>
                <w:sz w:val="18"/>
                <w:szCs w:val="18"/>
              </w:rPr>
              <w:t>0.03%</w:t>
            </w:r>
          </w:p>
        </w:tc>
        <w:tc>
          <w:tcPr>
            <w:tcW w:w="949" w:type="dxa"/>
          </w:tcPr>
          <w:p w14:paraId="1AC2CECC" w14:textId="77777777" w:rsidR="00F511F4" w:rsidRPr="00E643DB" w:rsidRDefault="00F511F4" w:rsidP="001F53D9">
            <w:pPr>
              <w:jc w:val="both"/>
              <w:rPr>
                <w:rFonts w:cs="Times New Roman"/>
                <w:sz w:val="18"/>
                <w:szCs w:val="18"/>
              </w:rPr>
            </w:pPr>
            <w:r w:rsidRPr="00E643DB">
              <w:rPr>
                <w:rFonts w:cs="Times New Roman"/>
                <w:sz w:val="18"/>
                <w:szCs w:val="18"/>
              </w:rPr>
              <w:t>0.03%</w:t>
            </w:r>
          </w:p>
        </w:tc>
        <w:tc>
          <w:tcPr>
            <w:tcW w:w="949" w:type="dxa"/>
          </w:tcPr>
          <w:p w14:paraId="3E841EE2" w14:textId="77777777" w:rsidR="00F511F4" w:rsidRPr="00E643DB" w:rsidRDefault="00F511F4" w:rsidP="001F53D9">
            <w:pPr>
              <w:jc w:val="both"/>
              <w:rPr>
                <w:rFonts w:cs="Times New Roman"/>
                <w:sz w:val="18"/>
                <w:szCs w:val="18"/>
              </w:rPr>
            </w:pPr>
            <w:r w:rsidRPr="00E643DB">
              <w:rPr>
                <w:rFonts w:cs="Times New Roman"/>
                <w:sz w:val="18"/>
                <w:szCs w:val="18"/>
              </w:rPr>
              <w:t>0.03%</w:t>
            </w:r>
          </w:p>
        </w:tc>
        <w:tc>
          <w:tcPr>
            <w:tcW w:w="949" w:type="dxa"/>
          </w:tcPr>
          <w:p w14:paraId="6DA19579" w14:textId="77777777" w:rsidR="00F511F4" w:rsidRPr="00E643DB" w:rsidRDefault="00F511F4" w:rsidP="001F53D9">
            <w:pPr>
              <w:jc w:val="both"/>
              <w:rPr>
                <w:rFonts w:cs="Times New Roman"/>
                <w:sz w:val="18"/>
                <w:szCs w:val="18"/>
              </w:rPr>
            </w:pPr>
            <w:r w:rsidRPr="00E643DB">
              <w:rPr>
                <w:rFonts w:cs="Times New Roman"/>
                <w:sz w:val="18"/>
                <w:szCs w:val="18"/>
              </w:rPr>
              <w:t>0.04%</w:t>
            </w:r>
          </w:p>
        </w:tc>
        <w:tc>
          <w:tcPr>
            <w:tcW w:w="949" w:type="dxa"/>
          </w:tcPr>
          <w:p w14:paraId="6AF026D6" w14:textId="77777777" w:rsidR="00F511F4" w:rsidRPr="00E643DB" w:rsidRDefault="00F511F4" w:rsidP="001F53D9">
            <w:pPr>
              <w:jc w:val="both"/>
              <w:rPr>
                <w:rFonts w:cs="Times New Roman"/>
                <w:sz w:val="18"/>
                <w:szCs w:val="18"/>
              </w:rPr>
            </w:pPr>
            <w:r w:rsidRPr="00E643DB">
              <w:rPr>
                <w:rFonts w:cs="Times New Roman"/>
                <w:sz w:val="18"/>
                <w:szCs w:val="18"/>
              </w:rPr>
              <w:t>0.03%</w:t>
            </w:r>
          </w:p>
        </w:tc>
        <w:tc>
          <w:tcPr>
            <w:tcW w:w="949" w:type="dxa"/>
          </w:tcPr>
          <w:p w14:paraId="1A0EBE87" w14:textId="77777777" w:rsidR="00F511F4" w:rsidRPr="00E643DB" w:rsidRDefault="00F511F4" w:rsidP="001F53D9">
            <w:pPr>
              <w:jc w:val="both"/>
              <w:rPr>
                <w:rFonts w:cs="Times New Roman"/>
                <w:sz w:val="18"/>
                <w:szCs w:val="18"/>
              </w:rPr>
            </w:pPr>
            <w:r w:rsidRPr="00E643DB">
              <w:rPr>
                <w:rFonts w:cs="Times New Roman"/>
                <w:sz w:val="18"/>
                <w:szCs w:val="18"/>
              </w:rPr>
              <w:t>0.03%</w:t>
            </w:r>
          </w:p>
        </w:tc>
      </w:tr>
      <w:tr w:rsidR="00F511F4" w:rsidRPr="00E643DB" w14:paraId="5DAB9FC3" w14:textId="77777777" w:rsidTr="001F53D9">
        <w:tc>
          <w:tcPr>
            <w:tcW w:w="1384" w:type="dxa"/>
          </w:tcPr>
          <w:p w14:paraId="77BC7083" w14:textId="77777777" w:rsidR="00F511F4" w:rsidRPr="00E643DB" w:rsidRDefault="00F511F4" w:rsidP="001F53D9">
            <w:pPr>
              <w:jc w:val="both"/>
              <w:rPr>
                <w:rFonts w:cs="Times New Roman"/>
                <w:sz w:val="18"/>
                <w:szCs w:val="18"/>
              </w:rPr>
            </w:pPr>
            <w:r w:rsidRPr="00E643DB">
              <w:rPr>
                <w:rFonts w:cs="Times New Roman"/>
                <w:sz w:val="18"/>
                <w:szCs w:val="18"/>
              </w:rPr>
              <w:t>Unspecified haematuria</w:t>
            </w:r>
          </w:p>
        </w:tc>
        <w:tc>
          <w:tcPr>
            <w:tcW w:w="750" w:type="dxa"/>
          </w:tcPr>
          <w:p w14:paraId="13355AC9" w14:textId="77777777" w:rsidR="00F511F4" w:rsidRPr="00E643DB" w:rsidRDefault="00F511F4" w:rsidP="001F53D9">
            <w:pPr>
              <w:jc w:val="both"/>
              <w:rPr>
                <w:rFonts w:cs="Times New Roman"/>
                <w:sz w:val="18"/>
                <w:szCs w:val="18"/>
              </w:rPr>
            </w:pPr>
            <w:r w:rsidRPr="00E643DB">
              <w:rPr>
                <w:rFonts w:cs="Times New Roman"/>
                <w:sz w:val="18"/>
                <w:szCs w:val="18"/>
              </w:rPr>
              <w:t>3.0</w:t>
            </w:r>
          </w:p>
        </w:tc>
        <w:tc>
          <w:tcPr>
            <w:tcW w:w="1012" w:type="dxa"/>
          </w:tcPr>
          <w:p w14:paraId="00E89AFA" w14:textId="77777777" w:rsidR="00F511F4" w:rsidRPr="00E643DB" w:rsidRDefault="00F511F4" w:rsidP="001F53D9">
            <w:pPr>
              <w:jc w:val="both"/>
              <w:rPr>
                <w:rFonts w:cs="Times New Roman"/>
                <w:sz w:val="18"/>
                <w:szCs w:val="18"/>
              </w:rPr>
            </w:pPr>
            <w:r w:rsidRPr="00E643DB">
              <w:rPr>
                <w:rFonts w:cs="Times New Roman"/>
                <w:sz w:val="18"/>
                <w:szCs w:val="18"/>
              </w:rPr>
              <w:t>1.39%</w:t>
            </w:r>
          </w:p>
        </w:tc>
        <w:tc>
          <w:tcPr>
            <w:tcW w:w="950" w:type="dxa"/>
          </w:tcPr>
          <w:p w14:paraId="768E2702" w14:textId="77777777" w:rsidR="00F511F4" w:rsidRPr="00E643DB" w:rsidRDefault="00F511F4" w:rsidP="001F53D9">
            <w:pPr>
              <w:jc w:val="both"/>
              <w:rPr>
                <w:rFonts w:cs="Times New Roman"/>
                <w:sz w:val="18"/>
                <w:szCs w:val="18"/>
              </w:rPr>
            </w:pPr>
            <w:r w:rsidRPr="00E643DB">
              <w:rPr>
                <w:rFonts w:cs="Times New Roman"/>
                <w:sz w:val="18"/>
                <w:szCs w:val="18"/>
              </w:rPr>
              <w:t>1.62%</w:t>
            </w:r>
          </w:p>
        </w:tc>
        <w:tc>
          <w:tcPr>
            <w:tcW w:w="949" w:type="dxa"/>
          </w:tcPr>
          <w:p w14:paraId="467B6ECA" w14:textId="77777777" w:rsidR="00F511F4" w:rsidRPr="00E643DB" w:rsidRDefault="00F511F4" w:rsidP="001F53D9">
            <w:pPr>
              <w:jc w:val="both"/>
              <w:rPr>
                <w:rFonts w:cs="Times New Roman"/>
                <w:sz w:val="18"/>
                <w:szCs w:val="18"/>
              </w:rPr>
            </w:pPr>
            <w:r w:rsidRPr="00E643DB">
              <w:rPr>
                <w:rFonts w:cs="Times New Roman"/>
                <w:sz w:val="18"/>
                <w:szCs w:val="18"/>
              </w:rPr>
              <w:t>1.62%</w:t>
            </w:r>
          </w:p>
        </w:tc>
        <w:tc>
          <w:tcPr>
            <w:tcW w:w="949" w:type="dxa"/>
          </w:tcPr>
          <w:p w14:paraId="08561287" w14:textId="77777777" w:rsidR="00F511F4" w:rsidRPr="00E643DB" w:rsidRDefault="00F511F4" w:rsidP="001F53D9">
            <w:pPr>
              <w:jc w:val="both"/>
              <w:rPr>
                <w:rFonts w:cs="Times New Roman"/>
                <w:sz w:val="18"/>
                <w:szCs w:val="18"/>
              </w:rPr>
            </w:pPr>
            <w:r w:rsidRPr="00E643DB">
              <w:rPr>
                <w:rFonts w:cs="Times New Roman"/>
                <w:sz w:val="18"/>
                <w:szCs w:val="18"/>
              </w:rPr>
              <w:t>1.52%</w:t>
            </w:r>
          </w:p>
        </w:tc>
        <w:tc>
          <w:tcPr>
            <w:tcW w:w="949" w:type="dxa"/>
          </w:tcPr>
          <w:p w14:paraId="69118208" w14:textId="77777777" w:rsidR="00F511F4" w:rsidRPr="00E643DB" w:rsidRDefault="00F511F4" w:rsidP="001F53D9">
            <w:pPr>
              <w:jc w:val="both"/>
              <w:rPr>
                <w:rFonts w:cs="Times New Roman"/>
                <w:sz w:val="18"/>
                <w:szCs w:val="18"/>
              </w:rPr>
            </w:pPr>
            <w:r w:rsidRPr="00E643DB">
              <w:rPr>
                <w:rFonts w:cs="Times New Roman"/>
                <w:sz w:val="18"/>
                <w:szCs w:val="18"/>
              </w:rPr>
              <w:t>1.52%</w:t>
            </w:r>
          </w:p>
        </w:tc>
        <w:tc>
          <w:tcPr>
            <w:tcW w:w="949" w:type="dxa"/>
          </w:tcPr>
          <w:p w14:paraId="5FB66790" w14:textId="77777777" w:rsidR="00F511F4" w:rsidRPr="00E643DB" w:rsidRDefault="00F511F4" w:rsidP="001F53D9">
            <w:pPr>
              <w:jc w:val="both"/>
              <w:rPr>
                <w:rFonts w:cs="Times New Roman"/>
                <w:sz w:val="18"/>
                <w:szCs w:val="18"/>
              </w:rPr>
            </w:pPr>
            <w:r w:rsidRPr="00E643DB">
              <w:rPr>
                <w:rFonts w:cs="Times New Roman"/>
                <w:sz w:val="18"/>
                <w:szCs w:val="18"/>
              </w:rPr>
              <w:t>1.13%</w:t>
            </w:r>
          </w:p>
        </w:tc>
        <w:tc>
          <w:tcPr>
            <w:tcW w:w="949" w:type="dxa"/>
          </w:tcPr>
          <w:p w14:paraId="73AFE669" w14:textId="77777777" w:rsidR="00F511F4" w:rsidRPr="00E643DB" w:rsidRDefault="00F511F4" w:rsidP="001F53D9">
            <w:pPr>
              <w:jc w:val="both"/>
              <w:rPr>
                <w:rFonts w:cs="Times New Roman"/>
                <w:sz w:val="18"/>
                <w:szCs w:val="18"/>
              </w:rPr>
            </w:pPr>
            <w:r w:rsidRPr="00E643DB">
              <w:rPr>
                <w:rFonts w:cs="Times New Roman"/>
                <w:sz w:val="18"/>
                <w:szCs w:val="18"/>
              </w:rPr>
              <w:t>1.20%</w:t>
            </w:r>
          </w:p>
        </w:tc>
        <w:tc>
          <w:tcPr>
            <w:tcW w:w="949" w:type="dxa"/>
          </w:tcPr>
          <w:p w14:paraId="3E2747F3" w14:textId="77777777" w:rsidR="00F511F4" w:rsidRPr="00E643DB" w:rsidRDefault="00F511F4" w:rsidP="001F53D9">
            <w:pPr>
              <w:jc w:val="both"/>
              <w:rPr>
                <w:rFonts w:cs="Times New Roman"/>
                <w:sz w:val="18"/>
                <w:szCs w:val="18"/>
              </w:rPr>
            </w:pPr>
            <w:r w:rsidRPr="00E643DB">
              <w:rPr>
                <w:rFonts w:cs="Times New Roman"/>
                <w:sz w:val="18"/>
                <w:szCs w:val="18"/>
              </w:rPr>
              <w:t>1.24%</w:t>
            </w:r>
          </w:p>
        </w:tc>
        <w:tc>
          <w:tcPr>
            <w:tcW w:w="949" w:type="dxa"/>
          </w:tcPr>
          <w:p w14:paraId="04000E39" w14:textId="77777777" w:rsidR="00F511F4" w:rsidRPr="00E643DB" w:rsidRDefault="00F511F4" w:rsidP="001F53D9">
            <w:pPr>
              <w:jc w:val="both"/>
              <w:rPr>
                <w:rFonts w:cs="Times New Roman"/>
                <w:sz w:val="18"/>
                <w:szCs w:val="18"/>
              </w:rPr>
            </w:pPr>
            <w:r w:rsidRPr="00E643DB">
              <w:rPr>
                <w:rFonts w:cs="Times New Roman"/>
                <w:sz w:val="18"/>
                <w:szCs w:val="18"/>
              </w:rPr>
              <w:t>1.26%</w:t>
            </w:r>
          </w:p>
        </w:tc>
        <w:tc>
          <w:tcPr>
            <w:tcW w:w="949" w:type="dxa"/>
          </w:tcPr>
          <w:p w14:paraId="112E4520" w14:textId="77777777" w:rsidR="00F511F4" w:rsidRPr="00E643DB" w:rsidRDefault="00F511F4" w:rsidP="001F53D9">
            <w:pPr>
              <w:jc w:val="both"/>
              <w:rPr>
                <w:rFonts w:cs="Times New Roman"/>
                <w:sz w:val="18"/>
                <w:szCs w:val="18"/>
              </w:rPr>
            </w:pPr>
            <w:r w:rsidRPr="00E643DB">
              <w:rPr>
                <w:rFonts w:cs="Times New Roman"/>
                <w:sz w:val="18"/>
                <w:szCs w:val="18"/>
              </w:rPr>
              <w:t>1.29%</w:t>
            </w:r>
          </w:p>
        </w:tc>
        <w:tc>
          <w:tcPr>
            <w:tcW w:w="949" w:type="dxa"/>
          </w:tcPr>
          <w:p w14:paraId="371E9ABE" w14:textId="77777777" w:rsidR="00F511F4" w:rsidRPr="00E643DB" w:rsidRDefault="00F511F4" w:rsidP="001F53D9">
            <w:pPr>
              <w:jc w:val="both"/>
              <w:rPr>
                <w:rFonts w:cs="Times New Roman"/>
                <w:sz w:val="18"/>
                <w:szCs w:val="18"/>
              </w:rPr>
            </w:pPr>
            <w:r w:rsidRPr="00E643DB">
              <w:rPr>
                <w:rFonts w:cs="Times New Roman"/>
                <w:sz w:val="18"/>
                <w:szCs w:val="18"/>
              </w:rPr>
              <w:t>1.33%</w:t>
            </w:r>
          </w:p>
        </w:tc>
        <w:tc>
          <w:tcPr>
            <w:tcW w:w="949" w:type="dxa"/>
          </w:tcPr>
          <w:p w14:paraId="2C2334C1" w14:textId="77777777" w:rsidR="00F511F4" w:rsidRPr="00E643DB" w:rsidRDefault="00F511F4" w:rsidP="001F53D9">
            <w:pPr>
              <w:jc w:val="both"/>
              <w:rPr>
                <w:rFonts w:cs="Times New Roman"/>
                <w:sz w:val="18"/>
                <w:szCs w:val="18"/>
              </w:rPr>
            </w:pPr>
            <w:r w:rsidRPr="00E643DB">
              <w:rPr>
                <w:rFonts w:cs="Times New Roman"/>
                <w:sz w:val="18"/>
                <w:szCs w:val="18"/>
              </w:rPr>
              <w:t>1.43%</w:t>
            </w:r>
          </w:p>
        </w:tc>
      </w:tr>
      <w:tr w:rsidR="00F511F4" w:rsidRPr="00E643DB" w14:paraId="261511A1" w14:textId="77777777" w:rsidTr="001F53D9">
        <w:tc>
          <w:tcPr>
            <w:tcW w:w="1384" w:type="dxa"/>
          </w:tcPr>
          <w:p w14:paraId="1C1CD8E7" w14:textId="77777777" w:rsidR="00F511F4" w:rsidRPr="00E643DB" w:rsidRDefault="00F511F4" w:rsidP="001F53D9">
            <w:pPr>
              <w:jc w:val="both"/>
              <w:rPr>
                <w:rFonts w:cs="Times New Roman"/>
                <w:sz w:val="18"/>
                <w:szCs w:val="18"/>
              </w:rPr>
            </w:pPr>
            <w:r w:rsidRPr="00E643DB">
              <w:rPr>
                <w:rFonts w:cs="Times New Roman"/>
                <w:sz w:val="18"/>
                <w:szCs w:val="18"/>
              </w:rPr>
              <w:t>Chronic kidney disease</w:t>
            </w:r>
          </w:p>
        </w:tc>
        <w:tc>
          <w:tcPr>
            <w:tcW w:w="750" w:type="dxa"/>
          </w:tcPr>
          <w:p w14:paraId="19B9E053" w14:textId="77777777" w:rsidR="00F511F4" w:rsidRPr="00E643DB" w:rsidRDefault="00F511F4" w:rsidP="001F53D9">
            <w:pPr>
              <w:jc w:val="both"/>
              <w:rPr>
                <w:rFonts w:cs="Times New Roman"/>
                <w:sz w:val="18"/>
                <w:szCs w:val="18"/>
              </w:rPr>
            </w:pPr>
            <w:r w:rsidRPr="00E643DB">
              <w:rPr>
                <w:rFonts w:cs="Times New Roman"/>
                <w:sz w:val="18"/>
                <w:szCs w:val="18"/>
              </w:rPr>
              <w:t>1.4</w:t>
            </w:r>
          </w:p>
        </w:tc>
        <w:tc>
          <w:tcPr>
            <w:tcW w:w="1012" w:type="dxa"/>
          </w:tcPr>
          <w:p w14:paraId="0ADF91CB" w14:textId="77777777" w:rsidR="00F511F4" w:rsidRPr="00E643DB" w:rsidRDefault="00F511F4" w:rsidP="001F53D9">
            <w:pPr>
              <w:jc w:val="both"/>
              <w:rPr>
                <w:rFonts w:cs="Times New Roman"/>
                <w:sz w:val="18"/>
                <w:szCs w:val="18"/>
              </w:rPr>
            </w:pPr>
            <w:r w:rsidRPr="00E643DB">
              <w:rPr>
                <w:rFonts w:cs="Times New Roman"/>
                <w:sz w:val="18"/>
                <w:szCs w:val="18"/>
              </w:rPr>
              <w:t>32.18%</w:t>
            </w:r>
          </w:p>
        </w:tc>
        <w:tc>
          <w:tcPr>
            <w:tcW w:w="950" w:type="dxa"/>
          </w:tcPr>
          <w:p w14:paraId="3DE8D0B8" w14:textId="77777777" w:rsidR="00F511F4" w:rsidRPr="00E643DB" w:rsidRDefault="00F511F4" w:rsidP="001F53D9">
            <w:pPr>
              <w:jc w:val="both"/>
              <w:rPr>
                <w:rFonts w:cs="Times New Roman"/>
                <w:sz w:val="18"/>
                <w:szCs w:val="18"/>
              </w:rPr>
            </w:pPr>
            <w:r w:rsidRPr="00E643DB">
              <w:rPr>
                <w:rFonts w:cs="Times New Roman"/>
                <w:sz w:val="18"/>
                <w:szCs w:val="18"/>
              </w:rPr>
              <w:t>2.68%</w:t>
            </w:r>
          </w:p>
        </w:tc>
        <w:tc>
          <w:tcPr>
            <w:tcW w:w="949" w:type="dxa"/>
          </w:tcPr>
          <w:p w14:paraId="279BF09F" w14:textId="77777777" w:rsidR="00F511F4" w:rsidRPr="00E643DB" w:rsidRDefault="00F511F4" w:rsidP="001F53D9">
            <w:pPr>
              <w:jc w:val="both"/>
              <w:rPr>
                <w:rFonts w:cs="Times New Roman"/>
                <w:sz w:val="18"/>
                <w:szCs w:val="18"/>
              </w:rPr>
            </w:pPr>
            <w:r w:rsidRPr="00E643DB">
              <w:rPr>
                <w:rFonts w:cs="Times New Roman"/>
                <w:sz w:val="18"/>
                <w:szCs w:val="18"/>
              </w:rPr>
              <w:t>7.88%</w:t>
            </w:r>
          </w:p>
        </w:tc>
        <w:tc>
          <w:tcPr>
            <w:tcW w:w="949" w:type="dxa"/>
          </w:tcPr>
          <w:p w14:paraId="246ACC12" w14:textId="77777777" w:rsidR="00F511F4" w:rsidRPr="00E643DB" w:rsidRDefault="00F511F4" w:rsidP="001F53D9">
            <w:pPr>
              <w:jc w:val="both"/>
              <w:rPr>
                <w:rFonts w:cs="Times New Roman"/>
                <w:sz w:val="18"/>
                <w:szCs w:val="18"/>
              </w:rPr>
            </w:pPr>
            <w:r w:rsidRPr="00E643DB">
              <w:rPr>
                <w:rFonts w:cs="Times New Roman"/>
                <w:sz w:val="18"/>
                <w:szCs w:val="18"/>
              </w:rPr>
              <w:t>21.34%</w:t>
            </w:r>
          </w:p>
        </w:tc>
        <w:tc>
          <w:tcPr>
            <w:tcW w:w="949" w:type="dxa"/>
          </w:tcPr>
          <w:p w14:paraId="30238CE1" w14:textId="77777777" w:rsidR="00F511F4" w:rsidRPr="00E643DB" w:rsidRDefault="00F511F4" w:rsidP="001F53D9">
            <w:pPr>
              <w:jc w:val="both"/>
              <w:rPr>
                <w:rFonts w:cs="Times New Roman"/>
                <w:sz w:val="18"/>
                <w:szCs w:val="18"/>
              </w:rPr>
            </w:pPr>
            <w:r w:rsidRPr="00E643DB">
              <w:rPr>
                <w:rFonts w:cs="Times New Roman"/>
                <w:sz w:val="18"/>
                <w:szCs w:val="18"/>
              </w:rPr>
              <w:t>33.41%</w:t>
            </w:r>
          </w:p>
        </w:tc>
        <w:tc>
          <w:tcPr>
            <w:tcW w:w="949" w:type="dxa"/>
          </w:tcPr>
          <w:p w14:paraId="5EE0725F" w14:textId="77777777" w:rsidR="00F511F4" w:rsidRPr="00E643DB" w:rsidRDefault="00F511F4" w:rsidP="001F53D9">
            <w:pPr>
              <w:jc w:val="both"/>
              <w:rPr>
                <w:rFonts w:cs="Times New Roman"/>
                <w:sz w:val="18"/>
                <w:szCs w:val="18"/>
              </w:rPr>
            </w:pPr>
            <w:r w:rsidRPr="00E643DB">
              <w:rPr>
                <w:rFonts w:cs="Times New Roman"/>
                <w:sz w:val="18"/>
                <w:szCs w:val="18"/>
              </w:rPr>
              <w:t>34.58%</w:t>
            </w:r>
          </w:p>
        </w:tc>
        <w:tc>
          <w:tcPr>
            <w:tcW w:w="949" w:type="dxa"/>
          </w:tcPr>
          <w:p w14:paraId="63909029" w14:textId="77777777" w:rsidR="00F511F4" w:rsidRPr="00E643DB" w:rsidRDefault="00F511F4" w:rsidP="001F53D9">
            <w:pPr>
              <w:jc w:val="both"/>
              <w:rPr>
                <w:rFonts w:cs="Times New Roman"/>
                <w:sz w:val="18"/>
                <w:szCs w:val="18"/>
              </w:rPr>
            </w:pPr>
            <w:r w:rsidRPr="00E643DB">
              <w:rPr>
                <w:rFonts w:cs="Times New Roman"/>
                <w:sz w:val="18"/>
                <w:szCs w:val="18"/>
              </w:rPr>
              <w:t>39.06%</w:t>
            </w:r>
          </w:p>
        </w:tc>
        <w:tc>
          <w:tcPr>
            <w:tcW w:w="949" w:type="dxa"/>
          </w:tcPr>
          <w:p w14:paraId="3BF75314" w14:textId="77777777" w:rsidR="00F511F4" w:rsidRPr="00E643DB" w:rsidRDefault="00F511F4" w:rsidP="001F53D9">
            <w:pPr>
              <w:jc w:val="both"/>
              <w:rPr>
                <w:rFonts w:cs="Times New Roman"/>
                <w:sz w:val="18"/>
                <w:szCs w:val="18"/>
              </w:rPr>
            </w:pPr>
            <w:r w:rsidRPr="00E643DB">
              <w:rPr>
                <w:rFonts w:cs="Times New Roman"/>
                <w:sz w:val="18"/>
                <w:szCs w:val="18"/>
              </w:rPr>
              <w:t>41.49%</w:t>
            </w:r>
          </w:p>
        </w:tc>
        <w:tc>
          <w:tcPr>
            <w:tcW w:w="949" w:type="dxa"/>
          </w:tcPr>
          <w:p w14:paraId="1A3B0C78" w14:textId="77777777" w:rsidR="00F511F4" w:rsidRPr="00E643DB" w:rsidRDefault="00F511F4" w:rsidP="001F53D9">
            <w:pPr>
              <w:jc w:val="both"/>
              <w:rPr>
                <w:rFonts w:cs="Times New Roman"/>
                <w:sz w:val="18"/>
                <w:szCs w:val="18"/>
              </w:rPr>
            </w:pPr>
            <w:r w:rsidRPr="00E643DB">
              <w:rPr>
                <w:rFonts w:cs="Times New Roman"/>
                <w:sz w:val="18"/>
                <w:szCs w:val="18"/>
              </w:rPr>
              <w:t>43.42%</w:t>
            </w:r>
          </w:p>
        </w:tc>
        <w:tc>
          <w:tcPr>
            <w:tcW w:w="949" w:type="dxa"/>
          </w:tcPr>
          <w:p w14:paraId="665A2824" w14:textId="77777777" w:rsidR="00F511F4" w:rsidRPr="00E643DB" w:rsidRDefault="00F511F4" w:rsidP="001F53D9">
            <w:pPr>
              <w:jc w:val="both"/>
              <w:rPr>
                <w:rFonts w:cs="Times New Roman"/>
                <w:sz w:val="18"/>
                <w:szCs w:val="18"/>
              </w:rPr>
            </w:pPr>
            <w:r w:rsidRPr="00E643DB">
              <w:rPr>
                <w:rFonts w:cs="Times New Roman"/>
                <w:sz w:val="18"/>
                <w:szCs w:val="18"/>
              </w:rPr>
              <w:t>44.78%</w:t>
            </w:r>
          </w:p>
        </w:tc>
        <w:tc>
          <w:tcPr>
            <w:tcW w:w="949" w:type="dxa"/>
          </w:tcPr>
          <w:p w14:paraId="2BC2D109" w14:textId="77777777" w:rsidR="00F511F4" w:rsidRPr="00E643DB" w:rsidRDefault="00F511F4" w:rsidP="001F53D9">
            <w:pPr>
              <w:jc w:val="both"/>
              <w:rPr>
                <w:rFonts w:cs="Times New Roman"/>
                <w:sz w:val="18"/>
                <w:szCs w:val="18"/>
              </w:rPr>
            </w:pPr>
            <w:r w:rsidRPr="00E643DB">
              <w:rPr>
                <w:rFonts w:cs="Times New Roman"/>
                <w:sz w:val="18"/>
                <w:szCs w:val="18"/>
              </w:rPr>
              <w:t>45.34%</w:t>
            </w:r>
          </w:p>
        </w:tc>
        <w:tc>
          <w:tcPr>
            <w:tcW w:w="949" w:type="dxa"/>
          </w:tcPr>
          <w:p w14:paraId="6BDA0595" w14:textId="77777777" w:rsidR="00F511F4" w:rsidRPr="00E643DB" w:rsidRDefault="00F511F4" w:rsidP="001F53D9">
            <w:pPr>
              <w:jc w:val="both"/>
              <w:rPr>
                <w:rFonts w:cs="Times New Roman"/>
                <w:sz w:val="18"/>
                <w:szCs w:val="18"/>
              </w:rPr>
            </w:pPr>
            <w:r w:rsidRPr="00E643DB">
              <w:rPr>
                <w:rFonts w:cs="Times New Roman"/>
                <w:sz w:val="18"/>
                <w:szCs w:val="18"/>
              </w:rPr>
              <w:t>46.92%</w:t>
            </w:r>
          </w:p>
        </w:tc>
      </w:tr>
      <w:tr w:rsidR="00F511F4" w:rsidRPr="00E643DB" w14:paraId="2B4BEF58" w14:textId="77777777" w:rsidTr="001F53D9">
        <w:tc>
          <w:tcPr>
            <w:tcW w:w="1384" w:type="dxa"/>
          </w:tcPr>
          <w:p w14:paraId="11520191" w14:textId="77777777" w:rsidR="00F511F4" w:rsidRPr="00E643DB" w:rsidRDefault="00F511F4" w:rsidP="001F53D9">
            <w:pPr>
              <w:jc w:val="both"/>
              <w:rPr>
                <w:rFonts w:cs="Times New Roman"/>
                <w:sz w:val="18"/>
                <w:szCs w:val="18"/>
              </w:rPr>
            </w:pPr>
            <w:r w:rsidRPr="00E643DB">
              <w:rPr>
                <w:rFonts w:eastAsia="Times New Roman" w:cs="Times New Roman"/>
                <w:color w:val="000000"/>
                <w:sz w:val="18"/>
                <w:szCs w:val="18"/>
                <w:lang w:eastAsia="en-GB"/>
              </w:rPr>
              <w:t>Disorders of fluid, electrolyte and acid-base balance</w:t>
            </w:r>
          </w:p>
        </w:tc>
        <w:tc>
          <w:tcPr>
            <w:tcW w:w="750" w:type="dxa"/>
          </w:tcPr>
          <w:p w14:paraId="1212D45F" w14:textId="77777777" w:rsidR="00F511F4" w:rsidRPr="00E643DB" w:rsidRDefault="00F511F4" w:rsidP="001F53D9">
            <w:pPr>
              <w:jc w:val="both"/>
              <w:rPr>
                <w:rFonts w:cs="Times New Roman"/>
                <w:sz w:val="18"/>
                <w:szCs w:val="18"/>
              </w:rPr>
            </w:pPr>
            <w:r w:rsidRPr="00E643DB">
              <w:rPr>
                <w:rFonts w:cs="Times New Roman"/>
                <w:sz w:val="18"/>
                <w:szCs w:val="18"/>
              </w:rPr>
              <w:t>2.3</w:t>
            </w:r>
          </w:p>
        </w:tc>
        <w:tc>
          <w:tcPr>
            <w:tcW w:w="1012" w:type="dxa"/>
          </w:tcPr>
          <w:p w14:paraId="7769F8EE" w14:textId="77777777" w:rsidR="00F511F4" w:rsidRPr="00E643DB" w:rsidRDefault="00F511F4" w:rsidP="001F53D9">
            <w:pPr>
              <w:jc w:val="both"/>
              <w:rPr>
                <w:rFonts w:cs="Times New Roman"/>
                <w:sz w:val="18"/>
                <w:szCs w:val="18"/>
              </w:rPr>
            </w:pPr>
            <w:r w:rsidRPr="00E643DB">
              <w:rPr>
                <w:rFonts w:cs="Times New Roman"/>
                <w:sz w:val="18"/>
                <w:szCs w:val="18"/>
              </w:rPr>
              <w:t>24.40%</w:t>
            </w:r>
          </w:p>
        </w:tc>
        <w:tc>
          <w:tcPr>
            <w:tcW w:w="950" w:type="dxa"/>
          </w:tcPr>
          <w:p w14:paraId="377FBA0C" w14:textId="77777777" w:rsidR="00F511F4" w:rsidRPr="00E643DB" w:rsidRDefault="00F511F4" w:rsidP="001F53D9">
            <w:pPr>
              <w:jc w:val="both"/>
              <w:rPr>
                <w:rFonts w:cs="Times New Roman"/>
                <w:sz w:val="18"/>
                <w:szCs w:val="18"/>
              </w:rPr>
            </w:pPr>
            <w:r w:rsidRPr="00E643DB">
              <w:rPr>
                <w:rFonts w:cs="Times New Roman"/>
                <w:sz w:val="18"/>
                <w:szCs w:val="18"/>
              </w:rPr>
              <w:t>18.19%</w:t>
            </w:r>
          </w:p>
        </w:tc>
        <w:tc>
          <w:tcPr>
            <w:tcW w:w="949" w:type="dxa"/>
          </w:tcPr>
          <w:p w14:paraId="3A11344E" w14:textId="77777777" w:rsidR="00F511F4" w:rsidRPr="00E643DB" w:rsidRDefault="00F511F4" w:rsidP="001F53D9">
            <w:pPr>
              <w:jc w:val="both"/>
              <w:rPr>
                <w:rFonts w:cs="Times New Roman"/>
                <w:sz w:val="18"/>
                <w:szCs w:val="18"/>
              </w:rPr>
            </w:pPr>
            <w:r w:rsidRPr="00E643DB">
              <w:rPr>
                <w:rFonts w:cs="Times New Roman"/>
                <w:sz w:val="18"/>
                <w:szCs w:val="18"/>
              </w:rPr>
              <w:t>19.05%</w:t>
            </w:r>
          </w:p>
        </w:tc>
        <w:tc>
          <w:tcPr>
            <w:tcW w:w="949" w:type="dxa"/>
          </w:tcPr>
          <w:p w14:paraId="411054ED" w14:textId="77777777" w:rsidR="00F511F4" w:rsidRPr="00E643DB" w:rsidRDefault="00F511F4" w:rsidP="001F53D9">
            <w:pPr>
              <w:jc w:val="both"/>
              <w:rPr>
                <w:rFonts w:cs="Times New Roman"/>
                <w:sz w:val="18"/>
                <w:szCs w:val="18"/>
              </w:rPr>
            </w:pPr>
            <w:r w:rsidRPr="00E643DB">
              <w:rPr>
                <w:rFonts w:cs="Times New Roman"/>
                <w:sz w:val="18"/>
                <w:szCs w:val="18"/>
              </w:rPr>
              <w:t>19.39%</w:t>
            </w:r>
          </w:p>
        </w:tc>
        <w:tc>
          <w:tcPr>
            <w:tcW w:w="949" w:type="dxa"/>
          </w:tcPr>
          <w:p w14:paraId="2A96D19B" w14:textId="77777777" w:rsidR="00F511F4" w:rsidRPr="00E643DB" w:rsidRDefault="00F511F4" w:rsidP="001F53D9">
            <w:pPr>
              <w:jc w:val="both"/>
              <w:rPr>
                <w:rFonts w:cs="Times New Roman"/>
                <w:sz w:val="18"/>
                <w:szCs w:val="18"/>
              </w:rPr>
            </w:pPr>
            <w:r w:rsidRPr="00E643DB">
              <w:rPr>
                <w:rFonts w:cs="Times New Roman"/>
                <w:sz w:val="18"/>
                <w:szCs w:val="18"/>
              </w:rPr>
              <w:t>20.70%</w:t>
            </w:r>
          </w:p>
        </w:tc>
        <w:tc>
          <w:tcPr>
            <w:tcW w:w="949" w:type="dxa"/>
          </w:tcPr>
          <w:p w14:paraId="76F3E20D" w14:textId="77777777" w:rsidR="00F511F4" w:rsidRPr="00E643DB" w:rsidRDefault="00F511F4" w:rsidP="001F53D9">
            <w:pPr>
              <w:jc w:val="both"/>
              <w:rPr>
                <w:rFonts w:cs="Times New Roman"/>
                <w:sz w:val="18"/>
                <w:szCs w:val="18"/>
              </w:rPr>
            </w:pPr>
            <w:r w:rsidRPr="00E643DB">
              <w:rPr>
                <w:rFonts w:cs="Times New Roman"/>
                <w:sz w:val="18"/>
                <w:szCs w:val="18"/>
              </w:rPr>
              <w:t>22.43%</w:t>
            </w:r>
          </w:p>
        </w:tc>
        <w:tc>
          <w:tcPr>
            <w:tcW w:w="949" w:type="dxa"/>
          </w:tcPr>
          <w:p w14:paraId="0533F627" w14:textId="77777777" w:rsidR="00F511F4" w:rsidRPr="00E643DB" w:rsidRDefault="00F511F4" w:rsidP="001F53D9">
            <w:pPr>
              <w:jc w:val="both"/>
              <w:rPr>
                <w:rFonts w:cs="Times New Roman"/>
                <w:sz w:val="18"/>
                <w:szCs w:val="18"/>
              </w:rPr>
            </w:pPr>
            <w:r w:rsidRPr="00E643DB">
              <w:rPr>
                <w:rFonts w:cs="Times New Roman"/>
                <w:sz w:val="18"/>
                <w:szCs w:val="18"/>
              </w:rPr>
              <w:t>24.92%</w:t>
            </w:r>
          </w:p>
        </w:tc>
        <w:tc>
          <w:tcPr>
            <w:tcW w:w="949" w:type="dxa"/>
          </w:tcPr>
          <w:p w14:paraId="3576D929" w14:textId="77777777" w:rsidR="00F511F4" w:rsidRPr="00E643DB" w:rsidRDefault="00F511F4" w:rsidP="001F53D9">
            <w:pPr>
              <w:jc w:val="both"/>
              <w:rPr>
                <w:rFonts w:cs="Times New Roman"/>
                <w:sz w:val="18"/>
                <w:szCs w:val="18"/>
              </w:rPr>
            </w:pPr>
            <w:r w:rsidRPr="00E643DB">
              <w:rPr>
                <w:rFonts w:cs="Times New Roman"/>
                <w:sz w:val="18"/>
                <w:szCs w:val="18"/>
              </w:rPr>
              <w:t>26.32%</w:t>
            </w:r>
          </w:p>
        </w:tc>
        <w:tc>
          <w:tcPr>
            <w:tcW w:w="949" w:type="dxa"/>
          </w:tcPr>
          <w:p w14:paraId="2B75CD11" w14:textId="77777777" w:rsidR="00F511F4" w:rsidRPr="00E643DB" w:rsidRDefault="00F511F4" w:rsidP="001F53D9">
            <w:pPr>
              <w:jc w:val="both"/>
              <w:rPr>
                <w:rFonts w:cs="Times New Roman"/>
                <w:sz w:val="18"/>
                <w:szCs w:val="18"/>
              </w:rPr>
            </w:pPr>
            <w:r w:rsidRPr="00E643DB">
              <w:rPr>
                <w:rFonts w:cs="Times New Roman"/>
                <w:sz w:val="18"/>
                <w:szCs w:val="18"/>
              </w:rPr>
              <w:t>27.94%</w:t>
            </w:r>
          </w:p>
        </w:tc>
        <w:tc>
          <w:tcPr>
            <w:tcW w:w="949" w:type="dxa"/>
          </w:tcPr>
          <w:p w14:paraId="6148D07A" w14:textId="77777777" w:rsidR="00F511F4" w:rsidRPr="00E643DB" w:rsidRDefault="00F511F4" w:rsidP="001F53D9">
            <w:pPr>
              <w:jc w:val="both"/>
              <w:rPr>
                <w:rFonts w:cs="Times New Roman"/>
                <w:sz w:val="18"/>
                <w:szCs w:val="18"/>
              </w:rPr>
            </w:pPr>
            <w:r w:rsidRPr="00E643DB">
              <w:rPr>
                <w:rFonts w:cs="Times New Roman"/>
                <w:sz w:val="18"/>
                <w:szCs w:val="18"/>
              </w:rPr>
              <w:t>29.16%</w:t>
            </w:r>
          </w:p>
        </w:tc>
        <w:tc>
          <w:tcPr>
            <w:tcW w:w="949" w:type="dxa"/>
          </w:tcPr>
          <w:p w14:paraId="4172C737" w14:textId="77777777" w:rsidR="00F511F4" w:rsidRPr="00E643DB" w:rsidRDefault="00F511F4" w:rsidP="001F53D9">
            <w:pPr>
              <w:jc w:val="both"/>
              <w:rPr>
                <w:rFonts w:cs="Times New Roman"/>
                <w:sz w:val="18"/>
                <w:szCs w:val="18"/>
              </w:rPr>
            </w:pPr>
            <w:r w:rsidRPr="00E643DB">
              <w:rPr>
                <w:rFonts w:cs="Times New Roman"/>
                <w:sz w:val="18"/>
                <w:szCs w:val="18"/>
              </w:rPr>
              <w:t>30.59%</w:t>
            </w:r>
          </w:p>
        </w:tc>
        <w:tc>
          <w:tcPr>
            <w:tcW w:w="949" w:type="dxa"/>
          </w:tcPr>
          <w:p w14:paraId="6B515C39" w14:textId="77777777" w:rsidR="00F511F4" w:rsidRPr="00E643DB" w:rsidRDefault="00F511F4" w:rsidP="001F53D9">
            <w:pPr>
              <w:jc w:val="both"/>
              <w:rPr>
                <w:rFonts w:cs="Times New Roman"/>
                <w:sz w:val="18"/>
                <w:szCs w:val="18"/>
              </w:rPr>
            </w:pPr>
            <w:r w:rsidRPr="00E643DB">
              <w:rPr>
                <w:rFonts w:cs="Times New Roman"/>
                <w:sz w:val="18"/>
                <w:szCs w:val="18"/>
              </w:rPr>
              <w:t>32.34%</w:t>
            </w:r>
          </w:p>
        </w:tc>
      </w:tr>
      <w:tr w:rsidR="00F511F4" w:rsidRPr="00E643DB" w14:paraId="5BF5C141" w14:textId="77777777" w:rsidTr="001F53D9">
        <w:tc>
          <w:tcPr>
            <w:tcW w:w="1384" w:type="dxa"/>
          </w:tcPr>
          <w:p w14:paraId="1B29C788" w14:textId="77777777" w:rsidR="00F511F4" w:rsidRPr="00E643DB" w:rsidRDefault="00F511F4" w:rsidP="001F53D9">
            <w:pPr>
              <w:jc w:val="both"/>
              <w:rPr>
                <w:rFonts w:cs="Times New Roman"/>
                <w:sz w:val="18"/>
                <w:szCs w:val="18"/>
              </w:rPr>
            </w:pPr>
            <w:r w:rsidRPr="00E643DB">
              <w:rPr>
                <w:rFonts w:eastAsia="Times New Roman" w:cs="Times New Roman"/>
                <w:color w:val="000000"/>
                <w:sz w:val="18"/>
                <w:szCs w:val="18"/>
                <w:lang w:eastAsia="en-GB"/>
              </w:rPr>
              <w:lastRenderedPageBreak/>
              <w:t>Other personal history presenting hazards to health</w:t>
            </w:r>
          </w:p>
        </w:tc>
        <w:tc>
          <w:tcPr>
            <w:tcW w:w="750" w:type="dxa"/>
          </w:tcPr>
          <w:p w14:paraId="2CD8679A" w14:textId="77777777" w:rsidR="00F511F4" w:rsidRPr="00E643DB" w:rsidRDefault="00F511F4" w:rsidP="001F53D9">
            <w:pPr>
              <w:jc w:val="both"/>
              <w:rPr>
                <w:rFonts w:cs="Times New Roman"/>
                <w:sz w:val="18"/>
                <w:szCs w:val="18"/>
              </w:rPr>
            </w:pPr>
            <w:r w:rsidRPr="00E643DB">
              <w:rPr>
                <w:rFonts w:cs="Times New Roman"/>
                <w:sz w:val="18"/>
                <w:szCs w:val="18"/>
              </w:rPr>
              <w:t>0.5</w:t>
            </w:r>
          </w:p>
        </w:tc>
        <w:tc>
          <w:tcPr>
            <w:tcW w:w="1012" w:type="dxa"/>
          </w:tcPr>
          <w:p w14:paraId="050B4575" w14:textId="77777777" w:rsidR="00F511F4" w:rsidRPr="00E643DB" w:rsidRDefault="00F511F4" w:rsidP="001F53D9">
            <w:pPr>
              <w:jc w:val="both"/>
              <w:rPr>
                <w:rFonts w:cs="Times New Roman"/>
                <w:sz w:val="18"/>
                <w:szCs w:val="18"/>
              </w:rPr>
            </w:pPr>
            <w:r w:rsidRPr="00E643DB">
              <w:rPr>
                <w:rFonts w:cs="Times New Roman"/>
                <w:sz w:val="18"/>
                <w:szCs w:val="18"/>
              </w:rPr>
              <w:t>10.13%</w:t>
            </w:r>
          </w:p>
        </w:tc>
        <w:tc>
          <w:tcPr>
            <w:tcW w:w="950" w:type="dxa"/>
          </w:tcPr>
          <w:p w14:paraId="1C744A0F" w14:textId="77777777" w:rsidR="00F511F4" w:rsidRPr="00E643DB" w:rsidRDefault="00F511F4" w:rsidP="001F53D9">
            <w:pPr>
              <w:jc w:val="both"/>
              <w:rPr>
                <w:rFonts w:cs="Times New Roman"/>
                <w:sz w:val="18"/>
                <w:szCs w:val="18"/>
              </w:rPr>
            </w:pPr>
            <w:r w:rsidRPr="00E643DB">
              <w:rPr>
                <w:rFonts w:cs="Times New Roman"/>
                <w:sz w:val="18"/>
                <w:szCs w:val="18"/>
              </w:rPr>
              <w:t>11.16%</w:t>
            </w:r>
          </w:p>
        </w:tc>
        <w:tc>
          <w:tcPr>
            <w:tcW w:w="949" w:type="dxa"/>
          </w:tcPr>
          <w:p w14:paraId="3449EFE6" w14:textId="77777777" w:rsidR="00F511F4" w:rsidRPr="00E643DB" w:rsidRDefault="00F511F4" w:rsidP="001F53D9">
            <w:pPr>
              <w:jc w:val="both"/>
              <w:rPr>
                <w:rFonts w:cs="Times New Roman"/>
                <w:sz w:val="18"/>
                <w:szCs w:val="18"/>
              </w:rPr>
            </w:pPr>
            <w:r w:rsidRPr="00E643DB">
              <w:rPr>
                <w:rFonts w:cs="Times New Roman"/>
                <w:sz w:val="18"/>
                <w:szCs w:val="18"/>
              </w:rPr>
              <w:t>12.83%</w:t>
            </w:r>
          </w:p>
        </w:tc>
        <w:tc>
          <w:tcPr>
            <w:tcW w:w="949" w:type="dxa"/>
          </w:tcPr>
          <w:p w14:paraId="13852B37" w14:textId="77777777" w:rsidR="00F511F4" w:rsidRPr="00E643DB" w:rsidRDefault="00F511F4" w:rsidP="001F53D9">
            <w:pPr>
              <w:jc w:val="both"/>
              <w:rPr>
                <w:rFonts w:cs="Times New Roman"/>
                <w:sz w:val="18"/>
                <w:szCs w:val="18"/>
              </w:rPr>
            </w:pPr>
            <w:r w:rsidRPr="00E643DB">
              <w:rPr>
                <w:rFonts w:cs="Times New Roman"/>
                <w:sz w:val="18"/>
                <w:szCs w:val="18"/>
              </w:rPr>
              <w:t>14.15%</w:t>
            </w:r>
          </w:p>
        </w:tc>
        <w:tc>
          <w:tcPr>
            <w:tcW w:w="949" w:type="dxa"/>
          </w:tcPr>
          <w:p w14:paraId="76D79C97" w14:textId="77777777" w:rsidR="00F511F4" w:rsidRPr="00E643DB" w:rsidRDefault="00F511F4" w:rsidP="001F53D9">
            <w:pPr>
              <w:jc w:val="both"/>
              <w:rPr>
                <w:rFonts w:cs="Times New Roman"/>
                <w:sz w:val="18"/>
                <w:szCs w:val="18"/>
              </w:rPr>
            </w:pPr>
            <w:r w:rsidRPr="00E643DB">
              <w:rPr>
                <w:rFonts w:cs="Times New Roman"/>
                <w:sz w:val="18"/>
                <w:szCs w:val="18"/>
              </w:rPr>
              <w:t>15.30%</w:t>
            </w:r>
          </w:p>
        </w:tc>
        <w:tc>
          <w:tcPr>
            <w:tcW w:w="949" w:type="dxa"/>
          </w:tcPr>
          <w:p w14:paraId="489F553A" w14:textId="77777777" w:rsidR="00F511F4" w:rsidRPr="00E643DB" w:rsidRDefault="00F511F4" w:rsidP="001F53D9">
            <w:pPr>
              <w:jc w:val="both"/>
              <w:rPr>
                <w:rFonts w:cs="Times New Roman"/>
                <w:sz w:val="18"/>
                <w:szCs w:val="18"/>
              </w:rPr>
            </w:pPr>
            <w:r w:rsidRPr="00E643DB">
              <w:rPr>
                <w:rFonts w:cs="Times New Roman"/>
                <w:sz w:val="18"/>
                <w:szCs w:val="18"/>
              </w:rPr>
              <w:t>19.64%</w:t>
            </w:r>
          </w:p>
        </w:tc>
        <w:tc>
          <w:tcPr>
            <w:tcW w:w="949" w:type="dxa"/>
          </w:tcPr>
          <w:p w14:paraId="23955C07" w14:textId="77777777" w:rsidR="00F511F4" w:rsidRPr="00E643DB" w:rsidRDefault="00F511F4" w:rsidP="001F53D9">
            <w:pPr>
              <w:jc w:val="both"/>
              <w:rPr>
                <w:rFonts w:cs="Times New Roman"/>
                <w:sz w:val="18"/>
                <w:szCs w:val="18"/>
              </w:rPr>
            </w:pPr>
            <w:r w:rsidRPr="00E643DB">
              <w:rPr>
                <w:rFonts w:cs="Times New Roman"/>
                <w:sz w:val="18"/>
                <w:szCs w:val="18"/>
              </w:rPr>
              <w:t>21.92%</w:t>
            </w:r>
          </w:p>
        </w:tc>
        <w:tc>
          <w:tcPr>
            <w:tcW w:w="949" w:type="dxa"/>
          </w:tcPr>
          <w:p w14:paraId="33F836BC" w14:textId="77777777" w:rsidR="00F511F4" w:rsidRPr="00E643DB" w:rsidRDefault="00F511F4" w:rsidP="001F53D9">
            <w:pPr>
              <w:jc w:val="both"/>
              <w:rPr>
                <w:rFonts w:cs="Times New Roman"/>
                <w:sz w:val="18"/>
                <w:szCs w:val="18"/>
              </w:rPr>
            </w:pPr>
            <w:r w:rsidRPr="00E643DB">
              <w:rPr>
                <w:rFonts w:cs="Times New Roman"/>
                <w:sz w:val="18"/>
                <w:szCs w:val="18"/>
              </w:rPr>
              <w:t>23.84%</w:t>
            </w:r>
          </w:p>
        </w:tc>
        <w:tc>
          <w:tcPr>
            <w:tcW w:w="949" w:type="dxa"/>
          </w:tcPr>
          <w:p w14:paraId="54589AFE" w14:textId="77777777" w:rsidR="00F511F4" w:rsidRPr="00E643DB" w:rsidRDefault="00F511F4" w:rsidP="001F53D9">
            <w:pPr>
              <w:jc w:val="both"/>
              <w:rPr>
                <w:rFonts w:cs="Times New Roman"/>
                <w:sz w:val="18"/>
                <w:szCs w:val="18"/>
              </w:rPr>
            </w:pPr>
            <w:r w:rsidRPr="00E643DB">
              <w:rPr>
                <w:rFonts w:cs="Times New Roman"/>
                <w:sz w:val="18"/>
                <w:szCs w:val="18"/>
              </w:rPr>
              <w:t>25.73%</w:t>
            </w:r>
          </w:p>
        </w:tc>
        <w:tc>
          <w:tcPr>
            <w:tcW w:w="949" w:type="dxa"/>
          </w:tcPr>
          <w:p w14:paraId="663EF42A" w14:textId="77777777" w:rsidR="00F511F4" w:rsidRPr="00E643DB" w:rsidRDefault="00F511F4" w:rsidP="001F53D9">
            <w:pPr>
              <w:jc w:val="both"/>
              <w:rPr>
                <w:rFonts w:cs="Times New Roman"/>
                <w:sz w:val="18"/>
                <w:szCs w:val="18"/>
              </w:rPr>
            </w:pPr>
            <w:r w:rsidRPr="00E643DB">
              <w:rPr>
                <w:rFonts w:cs="Times New Roman"/>
                <w:sz w:val="18"/>
                <w:szCs w:val="18"/>
              </w:rPr>
              <w:t>27.84%</w:t>
            </w:r>
          </w:p>
        </w:tc>
        <w:tc>
          <w:tcPr>
            <w:tcW w:w="949" w:type="dxa"/>
          </w:tcPr>
          <w:p w14:paraId="1829CCB2" w14:textId="77777777" w:rsidR="00F511F4" w:rsidRPr="00E643DB" w:rsidRDefault="00F511F4" w:rsidP="001F53D9">
            <w:pPr>
              <w:jc w:val="both"/>
              <w:rPr>
                <w:rFonts w:cs="Times New Roman"/>
                <w:sz w:val="18"/>
                <w:szCs w:val="18"/>
              </w:rPr>
            </w:pPr>
            <w:r w:rsidRPr="00E643DB">
              <w:rPr>
                <w:rFonts w:cs="Times New Roman"/>
                <w:sz w:val="18"/>
                <w:szCs w:val="18"/>
              </w:rPr>
              <w:t>32.49%</w:t>
            </w:r>
          </w:p>
        </w:tc>
        <w:tc>
          <w:tcPr>
            <w:tcW w:w="949" w:type="dxa"/>
          </w:tcPr>
          <w:p w14:paraId="169E8F8D" w14:textId="77777777" w:rsidR="00F511F4" w:rsidRPr="00E643DB" w:rsidRDefault="00F511F4" w:rsidP="001F53D9">
            <w:pPr>
              <w:jc w:val="both"/>
              <w:rPr>
                <w:rFonts w:cs="Times New Roman"/>
                <w:sz w:val="18"/>
                <w:szCs w:val="18"/>
              </w:rPr>
            </w:pPr>
            <w:r w:rsidRPr="00E643DB">
              <w:rPr>
                <w:rFonts w:cs="Times New Roman"/>
                <w:sz w:val="18"/>
                <w:szCs w:val="18"/>
              </w:rPr>
              <w:t>19.22%</w:t>
            </w:r>
          </w:p>
        </w:tc>
      </w:tr>
      <w:tr w:rsidR="00F511F4" w:rsidRPr="00E643DB" w14:paraId="23CBF4A5" w14:textId="77777777" w:rsidTr="001F53D9">
        <w:tc>
          <w:tcPr>
            <w:tcW w:w="1384" w:type="dxa"/>
          </w:tcPr>
          <w:p w14:paraId="7E03BAD1" w14:textId="77777777" w:rsidR="00F511F4" w:rsidRPr="00E643DB" w:rsidRDefault="00F511F4" w:rsidP="001F53D9">
            <w:pPr>
              <w:jc w:val="both"/>
              <w:rPr>
                <w:rFonts w:cs="Times New Roman"/>
                <w:sz w:val="18"/>
                <w:szCs w:val="18"/>
              </w:rPr>
            </w:pPr>
            <w:r w:rsidRPr="00E643DB">
              <w:rPr>
                <w:rFonts w:eastAsia="Times New Roman" w:cs="Times New Roman"/>
                <w:color w:val="000000"/>
                <w:sz w:val="18"/>
                <w:szCs w:val="18"/>
                <w:lang w:eastAsia="en-GB"/>
              </w:rPr>
              <w:t>Acute kidney failure</w:t>
            </w:r>
          </w:p>
        </w:tc>
        <w:tc>
          <w:tcPr>
            <w:tcW w:w="750" w:type="dxa"/>
          </w:tcPr>
          <w:p w14:paraId="7022ECD1" w14:textId="77777777" w:rsidR="00F511F4" w:rsidRPr="00E643DB" w:rsidRDefault="00F511F4" w:rsidP="001F53D9">
            <w:pPr>
              <w:jc w:val="both"/>
              <w:rPr>
                <w:rFonts w:cs="Times New Roman"/>
                <w:sz w:val="18"/>
                <w:szCs w:val="18"/>
              </w:rPr>
            </w:pPr>
            <w:r w:rsidRPr="00E643DB">
              <w:rPr>
                <w:rFonts w:cs="Times New Roman"/>
                <w:sz w:val="18"/>
                <w:szCs w:val="18"/>
              </w:rPr>
              <w:t>1.8</w:t>
            </w:r>
          </w:p>
        </w:tc>
        <w:tc>
          <w:tcPr>
            <w:tcW w:w="1012" w:type="dxa"/>
          </w:tcPr>
          <w:p w14:paraId="06E408BD" w14:textId="77777777" w:rsidR="00F511F4" w:rsidRPr="00E643DB" w:rsidRDefault="00F511F4" w:rsidP="001F53D9">
            <w:pPr>
              <w:jc w:val="both"/>
              <w:rPr>
                <w:rFonts w:cs="Times New Roman"/>
                <w:sz w:val="18"/>
                <w:szCs w:val="18"/>
              </w:rPr>
            </w:pPr>
            <w:r w:rsidRPr="00E643DB">
              <w:rPr>
                <w:rFonts w:cs="Times New Roman"/>
                <w:sz w:val="18"/>
                <w:szCs w:val="18"/>
              </w:rPr>
              <w:t>16.42%</w:t>
            </w:r>
          </w:p>
        </w:tc>
        <w:tc>
          <w:tcPr>
            <w:tcW w:w="950" w:type="dxa"/>
          </w:tcPr>
          <w:p w14:paraId="752FE30B" w14:textId="77777777" w:rsidR="00F511F4" w:rsidRPr="00E643DB" w:rsidRDefault="00F511F4" w:rsidP="001F53D9">
            <w:pPr>
              <w:jc w:val="both"/>
              <w:rPr>
                <w:rFonts w:cs="Times New Roman"/>
                <w:sz w:val="18"/>
                <w:szCs w:val="18"/>
              </w:rPr>
            </w:pPr>
            <w:r w:rsidRPr="00E643DB">
              <w:rPr>
                <w:rFonts w:cs="Times New Roman"/>
                <w:sz w:val="18"/>
                <w:szCs w:val="18"/>
              </w:rPr>
              <w:t>7.60%</w:t>
            </w:r>
          </w:p>
        </w:tc>
        <w:tc>
          <w:tcPr>
            <w:tcW w:w="949" w:type="dxa"/>
          </w:tcPr>
          <w:p w14:paraId="49261987" w14:textId="77777777" w:rsidR="00F511F4" w:rsidRPr="00E643DB" w:rsidRDefault="00F511F4" w:rsidP="001F53D9">
            <w:pPr>
              <w:jc w:val="both"/>
              <w:rPr>
                <w:rFonts w:cs="Times New Roman"/>
                <w:sz w:val="18"/>
                <w:szCs w:val="18"/>
              </w:rPr>
            </w:pPr>
            <w:r w:rsidRPr="00E643DB">
              <w:rPr>
                <w:rFonts w:cs="Times New Roman"/>
                <w:sz w:val="18"/>
                <w:szCs w:val="18"/>
              </w:rPr>
              <w:t>8.51%</w:t>
            </w:r>
          </w:p>
        </w:tc>
        <w:tc>
          <w:tcPr>
            <w:tcW w:w="949" w:type="dxa"/>
          </w:tcPr>
          <w:p w14:paraId="55AE25AF" w14:textId="77777777" w:rsidR="00F511F4" w:rsidRPr="00E643DB" w:rsidRDefault="00F511F4" w:rsidP="001F53D9">
            <w:pPr>
              <w:jc w:val="both"/>
              <w:rPr>
                <w:rFonts w:cs="Times New Roman"/>
                <w:sz w:val="18"/>
                <w:szCs w:val="18"/>
              </w:rPr>
            </w:pPr>
            <w:r w:rsidRPr="00E643DB">
              <w:rPr>
                <w:rFonts w:cs="Times New Roman"/>
                <w:sz w:val="18"/>
                <w:szCs w:val="18"/>
              </w:rPr>
              <w:t>9.29%</w:t>
            </w:r>
          </w:p>
        </w:tc>
        <w:tc>
          <w:tcPr>
            <w:tcW w:w="949" w:type="dxa"/>
          </w:tcPr>
          <w:p w14:paraId="14E89C05" w14:textId="77777777" w:rsidR="00F511F4" w:rsidRPr="00E643DB" w:rsidRDefault="00F511F4" w:rsidP="001F53D9">
            <w:pPr>
              <w:jc w:val="both"/>
              <w:rPr>
                <w:rFonts w:cs="Times New Roman"/>
                <w:sz w:val="18"/>
                <w:szCs w:val="18"/>
              </w:rPr>
            </w:pPr>
            <w:r w:rsidRPr="00E643DB">
              <w:rPr>
                <w:rFonts w:cs="Times New Roman"/>
                <w:sz w:val="18"/>
                <w:szCs w:val="18"/>
              </w:rPr>
              <w:t>11.55%</w:t>
            </w:r>
          </w:p>
        </w:tc>
        <w:tc>
          <w:tcPr>
            <w:tcW w:w="949" w:type="dxa"/>
          </w:tcPr>
          <w:p w14:paraId="3AB61F71" w14:textId="77777777" w:rsidR="00F511F4" w:rsidRPr="00E643DB" w:rsidRDefault="00F511F4" w:rsidP="001F53D9">
            <w:pPr>
              <w:jc w:val="both"/>
              <w:rPr>
                <w:rFonts w:cs="Times New Roman"/>
                <w:sz w:val="18"/>
                <w:szCs w:val="18"/>
              </w:rPr>
            </w:pPr>
            <w:r w:rsidRPr="00E643DB">
              <w:rPr>
                <w:rFonts w:cs="Times New Roman"/>
                <w:sz w:val="18"/>
                <w:szCs w:val="18"/>
              </w:rPr>
              <w:t>14.89%</w:t>
            </w:r>
          </w:p>
        </w:tc>
        <w:tc>
          <w:tcPr>
            <w:tcW w:w="949" w:type="dxa"/>
          </w:tcPr>
          <w:p w14:paraId="77E111A8" w14:textId="77777777" w:rsidR="00F511F4" w:rsidRPr="00E643DB" w:rsidRDefault="00F511F4" w:rsidP="001F53D9">
            <w:pPr>
              <w:jc w:val="both"/>
              <w:rPr>
                <w:rFonts w:cs="Times New Roman"/>
                <w:sz w:val="18"/>
                <w:szCs w:val="18"/>
              </w:rPr>
            </w:pPr>
            <w:r w:rsidRPr="00E643DB">
              <w:rPr>
                <w:rFonts w:cs="Times New Roman"/>
                <w:sz w:val="18"/>
                <w:szCs w:val="18"/>
              </w:rPr>
              <w:t>17.98%</w:t>
            </w:r>
          </w:p>
        </w:tc>
        <w:tc>
          <w:tcPr>
            <w:tcW w:w="949" w:type="dxa"/>
          </w:tcPr>
          <w:p w14:paraId="106F518C" w14:textId="77777777" w:rsidR="00F511F4" w:rsidRPr="00E643DB" w:rsidRDefault="00F511F4" w:rsidP="001F53D9">
            <w:pPr>
              <w:jc w:val="both"/>
              <w:rPr>
                <w:rFonts w:cs="Times New Roman"/>
                <w:sz w:val="18"/>
                <w:szCs w:val="18"/>
              </w:rPr>
            </w:pPr>
            <w:r w:rsidRPr="00E643DB">
              <w:rPr>
                <w:rFonts w:cs="Times New Roman"/>
                <w:sz w:val="18"/>
                <w:szCs w:val="18"/>
              </w:rPr>
              <w:t>19.81%</w:t>
            </w:r>
          </w:p>
        </w:tc>
        <w:tc>
          <w:tcPr>
            <w:tcW w:w="949" w:type="dxa"/>
          </w:tcPr>
          <w:p w14:paraId="1998108C" w14:textId="77777777" w:rsidR="00F511F4" w:rsidRPr="00E643DB" w:rsidRDefault="00F511F4" w:rsidP="001F53D9">
            <w:pPr>
              <w:jc w:val="both"/>
              <w:rPr>
                <w:rFonts w:cs="Times New Roman"/>
                <w:sz w:val="18"/>
                <w:szCs w:val="18"/>
              </w:rPr>
            </w:pPr>
            <w:r w:rsidRPr="00E643DB">
              <w:rPr>
                <w:rFonts w:cs="Times New Roman"/>
                <w:sz w:val="18"/>
                <w:szCs w:val="18"/>
              </w:rPr>
              <w:t>20.45%</w:t>
            </w:r>
          </w:p>
        </w:tc>
        <w:tc>
          <w:tcPr>
            <w:tcW w:w="949" w:type="dxa"/>
          </w:tcPr>
          <w:p w14:paraId="79BF9689" w14:textId="77777777" w:rsidR="00F511F4" w:rsidRPr="00E643DB" w:rsidRDefault="00F511F4" w:rsidP="001F53D9">
            <w:pPr>
              <w:jc w:val="both"/>
              <w:rPr>
                <w:rFonts w:cs="Times New Roman"/>
                <w:sz w:val="18"/>
                <w:szCs w:val="18"/>
              </w:rPr>
            </w:pPr>
            <w:r w:rsidRPr="00E643DB">
              <w:rPr>
                <w:rFonts w:cs="Times New Roman"/>
                <w:sz w:val="18"/>
                <w:szCs w:val="18"/>
              </w:rPr>
              <w:t>22.28%</w:t>
            </w:r>
          </w:p>
        </w:tc>
        <w:tc>
          <w:tcPr>
            <w:tcW w:w="949" w:type="dxa"/>
          </w:tcPr>
          <w:p w14:paraId="45FEF124" w14:textId="77777777" w:rsidR="00F511F4" w:rsidRPr="00E643DB" w:rsidRDefault="00F511F4" w:rsidP="001F53D9">
            <w:pPr>
              <w:jc w:val="both"/>
              <w:rPr>
                <w:rFonts w:cs="Times New Roman"/>
                <w:sz w:val="18"/>
                <w:szCs w:val="18"/>
              </w:rPr>
            </w:pPr>
            <w:r w:rsidRPr="00E643DB">
              <w:rPr>
                <w:rFonts w:cs="Times New Roman"/>
                <w:sz w:val="18"/>
                <w:szCs w:val="18"/>
              </w:rPr>
              <w:t>24.62%</w:t>
            </w:r>
          </w:p>
        </w:tc>
        <w:tc>
          <w:tcPr>
            <w:tcW w:w="949" w:type="dxa"/>
          </w:tcPr>
          <w:p w14:paraId="6075D728" w14:textId="77777777" w:rsidR="00F511F4" w:rsidRPr="00E643DB" w:rsidRDefault="00F511F4" w:rsidP="001F53D9">
            <w:pPr>
              <w:jc w:val="both"/>
              <w:rPr>
                <w:rFonts w:cs="Times New Roman"/>
                <w:sz w:val="18"/>
                <w:szCs w:val="18"/>
              </w:rPr>
            </w:pPr>
            <w:r w:rsidRPr="00E643DB">
              <w:rPr>
                <w:rFonts w:cs="Times New Roman"/>
                <w:sz w:val="18"/>
                <w:szCs w:val="18"/>
              </w:rPr>
              <w:t>27.27%</w:t>
            </w:r>
          </w:p>
        </w:tc>
      </w:tr>
      <w:tr w:rsidR="00F511F4" w:rsidRPr="00E643DB" w14:paraId="7AEB0020" w14:textId="77777777" w:rsidTr="001F53D9">
        <w:tc>
          <w:tcPr>
            <w:tcW w:w="1384" w:type="dxa"/>
          </w:tcPr>
          <w:p w14:paraId="627532FC" w14:textId="77777777" w:rsidR="00F511F4" w:rsidRPr="00E643DB" w:rsidRDefault="00F511F4" w:rsidP="001F53D9">
            <w:pPr>
              <w:jc w:val="both"/>
              <w:rPr>
                <w:rFonts w:cs="Times New Roman"/>
                <w:sz w:val="18"/>
                <w:szCs w:val="18"/>
              </w:rPr>
            </w:pPr>
            <w:r w:rsidRPr="00E643DB">
              <w:rPr>
                <w:rFonts w:eastAsia="Times New Roman" w:cs="Times New Roman"/>
                <w:color w:val="000000"/>
                <w:sz w:val="18"/>
                <w:szCs w:val="18"/>
                <w:lang w:eastAsia="en-GB"/>
              </w:rPr>
              <w:t>Anemia, not elsewhere specified</w:t>
            </w:r>
          </w:p>
        </w:tc>
        <w:tc>
          <w:tcPr>
            <w:tcW w:w="750" w:type="dxa"/>
          </w:tcPr>
          <w:p w14:paraId="4531CD9B" w14:textId="77777777" w:rsidR="00F511F4" w:rsidRPr="00E643DB" w:rsidRDefault="00F511F4" w:rsidP="001F53D9">
            <w:pPr>
              <w:jc w:val="both"/>
              <w:rPr>
                <w:rFonts w:cs="Times New Roman"/>
                <w:sz w:val="18"/>
                <w:szCs w:val="18"/>
              </w:rPr>
            </w:pPr>
            <w:r w:rsidRPr="00E643DB">
              <w:rPr>
                <w:rFonts w:cs="Times New Roman"/>
                <w:sz w:val="18"/>
                <w:szCs w:val="18"/>
              </w:rPr>
              <w:t>0.4</w:t>
            </w:r>
          </w:p>
        </w:tc>
        <w:tc>
          <w:tcPr>
            <w:tcW w:w="1012" w:type="dxa"/>
          </w:tcPr>
          <w:p w14:paraId="22A987E8" w14:textId="77777777" w:rsidR="00F511F4" w:rsidRPr="00E643DB" w:rsidRDefault="00F511F4" w:rsidP="001F53D9">
            <w:pPr>
              <w:jc w:val="both"/>
              <w:rPr>
                <w:rFonts w:cs="Times New Roman"/>
                <w:sz w:val="18"/>
                <w:szCs w:val="18"/>
              </w:rPr>
            </w:pPr>
            <w:r w:rsidRPr="00E643DB">
              <w:rPr>
                <w:rFonts w:cs="Times New Roman"/>
                <w:sz w:val="18"/>
                <w:szCs w:val="18"/>
              </w:rPr>
              <w:t>13.34%</w:t>
            </w:r>
          </w:p>
        </w:tc>
        <w:tc>
          <w:tcPr>
            <w:tcW w:w="950" w:type="dxa"/>
          </w:tcPr>
          <w:p w14:paraId="5CCF8587" w14:textId="77777777" w:rsidR="00F511F4" w:rsidRPr="00E643DB" w:rsidRDefault="00F511F4" w:rsidP="001F53D9">
            <w:pPr>
              <w:jc w:val="both"/>
              <w:rPr>
                <w:rFonts w:cs="Times New Roman"/>
                <w:sz w:val="18"/>
                <w:szCs w:val="18"/>
              </w:rPr>
            </w:pPr>
            <w:r w:rsidRPr="00E643DB">
              <w:rPr>
                <w:rFonts w:cs="Times New Roman"/>
                <w:sz w:val="18"/>
                <w:szCs w:val="18"/>
              </w:rPr>
              <w:t>12.13%</w:t>
            </w:r>
          </w:p>
        </w:tc>
        <w:tc>
          <w:tcPr>
            <w:tcW w:w="949" w:type="dxa"/>
          </w:tcPr>
          <w:p w14:paraId="2042795E" w14:textId="77777777" w:rsidR="00F511F4" w:rsidRPr="00E643DB" w:rsidRDefault="00F511F4" w:rsidP="001F53D9">
            <w:pPr>
              <w:jc w:val="both"/>
              <w:rPr>
                <w:rFonts w:cs="Times New Roman"/>
                <w:sz w:val="18"/>
                <w:szCs w:val="18"/>
              </w:rPr>
            </w:pPr>
            <w:r w:rsidRPr="00E643DB">
              <w:rPr>
                <w:rFonts w:cs="Times New Roman"/>
                <w:sz w:val="18"/>
                <w:szCs w:val="18"/>
              </w:rPr>
              <w:t>11.83%</w:t>
            </w:r>
          </w:p>
        </w:tc>
        <w:tc>
          <w:tcPr>
            <w:tcW w:w="949" w:type="dxa"/>
          </w:tcPr>
          <w:p w14:paraId="3136BF26" w14:textId="77777777" w:rsidR="00F511F4" w:rsidRPr="00E643DB" w:rsidRDefault="00F511F4" w:rsidP="001F53D9">
            <w:pPr>
              <w:jc w:val="both"/>
              <w:rPr>
                <w:rFonts w:cs="Times New Roman"/>
                <w:sz w:val="18"/>
                <w:szCs w:val="18"/>
              </w:rPr>
            </w:pPr>
            <w:r w:rsidRPr="00E643DB">
              <w:rPr>
                <w:rFonts w:cs="Times New Roman"/>
                <w:sz w:val="18"/>
                <w:szCs w:val="18"/>
              </w:rPr>
              <w:t>11.82%</w:t>
            </w:r>
          </w:p>
        </w:tc>
        <w:tc>
          <w:tcPr>
            <w:tcW w:w="949" w:type="dxa"/>
          </w:tcPr>
          <w:p w14:paraId="1C4FF0E5" w14:textId="77777777" w:rsidR="00F511F4" w:rsidRPr="00E643DB" w:rsidRDefault="00F511F4" w:rsidP="001F53D9">
            <w:pPr>
              <w:jc w:val="both"/>
              <w:rPr>
                <w:rFonts w:cs="Times New Roman"/>
                <w:sz w:val="18"/>
                <w:szCs w:val="18"/>
              </w:rPr>
            </w:pPr>
            <w:r w:rsidRPr="00E643DB">
              <w:rPr>
                <w:rFonts w:cs="Times New Roman"/>
                <w:sz w:val="18"/>
                <w:szCs w:val="18"/>
              </w:rPr>
              <w:t>11.91%</w:t>
            </w:r>
          </w:p>
        </w:tc>
        <w:tc>
          <w:tcPr>
            <w:tcW w:w="949" w:type="dxa"/>
          </w:tcPr>
          <w:p w14:paraId="41D93DBC" w14:textId="77777777" w:rsidR="00F511F4" w:rsidRPr="00E643DB" w:rsidRDefault="00F511F4" w:rsidP="001F53D9">
            <w:pPr>
              <w:jc w:val="both"/>
              <w:rPr>
                <w:rFonts w:cs="Times New Roman"/>
                <w:sz w:val="18"/>
                <w:szCs w:val="18"/>
              </w:rPr>
            </w:pPr>
            <w:r w:rsidRPr="00E643DB">
              <w:rPr>
                <w:rFonts w:cs="Times New Roman"/>
                <w:sz w:val="18"/>
                <w:szCs w:val="18"/>
              </w:rPr>
              <w:t>12.46%</w:t>
            </w:r>
          </w:p>
        </w:tc>
        <w:tc>
          <w:tcPr>
            <w:tcW w:w="949" w:type="dxa"/>
          </w:tcPr>
          <w:p w14:paraId="46222625" w14:textId="77777777" w:rsidR="00F511F4" w:rsidRPr="00E643DB" w:rsidRDefault="00F511F4" w:rsidP="001F53D9">
            <w:pPr>
              <w:jc w:val="both"/>
              <w:rPr>
                <w:rFonts w:cs="Times New Roman"/>
                <w:sz w:val="18"/>
                <w:szCs w:val="18"/>
              </w:rPr>
            </w:pPr>
            <w:r w:rsidRPr="00E643DB">
              <w:rPr>
                <w:rFonts w:cs="Times New Roman"/>
                <w:sz w:val="18"/>
                <w:szCs w:val="18"/>
              </w:rPr>
              <w:t>14.15%</w:t>
            </w:r>
          </w:p>
        </w:tc>
        <w:tc>
          <w:tcPr>
            <w:tcW w:w="949" w:type="dxa"/>
          </w:tcPr>
          <w:p w14:paraId="271E32E8" w14:textId="77777777" w:rsidR="00F511F4" w:rsidRPr="00E643DB" w:rsidRDefault="00F511F4" w:rsidP="001F53D9">
            <w:pPr>
              <w:jc w:val="both"/>
              <w:rPr>
                <w:rFonts w:cs="Times New Roman"/>
                <w:sz w:val="18"/>
                <w:szCs w:val="18"/>
              </w:rPr>
            </w:pPr>
            <w:r w:rsidRPr="00E643DB">
              <w:rPr>
                <w:rFonts w:cs="Times New Roman"/>
                <w:sz w:val="18"/>
                <w:szCs w:val="18"/>
              </w:rPr>
              <w:t>14.35%</w:t>
            </w:r>
          </w:p>
        </w:tc>
        <w:tc>
          <w:tcPr>
            <w:tcW w:w="949" w:type="dxa"/>
          </w:tcPr>
          <w:p w14:paraId="4C93C379" w14:textId="77777777" w:rsidR="00F511F4" w:rsidRPr="00E643DB" w:rsidRDefault="00F511F4" w:rsidP="001F53D9">
            <w:pPr>
              <w:jc w:val="both"/>
              <w:rPr>
                <w:rFonts w:cs="Times New Roman"/>
                <w:sz w:val="18"/>
                <w:szCs w:val="18"/>
              </w:rPr>
            </w:pPr>
            <w:r w:rsidRPr="00E643DB">
              <w:rPr>
                <w:rFonts w:cs="Times New Roman"/>
                <w:sz w:val="18"/>
                <w:szCs w:val="18"/>
              </w:rPr>
              <w:t>14.66%</w:t>
            </w:r>
          </w:p>
        </w:tc>
        <w:tc>
          <w:tcPr>
            <w:tcW w:w="949" w:type="dxa"/>
          </w:tcPr>
          <w:p w14:paraId="5BBEE6F3" w14:textId="77777777" w:rsidR="00F511F4" w:rsidRPr="00E643DB" w:rsidRDefault="00F511F4" w:rsidP="001F53D9">
            <w:pPr>
              <w:jc w:val="both"/>
              <w:rPr>
                <w:rFonts w:cs="Times New Roman"/>
                <w:sz w:val="18"/>
                <w:szCs w:val="18"/>
              </w:rPr>
            </w:pPr>
            <w:r w:rsidRPr="00E643DB">
              <w:rPr>
                <w:rFonts w:cs="Times New Roman"/>
                <w:sz w:val="18"/>
                <w:szCs w:val="18"/>
              </w:rPr>
              <w:t>15.01%</w:t>
            </w:r>
          </w:p>
        </w:tc>
        <w:tc>
          <w:tcPr>
            <w:tcW w:w="949" w:type="dxa"/>
          </w:tcPr>
          <w:p w14:paraId="45AEEAFE" w14:textId="77777777" w:rsidR="00F511F4" w:rsidRPr="00E643DB" w:rsidRDefault="00F511F4" w:rsidP="001F53D9">
            <w:pPr>
              <w:jc w:val="both"/>
              <w:rPr>
                <w:rFonts w:cs="Times New Roman"/>
                <w:sz w:val="18"/>
                <w:szCs w:val="18"/>
              </w:rPr>
            </w:pPr>
            <w:r w:rsidRPr="00E643DB">
              <w:rPr>
                <w:rFonts w:cs="Times New Roman"/>
                <w:sz w:val="18"/>
                <w:szCs w:val="18"/>
              </w:rPr>
              <w:t>14.53%</w:t>
            </w:r>
          </w:p>
        </w:tc>
        <w:tc>
          <w:tcPr>
            <w:tcW w:w="949" w:type="dxa"/>
          </w:tcPr>
          <w:p w14:paraId="6279EFA2" w14:textId="77777777" w:rsidR="00F511F4" w:rsidRPr="00E643DB" w:rsidRDefault="00F511F4" w:rsidP="001F53D9">
            <w:pPr>
              <w:jc w:val="both"/>
              <w:rPr>
                <w:rFonts w:cs="Times New Roman"/>
                <w:sz w:val="18"/>
                <w:szCs w:val="18"/>
              </w:rPr>
            </w:pPr>
            <w:r w:rsidRPr="00E643DB">
              <w:rPr>
                <w:rFonts w:cs="Times New Roman"/>
                <w:sz w:val="18"/>
                <w:szCs w:val="18"/>
              </w:rPr>
              <w:t>14.63%</w:t>
            </w:r>
          </w:p>
        </w:tc>
      </w:tr>
      <w:tr w:rsidR="00F511F4" w:rsidRPr="00E643DB" w14:paraId="085394B3" w14:textId="77777777" w:rsidTr="001F53D9">
        <w:tc>
          <w:tcPr>
            <w:tcW w:w="1384" w:type="dxa"/>
          </w:tcPr>
          <w:p w14:paraId="2470C982" w14:textId="77777777" w:rsidR="00F511F4" w:rsidRPr="00E643DB" w:rsidRDefault="00F511F4" w:rsidP="001F53D9">
            <w:pPr>
              <w:jc w:val="both"/>
              <w:rPr>
                <w:rFonts w:cs="Times New Roman"/>
                <w:sz w:val="18"/>
                <w:szCs w:val="18"/>
              </w:rPr>
            </w:pPr>
            <w:r w:rsidRPr="00E643DB">
              <w:rPr>
                <w:rFonts w:eastAsia="Times New Roman" w:cs="Times New Roman"/>
                <w:color w:val="000000"/>
                <w:sz w:val="18"/>
                <w:szCs w:val="18"/>
                <w:lang w:eastAsia="en-GB"/>
              </w:rPr>
              <w:t>Pneumonia, organism unspecified</w:t>
            </w:r>
          </w:p>
        </w:tc>
        <w:tc>
          <w:tcPr>
            <w:tcW w:w="750" w:type="dxa"/>
          </w:tcPr>
          <w:p w14:paraId="15EF39B3" w14:textId="77777777" w:rsidR="00F511F4" w:rsidRPr="00E643DB" w:rsidRDefault="00F511F4" w:rsidP="001F53D9">
            <w:pPr>
              <w:jc w:val="both"/>
              <w:rPr>
                <w:rFonts w:cs="Times New Roman"/>
                <w:sz w:val="18"/>
                <w:szCs w:val="18"/>
              </w:rPr>
            </w:pPr>
            <w:r w:rsidRPr="00E643DB">
              <w:rPr>
                <w:rFonts w:cs="Times New Roman"/>
                <w:sz w:val="18"/>
                <w:szCs w:val="18"/>
              </w:rPr>
              <w:t>1.5</w:t>
            </w:r>
          </w:p>
        </w:tc>
        <w:tc>
          <w:tcPr>
            <w:tcW w:w="1012" w:type="dxa"/>
          </w:tcPr>
          <w:p w14:paraId="158547B8" w14:textId="77777777" w:rsidR="00F511F4" w:rsidRPr="00E643DB" w:rsidRDefault="00F511F4" w:rsidP="001F53D9">
            <w:pPr>
              <w:jc w:val="both"/>
              <w:rPr>
                <w:rFonts w:cs="Times New Roman"/>
                <w:sz w:val="18"/>
                <w:szCs w:val="18"/>
              </w:rPr>
            </w:pPr>
            <w:r w:rsidRPr="00E643DB">
              <w:rPr>
                <w:rFonts w:cs="Times New Roman"/>
                <w:sz w:val="18"/>
                <w:szCs w:val="18"/>
              </w:rPr>
              <w:t>6.86%</w:t>
            </w:r>
          </w:p>
        </w:tc>
        <w:tc>
          <w:tcPr>
            <w:tcW w:w="950" w:type="dxa"/>
          </w:tcPr>
          <w:p w14:paraId="351D2075" w14:textId="77777777" w:rsidR="00F511F4" w:rsidRPr="00E643DB" w:rsidRDefault="00F511F4" w:rsidP="001F53D9">
            <w:pPr>
              <w:jc w:val="both"/>
              <w:rPr>
                <w:rFonts w:cs="Times New Roman"/>
                <w:sz w:val="18"/>
                <w:szCs w:val="18"/>
              </w:rPr>
            </w:pPr>
            <w:r w:rsidRPr="00E643DB">
              <w:rPr>
                <w:rFonts w:cs="Times New Roman"/>
                <w:sz w:val="18"/>
                <w:szCs w:val="18"/>
              </w:rPr>
              <w:t>7.96%</w:t>
            </w:r>
          </w:p>
        </w:tc>
        <w:tc>
          <w:tcPr>
            <w:tcW w:w="949" w:type="dxa"/>
          </w:tcPr>
          <w:p w14:paraId="3972EE56" w14:textId="77777777" w:rsidR="00F511F4" w:rsidRPr="00E643DB" w:rsidRDefault="00F511F4" w:rsidP="001F53D9">
            <w:pPr>
              <w:jc w:val="both"/>
              <w:rPr>
                <w:rFonts w:cs="Times New Roman"/>
                <w:sz w:val="18"/>
                <w:szCs w:val="18"/>
              </w:rPr>
            </w:pPr>
            <w:r w:rsidRPr="00E643DB">
              <w:rPr>
                <w:rFonts w:cs="Times New Roman"/>
                <w:sz w:val="18"/>
                <w:szCs w:val="18"/>
              </w:rPr>
              <w:t>10.24%</w:t>
            </w:r>
          </w:p>
        </w:tc>
        <w:tc>
          <w:tcPr>
            <w:tcW w:w="949" w:type="dxa"/>
          </w:tcPr>
          <w:p w14:paraId="092E3E2D" w14:textId="77777777" w:rsidR="00F511F4" w:rsidRPr="00E643DB" w:rsidRDefault="00F511F4" w:rsidP="001F53D9">
            <w:pPr>
              <w:jc w:val="both"/>
              <w:rPr>
                <w:rFonts w:cs="Times New Roman"/>
                <w:sz w:val="18"/>
                <w:szCs w:val="18"/>
              </w:rPr>
            </w:pPr>
            <w:r w:rsidRPr="00E643DB">
              <w:rPr>
                <w:rFonts w:cs="Times New Roman"/>
                <w:sz w:val="18"/>
                <w:szCs w:val="18"/>
              </w:rPr>
              <w:t>11.34%</w:t>
            </w:r>
          </w:p>
        </w:tc>
        <w:tc>
          <w:tcPr>
            <w:tcW w:w="949" w:type="dxa"/>
          </w:tcPr>
          <w:p w14:paraId="4E13EB29" w14:textId="77777777" w:rsidR="00F511F4" w:rsidRPr="00E643DB" w:rsidRDefault="00F511F4" w:rsidP="001F53D9">
            <w:pPr>
              <w:jc w:val="both"/>
              <w:rPr>
                <w:rFonts w:cs="Times New Roman"/>
                <w:sz w:val="18"/>
                <w:szCs w:val="18"/>
              </w:rPr>
            </w:pPr>
            <w:r w:rsidRPr="00E643DB">
              <w:rPr>
                <w:rFonts w:cs="Times New Roman"/>
                <w:sz w:val="18"/>
                <w:szCs w:val="18"/>
              </w:rPr>
              <w:t>12.06%</w:t>
            </w:r>
          </w:p>
        </w:tc>
        <w:tc>
          <w:tcPr>
            <w:tcW w:w="949" w:type="dxa"/>
          </w:tcPr>
          <w:p w14:paraId="6D31612E" w14:textId="77777777" w:rsidR="00F511F4" w:rsidRPr="00E643DB" w:rsidRDefault="00F511F4" w:rsidP="001F53D9">
            <w:pPr>
              <w:jc w:val="both"/>
              <w:rPr>
                <w:rFonts w:cs="Times New Roman"/>
                <w:sz w:val="18"/>
                <w:szCs w:val="18"/>
              </w:rPr>
            </w:pPr>
            <w:r w:rsidRPr="00E643DB">
              <w:rPr>
                <w:rFonts w:cs="Times New Roman"/>
                <w:sz w:val="18"/>
                <w:szCs w:val="18"/>
              </w:rPr>
              <w:t>12.46%</w:t>
            </w:r>
          </w:p>
        </w:tc>
        <w:tc>
          <w:tcPr>
            <w:tcW w:w="949" w:type="dxa"/>
          </w:tcPr>
          <w:p w14:paraId="1A6A0106" w14:textId="77777777" w:rsidR="00F511F4" w:rsidRPr="00E643DB" w:rsidRDefault="00F511F4" w:rsidP="001F53D9">
            <w:pPr>
              <w:jc w:val="both"/>
              <w:rPr>
                <w:rFonts w:cs="Times New Roman"/>
                <w:sz w:val="18"/>
                <w:szCs w:val="18"/>
              </w:rPr>
            </w:pPr>
            <w:r w:rsidRPr="00E643DB">
              <w:rPr>
                <w:rFonts w:cs="Times New Roman"/>
                <w:sz w:val="18"/>
                <w:szCs w:val="18"/>
              </w:rPr>
              <w:t>12.80%</w:t>
            </w:r>
          </w:p>
        </w:tc>
        <w:tc>
          <w:tcPr>
            <w:tcW w:w="949" w:type="dxa"/>
          </w:tcPr>
          <w:p w14:paraId="6FB5F873" w14:textId="77777777" w:rsidR="00F511F4" w:rsidRPr="00E643DB" w:rsidRDefault="00F511F4" w:rsidP="001F53D9">
            <w:pPr>
              <w:jc w:val="both"/>
              <w:rPr>
                <w:rFonts w:cs="Times New Roman"/>
                <w:sz w:val="18"/>
                <w:szCs w:val="18"/>
              </w:rPr>
            </w:pPr>
            <w:r w:rsidRPr="00E643DB">
              <w:rPr>
                <w:rFonts w:cs="Times New Roman"/>
                <w:sz w:val="18"/>
                <w:szCs w:val="18"/>
              </w:rPr>
              <w:t>13.02%</w:t>
            </w:r>
          </w:p>
        </w:tc>
        <w:tc>
          <w:tcPr>
            <w:tcW w:w="949" w:type="dxa"/>
          </w:tcPr>
          <w:p w14:paraId="3309599A" w14:textId="77777777" w:rsidR="00F511F4" w:rsidRPr="00E643DB" w:rsidRDefault="00F511F4" w:rsidP="001F53D9">
            <w:pPr>
              <w:jc w:val="both"/>
              <w:rPr>
                <w:rFonts w:cs="Times New Roman"/>
                <w:sz w:val="18"/>
                <w:szCs w:val="18"/>
              </w:rPr>
            </w:pPr>
            <w:r w:rsidRPr="00E643DB">
              <w:rPr>
                <w:rFonts w:cs="Times New Roman"/>
                <w:sz w:val="18"/>
                <w:szCs w:val="18"/>
              </w:rPr>
              <w:t>12.64%</w:t>
            </w:r>
          </w:p>
        </w:tc>
        <w:tc>
          <w:tcPr>
            <w:tcW w:w="949" w:type="dxa"/>
          </w:tcPr>
          <w:p w14:paraId="08BF2C4F" w14:textId="77777777" w:rsidR="00F511F4" w:rsidRPr="00E643DB" w:rsidRDefault="00F511F4" w:rsidP="001F53D9">
            <w:pPr>
              <w:jc w:val="both"/>
              <w:rPr>
                <w:rFonts w:cs="Times New Roman"/>
                <w:sz w:val="18"/>
                <w:szCs w:val="18"/>
              </w:rPr>
            </w:pPr>
            <w:r w:rsidRPr="00E643DB">
              <w:rPr>
                <w:rFonts w:cs="Times New Roman"/>
                <w:sz w:val="18"/>
                <w:szCs w:val="18"/>
              </w:rPr>
              <w:t>12.88%</w:t>
            </w:r>
          </w:p>
        </w:tc>
        <w:tc>
          <w:tcPr>
            <w:tcW w:w="949" w:type="dxa"/>
          </w:tcPr>
          <w:p w14:paraId="2913917E" w14:textId="77777777" w:rsidR="00F511F4" w:rsidRPr="00E643DB" w:rsidRDefault="00F511F4" w:rsidP="001F53D9">
            <w:pPr>
              <w:jc w:val="both"/>
              <w:rPr>
                <w:rFonts w:cs="Times New Roman"/>
                <w:sz w:val="18"/>
                <w:szCs w:val="18"/>
              </w:rPr>
            </w:pPr>
            <w:r w:rsidRPr="00E643DB">
              <w:rPr>
                <w:rFonts w:cs="Times New Roman"/>
                <w:sz w:val="18"/>
                <w:szCs w:val="18"/>
              </w:rPr>
              <w:t>12.43%</w:t>
            </w:r>
          </w:p>
        </w:tc>
        <w:tc>
          <w:tcPr>
            <w:tcW w:w="949" w:type="dxa"/>
          </w:tcPr>
          <w:p w14:paraId="6EC14A7D" w14:textId="77777777" w:rsidR="00F511F4" w:rsidRPr="00E643DB" w:rsidRDefault="00F511F4" w:rsidP="001F53D9">
            <w:pPr>
              <w:jc w:val="both"/>
              <w:rPr>
                <w:rFonts w:cs="Times New Roman"/>
                <w:sz w:val="18"/>
                <w:szCs w:val="18"/>
              </w:rPr>
            </w:pPr>
            <w:r w:rsidRPr="00E643DB">
              <w:rPr>
                <w:rFonts w:cs="Times New Roman"/>
                <w:sz w:val="18"/>
                <w:szCs w:val="18"/>
              </w:rPr>
              <w:t>11.26%</w:t>
            </w:r>
          </w:p>
        </w:tc>
      </w:tr>
      <w:tr w:rsidR="00F511F4" w:rsidRPr="00E643DB" w14:paraId="674A6DDE" w14:textId="77777777" w:rsidTr="001F53D9">
        <w:tc>
          <w:tcPr>
            <w:tcW w:w="1384" w:type="dxa"/>
          </w:tcPr>
          <w:p w14:paraId="097C511A" w14:textId="77777777" w:rsidR="00F511F4" w:rsidRPr="00E643DB" w:rsidRDefault="00F511F4" w:rsidP="001F53D9">
            <w:pPr>
              <w:jc w:val="both"/>
              <w:rPr>
                <w:rFonts w:cs="Times New Roman"/>
                <w:sz w:val="18"/>
                <w:szCs w:val="18"/>
              </w:rPr>
            </w:pPr>
            <w:r w:rsidRPr="00E643DB">
              <w:rPr>
                <w:rFonts w:eastAsia="Times New Roman" w:cs="Times New Roman"/>
                <w:color w:val="000000"/>
                <w:sz w:val="18"/>
                <w:szCs w:val="18"/>
                <w:lang w:eastAsia="en-GB"/>
              </w:rPr>
              <w:t>Respiratory failure</w:t>
            </w:r>
          </w:p>
        </w:tc>
        <w:tc>
          <w:tcPr>
            <w:tcW w:w="750" w:type="dxa"/>
          </w:tcPr>
          <w:p w14:paraId="013FFD29" w14:textId="77777777" w:rsidR="00F511F4" w:rsidRPr="00E643DB" w:rsidRDefault="00F511F4" w:rsidP="001F53D9">
            <w:pPr>
              <w:jc w:val="both"/>
              <w:rPr>
                <w:rFonts w:cs="Times New Roman"/>
                <w:sz w:val="18"/>
                <w:szCs w:val="18"/>
              </w:rPr>
            </w:pPr>
            <w:r w:rsidRPr="00E643DB">
              <w:rPr>
                <w:rFonts w:cs="Times New Roman"/>
                <w:sz w:val="18"/>
                <w:szCs w:val="18"/>
              </w:rPr>
              <w:t>1.4</w:t>
            </w:r>
          </w:p>
        </w:tc>
        <w:tc>
          <w:tcPr>
            <w:tcW w:w="1012" w:type="dxa"/>
          </w:tcPr>
          <w:p w14:paraId="0EDFAF8A" w14:textId="77777777" w:rsidR="00F511F4" w:rsidRPr="00E643DB" w:rsidRDefault="00F511F4" w:rsidP="001F53D9">
            <w:pPr>
              <w:jc w:val="both"/>
              <w:rPr>
                <w:rFonts w:cs="Times New Roman"/>
                <w:sz w:val="18"/>
                <w:szCs w:val="18"/>
              </w:rPr>
            </w:pPr>
            <w:r w:rsidRPr="00E643DB">
              <w:rPr>
                <w:rFonts w:cs="Times New Roman"/>
                <w:sz w:val="18"/>
                <w:szCs w:val="18"/>
              </w:rPr>
              <w:t>10.78%</w:t>
            </w:r>
          </w:p>
        </w:tc>
        <w:tc>
          <w:tcPr>
            <w:tcW w:w="950" w:type="dxa"/>
          </w:tcPr>
          <w:p w14:paraId="365E09F7" w14:textId="77777777" w:rsidR="00F511F4" w:rsidRPr="00E643DB" w:rsidRDefault="00F511F4" w:rsidP="001F53D9">
            <w:pPr>
              <w:jc w:val="both"/>
              <w:rPr>
                <w:rFonts w:cs="Times New Roman"/>
                <w:sz w:val="18"/>
                <w:szCs w:val="18"/>
              </w:rPr>
            </w:pPr>
            <w:r w:rsidRPr="00E643DB">
              <w:rPr>
                <w:rFonts w:cs="Times New Roman"/>
                <w:sz w:val="18"/>
                <w:szCs w:val="18"/>
              </w:rPr>
              <w:t>6.28%</w:t>
            </w:r>
          </w:p>
        </w:tc>
        <w:tc>
          <w:tcPr>
            <w:tcW w:w="949" w:type="dxa"/>
          </w:tcPr>
          <w:p w14:paraId="50B11CFD" w14:textId="77777777" w:rsidR="00F511F4" w:rsidRPr="00E643DB" w:rsidRDefault="00F511F4" w:rsidP="001F53D9">
            <w:pPr>
              <w:jc w:val="both"/>
              <w:rPr>
                <w:rFonts w:cs="Times New Roman"/>
                <w:sz w:val="18"/>
                <w:szCs w:val="18"/>
              </w:rPr>
            </w:pPr>
            <w:r w:rsidRPr="00E643DB">
              <w:rPr>
                <w:rFonts w:cs="Times New Roman"/>
                <w:sz w:val="18"/>
                <w:szCs w:val="18"/>
              </w:rPr>
              <w:t>5.17%</w:t>
            </w:r>
          </w:p>
        </w:tc>
        <w:tc>
          <w:tcPr>
            <w:tcW w:w="949" w:type="dxa"/>
          </w:tcPr>
          <w:p w14:paraId="35B1E662" w14:textId="77777777" w:rsidR="00F511F4" w:rsidRPr="00E643DB" w:rsidRDefault="00F511F4" w:rsidP="001F53D9">
            <w:pPr>
              <w:jc w:val="both"/>
              <w:rPr>
                <w:rFonts w:cs="Times New Roman"/>
                <w:sz w:val="18"/>
                <w:szCs w:val="18"/>
              </w:rPr>
            </w:pPr>
            <w:r w:rsidRPr="00E643DB">
              <w:rPr>
                <w:rFonts w:cs="Times New Roman"/>
                <w:sz w:val="18"/>
                <w:szCs w:val="18"/>
              </w:rPr>
              <w:t>4.45%</w:t>
            </w:r>
          </w:p>
        </w:tc>
        <w:tc>
          <w:tcPr>
            <w:tcW w:w="949" w:type="dxa"/>
          </w:tcPr>
          <w:p w14:paraId="04E01A97" w14:textId="77777777" w:rsidR="00F511F4" w:rsidRPr="00E643DB" w:rsidRDefault="00F511F4" w:rsidP="001F53D9">
            <w:pPr>
              <w:jc w:val="both"/>
              <w:rPr>
                <w:rFonts w:cs="Times New Roman"/>
                <w:sz w:val="18"/>
                <w:szCs w:val="18"/>
              </w:rPr>
            </w:pPr>
            <w:r w:rsidRPr="00E643DB">
              <w:rPr>
                <w:rFonts w:cs="Times New Roman"/>
                <w:sz w:val="18"/>
                <w:szCs w:val="18"/>
              </w:rPr>
              <w:t>5.08%</w:t>
            </w:r>
          </w:p>
        </w:tc>
        <w:tc>
          <w:tcPr>
            <w:tcW w:w="949" w:type="dxa"/>
          </w:tcPr>
          <w:p w14:paraId="2468D64B" w14:textId="77777777" w:rsidR="00F511F4" w:rsidRPr="00E643DB" w:rsidRDefault="00F511F4" w:rsidP="001F53D9">
            <w:pPr>
              <w:jc w:val="both"/>
              <w:rPr>
                <w:rFonts w:cs="Times New Roman"/>
                <w:sz w:val="18"/>
                <w:szCs w:val="18"/>
              </w:rPr>
            </w:pPr>
            <w:r w:rsidRPr="00E643DB">
              <w:rPr>
                <w:rFonts w:cs="Times New Roman"/>
                <w:sz w:val="18"/>
                <w:szCs w:val="18"/>
              </w:rPr>
              <w:t>6.64%</w:t>
            </w:r>
          </w:p>
        </w:tc>
        <w:tc>
          <w:tcPr>
            <w:tcW w:w="949" w:type="dxa"/>
          </w:tcPr>
          <w:p w14:paraId="64F1C101" w14:textId="77777777" w:rsidR="00F511F4" w:rsidRPr="00E643DB" w:rsidRDefault="00F511F4" w:rsidP="001F53D9">
            <w:pPr>
              <w:jc w:val="both"/>
              <w:rPr>
                <w:rFonts w:cs="Times New Roman"/>
                <w:sz w:val="18"/>
                <w:szCs w:val="18"/>
              </w:rPr>
            </w:pPr>
            <w:r w:rsidRPr="00E643DB">
              <w:rPr>
                <w:rFonts w:cs="Times New Roman"/>
                <w:sz w:val="18"/>
                <w:szCs w:val="18"/>
              </w:rPr>
              <w:t>9.87%</w:t>
            </w:r>
          </w:p>
        </w:tc>
        <w:tc>
          <w:tcPr>
            <w:tcW w:w="949" w:type="dxa"/>
          </w:tcPr>
          <w:p w14:paraId="29862153" w14:textId="77777777" w:rsidR="00F511F4" w:rsidRPr="00E643DB" w:rsidRDefault="00F511F4" w:rsidP="001F53D9">
            <w:pPr>
              <w:jc w:val="both"/>
              <w:rPr>
                <w:rFonts w:cs="Times New Roman"/>
                <w:sz w:val="18"/>
                <w:szCs w:val="18"/>
              </w:rPr>
            </w:pPr>
            <w:r w:rsidRPr="00E643DB">
              <w:rPr>
                <w:rFonts w:cs="Times New Roman"/>
                <w:sz w:val="18"/>
                <w:szCs w:val="18"/>
              </w:rPr>
              <w:t>11.36%</w:t>
            </w:r>
          </w:p>
        </w:tc>
        <w:tc>
          <w:tcPr>
            <w:tcW w:w="949" w:type="dxa"/>
          </w:tcPr>
          <w:p w14:paraId="19B93E74" w14:textId="77777777" w:rsidR="00F511F4" w:rsidRPr="00E643DB" w:rsidRDefault="00F511F4" w:rsidP="001F53D9">
            <w:pPr>
              <w:jc w:val="both"/>
              <w:rPr>
                <w:rFonts w:cs="Times New Roman"/>
                <w:sz w:val="18"/>
                <w:szCs w:val="18"/>
              </w:rPr>
            </w:pPr>
            <w:r w:rsidRPr="00E643DB">
              <w:rPr>
                <w:rFonts w:cs="Times New Roman"/>
                <w:sz w:val="18"/>
                <w:szCs w:val="18"/>
              </w:rPr>
              <w:t>14.80%</w:t>
            </w:r>
          </w:p>
        </w:tc>
        <w:tc>
          <w:tcPr>
            <w:tcW w:w="949" w:type="dxa"/>
          </w:tcPr>
          <w:p w14:paraId="729D9EB0" w14:textId="77777777" w:rsidR="00F511F4" w:rsidRPr="00E643DB" w:rsidRDefault="00F511F4" w:rsidP="001F53D9">
            <w:pPr>
              <w:jc w:val="both"/>
              <w:rPr>
                <w:rFonts w:cs="Times New Roman"/>
                <w:sz w:val="18"/>
                <w:szCs w:val="18"/>
              </w:rPr>
            </w:pPr>
            <w:r w:rsidRPr="00E643DB">
              <w:rPr>
                <w:rFonts w:cs="Times New Roman"/>
                <w:sz w:val="18"/>
                <w:szCs w:val="18"/>
              </w:rPr>
              <w:t>16.44%</w:t>
            </w:r>
          </w:p>
        </w:tc>
        <w:tc>
          <w:tcPr>
            <w:tcW w:w="949" w:type="dxa"/>
          </w:tcPr>
          <w:p w14:paraId="23DDA8C5" w14:textId="77777777" w:rsidR="00F511F4" w:rsidRPr="00E643DB" w:rsidRDefault="00F511F4" w:rsidP="001F53D9">
            <w:pPr>
              <w:jc w:val="both"/>
              <w:rPr>
                <w:rFonts w:cs="Times New Roman"/>
                <w:sz w:val="18"/>
                <w:szCs w:val="18"/>
              </w:rPr>
            </w:pPr>
            <w:r w:rsidRPr="00E643DB">
              <w:rPr>
                <w:rFonts w:cs="Times New Roman"/>
                <w:sz w:val="18"/>
                <w:szCs w:val="18"/>
              </w:rPr>
              <w:t>19.17%</w:t>
            </w:r>
          </w:p>
        </w:tc>
        <w:tc>
          <w:tcPr>
            <w:tcW w:w="949" w:type="dxa"/>
          </w:tcPr>
          <w:p w14:paraId="09A05786" w14:textId="77777777" w:rsidR="00F511F4" w:rsidRPr="00E643DB" w:rsidRDefault="00F511F4" w:rsidP="001F53D9">
            <w:pPr>
              <w:jc w:val="both"/>
              <w:rPr>
                <w:rFonts w:cs="Times New Roman"/>
                <w:sz w:val="18"/>
                <w:szCs w:val="18"/>
              </w:rPr>
            </w:pPr>
            <w:r w:rsidRPr="00E643DB">
              <w:rPr>
                <w:rFonts w:cs="Times New Roman"/>
                <w:sz w:val="18"/>
                <w:szCs w:val="18"/>
              </w:rPr>
              <w:t>22.33%</w:t>
            </w:r>
          </w:p>
        </w:tc>
      </w:tr>
    </w:tbl>
    <w:p w14:paraId="2D65D4B6" w14:textId="77777777" w:rsidR="00F511F4" w:rsidRDefault="00F511F4" w:rsidP="00F511F4">
      <w:pPr>
        <w:sectPr w:rsidR="00F511F4" w:rsidSect="00E643DB">
          <w:pgSz w:w="16838" w:h="11906" w:orient="landscape"/>
          <w:pgMar w:top="1440" w:right="1440" w:bottom="1440" w:left="1440" w:header="708" w:footer="708" w:gutter="0"/>
          <w:cols w:space="708"/>
          <w:docGrid w:linePitch="360"/>
        </w:sectPr>
      </w:pPr>
    </w:p>
    <w:p w14:paraId="369E15A5" w14:textId="77777777" w:rsidR="00F511F4" w:rsidRPr="00F511F4" w:rsidRDefault="00F511F4" w:rsidP="00F511F4">
      <w:pPr>
        <w:spacing w:after="0" w:line="240" w:lineRule="auto"/>
        <w:rPr>
          <w:rFonts w:ascii="Times New Roman" w:hAnsi="Times New Roman" w:cs="Times New Roman"/>
          <w:b/>
          <w:sz w:val="24"/>
          <w:szCs w:val="24"/>
          <w:lang w:val="en-US"/>
        </w:rPr>
      </w:pPr>
      <w:r w:rsidRPr="00F511F4">
        <w:rPr>
          <w:rFonts w:ascii="Times New Roman" w:hAnsi="Times New Roman" w:cs="Times New Roman"/>
          <w:b/>
          <w:sz w:val="24"/>
          <w:szCs w:val="24"/>
          <w:lang w:val="en-US"/>
        </w:rPr>
        <w:lastRenderedPageBreak/>
        <w:t>Supplementary Table 4: Multiple logistic regression model to examine variables associated with any frailty</w:t>
      </w:r>
    </w:p>
    <w:tbl>
      <w:tblPr>
        <w:tblW w:w="7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2551"/>
        <w:gridCol w:w="2127"/>
      </w:tblGrid>
      <w:tr w:rsidR="00F511F4" w:rsidRPr="00B6620E" w14:paraId="57068D3D" w14:textId="77777777" w:rsidTr="001F53D9">
        <w:trPr>
          <w:trHeight w:val="285"/>
        </w:trPr>
        <w:tc>
          <w:tcPr>
            <w:tcW w:w="3227" w:type="dxa"/>
            <w:shd w:val="clear" w:color="auto" w:fill="auto"/>
            <w:noWrap/>
            <w:hideMark/>
          </w:tcPr>
          <w:p w14:paraId="69B13860" w14:textId="77777777" w:rsidR="00F511F4" w:rsidRPr="00B6620E" w:rsidRDefault="00F511F4" w:rsidP="001F53D9">
            <w:pPr>
              <w:spacing w:after="0" w:line="240" w:lineRule="auto"/>
              <w:rPr>
                <w:rFonts w:eastAsia="Times New Roman" w:cstheme="minorHAnsi"/>
                <w:color w:val="000000"/>
                <w:lang w:eastAsia="en-GB"/>
              </w:rPr>
            </w:pPr>
            <w:r w:rsidRPr="00B6620E">
              <w:rPr>
                <w:rFonts w:eastAsia="Times New Roman" w:cstheme="minorHAnsi"/>
                <w:color w:val="000000"/>
                <w:lang w:eastAsia="en-GB"/>
              </w:rPr>
              <w:t>Variable</w:t>
            </w:r>
          </w:p>
        </w:tc>
        <w:tc>
          <w:tcPr>
            <w:tcW w:w="2551" w:type="dxa"/>
            <w:shd w:val="clear" w:color="auto" w:fill="auto"/>
            <w:noWrap/>
          </w:tcPr>
          <w:p w14:paraId="4ECCA81F" w14:textId="77777777" w:rsidR="00F511F4" w:rsidRPr="00B6620E" w:rsidRDefault="00F511F4" w:rsidP="001F53D9">
            <w:pPr>
              <w:spacing w:after="0" w:line="240" w:lineRule="auto"/>
              <w:rPr>
                <w:rFonts w:eastAsia="Times New Roman" w:cstheme="minorHAnsi"/>
                <w:color w:val="000000"/>
                <w:lang w:eastAsia="en-GB"/>
              </w:rPr>
            </w:pPr>
            <w:r>
              <w:rPr>
                <w:rFonts w:eastAsia="Times New Roman" w:cstheme="minorHAnsi"/>
                <w:color w:val="000000"/>
                <w:lang w:eastAsia="en-GB"/>
              </w:rPr>
              <w:t>Odds ratio (95%CI)</w:t>
            </w:r>
          </w:p>
        </w:tc>
        <w:tc>
          <w:tcPr>
            <w:tcW w:w="2127" w:type="dxa"/>
          </w:tcPr>
          <w:p w14:paraId="1C5A80A9" w14:textId="77777777" w:rsidR="00F511F4" w:rsidRDefault="00F511F4" w:rsidP="001F53D9">
            <w:pPr>
              <w:spacing w:after="0" w:line="240" w:lineRule="auto"/>
              <w:rPr>
                <w:rFonts w:eastAsia="Times New Roman" w:cstheme="minorHAnsi"/>
                <w:color w:val="000000"/>
                <w:lang w:eastAsia="en-GB"/>
              </w:rPr>
            </w:pPr>
            <w:r>
              <w:rPr>
                <w:rFonts w:eastAsia="Times New Roman" w:cstheme="minorHAnsi"/>
                <w:color w:val="000000"/>
                <w:lang w:eastAsia="en-GB"/>
              </w:rPr>
              <w:t>p-value</w:t>
            </w:r>
          </w:p>
        </w:tc>
      </w:tr>
      <w:tr w:rsidR="00F511F4" w:rsidRPr="00B6620E" w14:paraId="33B3A61F" w14:textId="77777777" w:rsidTr="001F53D9">
        <w:trPr>
          <w:trHeight w:val="285"/>
        </w:trPr>
        <w:tc>
          <w:tcPr>
            <w:tcW w:w="3227" w:type="dxa"/>
            <w:shd w:val="clear" w:color="auto" w:fill="auto"/>
            <w:noWrap/>
            <w:hideMark/>
          </w:tcPr>
          <w:p w14:paraId="31653FB1" w14:textId="77777777" w:rsidR="00F511F4" w:rsidRPr="00B6620E" w:rsidRDefault="00F511F4" w:rsidP="001F53D9">
            <w:pPr>
              <w:spacing w:after="0" w:line="240" w:lineRule="auto"/>
              <w:rPr>
                <w:rFonts w:eastAsia="Times New Roman" w:cstheme="minorHAnsi"/>
                <w:color w:val="000000"/>
                <w:lang w:eastAsia="en-GB"/>
              </w:rPr>
            </w:pPr>
            <w:r w:rsidRPr="00B6620E">
              <w:rPr>
                <w:rFonts w:eastAsia="Times New Roman" w:cstheme="minorHAnsi"/>
                <w:color w:val="000000"/>
                <w:lang w:val="en-US" w:eastAsia="en-GB"/>
              </w:rPr>
              <w:t>Age (year)</w:t>
            </w:r>
          </w:p>
        </w:tc>
        <w:tc>
          <w:tcPr>
            <w:tcW w:w="2551" w:type="dxa"/>
            <w:shd w:val="clear" w:color="auto" w:fill="auto"/>
            <w:noWrap/>
          </w:tcPr>
          <w:p w14:paraId="14493DAC" w14:textId="77777777" w:rsidR="00F511F4" w:rsidRPr="00B6620E" w:rsidRDefault="00F511F4" w:rsidP="001F53D9">
            <w:pPr>
              <w:spacing w:after="0" w:line="240" w:lineRule="auto"/>
              <w:rPr>
                <w:rFonts w:eastAsia="Times New Roman" w:cstheme="minorHAnsi"/>
                <w:color w:val="000000"/>
                <w:lang w:eastAsia="en-GB"/>
              </w:rPr>
            </w:pPr>
            <w:r>
              <w:rPr>
                <w:rFonts w:eastAsia="Times New Roman" w:cstheme="minorHAnsi"/>
                <w:color w:val="000000"/>
                <w:lang w:eastAsia="en-GB"/>
              </w:rPr>
              <w:t>1.02 (1.02-1.02)</w:t>
            </w:r>
          </w:p>
        </w:tc>
        <w:tc>
          <w:tcPr>
            <w:tcW w:w="2127" w:type="dxa"/>
          </w:tcPr>
          <w:p w14:paraId="58CFB731" w14:textId="77777777" w:rsidR="00F511F4" w:rsidRPr="00B6620E" w:rsidRDefault="00F511F4" w:rsidP="001F53D9">
            <w:pPr>
              <w:spacing w:after="0" w:line="240" w:lineRule="auto"/>
              <w:rPr>
                <w:rFonts w:eastAsia="Times New Roman" w:cstheme="minorHAnsi"/>
                <w:color w:val="000000"/>
                <w:lang w:eastAsia="en-GB"/>
              </w:rPr>
            </w:pPr>
            <w:r>
              <w:rPr>
                <w:rFonts w:eastAsia="Times New Roman" w:cstheme="minorHAnsi"/>
                <w:color w:val="000000"/>
                <w:lang w:eastAsia="en-GB"/>
              </w:rPr>
              <w:t>&lt;0.001</w:t>
            </w:r>
          </w:p>
        </w:tc>
      </w:tr>
      <w:tr w:rsidR="00F511F4" w:rsidRPr="00B6620E" w14:paraId="26510B7D" w14:textId="77777777" w:rsidTr="001F53D9">
        <w:trPr>
          <w:trHeight w:val="285"/>
        </w:trPr>
        <w:tc>
          <w:tcPr>
            <w:tcW w:w="3227" w:type="dxa"/>
            <w:shd w:val="clear" w:color="auto" w:fill="auto"/>
            <w:noWrap/>
            <w:hideMark/>
          </w:tcPr>
          <w:p w14:paraId="0DF8CC81" w14:textId="77777777" w:rsidR="00F511F4" w:rsidRPr="00B6620E" w:rsidRDefault="00F511F4" w:rsidP="001F53D9">
            <w:pPr>
              <w:spacing w:after="0" w:line="240" w:lineRule="auto"/>
              <w:rPr>
                <w:rFonts w:eastAsia="Times New Roman" w:cstheme="minorHAnsi"/>
                <w:color w:val="000000"/>
                <w:lang w:eastAsia="en-GB"/>
              </w:rPr>
            </w:pPr>
            <w:r w:rsidRPr="00B6620E">
              <w:rPr>
                <w:rFonts w:eastAsia="Times New Roman" w:cstheme="minorHAnsi"/>
                <w:color w:val="000000"/>
                <w:lang w:val="en-US" w:eastAsia="en-GB"/>
              </w:rPr>
              <w:t>F</w:t>
            </w:r>
            <w:bookmarkStart w:id="0" w:name="_GoBack"/>
            <w:bookmarkEnd w:id="0"/>
            <w:r w:rsidRPr="00B6620E">
              <w:rPr>
                <w:rFonts w:eastAsia="Times New Roman" w:cstheme="minorHAnsi"/>
                <w:color w:val="000000"/>
                <w:lang w:val="en-US" w:eastAsia="en-GB"/>
              </w:rPr>
              <w:t>emale</w:t>
            </w:r>
          </w:p>
        </w:tc>
        <w:tc>
          <w:tcPr>
            <w:tcW w:w="2551" w:type="dxa"/>
            <w:shd w:val="clear" w:color="auto" w:fill="auto"/>
            <w:noWrap/>
          </w:tcPr>
          <w:p w14:paraId="1CCA3127" w14:textId="77777777" w:rsidR="00F511F4" w:rsidRPr="00B6620E" w:rsidRDefault="00F511F4" w:rsidP="001F53D9">
            <w:pPr>
              <w:spacing w:after="0" w:line="240" w:lineRule="auto"/>
              <w:rPr>
                <w:rFonts w:eastAsia="Times New Roman" w:cstheme="minorHAnsi"/>
                <w:color w:val="000000"/>
                <w:lang w:eastAsia="en-GB"/>
              </w:rPr>
            </w:pPr>
            <w:r>
              <w:rPr>
                <w:rFonts w:eastAsia="Times New Roman" w:cstheme="minorHAnsi"/>
                <w:color w:val="000000"/>
                <w:lang w:eastAsia="en-GB"/>
              </w:rPr>
              <w:t>1.00 (0.99-1.01)</w:t>
            </w:r>
          </w:p>
        </w:tc>
        <w:tc>
          <w:tcPr>
            <w:tcW w:w="2127" w:type="dxa"/>
          </w:tcPr>
          <w:p w14:paraId="13CC792A" w14:textId="77777777" w:rsidR="00F511F4" w:rsidRPr="00B6620E" w:rsidRDefault="00F511F4" w:rsidP="001F53D9">
            <w:pPr>
              <w:spacing w:after="0" w:line="240" w:lineRule="auto"/>
              <w:rPr>
                <w:rFonts w:eastAsia="Times New Roman" w:cstheme="minorHAnsi"/>
                <w:color w:val="000000"/>
                <w:lang w:eastAsia="en-GB"/>
              </w:rPr>
            </w:pPr>
            <w:r>
              <w:rPr>
                <w:rFonts w:eastAsia="Times New Roman" w:cstheme="minorHAnsi"/>
                <w:color w:val="000000"/>
                <w:lang w:eastAsia="en-GB"/>
              </w:rPr>
              <w:t>0.79</w:t>
            </w:r>
          </w:p>
        </w:tc>
      </w:tr>
      <w:tr w:rsidR="00F511F4" w:rsidRPr="00B6620E" w14:paraId="25269F28" w14:textId="77777777" w:rsidTr="001F53D9">
        <w:trPr>
          <w:trHeight w:val="285"/>
        </w:trPr>
        <w:tc>
          <w:tcPr>
            <w:tcW w:w="3227" w:type="dxa"/>
            <w:shd w:val="clear" w:color="auto" w:fill="auto"/>
            <w:noWrap/>
          </w:tcPr>
          <w:p w14:paraId="0E327BFA" w14:textId="77777777" w:rsidR="00F511F4" w:rsidRPr="00B6620E" w:rsidRDefault="00F511F4" w:rsidP="001F53D9">
            <w:pPr>
              <w:spacing w:after="0" w:line="240" w:lineRule="auto"/>
              <w:rPr>
                <w:rFonts w:eastAsia="Times New Roman" w:cstheme="minorHAnsi"/>
                <w:color w:val="000000"/>
                <w:lang w:val="en-US" w:eastAsia="en-GB"/>
              </w:rPr>
            </w:pPr>
            <w:r>
              <w:rPr>
                <w:rFonts w:eastAsia="Times New Roman" w:cstheme="minorHAnsi"/>
                <w:color w:val="000000"/>
                <w:lang w:val="en-US" w:eastAsia="en-GB"/>
              </w:rPr>
              <w:t>Race vs White</w:t>
            </w:r>
          </w:p>
        </w:tc>
        <w:tc>
          <w:tcPr>
            <w:tcW w:w="2551" w:type="dxa"/>
            <w:shd w:val="clear" w:color="auto" w:fill="auto"/>
            <w:noWrap/>
          </w:tcPr>
          <w:p w14:paraId="41CAD6D3" w14:textId="77777777" w:rsidR="00F511F4" w:rsidRDefault="00F511F4" w:rsidP="001F53D9">
            <w:pPr>
              <w:spacing w:after="0" w:line="240" w:lineRule="auto"/>
              <w:rPr>
                <w:rFonts w:eastAsia="Times New Roman" w:cstheme="minorHAnsi"/>
                <w:color w:val="000000"/>
                <w:lang w:eastAsia="en-GB"/>
              </w:rPr>
            </w:pPr>
          </w:p>
        </w:tc>
        <w:tc>
          <w:tcPr>
            <w:tcW w:w="2127" w:type="dxa"/>
          </w:tcPr>
          <w:p w14:paraId="1DA02E8D" w14:textId="77777777" w:rsidR="00F511F4" w:rsidRDefault="00F511F4" w:rsidP="001F53D9">
            <w:pPr>
              <w:spacing w:after="0" w:line="240" w:lineRule="auto"/>
              <w:rPr>
                <w:rFonts w:eastAsia="Times New Roman" w:cstheme="minorHAnsi"/>
                <w:color w:val="000000"/>
                <w:lang w:eastAsia="en-GB"/>
              </w:rPr>
            </w:pPr>
          </w:p>
        </w:tc>
      </w:tr>
      <w:tr w:rsidR="00F511F4" w:rsidRPr="00B6620E" w14:paraId="7FFF3B91" w14:textId="77777777" w:rsidTr="001F53D9">
        <w:trPr>
          <w:trHeight w:val="285"/>
        </w:trPr>
        <w:tc>
          <w:tcPr>
            <w:tcW w:w="3227" w:type="dxa"/>
            <w:shd w:val="clear" w:color="auto" w:fill="auto"/>
            <w:noWrap/>
          </w:tcPr>
          <w:p w14:paraId="55B48364" w14:textId="77777777" w:rsidR="00F511F4" w:rsidRPr="00B6620E" w:rsidRDefault="00F511F4" w:rsidP="001F53D9">
            <w:pPr>
              <w:spacing w:after="0" w:line="240" w:lineRule="auto"/>
              <w:rPr>
                <w:rFonts w:eastAsia="Times New Roman" w:cstheme="minorHAnsi"/>
                <w:color w:val="000000"/>
                <w:lang w:val="en-US" w:eastAsia="en-GB"/>
              </w:rPr>
            </w:pPr>
            <w:r>
              <w:rPr>
                <w:rFonts w:eastAsia="Times New Roman" w:cstheme="minorHAnsi"/>
                <w:color w:val="000000"/>
                <w:lang w:val="en-US" w:eastAsia="en-GB"/>
              </w:rPr>
              <w:t>Black</w:t>
            </w:r>
          </w:p>
        </w:tc>
        <w:tc>
          <w:tcPr>
            <w:tcW w:w="2551" w:type="dxa"/>
            <w:shd w:val="clear" w:color="auto" w:fill="auto"/>
            <w:noWrap/>
          </w:tcPr>
          <w:p w14:paraId="09218692" w14:textId="77777777" w:rsidR="00F511F4" w:rsidRDefault="00F511F4" w:rsidP="001F53D9">
            <w:pPr>
              <w:spacing w:after="0" w:line="240" w:lineRule="auto"/>
              <w:rPr>
                <w:rFonts w:eastAsia="Times New Roman" w:cstheme="minorHAnsi"/>
                <w:color w:val="000000"/>
                <w:lang w:eastAsia="en-GB"/>
              </w:rPr>
            </w:pPr>
            <w:r>
              <w:rPr>
                <w:rFonts w:eastAsia="Times New Roman" w:cstheme="minorHAnsi"/>
                <w:color w:val="000000"/>
                <w:lang w:eastAsia="en-GB"/>
              </w:rPr>
              <w:t>0.91 (0.90-0.92)</w:t>
            </w:r>
          </w:p>
        </w:tc>
        <w:tc>
          <w:tcPr>
            <w:tcW w:w="2127" w:type="dxa"/>
          </w:tcPr>
          <w:p w14:paraId="66345073" w14:textId="77777777" w:rsidR="00F511F4" w:rsidRDefault="00F511F4" w:rsidP="001F53D9">
            <w:pPr>
              <w:spacing w:after="0" w:line="240" w:lineRule="auto"/>
              <w:rPr>
                <w:rFonts w:eastAsia="Times New Roman" w:cstheme="minorHAnsi"/>
                <w:color w:val="000000"/>
                <w:lang w:eastAsia="en-GB"/>
              </w:rPr>
            </w:pPr>
            <w:r>
              <w:rPr>
                <w:rFonts w:eastAsia="Times New Roman" w:cstheme="minorHAnsi"/>
                <w:color w:val="000000"/>
                <w:lang w:eastAsia="en-GB"/>
              </w:rPr>
              <w:t>&lt;0.001</w:t>
            </w:r>
          </w:p>
        </w:tc>
      </w:tr>
      <w:tr w:rsidR="00F511F4" w:rsidRPr="00B6620E" w14:paraId="1EE45F92" w14:textId="77777777" w:rsidTr="001F53D9">
        <w:trPr>
          <w:trHeight w:val="285"/>
        </w:trPr>
        <w:tc>
          <w:tcPr>
            <w:tcW w:w="3227" w:type="dxa"/>
            <w:shd w:val="clear" w:color="auto" w:fill="auto"/>
            <w:noWrap/>
          </w:tcPr>
          <w:p w14:paraId="7D9D2A2D" w14:textId="77777777" w:rsidR="00F511F4" w:rsidRDefault="00F511F4" w:rsidP="001F53D9">
            <w:pPr>
              <w:spacing w:after="0" w:line="240" w:lineRule="auto"/>
              <w:rPr>
                <w:rFonts w:eastAsia="Times New Roman" w:cstheme="minorHAnsi"/>
                <w:color w:val="000000"/>
                <w:lang w:val="en-US" w:eastAsia="en-GB"/>
              </w:rPr>
            </w:pPr>
            <w:r>
              <w:rPr>
                <w:rFonts w:eastAsia="Times New Roman" w:cstheme="minorHAnsi"/>
                <w:color w:val="000000"/>
                <w:lang w:val="en-US" w:eastAsia="en-GB"/>
              </w:rPr>
              <w:t>Hispanic</w:t>
            </w:r>
          </w:p>
        </w:tc>
        <w:tc>
          <w:tcPr>
            <w:tcW w:w="2551" w:type="dxa"/>
            <w:shd w:val="clear" w:color="auto" w:fill="auto"/>
            <w:noWrap/>
          </w:tcPr>
          <w:p w14:paraId="1167EDF9" w14:textId="77777777" w:rsidR="00F511F4" w:rsidRDefault="00F511F4" w:rsidP="001F53D9">
            <w:pPr>
              <w:spacing w:after="0" w:line="240" w:lineRule="auto"/>
              <w:rPr>
                <w:rFonts w:eastAsia="Times New Roman" w:cstheme="minorHAnsi"/>
                <w:color w:val="000000"/>
                <w:lang w:eastAsia="en-GB"/>
              </w:rPr>
            </w:pPr>
            <w:r>
              <w:rPr>
                <w:rFonts w:eastAsia="Times New Roman" w:cstheme="minorHAnsi"/>
                <w:color w:val="000000"/>
                <w:lang w:eastAsia="en-GB"/>
              </w:rPr>
              <w:t>0.96 (0.94-0.98)</w:t>
            </w:r>
          </w:p>
        </w:tc>
        <w:tc>
          <w:tcPr>
            <w:tcW w:w="2127" w:type="dxa"/>
          </w:tcPr>
          <w:p w14:paraId="5B21130A" w14:textId="77777777" w:rsidR="00F511F4" w:rsidRDefault="00F511F4" w:rsidP="001F53D9">
            <w:pPr>
              <w:spacing w:after="0" w:line="240" w:lineRule="auto"/>
              <w:rPr>
                <w:rFonts w:eastAsia="Times New Roman" w:cstheme="minorHAnsi"/>
                <w:color w:val="000000"/>
                <w:lang w:eastAsia="en-GB"/>
              </w:rPr>
            </w:pPr>
            <w:r>
              <w:rPr>
                <w:rFonts w:eastAsia="Times New Roman" w:cstheme="minorHAnsi"/>
                <w:color w:val="000000"/>
                <w:lang w:eastAsia="en-GB"/>
              </w:rPr>
              <w:t>&lt;0.001</w:t>
            </w:r>
          </w:p>
        </w:tc>
      </w:tr>
      <w:tr w:rsidR="00F511F4" w:rsidRPr="00B6620E" w14:paraId="10FAC29F" w14:textId="77777777" w:rsidTr="001F53D9">
        <w:trPr>
          <w:trHeight w:val="285"/>
        </w:trPr>
        <w:tc>
          <w:tcPr>
            <w:tcW w:w="3227" w:type="dxa"/>
            <w:shd w:val="clear" w:color="auto" w:fill="auto"/>
            <w:noWrap/>
          </w:tcPr>
          <w:p w14:paraId="3A331DF6" w14:textId="77777777" w:rsidR="00F511F4" w:rsidRDefault="00F511F4" w:rsidP="001F53D9">
            <w:pPr>
              <w:spacing w:after="0" w:line="240" w:lineRule="auto"/>
              <w:rPr>
                <w:rFonts w:eastAsia="Times New Roman" w:cstheme="minorHAnsi"/>
                <w:color w:val="000000"/>
                <w:lang w:val="en-US" w:eastAsia="en-GB"/>
              </w:rPr>
            </w:pPr>
            <w:r>
              <w:rPr>
                <w:rFonts w:eastAsia="Times New Roman" w:cstheme="minorHAnsi"/>
                <w:color w:val="000000"/>
                <w:lang w:val="en-US" w:eastAsia="en-GB"/>
              </w:rPr>
              <w:t>Asian or Pacific Islander</w:t>
            </w:r>
          </w:p>
        </w:tc>
        <w:tc>
          <w:tcPr>
            <w:tcW w:w="2551" w:type="dxa"/>
            <w:shd w:val="clear" w:color="auto" w:fill="auto"/>
            <w:noWrap/>
          </w:tcPr>
          <w:p w14:paraId="56112980" w14:textId="77777777" w:rsidR="00F511F4" w:rsidRDefault="00F511F4" w:rsidP="001F53D9">
            <w:pPr>
              <w:spacing w:after="0" w:line="240" w:lineRule="auto"/>
              <w:rPr>
                <w:rFonts w:eastAsia="Times New Roman" w:cstheme="minorHAnsi"/>
                <w:color w:val="000000"/>
                <w:lang w:eastAsia="en-GB"/>
              </w:rPr>
            </w:pPr>
            <w:r>
              <w:rPr>
                <w:rFonts w:eastAsia="Times New Roman" w:cstheme="minorHAnsi"/>
                <w:color w:val="000000"/>
                <w:lang w:eastAsia="en-GB"/>
              </w:rPr>
              <w:t>1.07 (1.04-1.11)</w:t>
            </w:r>
          </w:p>
        </w:tc>
        <w:tc>
          <w:tcPr>
            <w:tcW w:w="2127" w:type="dxa"/>
          </w:tcPr>
          <w:p w14:paraId="6B720A1C" w14:textId="77777777" w:rsidR="00F511F4" w:rsidRDefault="00F511F4" w:rsidP="001F53D9">
            <w:pPr>
              <w:spacing w:after="0" w:line="240" w:lineRule="auto"/>
              <w:rPr>
                <w:rFonts w:eastAsia="Times New Roman" w:cstheme="minorHAnsi"/>
                <w:color w:val="000000"/>
                <w:lang w:eastAsia="en-GB"/>
              </w:rPr>
            </w:pPr>
            <w:r>
              <w:rPr>
                <w:rFonts w:eastAsia="Times New Roman" w:cstheme="minorHAnsi"/>
                <w:color w:val="000000"/>
                <w:lang w:eastAsia="en-GB"/>
              </w:rPr>
              <w:t>&lt;0.001</w:t>
            </w:r>
          </w:p>
        </w:tc>
      </w:tr>
      <w:tr w:rsidR="00F511F4" w:rsidRPr="00B6620E" w14:paraId="08454EC5" w14:textId="77777777" w:rsidTr="001F53D9">
        <w:trPr>
          <w:trHeight w:val="285"/>
        </w:trPr>
        <w:tc>
          <w:tcPr>
            <w:tcW w:w="3227" w:type="dxa"/>
            <w:shd w:val="clear" w:color="auto" w:fill="auto"/>
            <w:noWrap/>
          </w:tcPr>
          <w:p w14:paraId="7F08F758" w14:textId="77777777" w:rsidR="00F511F4" w:rsidRDefault="00F511F4" w:rsidP="001F53D9">
            <w:pPr>
              <w:spacing w:after="0" w:line="240" w:lineRule="auto"/>
              <w:rPr>
                <w:rFonts w:eastAsia="Times New Roman" w:cstheme="minorHAnsi"/>
                <w:color w:val="000000"/>
                <w:lang w:val="en-US" w:eastAsia="en-GB"/>
              </w:rPr>
            </w:pPr>
            <w:r>
              <w:rPr>
                <w:rFonts w:eastAsia="Times New Roman" w:cstheme="minorHAnsi"/>
                <w:color w:val="000000"/>
                <w:lang w:val="en-US" w:eastAsia="en-GB"/>
              </w:rPr>
              <w:t>Native American</w:t>
            </w:r>
          </w:p>
        </w:tc>
        <w:tc>
          <w:tcPr>
            <w:tcW w:w="2551" w:type="dxa"/>
            <w:shd w:val="clear" w:color="auto" w:fill="auto"/>
            <w:noWrap/>
          </w:tcPr>
          <w:p w14:paraId="1605E3E8" w14:textId="77777777" w:rsidR="00F511F4" w:rsidRDefault="00F511F4" w:rsidP="001F53D9">
            <w:pPr>
              <w:spacing w:after="0" w:line="240" w:lineRule="auto"/>
              <w:rPr>
                <w:rFonts w:eastAsia="Times New Roman" w:cstheme="minorHAnsi"/>
                <w:color w:val="000000"/>
                <w:lang w:eastAsia="en-GB"/>
              </w:rPr>
            </w:pPr>
            <w:r>
              <w:rPr>
                <w:rFonts w:eastAsia="Times New Roman" w:cstheme="minorHAnsi"/>
                <w:color w:val="000000"/>
                <w:lang w:eastAsia="en-GB"/>
              </w:rPr>
              <w:t>0.91 (0.84-0.99)</w:t>
            </w:r>
          </w:p>
        </w:tc>
        <w:tc>
          <w:tcPr>
            <w:tcW w:w="2127" w:type="dxa"/>
          </w:tcPr>
          <w:p w14:paraId="7B04F559" w14:textId="77777777" w:rsidR="00F511F4" w:rsidRDefault="00F511F4" w:rsidP="001F53D9">
            <w:pPr>
              <w:spacing w:after="0" w:line="240" w:lineRule="auto"/>
              <w:rPr>
                <w:rFonts w:eastAsia="Times New Roman" w:cstheme="minorHAnsi"/>
                <w:color w:val="000000"/>
                <w:lang w:eastAsia="en-GB"/>
              </w:rPr>
            </w:pPr>
            <w:r>
              <w:rPr>
                <w:rFonts w:eastAsia="Times New Roman" w:cstheme="minorHAnsi"/>
                <w:color w:val="000000"/>
                <w:lang w:eastAsia="en-GB"/>
              </w:rPr>
              <w:t>0.02</w:t>
            </w:r>
          </w:p>
        </w:tc>
      </w:tr>
      <w:tr w:rsidR="00F511F4" w:rsidRPr="00B6620E" w14:paraId="53DF16C7" w14:textId="77777777" w:rsidTr="001F53D9">
        <w:trPr>
          <w:trHeight w:val="285"/>
        </w:trPr>
        <w:tc>
          <w:tcPr>
            <w:tcW w:w="3227" w:type="dxa"/>
            <w:shd w:val="clear" w:color="auto" w:fill="auto"/>
            <w:noWrap/>
          </w:tcPr>
          <w:p w14:paraId="65EBA3B8" w14:textId="77777777" w:rsidR="00F511F4" w:rsidRDefault="00F511F4" w:rsidP="001F53D9">
            <w:pPr>
              <w:spacing w:after="0" w:line="240" w:lineRule="auto"/>
              <w:rPr>
                <w:rFonts w:eastAsia="Times New Roman" w:cstheme="minorHAnsi"/>
                <w:color w:val="000000"/>
                <w:lang w:val="en-US" w:eastAsia="en-GB"/>
              </w:rPr>
            </w:pPr>
            <w:r>
              <w:rPr>
                <w:rFonts w:eastAsia="Times New Roman" w:cstheme="minorHAnsi"/>
                <w:color w:val="000000"/>
                <w:lang w:val="en-US" w:eastAsia="en-GB"/>
              </w:rPr>
              <w:t>Other</w:t>
            </w:r>
          </w:p>
        </w:tc>
        <w:tc>
          <w:tcPr>
            <w:tcW w:w="2551" w:type="dxa"/>
            <w:shd w:val="clear" w:color="auto" w:fill="auto"/>
            <w:noWrap/>
          </w:tcPr>
          <w:p w14:paraId="1BF4C6FA" w14:textId="77777777" w:rsidR="00F511F4" w:rsidRDefault="00F511F4" w:rsidP="001F53D9">
            <w:pPr>
              <w:spacing w:after="0" w:line="240" w:lineRule="auto"/>
              <w:rPr>
                <w:rFonts w:eastAsia="Times New Roman" w:cstheme="minorHAnsi"/>
                <w:color w:val="000000"/>
                <w:lang w:eastAsia="en-GB"/>
              </w:rPr>
            </w:pPr>
            <w:r>
              <w:rPr>
                <w:rFonts w:eastAsia="Times New Roman" w:cstheme="minorHAnsi"/>
                <w:color w:val="000000"/>
                <w:lang w:eastAsia="en-GB"/>
              </w:rPr>
              <w:t>0.98 (0.95-1.01)</w:t>
            </w:r>
          </w:p>
        </w:tc>
        <w:tc>
          <w:tcPr>
            <w:tcW w:w="2127" w:type="dxa"/>
          </w:tcPr>
          <w:p w14:paraId="18822556" w14:textId="77777777" w:rsidR="00F511F4" w:rsidRDefault="00F511F4" w:rsidP="001F53D9">
            <w:pPr>
              <w:spacing w:after="0" w:line="240" w:lineRule="auto"/>
              <w:rPr>
                <w:rFonts w:eastAsia="Times New Roman" w:cstheme="minorHAnsi"/>
                <w:color w:val="000000"/>
                <w:lang w:eastAsia="en-GB"/>
              </w:rPr>
            </w:pPr>
            <w:r>
              <w:rPr>
                <w:rFonts w:eastAsia="Times New Roman" w:cstheme="minorHAnsi"/>
                <w:color w:val="000000"/>
                <w:lang w:eastAsia="en-GB"/>
              </w:rPr>
              <w:t>0.25</w:t>
            </w:r>
          </w:p>
        </w:tc>
      </w:tr>
      <w:tr w:rsidR="00F511F4" w:rsidRPr="00B6620E" w14:paraId="1CCDBD16" w14:textId="77777777" w:rsidTr="001F53D9">
        <w:trPr>
          <w:trHeight w:val="285"/>
        </w:trPr>
        <w:tc>
          <w:tcPr>
            <w:tcW w:w="3227" w:type="dxa"/>
            <w:shd w:val="clear" w:color="auto" w:fill="auto"/>
            <w:noWrap/>
            <w:hideMark/>
          </w:tcPr>
          <w:p w14:paraId="3079B586" w14:textId="77777777" w:rsidR="00F511F4" w:rsidRPr="00B6620E" w:rsidRDefault="00F511F4" w:rsidP="001F53D9">
            <w:pPr>
              <w:spacing w:after="0" w:line="240" w:lineRule="auto"/>
              <w:rPr>
                <w:rFonts w:eastAsia="Times New Roman" w:cstheme="minorHAnsi"/>
                <w:color w:val="000000"/>
                <w:lang w:eastAsia="en-GB"/>
              </w:rPr>
            </w:pPr>
            <w:r w:rsidRPr="00B6620E">
              <w:rPr>
                <w:rFonts w:eastAsia="Times New Roman" w:cstheme="minorHAnsi"/>
                <w:color w:val="000000"/>
                <w:lang w:val="en-US" w:eastAsia="en-GB"/>
              </w:rPr>
              <w:t>Weekend admission</w:t>
            </w:r>
          </w:p>
        </w:tc>
        <w:tc>
          <w:tcPr>
            <w:tcW w:w="2551" w:type="dxa"/>
            <w:shd w:val="clear" w:color="auto" w:fill="auto"/>
            <w:noWrap/>
          </w:tcPr>
          <w:p w14:paraId="4835985E" w14:textId="77777777" w:rsidR="00F511F4" w:rsidRPr="00B6620E" w:rsidRDefault="00F511F4" w:rsidP="001F53D9">
            <w:pPr>
              <w:spacing w:after="0" w:line="240" w:lineRule="auto"/>
              <w:rPr>
                <w:rFonts w:eastAsia="Times New Roman" w:cstheme="minorHAnsi"/>
                <w:color w:val="000000"/>
                <w:lang w:eastAsia="en-GB"/>
              </w:rPr>
            </w:pPr>
            <w:r>
              <w:rPr>
                <w:rFonts w:eastAsia="Times New Roman" w:cstheme="minorHAnsi"/>
                <w:color w:val="000000"/>
                <w:lang w:eastAsia="en-GB"/>
              </w:rPr>
              <w:t>1.07 (1.06-1.09)</w:t>
            </w:r>
          </w:p>
        </w:tc>
        <w:tc>
          <w:tcPr>
            <w:tcW w:w="2127" w:type="dxa"/>
          </w:tcPr>
          <w:p w14:paraId="4B231AF3" w14:textId="77777777" w:rsidR="00F511F4" w:rsidRPr="00B6620E" w:rsidRDefault="00F511F4" w:rsidP="001F53D9">
            <w:pPr>
              <w:spacing w:after="0" w:line="240" w:lineRule="auto"/>
              <w:rPr>
                <w:rFonts w:eastAsia="Times New Roman" w:cstheme="minorHAnsi"/>
                <w:color w:val="000000"/>
                <w:lang w:eastAsia="en-GB"/>
              </w:rPr>
            </w:pPr>
            <w:r>
              <w:rPr>
                <w:rFonts w:eastAsia="Times New Roman" w:cstheme="minorHAnsi"/>
                <w:color w:val="000000"/>
                <w:lang w:eastAsia="en-GB"/>
              </w:rPr>
              <w:t>&lt;0.001</w:t>
            </w:r>
          </w:p>
        </w:tc>
      </w:tr>
      <w:tr w:rsidR="00F511F4" w:rsidRPr="00B6620E" w14:paraId="73BA4C81" w14:textId="77777777" w:rsidTr="001F53D9">
        <w:trPr>
          <w:trHeight w:val="285"/>
        </w:trPr>
        <w:tc>
          <w:tcPr>
            <w:tcW w:w="3227" w:type="dxa"/>
            <w:shd w:val="clear" w:color="auto" w:fill="auto"/>
            <w:noWrap/>
            <w:hideMark/>
          </w:tcPr>
          <w:p w14:paraId="1BDBC28C" w14:textId="77777777" w:rsidR="00F511F4" w:rsidRPr="00B6620E" w:rsidRDefault="00F511F4" w:rsidP="001F53D9">
            <w:pPr>
              <w:spacing w:after="0" w:line="240" w:lineRule="auto"/>
              <w:rPr>
                <w:rFonts w:eastAsia="Times New Roman" w:cstheme="minorHAnsi"/>
                <w:color w:val="000000"/>
                <w:lang w:eastAsia="en-GB"/>
              </w:rPr>
            </w:pPr>
            <w:r>
              <w:rPr>
                <w:rFonts w:eastAsia="Times New Roman" w:cstheme="minorHAnsi"/>
                <w:color w:val="000000"/>
                <w:lang w:eastAsia="en-GB"/>
              </w:rPr>
              <w:t xml:space="preserve">Year vs </w:t>
            </w:r>
            <w:r w:rsidRPr="00B6620E">
              <w:rPr>
                <w:rFonts w:eastAsia="Times New Roman" w:cstheme="minorHAnsi"/>
                <w:color w:val="000000"/>
                <w:lang w:eastAsia="en-GB"/>
              </w:rPr>
              <w:t>2004</w:t>
            </w:r>
          </w:p>
        </w:tc>
        <w:tc>
          <w:tcPr>
            <w:tcW w:w="2551" w:type="dxa"/>
            <w:shd w:val="clear" w:color="auto" w:fill="auto"/>
            <w:noWrap/>
          </w:tcPr>
          <w:p w14:paraId="58C32842" w14:textId="77777777" w:rsidR="00F511F4" w:rsidRPr="00B6620E" w:rsidRDefault="00F511F4" w:rsidP="001F53D9">
            <w:pPr>
              <w:spacing w:after="0" w:line="240" w:lineRule="auto"/>
              <w:rPr>
                <w:rFonts w:eastAsia="Times New Roman" w:cstheme="minorHAnsi"/>
                <w:color w:val="000000"/>
                <w:lang w:eastAsia="en-GB"/>
              </w:rPr>
            </w:pPr>
          </w:p>
        </w:tc>
        <w:tc>
          <w:tcPr>
            <w:tcW w:w="2127" w:type="dxa"/>
          </w:tcPr>
          <w:p w14:paraId="51EC5D0B" w14:textId="77777777" w:rsidR="00F511F4" w:rsidRPr="00B6620E" w:rsidRDefault="00F511F4" w:rsidP="001F53D9">
            <w:pPr>
              <w:spacing w:after="0" w:line="240" w:lineRule="auto"/>
              <w:rPr>
                <w:rFonts w:eastAsia="Times New Roman" w:cstheme="minorHAnsi"/>
                <w:color w:val="000000"/>
                <w:lang w:eastAsia="en-GB"/>
              </w:rPr>
            </w:pPr>
          </w:p>
        </w:tc>
      </w:tr>
      <w:tr w:rsidR="00F511F4" w:rsidRPr="00B6620E" w14:paraId="57878261" w14:textId="77777777" w:rsidTr="001F53D9">
        <w:trPr>
          <w:trHeight w:val="285"/>
        </w:trPr>
        <w:tc>
          <w:tcPr>
            <w:tcW w:w="3227" w:type="dxa"/>
            <w:shd w:val="clear" w:color="auto" w:fill="auto"/>
            <w:noWrap/>
            <w:hideMark/>
          </w:tcPr>
          <w:p w14:paraId="4D15E514" w14:textId="77777777" w:rsidR="00F511F4" w:rsidRPr="00B6620E" w:rsidRDefault="00F511F4" w:rsidP="001F53D9">
            <w:pPr>
              <w:spacing w:after="0" w:line="240" w:lineRule="auto"/>
              <w:rPr>
                <w:rFonts w:eastAsia="Times New Roman" w:cstheme="minorHAnsi"/>
                <w:color w:val="000000"/>
                <w:lang w:eastAsia="en-GB"/>
              </w:rPr>
            </w:pPr>
            <w:r w:rsidRPr="00B6620E">
              <w:rPr>
                <w:rFonts w:eastAsia="Times New Roman" w:cstheme="minorHAnsi"/>
                <w:color w:val="000000"/>
                <w:lang w:eastAsia="en-GB"/>
              </w:rPr>
              <w:t>2005</w:t>
            </w:r>
          </w:p>
        </w:tc>
        <w:tc>
          <w:tcPr>
            <w:tcW w:w="2551" w:type="dxa"/>
            <w:shd w:val="clear" w:color="auto" w:fill="auto"/>
            <w:noWrap/>
          </w:tcPr>
          <w:p w14:paraId="5C01FF9D" w14:textId="77777777" w:rsidR="00F511F4" w:rsidRPr="00B6620E" w:rsidRDefault="00F511F4" w:rsidP="001F53D9">
            <w:pPr>
              <w:spacing w:after="0" w:line="240" w:lineRule="auto"/>
              <w:rPr>
                <w:rFonts w:eastAsia="Times New Roman" w:cstheme="minorHAnsi"/>
                <w:color w:val="000000"/>
                <w:lang w:eastAsia="en-GB"/>
              </w:rPr>
            </w:pPr>
            <w:r>
              <w:rPr>
                <w:rFonts w:eastAsia="Times New Roman" w:cstheme="minorHAnsi"/>
                <w:color w:val="000000"/>
                <w:lang w:eastAsia="en-GB"/>
              </w:rPr>
              <w:t>1.14 (1.10-1.18)</w:t>
            </w:r>
          </w:p>
        </w:tc>
        <w:tc>
          <w:tcPr>
            <w:tcW w:w="2127" w:type="dxa"/>
          </w:tcPr>
          <w:p w14:paraId="53B81196" w14:textId="77777777" w:rsidR="00F511F4" w:rsidRPr="00B6620E" w:rsidRDefault="00F511F4" w:rsidP="001F53D9">
            <w:pPr>
              <w:spacing w:after="0" w:line="240" w:lineRule="auto"/>
              <w:rPr>
                <w:rFonts w:eastAsia="Times New Roman" w:cstheme="minorHAnsi"/>
                <w:color w:val="000000"/>
                <w:lang w:eastAsia="en-GB"/>
              </w:rPr>
            </w:pPr>
            <w:r>
              <w:rPr>
                <w:rFonts w:eastAsia="Times New Roman" w:cstheme="minorHAnsi"/>
                <w:color w:val="000000"/>
                <w:lang w:eastAsia="en-GB"/>
              </w:rPr>
              <w:t>&lt;0.001</w:t>
            </w:r>
          </w:p>
        </w:tc>
      </w:tr>
      <w:tr w:rsidR="00F511F4" w:rsidRPr="00B6620E" w14:paraId="44E9DF42" w14:textId="77777777" w:rsidTr="001F53D9">
        <w:trPr>
          <w:trHeight w:val="285"/>
        </w:trPr>
        <w:tc>
          <w:tcPr>
            <w:tcW w:w="3227" w:type="dxa"/>
            <w:shd w:val="clear" w:color="auto" w:fill="auto"/>
            <w:noWrap/>
            <w:hideMark/>
          </w:tcPr>
          <w:p w14:paraId="04A1A9BE" w14:textId="77777777" w:rsidR="00F511F4" w:rsidRPr="00B6620E" w:rsidRDefault="00F511F4" w:rsidP="001F53D9">
            <w:pPr>
              <w:spacing w:after="0" w:line="240" w:lineRule="auto"/>
              <w:rPr>
                <w:rFonts w:eastAsia="Times New Roman" w:cstheme="minorHAnsi"/>
                <w:color w:val="000000"/>
                <w:lang w:eastAsia="en-GB"/>
              </w:rPr>
            </w:pPr>
            <w:r w:rsidRPr="00B6620E">
              <w:rPr>
                <w:rFonts w:eastAsia="Times New Roman" w:cstheme="minorHAnsi"/>
                <w:color w:val="000000"/>
                <w:lang w:eastAsia="en-GB"/>
              </w:rPr>
              <w:t>2006</w:t>
            </w:r>
          </w:p>
        </w:tc>
        <w:tc>
          <w:tcPr>
            <w:tcW w:w="2551" w:type="dxa"/>
            <w:shd w:val="clear" w:color="auto" w:fill="auto"/>
            <w:noWrap/>
          </w:tcPr>
          <w:p w14:paraId="48F9A415" w14:textId="77777777" w:rsidR="00F511F4" w:rsidRPr="00B6620E" w:rsidRDefault="00F511F4" w:rsidP="001F53D9">
            <w:pPr>
              <w:spacing w:after="0" w:line="240" w:lineRule="auto"/>
              <w:rPr>
                <w:rFonts w:eastAsia="Times New Roman" w:cstheme="minorHAnsi"/>
                <w:color w:val="000000"/>
                <w:lang w:eastAsia="en-GB"/>
              </w:rPr>
            </w:pPr>
            <w:r>
              <w:rPr>
                <w:rFonts w:eastAsia="Times New Roman" w:cstheme="minorHAnsi"/>
                <w:color w:val="000000"/>
                <w:lang w:eastAsia="en-GB"/>
              </w:rPr>
              <w:t>1.44 (1.40-1.49)</w:t>
            </w:r>
          </w:p>
        </w:tc>
        <w:tc>
          <w:tcPr>
            <w:tcW w:w="2127" w:type="dxa"/>
          </w:tcPr>
          <w:p w14:paraId="2C188D1A" w14:textId="77777777" w:rsidR="00F511F4" w:rsidRPr="00B6620E" w:rsidRDefault="00F511F4" w:rsidP="001F53D9">
            <w:pPr>
              <w:spacing w:after="0" w:line="240" w:lineRule="auto"/>
              <w:rPr>
                <w:rFonts w:eastAsia="Times New Roman" w:cstheme="minorHAnsi"/>
                <w:color w:val="000000"/>
                <w:lang w:eastAsia="en-GB"/>
              </w:rPr>
            </w:pPr>
            <w:r>
              <w:rPr>
                <w:rFonts w:eastAsia="Times New Roman" w:cstheme="minorHAnsi"/>
                <w:color w:val="000000"/>
                <w:lang w:eastAsia="en-GB"/>
              </w:rPr>
              <w:t>&lt;0.001</w:t>
            </w:r>
          </w:p>
        </w:tc>
      </w:tr>
      <w:tr w:rsidR="00F511F4" w:rsidRPr="00B6620E" w14:paraId="66046433" w14:textId="77777777" w:rsidTr="001F53D9">
        <w:trPr>
          <w:trHeight w:val="285"/>
        </w:trPr>
        <w:tc>
          <w:tcPr>
            <w:tcW w:w="3227" w:type="dxa"/>
            <w:shd w:val="clear" w:color="auto" w:fill="auto"/>
            <w:noWrap/>
            <w:hideMark/>
          </w:tcPr>
          <w:p w14:paraId="5B26C563" w14:textId="77777777" w:rsidR="00F511F4" w:rsidRPr="00B6620E" w:rsidRDefault="00F511F4" w:rsidP="001F53D9">
            <w:pPr>
              <w:spacing w:after="0" w:line="240" w:lineRule="auto"/>
              <w:rPr>
                <w:rFonts w:eastAsia="Times New Roman" w:cstheme="minorHAnsi"/>
                <w:color w:val="000000"/>
                <w:lang w:eastAsia="en-GB"/>
              </w:rPr>
            </w:pPr>
            <w:r w:rsidRPr="00B6620E">
              <w:rPr>
                <w:rFonts w:eastAsia="Times New Roman" w:cstheme="minorHAnsi"/>
                <w:color w:val="000000"/>
                <w:lang w:eastAsia="en-GB"/>
              </w:rPr>
              <w:t>2007</w:t>
            </w:r>
          </w:p>
        </w:tc>
        <w:tc>
          <w:tcPr>
            <w:tcW w:w="2551" w:type="dxa"/>
            <w:shd w:val="clear" w:color="auto" w:fill="auto"/>
            <w:noWrap/>
          </w:tcPr>
          <w:p w14:paraId="796F3BB5" w14:textId="77777777" w:rsidR="00F511F4" w:rsidRPr="00B6620E" w:rsidRDefault="00F511F4" w:rsidP="001F53D9">
            <w:pPr>
              <w:spacing w:after="0" w:line="240" w:lineRule="auto"/>
              <w:rPr>
                <w:rFonts w:eastAsia="Times New Roman" w:cstheme="minorHAnsi"/>
                <w:color w:val="000000"/>
                <w:lang w:eastAsia="en-GB"/>
              </w:rPr>
            </w:pPr>
            <w:r>
              <w:rPr>
                <w:rFonts w:eastAsia="Times New Roman" w:cstheme="minorHAnsi"/>
                <w:color w:val="000000"/>
                <w:lang w:eastAsia="en-GB"/>
              </w:rPr>
              <w:t>1.80 (1.75-1.86)</w:t>
            </w:r>
          </w:p>
        </w:tc>
        <w:tc>
          <w:tcPr>
            <w:tcW w:w="2127" w:type="dxa"/>
          </w:tcPr>
          <w:p w14:paraId="3B52794D" w14:textId="77777777" w:rsidR="00F511F4" w:rsidRPr="00B6620E" w:rsidRDefault="00F511F4" w:rsidP="001F53D9">
            <w:pPr>
              <w:spacing w:after="0" w:line="240" w:lineRule="auto"/>
              <w:rPr>
                <w:rFonts w:eastAsia="Times New Roman" w:cstheme="minorHAnsi"/>
                <w:color w:val="000000"/>
                <w:lang w:eastAsia="en-GB"/>
              </w:rPr>
            </w:pPr>
            <w:r>
              <w:rPr>
                <w:rFonts w:eastAsia="Times New Roman" w:cstheme="minorHAnsi"/>
                <w:color w:val="000000"/>
                <w:lang w:eastAsia="en-GB"/>
              </w:rPr>
              <w:t>&lt;0.001</w:t>
            </w:r>
          </w:p>
        </w:tc>
      </w:tr>
      <w:tr w:rsidR="00F511F4" w:rsidRPr="00B6620E" w14:paraId="1B1C609A" w14:textId="77777777" w:rsidTr="001F53D9">
        <w:trPr>
          <w:trHeight w:val="285"/>
        </w:trPr>
        <w:tc>
          <w:tcPr>
            <w:tcW w:w="3227" w:type="dxa"/>
            <w:shd w:val="clear" w:color="auto" w:fill="auto"/>
            <w:noWrap/>
            <w:hideMark/>
          </w:tcPr>
          <w:p w14:paraId="5184E193" w14:textId="77777777" w:rsidR="00F511F4" w:rsidRPr="00B6620E" w:rsidRDefault="00F511F4" w:rsidP="001F53D9">
            <w:pPr>
              <w:spacing w:after="0" w:line="240" w:lineRule="auto"/>
              <w:rPr>
                <w:rFonts w:eastAsia="Times New Roman" w:cstheme="minorHAnsi"/>
                <w:color w:val="000000"/>
                <w:lang w:eastAsia="en-GB"/>
              </w:rPr>
            </w:pPr>
            <w:r w:rsidRPr="00B6620E">
              <w:rPr>
                <w:rFonts w:eastAsia="Times New Roman" w:cstheme="minorHAnsi"/>
                <w:color w:val="000000"/>
                <w:lang w:eastAsia="en-GB"/>
              </w:rPr>
              <w:t>2008</w:t>
            </w:r>
          </w:p>
        </w:tc>
        <w:tc>
          <w:tcPr>
            <w:tcW w:w="2551" w:type="dxa"/>
            <w:shd w:val="clear" w:color="auto" w:fill="auto"/>
            <w:noWrap/>
          </w:tcPr>
          <w:p w14:paraId="71CEB790" w14:textId="77777777" w:rsidR="00F511F4" w:rsidRPr="00B6620E" w:rsidRDefault="00F511F4" w:rsidP="001F53D9">
            <w:pPr>
              <w:spacing w:after="0" w:line="240" w:lineRule="auto"/>
              <w:rPr>
                <w:rFonts w:eastAsia="Times New Roman" w:cstheme="minorHAnsi"/>
                <w:color w:val="000000"/>
                <w:lang w:eastAsia="en-GB"/>
              </w:rPr>
            </w:pPr>
            <w:r>
              <w:rPr>
                <w:rFonts w:eastAsia="Times New Roman" w:cstheme="minorHAnsi"/>
                <w:color w:val="000000"/>
                <w:lang w:eastAsia="en-GB"/>
              </w:rPr>
              <w:t>2.12 (2.06-2.19)</w:t>
            </w:r>
          </w:p>
        </w:tc>
        <w:tc>
          <w:tcPr>
            <w:tcW w:w="2127" w:type="dxa"/>
          </w:tcPr>
          <w:p w14:paraId="2265167C" w14:textId="77777777" w:rsidR="00F511F4" w:rsidRPr="00B6620E" w:rsidRDefault="00F511F4" w:rsidP="001F53D9">
            <w:pPr>
              <w:spacing w:after="0" w:line="240" w:lineRule="auto"/>
              <w:rPr>
                <w:rFonts w:eastAsia="Times New Roman" w:cstheme="minorHAnsi"/>
                <w:color w:val="000000"/>
                <w:lang w:eastAsia="en-GB"/>
              </w:rPr>
            </w:pPr>
            <w:r>
              <w:rPr>
                <w:rFonts w:eastAsia="Times New Roman" w:cstheme="minorHAnsi"/>
                <w:color w:val="000000"/>
                <w:lang w:eastAsia="en-GB"/>
              </w:rPr>
              <w:t>&lt;0.001</w:t>
            </w:r>
          </w:p>
        </w:tc>
      </w:tr>
      <w:tr w:rsidR="00F511F4" w:rsidRPr="00B6620E" w14:paraId="492E9082" w14:textId="77777777" w:rsidTr="001F53D9">
        <w:trPr>
          <w:trHeight w:val="285"/>
        </w:trPr>
        <w:tc>
          <w:tcPr>
            <w:tcW w:w="3227" w:type="dxa"/>
            <w:shd w:val="clear" w:color="auto" w:fill="auto"/>
            <w:noWrap/>
            <w:hideMark/>
          </w:tcPr>
          <w:p w14:paraId="2AB2A759" w14:textId="77777777" w:rsidR="00F511F4" w:rsidRPr="00B6620E" w:rsidRDefault="00F511F4" w:rsidP="001F53D9">
            <w:pPr>
              <w:spacing w:after="0" w:line="240" w:lineRule="auto"/>
              <w:rPr>
                <w:rFonts w:eastAsia="Times New Roman" w:cstheme="minorHAnsi"/>
                <w:color w:val="000000"/>
                <w:lang w:eastAsia="en-GB"/>
              </w:rPr>
            </w:pPr>
            <w:r w:rsidRPr="00B6620E">
              <w:rPr>
                <w:rFonts w:eastAsia="Times New Roman" w:cstheme="minorHAnsi"/>
                <w:color w:val="000000"/>
                <w:lang w:eastAsia="en-GB"/>
              </w:rPr>
              <w:t>2009</w:t>
            </w:r>
          </w:p>
        </w:tc>
        <w:tc>
          <w:tcPr>
            <w:tcW w:w="2551" w:type="dxa"/>
            <w:shd w:val="clear" w:color="auto" w:fill="auto"/>
            <w:noWrap/>
          </w:tcPr>
          <w:p w14:paraId="22CACC0A" w14:textId="77777777" w:rsidR="00F511F4" w:rsidRPr="00B6620E" w:rsidRDefault="00F511F4" w:rsidP="001F53D9">
            <w:pPr>
              <w:spacing w:after="0" w:line="240" w:lineRule="auto"/>
              <w:rPr>
                <w:rFonts w:eastAsia="Times New Roman" w:cstheme="minorHAnsi"/>
                <w:color w:val="000000"/>
                <w:lang w:eastAsia="en-GB"/>
              </w:rPr>
            </w:pPr>
            <w:r>
              <w:rPr>
                <w:rFonts w:eastAsia="Times New Roman" w:cstheme="minorHAnsi"/>
                <w:color w:val="000000"/>
                <w:lang w:eastAsia="en-GB"/>
              </w:rPr>
              <w:t>3.03 (2.94-3.12)</w:t>
            </w:r>
          </w:p>
        </w:tc>
        <w:tc>
          <w:tcPr>
            <w:tcW w:w="2127" w:type="dxa"/>
          </w:tcPr>
          <w:p w14:paraId="590252C7" w14:textId="77777777" w:rsidR="00F511F4" w:rsidRPr="00B6620E" w:rsidRDefault="00F511F4" w:rsidP="001F53D9">
            <w:pPr>
              <w:spacing w:after="0" w:line="240" w:lineRule="auto"/>
              <w:rPr>
                <w:rFonts w:eastAsia="Times New Roman" w:cstheme="minorHAnsi"/>
                <w:color w:val="000000"/>
                <w:lang w:eastAsia="en-GB"/>
              </w:rPr>
            </w:pPr>
            <w:r>
              <w:rPr>
                <w:rFonts w:eastAsia="Times New Roman" w:cstheme="minorHAnsi"/>
                <w:color w:val="000000"/>
                <w:lang w:eastAsia="en-GB"/>
              </w:rPr>
              <w:t>&lt;0.001</w:t>
            </w:r>
          </w:p>
        </w:tc>
      </w:tr>
      <w:tr w:rsidR="00F511F4" w:rsidRPr="00B6620E" w14:paraId="33329058" w14:textId="77777777" w:rsidTr="001F53D9">
        <w:trPr>
          <w:trHeight w:val="285"/>
        </w:trPr>
        <w:tc>
          <w:tcPr>
            <w:tcW w:w="3227" w:type="dxa"/>
            <w:shd w:val="clear" w:color="auto" w:fill="auto"/>
            <w:noWrap/>
            <w:hideMark/>
          </w:tcPr>
          <w:p w14:paraId="1A6A9A81" w14:textId="77777777" w:rsidR="00F511F4" w:rsidRPr="00B6620E" w:rsidRDefault="00F511F4" w:rsidP="001F53D9">
            <w:pPr>
              <w:spacing w:after="0" w:line="240" w:lineRule="auto"/>
              <w:rPr>
                <w:rFonts w:eastAsia="Times New Roman" w:cstheme="minorHAnsi"/>
                <w:color w:val="000000"/>
                <w:lang w:eastAsia="en-GB"/>
              </w:rPr>
            </w:pPr>
            <w:r w:rsidRPr="00B6620E">
              <w:rPr>
                <w:rFonts w:eastAsia="Times New Roman" w:cstheme="minorHAnsi"/>
                <w:color w:val="000000"/>
                <w:lang w:eastAsia="en-GB"/>
              </w:rPr>
              <w:t>2010</w:t>
            </w:r>
          </w:p>
        </w:tc>
        <w:tc>
          <w:tcPr>
            <w:tcW w:w="2551" w:type="dxa"/>
            <w:shd w:val="clear" w:color="auto" w:fill="auto"/>
            <w:noWrap/>
          </w:tcPr>
          <w:p w14:paraId="06B60116" w14:textId="77777777" w:rsidR="00F511F4" w:rsidRPr="00B6620E" w:rsidRDefault="00F511F4" w:rsidP="001F53D9">
            <w:pPr>
              <w:spacing w:after="0" w:line="240" w:lineRule="auto"/>
              <w:rPr>
                <w:rFonts w:eastAsia="Times New Roman" w:cstheme="minorHAnsi"/>
                <w:color w:val="000000"/>
                <w:lang w:eastAsia="en-GB"/>
              </w:rPr>
            </w:pPr>
            <w:r>
              <w:rPr>
                <w:rFonts w:eastAsia="Times New Roman" w:cstheme="minorHAnsi"/>
                <w:color w:val="000000"/>
                <w:lang w:eastAsia="en-GB"/>
              </w:rPr>
              <w:t>3.36 (2.27-3.46)</w:t>
            </w:r>
          </w:p>
        </w:tc>
        <w:tc>
          <w:tcPr>
            <w:tcW w:w="2127" w:type="dxa"/>
          </w:tcPr>
          <w:p w14:paraId="0F5461A4" w14:textId="77777777" w:rsidR="00F511F4" w:rsidRPr="00B6620E" w:rsidRDefault="00F511F4" w:rsidP="001F53D9">
            <w:pPr>
              <w:spacing w:after="0" w:line="240" w:lineRule="auto"/>
              <w:rPr>
                <w:rFonts w:eastAsia="Times New Roman" w:cstheme="minorHAnsi"/>
                <w:color w:val="000000"/>
                <w:lang w:eastAsia="en-GB"/>
              </w:rPr>
            </w:pPr>
            <w:r>
              <w:rPr>
                <w:rFonts w:eastAsia="Times New Roman" w:cstheme="minorHAnsi"/>
                <w:color w:val="000000"/>
                <w:lang w:eastAsia="en-GB"/>
              </w:rPr>
              <w:t>&lt;0.001</w:t>
            </w:r>
          </w:p>
        </w:tc>
      </w:tr>
      <w:tr w:rsidR="00F511F4" w:rsidRPr="00B6620E" w14:paraId="577DB8A4" w14:textId="77777777" w:rsidTr="001F53D9">
        <w:trPr>
          <w:trHeight w:val="285"/>
        </w:trPr>
        <w:tc>
          <w:tcPr>
            <w:tcW w:w="3227" w:type="dxa"/>
            <w:shd w:val="clear" w:color="auto" w:fill="auto"/>
            <w:noWrap/>
            <w:hideMark/>
          </w:tcPr>
          <w:p w14:paraId="35D8498D" w14:textId="77777777" w:rsidR="00F511F4" w:rsidRPr="00B6620E" w:rsidRDefault="00F511F4" w:rsidP="001F53D9">
            <w:pPr>
              <w:spacing w:after="0" w:line="240" w:lineRule="auto"/>
              <w:rPr>
                <w:rFonts w:eastAsia="Times New Roman" w:cstheme="minorHAnsi"/>
                <w:color w:val="000000"/>
                <w:lang w:eastAsia="en-GB"/>
              </w:rPr>
            </w:pPr>
            <w:r w:rsidRPr="00B6620E">
              <w:rPr>
                <w:rFonts w:eastAsia="Times New Roman" w:cstheme="minorHAnsi"/>
                <w:color w:val="000000"/>
                <w:lang w:eastAsia="en-GB"/>
              </w:rPr>
              <w:t>2011</w:t>
            </w:r>
          </w:p>
        </w:tc>
        <w:tc>
          <w:tcPr>
            <w:tcW w:w="2551" w:type="dxa"/>
            <w:shd w:val="clear" w:color="auto" w:fill="auto"/>
            <w:noWrap/>
          </w:tcPr>
          <w:p w14:paraId="458A67EF" w14:textId="77777777" w:rsidR="00F511F4" w:rsidRPr="00B6620E" w:rsidRDefault="00F511F4" w:rsidP="001F53D9">
            <w:pPr>
              <w:spacing w:after="0" w:line="240" w:lineRule="auto"/>
              <w:rPr>
                <w:rFonts w:eastAsia="Times New Roman" w:cstheme="minorHAnsi"/>
                <w:color w:val="000000"/>
                <w:lang w:eastAsia="en-GB"/>
              </w:rPr>
            </w:pPr>
            <w:r>
              <w:rPr>
                <w:rFonts w:eastAsia="Times New Roman" w:cstheme="minorHAnsi"/>
                <w:color w:val="000000"/>
                <w:lang w:eastAsia="en-GB"/>
              </w:rPr>
              <w:t>3.60 (3.50-3.71)</w:t>
            </w:r>
          </w:p>
        </w:tc>
        <w:tc>
          <w:tcPr>
            <w:tcW w:w="2127" w:type="dxa"/>
          </w:tcPr>
          <w:p w14:paraId="69C22120" w14:textId="77777777" w:rsidR="00F511F4" w:rsidRPr="00B6620E" w:rsidRDefault="00F511F4" w:rsidP="001F53D9">
            <w:pPr>
              <w:spacing w:after="0" w:line="240" w:lineRule="auto"/>
              <w:rPr>
                <w:rFonts w:eastAsia="Times New Roman" w:cstheme="minorHAnsi"/>
                <w:color w:val="000000"/>
                <w:lang w:eastAsia="en-GB"/>
              </w:rPr>
            </w:pPr>
            <w:r>
              <w:rPr>
                <w:rFonts w:eastAsia="Times New Roman" w:cstheme="minorHAnsi"/>
                <w:color w:val="000000"/>
                <w:lang w:eastAsia="en-GB"/>
              </w:rPr>
              <w:t>&lt;0.001</w:t>
            </w:r>
          </w:p>
        </w:tc>
      </w:tr>
      <w:tr w:rsidR="00F511F4" w:rsidRPr="00B6620E" w14:paraId="769CD812" w14:textId="77777777" w:rsidTr="001F53D9">
        <w:trPr>
          <w:trHeight w:val="285"/>
        </w:trPr>
        <w:tc>
          <w:tcPr>
            <w:tcW w:w="3227" w:type="dxa"/>
            <w:shd w:val="clear" w:color="auto" w:fill="auto"/>
            <w:noWrap/>
            <w:hideMark/>
          </w:tcPr>
          <w:p w14:paraId="0D215AA0" w14:textId="77777777" w:rsidR="00F511F4" w:rsidRPr="00B6620E" w:rsidRDefault="00F511F4" w:rsidP="001F53D9">
            <w:pPr>
              <w:spacing w:after="0" w:line="240" w:lineRule="auto"/>
              <w:rPr>
                <w:rFonts w:eastAsia="Times New Roman" w:cstheme="minorHAnsi"/>
                <w:color w:val="000000"/>
                <w:lang w:eastAsia="en-GB"/>
              </w:rPr>
            </w:pPr>
            <w:r w:rsidRPr="00B6620E">
              <w:rPr>
                <w:rFonts w:eastAsia="Times New Roman" w:cstheme="minorHAnsi"/>
                <w:color w:val="000000"/>
                <w:lang w:eastAsia="en-GB"/>
              </w:rPr>
              <w:t>2012</w:t>
            </w:r>
          </w:p>
        </w:tc>
        <w:tc>
          <w:tcPr>
            <w:tcW w:w="2551" w:type="dxa"/>
            <w:shd w:val="clear" w:color="auto" w:fill="auto"/>
            <w:noWrap/>
          </w:tcPr>
          <w:p w14:paraId="539E66F1" w14:textId="77777777" w:rsidR="00F511F4" w:rsidRPr="00B6620E" w:rsidRDefault="00F511F4" w:rsidP="001F53D9">
            <w:pPr>
              <w:spacing w:after="0" w:line="240" w:lineRule="auto"/>
              <w:rPr>
                <w:rFonts w:eastAsia="Times New Roman" w:cstheme="minorHAnsi"/>
                <w:color w:val="000000"/>
                <w:lang w:eastAsia="en-GB"/>
              </w:rPr>
            </w:pPr>
            <w:r>
              <w:rPr>
                <w:rFonts w:eastAsia="Times New Roman" w:cstheme="minorHAnsi"/>
                <w:color w:val="000000"/>
                <w:lang w:eastAsia="en-GB"/>
              </w:rPr>
              <w:t>3.86 (3.76-3.98)</w:t>
            </w:r>
          </w:p>
        </w:tc>
        <w:tc>
          <w:tcPr>
            <w:tcW w:w="2127" w:type="dxa"/>
          </w:tcPr>
          <w:p w14:paraId="7EE01BF1" w14:textId="77777777" w:rsidR="00F511F4" w:rsidRPr="00B6620E" w:rsidRDefault="00F511F4" w:rsidP="001F53D9">
            <w:pPr>
              <w:spacing w:after="0" w:line="240" w:lineRule="auto"/>
              <w:rPr>
                <w:rFonts w:eastAsia="Times New Roman" w:cstheme="minorHAnsi"/>
                <w:color w:val="000000"/>
                <w:lang w:eastAsia="en-GB"/>
              </w:rPr>
            </w:pPr>
            <w:r>
              <w:rPr>
                <w:rFonts w:eastAsia="Times New Roman" w:cstheme="minorHAnsi"/>
                <w:color w:val="000000"/>
                <w:lang w:eastAsia="en-GB"/>
              </w:rPr>
              <w:t>&lt;0.001</w:t>
            </w:r>
          </w:p>
        </w:tc>
      </w:tr>
      <w:tr w:rsidR="00F511F4" w:rsidRPr="00B6620E" w14:paraId="7680A762" w14:textId="77777777" w:rsidTr="001F53D9">
        <w:trPr>
          <w:trHeight w:val="285"/>
        </w:trPr>
        <w:tc>
          <w:tcPr>
            <w:tcW w:w="3227" w:type="dxa"/>
            <w:shd w:val="clear" w:color="auto" w:fill="auto"/>
            <w:noWrap/>
            <w:hideMark/>
          </w:tcPr>
          <w:p w14:paraId="7A1A1D8D" w14:textId="77777777" w:rsidR="00F511F4" w:rsidRPr="00B6620E" w:rsidRDefault="00F511F4" w:rsidP="001F53D9">
            <w:pPr>
              <w:spacing w:after="0" w:line="240" w:lineRule="auto"/>
              <w:rPr>
                <w:rFonts w:eastAsia="Times New Roman" w:cstheme="minorHAnsi"/>
                <w:color w:val="000000"/>
                <w:lang w:eastAsia="en-GB"/>
              </w:rPr>
            </w:pPr>
            <w:r w:rsidRPr="00B6620E">
              <w:rPr>
                <w:rFonts w:eastAsia="Times New Roman" w:cstheme="minorHAnsi"/>
                <w:color w:val="000000"/>
                <w:lang w:eastAsia="en-GB"/>
              </w:rPr>
              <w:t>2013</w:t>
            </w:r>
          </w:p>
        </w:tc>
        <w:tc>
          <w:tcPr>
            <w:tcW w:w="2551" w:type="dxa"/>
            <w:shd w:val="clear" w:color="auto" w:fill="auto"/>
            <w:noWrap/>
          </w:tcPr>
          <w:p w14:paraId="56ECA388" w14:textId="77777777" w:rsidR="00F511F4" w:rsidRPr="00B6620E" w:rsidRDefault="00F511F4" w:rsidP="001F53D9">
            <w:pPr>
              <w:spacing w:after="0" w:line="240" w:lineRule="auto"/>
              <w:rPr>
                <w:rFonts w:eastAsia="Times New Roman" w:cstheme="minorHAnsi"/>
                <w:color w:val="000000"/>
                <w:lang w:eastAsia="en-GB"/>
              </w:rPr>
            </w:pPr>
            <w:r>
              <w:rPr>
                <w:rFonts w:eastAsia="Times New Roman" w:cstheme="minorHAnsi"/>
                <w:color w:val="000000"/>
                <w:lang w:eastAsia="en-GB"/>
              </w:rPr>
              <w:t>4.18 (4.06-4.30)</w:t>
            </w:r>
          </w:p>
        </w:tc>
        <w:tc>
          <w:tcPr>
            <w:tcW w:w="2127" w:type="dxa"/>
          </w:tcPr>
          <w:p w14:paraId="4F4A753E" w14:textId="77777777" w:rsidR="00F511F4" w:rsidRPr="00B6620E" w:rsidRDefault="00F511F4" w:rsidP="001F53D9">
            <w:pPr>
              <w:spacing w:after="0" w:line="240" w:lineRule="auto"/>
              <w:rPr>
                <w:rFonts w:eastAsia="Times New Roman" w:cstheme="minorHAnsi"/>
                <w:color w:val="000000"/>
                <w:lang w:eastAsia="en-GB"/>
              </w:rPr>
            </w:pPr>
            <w:r>
              <w:rPr>
                <w:rFonts w:eastAsia="Times New Roman" w:cstheme="minorHAnsi"/>
                <w:color w:val="000000"/>
                <w:lang w:eastAsia="en-GB"/>
              </w:rPr>
              <w:t>&lt;0.001</w:t>
            </w:r>
          </w:p>
        </w:tc>
      </w:tr>
      <w:tr w:rsidR="00F511F4" w:rsidRPr="00B6620E" w14:paraId="5540DB7A" w14:textId="77777777" w:rsidTr="001F53D9">
        <w:trPr>
          <w:trHeight w:val="285"/>
        </w:trPr>
        <w:tc>
          <w:tcPr>
            <w:tcW w:w="3227" w:type="dxa"/>
            <w:shd w:val="clear" w:color="auto" w:fill="auto"/>
            <w:noWrap/>
            <w:hideMark/>
          </w:tcPr>
          <w:p w14:paraId="40A24EF7" w14:textId="77777777" w:rsidR="00F511F4" w:rsidRPr="00B6620E" w:rsidRDefault="00F511F4" w:rsidP="001F53D9">
            <w:pPr>
              <w:spacing w:after="0" w:line="240" w:lineRule="auto"/>
              <w:rPr>
                <w:rFonts w:eastAsia="Times New Roman" w:cstheme="minorHAnsi"/>
                <w:color w:val="000000"/>
                <w:lang w:eastAsia="en-GB"/>
              </w:rPr>
            </w:pPr>
            <w:r w:rsidRPr="00B6620E">
              <w:rPr>
                <w:rFonts w:eastAsia="Times New Roman" w:cstheme="minorHAnsi"/>
                <w:color w:val="000000"/>
                <w:lang w:eastAsia="en-GB"/>
              </w:rPr>
              <w:t>2014</w:t>
            </w:r>
          </w:p>
        </w:tc>
        <w:tc>
          <w:tcPr>
            <w:tcW w:w="2551" w:type="dxa"/>
            <w:shd w:val="clear" w:color="auto" w:fill="auto"/>
            <w:noWrap/>
          </w:tcPr>
          <w:p w14:paraId="2DBC3705" w14:textId="77777777" w:rsidR="00F511F4" w:rsidRPr="00B6620E" w:rsidRDefault="00F511F4" w:rsidP="001F53D9">
            <w:pPr>
              <w:spacing w:after="0" w:line="240" w:lineRule="auto"/>
              <w:rPr>
                <w:rFonts w:eastAsia="Times New Roman" w:cstheme="minorHAnsi"/>
                <w:color w:val="000000"/>
                <w:lang w:eastAsia="en-GB"/>
              </w:rPr>
            </w:pPr>
            <w:r>
              <w:rPr>
                <w:rFonts w:eastAsia="Times New Roman" w:cstheme="minorHAnsi"/>
                <w:color w:val="000000"/>
                <w:lang w:eastAsia="en-GB"/>
              </w:rPr>
              <w:t>4.87 (4.73-5.01)</w:t>
            </w:r>
          </w:p>
        </w:tc>
        <w:tc>
          <w:tcPr>
            <w:tcW w:w="2127" w:type="dxa"/>
          </w:tcPr>
          <w:p w14:paraId="289773C3" w14:textId="77777777" w:rsidR="00F511F4" w:rsidRPr="00B6620E" w:rsidRDefault="00F511F4" w:rsidP="001F53D9">
            <w:pPr>
              <w:spacing w:after="0" w:line="240" w:lineRule="auto"/>
              <w:rPr>
                <w:rFonts w:eastAsia="Times New Roman" w:cstheme="minorHAnsi"/>
                <w:color w:val="000000"/>
                <w:lang w:eastAsia="en-GB"/>
              </w:rPr>
            </w:pPr>
            <w:r>
              <w:rPr>
                <w:rFonts w:eastAsia="Times New Roman" w:cstheme="minorHAnsi"/>
                <w:color w:val="000000"/>
                <w:lang w:eastAsia="en-GB"/>
              </w:rPr>
              <w:t>&lt;0.001</w:t>
            </w:r>
          </w:p>
        </w:tc>
      </w:tr>
      <w:tr w:rsidR="00F511F4" w:rsidRPr="00B6620E" w14:paraId="4DAF389C" w14:textId="77777777" w:rsidTr="001F53D9">
        <w:trPr>
          <w:trHeight w:val="285"/>
        </w:trPr>
        <w:tc>
          <w:tcPr>
            <w:tcW w:w="3227" w:type="dxa"/>
            <w:shd w:val="clear" w:color="auto" w:fill="auto"/>
            <w:noWrap/>
            <w:hideMark/>
          </w:tcPr>
          <w:p w14:paraId="3430B6C8" w14:textId="77777777" w:rsidR="00F511F4" w:rsidRPr="00B6620E" w:rsidRDefault="00F511F4" w:rsidP="001F53D9">
            <w:pPr>
              <w:spacing w:after="0" w:line="240" w:lineRule="auto"/>
              <w:rPr>
                <w:rFonts w:eastAsia="Times New Roman" w:cstheme="minorHAnsi"/>
                <w:color w:val="000000"/>
                <w:lang w:eastAsia="en-GB"/>
              </w:rPr>
            </w:pPr>
            <w:r>
              <w:rPr>
                <w:rFonts w:eastAsia="Times New Roman" w:cstheme="minorHAnsi"/>
                <w:color w:val="000000"/>
                <w:lang w:val="en-US" w:eastAsia="en-GB"/>
              </w:rPr>
              <w:t xml:space="preserve">Primary expected payer vs </w:t>
            </w:r>
            <w:r w:rsidRPr="00B6620E">
              <w:rPr>
                <w:rFonts w:eastAsia="Times New Roman" w:cstheme="minorHAnsi"/>
                <w:color w:val="000000"/>
                <w:lang w:val="en-US" w:eastAsia="en-GB"/>
              </w:rPr>
              <w:t>Medicare</w:t>
            </w:r>
          </w:p>
        </w:tc>
        <w:tc>
          <w:tcPr>
            <w:tcW w:w="2551" w:type="dxa"/>
            <w:shd w:val="clear" w:color="auto" w:fill="auto"/>
            <w:noWrap/>
          </w:tcPr>
          <w:p w14:paraId="4BE0D9DE" w14:textId="77777777" w:rsidR="00F511F4" w:rsidRPr="00B6620E" w:rsidRDefault="00F511F4" w:rsidP="001F53D9">
            <w:pPr>
              <w:spacing w:after="0" w:line="240" w:lineRule="auto"/>
              <w:rPr>
                <w:rFonts w:eastAsia="Times New Roman" w:cstheme="minorHAnsi"/>
                <w:color w:val="000000"/>
                <w:lang w:eastAsia="en-GB"/>
              </w:rPr>
            </w:pPr>
          </w:p>
        </w:tc>
        <w:tc>
          <w:tcPr>
            <w:tcW w:w="2127" w:type="dxa"/>
          </w:tcPr>
          <w:p w14:paraId="0C12F0DE" w14:textId="77777777" w:rsidR="00F511F4" w:rsidRPr="00B6620E" w:rsidRDefault="00F511F4" w:rsidP="001F53D9">
            <w:pPr>
              <w:spacing w:after="0" w:line="240" w:lineRule="auto"/>
              <w:rPr>
                <w:rFonts w:eastAsia="Times New Roman" w:cstheme="minorHAnsi"/>
                <w:color w:val="000000"/>
                <w:lang w:eastAsia="en-GB"/>
              </w:rPr>
            </w:pPr>
          </w:p>
        </w:tc>
      </w:tr>
      <w:tr w:rsidR="00F511F4" w:rsidRPr="00B6620E" w14:paraId="4BB20600" w14:textId="77777777" w:rsidTr="001F53D9">
        <w:trPr>
          <w:trHeight w:val="285"/>
        </w:trPr>
        <w:tc>
          <w:tcPr>
            <w:tcW w:w="3227" w:type="dxa"/>
            <w:shd w:val="clear" w:color="auto" w:fill="auto"/>
            <w:noWrap/>
            <w:hideMark/>
          </w:tcPr>
          <w:p w14:paraId="561B88D8" w14:textId="77777777" w:rsidR="00F511F4" w:rsidRPr="00B6620E" w:rsidRDefault="00F511F4" w:rsidP="001F53D9">
            <w:pPr>
              <w:spacing w:after="0" w:line="240" w:lineRule="auto"/>
              <w:rPr>
                <w:rFonts w:eastAsia="Times New Roman" w:cstheme="minorHAnsi"/>
                <w:color w:val="000000"/>
                <w:lang w:eastAsia="en-GB"/>
              </w:rPr>
            </w:pPr>
            <w:r w:rsidRPr="00B6620E">
              <w:rPr>
                <w:rFonts w:eastAsia="Times New Roman" w:cstheme="minorHAnsi"/>
                <w:color w:val="000000"/>
                <w:lang w:val="en-US" w:eastAsia="en-GB"/>
              </w:rPr>
              <w:t>Medicaid</w:t>
            </w:r>
          </w:p>
        </w:tc>
        <w:tc>
          <w:tcPr>
            <w:tcW w:w="2551" w:type="dxa"/>
            <w:shd w:val="clear" w:color="auto" w:fill="auto"/>
            <w:noWrap/>
          </w:tcPr>
          <w:p w14:paraId="795DADF1" w14:textId="77777777" w:rsidR="00F511F4" w:rsidRPr="00B6620E" w:rsidRDefault="00F511F4" w:rsidP="001F53D9">
            <w:pPr>
              <w:spacing w:after="0" w:line="240" w:lineRule="auto"/>
              <w:rPr>
                <w:rFonts w:eastAsia="Times New Roman" w:cstheme="minorHAnsi"/>
                <w:color w:val="000000"/>
                <w:lang w:eastAsia="en-GB"/>
              </w:rPr>
            </w:pPr>
            <w:r>
              <w:rPr>
                <w:rFonts w:eastAsia="Times New Roman" w:cstheme="minorHAnsi"/>
                <w:color w:val="000000"/>
                <w:lang w:eastAsia="en-GB"/>
              </w:rPr>
              <w:t>1.02 (1.00-1.05)</w:t>
            </w:r>
          </w:p>
        </w:tc>
        <w:tc>
          <w:tcPr>
            <w:tcW w:w="2127" w:type="dxa"/>
          </w:tcPr>
          <w:p w14:paraId="19E6F0D6" w14:textId="77777777" w:rsidR="00F511F4" w:rsidRPr="00B6620E" w:rsidRDefault="00F511F4" w:rsidP="001F53D9">
            <w:pPr>
              <w:spacing w:after="0" w:line="240" w:lineRule="auto"/>
              <w:rPr>
                <w:rFonts w:eastAsia="Times New Roman" w:cstheme="minorHAnsi"/>
                <w:color w:val="000000"/>
                <w:lang w:eastAsia="en-GB"/>
              </w:rPr>
            </w:pPr>
            <w:r>
              <w:rPr>
                <w:rFonts w:eastAsia="Times New Roman" w:cstheme="minorHAnsi"/>
                <w:color w:val="000000"/>
                <w:lang w:eastAsia="en-GB"/>
              </w:rPr>
              <w:t>0.05</w:t>
            </w:r>
          </w:p>
        </w:tc>
      </w:tr>
      <w:tr w:rsidR="00F511F4" w:rsidRPr="00B6620E" w14:paraId="56037C12" w14:textId="77777777" w:rsidTr="001F53D9">
        <w:trPr>
          <w:trHeight w:val="285"/>
        </w:trPr>
        <w:tc>
          <w:tcPr>
            <w:tcW w:w="3227" w:type="dxa"/>
            <w:shd w:val="clear" w:color="auto" w:fill="auto"/>
            <w:noWrap/>
            <w:hideMark/>
          </w:tcPr>
          <w:p w14:paraId="079D1A0D" w14:textId="77777777" w:rsidR="00F511F4" w:rsidRPr="00B6620E" w:rsidRDefault="00F511F4" w:rsidP="001F53D9">
            <w:pPr>
              <w:spacing w:after="0" w:line="240" w:lineRule="auto"/>
              <w:rPr>
                <w:rFonts w:eastAsia="Times New Roman" w:cstheme="minorHAnsi"/>
                <w:color w:val="000000"/>
                <w:lang w:eastAsia="en-GB"/>
              </w:rPr>
            </w:pPr>
            <w:r w:rsidRPr="00B6620E">
              <w:rPr>
                <w:rFonts w:eastAsia="Times New Roman" w:cstheme="minorHAnsi"/>
                <w:color w:val="000000"/>
                <w:lang w:val="en-US" w:eastAsia="en-GB"/>
              </w:rPr>
              <w:t>Private insurance</w:t>
            </w:r>
          </w:p>
        </w:tc>
        <w:tc>
          <w:tcPr>
            <w:tcW w:w="2551" w:type="dxa"/>
            <w:shd w:val="clear" w:color="auto" w:fill="auto"/>
            <w:noWrap/>
          </w:tcPr>
          <w:p w14:paraId="30FD155A" w14:textId="77777777" w:rsidR="00F511F4" w:rsidRPr="00B6620E" w:rsidRDefault="00F511F4" w:rsidP="001F53D9">
            <w:pPr>
              <w:spacing w:after="0" w:line="240" w:lineRule="auto"/>
              <w:rPr>
                <w:rFonts w:eastAsia="Times New Roman" w:cstheme="minorHAnsi"/>
                <w:color w:val="000000"/>
                <w:lang w:eastAsia="en-GB"/>
              </w:rPr>
            </w:pPr>
            <w:r>
              <w:rPr>
                <w:rFonts w:eastAsia="Times New Roman" w:cstheme="minorHAnsi"/>
                <w:color w:val="000000"/>
                <w:lang w:eastAsia="en-GB"/>
              </w:rPr>
              <w:t>0.85 (0.83-0.86)</w:t>
            </w:r>
          </w:p>
        </w:tc>
        <w:tc>
          <w:tcPr>
            <w:tcW w:w="2127" w:type="dxa"/>
          </w:tcPr>
          <w:p w14:paraId="7828F31C" w14:textId="77777777" w:rsidR="00F511F4" w:rsidRPr="00B6620E" w:rsidRDefault="00F511F4" w:rsidP="001F53D9">
            <w:pPr>
              <w:spacing w:after="0" w:line="240" w:lineRule="auto"/>
              <w:rPr>
                <w:rFonts w:eastAsia="Times New Roman" w:cstheme="minorHAnsi"/>
                <w:color w:val="000000"/>
                <w:lang w:eastAsia="en-GB"/>
              </w:rPr>
            </w:pPr>
            <w:r>
              <w:rPr>
                <w:rFonts w:eastAsia="Times New Roman" w:cstheme="minorHAnsi"/>
                <w:color w:val="000000"/>
                <w:lang w:eastAsia="en-GB"/>
              </w:rPr>
              <w:t>&lt;0.001</w:t>
            </w:r>
          </w:p>
        </w:tc>
      </w:tr>
      <w:tr w:rsidR="00F511F4" w:rsidRPr="00B6620E" w14:paraId="0CEA9F90" w14:textId="77777777" w:rsidTr="001F53D9">
        <w:trPr>
          <w:trHeight w:val="285"/>
        </w:trPr>
        <w:tc>
          <w:tcPr>
            <w:tcW w:w="3227" w:type="dxa"/>
            <w:shd w:val="clear" w:color="auto" w:fill="auto"/>
            <w:noWrap/>
            <w:hideMark/>
          </w:tcPr>
          <w:p w14:paraId="5EBBA4F7" w14:textId="77777777" w:rsidR="00F511F4" w:rsidRPr="00B6620E" w:rsidRDefault="00F511F4" w:rsidP="001F53D9">
            <w:pPr>
              <w:spacing w:after="0" w:line="240" w:lineRule="auto"/>
              <w:rPr>
                <w:rFonts w:eastAsia="Times New Roman" w:cstheme="minorHAnsi"/>
                <w:color w:val="000000"/>
                <w:lang w:eastAsia="en-GB"/>
              </w:rPr>
            </w:pPr>
            <w:r w:rsidRPr="00B6620E">
              <w:rPr>
                <w:rFonts w:eastAsia="Times New Roman" w:cstheme="minorHAnsi"/>
                <w:color w:val="000000"/>
                <w:lang w:val="en-US" w:eastAsia="en-GB"/>
              </w:rPr>
              <w:t>Self-pay</w:t>
            </w:r>
          </w:p>
        </w:tc>
        <w:tc>
          <w:tcPr>
            <w:tcW w:w="2551" w:type="dxa"/>
            <w:shd w:val="clear" w:color="auto" w:fill="auto"/>
            <w:noWrap/>
          </w:tcPr>
          <w:p w14:paraId="5FB47D2F" w14:textId="77777777" w:rsidR="00F511F4" w:rsidRPr="00B6620E" w:rsidRDefault="00F511F4" w:rsidP="001F53D9">
            <w:pPr>
              <w:spacing w:after="0" w:line="240" w:lineRule="auto"/>
              <w:rPr>
                <w:rFonts w:eastAsia="Times New Roman" w:cstheme="minorHAnsi"/>
                <w:color w:val="000000"/>
                <w:lang w:eastAsia="en-GB"/>
              </w:rPr>
            </w:pPr>
            <w:r>
              <w:rPr>
                <w:rFonts w:eastAsia="Times New Roman" w:cstheme="minorHAnsi"/>
                <w:color w:val="000000"/>
                <w:lang w:eastAsia="en-GB"/>
              </w:rPr>
              <w:t>0.77 (0.74-0.80)</w:t>
            </w:r>
          </w:p>
        </w:tc>
        <w:tc>
          <w:tcPr>
            <w:tcW w:w="2127" w:type="dxa"/>
          </w:tcPr>
          <w:p w14:paraId="2A334BAB" w14:textId="77777777" w:rsidR="00F511F4" w:rsidRPr="00B6620E" w:rsidRDefault="00F511F4" w:rsidP="001F53D9">
            <w:pPr>
              <w:spacing w:after="0" w:line="240" w:lineRule="auto"/>
              <w:rPr>
                <w:rFonts w:eastAsia="Times New Roman" w:cstheme="minorHAnsi"/>
                <w:color w:val="000000"/>
                <w:lang w:eastAsia="en-GB"/>
              </w:rPr>
            </w:pPr>
            <w:r>
              <w:rPr>
                <w:rFonts w:eastAsia="Times New Roman" w:cstheme="minorHAnsi"/>
                <w:color w:val="000000"/>
                <w:lang w:eastAsia="en-GB"/>
              </w:rPr>
              <w:t>&lt;0.001</w:t>
            </w:r>
          </w:p>
        </w:tc>
      </w:tr>
      <w:tr w:rsidR="00F511F4" w:rsidRPr="00B6620E" w14:paraId="7F231771" w14:textId="77777777" w:rsidTr="001F53D9">
        <w:trPr>
          <w:trHeight w:val="285"/>
        </w:trPr>
        <w:tc>
          <w:tcPr>
            <w:tcW w:w="3227" w:type="dxa"/>
            <w:shd w:val="clear" w:color="auto" w:fill="auto"/>
            <w:noWrap/>
            <w:hideMark/>
          </w:tcPr>
          <w:p w14:paraId="1FF812E2" w14:textId="77777777" w:rsidR="00F511F4" w:rsidRPr="00B6620E" w:rsidRDefault="00F511F4" w:rsidP="001F53D9">
            <w:pPr>
              <w:spacing w:after="0" w:line="240" w:lineRule="auto"/>
              <w:rPr>
                <w:rFonts w:eastAsia="Times New Roman" w:cstheme="minorHAnsi"/>
                <w:color w:val="000000"/>
                <w:lang w:eastAsia="en-GB"/>
              </w:rPr>
            </w:pPr>
            <w:r w:rsidRPr="00B6620E">
              <w:rPr>
                <w:rFonts w:eastAsia="Times New Roman" w:cstheme="minorHAnsi"/>
                <w:color w:val="000000"/>
                <w:lang w:val="en-US" w:eastAsia="en-GB"/>
              </w:rPr>
              <w:t>No charge</w:t>
            </w:r>
          </w:p>
        </w:tc>
        <w:tc>
          <w:tcPr>
            <w:tcW w:w="2551" w:type="dxa"/>
            <w:shd w:val="clear" w:color="auto" w:fill="auto"/>
            <w:noWrap/>
          </w:tcPr>
          <w:p w14:paraId="0AF92B17" w14:textId="77777777" w:rsidR="00F511F4" w:rsidRPr="00B6620E" w:rsidRDefault="00F511F4" w:rsidP="001F53D9">
            <w:pPr>
              <w:spacing w:after="0" w:line="240" w:lineRule="auto"/>
              <w:rPr>
                <w:rFonts w:eastAsia="Times New Roman" w:cstheme="minorHAnsi"/>
                <w:color w:val="000000"/>
                <w:lang w:eastAsia="en-GB"/>
              </w:rPr>
            </w:pPr>
            <w:r>
              <w:rPr>
                <w:rFonts w:eastAsia="Times New Roman" w:cstheme="minorHAnsi"/>
                <w:color w:val="000000"/>
                <w:lang w:eastAsia="en-GB"/>
              </w:rPr>
              <w:t>0.73 (0.65-0.81)</w:t>
            </w:r>
          </w:p>
        </w:tc>
        <w:tc>
          <w:tcPr>
            <w:tcW w:w="2127" w:type="dxa"/>
          </w:tcPr>
          <w:p w14:paraId="13F6D3AC" w14:textId="77777777" w:rsidR="00F511F4" w:rsidRPr="00B6620E" w:rsidRDefault="00F511F4" w:rsidP="001F53D9">
            <w:pPr>
              <w:spacing w:after="0" w:line="240" w:lineRule="auto"/>
              <w:rPr>
                <w:rFonts w:eastAsia="Times New Roman" w:cstheme="minorHAnsi"/>
                <w:color w:val="000000"/>
                <w:lang w:eastAsia="en-GB"/>
              </w:rPr>
            </w:pPr>
            <w:r>
              <w:rPr>
                <w:rFonts w:eastAsia="Times New Roman" w:cstheme="minorHAnsi"/>
                <w:color w:val="000000"/>
                <w:lang w:eastAsia="en-GB"/>
              </w:rPr>
              <w:t>&lt;0.001</w:t>
            </w:r>
          </w:p>
        </w:tc>
      </w:tr>
      <w:tr w:rsidR="00F511F4" w:rsidRPr="00B6620E" w14:paraId="5C80D1F2" w14:textId="77777777" w:rsidTr="001F53D9">
        <w:trPr>
          <w:trHeight w:val="285"/>
        </w:trPr>
        <w:tc>
          <w:tcPr>
            <w:tcW w:w="3227" w:type="dxa"/>
            <w:shd w:val="clear" w:color="auto" w:fill="auto"/>
            <w:noWrap/>
            <w:hideMark/>
          </w:tcPr>
          <w:p w14:paraId="00473F78" w14:textId="77777777" w:rsidR="00F511F4" w:rsidRPr="00B6620E" w:rsidRDefault="00F511F4" w:rsidP="001F53D9">
            <w:pPr>
              <w:spacing w:after="0" w:line="240" w:lineRule="auto"/>
              <w:rPr>
                <w:rFonts w:eastAsia="Times New Roman" w:cstheme="minorHAnsi"/>
                <w:color w:val="000000"/>
                <w:lang w:eastAsia="en-GB"/>
              </w:rPr>
            </w:pPr>
            <w:r w:rsidRPr="00B6620E">
              <w:rPr>
                <w:rFonts w:eastAsia="Times New Roman" w:cstheme="minorHAnsi"/>
                <w:color w:val="000000"/>
                <w:lang w:val="en-US" w:eastAsia="en-GB"/>
              </w:rPr>
              <w:t>Other</w:t>
            </w:r>
          </w:p>
        </w:tc>
        <w:tc>
          <w:tcPr>
            <w:tcW w:w="2551" w:type="dxa"/>
            <w:shd w:val="clear" w:color="auto" w:fill="auto"/>
            <w:noWrap/>
          </w:tcPr>
          <w:p w14:paraId="485A83FC" w14:textId="77777777" w:rsidR="00F511F4" w:rsidRPr="00B6620E" w:rsidRDefault="00F511F4" w:rsidP="001F53D9">
            <w:pPr>
              <w:spacing w:after="0" w:line="240" w:lineRule="auto"/>
              <w:rPr>
                <w:rFonts w:eastAsia="Times New Roman" w:cstheme="minorHAnsi"/>
                <w:color w:val="000000"/>
                <w:lang w:eastAsia="en-GB"/>
              </w:rPr>
            </w:pPr>
            <w:r>
              <w:rPr>
                <w:rFonts w:eastAsia="Times New Roman" w:cstheme="minorHAnsi"/>
                <w:color w:val="000000"/>
                <w:lang w:eastAsia="en-GB"/>
              </w:rPr>
              <w:t>0.83 (0.80-0.87)</w:t>
            </w:r>
          </w:p>
        </w:tc>
        <w:tc>
          <w:tcPr>
            <w:tcW w:w="2127" w:type="dxa"/>
          </w:tcPr>
          <w:p w14:paraId="53862686" w14:textId="77777777" w:rsidR="00F511F4" w:rsidRPr="00B6620E" w:rsidRDefault="00F511F4" w:rsidP="001F53D9">
            <w:pPr>
              <w:spacing w:after="0" w:line="240" w:lineRule="auto"/>
              <w:rPr>
                <w:rFonts w:eastAsia="Times New Roman" w:cstheme="minorHAnsi"/>
                <w:color w:val="000000"/>
                <w:lang w:eastAsia="en-GB"/>
              </w:rPr>
            </w:pPr>
            <w:r>
              <w:rPr>
                <w:rFonts w:eastAsia="Times New Roman" w:cstheme="minorHAnsi"/>
                <w:color w:val="000000"/>
                <w:lang w:eastAsia="en-GB"/>
              </w:rPr>
              <w:t>&lt;0.001</w:t>
            </w:r>
          </w:p>
        </w:tc>
      </w:tr>
      <w:tr w:rsidR="00F511F4" w:rsidRPr="00B6620E" w14:paraId="241855F7" w14:textId="77777777" w:rsidTr="001F53D9">
        <w:trPr>
          <w:trHeight w:val="315"/>
        </w:trPr>
        <w:tc>
          <w:tcPr>
            <w:tcW w:w="3227" w:type="dxa"/>
            <w:shd w:val="clear" w:color="auto" w:fill="auto"/>
            <w:noWrap/>
            <w:hideMark/>
          </w:tcPr>
          <w:p w14:paraId="55032700" w14:textId="77777777" w:rsidR="00F511F4" w:rsidRPr="00B6620E" w:rsidRDefault="00F511F4" w:rsidP="001F53D9">
            <w:pPr>
              <w:spacing w:after="0" w:line="240" w:lineRule="auto"/>
              <w:rPr>
                <w:rFonts w:eastAsia="Times New Roman" w:cstheme="minorHAnsi"/>
                <w:color w:val="000000"/>
                <w:lang w:eastAsia="en-GB"/>
              </w:rPr>
            </w:pPr>
            <w:r>
              <w:rPr>
                <w:rFonts w:eastAsia="Times New Roman" w:cstheme="minorHAnsi"/>
                <w:color w:val="000000"/>
                <w:lang w:val="en-US" w:eastAsia="en-GB"/>
              </w:rPr>
              <w:t xml:space="preserve">Quartile of income vs </w:t>
            </w:r>
            <w:r w:rsidRPr="00B6620E">
              <w:rPr>
                <w:rFonts w:eastAsia="Times New Roman" w:cstheme="minorHAnsi"/>
                <w:color w:val="000000"/>
                <w:lang w:val="en-US" w:eastAsia="en-GB"/>
              </w:rPr>
              <w:t>0</w:t>
            </w:r>
            <w:r w:rsidRPr="00B6620E">
              <w:rPr>
                <w:rFonts w:eastAsia="Times New Roman" w:cstheme="minorHAnsi"/>
                <w:color w:val="000000"/>
                <w:vertAlign w:val="superscript"/>
                <w:lang w:val="en-US" w:eastAsia="en-GB"/>
              </w:rPr>
              <w:t>th</w:t>
            </w:r>
            <w:r w:rsidRPr="00B6620E">
              <w:rPr>
                <w:rFonts w:eastAsia="Times New Roman" w:cstheme="minorHAnsi"/>
                <w:color w:val="000000"/>
                <w:lang w:val="en-US" w:eastAsia="en-GB"/>
              </w:rPr>
              <w:t>-25</w:t>
            </w:r>
            <w:r w:rsidRPr="00B6620E">
              <w:rPr>
                <w:rFonts w:eastAsia="Times New Roman" w:cstheme="minorHAnsi"/>
                <w:color w:val="000000"/>
                <w:vertAlign w:val="superscript"/>
                <w:lang w:val="en-US" w:eastAsia="en-GB"/>
              </w:rPr>
              <w:t>th</w:t>
            </w:r>
          </w:p>
        </w:tc>
        <w:tc>
          <w:tcPr>
            <w:tcW w:w="2551" w:type="dxa"/>
            <w:shd w:val="clear" w:color="auto" w:fill="auto"/>
            <w:noWrap/>
          </w:tcPr>
          <w:p w14:paraId="74FC0F07" w14:textId="77777777" w:rsidR="00F511F4" w:rsidRPr="00B6620E" w:rsidRDefault="00F511F4" w:rsidP="001F53D9">
            <w:pPr>
              <w:spacing w:after="0" w:line="240" w:lineRule="auto"/>
              <w:rPr>
                <w:rFonts w:eastAsia="Times New Roman" w:cstheme="minorHAnsi"/>
                <w:color w:val="000000"/>
                <w:lang w:eastAsia="en-GB"/>
              </w:rPr>
            </w:pPr>
          </w:p>
        </w:tc>
        <w:tc>
          <w:tcPr>
            <w:tcW w:w="2127" w:type="dxa"/>
          </w:tcPr>
          <w:p w14:paraId="04D96C31" w14:textId="77777777" w:rsidR="00F511F4" w:rsidRPr="00B6620E" w:rsidRDefault="00F511F4" w:rsidP="001F53D9">
            <w:pPr>
              <w:spacing w:after="0" w:line="240" w:lineRule="auto"/>
              <w:rPr>
                <w:rFonts w:eastAsia="Times New Roman" w:cstheme="minorHAnsi"/>
                <w:color w:val="000000"/>
                <w:lang w:eastAsia="en-GB"/>
              </w:rPr>
            </w:pPr>
          </w:p>
        </w:tc>
      </w:tr>
      <w:tr w:rsidR="00F511F4" w:rsidRPr="00B6620E" w14:paraId="2458F4FD" w14:textId="77777777" w:rsidTr="001F53D9">
        <w:trPr>
          <w:trHeight w:val="315"/>
        </w:trPr>
        <w:tc>
          <w:tcPr>
            <w:tcW w:w="3227" w:type="dxa"/>
            <w:shd w:val="clear" w:color="auto" w:fill="auto"/>
            <w:noWrap/>
            <w:hideMark/>
          </w:tcPr>
          <w:p w14:paraId="54A6A71E" w14:textId="77777777" w:rsidR="00F511F4" w:rsidRPr="00B6620E" w:rsidRDefault="00F511F4" w:rsidP="001F53D9">
            <w:pPr>
              <w:spacing w:after="0" w:line="240" w:lineRule="auto"/>
              <w:rPr>
                <w:rFonts w:eastAsia="Times New Roman" w:cstheme="minorHAnsi"/>
                <w:color w:val="000000"/>
                <w:lang w:eastAsia="en-GB"/>
              </w:rPr>
            </w:pPr>
            <w:r w:rsidRPr="00B6620E">
              <w:rPr>
                <w:rFonts w:eastAsia="Times New Roman" w:cstheme="minorHAnsi"/>
                <w:color w:val="000000"/>
                <w:lang w:val="en-US" w:eastAsia="en-GB"/>
              </w:rPr>
              <w:t>26</w:t>
            </w:r>
            <w:r w:rsidRPr="00B6620E">
              <w:rPr>
                <w:rFonts w:eastAsia="Times New Roman" w:cstheme="minorHAnsi"/>
                <w:color w:val="000000"/>
                <w:vertAlign w:val="superscript"/>
                <w:lang w:val="en-US" w:eastAsia="en-GB"/>
              </w:rPr>
              <w:t>th</w:t>
            </w:r>
            <w:r w:rsidRPr="00B6620E">
              <w:rPr>
                <w:rFonts w:eastAsia="Times New Roman" w:cstheme="minorHAnsi"/>
                <w:color w:val="000000"/>
                <w:lang w:val="en-US" w:eastAsia="en-GB"/>
              </w:rPr>
              <w:t>-50</w:t>
            </w:r>
            <w:r w:rsidRPr="00B6620E">
              <w:rPr>
                <w:rFonts w:eastAsia="Times New Roman" w:cstheme="minorHAnsi"/>
                <w:color w:val="000000"/>
                <w:vertAlign w:val="superscript"/>
                <w:lang w:val="en-US" w:eastAsia="en-GB"/>
              </w:rPr>
              <w:t>th</w:t>
            </w:r>
          </w:p>
        </w:tc>
        <w:tc>
          <w:tcPr>
            <w:tcW w:w="2551" w:type="dxa"/>
            <w:shd w:val="clear" w:color="auto" w:fill="auto"/>
            <w:noWrap/>
          </w:tcPr>
          <w:p w14:paraId="18660131" w14:textId="77777777" w:rsidR="00F511F4" w:rsidRPr="00B6620E" w:rsidRDefault="00F511F4" w:rsidP="001F53D9">
            <w:pPr>
              <w:spacing w:after="0" w:line="240" w:lineRule="auto"/>
              <w:rPr>
                <w:rFonts w:eastAsia="Times New Roman" w:cstheme="minorHAnsi"/>
                <w:color w:val="000000"/>
                <w:lang w:eastAsia="en-GB"/>
              </w:rPr>
            </w:pPr>
            <w:r>
              <w:rPr>
                <w:rFonts w:eastAsia="Times New Roman" w:cstheme="minorHAnsi"/>
                <w:color w:val="000000"/>
                <w:lang w:eastAsia="en-GB"/>
              </w:rPr>
              <w:t>1.01 (1.00-1.03)</w:t>
            </w:r>
          </w:p>
        </w:tc>
        <w:tc>
          <w:tcPr>
            <w:tcW w:w="2127" w:type="dxa"/>
          </w:tcPr>
          <w:p w14:paraId="1C487FBB" w14:textId="77777777" w:rsidR="00F511F4" w:rsidRPr="00B6620E" w:rsidRDefault="00F511F4" w:rsidP="001F53D9">
            <w:pPr>
              <w:spacing w:after="0" w:line="240" w:lineRule="auto"/>
              <w:rPr>
                <w:rFonts w:eastAsia="Times New Roman" w:cstheme="minorHAnsi"/>
                <w:color w:val="000000"/>
                <w:lang w:eastAsia="en-GB"/>
              </w:rPr>
            </w:pPr>
            <w:r>
              <w:rPr>
                <w:rFonts w:eastAsia="Times New Roman" w:cstheme="minorHAnsi"/>
                <w:color w:val="000000"/>
                <w:lang w:eastAsia="en-GB"/>
              </w:rPr>
              <w:t>0.12</w:t>
            </w:r>
          </w:p>
        </w:tc>
      </w:tr>
      <w:tr w:rsidR="00F511F4" w:rsidRPr="00B6620E" w14:paraId="25427074" w14:textId="77777777" w:rsidTr="001F53D9">
        <w:trPr>
          <w:trHeight w:val="315"/>
        </w:trPr>
        <w:tc>
          <w:tcPr>
            <w:tcW w:w="3227" w:type="dxa"/>
            <w:shd w:val="clear" w:color="auto" w:fill="auto"/>
            <w:noWrap/>
            <w:hideMark/>
          </w:tcPr>
          <w:p w14:paraId="03BB4F67" w14:textId="77777777" w:rsidR="00F511F4" w:rsidRPr="00B6620E" w:rsidRDefault="00F511F4" w:rsidP="001F53D9">
            <w:pPr>
              <w:spacing w:after="0" w:line="240" w:lineRule="auto"/>
              <w:rPr>
                <w:rFonts w:eastAsia="Times New Roman" w:cstheme="minorHAnsi"/>
                <w:color w:val="000000"/>
                <w:lang w:eastAsia="en-GB"/>
              </w:rPr>
            </w:pPr>
            <w:r w:rsidRPr="00B6620E">
              <w:rPr>
                <w:rFonts w:eastAsia="Times New Roman" w:cstheme="minorHAnsi"/>
                <w:color w:val="000000"/>
                <w:lang w:val="en-US" w:eastAsia="en-GB"/>
              </w:rPr>
              <w:t>51</w:t>
            </w:r>
            <w:r w:rsidRPr="00B6620E">
              <w:rPr>
                <w:rFonts w:eastAsia="Times New Roman" w:cstheme="minorHAnsi"/>
                <w:color w:val="000000"/>
                <w:vertAlign w:val="superscript"/>
                <w:lang w:val="en-US" w:eastAsia="en-GB"/>
              </w:rPr>
              <w:t>th</w:t>
            </w:r>
            <w:r w:rsidRPr="00B6620E">
              <w:rPr>
                <w:rFonts w:eastAsia="Times New Roman" w:cstheme="minorHAnsi"/>
                <w:color w:val="000000"/>
                <w:lang w:val="en-US" w:eastAsia="en-GB"/>
              </w:rPr>
              <w:t>-75</w:t>
            </w:r>
            <w:r w:rsidRPr="00B6620E">
              <w:rPr>
                <w:rFonts w:eastAsia="Times New Roman" w:cstheme="minorHAnsi"/>
                <w:color w:val="000000"/>
                <w:vertAlign w:val="superscript"/>
                <w:lang w:val="en-US" w:eastAsia="en-GB"/>
              </w:rPr>
              <w:t>th</w:t>
            </w:r>
          </w:p>
        </w:tc>
        <w:tc>
          <w:tcPr>
            <w:tcW w:w="2551" w:type="dxa"/>
            <w:shd w:val="clear" w:color="auto" w:fill="auto"/>
            <w:noWrap/>
          </w:tcPr>
          <w:p w14:paraId="43E1CC74" w14:textId="77777777" w:rsidR="00F511F4" w:rsidRPr="00B6620E" w:rsidRDefault="00F511F4" w:rsidP="001F53D9">
            <w:pPr>
              <w:spacing w:after="0" w:line="240" w:lineRule="auto"/>
              <w:rPr>
                <w:rFonts w:eastAsia="Times New Roman" w:cstheme="minorHAnsi"/>
                <w:color w:val="000000"/>
                <w:lang w:eastAsia="en-GB"/>
              </w:rPr>
            </w:pPr>
            <w:r>
              <w:rPr>
                <w:rFonts w:eastAsia="Times New Roman" w:cstheme="minorHAnsi"/>
                <w:color w:val="000000"/>
                <w:lang w:eastAsia="en-GB"/>
              </w:rPr>
              <w:t>1.07 (1.05-1.08)</w:t>
            </w:r>
          </w:p>
        </w:tc>
        <w:tc>
          <w:tcPr>
            <w:tcW w:w="2127" w:type="dxa"/>
          </w:tcPr>
          <w:p w14:paraId="486D5428" w14:textId="77777777" w:rsidR="00F511F4" w:rsidRPr="00B6620E" w:rsidRDefault="00F511F4" w:rsidP="001F53D9">
            <w:pPr>
              <w:spacing w:after="0" w:line="240" w:lineRule="auto"/>
              <w:rPr>
                <w:rFonts w:eastAsia="Times New Roman" w:cstheme="minorHAnsi"/>
                <w:color w:val="000000"/>
                <w:lang w:eastAsia="en-GB"/>
              </w:rPr>
            </w:pPr>
            <w:r>
              <w:rPr>
                <w:rFonts w:eastAsia="Times New Roman" w:cstheme="minorHAnsi"/>
                <w:color w:val="000000"/>
                <w:lang w:eastAsia="en-GB"/>
              </w:rPr>
              <w:t>&lt;0.001</w:t>
            </w:r>
          </w:p>
        </w:tc>
      </w:tr>
      <w:tr w:rsidR="00F511F4" w:rsidRPr="00B6620E" w14:paraId="526D739C" w14:textId="77777777" w:rsidTr="001F53D9">
        <w:trPr>
          <w:trHeight w:val="315"/>
        </w:trPr>
        <w:tc>
          <w:tcPr>
            <w:tcW w:w="3227" w:type="dxa"/>
            <w:shd w:val="clear" w:color="auto" w:fill="auto"/>
            <w:noWrap/>
            <w:hideMark/>
          </w:tcPr>
          <w:p w14:paraId="00E0D787" w14:textId="77777777" w:rsidR="00F511F4" w:rsidRPr="00B6620E" w:rsidRDefault="00F511F4" w:rsidP="001F53D9">
            <w:pPr>
              <w:spacing w:after="0" w:line="240" w:lineRule="auto"/>
              <w:rPr>
                <w:rFonts w:eastAsia="Times New Roman" w:cstheme="minorHAnsi"/>
                <w:color w:val="000000"/>
                <w:lang w:eastAsia="en-GB"/>
              </w:rPr>
            </w:pPr>
            <w:r w:rsidRPr="00B6620E">
              <w:rPr>
                <w:rFonts w:eastAsia="Times New Roman" w:cstheme="minorHAnsi"/>
                <w:color w:val="000000"/>
                <w:lang w:val="en-US" w:eastAsia="en-GB"/>
              </w:rPr>
              <w:t>76</w:t>
            </w:r>
            <w:r w:rsidRPr="00B6620E">
              <w:rPr>
                <w:rFonts w:eastAsia="Times New Roman" w:cstheme="minorHAnsi"/>
                <w:color w:val="000000"/>
                <w:vertAlign w:val="superscript"/>
                <w:lang w:val="en-US" w:eastAsia="en-GB"/>
              </w:rPr>
              <w:t>th</w:t>
            </w:r>
            <w:r w:rsidRPr="00B6620E">
              <w:rPr>
                <w:rFonts w:eastAsia="Times New Roman" w:cstheme="minorHAnsi"/>
                <w:color w:val="000000"/>
                <w:lang w:val="en-US" w:eastAsia="en-GB"/>
              </w:rPr>
              <w:t>-100</w:t>
            </w:r>
            <w:r w:rsidRPr="00B6620E">
              <w:rPr>
                <w:rFonts w:eastAsia="Times New Roman" w:cstheme="minorHAnsi"/>
                <w:color w:val="000000"/>
                <w:vertAlign w:val="superscript"/>
                <w:lang w:val="en-US" w:eastAsia="en-GB"/>
              </w:rPr>
              <w:t>th</w:t>
            </w:r>
          </w:p>
        </w:tc>
        <w:tc>
          <w:tcPr>
            <w:tcW w:w="2551" w:type="dxa"/>
            <w:shd w:val="clear" w:color="auto" w:fill="auto"/>
            <w:noWrap/>
          </w:tcPr>
          <w:p w14:paraId="4CB91129" w14:textId="77777777" w:rsidR="00F511F4" w:rsidRPr="00B6620E" w:rsidRDefault="00F511F4" w:rsidP="001F53D9">
            <w:pPr>
              <w:spacing w:after="0" w:line="240" w:lineRule="auto"/>
              <w:rPr>
                <w:rFonts w:eastAsia="Times New Roman" w:cstheme="minorHAnsi"/>
                <w:color w:val="000000"/>
                <w:lang w:eastAsia="en-GB"/>
              </w:rPr>
            </w:pPr>
            <w:r>
              <w:rPr>
                <w:rFonts w:eastAsia="Times New Roman" w:cstheme="minorHAnsi"/>
                <w:color w:val="000000"/>
                <w:lang w:eastAsia="en-GB"/>
              </w:rPr>
              <w:t>1.07 (1.05-1.08)</w:t>
            </w:r>
          </w:p>
        </w:tc>
        <w:tc>
          <w:tcPr>
            <w:tcW w:w="2127" w:type="dxa"/>
          </w:tcPr>
          <w:p w14:paraId="72D437CC" w14:textId="77777777" w:rsidR="00F511F4" w:rsidRPr="00B6620E" w:rsidRDefault="00F511F4" w:rsidP="001F53D9">
            <w:pPr>
              <w:spacing w:after="0" w:line="240" w:lineRule="auto"/>
              <w:rPr>
                <w:rFonts w:eastAsia="Times New Roman" w:cstheme="minorHAnsi"/>
                <w:color w:val="000000"/>
                <w:lang w:eastAsia="en-GB"/>
              </w:rPr>
            </w:pPr>
            <w:r>
              <w:rPr>
                <w:rFonts w:eastAsia="Times New Roman" w:cstheme="minorHAnsi"/>
                <w:color w:val="000000"/>
                <w:lang w:eastAsia="en-GB"/>
              </w:rPr>
              <w:t>&lt;0.001</w:t>
            </w:r>
          </w:p>
        </w:tc>
      </w:tr>
      <w:tr w:rsidR="00F511F4" w:rsidRPr="00B6620E" w14:paraId="701F4D71" w14:textId="77777777" w:rsidTr="001F53D9">
        <w:trPr>
          <w:trHeight w:val="285"/>
        </w:trPr>
        <w:tc>
          <w:tcPr>
            <w:tcW w:w="3227" w:type="dxa"/>
            <w:shd w:val="clear" w:color="auto" w:fill="auto"/>
            <w:noWrap/>
            <w:hideMark/>
          </w:tcPr>
          <w:p w14:paraId="4BF91418" w14:textId="77777777" w:rsidR="00F511F4" w:rsidRPr="00B6620E" w:rsidRDefault="00F511F4" w:rsidP="001F53D9">
            <w:pPr>
              <w:spacing w:after="0" w:line="240" w:lineRule="auto"/>
              <w:rPr>
                <w:rFonts w:eastAsia="Times New Roman" w:cstheme="minorHAnsi"/>
                <w:color w:val="000000"/>
                <w:lang w:eastAsia="en-GB"/>
              </w:rPr>
            </w:pPr>
            <w:r w:rsidRPr="00B6620E">
              <w:rPr>
                <w:rFonts w:eastAsia="Times New Roman" w:cstheme="minorHAnsi"/>
                <w:color w:val="000000"/>
                <w:lang w:val="en-US" w:eastAsia="en-GB"/>
              </w:rPr>
              <w:t>Smoking</w:t>
            </w:r>
          </w:p>
        </w:tc>
        <w:tc>
          <w:tcPr>
            <w:tcW w:w="2551" w:type="dxa"/>
            <w:shd w:val="clear" w:color="auto" w:fill="auto"/>
            <w:noWrap/>
          </w:tcPr>
          <w:p w14:paraId="2D84B031" w14:textId="77777777" w:rsidR="00F511F4" w:rsidRPr="00B6620E" w:rsidRDefault="00F511F4" w:rsidP="001F53D9">
            <w:pPr>
              <w:spacing w:after="0" w:line="240" w:lineRule="auto"/>
              <w:rPr>
                <w:rFonts w:eastAsia="Times New Roman" w:cstheme="minorHAnsi"/>
                <w:color w:val="000000"/>
                <w:lang w:eastAsia="en-GB"/>
              </w:rPr>
            </w:pPr>
            <w:r>
              <w:rPr>
                <w:rFonts w:eastAsia="Times New Roman" w:cstheme="minorHAnsi"/>
                <w:color w:val="000000"/>
                <w:lang w:eastAsia="en-GB"/>
              </w:rPr>
              <w:t>0.96 (0.94-0.97)</w:t>
            </w:r>
          </w:p>
        </w:tc>
        <w:tc>
          <w:tcPr>
            <w:tcW w:w="2127" w:type="dxa"/>
          </w:tcPr>
          <w:p w14:paraId="5668089D" w14:textId="77777777" w:rsidR="00F511F4" w:rsidRPr="00B6620E" w:rsidRDefault="00F511F4" w:rsidP="001F53D9">
            <w:pPr>
              <w:spacing w:after="0" w:line="240" w:lineRule="auto"/>
              <w:rPr>
                <w:rFonts w:eastAsia="Times New Roman" w:cstheme="minorHAnsi"/>
                <w:color w:val="000000"/>
                <w:lang w:eastAsia="en-GB"/>
              </w:rPr>
            </w:pPr>
            <w:r>
              <w:rPr>
                <w:rFonts w:eastAsia="Times New Roman" w:cstheme="minorHAnsi"/>
                <w:color w:val="000000"/>
                <w:lang w:eastAsia="en-GB"/>
              </w:rPr>
              <w:t>&lt;0.001</w:t>
            </w:r>
          </w:p>
        </w:tc>
      </w:tr>
      <w:tr w:rsidR="00F511F4" w:rsidRPr="00B6620E" w14:paraId="4ECD88EB" w14:textId="77777777" w:rsidTr="001F53D9">
        <w:trPr>
          <w:trHeight w:val="285"/>
        </w:trPr>
        <w:tc>
          <w:tcPr>
            <w:tcW w:w="3227" w:type="dxa"/>
            <w:shd w:val="clear" w:color="auto" w:fill="auto"/>
            <w:noWrap/>
            <w:hideMark/>
          </w:tcPr>
          <w:p w14:paraId="7BEAE328" w14:textId="77777777" w:rsidR="00F511F4" w:rsidRPr="00B6620E" w:rsidRDefault="00F511F4" w:rsidP="001F53D9">
            <w:pPr>
              <w:spacing w:after="0" w:line="240" w:lineRule="auto"/>
              <w:rPr>
                <w:rFonts w:eastAsia="Times New Roman" w:cstheme="minorHAnsi"/>
                <w:color w:val="000000"/>
                <w:lang w:eastAsia="en-GB"/>
              </w:rPr>
            </w:pPr>
            <w:r w:rsidRPr="00B6620E">
              <w:rPr>
                <w:rFonts w:eastAsia="Times New Roman" w:cstheme="minorHAnsi"/>
                <w:color w:val="000000"/>
                <w:lang w:val="en-US" w:eastAsia="en-GB"/>
              </w:rPr>
              <w:t>Hypercholesterolemia</w:t>
            </w:r>
          </w:p>
        </w:tc>
        <w:tc>
          <w:tcPr>
            <w:tcW w:w="2551" w:type="dxa"/>
            <w:shd w:val="clear" w:color="auto" w:fill="auto"/>
            <w:noWrap/>
          </w:tcPr>
          <w:p w14:paraId="7D196027" w14:textId="77777777" w:rsidR="00F511F4" w:rsidRPr="00B6620E" w:rsidRDefault="00F511F4" w:rsidP="001F53D9">
            <w:pPr>
              <w:spacing w:after="0" w:line="240" w:lineRule="auto"/>
              <w:rPr>
                <w:rFonts w:eastAsia="Times New Roman" w:cstheme="minorHAnsi"/>
                <w:color w:val="000000"/>
                <w:lang w:eastAsia="en-GB"/>
              </w:rPr>
            </w:pPr>
            <w:r>
              <w:rPr>
                <w:rFonts w:eastAsia="Times New Roman" w:cstheme="minorHAnsi"/>
                <w:color w:val="000000"/>
                <w:lang w:eastAsia="en-GB"/>
              </w:rPr>
              <w:t>0.89 (0.88-0.90)</w:t>
            </w:r>
          </w:p>
        </w:tc>
        <w:tc>
          <w:tcPr>
            <w:tcW w:w="2127" w:type="dxa"/>
          </w:tcPr>
          <w:p w14:paraId="518AA44A" w14:textId="77777777" w:rsidR="00F511F4" w:rsidRPr="00B6620E" w:rsidRDefault="00F511F4" w:rsidP="001F53D9">
            <w:pPr>
              <w:spacing w:after="0" w:line="240" w:lineRule="auto"/>
              <w:rPr>
                <w:rFonts w:eastAsia="Times New Roman" w:cstheme="minorHAnsi"/>
                <w:color w:val="000000"/>
                <w:lang w:eastAsia="en-GB"/>
              </w:rPr>
            </w:pPr>
            <w:r>
              <w:rPr>
                <w:rFonts w:eastAsia="Times New Roman" w:cstheme="minorHAnsi"/>
                <w:color w:val="000000"/>
                <w:lang w:eastAsia="en-GB"/>
              </w:rPr>
              <w:t>&lt;0.001</w:t>
            </w:r>
          </w:p>
        </w:tc>
      </w:tr>
      <w:tr w:rsidR="00F511F4" w:rsidRPr="00B6620E" w14:paraId="65533565" w14:textId="77777777" w:rsidTr="001F53D9">
        <w:trPr>
          <w:trHeight w:val="285"/>
        </w:trPr>
        <w:tc>
          <w:tcPr>
            <w:tcW w:w="3227" w:type="dxa"/>
            <w:shd w:val="clear" w:color="auto" w:fill="auto"/>
            <w:noWrap/>
            <w:hideMark/>
          </w:tcPr>
          <w:p w14:paraId="3E0A77A3" w14:textId="77777777" w:rsidR="00F511F4" w:rsidRPr="00B6620E" w:rsidRDefault="00F511F4" w:rsidP="001F53D9">
            <w:pPr>
              <w:spacing w:after="0" w:line="240" w:lineRule="auto"/>
              <w:rPr>
                <w:rFonts w:eastAsia="Times New Roman" w:cstheme="minorHAnsi"/>
                <w:color w:val="000000"/>
                <w:lang w:eastAsia="en-GB"/>
              </w:rPr>
            </w:pPr>
            <w:r w:rsidRPr="00B6620E">
              <w:rPr>
                <w:rFonts w:eastAsia="Times New Roman" w:cstheme="minorHAnsi"/>
                <w:color w:val="000000"/>
                <w:lang w:val="en-US" w:eastAsia="en-GB"/>
              </w:rPr>
              <w:t>Hypertension</w:t>
            </w:r>
          </w:p>
        </w:tc>
        <w:tc>
          <w:tcPr>
            <w:tcW w:w="2551" w:type="dxa"/>
            <w:shd w:val="clear" w:color="auto" w:fill="auto"/>
            <w:noWrap/>
          </w:tcPr>
          <w:p w14:paraId="329C8102" w14:textId="77777777" w:rsidR="00F511F4" w:rsidRPr="00B6620E" w:rsidRDefault="00F511F4" w:rsidP="001F53D9">
            <w:pPr>
              <w:spacing w:after="0" w:line="240" w:lineRule="auto"/>
              <w:rPr>
                <w:rFonts w:eastAsia="Times New Roman" w:cstheme="minorHAnsi"/>
                <w:color w:val="000000"/>
                <w:lang w:eastAsia="en-GB"/>
              </w:rPr>
            </w:pPr>
            <w:r>
              <w:rPr>
                <w:rFonts w:eastAsia="Times New Roman" w:cstheme="minorHAnsi"/>
                <w:color w:val="000000"/>
                <w:lang w:eastAsia="en-GB"/>
              </w:rPr>
              <w:t>0.95 (0.94-0.96)</w:t>
            </w:r>
          </w:p>
        </w:tc>
        <w:tc>
          <w:tcPr>
            <w:tcW w:w="2127" w:type="dxa"/>
          </w:tcPr>
          <w:p w14:paraId="390DE692" w14:textId="77777777" w:rsidR="00F511F4" w:rsidRPr="00B6620E" w:rsidRDefault="00F511F4" w:rsidP="001F53D9">
            <w:pPr>
              <w:spacing w:after="0" w:line="240" w:lineRule="auto"/>
              <w:rPr>
                <w:rFonts w:eastAsia="Times New Roman" w:cstheme="minorHAnsi"/>
                <w:color w:val="000000"/>
                <w:lang w:eastAsia="en-GB"/>
              </w:rPr>
            </w:pPr>
            <w:r>
              <w:rPr>
                <w:rFonts w:eastAsia="Times New Roman" w:cstheme="minorHAnsi"/>
                <w:color w:val="000000"/>
                <w:lang w:eastAsia="en-GB"/>
              </w:rPr>
              <w:t>&lt;0.001</w:t>
            </w:r>
          </w:p>
        </w:tc>
      </w:tr>
      <w:tr w:rsidR="00F511F4" w:rsidRPr="00B6620E" w14:paraId="44EA9973" w14:textId="77777777" w:rsidTr="001F53D9">
        <w:trPr>
          <w:trHeight w:val="285"/>
        </w:trPr>
        <w:tc>
          <w:tcPr>
            <w:tcW w:w="3227" w:type="dxa"/>
            <w:shd w:val="clear" w:color="auto" w:fill="auto"/>
            <w:noWrap/>
            <w:hideMark/>
          </w:tcPr>
          <w:p w14:paraId="44345309" w14:textId="77777777" w:rsidR="00F511F4" w:rsidRPr="00B6620E" w:rsidRDefault="00F511F4" w:rsidP="001F53D9">
            <w:pPr>
              <w:spacing w:after="0" w:line="240" w:lineRule="auto"/>
              <w:rPr>
                <w:rFonts w:eastAsia="Times New Roman" w:cstheme="minorHAnsi"/>
                <w:color w:val="000000"/>
                <w:lang w:eastAsia="en-GB"/>
              </w:rPr>
            </w:pPr>
            <w:r w:rsidRPr="00B6620E">
              <w:rPr>
                <w:rFonts w:eastAsia="Times New Roman" w:cstheme="minorHAnsi"/>
                <w:color w:val="000000"/>
                <w:lang w:val="en-US" w:eastAsia="en-GB"/>
              </w:rPr>
              <w:t>Diabetes</w:t>
            </w:r>
          </w:p>
        </w:tc>
        <w:tc>
          <w:tcPr>
            <w:tcW w:w="2551" w:type="dxa"/>
            <w:shd w:val="clear" w:color="auto" w:fill="auto"/>
            <w:noWrap/>
          </w:tcPr>
          <w:p w14:paraId="266256F7" w14:textId="77777777" w:rsidR="00F511F4" w:rsidRPr="00B6620E" w:rsidRDefault="00F511F4" w:rsidP="001F53D9">
            <w:pPr>
              <w:spacing w:after="0" w:line="240" w:lineRule="auto"/>
              <w:rPr>
                <w:rFonts w:eastAsia="Times New Roman" w:cstheme="minorHAnsi"/>
                <w:color w:val="000000"/>
                <w:lang w:eastAsia="en-GB"/>
              </w:rPr>
            </w:pPr>
            <w:r>
              <w:rPr>
                <w:rFonts w:eastAsia="Times New Roman" w:cstheme="minorHAnsi"/>
                <w:color w:val="000000"/>
                <w:lang w:eastAsia="en-GB"/>
              </w:rPr>
              <w:t>1.13 (1.12-1.15)</w:t>
            </w:r>
          </w:p>
        </w:tc>
        <w:tc>
          <w:tcPr>
            <w:tcW w:w="2127" w:type="dxa"/>
          </w:tcPr>
          <w:p w14:paraId="25AEFB47" w14:textId="77777777" w:rsidR="00F511F4" w:rsidRPr="00B6620E" w:rsidRDefault="00F511F4" w:rsidP="001F53D9">
            <w:pPr>
              <w:spacing w:after="0" w:line="240" w:lineRule="auto"/>
              <w:rPr>
                <w:rFonts w:eastAsia="Times New Roman" w:cstheme="minorHAnsi"/>
                <w:color w:val="000000"/>
                <w:lang w:eastAsia="en-GB"/>
              </w:rPr>
            </w:pPr>
            <w:r>
              <w:rPr>
                <w:rFonts w:eastAsia="Times New Roman" w:cstheme="minorHAnsi"/>
                <w:color w:val="000000"/>
                <w:lang w:eastAsia="en-GB"/>
              </w:rPr>
              <w:t>&lt;0.001</w:t>
            </w:r>
          </w:p>
        </w:tc>
      </w:tr>
      <w:tr w:rsidR="00F511F4" w:rsidRPr="00B6620E" w14:paraId="43CBEE5D" w14:textId="77777777" w:rsidTr="001F53D9">
        <w:trPr>
          <w:trHeight w:val="285"/>
        </w:trPr>
        <w:tc>
          <w:tcPr>
            <w:tcW w:w="3227" w:type="dxa"/>
            <w:shd w:val="clear" w:color="auto" w:fill="auto"/>
            <w:noWrap/>
            <w:hideMark/>
          </w:tcPr>
          <w:p w14:paraId="770DB5A1" w14:textId="77777777" w:rsidR="00F511F4" w:rsidRPr="00B6620E" w:rsidRDefault="00F511F4" w:rsidP="001F53D9">
            <w:pPr>
              <w:spacing w:after="0" w:line="240" w:lineRule="auto"/>
              <w:rPr>
                <w:rFonts w:eastAsia="Times New Roman" w:cstheme="minorHAnsi"/>
                <w:color w:val="000000"/>
                <w:lang w:eastAsia="en-GB"/>
              </w:rPr>
            </w:pPr>
            <w:r w:rsidRPr="00B6620E">
              <w:rPr>
                <w:rFonts w:eastAsia="Times New Roman" w:cstheme="minorHAnsi"/>
                <w:color w:val="000000"/>
                <w:lang w:val="en-US" w:eastAsia="en-GB"/>
              </w:rPr>
              <w:t>Obesity</w:t>
            </w:r>
          </w:p>
        </w:tc>
        <w:tc>
          <w:tcPr>
            <w:tcW w:w="2551" w:type="dxa"/>
            <w:shd w:val="clear" w:color="auto" w:fill="auto"/>
            <w:noWrap/>
          </w:tcPr>
          <w:p w14:paraId="63FDCE0F" w14:textId="77777777" w:rsidR="00F511F4" w:rsidRPr="00B6620E" w:rsidRDefault="00F511F4" w:rsidP="001F53D9">
            <w:pPr>
              <w:spacing w:after="0" w:line="240" w:lineRule="auto"/>
              <w:rPr>
                <w:rFonts w:eastAsia="Times New Roman" w:cstheme="minorHAnsi"/>
                <w:color w:val="000000"/>
                <w:lang w:eastAsia="en-GB"/>
              </w:rPr>
            </w:pPr>
            <w:r>
              <w:rPr>
                <w:rFonts w:eastAsia="Times New Roman" w:cstheme="minorHAnsi"/>
                <w:color w:val="000000"/>
                <w:lang w:eastAsia="en-GB"/>
              </w:rPr>
              <w:t>1.27 (1.25-1.29)</w:t>
            </w:r>
          </w:p>
        </w:tc>
        <w:tc>
          <w:tcPr>
            <w:tcW w:w="2127" w:type="dxa"/>
          </w:tcPr>
          <w:p w14:paraId="1AD6F6EF" w14:textId="77777777" w:rsidR="00F511F4" w:rsidRPr="00B6620E" w:rsidRDefault="00F511F4" w:rsidP="001F53D9">
            <w:pPr>
              <w:spacing w:after="0" w:line="240" w:lineRule="auto"/>
              <w:rPr>
                <w:rFonts w:eastAsia="Times New Roman" w:cstheme="minorHAnsi"/>
                <w:color w:val="000000"/>
                <w:lang w:eastAsia="en-GB"/>
              </w:rPr>
            </w:pPr>
            <w:r>
              <w:rPr>
                <w:rFonts w:eastAsia="Times New Roman" w:cstheme="minorHAnsi"/>
                <w:color w:val="000000"/>
                <w:lang w:eastAsia="en-GB"/>
              </w:rPr>
              <w:t>&lt;0.001</w:t>
            </w:r>
          </w:p>
        </w:tc>
      </w:tr>
      <w:tr w:rsidR="00F511F4" w:rsidRPr="00B6620E" w14:paraId="551C886F" w14:textId="77777777" w:rsidTr="001F53D9">
        <w:trPr>
          <w:trHeight w:val="285"/>
        </w:trPr>
        <w:tc>
          <w:tcPr>
            <w:tcW w:w="3227" w:type="dxa"/>
            <w:shd w:val="clear" w:color="auto" w:fill="auto"/>
            <w:noWrap/>
            <w:hideMark/>
          </w:tcPr>
          <w:p w14:paraId="018440D4" w14:textId="77777777" w:rsidR="00F511F4" w:rsidRPr="00B6620E" w:rsidRDefault="00F511F4" w:rsidP="001F53D9">
            <w:pPr>
              <w:spacing w:after="0" w:line="240" w:lineRule="auto"/>
              <w:rPr>
                <w:rFonts w:eastAsia="Times New Roman" w:cstheme="minorHAnsi"/>
                <w:color w:val="000000"/>
                <w:lang w:eastAsia="en-GB"/>
              </w:rPr>
            </w:pPr>
            <w:r>
              <w:rPr>
                <w:rFonts w:eastAsia="Times New Roman" w:cstheme="minorHAnsi"/>
                <w:color w:val="000000"/>
                <w:lang w:val="en-US" w:eastAsia="en-GB"/>
              </w:rPr>
              <w:t>Previous c</w:t>
            </w:r>
            <w:r w:rsidRPr="00B6620E">
              <w:rPr>
                <w:rFonts w:eastAsia="Times New Roman" w:cstheme="minorHAnsi"/>
                <w:color w:val="000000"/>
                <w:lang w:val="en-US" w:eastAsia="en-GB"/>
              </w:rPr>
              <w:t>ongestive heart failure</w:t>
            </w:r>
          </w:p>
        </w:tc>
        <w:tc>
          <w:tcPr>
            <w:tcW w:w="2551" w:type="dxa"/>
            <w:shd w:val="clear" w:color="auto" w:fill="auto"/>
            <w:noWrap/>
          </w:tcPr>
          <w:p w14:paraId="49B7ACBA" w14:textId="77777777" w:rsidR="00F511F4" w:rsidRPr="00B6620E" w:rsidRDefault="00F511F4" w:rsidP="001F53D9">
            <w:pPr>
              <w:spacing w:after="0" w:line="240" w:lineRule="auto"/>
              <w:rPr>
                <w:rFonts w:eastAsia="Times New Roman" w:cstheme="minorHAnsi"/>
                <w:color w:val="000000"/>
                <w:lang w:eastAsia="en-GB"/>
              </w:rPr>
            </w:pPr>
            <w:r>
              <w:rPr>
                <w:rFonts w:eastAsia="Times New Roman" w:cstheme="minorHAnsi"/>
                <w:color w:val="000000"/>
                <w:lang w:eastAsia="en-GB"/>
              </w:rPr>
              <w:t>2.00 (1.92-2.08)</w:t>
            </w:r>
          </w:p>
        </w:tc>
        <w:tc>
          <w:tcPr>
            <w:tcW w:w="2127" w:type="dxa"/>
          </w:tcPr>
          <w:p w14:paraId="266A3FC1" w14:textId="77777777" w:rsidR="00F511F4" w:rsidRPr="00B6620E" w:rsidRDefault="00F511F4" w:rsidP="001F53D9">
            <w:pPr>
              <w:spacing w:after="0" w:line="240" w:lineRule="auto"/>
              <w:rPr>
                <w:rFonts w:eastAsia="Times New Roman" w:cstheme="minorHAnsi"/>
                <w:color w:val="000000"/>
                <w:lang w:eastAsia="en-GB"/>
              </w:rPr>
            </w:pPr>
            <w:r>
              <w:rPr>
                <w:rFonts w:eastAsia="Times New Roman" w:cstheme="minorHAnsi"/>
                <w:color w:val="000000"/>
                <w:lang w:eastAsia="en-GB"/>
              </w:rPr>
              <w:t>&lt;0.001</w:t>
            </w:r>
          </w:p>
        </w:tc>
      </w:tr>
      <w:tr w:rsidR="00F511F4" w:rsidRPr="00B6620E" w14:paraId="60874BC1" w14:textId="77777777" w:rsidTr="001F53D9">
        <w:trPr>
          <w:trHeight w:val="285"/>
        </w:trPr>
        <w:tc>
          <w:tcPr>
            <w:tcW w:w="3227" w:type="dxa"/>
            <w:shd w:val="clear" w:color="auto" w:fill="auto"/>
            <w:noWrap/>
            <w:hideMark/>
          </w:tcPr>
          <w:p w14:paraId="42AAE271" w14:textId="77777777" w:rsidR="00F511F4" w:rsidRPr="00B6620E" w:rsidRDefault="00F511F4" w:rsidP="001F53D9">
            <w:pPr>
              <w:spacing w:after="0" w:line="240" w:lineRule="auto"/>
              <w:rPr>
                <w:rFonts w:eastAsia="Times New Roman" w:cstheme="minorHAnsi"/>
                <w:color w:val="000000"/>
                <w:lang w:eastAsia="en-GB"/>
              </w:rPr>
            </w:pPr>
            <w:r w:rsidRPr="00B6620E">
              <w:rPr>
                <w:rFonts w:eastAsia="Times New Roman" w:cstheme="minorHAnsi"/>
                <w:color w:val="000000"/>
                <w:lang w:val="en-US" w:eastAsia="en-GB"/>
              </w:rPr>
              <w:t>Coronary artery disease</w:t>
            </w:r>
          </w:p>
        </w:tc>
        <w:tc>
          <w:tcPr>
            <w:tcW w:w="2551" w:type="dxa"/>
            <w:shd w:val="clear" w:color="auto" w:fill="auto"/>
            <w:noWrap/>
          </w:tcPr>
          <w:p w14:paraId="30BDD3E8" w14:textId="77777777" w:rsidR="00F511F4" w:rsidRPr="00B6620E" w:rsidRDefault="00F511F4" w:rsidP="001F53D9">
            <w:pPr>
              <w:spacing w:after="0" w:line="240" w:lineRule="auto"/>
              <w:rPr>
                <w:rFonts w:eastAsia="Times New Roman" w:cstheme="minorHAnsi"/>
                <w:color w:val="000000"/>
                <w:lang w:eastAsia="en-GB"/>
              </w:rPr>
            </w:pPr>
            <w:r>
              <w:rPr>
                <w:rFonts w:eastAsia="Times New Roman" w:cstheme="minorHAnsi"/>
                <w:color w:val="000000"/>
                <w:lang w:eastAsia="en-GB"/>
              </w:rPr>
              <w:t>0.96 (0.95-0.97)</w:t>
            </w:r>
          </w:p>
        </w:tc>
        <w:tc>
          <w:tcPr>
            <w:tcW w:w="2127" w:type="dxa"/>
          </w:tcPr>
          <w:p w14:paraId="7D77305D" w14:textId="77777777" w:rsidR="00F511F4" w:rsidRPr="00B6620E" w:rsidRDefault="00F511F4" w:rsidP="001F53D9">
            <w:pPr>
              <w:spacing w:after="0" w:line="240" w:lineRule="auto"/>
              <w:rPr>
                <w:rFonts w:eastAsia="Times New Roman" w:cstheme="minorHAnsi"/>
                <w:color w:val="000000"/>
                <w:lang w:eastAsia="en-GB"/>
              </w:rPr>
            </w:pPr>
            <w:r>
              <w:rPr>
                <w:rFonts w:eastAsia="Times New Roman" w:cstheme="minorHAnsi"/>
                <w:color w:val="000000"/>
                <w:lang w:eastAsia="en-GB"/>
              </w:rPr>
              <w:t>&lt;0.001</w:t>
            </w:r>
          </w:p>
        </w:tc>
      </w:tr>
      <w:tr w:rsidR="00F511F4" w:rsidRPr="00B6620E" w14:paraId="2241A1D3" w14:textId="77777777" w:rsidTr="001F53D9">
        <w:trPr>
          <w:trHeight w:val="285"/>
        </w:trPr>
        <w:tc>
          <w:tcPr>
            <w:tcW w:w="3227" w:type="dxa"/>
            <w:shd w:val="clear" w:color="auto" w:fill="auto"/>
            <w:noWrap/>
            <w:hideMark/>
          </w:tcPr>
          <w:p w14:paraId="41722193" w14:textId="77777777" w:rsidR="00F511F4" w:rsidRPr="00B6620E" w:rsidRDefault="00F511F4" w:rsidP="001F53D9">
            <w:pPr>
              <w:spacing w:after="0" w:line="240" w:lineRule="auto"/>
              <w:rPr>
                <w:rFonts w:eastAsia="Times New Roman" w:cstheme="minorHAnsi"/>
                <w:color w:val="000000"/>
                <w:lang w:eastAsia="en-GB"/>
              </w:rPr>
            </w:pPr>
            <w:r w:rsidRPr="00B6620E">
              <w:rPr>
                <w:rFonts w:eastAsia="Times New Roman" w:cstheme="minorHAnsi"/>
                <w:color w:val="000000"/>
                <w:lang w:val="en-US" w:eastAsia="en-GB"/>
              </w:rPr>
              <w:t>Previous myocardial infarction</w:t>
            </w:r>
          </w:p>
        </w:tc>
        <w:tc>
          <w:tcPr>
            <w:tcW w:w="2551" w:type="dxa"/>
            <w:shd w:val="clear" w:color="auto" w:fill="auto"/>
            <w:noWrap/>
          </w:tcPr>
          <w:p w14:paraId="527EE4E9" w14:textId="77777777" w:rsidR="00F511F4" w:rsidRPr="00B6620E" w:rsidRDefault="00F511F4" w:rsidP="001F53D9">
            <w:pPr>
              <w:spacing w:after="0" w:line="240" w:lineRule="auto"/>
              <w:rPr>
                <w:rFonts w:eastAsia="Times New Roman" w:cstheme="minorHAnsi"/>
                <w:color w:val="000000"/>
                <w:lang w:eastAsia="en-GB"/>
              </w:rPr>
            </w:pPr>
            <w:r>
              <w:rPr>
                <w:rFonts w:eastAsia="Times New Roman" w:cstheme="minorHAnsi"/>
                <w:color w:val="000000"/>
                <w:lang w:eastAsia="en-GB"/>
              </w:rPr>
              <w:t>0.95 (0.93-0.96)</w:t>
            </w:r>
          </w:p>
        </w:tc>
        <w:tc>
          <w:tcPr>
            <w:tcW w:w="2127" w:type="dxa"/>
          </w:tcPr>
          <w:p w14:paraId="692096AF" w14:textId="77777777" w:rsidR="00F511F4" w:rsidRPr="00B6620E" w:rsidRDefault="00F511F4" w:rsidP="001F53D9">
            <w:pPr>
              <w:spacing w:after="0" w:line="240" w:lineRule="auto"/>
              <w:rPr>
                <w:rFonts w:eastAsia="Times New Roman" w:cstheme="minorHAnsi"/>
                <w:color w:val="000000"/>
                <w:lang w:eastAsia="en-GB"/>
              </w:rPr>
            </w:pPr>
            <w:r>
              <w:rPr>
                <w:rFonts w:eastAsia="Times New Roman" w:cstheme="minorHAnsi"/>
                <w:color w:val="000000"/>
                <w:lang w:eastAsia="en-GB"/>
              </w:rPr>
              <w:t>&lt;0.001</w:t>
            </w:r>
          </w:p>
        </w:tc>
      </w:tr>
      <w:tr w:rsidR="00F511F4" w:rsidRPr="00B6620E" w14:paraId="7735EA0B" w14:textId="77777777" w:rsidTr="001F53D9">
        <w:trPr>
          <w:trHeight w:val="285"/>
        </w:trPr>
        <w:tc>
          <w:tcPr>
            <w:tcW w:w="3227" w:type="dxa"/>
            <w:shd w:val="clear" w:color="auto" w:fill="auto"/>
            <w:noWrap/>
            <w:hideMark/>
          </w:tcPr>
          <w:p w14:paraId="4AE9E4DB" w14:textId="77777777" w:rsidR="00F511F4" w:rsidRPr="00B6620E" w:rsidRDefault="00F511F4" w:rsidP="001F53D9">
            <w:pPr>
              <w:spacing w:after="0" w:line="240" w:lineRule="auto"/>
              <w:rPr>
                <w:rFonts w:eastAsia="Times New Roman" w:cstheme="minorHAnsi"/>
                <w:color w:val="000000"/>
                <w:lang w:eastAsia="en-GB"/>
              </w:rPr>
            </w:pPr>
            <w:r w:rsidRPr="00B6620E">
              <w:rPr>
                <w:rFonts w:eastAsia="Times New Roman" w:cstheme="minorHAnsi"/>
                <w:color w:val="000000"/>
                <w:lang w:val="en-US" w:eastAsia="en-GB"/>
              </w:rPr>
              <w:t>Previous PCI</w:t>
            </w:r>
          </w:p>
        </w:tc>
        <w:tc>
          <w:tcPr>
            <w:tcW w:w="2551" w:type="dxa"/>
            <w:shd w:val="clear" w:color="auto" w:fill="auto"/>
            <w:noWrap/>
          </w:tcPr>
          <w:p w14:paraId="09FD9129" w14:textId="77777777" w:rsidR="00F511F4" w:rsidRPr="00B6620E" w:rsidRDefault="00F511F4" w:rsidP="001F53D9">
            <w:pPr>
              <w:spacing w:after="0" w:line="240" w:lineRule="auto"/>
              <w:rPr>
                <w:rFonts w:eastAsia="Times New Roman" w:cstheme="minorHAnsi"/>
                <w:color w:val="000000"/>
                <w:lang w:eastAsia="en-GB"/>
              </w:rPr>
            </w:pPr>
            <w:r>
              <w:rPr>
                <w:rFonts w:eastAsia="Times New Roman" w:cstheme="minorHAnsi"/>
                <w:color w:val="000000"/>
                <w:lang w:eastAsia="en-GB"/>
              </w:rPr>
              <w:t>0.77 (0.75-0.78)</w:t>
            </w:r>
          </w:p>
        </w:tc>
        <w:tc>
          <w:tcPr>
            <w:tcW w:w="2127" w:type="dxa"/>
          </w:tcPr>
          <w:p w14:paraId="5FB67F13" w14:textId="77777777" w:rsidR="00F511F4" w:rsidRPr="00B6620E" w:rsidRDefault="00F511F4" w:rsidP="001F53D9">
            <w:pPr>
              <w:spacing w:after="0" w:line="240" w:lineRule="auto"/>
              <w:rPr>
                <w:rFonts w:eastAsia="Times New Roman" w:cstheme="minorHAnsi"/>
                <w:color w:val="000000"/>
                <w:lang w:eastAsia="en-GB"/>
              </w:rPr>
            </w:pPr>
            <w:r>
              <w:rPr>
                <w:rFonts w:eastAsia="Times New Roman" w:cstheme="minorHAnsi"/>
                <w:color w:val="000000"/>
                <w:lang w:eastAsia="en-GB"/>
              </w:rPr>
              <w:t>&lt;0.001</w:t>
            </w:r>
          </w:p>
        </w:tc>
      </w:tr>
      <w:tr w:rsidR="00F511F4" w:rsidRPr="00B6620E" w14:paraId="7591A7B3" w14:textId="77777777" w:rsidTr="001F53D9">
        <w:trPr>
          <w:trHeight w:val="285"/>
        </w:trPr>
        <w:tc>
          <w:tcPr>
            <w:tcW w:w="3227" w:type="dxa"/>
            <w:shd w:val="clear" w:color="auto" w:fill="auto"/>
            <w:noWrap/>
            <w:hideMark/>
          </w:tcPr>
          <w:p w14:paraId="6A60A8A5" w14:textId="77777777" w:rsidR="00F511F4" w:rsidRPr="00B6620E" w:rsidRDefault="00F511F4" w:rsidP="001F53D9">
            <w:pPr>
              <w:spacing w:after="0" w:line="240" w:lineRule="auto"/>
              <w:rPr>
                <w:rFonts w:eastAsia="Times New Roman" w:cstheme="minorHAnsi"/>
                <w:color w:val="000000"/>
                <w:lang w:eastAsia="en-GB"/>
              </w:rPr>
            </w:pPr>
            <w:r w:rsidRPr="00B6620E">
              <w:rPr>
                <w:rFonts w:eastAsia="Times New Roman" w:cstheme="minorHAnsi"/>
                <w:color w:val="000000"/>
                <w:lang w:val="en-US" w:eastAsia="en-GB"/>
              </w:rPr>
              <w:t>Previous CABG</w:t>
            </w:r>
          </w:p>
        </w:tc>
        <w:tc>
          <w:tcPr>
            <w:tcW w:w="2551" w:type="dxa"/>
            <w:shd w:val="clear" w:color="auto" w:fill="auto"/>
            <w:noWrap/>
          </w:tcPr>
          <w:p w14:paraId="1932BD80" w14:textId="77777777" w:rsidR="00F511F4" w:rsidRPr="00B6620E" w:rsidRDefault="00F511F4" w:rsidP="001F53D9">
            <w:pPr>
              <w:spacing w:after="0" w:line="240" w:lineRule="auto"/>
              <w:rPr>
                <w:rFonts w:eastAsia="Times New Roman" w:cstheme="minorHAnsi"/>
                <w:color w:val="000000"/>
                <w:lang w:eastAsia="en-GB"/>
              </w:rPr>
            </w:pPr>
            <w:r>
              <w:rPr>
                <w:rFonts w:eastAsia="Times New Roman" w:cstheme="minorHAnsi"/>
                <w:color w:val="000000"/>
                <w:lang w:eastAsia="en-GB"/>
              </w:rPr>
              <w:t>0.78 (0.76-0.79)</w:t>
            </w:r>
          </w:p>
        </w:tc>
        <w:tc>
          <w:tcPr>
            <w:tcW w:w="2127" w:type="dxa"/>
          </w:tcPr>
          <w:p w14:paraId="4A9C9F22" w14:textId="77777777" w:rsidR="00F511F4" w:rsidRPr="00B6620E" w:rsidRDefault="00F511F4" w:rsidP="001F53D9">
            <w:pPr>
              <w:spacing w:after="0" w:line="240" w:lineRule="auto"/>
              <w:rPr>
                <w:rFonts w:eastAsia="Times New Roman" w:cstheme="minorHAnsi"/>
                <w:color w:val="000000"/>
                <w:lang w:eastAsia="en-GB"/>
              </w:rPr>
            </w:pPr>
            <w:r>
              <w:rPr>
                <w:rFonts w:eastAsia="Times New Roman" w:cstheme="minorHAnsi"/>
                <w:color w:val="000000"/>
                <w:lang w:eastAsia="en-GB"/>
              </w:rPr>
              <w:t>&lt;0.001</w:t>
            </w:r>
          </w:p>
        </w:tc>
      </w:tr>
      <w:tr w:rsidR="00F511F4" w:rsidRPr="00B6620E" w14:paraId="464837EF" w14:textId="77777777" w:rsidTr="001F53D9">
        <w:trPr>
          <w:trHeight w:val="285"/>
        </w:trPr>
        <w:tc>
          <w:tcPr>
            <w:tcW w:w="3227" w:type="dxa"/>
            <w:shd w:val="clear" w:color="auto" w:fill="auto"/>
            <w:noWrap/>
            <w:hideMark/>
          </w:tcPr>
          <w:p w14:paraId="6FDB81C0" w14:textId="77777777" w:rsidR="00F511F4" w:rsidRPr="00B6620E" w:rsidRDefault="00F511F4" w:rsidP="001F53D9">
            <w:pPr>
              <w:spacing w:after="0" w:line="240" w:lineRule="auto"/>
              <w:rPr>
                <w:rFonts w:eastAsia="Times New Roman" w:cstheme="minorHAnsi"/>
                <w:color w:val="000000"/>
                <w:lang w:eastAsia="en-GB"/>
              </w:rPr>
            </w:pPr>
            <w:r w:rsidRPr="00B6620E">
              <w:rPr>
                <w:rFonts w:eastAsia="Times New Roman" w:cstheme="minorHAnsi"/>
                <w:color w:val="000000"/>
                <w:lang w:val="en-US" w:eastAsia="en-GB"/>
              </w:rPr>
              <w:t>Atrial fibrillation</w:t>
            </w:r>
          </w:p>
        </w:tc>
        <w:tc>
          <w:tcPr>
            <w:tcW w:w="2551" w:type="dxa"/>
            <w:shd w:val="clear" w:color="auto" w:fill="auto"/>
            <w:noWrap/>
          </w:tcPr>
          <w:p w14:paraId="530D892D" w14:textId="77777777" w:rsidR="00F511F4" w:rsidRPr="00B6620E" w:rsidRDefault="00F511F4" w:rsidP="001F53D9">
            <w:pPr>
              <w:spacing w:after="0" w:line="240" w:lineRule="auto"/>
              <w:rPr>
                <w:rFonts w:eastAsia="Times New Roman" w:cstheme="minorHAnsi"/>
                <w:color w:val="000000"/>
                <w:lang w:eastAsia="en-GB"/>
              </w:rPr>
            </w:pPr>
            <w:r>
              <w:rPr>
                <w:rFonts w:eastAsia="Times New Roman" w:cstheme="minorHAnsi"/>
                <w:color w:val="000000"/>
                <w:lang w:eastAsia="en-GB"/>
              </w:rPr>
              <w:t>1.08 (1.07-1.10)</w:t>
            </w:r>
          </w:p>
        </w:tc>
        <w:tc>
          <w:tcPr>
            <w:tcW w:w="2127" w:type="dxa"/>
          </w:tcPr>
          <w:p w14:paraId="495468E0" w14:textId="77777777" w:rsidR="00F511F4" w:rsidRPr="00B6620E" w:rsidRDefault="00F511F4" w:rsidP="001F53D9">
            <w:pPr>
              <w:spacing w:after="0" w:line="240" w:lineRule="auto"/>
              <w:rPr>
                <w:rFonts w:eastAsia="Times New Roman" w:cstheme="minorHAnsi"/>
                <w:color w:val="000000"/>
                <w:lang w:eastAsia="en-GB"/>
              </w:rPr>
            </w:pPr>
            <w:r>
              <w:rPr>
                <w:rFonts w:eastAsia="Times New Roman" w:cstheme="minorHAnsi"/>
                <w:color w:val="000000"/>
                <w:lang w:eastAsia="en-GB"/>
              </w:rPr>
              <w:t>&lt;0.001</w:t>
            </w:r>
          </w:p>
        </w:tc>
      </w:tr>
      <w:tr w:rsidR="00F511F4" w:rsidRPr="00B6620E" w14:paraId="59D63FD8" w14:textId="77777777" w:rsidTr="001F53D9">
        <w:trPr>
          <w:trHeight w:val="285"/>
        </w:trPr>
        <w:tc>
          <w:tcPr>
            <w:tcW w:w="3227" w:type="dxa"/>
            <w:shd w:val="clear" w:color="auto" w:fill="auto"/>
            <w:noWrap/>
            <w:hideMark/>
          </w:tcPr>
          <w:p w14:paraId="5B96AE81" w14:textId="77777777" w:rsidR="00F511F4" w:rsidRPr="00B6620E" w:rsidRDefault="00F511F4" w:rsidP="001F53D9">
            <w:pPr>
              <w:spacing w:after="0" w:line="240" w:lineRule="auto"/>
              <w:rPr>
                <w:rFonts w:eastAsia="Times New Roman" w:cstheme="minorHAnsi"/>
                <w:color w:val="000000"/>
                <w:lang w:eastAsia="en-GB"/>
              </w:rPr>
            </w:pPr>
            <w:r w:rsidRPr="00B6620E">
              <w:rPr>
                <w:rFonts w:eastAsia="Times New Roman" w:cstheme="minorHAnsi"/>
                <w:color w:val="000000"/>
                <w:lang w:eastAsia="en-GB"/>
              </w:rPr>
              <w:t>Valvular heart disease</w:t>
            </w:r>
          </w:p>
        </w:tc>
        <w:tc>
          <w:tcPr>
            <w:tcW w:w="2551" w:type="dxa"/>
            <w:shd w:val="clear" w:color="auto" w:fill="auto"/>
            <w:noWrap/>
          </w:tcPr>
          <w:p w14:paraId="3EB16D2B" w14:textId="77777777" w:rsidR="00F511F4" w:rsidRPr="00B6620E" w:rsidRDefault="00F511F4" w:rsidP="001F53D9">
            <w:pPr>
              <w:spacing w:after="0" w:line="240" w:lineRule="auto"/>
              <w:rPr>
                <w:rFonts w:eastAsia="Times New Roman" w:cstheme="minorHAnsi"/>
                <w:color w:val="000000"/>
                <w:lang w:eastAsia="en-GB"/>
              </w:rPr>
            </w:pPr>
            <w:r>
              <w:rPr>
                <w:rFonts w:eastAsia="Times New Roman" w:cstheme="minorHAnsi"/>
                <w:color w:val="000000"/>
                <w:lang w:eastAsia="en-GB"/>
              </w:rPr>
              <w:t>1.39 (1.31-1.48)</w:t>
            </w:r>
          </w:p>
        </w:tc>
        <w:tc>
          <w:tcPr>
            <w:tcW w:w="2127" w:type="dxa"/>
          </w:tcPr>
          <w:p w14:paraId="37B5F073" w14:textId="77777777" w:rsidR="00F511F4" w:rsidRPr="00B6620E" w:rsidRDefault="00F511F4" w:rsidP="001F53D9">
            <w:pPr>
              <w:spacing w:after="0" w:line="240" w:lineRule="auto"/>
              <w:rPr>
                <w:rFonts w:eastAsia="Times New Roman" w:cstheme="minorHAnsi"/>
                <w:color w:val="000000"/>
                <w:lang w:eastAsia="en-GB"/>
              </w:rPr>
            </w:pPr>
            <w:r>
              <w:rPr>
                <w:rFonts w:eastAsia="Times New Roman" w:cstheme="minorHAnsi"/>
                <w:color w:val="000000"/>
                <w:lang w:eastAsia="en-GB"/>
              </w:rPr>
              <w:t>&lt;0.001</w:t>
            </w:r>
          </w:p>
        </w:tc>
      </w:tr>
      <w:tr w:rsidR="00F511F4" w:rsidRPr="00B6620E" w14:paraId="02A4EF5B" w14:textId="77777777" w:rsidTr="001F53D9">
        <w:trPr>
          <w:trHeight w:val="285"/>
        </w:trPr>
        <w:tc>
          <w:tcPr>
            <w:tcW w:w="3227" w:type="dxa"/>
            <w:shd w:val="clear" w:color="auto" w:fill="auto"/>
            <w:noWrap/>
            <w:hideMark/>
          </w:tcPr>
          <w:p w14:paraId="0B5C3A08" w14:textId="77777777" w:rsidR="00F511F4" w:rsidRPr="00B6620E" w:rsidRDefault="00F511F4" w:rsidP="001F53D9">
            <w:pPr>
              <w:spacing w:after="0" w:line="240" w:lineRule="auto"/>
              <w:rPr>
                <w:rFonts w:eastAsia="Times New Roman" w:cstheme="minorHAnsi"/>
                <w:color w:val="000000"/>
                <w:lang w:eastAsia="en-GB"/>
              </w:rPr>
            </w:pPr>
            <w:r w:rsidRPr="00B6620E">
              <w:rPr>
                <w:rFonts w:eastAsia="Times New Roman" w:cstheme="minorHAnsi"/>
                <w:color w:val="000000"/>
                <w:lang w:val="en-US" w:eastAsia="en-GB"/>
              </w:rPr>
              <w:t>Peripheral vascular disorders</w:t>
            </w:r>
          </w:p>
        </w:tc>
        <w:tc>
          <w:tcPr>
            <w:tcW w:w="2551" w:type="dxa"/>
            <w:shd w:val="clear" w:color="auto" w:fill="auto"/>
            <w:noWrap/>
          </w:tcPr>
          <w:p w14:paraId="6C2B0258" w14:textId="77777777" w:rsidR="00F511F4" w:rsidRPr="00B6620E" w:rsidRDefault="00F511F4" w:rsidP="001F53D9">
            <w:pPr>
              <w:spacing w:after="0" w:line="240" w:lineRule="auto"/>
              <w:rPr>
                <w:rFonts w:eastAsia="Times New Roman" w:cstheme="minorHAnsi"/>
                <w:color w:val="000000"/>
                <w:lang w:eastAsia="en-GB"/>
              </w:rPr>
            </w:pPr>
            <w:r>
              <w:rPr>
                <w:rFonts w:eastAsia="Times New Roman" w:cstheme="minorHAnsi"/>
                <w:color w:val="000000"/>
                <w:lang w:eastAsia="en-GB"/>
              </w:rPr>
              <w:t>1.27 (1.03-1.63)</w:t>
            </w:r>
          </w:p>
        </w:tc>
        <w:tc>
          <w:tcPr>
            <w:tcW w:w="2127" w:type="dxa"/>
          </w:tcPr>
          <w:p w14:paraId="4905E813" w14:textId="77777777" w:rsidR="00F511F4" w:rsidRPr="00B6620E" w:rsidRDefault="00F511F4" w:rsidP="001F53D9">
            <w:pPr>
              <w:spacing w:after="0" w:line="240" w:lineRule="auto"/>
              <w:rPr>
                <w:rFonts w:eastAsia="Times New Roman" w:cstheme="minorHAnsi"/>
                <w:color w:val="000000"/>
                <w:lang w:eastAsia="en-GB"/>
              </w:rPr>
            </w:pPr>
            <w:r>
              <w:rPr>
                <w:rFonts w:eastAsia="Times New Roman" w:cstheme="minorHAnsi"/>
                <w:color w:val="000000"/>
                <w:lang w:eastAsia="en-GB"/>
              </w:rPr>
              <w:t>&lt;0.001</w:t>
            </w:r>
          </w:p>
        </w:tc>
      </w:tr>
      <w:tr w:rsidR="00F511F4" w:rsidRPr="00B6620E" w14:paraId="4499B20A" w14:textId="77777777" w:rsidTr="001F53D9">
        <w:trPr>
          <w:trHeight w:val="285"/>
        </w:trPr>
        <w:tc>
          <w:tcPr>
            <w:tcW w:w="3227" w:type="dxa"/>
            <w:shd w:val="clear" w:color="auto" w:fill="auto"/>
            <w:noWrap/>
            <w:hideMark/>
          </w:tcPr>
          <w:p w14:paraId="0C7F305B" w14:textId="77777777" w:rsidR="00F511F4" w:rsidRPr="00B6620E" w:rsidRDefault="00F511F4" w:rsidP="001F53D9">
            <w:pPr>
              <w:spacing w:after="0" w:line="240" w:lineRule="auto"/>
              <w:rPr>
                <w:rFonts w:eastAsia="Times New Roman" w:cstheme="minorHAnsi"/>
                <w:color w:val="000000"/>
                <w:lang w:eastAsia="en-GB"/>
              </w:rPr>
            </w:pPr>
            <w:r w:rsidRPr="00B6620E">
              <w:rPr>
                <w:rFonts w:eastAsia="Times New Roman" w:cstheme="minorHAnsi"/>
                <w:color w:val="000000"/>
                <w:lang w:val="en-US" w:eastAsia="en-GB"/>
              </w:rPr>
              <w:lastRenderedPageBreak/>
              <w:t>Chronic lung disease</w:t>
            </w:r>
          </w:p>
        </w:tc>
        <w:tc>
          <w:tcPr>
            <w:tcW w:w="2551" w:type="dxa"/>
            <w:shd w:val="clear" w:color="auto" w:fill="auto"/>
            <w:noWrap/>
          </w:tcPr>
          <w:p w14:paraId="066ED2AE" w14:textId="77777777" w:rsidR="00F511F4" w:rsidRPr="00B6620E" w:rsidRDefault="00F511F4" w:rsidP="001F53D9">
            <w:pPr>
              <w:spacing w:after="0" w:line="240" w:lineRule="auto"/>
              <w:rPr>
                <w:rFonts w:eastAsia="Times New Roman" w:cstheme="minorHAnsi"/>
                <w:color w:val="000000"/>
                <w:lang w:eastAsia="en-GB"/>
              </w:rPr>
            </w:pPr>
            <w:r>
              <w:rPr>
                <w:rFonts w:eastAsia="Times New Roman" w:cstheme="minorHAnsi"/>
                <w:color w:val="000000"/>
                <w:lang w:eastAsia="en-GB"/>
              </w:rPr>
              <w:t>1.19 (1.17-1.20)</w:t>
            </w:r>
          </w:p>
        </w:tc>
        <w:tc>
          <w:tcPr>
            <w:tcW w:w="2127" w:type="dxa"/>
          </w:tcPr>
          <w:p w14:paraId="6495097B" w14:textId="77777777" w:rsidR="00F511F4" w:rsidRPr="00B6620E" w:rsidRDefault="00F511F4" w:rsidP="001F53D9">
            <w:pPr>
              <w:spacing w:after="0" w:line="240" w:lineRule="auto"/>
              <w:rPr>
                <w:rFonts w:eastAsia="Times New Roman" w:cstheme="minorHAnsi"/>
                <w:color w:val="000000"/>
                <w:lang w:eastAsia="en-GB"/>
              </w:rPr>
            </w:pPr>
            <w:r>
              <w:rPr>
                <w:rFonts w:eastAsia="Times New Roman" w:cstheme="minorHAnsi"/>
                <w:color w:val="000000"/>
                <w:lang w:eastAsia="en-GB"/>
              </w:rPr>
              <w:t>&lt;0.001</w:t>
            </w:r>
          </w:p>
        </w:tc>
      </w:tr>
      <w:tr w:rsidR="00F511F4" w:rsidRPr="00B6620E" w14:paraId="7C415295" w14:textId="77777777" w:rsidTr="001F53D9">
        <w:trPr>
          <w:trHeight w:val="285"/>
        </w:trPr>
        <w:tc>
          <w:tcPr>
            <w:tcW w:w="3227" w:type="dxa"/>
            <w:shd w:val="clear" w:color="auto" w:fill="auto"/>
            <w:noWrap/>
            <w:hideMark/>
          </w:tcPr>
          <w:p w14:paraId="57501454" w14:textId="77777777" w:rsidR="00F511F4" w:rsidRPr="00B6620E" w:rsidRDefault="00F511F4" w:rsidP="001F53D9">
            <w:pPr>
              <w:spacing w:after="0" w:line="240" w:lineRule="auto"/>
              <w:rPr>
                <w:rFonts w:eastAsia="Times New Roman" w:cstheme="minorHAnsi"/>
                <w:color w:val="000000"/>
                <w:lang w:eastAsia="en-GB"/>
              </w:rPr>
            </w:pPr>
            <w:r w:rsidRPr="00B6620E">
              <w:rPr>
                <w:rFonts w:eastAsia="Times New Roman" w:cstheme="minorHAnsi"/>
                <w:color w:val="000000"/>
                <w:lang w:eastAsia="en-GB"/>
              </w:rPr>
              <w:t>Hypothyroidism</w:t>
            </w:r>
          </w:p>
        </w:tc>
        <w:tc>
          <w:tcPr>
            <w:tcW w:w="2551" w:type="dxa"/>
            <w:shd w:val="clear" w:color="auto" w:fill="auto"/>
            <w:noWrap/>
          </w:tcPr>
          <w:p w14:paraId="3628CD88" w14:textId="77777777" w:rsidR="00F511F4" w:rsidRPr="00B6620E" w:rsidRDefault="00F511F4" w:rsidP="001F53D9">
            <w:pPr>
              <w:spacing w:after="0" w:line="240" w:lineRule="auto"/>
              <w:rPr>
                <w:rFonts w:eastAsia="Times New Roman" w:cstheme="minorHAnsi"/>
                <w:color w:val="000000"/>
                <w:lang w:eastAsia="en-GB"/>
              </w:rPr>
            </w:pPr>
            <w:r>
              <w:rPr>
                <w:rFonts w:eastAsia="Times New Roman" w:cstheme="minorHAnsi"/>
                <w:color w:val="000000"/>
                <w:lang w:eastAsia="en-GB"/>
              </w:rPr>
              <w:t>1.16 (1.14-1.17)</w:t>
            </w:r>
          </w:p>
        </w:tc>
        <w:tc>
          <w:tcPr>
            <w:tcW w:w="2127" w:type="dxa"/>
          </w:tcPr>
          <w:p w14:paraId="5661AD47" w14:textId="77777777" w:rsidR="00F511F4" w:rsidRPr="00B6620E" w:rsidRDefault="00F511F4" w:rsidP="001F53D9">
            <w:pPr>
              <w:spacing w:after="0" w:line="240" w:lineRule="auto"/>
              <w:rPr>
                <w:rFonts w:eastAsia="Times New Roman" w:cstheme="minorHAnsi"/>
                <w:color w:val="000000"/>
                <w:lang w:eastAsia="en-GB"/>
              </w:rPr>
            </w:pPr>
            <w:r>
              <w:rPr>
                <w:rFonts w:eastAsia="Times New Roman" w:cstheme="minorHAnsi"/>
                <w:color w:val="000000"/>
                <w:lang w:eastAsia="en-GB"/>
              </w:rPr>
              <w:t>&lt;0.001</w:t>
            </w:r>
          </w:p>
        </w:tc>
      </w:tr>
      <w:tr w:rsidR="00F511F4" w:rsidRPr="00B6620E" w14:paraId="4ADCA8E6" w14:textId="77777777" w:rsidTr="001F53D9">
        <w:trPr>
          <w:trHeight w:val="285"/>
        </w:trPr>
        <w:tc>
          <w:tcPr>
            <w:tcW w:w="3227" w:type="dxa"/>
            <w:shd w:val="clear" w:color="auto" w:fill="auto"/>
            <w:noWrap/>
            <w:hideMark/>
          </w:tcPr>
          <w:p w14:paraId="710A1D81" w14:textId="77777777" w:rsidR="00F511F4" w:rsidRPr="00B6620E" w:rsidRDefault="00F511F4" w:rsidP="001F53D9">
            <w:pPr>
              <w:spacing w:after="0" w:line="240" w:lineRule="auto"/>
              <w:rPr>
                <w:rFonts w:eastAsia="Times New Roman" w:cstheme="minorHAnsi"/>
                <w:color w:val="000000"/>
                <w:lang w:eastAsia="en-GB"/>
              </w:rPr>
            </w:pPr>
            <w:r w:rsidRPr="00B6620E">
              <w:rPr>
                <w:rFonts w:eastAsia="Times New Roman" w:cstheme="minorHAnsi"/>
                <w:color w:val="000000"/>
                <w:lang w:val="en-US" w:eastAsia="en-GB"/>
              </w:rPr>
              <w:t>Liver disease</w:t>
            </w:r>
          </w:p>
        </w:tc>
        <w:tc>
          <w:tcPr>
            <w:tcW w:w="2551" w:type="dxa"/>
            <w:shd w:val="clear" w:color="auto" w:fill="auto"/>
            <w:noWrap/>
          </w:tcPr>
          <w:p w14:paraId="2C1AD5FA" w14:textId="77777777" w:rsidR="00F511F4" w:rsidRPr="00B6620E" w:rsidRDefault="00F511F4" w:rsidP="001F53D9">
            <w:pPr>
              <w:spacing w:after="0" w:line="240" w:lineRule="auto"/>
              <w:rPr>
                <w:rFonts w:eastAsia="Times New Roman" w:cstheme="minorHAnsi"/>
                <w:color w:val="000000"/>
                <w:lang w:eastAsia="en-GB"/>
              </w:rPr>
            </w:pPr>
            <w:r>
              <w:rPr>
                <w:rFonts w:eastAsia="Times New Roman" w:cstheme="minorHAnsi"/>
                <w:color w:val="000000"/>
                <w:lang w:eastAsia="en-GB"/>
              </w:rPr>
              <w:t>1.76 (1.72-1.81)</w:t>
            </w:r>
          </w:p>
        </w:tc>
        <w:tc>
          <w:tcPr>
            <w:tcW w:w="2127" w:type="dxa"/>
          </w:tcPr>
          <w:p w14:paraId="1C8F91E4" w14:textId="77777777" w:rsidR="00F511F4" w:rsidRPr="00B6620E" w:rsidRDefault="00F511F4" w:rsidP="001F53D9">
            <w:pPr>
              <w:spacing w:after="0" w:line="240" w:lineRule="auto"/>
              <w:rPr>
                <w:rFonts w:eastAsia="Times New Roman" w:cstheme="minorHAnsi"/>
                <w:color w:val="000000"/>
                <w:lang w:eastAsia="en-GB"/>
              </w:rPr>
            </w:pPr>
            <w:r>
              <w:rPr>
                <w:rFonts w:eastAsia="Times New Roman" w:cstheme="minorHAnsi"/>
                <w:color w:val="000000"/>
                <w:lang w:eastAsia="en-GB"/>
              </w:rPr>
              <w:t>&lt;0.001</w:t>
            </w:r>
          </w:p>
        </w:tc>
      </w:tr>
      <w:tr w:rsidR="00F511F4" w:rsidRPr="00B6620E" w14:paraId="155ABA22" w14:textId="77777777" w:rsidTr="001F53D9">
        <w:trPr>
          <w:trHeight w:val="285"/>
        </w:trPr>
        <w:tc>
          <w:tcPr>
            <w:tcW w:w="3227" w:type="dxa"/>
            <w:shd w:val="clear" w:color="auto" w:fill="auto"/>
            <w:noWrap/>
            <w:hideMark/>
          </w:tcPr>
          <w:p w14:paraId="0E486DED" w14:textId="77777777" w:rsidR="00F511F4" w:rsidRPr="00B6620E" w:rsidRDefault="00F511F4" w:rsidP="001F53D9">
            <w:pPr>
              <w:spacing w:after="0" w:line="240" w:lineRule="auto"/>
              <w:rPr>
                <w:rFonts w:eastAsia="Times New Roman" w:cstheme="minorHAnsi"/>
                <w:color w:val="000000"/>
                <w:lang w:eastAsia="en-GB"/>
              </w:rPr>
            </w:pPr>
            <w:r w:rsidRPr="00B6620E">
              <w:rPr>
                <w:rFonts w:eastAsia="Times New Roman" w:cstheme="minorHAnsi"/>
                <w:color w:val="000000"/>
                <w:lang w:val="en-US" w:eastAsia="en-GB"/>
              </w:rPr>
              <w:t>Peptic ulcer disease</w:t>
            </w:r>
          </w:p>
        </w:tc>
        <w:tc>
          <w:tcPr>
            <w:tcW w:w="2551" w:type="dxa"/>
            <w:shd w:val="clear" w:color="auto" w:fill="auto"/>
            <w:noWrap/>
          </w:tcPr>
          <w:p w14:paraId="0BADE5EE" w14:textId="77777777" w:rsidR="00F511F4" w:rsidRPr="00B6620E" w:rsidRDefault="00F511F4" w:rsidP="001F53D9">
            <w:pPr>
              <w:spacing w:after="0" w:line="240" w:lineRule="auto"/>
              <w:rPr>
                <w:rFonts w:eastAsia="Times New Roman" w:cstheme="minorHAnsi"/>
                <w:color w:val="000000"/>
                <w:lang w:eastAsia="en-GB"/>
              </w:rPr>
            </w:pPr>
            <w:r>
              <w:rPr>
                <w:rFonts w:eastAsia="Times New Roman" w:cstheme="minorHAnsi"/>
                <w:color w:val="000000"/>
                <w:lang w:eastAsia="en-GB"/>
              </w:rPr>
              <w:t>1.30 (1.03-1.63)</w:t>
            </w:r>
          </w:p>
        </w:tc>
        <w:tc>
          <w:tcPr>
            <w:tcW w:w="2127" w:type="dxa"/>
          </w:tcPr>
          <w:p w14:paraId="295AA438" w14:textId="77777777" w:rsidR="00F511F4" w:rsidRPr="00B6620E" w:rsidRDefault="00F511F4" w:rsidP="001F53D9">
            <w:pPr>
              <w:spacing w:after="0" w:line="240" w:lineRule="auto"/>
              <w:rPr>
                <w:rFonts w:eastAsia="Times New Roman" w:cstheme="minorHAnsi"/>
                <w:color w:val="000000"/>
                <w:lang w:eastAsia="en-GB"/>
              </w:rPr>
            </w:pPr>
            <w:r>
              <w:rPr>
                <w:rFonts w:eastAsia="Times New Roman" w:cstheme="minorHAnsi"/>
                <w:color w:val="000000"/>
                <w:lang w:eastAsia="en-GB"/>
              </w:rPr>
              <w:t>0.020</w:t>
            </w:r>
          </w:p>
        </w:tc>
      </w:tr>
      <w:tr w:rsidR="00F511F4" w:rsidRPr="00B6620E" w14:paraId="0FBCC2A0" w14:textId="77777777" w:rsidTr="001F53D9">
        <w:trPr>
          <w:trHeight w:val="285"/>
        </w:trPr>
        <w:tc>
          <w:tcPr>
            <w:tcW w:w="3227" w:type="dxa"/>
            <w:shd w:val="clear" w:color="auto" w:fill="auto"/>
            <w:noWrap/>
            <w:hideMark/>
          </w:tcPr>
          <w:p w14:paraId="54A37042" w14:textId="77777777" w:rsidR="00F511F4" w:rsidRPr="00B6620E" w:rsidRDefault="00F511F4" w:rsidP="001F53D9">
            <w:pPr>
              <w:spacing w:after="0" w:line="240" w:lineRule="auto"/>
              <w:rPr>
                <w:rFonts w:eastAsia="Times New Roman" w:cstheme="minorHAnsi"/>
                <w:color w:val="000000"/>
                <w:lang w:eastAsia="en-GB"/>
              </w:rPr>
            </w:pPr>
            <w:r w:rsidRPr="00B6620E">
              <w:rPr>
                <w:rFonts w:eastAsia="Times New Roman" w:cstheme="minorHAnsi"/>
                <w:color w:val="000000"/>
                <w:lang w:val="en-US" w:eastAsia="en-GB"/>
              </w:rPr>
              <w:t>Cancer</w:t>
            </w:r>
          </w:p>
        </w:tc>
        <w:tc>
          <w:tcPr>
            <w:tcW w:w="2551" w:type="dxa"/>
            <w:shd w:val="clear" w:color="auto" w:fill="auto"/>
            <w:noWrap/>
          </w:tcPr>
          <w:p w14:paraId="1D167FE0" w14:textId="77777777" w:rsidR="00F511F4" w:rsidRPr="00B6620E" w:rsidRDefault="00F511F4" w:rsidP="001F53D9">
            <w:pPr>
              <w:spacing w:after="0" w:line="240" w:lineRule="auto"/>
              <w:rPr>
                <w:rFonts w:eastAsia="Times New Roman" w:cstheme="minorHAnsi"/>
                <w:color w:val="000000"/>
                <w:lang w:eastAsia="en-GB"/>
              </w:rPr>
            </w:pPr>
            <w:r>
              <w:rPr>
                <w:rFonts w:eastAsia="Times New Roman" w:cstheme="minorHAnsi"/>
                <w:color w:val="000000"/>
                <w:lang w:eastAsia="en-GB"/>
              </w:rPr>
              <w:t>0.94 (0.91-0.97)</w:t>
            </w:r>
          </w:p>
        </w:tc>
        <w:tc>
          <w:tcPr>
            <w:tcW w:w="2127" w:type="dxa"/>
          </w:tcPr>
          <w:p w14:paraId="03347D6F" w14:textId="77777777" w:rsidR="00F511F4" w:rsidRPr="00B6620E" w:rsidRDefault="00F511F4" w:rsidP="001F53D9">
            <w:pPr>
              <w:spacing w:after="0" w:line="240" w:lineRule="auto"/>
              <w:rPr>
                <w:rFonts w:eastAsia="Times New Roman" w:cstheme="minorHAnsi"/>
                <w:color w:val="000000"/>
                <w:lang w:eastAsia="en-GB"/>
              </w:rPr>
            </w:pPr>
            <w:r>
              <w:rPr>
                <w:rFonts w:eastAsia="Times New Roman" w:cstheme="minorHAnsi"/>
                <w:color w:val="000000"/>
                <w:lang w:eastAsia="en-GB"/>
              </w:rPr>
              <w:t>&lt;0.001</w:t>
            </w:r>
          </w:p>
        </w:tc>
      </w:tr>
      <w:tr w:rsidR="00F511F4" w:rsidRPr="00B6620E" w14:paraId="72CC7350" w14:textId="77777777" w:rsidTr="001F53D9">
        <w:trPr>
          <w:trHeight w:val="285"/>
        </w:trPr>
        <w:tc>
          <w:tcPr>
            <w:tcW w:w="3227" w:type="dxa"/>
            <w:shd w:val="clear" w:color="auto" w:fill="auto"/>
            <w:noWrap/>
            <w:hideMark/>
          </w:tcPr>
          <w:p w14:paraId="5783298D" w14:textId="77777777" w:rsidR="00F511F4" w:rsidRPr="00B6620E" w:rsidRDefault="00F511F4" w:rsidP="001F53D9">
            <w:pPr>
              <w:spacing w:after="0" w:line="240" w:lineRule="auto"/>
              <w:rPr>
                <w:rFonts w:eastAsia="Times New Roman" w:cstheme="minorHAnsi"/>
                <w:color w:val="000000"/>
                <w:lang w:eastAsia="en-GB"/>
              </w:rPr>
            </w:pPr>
            <w:r>
              <w:rPr>
                <w:rFonts w:eastAsia="Times New Roman" w:cstheme="minorHAnsi"/>
                <w:color w:val="000000"/>
                <w:lang w:val="en-US" w:eastAsia="en-GB"/>
              </w:rPr>
              <w:t>Hospital bed size vs s</w:t>
            </w:r>
            <w:r w:rsidRPr="00B6620E">
              <w:rPr>
                <w:rFonts w:eastAsia="Times New Roman" w:cstheme="minorHAnsi"/>
                <w:color w:val="000000"/>
                <w:lang w:val="en-US" w:eastAsia="en-GB"/>
              </w:rPr>
              <w:t>mall</w:t>
            </w:r>
          </w:p>
        </w:tc>
        <w:tc>
          <w:tcPr>
            <w:tcW w:w="2551" w:type="dxa"/>
            <w:shd w:val="clear" w:color="auto" w:fill="auto"/>
            <w:noWrap/>
          </w:tcPr>
          <w:p w14:paraId="5DDDE442" w14:textId="77777777" w:rsidR="00F511F4" w:rsidRPr="00B6620E" w:rsidRDefault="00F511F4" w:rsidP="001F53D9">
            <w:pPr>
              <w:spacing w:after="0" w:line="240" w:lineRule="auto"/>
              <w:rPr>
                <w:rFonts w:eastAsia="Times New Roman" w:cstheme="minorHAnsi"/>
                <w:color w:val="000000"/>
                <w:lang w:eastAsia="en-GB"/>
              </w:rPr>
            </w:pPr>
          </w:p>
        </w:tc>
        <w:tc>
          <w:tcPr>
            <w:tcW w:w="2127" w:type="dxa"/>
          </w:tcPr>
          <w:p w14:paraId="248A903E" w14:textId="77777777" w:rsidR="00F511F4" w:rsidRPr="00B6620E" w:rsidRDefault="00F511F4" w:rsidP="001F53D9">
            <w:pPr>
              <w:spacing w:after="0" w:line="240" w:lineRule="auto"/>
              <w:rPr>
                <w:rFonts w:eastAsia="Times New Roman" w:cstheme="minorHAnsi"/>
                <w:color w:val="000000"/>
                <w:lang w:eastAsia="en-GB"/>
              </w:rPr>
            </w:pPr>
          </w:p>
        </w:tc>
      </w:tr>
      <w:tr w:rsidR="00F511F4" w:rsidRPr="00B6620E" w14:paraId="3164F275" w14:textId="77777777" w:rsidTr="001F53D9">
        <w:trPr>
          <w:trHeight w:val="285"/>
        </w:trPr>
        <w:tc>
          <w:tcPr>
            <w:tcW w:w="3227" w:type="dxa"/>
            <w:shd w:val="clear" w:color="auto" w:fill="auto"/>
            <w:noWrap/>
            <w:hideMark/>
          </w:tcPr>
          <w:p w14:paraId="2870A745" w14:textId="77777777" w:rsidR="00F511F4" w:rsidRPr="00B6620E" w:rsidRDefault="00F511F4" w:rsidP="001F53D9">
            <w:pPr>
              <w:spacing w:after="0" w:line="240" w:lineRule="auto"/>
              <w:rPr>
                <w:rFonts w:eastAsia="Times New Roman" w:cstheme="minorHAnsi"/>
                <w:color w:val="000000"/>
                <w:lang w:eastAsia="en-GB"/>
              </w:rPr>
            </w:pPr>
            <w:r w:rsidRPr="00B6620E">
              <w:rPr>
                <w:rFonts w:eastAsia="Times New Roman" w:cstheme="minorHAnsi"/>
                <w:color w:val="000000"/>
                <w:lang w:val="en-US" w:eastAsia="en-GB"/>
              </w:rPr>
              <w:t>Medium</w:t>
            </w:r>
          </w:p>
        </w:tc>
        <w:tc>
          <w:tcPr>
            <w:tcW w:w="2551" w:type="dxa"/>
            <w:shd w:val="clear" w:color="auto" w:fill="auto"/>
            <w:noWrap/>
          </w:tcPr>
          <w:p w14:paraId="04CDC86E" w14:textId="77777777" w:rsidR="00F511F4" w:rsidRPr="00B6620E" w:rsidRDefault="00F511F4" w:rsidP="001F53D9">
            <w:pPr>
              <w:spacing w:after="0" w:line="240" w:lineRule="auto"/>
              <w:rPr>
                <w:rFonts w:eastAsia="Times New Roman" w:cstheme="minorHAnsi"/>
                <w:color w:val="000000"/>
                <w:lang w:eastAsia="en-GB"/>
              </w:rPr>
            </w:pPr>
            <w:r>
              <w:rPr>
                <w:rFonts w:eastAsia="Times New Roman" w:cstheme="minorHAnsi"/>
                <w:color w:val="000000"/>
                <w:lang w:eastAsia="en-GB"/>
              </w:rPr>
              <w:t>1.04 (1.02-1.06)</w:t>
            </w:r>
          </w:p>
        </w:tc>
        <w:tc>
          <w:tcPr>
            <w:tcW w:w="2127" w:type="dxa"/>
          </w:tcPr>
          <w:p w14:paraId="658EC693" w14:textId="77777777" w:rsidR="00F511F4" w:rsidRPr="00B6620E" w:rsidRDefault="00F511F4" w:rsidP="001F53D9">
            <w:pPr>
              <w:spacing w:after="0" w:line="240" w:lineRule="auto"/>
              <w:rPr>
                <w:rFonts w:eastAsia="Times New Roman" w:cstheme="minorHAnsi"/>
                <w:color w:val="000000"/>
                <w:lang w:eastAsia="en-GB"/>
              </w:rPr>
            </w:pPr>
            <w:r>
              <w:rPr>
                <w:rFonts w:eastAsia="Times New Roman" w:cstheme="minorHAnsi"/>
                <w:color w:val="000000"/>
                <w:lang w:eastAsia="en-GB"/>
              </w:rPr>
              <w:t>&lt;0.001</w:t>
            </w:r>
          </w:p>
        </w:tc>
      </w:tr>
      <w:tr w:rsidR="00F511F4" w:rsidRPr="00B6620E" w14:paraId="050ED9BF" w14:textId="77777777" w:rsidTr="001F53D9">
        <w:trPr>
          <w:trHeight w:val="285"/>
        </w:trPr>
        <w:tc>
          <w:tcPr>
            <w:tcW w:w="3227" w:type="dxa"/>
            <w:shd w:val="clear" w:color="auto" w:fill="auto"/>
            <w:noWrap/>
            <w:hideMark/>
          </w:tcPr>
          <w:p w14:paraId="08B6526A" w14:textId="77777777" w:rsidR="00F511F4" w:rsidRPr="00B6620E" w:rsidRDefault="00F511F4" w:rsidP="001F53D9">
            <w:pPr>
              <w:spacing w:after="0" w:line="240" w:lineRule="auto"/>
              <w:rPr>
                <w:rFonts w:eastAsia="Times New Roman" w:cstheme="minorHAnsi"/>
                <w:color w:val="000000"/>
                <w:lang w:eastAsia="en-GB"/>
              </w:rPr>
            </w:pPr>
            <w:r w:rsidRPr="00B6620E">
              <w:rPr>
                <w:rFonts w:eastAsia="Times New Roman" w:cstheme="minorHAnsi"/>
                <w:color w:val="000000"/>
                <w:lang w:val="en-US" w:eastAsia="en-GB"/>
              </w:rPr>
              <w:t>Large</w:t>
            </w:r>
          </w:p>
        </w:tc>
        <w:tc>
          <w:tcPr>
            <w:tcW w:w="2551" w:type="dxa"/>
            <w:shd w:val="clear" w:color="auto" w:fill="auto"/>
            <w:noWrap/>
          </w:tcPr>
          <w:p w14:paraId="5584732A" w14:textId="77777777" w:rsidR="00F511F4" w:rsidRPr="00B6620E" w:rsidRDefault="00F511F4" w:rsidP="001F53D9">
            <w:pPr>
              <w:spacing w:after="0" w:line="240" w:lineRule="auto"/>
              <w:rPr>
                <w:rFonts w:eastAsia="Times New Roman" w:cstheme="minorHAnsi"/>
                <w:color w:val="000000"/>
                <w:lang w:eastAsia="en-GB"/>
              </w:rPr>
            </w:pPr>
            <w:r>
              <w:rPr>
                <w:rFonts w:eastAsia="Times New Roman" w:cstheme="minorHAnsi"/>
                <w:color w:val="000000"/>
                <w:lang w:eastAsia="en-GB"/>
              </w:rPr>
              <w:t>1.07 (1.05-1.09)</w:t>
            </w:r>
          </w:p>
        </w:tc>
        <w:tc>
          <w:tcPr>
            <w:tcW w:w="2127" w:type="dxa"/>
          </w:tcPr>
          <w:p w14:paraId="5542F71C" w14:textId="77777777" w:rsidR="00F511F4" w:rsidRPr="00B6620E" w:rsidRDefault="00F511F4" w:rsidP="001F53D9">
            <w:pPr>
              <w:spacing w:after="0" w:line="240" w:lineRule="auto"/>
              <w:rPr>
                <w:rFonts w:eastAsia="Times New Roman" w:cstheme="minorHAnsi"/>
                <w:color w:val="000000"/>
                <w:lang w:eastAsia="en-GB"/>
              </w:rPr>
            </w:pPr>
            <w:r>
              <w:rPr>
                <w:rFonts w:eastAsia="Times New Roman" w:cstheme="minorHAnsi"/>
                <w:color w:val="000000"/>
                <w:lang w:eastAsia="en-GB"/>
              </w:rPr>
              <w:t>&lt;0.001</w:t>
            </w:r>
          </w:p>
        </w:tc>
      </w:tr>
      <w:tr w:rsidR="00F511F4" w:rsidRPr="00B6620E" w14:paraId="56694F8B" w14:textId="77777777" w:rsidTr="001F53D9">
        <w:trPr>
          <w:trHeight w:val="285"/>
        </w:trPr>
        <w:tc>
          <w:tcPr>
            <w:tcW w:w="3227" w:type="dxa"/>
            <w:shd w:val="clear" w:color="auto" w:fill="auto"/>
            <w:noWrap/>
            <w:hideMark/>
          </w:tcPr>
          <w:p w14:paraId="25C42F6F" w14:textId="77777777" w:rsidR="00F511F4" w:rsidRPr="00B6620E" w:rsidRDefault="00F511F4" w:rsidP="001F53D9">
            <w:pPr>
              <w:spacing w:after="0" w:line="240" w:lineRule="auto"/>
              <w:rPr>
                <w:rFonts w:eastAsia="Times New Roman" w:cstheme="minorHAnsi"/>
                <w:color w:val="000000"/>
                <w:lang w:eastAsia="en-GB"/>
              </w:rPr>
            </w:pPr>
            <w:r w:rsidRPr="00B6620E">
              <w:rPr>
                <w:rFonts w:eastAsia="Times New Roman" w:cstheme="minorHAnsi"/>
                <w:color w:val="000000"/>
                <w:lang w:eastAsia="en-GB"/>
              </w:rPr>
              <w:t>Teaching hospital</w:t>
            </w:r>
          </w:p>
        </w:tc>
        <w:tc>
          <w:tcPr>
            <w:tcW w:w="2551" w:type="dxa"/>
            <w:shd w:val="clear" w:color="auto" w:fill="auto"/>
            <w:noWrap/>
          </w:tcPr>
          <w:p w14:paraId="725C6DE4" w14:textId="77777777" w:rsidR="00F511F4" w:rsidRPr="00B6620E" w:rsidRDefault="00F511F4" w:rsidP="001F53D9">
            <w:pPr>
              <w:spacing w:after="0" w:line="240" w:lineRule="auto"/>
              <w:rPr>
                <w:rFonts w:eastAsia="Times New Roman" w:cstheme="minorHAnsi"/>
                <w:color w:val="000000"/>
                <w:lang w:eastAsia="en-GB"/>
              </w:rPr>
            </w:pPr>
            <w:r>
              <w:rPr>
                <w:rFonts w:eastAsia="Times New Roman" w:cstheme="minorHAnsi"/>
                <w:color w:val="000000"/>
                <w:lang w:eastAsia="en-GB"/>
              </w:rPr>
              <w:t>0.98 (0.97-0.99)</w:t>
            </w:r>
          </w:p>
        </w:tc>
        <w:tc>
          <w:tcPr>
            <w:tcW w:w="2127" w:type="dxa"/>
          </w:tcPr>
          <w:p w14:paraId="5EF0C959" w14:textId="77777777" w:rsidR="00F511F4" w:rsidRPr="00B6620E" w:rsidRDefault="00F511F4" w:rsidP="001F53D9">
            <w:pPr>
              <w:spacing w:after="0" w:line="240" w:lineRule="auto"/>
              <w:rPr>
                <w:rFonts w:eastAsia="Times New Roman" w:cstheme="minorHAnsi"/>
                <w:color w:val="000000"/>
                <w:lang w:eastAsia="en-GB"/>
              </w:rPr>
            </w:pPr>
            <w:r>
              <w:rPr>
                <w:rFonts w:eastAsia="Times New Roman" w:cstheme="minorHAnsi"/>
                <w:color w:val="000000"/>
                <w:lang w:eastAsia="en-GB"/>
              </w:rPr>
              <w:t>0.001</w:t>
            </w:r>
          </w:p>
        </w:tc>
      </w:tr>
      <w:tr w:rsidR="00F511F4" w:rsidRPr="00B6620E" w14:paraId="79458D81" w14:textId="77777777" w:rsidTr="001F53D9">
        <w:trPr>
          <w:trHeight w:val="285"/>
        </w:trPr>
        <w:tc>
          <w:tcPr>
            <w:tcW w:w="3227" w:type="dxa"/>
            <w:shd w:val="clear" w:color="auto" w:fill="auto"/>
            <w:noWrap/>
            <w:hideMark/>
          </w:tcPr>
          <w:p w14:paraId="211D7D23" w14:textId="77777777" w:rsidR="00F511F4" w:rsidRPr="00B6620E" w:rsidRDefault="00F511F4" w:rsidP="001F53D9">
            <w:pPr>
              <w:spacing w:after="0" w:line="240" w:lineRule="auto"/>
              <w:rPr>
                <w:rFonts w:eastAsia="Times New Roman" w:cstheme="minorHAnsi"/>
                <w:color w:val="000000"/>
                <w:lang w:eastAsia="en-GB"/>
              </w:rPr>
            </w:pPr>
            <w:r w:rsidRPr="00B6620E">
              <w:rPr>
                <w:rFonts w:eastAsia="Times New Roman" w:cstheme="minorHAnsi"/>
                <w:color w:val="000000"/>
                <w:lang w:eastAsia="en-GB"/>
              </w:rPr>
              <w:t>Urban hospital</w:t>
            </w:r>
          </w:p>
        </w:tc>
        <w:tc>
          <w:tcPr>
            <w:tcW w:w="2551" w:type="dxa"/>
            <w:shd w:val="clear" w:color="auto" w:fill="auto"/>
            <w:noWrap/>
          </w:tcPr>
          <w:p w14:paraId="035661F0" w14:textId="77777777" w:rsidR="00F511F4" w:rsidRPr="00B6620E" w:rsidRDefault="00F511F4" w:rsidP="001F53D9">
            <w:pPr>
              <w:spacing w:after="0" w:line="240" w:lineRule="auto"/>
              <w:rPr>
                <w:rFonts w:eastAsia="Times New Roman" w:cstheme="minorHAnsi"/>
                <w:color w:val="000000"/>
                <w:lang w:eastAsia="en-GB"/>
              </w:rPr>
            </w:pPr>
            <w:r>
              <w:rPr>
                <w:rFonts w:eastAsia="Times New Roman" w:cstheme="minorHAnsi"/>
                <w:color w:val="000000"/>
                <w:lang w:eastAsia="en-GB"/>
              </w:rPr>
              <w:t>1.17 (1.14-1.20)</w:t>
            </w:r>
          </w:p>
        </w:tc>
        <w:tc>
          <w:tcPr>
            <w:tcW w:w="2127" w:type="dxa"/>
          </w:tcPr>
          <w:p w14:paraId="23F7ECD6" w14:textId="77777777" w:rsidR="00F511F4" w:rsidRPr="00B6620E" w:rsidRDefault="00F511F4" w:rsidP="001F53D9">
            <w:pPr>
              <w:spacing w:after="0" w:line="240" w:lineRule="auto"/>
              <w:rPr>
                <w:rFonts w:eastAsia="Times New Roman" w:cstheme="minorHAnsi"/>
                <w:color w:val="000000"/>
                <w:lang w:eastAsia="en-GB"/>
              </w:rPr>
            </w:pPr>
            <w:r>
              <w:rPr>
                <w:rFonts w:eastAsia="Times New Roman" w:cstheme="minorHAnsi"/>
                <w:color w:val="000000"/>
                <w:lang w:eastAsia="en-GB"/>
              </w:rPr>
              <w:t>&lt;0.001</w:t>
            </w:r>
          </w:p>
        </w:tc>
      </w:tr>
      <w:tr w:rsidR="00F511F4" w:rsidRPr="00B6620E" w14:paraId="37AA0196" w14:textId="77777777" w:rsidTr="001F53D9">
        <w:trPr>
          <w:trHeight w:val="285"/>
        </w:trPr>
        <w:tc>
          <w:tcPr>
            <w:tcW w:w="3227" w:type="dxa"/>
            <w:shd w:val="clear" w:color="auto" w:fill="auto"/>
            <w:noWrap/>
            <w:hideMark/>
          </w:tcPr>
          <w:p w14:paraId="7C527DCE" w14:textId="77777777" w:rsidR="00F511F4" w:rsidRPr="00B6620E" w:rsidRDefault="00F511F4" w:rsidP="001F53D9">
            <w:pPr>
              <w:spacing w:after="0" w:line="240" w:lineRule="auto"/>
              <w:rPr>
                <w:rFonts w:eastAsia="Times New Roman" w:cstheme="minorHAnsi"/>
                <w:color w:val="000000"/>
                <w:lang w:eastAsia="en-GB"/>
              </w:rPr>
            </w:pPr>
            <w:r w:rsidRPr="00B6620E">
              <w:rPr>
                <w:rFonts w:eastAsia="Times New Roman" w:cstheme="minorHAnsi"/>
                <w:color w:val="000000"/>
                <w:lang w:val="en-US" w:eastAsia="en-GB"/>
              </w:rPr>
              <w:t>Cardiogenic shock</w:t>
            </w:r>
          </w:p>
        </w:tc>
        <w:tc>
          <w:tcPr>
            <w:tcW w:w="2551" w:type="dxa"/>
            <w:shd w:val="clear" w:color="auto" w:fill="auto"/>
            <w:noWrap/>
          </w:tcPr>
          <w:p w14:paraId="03B13011" w14:textId="77777777" w:rsidR="00F511F4" w:rsidRPr="00B6620E" w:rsidRDefault="00F511F4" w:rsidP="001F53D9">
            <w:pPr>
              <w:spacing w:after="0" w:line="240" w:lineRule="auto"/>
              <w:rPr>
                <w:rFonts w:eastAsia="Times New Roman" w:cstheme="minorHAnsi"/>
                <w:color w:val="000000"/>
                <w:lang w:eastAsia="en-GB"/>
              </w:rPr>
            </w:pPr>
            <w:r>
              <w:rPr>
                <w:rFonts w:eastAsia="Times New Roman" w:cstheme="minorHAnsi"/>
                <w:color w:val="000000"/>
                <w:lang w:eastAsia="en-GB"/>
              </w:rPr>
              <w:t>2.58 (2.48-2.68)</w:t>
            </w:r>
          </w:p>
        </w:tc>
        <w:tc>
          <w:tcPr>
            <w:tcW w:w="2127" w:type="dxa"/>
          </w:tcPr>
          <w:p w14:paraId="3F8DA2C4" w14:textId="77777777" w:rsidR="00F511F4" w:rsidRPr="00B6620E" w:rsidRDefault="00F511F4" w:rsidP="001F53D9">
            <w:pPr>
              <w:spacing w:after="0" w:line="240" w:lineRule="auto"/>
              <w:rPr>
                <w:rFonts w:eastAsia="Times New Roman" w:cstheme="minorHAnsi"/>
                <w:color w:val="000000"/>
                <w:lang w:eastAsia="en-GB"/>
              </w:rPr>
            </w:pPr>
            <w:r>
              <w:rPr>
                <w:rFonts w:eastAsia="Times New Roman" w:cstheme="minorHAnsi"/>
                <w:color w:val="000000"/>
                <w:lang w:eastAsia="en-GB"/>
              </w:rPr>
              <w:t>&lt;0.001</w:t>
            </w:r>
          </w:p>
        </w:tc>
      </w:tr>
      <w:tr w:rsidR="00F511F4" w:rsidRPr="00B6620E" w14:paraId="665342B3" w14:textId="77777777" w:rsidTr="001F53D9">
        <w:trPr>
          <w:trHeight w:val="285"/>
        </w:trPr>
        <w:tc>
          <w:tcPr>
            <w:tcW w:w="3227" w:type="dxa"/>
            <w:shd w:val="clear" w:color="auto" w:fill="auto"/>
            <w:noWrap/>
            <w:hideMark/>
          </w:tcPr>
          <w:p w14:paraId="100B9CCE" w14:textId="77777777" w:rsidR="00F511F4" w:rsidRPr="00B6620E" w:rsidRDefault="00F511F4" w:rsidP="001F53D9">
            <w:pPr>
              <w:spacing w:after="0" w:line="240" w:lineRule="auto"/>
              <w:rPr>
                <w:rFonts w:eastAsia="Times New Roman" w:cstheme="minorHAnsi"/>
                <w:color w:val="000000"/>
                <w:lang w:eastAsia="en-GB"/>
              </w:rPr>
            </w:pPr>
            <w:r w:rsidRPr="00B6620E">
              <w:rPr>
                <w:rFonts w:eastAsia="Times New Roman" w:cstheme="minorHAnsi"/>
                <w:color w:val="000000"/>
                <w:lang w:eastAsia="en-GB"/>
              </w:rPr>
              <w:t>Cardiac arrest</w:t>
            </w:r>
          </w:p>
        </w:tc>
        <w:tc>
          <w:tcPr>
            <w:tcW w:w="2551" w:type="dxa"/>
            <w:shd w:val="clear" w:color="auto" w:fill="auto"/>
            <w:noWrap/>
          </w:tcPr>
          <w:p w14:paraId="288B3EFD" w14:textId="77777777" w:rsidR="00F511F4" w:rsidRPr="00B6620E" w:rsidRDefault="00F511F4" w:rsidP="001F53D9">
            <w:pPr>
              <w:spacing w:after="0" w:line="240" w:lineRule="auto"/>
              <w:rPr>
                <w:rFonts w:eastAsia="Times New Roman" w:cstheme="minorHAnsi"/>
                <w:color w:val="000000"/>
                <w:lang w:eastAsia="en-GB"/>
              </w:rPr>
            </w:pPr>
            <w:r>
              <w:rPr>
                <w:rFonts w:eastAsia="Times New Roman" w:cstheme="minorHAnsi"/>
                <w:color w:val="000000"/>
                <w:lang w:eastAsia="en-GB"/>
              </w:rPr>
              <w:t>1.17 (1.12-1.23)</w:t>
            </w:r>
          </w:p>
        </w:tc>
        <w:tc>
          <w:tcPr>
            <w:tcW w:w="2127" w:type="dxa"/>
          </w:tcPr>
          <w:p w14:paraId="00FC3393" w14:textId="77777777" w:rsidR="00F511F4" w:rsidRPr="00B6620E" w:rsidRDefault="00F511F4" w:rsidP="001F53D9">
            <w:pPr>
              <w:spacing w:after="0" w:line="240" w:lineRule="auto"/>
              <w:rPr>
                <w:rFonts w:eastAsia="Times New Roman" w:cstheme="minorHAnsi"/>
                <w:color w:val="000000"/>
                <w:lang w:eastAsia="en-GB"/>
              </w:rPr>
            </w:pPr>
            <w:r>
              <w:rPr>
                <w:rFonts w:eastAsia="Times New Roman" w:cstheme="minorHAnsi"/>
                <w:color w:val="000000"/>
                <w:lang w:eastAsia="en-GB"/>
              </w:rPr>
              <w:t>&lt;0.001</w:t>
            </w:r>
          </w:p>
        </w:tc>
      </w:tr>
      <w:tr w:rsidR="00F511F4" w:rsidRPr="00B6620E" w14:paraId="1F6D28B9" w14:textId="77777777" w:rsidTr="001F53D9">
        <w:trPr>
          <w:trHeight w:val="285"/>
        </w:trPr>
        <w:tc>
          <w:tcPr>
            <w:tcW w:w="3227" w:type="dxa"/>
            <w:shd w:val="clear" w:color="auto" w:fill="auto"/>
            <w:noWrap/>
            <w:hideMark/>
          </w:tcPr>
          <w:p w14:paraId="2332C4FE" w14:textId="77777777" w:rsidR="00F511F4" w:rsidRPr="00B6620E" w:rsidRDefault="00F511F4" w:rsidP="001F53D9">
            <w:pPr>
              <w:spacing w:after="0" w:line="240" w:lineRule="auto"/>
              <w:rPr>
                <w:rFonts w:eastAsia="Times New Roman" w:cstheme="minorHAnsi"/>
                <w:color w:val="000000"/>
                <w:lang w:eastAsia="en-GB"/>
              </w:rPr>
            </w:pPr>
            <w:r w:rsidRPr="00B6620E">
              <w:rPr>
                <w:rFonts w:eastAsia="Times New Roman" w:cstheme="minorHAnsi"/>
                <w:color w:val="000000"/>
                <w:lang w:eastAsia="en-GB"/>
              </w:rPr>
              <w:t>Ventilation</w:t>
            </w:r>
          </w:p>
        </w:tc>
        <w:tc>
          <w:tcPr>
            <w:tcW w:w="2551" w:type="dxa"/>
            <w:shd w:val="clear" w:color="auto" w:fill="auto"/>
            <w:noWrap/>
          </w:tcPr>
          <w:p w14:paraId="6DBBFBCB" w14:textId="77777777" w:rsidR="00F511F4" w:rsidRPr="00B6620E" w:rsidRDefault="00F511F4" w:rsidP="001F53D9">
            <w:pPr>
              <w:spacing w:after="0" w:line="240" w:lineRule="auto"/>
              <w:rPr>
                <w:rFonts w:eastAsia="Times New Roman" w:cstheme="minorHAnsi"/>
                <w:color w:val="000000"/>
                <w:lang w:eastAsia="en-GB"/>
              </w:rPr>
            </w:pPr>
            <w:r>
              <w:rPr>
                <w:rFonts w:eastAsia="Times New Roman" w:cstheme="minorHAnsi"/>
                <w:color w:val="000000"/>
                <w:lang w:eastAsia="en-GB"/>
              </w:rPr>
              <w:t>3.91 (3.82-4.00)</w:t>
            </w:r>
          </w:p>
        </w:tc>
        <w:tc>
          <w:tcPr>
            <w:tcW w:w="2127" w:type="dxa"/>
          </w:tcPr>
          <w:p w14:paraId="5FB78B70" w14:textId="77777777" w:rsidR="00F511F4" w:rsidRPr="00B6620E" w:rsidRDefault="00F511F4" w:rsidP="001F53D9">
            <w:pPr>
              <w:spacing w:after="0" w:line="240" w:lineRule="auto"/>
              <w:rPr>
                <w:rFonts w:eastAsia="Times New Roman" w:cstheme="minorHAnsi"/>
                <w:color w:val="000000"/>
                <w:lang w:eastAsia="en-GB"/>
              </w:rPr>
            </w:pPr>
            <w:r>
              <w:rPr>
                <w:rFonts w:eastAsia="Times New Roman" w:cstheme="minorHAnsi"/>
                <w:color w:val="000000"/>
                <w:lang w:eastAsia="en-GB"/>
              </w:rPr>
              <w:t>&lt;0.001</w:t>
            </w:r>
          </w:p>
        </w:tc>
      </w:tr>
      <w:tr w:rsidR="00F511F4" w:rsidRPr="00B6620E" w14:paraId="499AC256" w14:textId="77777777" w:rsidTr="001F53D9">
        <w:trPr>
          <w:trHeight w:val="285"/>
        </w:trPr>
        <w:tc>
          <w:tcPr>
            <w:tcW w:w="3227" w:type="dxa"/>
            <w:shd w:val="clear" w:color="auto" w:fill="auto"/>
            <w:noWrap/>
            <w:hideMark/>
          </w:tcPr>
          <w:p w14:paraId="39BFFD4D" w14:textId="77777777" w:rsidR="00F511F4" w:rsidRPr="00B6620E" w:rsidRDefault="00F511F4" w:rsidP="001F53D9">
            <w:pPr>
              <w:spacing w:after="0" w:line="240" w:lineRule="auto"/>
              <w:rPr>
                <w:rFonts w:eastAsia="Times New Roman" w:cstheme="minorHAnsi"/>
                <w:color w:val="000000"/>
                <w:lang w:eastAsia="en-GB"/>
              </w:rPr>
            </w:pPr>
            <w:r w:rsidRPr="00B6620E">
              <w:rPr>
                <w:rFonts w:eastAsia="Times New Roman" w:cstheme="minorHAnsi"/>
                <w:color w:val="000000"/>
                <w:lang w:eastAsia="en-GB"/>
              </w:rPr>
              <w:t>LV assist device or IABP</w:t>
            </w:r>
          </w:p>
        </w:tc>
        <w:tc>
          <w:tcPr>
            <w:tcW w:w="2551" w:type="dxa"/>
            <w:shd w:val="clear" w:color="auto" w:fill="auto"/>
            <w:noWrap/>
          </w:tcPr>
          <w:p w14:paraId="15654060" w14:textId="77777777" w:rsidR="00F511F4" w:rsidRPr="00B6620E" w:rsidRDefault="00F511F4" w:rsidP="001F53D9">
            <w:pPr>
              <w:spacing w:after="0" w:line="240" w:lineRule="auto"/>
              <w:rPr>
                <w:rFonts w:eastAsia="Times New Roman" w:cstheme="minorHAnsi"/>
                <w:color w:val="000000"/>
                <w:lang w:eastAsia="en-GB"/>
              </w:rPr>
            </w:pPr>
            <w:r>
              <w:rPr>
                <w:rFonts w:eastAsia="Times New Roman" w:cstheme="minorHAnsi"/>
                <w:color w:val="000000"/>
                <w:lang w:eastAsia="en-GB"/>
              </w:rPr>
              <w:t>1.30 (1.22-1.38)</w:t>
            </w:r>
          </w:p>
        </w:tc>
        <w:tc>
          <w:tcPr>
            <w:tcW w:w="2127" w:type="dxa"/>
          </w:tcPr>
          <w:p w14:paraId="68636EB3" w14:textId="77777777" w:rsidR="00F511F4" w:rsidRPr="00B6620E" w:rsidRDefault="00F511F4" w:rsidP="001F53D9">
            <w:pPr>
              <w:spacing w:after="0" w:line="240" w:lineRule="auto"/>
              <w:rPr>
                <w:rFonts w:eastAsia="Times New Roman" w:cstheme="minorHAnsi"/>
                <w:color w:val="000000"/>
                <w:lang w:eastAsia="en-GB"/>
              </w:rPr>
            </w:pPr>
            <w:r>
              <w:rPr>
                <w:rFonts w:eastAsia="Times New Roman" w:cstheme="minorHAnsi"/>
                <w:color w:val="000000"/>
                <w:lang w:eastAsia="en-GB"/>
              </w:rPr>
              <w:t>&lt;0.001</w:t>
            </w:r>
          </w:p>
        </w:tc>
      </w:tr>
      <w:tr w:rsidR="00F511F4" w:rsidRPr="00B6620E" w14:paraId="69BBEEEA" w14:textId="77777777" w:rsidTr="001F53D9">
        <w:trPr>
          <w:trHeight w:val="285"/>
        </w:trPr>
        <w:tc>
          <w:tcPr>
            <w:tcW w:w="3227" w:type="dxa"/>
            <w:shd w:val="clear" w:color="auto" w:fill="auto"/>
            <w:noWrap/>
            <w:hideMark/>
          </w:tcPr>
          <w:p w14:paraId="511E3A01" w14:textId="77777777" w:rsidR="00F511F4" w:rsidRPr="00B6620E" w:rsidRDefault="00F511F4" w:rsidP="001F53D9">
            <w:pPr>
              <w:spacing w:after="0" w:line="240" w:lineRule="auto"/>
              <w:rPr>
                <w:rFonts w:eastAsia="Times New Roman" w:cstheme="minorHAnsi"/>
                <w:color w:val="000000"/>
                <w:lang w:eastAsia="en-GB"/>
              </w:rPr>
            </w:pPr>
            <w:r w:rsidRPr="00B6620E">
              <w:rPr>
                <w:rFonts w:eastAsia="Times New Roman" w:cstheme="minorHAnsi"/>
                <w:color w:val="000000"/>
                <w:lang w:eastAsia="en-GB"/>
              </w:rPr>
              <w:t>Vasopressor use</w:t>
            </w:r>
          </w:p>
        </w:tc>
        <w:tc>
          <w:tcPr>
            <w:tcW w:w="2551" w:type="dxa"/>
            <w:shd w:val="clear" w:color="auto" w:fill="auto"/>
            <w:noWrap/>
          </w:tcPr>
          <w:p w14:paraId="0FA40D43" w14:textId="77777777" w:rsidR="00F511F4" w:rsidRPr="00B6620E" w:rsidRDefault="00F511F4" w:rsidP="001F53D9">
            <w:pPr>
              <w:spacing w:after="0" w:line="240" w:lineRule="auto"/>
              <w:rPr>
                <w:rFonts w:eastAsia="Times New Roman" w:cstheme="minorHAnsi"/>
                <w:color w:val="000000"/>
                <w:lang w:eastAsia="en-GB"/>
              </w:rPr>
            </w:pPr>
            <w:r>
              <w:rPr>
                <w:rFonts w:eastAsia="Times New Roman" w:cstheme="minorHAnsi"/>
                <w:color w:val="000000"/>
                <w:lang w:eastAsia="en-GB"/>
              </w:rPr>
              <w:t>2.05 (1.94-2.16)</w:t>
            </w:r>
          </w:p>
        </w:tc>
        <w:tc>
          <w:tcPr>
            <w:tcW w:w="2127" w:type="dxa"/>
          </w:tcPr>
          <w:p w14:paraId="239D6F1A" w14:textId="77777777" w:rsidR="00F511F4" w:rsidRPr="00B6620E" w:rsidRDefault="00F511F4" w:rsidP="001F53D9">
            <w:pPr>
              <w:spacing w:after="0" w:line="240" w:lineRule="auto"/>
              <w:rPr>
                <w:rFonts w:eastAsia="Times New Roman" w:cstheme="minorHAnsi"/>
                <w:color w:val="000000"/>
                <w:lang w:eastAsia="en-GB"/>
              </w:rPr>
            </w:pPr>
            <w:r>
              <w:rPr>
                <w:rFonts w:eastAsia="Times New Roman" w:cstheme="minorHAnsi"/>
                <w:color w:val="000000"/>
                <w:lang w:eastAsia="en-GB"/>
              </w:rPr>
              <w:t>&lt;0.001</w:t>
            </w:r>
          </w:p>
        </w:tc>
      </w:tr>
      <w:tr w:rsidR="00F511F4" w:rsidRPr="00B6620E" w14:paraId="2B4D8522" w14:textId="77777777" w:rsidTr="001F53D9">
        <w:trPr>
          <w:trHeight w:val="285"/>
        </w:trPr>
        <w:tc>
          <w:tcPr>
            <w:tcW w:w="3227" w:type="dxa"/>
            <w:shd w:val="clear" w:color="auto" w:fill="auto"/>
            <w:noWrap/>
            <w:hideMark/>
          </w:tcPr>
          <w:p w14:paraId="69C9893B" w14:textId="77777777" w:rsidR="00F511F4" w:rsidRPr="00B6620E" w:rsidRDefault="00F511F4" w:rsidP="001F53D9">
            <w:pPr>
              <w:spacing w:after="0" w:line="240" w:lineRule="auto"/>
              <w:rPr>
                <w:rFonts w:eastAsia="Times New Roman" w:cstheme="minorHAnsi"/>
                <w:color w:val="000000"/>
                <w:lang w:eastAsia="en-GB"/>
              </w:rPr>
            </w:pPr>
            <w:r w:rsidRPr="00B6620E">
              <w:rPr>
                <w:rFonts w:eastAsia="Times New Roman" w:cstheme="minorHAnsi"/>
                <w:color w:val="000000"/>
                <w:lang w:eastAsia="en-GB"/>
              </w:rPr>
              <w:t>Coronary angiogram</w:t>
            </w:r>
          </w:p>
        </w:tc>
        <w:tc>
          <w:tcPr>
            <w:tcW w:w="2551" w:type="dxa"/>
            <w:shd w:val="clear" w:color="auto" w:fill="auto"/>
            <w:noWrap/>
          </w:tcPr>
          <w:p w14:paraId="73A290CB" w14:textId="77777777" w:rsidR="00F511F4" w:rsidRPr="00B6620E" w:rsidRDefault="00F511F4" w:rsidP="001F53D9">
            <w:pPr>
              <w:spacing w:after="0" w:line="240" w:lineRule="auto"/>
              <w:rPr>
                <w:rFonts w:eastAsia="Times New Roman" w:cstheme="minorHAnsi"/>
                <w:color w:val="000000"/>
                <w:lang w:eastAsia="en-GB"/>
              </w:rPr>
            </w:pPr>
            <w:r>
              <w:rPr>
                <w:rFonts w:eastAsia="Times New Roman" w:cstheme="minorHAnsi"/>
                <w:color w:val="000000"/>
                <w:lang w:eastAsia="en-GB"/>
              </w:rPr>
              <w:t>0.54 (0.53-0.55)</w:t>
            </w:r>
          </w:p>
        </w:tc>
        <w:tc>
          <w:tcPr>
            <w:tcW w:w="2127" w:type="dxa"/>
          </w:tcPr>
          <w:p w14:paraId="3E99BF52" w14:textId="77777777" w:rsidR="00F511F4" w:rsidRPr="00B6620E" w:rsidRDefault="00F511F4" w:rsidP="001F53D9">
            <w:pPr>
              <w:spacing w:after="0" w:line="240" w:lineRule="auto"/>
              <w:rPr>
                <w:rFonts w:eastAsia="Times New Roman" w:cstheme="minorHAnsi"/>
                <w:color w:val="000000"/>
                <w:lang w:eastAsia="en-GB"/>
              </w:rPr>
            </w:pPr>
            <w:r>
              <w:rPr>
                <w:rFonts w:eastAsia="Times New Roman" w:cstheme="minorHAnsi"/>
                <w:color w:val="000000"/>
                <w:lang w:eastAsia="en-GB"/>
              </w:rPr>
              <w:t>&lt;0.001</w:t>
            </w:r>
          </w:p>
        </w:tc>
      </w:tr>
      <w:tr w:rsidR="00F511F4" w:rsidRPr="00B6620E" w14:paraId="63D92BC2" w14:textId="77777777" w:rsidTr="001F53D9">
        <w:trPr>
          <w:trHeight w:val="285"/>
        </w:trPr>
        <w:tc>
          <w:tcPr>
            <w:tcW w:w="3227" w:type="dxa"/>
            <w:shd w:val="clear" w:color="auto" w:fill="auto"/>
            <w:noWrap/>
            <w:hideMark/>
          </w:tcPr>
          <w:p w14:paraId="57F922BF" w14:textId="77777777" w:rsidR="00F511F4" w:rsidRPr="00B6620E" w:rsidRDefault="00F511F4" w:rsidP="001F53D9">
            <w:pPr>
              <w:spacing w:after="0" w:line="240" w:lineRule="auto"/>
              <w:rPr>
                <w:rFonts w:eastAsia="Times New Roman" w:cstheme="minorHAnsi"/>
                <w:color w:val="000000"/>
                <w:lang w:eastAsia="en-GB"/>
              </w:rPr>
            </w:pPr>
            <w:r w:rsidRPr="00B6620E">
              <w:rPr>
                <w:rFonts w:eastAsia="Times New Roman" w:cstheme="minorHAnsi"/>
                <w:color w:val="000000"/>
                <w:lang w:eastAsia="en-GB"/>
              </w:rPr>
              <w:t>PCI</w:t>
            </w:r>
          </w:p>
        </w:tc>
        <w:tc>
          <w:tcPr>
            <w:tcW w:w="2551" w:type="dxa"/>
            <w:shd w:val="clear" w:color="auto" w:fill="auto"/>
            <w:noWrap/>
          </w:tcPr>
          <w:p w14:paraId="0BB6D879" w14:textId="77777777" w:rsidR="00F511F4" w:rsidRPr="00B6620E" w:rsidRDefault="00F511F4" w:rsidP="001F53D9">
            <w:pPr>
              <w:spacing w:after="0" w:line="240" w:lineRule="auto"/>
              <w:rPr>
                <w:rFonts w:eastAsia="Times New Roman" w:cstheme="minorHAnsi"/>
                <w:color w:val="000000"/>
                <w:lang w:eastAsia="en-GB"/>
              </w:rPr>
            </w:pPr>
            <w:r>
              <w:rPr>
                <w:rFonts w:eastAsia="Times New Roman" w:cstheme="minorHAnsi"/>
                <w:color w:val="000000"/>
                <w:lang w:eastAsia="en-GB"/>
              </w:rPr>
              <w:t>1.21 (1.16-1.26)</w:t>
            </w:r>
          </w:p>
        </w:tc>
        <w:tc>
          <w:tcPr>
            <w:tcW w:w="2127" w:type="dxa"/>
          </w:tcPr>
          <w:p w14:paraId="009B60B2" w14:textId="77777777" w:rsidR="00F511F4" w:rsidRPr="00B6620E" w:rsidRDefault="00F511F4" w:rsidP="001F53D9">
            <w:pPr>
              <w:spacing w:after="0" w:line="240" w:lineRule="auto"/>
              <w:rPr>
                <w:rFonts w:eastAsia="Times New Roman" w:cstheme="minorHAnsi"/>
                <w:color w:val="000000"/>
                <w:lang w:eastAsia="en-GB"/>
              </w:rPr>
            </w:pPr>
            <w:r>
              <w:rPr>
                <w:rFonts w:eastAsia="Times New Roman" w:cstheme="minorHAnsi"/>
                <w:color w:val="000000"/>
                <w:lang w:eastAsia="en-GB"/>
              </w:rPr>
              <w:t>&lt;0.001</w:t>
            </w:r>
          </w:p>
        </w:tc>
      </w:tr>
      <w:tr w:rsidR="00F511F4" w:rsidRPr="00B6620E" w14:paraId="61309CFE" w14:textId="77777777" w:rsidTr="001F53D9">
        <w:trPr>
          <w:trHeight w:val="285"/>
        </w:trPr>
        <w:tc>
          <w:tcPr>
            <w:tcW w:w="3227" w:type="dxa"/>
            <w:shd w:val="clear" w:color="auto" w:fill="auto"/>
            <w:noWrap/>
            <w:hideMark/>
          </w:tcPr>
          <w:p w14:paraId="1D7099EE" w14:textId="77777777" w:rsidR="00F511F4" w:rsidRPr="00B6620E" w:rsidRDefault="00F511F4" w:rsidP="001F53D9">
            <w:pPr>
              <w:spacing w:after="0" w:line="240" w:lineRule="auto"/>
              <w:rPr>
                <w:rFonts w:eastAsia="Times New Roman" w:cstheme="minorHAnsi"/>
                <w:color w:val="000000"/>
                <w:lang w:eastAsia="en-GB"/>
              </w:rPr>
            </w:pPr>
            <w:r w:rsidRPr="00B6620E">
              <w:rPr>
                <w:rFonts w:eastAsia="Times New Roman" w:cstheme="minorHAnsi"/>
                <w:color w:val="000000"/>
                <w:lang w:eastAsia="en-GB"/>
              </w:rPr>
              <w:t>CABG</w:t>
            </w:r>
          </w:p>
        </w:tc>
        <w:tc>
          <w:tcPr>
            <w:tcW w:w="2551" w:type="dxa"/>
            <w:shd w:val="clear" w:color="auto" w:fill="auto"/>
            <w:noWrap/>
          </w:tcPr>
          <w:p w14:paraId="03CE0659" w14:textId="77777777" w:rsidR="00F511F4" w:rsidRPr="00B6620E" w:rsidRDefault="00F511F4" w:rsidP="001F53D9">
            <w:pPr>
              <w:spacing w:after="0" w:line="240" w:lineRule="auto"/>
              <w:rPr>
                <w:rFonts w:eastAsia="Times New Roman" w:cstheme="minorHAnsi"/>
                <w:color w:val="000000"/>
                <w:lang w:eastAsia="en-GB"/>
              </w:rPr>
            </w:pPr>
            <w:r>
              <w:rPr>
                <w:rFonts w:eastAsia="Times New Roman" w:cstheme="minorHAnsi"/>
                <w:color w:val="000000"/>
                <w:lang w:eastAsia="en-GB"/>
              </w:rPr>
              <w:t>1.57 (1.47-1.68)</w:t>
            </w:r>
          </w:p>
        </w:tc>
        <w:tc>
          <w:tcPr>
            <w:tcW w:w="2127" w:type="dxa"/>
          </w:tcPr>
          <w:p w14:paraId="11D6315E" w14:textId="77777777" w:rsidR="00F511F4" w:rsidRPr="00B6620E" w:rsidRDefault="00F511F4" w:rsidP="001F53D9">
            <w:pPr>
              <w:spacing w:after="0" w:line="240" w:lineRule="auto"/>
              <w:rPr>
                <w:rFonts w:eastAsia="Times New Roman" w:cstheme="minorHAnsi"/>
                <w:color w:val="000000"/>
                <w:lang w:eastAsia="en-GB"/>
              </w:rPr>
            </w:pPr>
            <w:r>
              <w:rPr>
                <w:rFonts w:eastAsia="Times New Roman" w:cstheme="minorHAnsi"/>
                <w:color w:val="000000"/>
                <w:lang w:eastAsia="en-GB"/>
              </w:rPr>
              <w:t>&lt;0.001</w:t>
            </w:r>
          </w:p>
        </w:tc>
      </w:tr>
      <w:tr w:rsidR="00F511F4" w:rsidRPr="00B6620E" w14:paraId="5D0129B0" w14:textId="77777777" w:rsidTr="001F53D9">
        <w:trPr>
          <w:trHeight w:val="285"/>
        </w:trPr>
        <w:tc>
          <w:tcPr>
            <w:tcW w:w="3227" w:type="dxa"/>
            <w:shd w:val="clear" w:color="auto" w:fill="auto"/>
            <w:noWrap/>
            <w:hideMark/>
          </w:tcPr>
          <w:p w14:paraId="21039ECE" w14:textId="77777777" w:rsidR="00F511F4" w:rsidRPr="00B6620E" w:rsidRDefault="00F511F4" w:rsidP="001F53D9">
            <w:pPr>
              <w:spacing w:after="0" w:line="240" w:lineRule="auto"/>
              <w:rPr>
                <w:rFonts w:eastAsia="Times New Roman" w:cstheme="minorHAnsi"/>
                <w:color w:val="000000"/>
                <w:lang w:eastAsia="en-GB"/>
              </w:rPr>
            </w:pPr>
            <w:r w:rsidRPr="00B6620E">
              <w:rPr>
                <w:rFonts w:eastAsia="Times New Roman" w:cstheme="minorHAnsi"/>
                <w:color w:val="000000"/>
                <w:lang w:eastAsia="en-GB"/>
              </w:rPr>
              <w:t>Pacemaker or ICD insertion</w:t>
            </w:r>
          </w:p>
        </w:tc>
        <w:tc>
          <w:tcPr>
            <w:tcW w:w="2551" w:type="dxa"/>
            <w:shd w:val="clear" w:color="auto" w:fill="auto"/>
            <w:noWrap/>
          </w:tcPr>
          <w:p w14:paraId="22F01935" w14:textId="77777777" w:rsidR="00F511F4" w:rsidRPr="00B6620E" w:rsidRDefault="00F511F4" w:rsidP="001F53D9">
            <w:pPr>
              <w:spacing w:after="0" w:line="240" w:lineRule="auto"/>
              <w:rPr>
                <w:rFonts w:eastAsia="Times New Roman" w:cstheme="minorHAnsi"/>
                <w:color w:val="000000"/>
                <w:lang w:eastAsia="en-GB"/>
              </w:rPr>
            </w:pPr>
            <w:r>
              <w:rPr>
                <w:rFonts w:eastAsia="Times New Roman" w:cstheme="minorHAnsi"/>
                <w:color w:val="000000"/>
                <w:lang w:eastAsia="en-GB"/>
              </w:rPr>
              <w:t>0.66 (0.64-0.68)</w:t>
            </w:r>
          </w:p>
        </w:tc>
        <w:tc>
          <w:tcPr>
            <w:tcW w:w="2127" w:type="dxa"/>
          </w:tcPr>
          <w:p w14:paraId="7003CDF5" w14:textId="77777777" w:rsidR="00F511F4" w:rsidRPr="00B6620E" w:rsidRDefault="00F511F4" w:rsidP="001F53D9">
            <w:pPr>
              <w:spacing w:after="0" w:line="240" w:lineRule="auto"/>
              <w:rPr>
                <w:rFonts w:eastAsia="Times New Roman" w:cstheme="minorHAnsi"/>
                <w:color w:val="000000"/>
                <w:lang w:eastAsia="en-GB"/>
              </w:rPr>
            </w:pPr>
            <w:r>
              <w:rPr>
                <w:rFonts w:eastAsia="Times New Roman" w:cstheme="minorHAnsi"/>
                <w:color w:val="000000"/>
                <w:lang w:eastAsia="en-GB"/>
              </w:rPr>
              <w:t>&lt;0.001</w:t>
            </w:r>
          </w:p>
        </w:tc>
      </w:tr>
      <w:tr w:rsidR="00F511F4" w:rsidRPr="00B6620E" w14:paraId="6128CBDD" w14:textId="77777777" w:rsidTr="001F53D9">
        <w:trPr>
          <w:trHeight w:val="285"/>
        </w:trPr>
        <w:tc>
          <w:tcPr>
            <w:tcW w:w="3227" w:type="dxa"/>
            <w:shd w:val="clear" w:color="auto" w:fill="auto"/>
            <w:noWrap/>
            <w:hideMark/>
          </w:tcPr>
          <w:p w14:paraId="10A91E2E" w14:textId="77777777" w:rsidR="00F511F4" w:rsidRPr="00B6620E" w:rsidRDefault="00F511F4" w:rsidP="001F53D9">
            <w:pPr>
              <w:spacing w:after="0" w:line="240" w:lineRule="auto"/>
              <w:rPr>
                <w:rFonts w:eastAsia="Times New Roman" w:cstheme="minorHAnsi"/>
                <w:color w:val="000000"/>
                <w:lang w:eastAsia="en-GB"/>
              </w:rPr>
            </w:pPr>
            <w:r w:rsidRPr="00B6620E">
              <w:rPr>
                <w:rFonts w:eastAsia="Times New Roman" w:cstheme="minorHAnsi"/>
                <w:color w:val="000000"/>
                <w:lang w:eastAsia="en-GB"/>
              </w:rPr>
              <w:t>CRT device</w:t>
            </w:r>
          </w:p>
        </w:tc>
        <w:tc>
          <w:tcPr>
            <w:tcW w:w="2551" w:type="dxa"/>
            <w:shd w:val="clear" w:color="auto" w:fill="auto"/>
            <w:noWrap/>
          </w:tcPr>
          <w:p w14:paraId="42F78B00" w14:textId="77777777" w:rsidR="00F511F4" w:rsidRPr="00B6620E" w:rsidRDefault="00F511F4" w:rsidP="001F53D9">
            <w:pPr>
              <w:spacing w:after="0" w:line="240" w:lineRule="auto"/>
              <w:rPr>
                <w:rFonts w:eastAsia="Times New Roman" w:cstheme="minorHAnsi"/>
                <w:color w:val="000000"/>
                <w:lang w:eastAsia="en-GB"/>
              </w:rPr>
            </w:pPr>
            <w:r>
              <w:rPr>
                <w:rFonts w:eastAsia="Times New Roman" w:cstheme="minorHAnsi"/>
                <w:color w:val="000000"/>
                <w:lang w:eastAsia="en-GB"/>
              </w:rPr>
              <w:t>0.39 (0.38-0.41)</w:t>
            </w:r>
          </w:p>
        </w:tc>
        <w:tc>
          <w:tcPr>
            <w:tcW w:w="2127" w:type="dxa"/>
          </w:tcPr>
          <w:p w14:paraId="2D9C52FF" w14:textId="77777777" w:rsidR="00F511F4" w:rsidRPr="00B6620E" w:rsidRDefault="00F511F4" w:rsidP="001F53D9">
            <w:pPr>
              <w:spacing w:after="0" w:line="240" w:lineRule="auto"/>
              <w:rPr>
                <w:rFonts w:eastAsia="Times New Roman" w:cstheme="minorHAnsi"/>
                <w:color w:val="000000"/>
                <w:lang w:eastAsia="en-GB"/>
              </w:rPr>
            </w:pPr>
            <w:r>
              <w:rPr>
                <w:rFonts w:eastAsia="Times New Roman" w:cstheme="minorHAnsi"/>
                <w:color w:val="000000"/>
                <w:lang w:eastAsia="en-GB"/>
              </w:rPr>
              <w:t>&lt;0.001</w:t>
            </w:r>
          </w:p>
        </w:tc>
      </w:tr>
      <w:tr w:rsidR="00F511F4" w:rsidRPr="00B6620E" w14:paraId="52577516" w14:textId="77777777" w:rsidTr="001F53D9">
        <w:trPr>
          <w:trHeight w:val="285"/>
        </w:trPr>
        <w:tc>
          <w:tcPr>
            <w:tcW w:w="3227" w:type="dxa"/>
            <w:shd w:val="clear" w:color="auto" w:fill="auto"/>
            <w:noWrap/>
            <w:hideMark/>
          </w:tcPr>
          <w:p w14:paraId="7521C535" w14:textId="77777777" w:rsidR="00F511F4" w:rsidRPr="00B6620E" w:rsidRDefault="00F511F4" w:rsidP="001F53D9">
            <w:pPr>
              <w:spacing w:after="0" w:line="240" w:lineRule="auto"/>
              <w:rPr>
                <w:rFonts w:eastAsia="Times New Roman" w:cstheme="minorHAnsi"/>
                <w:color w:val="000000"/>
                <w:lang w:eastAsia="en-GB"/>
              </w:rPr>
            </w:pPr>
            <w:r w:rsidRPr="00B6620E">
              <w:rPr>
                <w:rFonts w:eastAsia="Times New Roman" w:cstheme="minorHAnsi"/>
                <w:color w:val="000000"/>
                <w:lang w:eastAsia="en-GB"/>
              </w:rPr>
              <w:t>Heart transplant</w:t>
            </w:r>
          </w:p>
        </w:tc>
        <w:tc>
          <w:tcPr>
            <w:tcW w:w="2551" w:type="dxa"/>
            <w:shd w:val="clear" w:color="auto" w:fill="auto"/>
            <w:noWrap/>
          </w:tcPr>
          <w:p w14:paraId="2B977FFC" w14:textId="77777777" w:rsidR="00F511F4" w:rsidRPr="00B6620E" w:rsidRDefault="00F511F4" w:rsidP="001F53D9">
            <w:pPr>
              <w:spacing w:after="0" w:line="240" w:lineRule="auto"/>
              <w:rPr>
                <w:rFonts w:eastAsia="Times New Roman" w:cstheme="minorHAnsi"/>
                <w:color w:val="000000"/>
                <w:lang w:eastAsia="en-GB"/>
              </w:rPr>
            </w:pPr>
            <w:r>
              <w:rPr>
                <w:rFonts w:eastAsia="Times New Roman" w:cstheme="minorHAnsi"/>
                <w:color w:val="000000"/>
                <w:lang w:eastAsia="en-GB"/>
              </w:rPr>
              <w:t>1.50 (1.33-1.69)</w:t>
            </w:r>
          </w:p>
        </w:tc>
        <w:tc>
          <w:tcPr>
            <w:tcW w:w="2127" w:type="dxa"/>
          </w:tcPr>
          <w:p w14:paraId="6E15B897" w14:textId="77777777" w:rsidR="00F511F4" w:rsidRPr="00B6620E" w:rsidRDefault="00F511F4" w:rsidP="001F53D9">
            <w:pPr>
              <w:spacing w:after="0" w:line="240" w:lineRule="auto"/>
              <w:rPr>
                <w:rFonts w:eastAsia="Times New Roman" w:cstheme="minorHAnsi"/>
                <w:color w:val="000000"/>
                <w:lang w:eastAsia="en-GB"/>
              </w:rPr>
            </w:pPr>
            <w:r>
              <w:rPr>
                <w:rFonts w:eastAsia="Times New Roman" w:cstheme="minorHAnsi"/>
                <w:color w:val="000000"/>
                <w:lang w:eastAsia="en-GB"/>
              </w:rPr>
              <w:t>&lt;0.001</w:t>
            </w:r>
          </w:p>
        </w:tc>
      </w:tr>
    </w:tbl>
    <w:p w14:paraId="0033AD21" w14:textId="77777777" w:rsidR="00F511F4" w:rsidRDefault="00F511F4" w:rsidP="00F511F4">
      <w:r>
        <w:t xml:space="preserve">PCI=percutaneous coronary intervention, CABG=coronary artery bypass graft, LV=left ventricular, </w:t>
      </w:r>
      <w:r>
        <w:rPr>
          <w:lang w:val="en-US"/>
        </w:rPr>
        <w:t>IABP=intra-aortic balloon pump,</w:t>
      </w:r>
      <w:r>
        <w:t xml:space="preserve"> ICD=implantable cardioverter defibrillator, CRT=cardiac resynchronization therapy</w:t>
      </w:r>
    </w:p>
    <w:p w14:paraId="68D61F98" w14:textId="77777777" w:rsidR="005B4824" w:rsidRPr="005B4824" w:rsidRDefault="005B4824" w:rsidP="005624CC">
      <w:pPr>
        <w:spacing w:after="0" w:line="240" w:lineRule="auto"/>
        <w:rPr>
          <w:rFonts w:ascii="Times New Roman" w:hAnsi="Times New Roman" w:cs="Times New Roman"/>
          <w:b/>
          <w:sz w:val="24"/>
          <w:szCs w:val="24"/>
          <w:lang w:val="en-US"/>
        </w:rPr>
      </w:pPr>
    </w:p>
    <w:sectPr w:rsidR="005B4824" w:rsidRPr="005B4824" w:rsidSect="00722EAD">
      <w:endnotePr>
        <w:numFmt w:val="decimal"/>
      </w:endnotePr>
      <w:pgSz w:w="11906" w:h="16838"/>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F74D5D5" w16cid:durableId="2087A4C4"/>
  <w16cid:commentId w16cid:paraId="400B6721" w16cid:durableId="2087A528"/>
  <w16cid:commentId w16cid:paraId="15EDA240" w16cid:durableId="2087A546"/>
  <w16cid:commentId w16cid:paraId="1BAAE353" w16cid:durableId="2087A6EB"/>
  <w16cid:commentId w16cid:paraId="0949BEBC" w16cid:durableId="2087A6FD"/>
  <w16cid:commentId w16cid:paraId="71AD90EB" w16cid:durableId="2087A757"/>
  <w16cid:commentId w16cid:paraId="212ADCD6" w16cid:durableId="2087A78A"/>
  <w16cid:commentId w16cid:paraId="18B138B3" w16cid:durableId="2087A83E"/>
  <w16cid:commentId w16cid:paraId="5B9753AF" w16cid:durableId="2087AA3F"/>
  <w16cid:commentId w16cid:paraId="1B8F8244" w16cid:durableId="2087AAB1"/>
  <w16cid:commentId w16cid:paraId="4742D635" w16cid:durableId="2087AC70"/>
  <w16cid:commentId w16cid:paraId="1A2D1021" w16cid:durableId="2087ACBD"/>
  <w16cid:commentId w16cid:paraId="3A979C8F" w16cid:durableId="2087ACCE"/>
  <w16cid:commentId w16cid:paraId="6906C6D0" w16cid:durableId="2087AD27"/>
  <w16cid:commentId w16cid:paraId="1EB9E1EF" w16cid:durableId="2087AD57"/>
  <w16cid:commentId w16cid:paraId="5011C64E" w16cid:durableId="2087AE91"/>
  <w16cid:commentId w16cid:paraId="6F3962A9" w16cid:durableId="2087AE96"/>
  <w16cid:commentId w16cid:paraId="10A6A4AB" w16cid:durableId="2087AFE1"/>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A78FD6" w14:textId="77777777" w:rsidR="002D2651" w:rsidRDefault="002D2651" w:rsidP="008A4D23">
      <w:pPr>
        <w:spacing w:after="0" w:line="240" w:lineRule="auto"/>
      </w:pPr>
      <w:r>
        <w:separator/>
      </w:r>
    </w:p>
  </w:endnote>
  <w:endnote w:type="continuationSeparator" w:id="0">
    <w:p w14:paraId="3ED26A52" w14:textId="77777777" w:rsidR="002D2651" w:rsidRDefault="002D2651" w:rsidP="008A4D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F728A7" w14:textId="77777777" w:rsidR="002D2651" w:rsidRDefault="002D2651" w:rsidP="008A4D23">
      <w:pPr>
        <w:spacing w:after="0" w:line="240" w:lineRule="auto"/>
      </w:pPr>
      <w:r>
        <w:separator/>
      </w:r>
    </w:p>
  </w:footnote>
  <w:footnote w:type="continuationSeparator" w:id="0">
    <w:p w14:paraId="56F36BDC" w14:textId="77777777" w:rsidR="002D2651" w:rsidRDefault="002D2651" w:rsidP="008A4D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B10593"/>
    <w:multiLevelType w:val="multilevel"/>
    <w:tmpl w:val="FAECB7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7CE6271"/>
    <w:multiLevelType w:val="hybridMultilevel"/>
    <w:tmpl w:val="A6C08F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A2E133B"/>
    <w:multiLevelType w:val="hybridMultilevel"/>
    <w:tmpl w:val="E124A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800DF6"/>
    <w:multiLevelType w:val="hybridMultilevel"/>
    <w:tmpl w:val="0400EE6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3120B7"/>
    <w:multiLevelType w:val="hybridMultilevel"/>
    <w:tmpl w:val="9A402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F7E06CD"/>
    <w:multiLevelType w:val="hybridMultilevel"/>
    <w:tmpl w:val="42A64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807DCA"/>
    <w:multiLevelType w:val="hybridMultilevel"/>
    <w:tmpl w:val="E72629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46D20D2"/>
    <w:multiLevelType w:val="hybridMultilevel"/>
    <w:tmpl w:val="9DA44B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7547778"/>
    <w:multiLevelType w:val="hybridMultilevel"/>
    <w:tmpl w:val="34F64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8"/>
  </w:num>
  <w:num w:numId="4">
    <w:abstractNumId w:val="2"/>
  </w:num>
  <w:num w:numId="5">
    <w:abstractNumId w:val="3"/>
  </w:num>
  <w:num w:numId="6">
    <w:abstractNumId w:val="4"/>
  </w:num>
  <w:num w:numId="7">
    <w:abstractNumId w:val="0"/>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97A"/>
    <w:rsid w:val="000017ED"/>
    <w:rsid w:val="0000539A"/>
    <w:rsid w:val="000077E3"/>
    <w:rsid w:val="00007892"/>
    <w:rsid w:val="000119FD"/>
    <w:rsid w:val="0001351C"/>
    <w:rsid w:val="000141EB"/>
    <w:rsid w:val="00020F46"/>
    <w:rsid w:val="00023BD3"/>
    <w:rsid w:val="00025FD7"/>
    <w:rsid w:val="00026232"/>
    <w:rsid w:val="00027794"/>
    <w:rsid w:val="000317A9"/>
    <w:rsid w:val="0003278B"/>
    <w:rsid w:val="00032CCE"/>
    <w:rsid w:val="00033E3F"/>
    <w:rsid w:val="000341A5"/>
    <w:rsid w:val="000341D1"/>
    <w:rsid w:val="00034C24"/>
    <w:rsid w:val="000366C9"/>
    <w:rsid w:val="0003767A"/>
    <w:rsid w:val="000442E2"/>
    <w:rsid w:val="0004688D"/>
    <w:rsid w:val="000472F2"/>
    <w:rsid w:val="00047396"/>
    <w:rsid w:val="000477C2"/>
    <w:rsid w:val="00047FA1"/>
    <w:rsid w:val="0005768A"/>
    <w:rsid w:val="000604EC"/>
    <w:rsid w:val="00061346"/>
    <w:rsid w:val="000648F1"/>
    <w:rsid w:val="00071D47"/>
    <w:rsid w:val="00072268"/>
    <w:rsid w:val="000726C1"/>
    <w:rsid w:val="0007397A"/>
    <w:rsid w:val="00073ECD"/>
    <w:rsid w:val="000769D0"/>
    <w:rsid w:val="00076C3C"/>
    <w:rsid w:val="00076E2B"/>
    <w:rsid w:val="0008230D"/>
    <w:rsid w:val="00087604"/>
    <w:rsid w:val="00087C60"/>
    <w:rsid w:val="00087E56"/>
    <w:rsid w:val="000947C9"/>
    <w:rsid w:val="00094F0E"/>
    <w:rsid w:val="000A0A82"/>
    <w:rsid w:val="000A4C4C"/>
    <w:rsid w:val="000A5DBC"/>
    <w:rsid w:val="000A6E37"/>
    <w:rsid w:val="000B0A66"/>
    <w:rsid w:val="000B3479"/>
    <w:rsid w:val="000C236D"/>
    <w:rsid w:val="000C239D"/>
    <w:rsid w:val="000C23ED"/>
    <w:rsid w:val="000C43B4"/>
    <w:rsid w:val="000C5B61"/>
    <w:rsid w:val="000C6E1C"/>
    <w:rsid w:val="000C7A0C"/>
    <w:rsid w:val="000D011D"/>
    <w:rsid w:val="000D025C"/>
    <w:rsid w:val="000D0FA4"/>
    <w:rsid w:val="000D2C27"/>
    <w:rsid w:val="000D3E7E"/>
    <w:rsid w:val="000D4C17"/>
    <w:rsid w:val="000D513E"/>
    <w:rsid w:val="000D698A"/>
    <w:rsid w:val="000E1255"/>
    <w:rsid w:val="000E1DAE"/>
    <w:rsid w:val="000E291C"/>
    <w:rsid w:val="000E35C9"/>
    <w:rsid w:val="000E5C1B"/>
    <w:rsid w:val="000E6319"/>
    <w:rsid w:val="000E6E29"/>
    <w:rsid w:val="000F29EC"/>
    <w:rsid w:val="000F356A"/>
    <w:rsid w:val="000F591A"/>
    <w:rsid w:val="000F7785"/>
    <w:rsid w:val="00102478"/>
    <w:rsid w:val="00102BB0"/>
    <w:rsid w:val="0010472C"/>
    <w:rsid w:val="00105CDF"/>
    <w:rsid w:val="001074DC"/>
    <w:rsid w:val="00107EE9"/>
    <w:rsid w:val="0011067D"/>
    <w:rsid w:val="00110C6D"/>
    <w:rsid w:val="00110DAA"/>
    <w:rsid w:val="00110EF2"/>
    <w:rsid w:val="0011136F"/>
    <w:rsid w:val="00111F10"/>
    <w:rsid w:val="00116765"/>
    <w:rsid w:val="001204A9"/>
    <w:rsid w:val="00121713"/>
    <w:rsid w:val="0012254F"/>
    <w:rsid w:val="00122E5F"/>
    <w:rsid w:val="00123198"/>
    <w:rsid w:val="001265DC"/>
    <w:rsid w:val="001272F6"/>
    <w:rsid w:val="00127AA1"/>
    <w:rsid w:val="001317FD"/>
    <w:rsid w:val="00133FC6"/>
    <w:rsid w:val="00140E8E"/>
    <w:rsid w:val="001423D9"/>
    <w:rsid w:val="0014298A"/>
    <w:rsid w:val="001435E7"/>
    <w:rsid w:val="00143B33"/>
    <w:rsid w:val="00145068"/>
    <w:rsid w:val="0014557D"/>
    <w:rsid w:val="001455F6"/>
    <w:rsid w:val="00145873"/>
    <w:rsid w:val="00145A1F"/>
    <w:rsid w:val="001462AB"/>
    <w:rsid w:val="001521FB"/>
    <w:rsid w:val="0015328D"/>
    <w:rsid w:val="00157236"/>
    <w:rsid w:val="001600F3"/>
    <w:rsid w:val="00160409"/>
    <w:rsid w:val="00161ECE"/>
    <w:rsid w:val="001638EF"/>
    <w:rsid w:val="00164291"/>
    <w:rsid w:val="0016484A"/>
    <w:rsid w:val="001657CB"/>
    <w:rsid w:val="0016623C"/>
    <w:rsid w:val="00172E94"/>
    <w:rsid w:val="00173891"/>
    <w:rsid w:val="00180C6F"/>
    <w:rsid w:val="0018146D"/>
    <w:rsid w:val="001815E6"/>
    <w:rsid w:val="00182A46"/>
    <w:rsid w:val="00182B1D"/>
    <w:rsid w:val="0018304E"/>
    <w:rsid w:val="00187B59"/>
    <w:rsid w:val="001968D4"/>
    <w:rsid w:val="00196A91"/>
    <w:rsid w:val="001972E8"/>
    <w:rsid w:val="001A4788"/>
    <w:rsid w:val="001A4918"/>
    <w:rsid w:val="001A7421"/>
    <w:rsid w:val="001B2912"/>
    <w:rsid w:val="001B2E40"/>
    <w:rsid w:val="001B335C"/>
    <w:rsid w:val="001B41A9"/>
    <w:rsid w:val="001B7610"/>
    <w:rsid w:val="001C0F1C"/>
    <w:rsid w:val="001C40AE"/>
    <w:rsid w:val="001C520A"/>
    <w:rsid w:val="001C529A"/>
    <w:rsid w:val="001D0229"/>
    <w:rsid w:val="001D1F5E"/>
    <w:rsid w:val="001D2C26"/>
    <w:rsid w:val="001D5104"/>
    <w:rsid w:val="001D7B9A"/>
    <w:rsid w:val="001E0280"/>
    <w:rsid w:val="001E0436"/>
    <w:rsid w:val="001E164E"/>
    <w:rsid w:val="001E295D"/>
    <w:rsid w:val="001E467B"/>
    <w:rsid w:val="001F4E1D"/>
    <w:rsid w:val="001F536E"/>
    <w:rsid w:val="001F562A"/>
    <w:rsid w:val="001F74E9"/>
    <w:rsid w:val="00202B72"/>
    <w:rsid w:val="002042B7"/>
    <w:rsid w:val="00204821"/>
    <w:rsid w:val="002049CD"/>
    <w:rsid w:val="0020771C"/>
    <w:rsid w:val="00211BD5"/>
    <w:rsid w:val="0021222B"/>
    <w:rsid w:val="00216C5A"/>
    <w:rsid w:val="00221566"/>
    <w:rsid w:val="00221DF6"/>
    <w:rsid w:val="0022272A"/>
    <w:rsid w:val="00223BC3"/>
    <w:rsid w:val="00225DA0"/>
    <w:rsid w:val="00230349"/>
    <w:rsid w:val="002315B2"/>
    <w:rsid w:val="0023233B"/>
    <w:rsid w:val="002406F1"/>
    <w:rsid w:val="00240B22"/>
    <w:rsid w:val="00241941"/>
    <w:rsid w:val="00242224"/>
    <w:rsid w:val="00243A98"/>
    <w:rsid w:val="0024432E"/>
    <w:rsid w:val="002444ED"/>
    <w:rsid w:val="00244EED"/>
    <w:rsid w:val="002500E0"/>
    <w:rsid w:val="0025459E"/>
    <w:rsid w:val="002555D8"/>
    <w:rsid w:val="00255FE6"/>
    <w:rsid w:val="00257225"/>
    <w:rsid w:val="00257D08"/>
    <w:rsid w:val="00260467"/>
    <w:rsid w:val="00260C9E"/>
    <w:rsid w:val="00261555"/>
    <w:rsid w:val="00263319"/>
    <w:rsid w:val="00264A7F"/>
    <w:rsid w:val="0026584E"/>
    <w:rsid w:val="00265C57"/>
    <w:rsid w:val="00266FA9"/>
    <w:rsid w:val="00267BEB"/>
    <w:rsid w:val="002700D7"/>
    <w:rsid w:val="002707C9"/>
    <w:rsid w:val="00271643"/>
    <w:rsid w:val="002733EA"/>
    <w:rsid w:val="00273CBC"/>
    <w:rsid w:val="002774D3"/>
    <w:rsid w:val="00281D0C"/>
    <w:rsid w:val="002836AF"/>
    <w:rsid w:val="00284CB9"/>
    <w:rsid w:val="002866D2"/>
    <w:rsid w:val="00286D7D"/>
    <w:rsid w:val="0029024C"/>
    <w:rsid w:val="00291385"/>
    <w:rsid w:val="0029140E"/>
    <w:rsid w:val="00291E54"/>
    <w:rsid w:val="00292B7D"/>
    <w:rsid w:val="00296A4F"/>
    <w:rsid w:val="00297118"/>
    <w:rsid w:val="00297E80"/>
    <w:rsid w:val="002A127C"/>
    <w:rsid w:val="002A196E"/>
    <w:rsid w:val="002A44E1"/>
    <w:rsid w:val="002A4AA9"/>
    <w:rsid w:val="002A5155"/>
    <w:rsid w:val="002A5C17"/>
    <w:rsid w:val="002B330D"/>
    <w:rsid w:val="002B3E10"/>
    <w:rsid w:val="002B4267"/>
    <w:rsid w:val="002B5E89"/>
    <w:rsid w:val="002C03F9"/>
    <w:rsid w:val="002C0CED"/>
    <w:rsid w:val="002C173A"/>
    <w:rsid w:val="002C2764"/>
    <w:rsid w:val="002C28EB"/>
    <w:rsid w:val="002C41D7"/>
    <w:rsid w:val="002C57A1"/>
    <w:rsid w:val="002D2651"/>
    <w:rsid w:val="002D2D6F"/>
    <w:rsid w:val="002D55B4"/>
    <w:rsid w:val="002D6E8F"/>
    <w:rsid w:val="002D6EBE"/>
    <w:rsid w:val="002E0139"/>
    <w:rsid w:val="002E0478"/>
    <w:rsid w:val="002E1921"/>
    <w:rsid w:val="002E22F2"/>
    <w:rsid w:val="002E5722"/>
    <w:rsid w:val="002E77D8"/>
    <w:rsid w:val="002E7BA6"/>
    <w:rsid w:val="002F285C"/>
    <w:rsid w:val="002F2CAF"/>
    <w:rsid w:val="002F2DB2"/>
    <w:rsid w:val="002F40EA"/>
    <w:rsid w:val="002F6127"/>
    <w:rsid w:val="002F7674"/>
    <w:rsid w:val="002F7D1D"/>
    <w:rsid w:val="0030096E"/>
    <w:rsid w:val="003041C8"/>
    <w:rsid w:val="00306F79"/>
    <w:rsid w:val="00310D45"/>
    <w:rsid w:val="0031367C"/>
    <w:rsid w:val="003142F1"/>
    <w:rsid w:val="00314578"/>
    <w:rsid w:val="003146B9"/>
    <w:rsid w:val="003146DF"/>
    <w:rsid w:val="003170E7"/>
    <w:rsid w:val="003179F6"/>
    <w:rsid w:val="003214C5"/>
    <w:rsid w:val="003267C6"/>
    <w:rsid w:val="0032778A"/>
    <w:rsid w:val="003278B9"/>
    <w:rsid w:val="00327E93"/>
    <w:rsid w:val="00327F43"/>
    <w:rsid w:val="00330E0F"/>
    <w:rsid w:val="0033672F"/>
    <w:rsid w:val="00336A6F"/>
    <w:rsid w:val="00337D4E"/>
    <w:rsid w:val="00340920"/>
    <w:rsid w:val="00341A4C"/>
    <w:rsid w:val="00343B3D"/>
    <w:rsid w:val="00344001"/>
    <w:rsid w:val="0034604B"/>
    <w:rsid w:val="00346D00"/>
    <w:rsid w:val="00346DFC"/>
    <w:rsid w:val="00355032"/>
    <w:rsid w:val="00355099"/>
    <w:rsid w:val="00355379"/>
    <w:rsid w:val="003559FB"/>
    <w:rsid w:val="00357402"/>
    <w:rsid w:val="00357C49"/>
    <w:rsid w:val="00357F61"/>
    <w:rsid w:val="00361B77"/>
    <w:rsid w:val="00362007"/>
    <w:rsid w:val="00364955"/>
    <w:rsid w:val="00366411"/>
    <w:rsid w:val="0037279D"/>
    <w:rsid w:val="0037362C"/>
    <w:rsid w:val="00377FA0"/>
    <w:rsid w:val="00380B37"/>
    <w:rsid w:val="00380BD0"/>
    <w:rsid w:val="00380CD7"/>
    <w:rsid w:val="00381CCA"/>
    <w:rsid w:val="00382E73"/>
    <w:rsid w:val="00384196"/>
    <w:rsid w:val="003841CC"/>
    <w:rsid w:val="003849D1"/>
    <w:rsid w:val="00384C14"/>
    <w:rsid w:val="00385403"/>
    <w:rsid w:val="0038636D"/>
    <w:rsid w:val="00386553"/>
    <w:rsid w:val="003966E3"/>
    <w:rsid w:val="003971E1"/>
    <w:rsid w:val="003A352E"/>
    <w:rsid w:val="003A3DDF"/>
    <w:rsid w:val="003B1978"/>
    <w:rsid w:val="003B23E5"/>
    <w:rsid w:val="003B61B7"/>
    <w:rsid w:val="003B690A"/>
    <w:rsid w:val="003B71EC"/>
    <w:rsid w:val="003B76CB"/>
    <w:rsid w:val="003B7B92"/>
    <w:rsid w:val="003C1612"/>
    <w:rsid w:val="003C359A"/>
    <w:rsid w:val="003C5A31"/>
    <w:rsid w:val="003C631B"/>
    <w:rsid w:val="003C7753"/>
    <w:rsid w:val="003D4EB3"/>
    <w:rsid w:val="003D621D"/>
    <w:rsid w:val="003E3497"/>
    <w:rsid w:val="003E3FAF"/>
    <w:rsid w:val="003E4830"/>
    <w:rsid w:val="003E4831"/>
    <w:rsid w:val="003F0532"/>
    <w:rsid w:val="003F0EDC"/>
    <w:rsid w:val="003F2472"/>
    <w:rsid w:val="003F3EB6"/>
    <w:rsid w:val="003F4D98"/>
    <w:rsid w:val="003F6ADE"/>
    <w:rsid w:val="003F7370"/>
    <w:rsid w:val="003F7558"/>
    <w:rsid w:val="003F79D7"/>
    <w:rsid w:val="0040610F"/>
    <w:rsid w:val="00406FDA"/>
    <w:rsid w:val="00407413"/>
    <w:rsid w:val="00407CA5"/>
    <w:rsid w:val="00413982"/>
    <w:rsid w:val="00413D52"/>
    <w:rsid w:val="00417996"/>
    <w:rsid w:val="00421206"/>
    <w:rsid w:val="00422031"/>
    <w:rsid w:val="004307DE"/>
    <w:rsid w:val="004320B6"/>
    <w:rsid w:val="00434194"/>
    <w:rsid w:val="00434265"/>
    <w:rsid w:val="00436400"/>
    <w:rsid w:val="0043683E"/>
    <w:rsid w:val="00441C34"/>
    <w:rsid w:val="00444A1A"/>
    <w:rsid w:val="004502C9"/>
    <w:rsid w:val="004504D8"/>
    <w:rsid w:val="00452734"/>
    <w:rsid w:val="004535F0"/>
    <w:rsid w:val="00455988"/>
    <w:rsid w:val="004562AA"/>
    <w:rsid w:val="004564A1"/>
    <w:rsid w:val="004568E4"/>
    <w:rsid w:val="004616F2"/>
    <w:rsid w:val="00461721"/>
    <w:rsid w:val="00462F64"/>
    <w:rsid w:val="00463742"/>
    <w:rsid w:val="00465F56"/>
    <w:rsid w:val="00466559"/>
    <w:rsid w:val="00467D26"/>
    <w:rsid w:val="00470B3A"/>
    <w:rsid w:val="004712C5"/>
    <w:rsid w:val="00472D42"/>
    <w:rsid w:val="00480946"/>
    <w:rsid w:val="004854BE"/>
    <w:rsid w:val="004854BF"/>
    <w:rsid w:val="004868A9"/>
    <w:rsid w:val="00490C12"/>
    <w:rsid w:val="00490F06"/>
    <w:rsid w:val="004930D8"/>
    <w:rsid w:val="0049329D"/>
    <w:rsid w:val="004942D7"/>
    <w:rsid w:val="004A0AF2"/>
    <w:rsid w:val="004A134C"/>
    <w:rsid w:val="004A22E0"/>
    <w:rsid w:val="004A7A34"/>
    <w:rsid w:val="004B0BD1"/>
    <w:rsid w:val="004B1AEB"/>
    <w:rsid w:val="004B3E1C"/>
    <w:rsid w:val="004B4C3A"/>
    <w:rsid w:val="004B665A"/>
    <w:rsid w:val="004C0847"/>
    <w:rsid w:val="004C27B0"/>
    <w:rsid w:val="004C2F45"/>
    <w:rsid w:val="004C321D"/>
    <w:rsid w:val="004C5390"/>
    <w:rsid w:val="004C5B3E"/>
    <w:rsid w:val="004D04DA"/>
    <w:rsid w:val="004D4378"/>
    <w:rsid w:val="004D4745"/>
    <w:rsid w:val="004D56B5"/>
    <w:rsid w:val="004D79C5"/>
    <w:rsid w:val="004D7EE1"/>
    <w:rsid w:val="004E14DD"/>
    <w:rsid w:val="004E1EA0"/>
    <w:rsid w:val="004E3291"/>
    <w:rsid w:val="004E3BE2"/>
    <w:rsid w:val="004E58FD"/>
    <w:rsid w:val="004E60A0"/>
    <w:rsid w:val="004E6F75"/>
    <w:rsid w:val="004F28E8"/>
    <w:rsid w:val="0050000F"/>
    <w:rsid w:val="00503160"/>
    <w:rsid w:val="00504B22"/>
    <w:rsid w:val="00505070"/>
    <w:rsid w:val="005074C9"/>
    <w:rsid w:val="00511FDB"/>
    <w:rsid w:val="0051381A"/>
    <w:rsid w:val="005229F5"/>
    <w:rsid w:val="005252E6"/>
    <w:rsid w:val="00532A2D"/>
    <w:rsid w:val="00536A7B"/>
    <w:rsid w:val="0053795D"/>
    <w:rsid w:val="00540937"/>
    <w:rsid w:val="00541E84"/>
    <w:rsid w:val="00542056"/>
    <w:rsid w:val="005445EE"/>
    <w:rsid w:val="005452FB"/>
    <w:rsid w:val="005466D9"/>
    <w:rsid w:val="00546A6D"/>
    <w:rsid w:val="005479C5"/>
    <w:rsid w:val="00550C0C"/>
    <w:rsid w:val="00553EFE"/>
    <w:rsid w:val="00555D4C"/>
    <w:rsid w:val="005624CC"/>
    <w:rsid w:val="00562D83"/>
    <w:rsid w:val="00563064"/>
    <w:rsid w:val="00563605"/>
    <w:rsid w:val="00565B95"/>
    <w:rsid w:val="00565FE1"/>
    <w:rsid w:val="005671AC"/>
    <w:rsid w:val="005673AA"/>
    <w:rsid w:val="00572A0C"/>
    <w:rsid w:val="0057376E"/>
    <w:rsid w:val="005768DC"/>
    <w:rsid w:val="00576D11"/>
    <w:rsid w:val="0058121C"/>
    <w:rsid w:val="00581361"/>
    <w:rsid w:val="005815D0"/>
    <w:rsid w:val="005841D0"/>
    <w:rsid w:val="00584A07"/>
    <w:rsid w:val="00587168"/>
    <w:rsid w:val="005878E7"/>
    <w:rsid w:val="00587FE7"/>
    <w:rsid w:val="00590B7E"/>
    <w:rsid w:val="00591ABC"/>
    <w:rsid w:val="005925E3"/>
    <w:rsid w:val="0059573C"/>
    <w:rsid w:val="005A058B"/>
    <w:rsid w:val="005A1ABC"/>
    <w:rsid w:val="005A25A8"/>
    <w:rsid w:val="005A2941"/>
    <w:rsid w:val="005A2E8F"/>
    <w:rsid w:val="005A38B4"/>
    <w:rsid w:val="005A3AD7"/>
    <w:rsid w:val="005A3C18"/>
    <w:rsid w:val="005A4F37"/>
    <w:rsid w:val="005A4FA8"/>
    <w:rsid w:val="005A5ECB"/>
    <w:rsid w:val="005A63CF"/>
    <w:rsid w:val="005A6784"/>
    <w:rsid w:val="005A7ACC"/>
    <w:rsid w:val="005A7B78"/>
    <w:rsid w:val="005B31B8"/>
    <w:rsid w:val="005B387B"/>
    <w:rsid w:val="005B4824"/>
    <w:rsid w:val="005C0ED9"/>
    <w:rsid w:val="005C28B5"/>
    <w:rsid w:val="005C3405"/>
    <w:rsid w:val="005C58E5"/>
    <w:rsid w:val="005C5E0C"/>
    <w:rsid w:val="005C68DD"/>
    <w:rsid w:val="005C7DA8"/>
    <w:rsid w:val="005C7EBC"/>
    <w:rsid w:val="005D0269"/>
    <w:rsid w:val="005D5D9C"/>
    <w:rsid w:val="005E238C"/>
    <w:rsid w:val="005E2A1A"/>
    <w:rsid w:val="005E4BF4"/>
    <w:rsid w:val="005E56B1"/>
    <w:rsid w:val="005E5D52"/>
    <w:rsid w:val="005F0217"/>
    <w:rsid w:val="005F283A"/>
    <w:rsid w:val="005F39A6"/>
    <w:rsid w:val="005F3B75"/>
    <w:rsid w:val="005F7481"/>
    <w:rsid w:val="005F784F"/>
    <w:rsid w:val="006000AB"/>
    <w:rsid w:val="00600FCF"/>
    <w:rsid w:val="00601514"/>
    <w:rsid w:val="00602119"/>
    <w:rsid w:val="00603932"/>
    <w:rsid w:val="00604DB0"/>
    <w:rsid w:val="0060697E"/>
    <w:rsid w:val="00607B6F"/>
    <w:rsid w:val="00610355"/>
    <w:rsid w:val="0061068E"/>
    <w:rsid w:val="006120A4"/>
    <w:rsid w:val="00613C31"/>
    <w:rsid w:val="00613D2B"/>
    <w:rsid w:val="006154E7"/>
    <w:rsid w:val="00620C48"/>
    <w:rsid w:val="006229F2"/>
    <w:rsid w:val="00623EDB"/>
    <w:rsid w:val="006241FA"/>
    <w:rsid w:val="00624C20"/>
    <w:rsid w:val="006328AD"/>
    <w:rsid w:val="00632D5B"/>
    <w:rsid w:val="00632DA5"/>
    <w:rsid w:val="006365A7"/>
    <w:rsid w:val="00637663"/>
    <w:rsid w:val="0063776F"/>
    <w:rsid w:val="00642954"/>
    <w:rsid w:val="00643DCB"/>
    <w:rsid w:val="00644C76"/>
    <w:rsid w:val="0064687D"/>
    <w:rsid w:val="00652920"/>
    <w:rsid w:val="006535FC"/>
    <w:rsid w:val="00653791"/>
    <w:rsid w:val="00654478"/>
    <w:rsid w:val="0065625F"/>
    <w:rsid w:val="00666C15"/>
    <w:rsid w:val="00666E01"/>
    <w:rsid w:val="006721B7"/>
    <w:rsid w:val="00672451"/>
    <w:rsid w:val="00674D21"/>
    <w:rsid w:val="00675BF0"/>
    <w:rsid w:val="00675F9E"/>
    <w:rsid w:val="00680F47"/>
    <w:rsid w:val="00681082"/>
    <w:rsid w:val="006821B8"/>
    <w:rsid w:val="006829AE"/>
    <w:rsid w:val="00682B6C"/>
    <w:rsid w:val="006861B6"/>
    <w:rsid w:val="00693E18"/>
    <w:rsid w:val="006954F8"/>
    <w:rsid w:val="006A379F"/>
    <w:rsid w:val="006A3D67"/>
    <w:rsid w:val="006B00A8"/>
    <w:rsid w:val="006B07B2"/>
    <w:rsid w:val="006B0971"/>
    <w:rsid w:val="006B1536"/>
    <w:rsid w:val="006B160D"/>
    <w:rsid w:val="006B21C2"/>
    <w:rsid w:val="006B3ACD"/>
    <w:rsid w:val="006B5C07"/>
    <w:rsid w:val="006B5CEF"/>
    <w:rsid w:val="006B60AD"/>
    <w:rsid w:val="006B6A19"/>
    <w:rsid w:val="006B6A20"/>
    <w:rsid w:val="006B6B29"/>
    <w:rsid w:val="006C1A91"/>
    <w:rsid w:val="006C1C86"/>
    <w:rsid w:val="006C37FA"/>
    <w:rsid w:val="006C5F1D"/>
    <w:rsid w:val="006C62D6"/>
    <w:rsid w:val="006C6F19"/>
    <w:rsid w:val="006D030A"/>
    <w:rsid w:val="006D363F"/>
    <w:rsid w:val="006D41D8"/>
    <w:rsid w:val="006E2F39"/>
    <w:rsid w:val="006E5C2E"/>
    <w:rsid w:val="006E7CA3"/>
    <w:rsid w:val="006F0110"/>
    <w:rsid w:val="006F1216"/>
    <w:rsid w:val="006F1395"/>
    <w:rsid w:val="006F3C55"/>
    <w:rsid w:val="006F6B8A"/>
    <w:rsid w:val="00700379"/>
    <w:rsid w:val="00700A3F"/>
    <w:rsid w:val="00702F11"/>
    <w:rsid w:val="0070425B"/>
    <w:rsid w:val="00706886"/>
    <w:rsid w:val="007101BE"/>
    <w:rsid w:val="0071046C"/>
    <w:rsid w:val="00713841"/>
    <w:rsid w:val="007138A8"/>
    <w:rsid w:val="007139FB"/>
    <w:rsid w:val="00717B05"/>
    <w:rsid w:val="0072018D"/>
    <w:rsid w:val="00722EAD"/>
    <w:rsid w:val="007231FF"/>
    <w:rsid w:val="00724095"/>
    <w:rsid w:val="0072764F"/>
    <w:rsid w:val="007337CD"/>
    <w:rsid w:val="00733F98"/>
    <w:rsid w:val="00740EA8"/>
    <w:rsid w:val="00741073"/>
    <w:rsid w:val="0074125C"/>
    <w:rsid w:val="00742970"/>
    <w:rsid w:val="00742BEE"/>
    <w:rsid w:val="00743E92"/>
    <w:rsid w:val="007444EA"/>
    <w:rsid w:val="0074524C"/>
    <w:rsid w:val="0074551E"/>
    <w:rsid w:val="00745F06"/>
    <w:rsid w:val="00750BDB"/>
    <w:rsid w:val="00755031"/>
    <w:rsid w:val="00756983"/>
    <w:rsid w:val="00757661"/>
    <w:rsid w:val="007576CD"/>
    <w:rsid w:val="00763732"/>
    <w:rsid w:val="007658B4"/>
    <w:rsid w:val="007659E2"/>
    <w:rsid w:val="0077097C"/>
    <w:rsid w:val="007739F9"/>
    <w:rsid w:val="007748C9"/>
    <w:rsid w:val="00774E99"/>
    <w:rsid w:val="0077544F"/>
    <w:rsid w:val="00777A10"/>
    <w:rsid w:val="00780C5B"/>
    <w:rsid w:val="00790439"/>
    <w:rsid w:val="00791A20"/>
    <w:rsid w:val="00796949"/>
    <w:rsid w:val="00796BC1"/>
    <w:rsid w:val="007B0983"/>
    <w:rsid w:val="007B3408"/>
    <w:rsid w:val="007B575B"/>
    <w:rsid w:val="007B614C"/>
    <w:rsid w:val="007B62BD"/>
    <w:rsid w:val="007C0AB8"/>
    <w:rsid w:val="007C0FCA"/>
    <w:rsid w:val="007C5A9E"/>
    <w:rsid w:val="007C5BE1"/>
    <w:rsid w:val="007D33C3"/>
    <w:rsid w:val="007D40B7"/>
    <w:rsid w:val="007D5B2C"/>
    <w:rsid w:val="007E1A95"/>
    <w:rsid w:val="007E38EC"/>
    <w:rsid w:val="007E4503"/>
    <w:rsid w:val="007E5828"/>
    <w:rsid w:val="007E7C22"/>
    <w:rsid w:val="007F1959"/>
    <w:rsid w:val="007F3FA6"/>
    <w:rsid w:val="008005F8"/>
    <w:rsid w:val="0080238A"/>
    <w:rsid w:val="00805473"/>
    <w:rsid w:val="008104AF"/>
    <w:rsid w:val="00810C21"/>
    <w:rsid w:val="00816229"/>
    <w:rsid w:val="00820265"/>
    <w:rsid w:val="008206A7"/>
    <w:rsid w:val="00827467"/>
    <w:rsid w:val="008345CF"/>
    <w:rsid w:val="008347F0"/>
    <w:rsid w:val="00835896"/>
    <w:rsid w:val="008407C0"/>
    <w:rsid w:val="0084083F"/>
    <w:rsid w:val="00842355"/>
    <w:rsid w:val="00842D0F"/>
    <w:rsid w:val="008433AF"/>
    <w:rsid w:val="008451C8"/>
    <w:rsid w:val="00846C42"/>
    <w:rsid w:val="00850D57"/>
    <w:rsid w:val="00854D29"/>
    <w:rsid w:val="00861968"/>
    <w:rsid w:val="0086435C"/>
    <w:rsid w:val="008661BB"/>
    <w:rsid w:val="008667CF"/>
    <w:rsid w:val="00871778"/>
    <w:rsid w:val="00875773"/>
    <w:rsid w:val="00880117"/>
    <w:rsid w:val="00881EB1"/>
    <w:rsid w:val="0088281B"/>
    <w:rsid w:val="00883950"/>
    <w:rsid w:val="00885211"/>
    <w:rsid w:val="008859D2"/>
    <w:rsid w:val="00890540"/>
    <w:rsid w:val="00890D8B"/>
    <w:rsid w:val="00891459"/>
    <w:rsid w:val="00892A97"/>
    <w:rsid w:val="00893147"/>
    <w:rsid w:val="008945F0"/>
    <w:rsid w:val="00896F27"/>
    <w:rsid w:val="008978C9"/>
    <w:rsid w:val="008A1E3C"/>
    <w:rsid w:val="008A2A0F"/>
    <w:rsid w:val="008A4D23"/>
    <w:rsid w:val="008A5A4D"/>
    <w:rsid w:val="008A5D07"/>
    <w:rsid w:val="008B0247"/>
    <w:rsid w:val="008B0498"/>
    <w:rsid w:val="008B2EA1"/>
    <w:rsid w:val="008B458C"/>
    <w:rsid w:val="008B6179"/>
    <w:rsid w:val="008B6613"/>
    <w:rsid w:val="008B7999"/>
    <w:rsid w:val="008B7DA3"/>
    <w:rsid w:val="008C0105"/>
    <w:rsid w:val="008C0475"/>
    <w:rsid w:val="008C056A"/>
    <w:rsid w:val="008C23EE"/>
    <w:rsid w:val="008C33A4"/>
    <w:rsid w:val="008C46FB"/>
    <w:rsid w:val="008C482F"/>
    <w:rsid w:val="008C5420"/>
    <w:rsid w:val="008C573C"/>
    <w:rsid w:val="008C5DFA"/>
    <w:rsid w:val="008C67E7"/>
    <w:rsid w:val="008C7CD2"/>
    <w:rsid w:val="008D225C"/>
    <w:rsid w:val="008D2603"/>
    <w:rsid w:val="008D2C32"/>
    <w:rsid w:val="008D7647"/>
    <w:rsid w:val="008E084E"/>
    <w:rsid w:val="008E2C05"/>
    <w:rsid w:val="008E2DF2"/>
    <w:rsid w:val="008E6F36"/>
    <w:rsid w:val="008F296F"/>
    <w:rsid w:val="00901252"/>
    <w:rsid w:val="0091028C"/>
    <w:rsid w:val="00913CC5"/>
    <w:rsid w:val="00916099"/>
    <w:rsid w:val="00916786"/>
    <w:rsid w:val="00917469"/>
    <w:rsid w:val="0092325B"/>
    <w:rsid w:val="00924452"/>
    <w:rsid w:val="009254FB"/>
    <w:rsid w:val="00926092"/>
    <w:rsid w:val="009260A1"/>
    <w:rsid w:val="009275D0"/>
    <w:rsid w:val="009301D7"/>
    <w:rsid w:val="00931DCC"/>
    <w:rsid w:val="00932967"/>
    <w:rsid w:val="00934AAD"/>
    <w:rsid w:val="00943D7B"/>
    <w:rsid w:val="00943F06"/>
    <w:rsid w:val="00946330"/>
    <w:rsid w:val="00946FA9"/>
    <w:rsid w:val="009501E1"/>
    <w:rsid w:val="0095190F"/>
    <w:rsid w:val="00951937"/>
    <w:rsid w:val="009526E4"/>
    <w:rsid w:val="009526F7"/>
    <w:rsid w:val="00955FB3"/>
    <w:rsid w:val="0096166E"/>
    <w:rsid w:val="00962315"/>
    <w:rsid w:val="00962B36"/>
    <w:rsid w:val="00964564"/>
    <w:rsid w:val="00965721"/>
    <w:rsid w:val="0096669C"/>
    <w:rsid w:val="0097019A"/>
    <w:rsid w:val="009702FC"/>
    <w:rsid w:val="00970543"/>
    <w:rsid w:val="00972AE6"/>
    <w:rsid w:val="00975E1F"/>
    <w:rsid w:val="009772B1"/>
    <w:rsid w:val="00980CE0"/>
    <w:rsid w:val="00983CCF"/>
    <w:rsid w:val="009843FE"/>
    <w:rsid w:val="009855CE"/>
    <w:rsid w:val="00987B2F"/>
    <w:rsid w:val="00990FCE"/>
    <w:rsid w:val="00992E15"/>
    <w:rsid w:val="00995DC7"/>
    <w:rsid w:val="00996100"/>
    <w:rsid w:val="009A37BF"/>
    <w:rsid w:val="009A76FD"/>
    <w:rsid w:val="009A7ACE"/>
    <w:rsid w:val="009B17A8"/>
    <w:rsid w:val="009B2EA4"/>
    <w:rsid w:val="009B3EC5"/>
    <w:rsid w:val="009B4692"/>
    <w:rsid w:val="009B54E4"/>
    <w:rsid w:val="009C0A1B"/>
    <w:rsid w:val="009C29AE"/>
    <w:rsid w:val="009C5422"/>
    <w:rsid w:val="009C6948"/>
    <w:rsid w:val="009D3AA0"/>
    <w:rsid w:val="009D41A0"/>
    <w:rsid w:val="009E0013"/>
    <w:rsid w:val="009E12EC"/>
    <w:rsid w:val="009E15D1"/>
    <w:rsid w:val="009E382A"/>
    <w:rsid w:val="009F2AD6"/>
    <w:rsid w:val="009F2D79"/>
    <w:rsid w:val="009F37DF"/>
    <w:rsid w:val="009F4CB0"/>
    <w:rsid w:val="009F7447"/>
    <w:rsid w:val="009F7DC3"/>
    <w:rsid w:val="00A04C46"/>
    <w:rsid w:val="00A04DA5"/>
    <w:rsid w:val="00A063D5"/>
    <w:rsid w:val="00A067D8"/>
    <w:rsid w:val="00A079AA"/>
    <w:rsid w:val="00A104F7"/>
    <w:rsid w:val="00A11631"/>
    <w:rsid w:val="00A17994"/>
    <w:rsid w:val="00A2220C"/>
    <w:rsid w:val="00A23F6C"/>
    <w:rsid w:val="00A25110"/>
    <w:rsid w:val="00A26C2A"/>
    <w:rsid w:val="00A270D3"/>
    <w:rsid w:val="00A31E62"/>
    <w:rsid w:val="00A322B9"/>
    <w:rsid w:val="00A32926"/>
    <w:rsid w:val="00A35079"/>
    <w:rsid w:val="00A361C2"/>
    <w:rsid w:val="00A370E1"/>
    <w:rsid w:val="00A40BD0"/>
    <w:rsid w:val="00A47492"/>
    <w:rsid w:val="00A5359C"/>
    <w:rsid w:val="00A542AB"/>
    <w:rsid w:val="00A56C07"/>
    <w:rsid w:val="00A573A8"/>
    <w:rsid w:val="00A60B56"/>
    <w:rsid w:val="00A62CB0"/>
    <w:rsid w:val="00A6455F"/>
    <w:rsid w:val="00A70025"/>
    <w:rsid w:val="00A70F45"/>
    <w:rsid w:val="00A717A9"/>
    <w:rsid w:val="00A72DFA"/>
    <w:rsid w:val="00A74D11"/>
    <w:rsid w:val="00A764DE"/>
    <w:rsid w:val="00A76E50"/>
    <w:rsid w:val="00A77F0C"/>
    <w:rsid w:val="00A81075"/>
    <w:rsid w:val="00A824D3"/>
    <w:rsid w:val="00A8646B"/>
    <w:rsid w:val="00A91CB6"/>
    <w:rsid w:val="00A93C58"/>
    <w:rsid w:val="00A96DAB"/>
    <w:rsid w:val="00AA477B"/>
    <w:rsid w:val="00AA7BD0"/>
    <w:rsid w:val="00AB1143"/>
    <w:rsid w:val="00AB2CBF"/>
    <w:rsid w:val="00AB33A5"/>
    <w:rsid w:val="00AB5E57"/>
    <w:rsid w:val="00AB7721"/>
    <w:rsid w:val="00AC083C"/>
    <w:rsid w:val="00AC0A75"/>
    <w:rsid w:val="00AC218E"/>
    <w:rsid w:val="00AC3A0F"/>
    <w:rsid w:val="00AC528E"/>
    <w:rsid w:val="00AD0FA6"/>
    <w:rsid w:val="00AD49C3"/>
    <w:rsid w:val="00AD4BAB"/>
    <w:rsid w:val="00AD5181"/>
    <w:rsid w:val="00AD5EB4"/>
    <w:rsid w:val="00AD70AB"/>
    <w:rsid w:val="00AD74FB"/>
    <w:rsid w:val="00AE168D"/>
    <w:rsid w:val="00AE630A"/>
    <w:rsid w:val="00AE719C"/>
    <w:rsid w:val="00AF0427"/>
    <w:rsid w:val="00AF0C69"/>
    <w:rsid w:val="00AF0CAF"/>
    <w:rsid w:val="00AF456C"/>
    <w:rsid w:val="00B00059"/>
    <w:rsid w:val="00B01E63"/>
    <w:rsid w:val="00B02E43"/>
    <w:rsid w:val="00B078E5"/>
    <w:rsid w:val="00B134CF"/>
    <w:rsid w:val="00B17628"/>
    <w:rsid w:val="00B20A5B"/>
    <w:rsid w:val="00B21843"/>
    <w:rsid w:val="00B21966"/>
    <w:rsid w:val="00B221E7"/>
    <w:rsid w:val="00B24113"/>
    <w:rsid w:val="00B251BB"/>
    <w:rsid w:val="00B34549"/>
    <w:rsid w:val="00B34AA4"/>
    <w:rsid w:val="00B35DFF"/>
    <w:rsid w:val="00B36C83"/>
    <w:rsid w:val="00B37272"/>
    <w:rsid w:val="00B41006"/>
    <w:rsid w:val="00B43E48"/>
    <w:rsid w:val="00B4520A"/>
    <w:rsid w:val="00B46F68"/>
    <w:rsid w:val="00B512C4"/>
    <w:rsid w:val="00B52F30"/>
    <w:rsid w:val="00B57371"/>
    <w:rsid w:val="00B64D2E"/>
    <w:rsid w:val="00B6620E"/>
    <w:rsid w:val="00B7049A"/>
    <w:rsid w:val="00B71455"/>
    <w:rsid w:val="00B72298"/>
    <w:rsid w:val="00B73427"/>
    <w:rsid w:val="00B7427F"/>
    <w:rsid w:val="00B75F54"/>
    <w:rsid w:val="00B76E4C"/>
    <w:rsid w:val="00B77DDB"/>
    <w:rsid w:val="00B81221"/>
    <w:rsid w:val="00B83184"/>
    <w:rsid w:val="00B87AED"/>
    <w:rsid w:val="00B87DEC"/>
    <w:rsid w:val="00B900F2"/>
    <w:rsid w:val="00B93069"/>
    <w:rsid w:val="00B93820"/>
    <w:rsid w:val="00B97C41"/>
    <w:rsid w:val="00BA0238"/>
    <w:rsid w:val="00BA0D12"/>
    <w:rsid w:val="00BA7FAA"/>
    <w:rsid w:val="00BB1CA3"/>
    <w:rsid w:val="00BB1EFD"/>
    <w:rsid w:val="00BB3F10"/>
    <w:rsid w:val="00BB46C9"/>
    <w:rsid w:val="00BB4C14"/>
    <w:rsid w:val="00BB7C8E"/>
    <w:rsid w:val="00BC2DBB"/>
    <w:rsid w:val="00BC5E9C"/>
    <w:rsid w:val="00BC628F"/>
    <w:rsid w:val="00BC692C"/>
    <w:rsid w:val="00BD027B"/>
    <w:rsid w:val="00BD2FF5"/>
    <w:rsid w:val="00BD3211"/>
    <w:rsid w:val="00BD3F6F"/>
    <w:rsid w:val="00BD7B30"/>
    <w:rsid w:val="00BE1E2E"/>
    <w:rsid w:val="00BE3D38"/>
    <w:rsid w:val="00BE44BE"/>
    <w:rsid w:val="00BE47D9"/>
    <w:rsid w:val="00BE6241"/>
    <w:rsid w:val="00BE6A4C"/>
    <w:rsid w:val="00BF0460"/>
    <w:rsid w:val="00BF15B4"/>
    <w:rsid w:val="00BF15CB"/>
    <w:rsid w:val="00BF1C8D"/>
    <w:rsid w:val="00BF3B71"/>
    <w:rsid w:val="00BF5013"/>
    <w:rsid w:val="00C00F10"/>
    <w:rsid w:val="00C01D1A"/>
    <w:rsid w:val="00C04CEA"/>
    <w:rsid w:val="00C169E0"/>
    <w:rsid w:val="00C17E61"/>
    <w:rsid w:val="00C204C5"/>
    <w:rsid w:val="00C20AFF"/>
    <w:rsid w:val="00C252FF"/>
    <w:rsid w:val="00C308E5"/>
    <w:rsid w:val="00C3298B"/>
    <w:rsid w:val="00C33049"/>
    <w:rsid w:val="00C348F5"/>
    <w:rsid w:val="00C36700"/>
    <w:rsid w:val="00C40AA3"/>
    <w:rsid w:val="00C4339B"/>
    <w:rsid w:val="00C438B3"/>
    <w:rsid w:val="00C44BF4"/>
    <w:rsid w:val="00C44FAA"/>
    <w:rsid w:val="00C500A9"/>
    <w:rsid w:val="00C50AAB"/>
    <w:rsid w:val="00C50E42"/>
    <w:rsid w:val="00C55660"/>
    <w:rsid w:val="00C5616F"/>
    <w:rsid w:val="00C567DD"/>
    <w:rsid w:val="00C57A36"/>
    <w:rsid w:val="00C62FC3"/>
    <w:rsid w:val="00C664D3"/>
    <w:rsid w:val="00C67D03"/>
    <w:rsid w:val="00C714E3"/>
    <w:rsid w:val="00C72F66"/>
    <w:rsid w:val="00C736A7"/>
    <w:rsid w:val="00C84177"/>
    <w:rsid w:val="00C84E67"/>
    <w:rsid w:val="00C874A6"/>
    <w:rsid w:val="00C92104"/>
    <w:rsid w:val="00C96400"/>
    <w:rsid w:val="00C97B0E"/>
    <w:rsid w:val="00C97B1C"/>
    <w:rsid w:val="00C97E70"/>
    <w:rsid w:val="00CA21EF"/>
    <w:rsid w:val="00CA2803"/>
    <w:rsid w:val="00CA508F"/>
    <w:rsid w:val="00CA6752"/>
    <w:rsid w:val="00CB007E"/>
    <w:rsid w:val="00CB0721"/>
    <w:rsid w:val="00CB616F"/>
    <w:rsid w:val="00CB7609"/>
    <w:rsid w:val="00CC1CD8"/>
    <w:rsid w:val="00CC27BC"/>
    <w:rsid w:val="00CC2B3E"/>
    <w:rsid w:val="00CC3D1B"/>
    <w:rsid w:val="00CC7114"/>
    <w:rsid w:val="00CC7E9B"/>
    <w:rsid w:val="00CD18B7"/>
    <w:rsid w:val="00CD30B9"/>
    <w:rsid w:val="00CD426C"/>
    <w:rsid w:val="00CD63AE"/>
    <w:rsid w:val="00CE3333"/>
    <w:rsid w:val="00CE3754"/>
    <w:rsid w:val="00CE4E0F"/>
    <w:rsid w:val="00CE4F10"/>
    <w:rsid w:val="00CF0E8D"/>
    <w:rsid w:val="00CF2887"/>
    <w:rsid w:val="00CF2AEE"/>
    <w:rsid w:val="00CF747B"/>
    <w:rsid w:val="00CF7E55"/>
    <w:rsid w:val="00D00902"/>
    <w:rsid w:val="00D015B0"/>
    <w:rsid w:val="00D01E8A"/>
    <w:rsid w:val="00D02D91"/>
    <w:rsid w:val="00D032B9"/>
    <w:rsid w:val="00D036B2"/>
    <w:rsid w:val="00D046C2"/>
    <w:rsid w:val="00D04779"/>
    <w:rsid w:val="00D0549D"/>
    <w:rsid w:val="00D0568C"/>
    <w:rsid w:val="00D06297"/>
    <w:rsid w:val="00D1199A"/>
    <w:rsid w:val="00D12C6D"/>
    <w:rsid w:val="00D130F5"/>
    <w:rsid w:val="00D14ACE"/>
    <w:rsid w:val="00D16544"/>
    <w:rsid w:val="00D16990"/>
    <w:rsid w:val="00D206E9"/>
    <w:rsid w:val="00D22625"/>
    <w:rsid w:val="00D22D29"/>
    <w:rsid w:val="00D22E4A"/>
    <w:rsid w:val="00D25387"/>
    <w:rsid w:val="00D258A5"/>
    <w:rsid w:val="00D269C3"/>
    <w:rsid w:val="00D27CB5"/>
    <w:rsid w:val="00D3034A"/>
    <w:rsid w:val="00D31856"/>
    <w:rsid w:val="00D34383"/>
    <w:rsid w:val="00D418FA"/>
    <w:rsid w:val="00D419FC"/>
    <w:rsid w:val="00D41D05"/>
    <w:rsid w:val="00D42A47"/>
    <w:rsid w:val="00D43969"/>
    <w:rsid w:val="00D43DBD"/>
    <w:rsid w:val="00D462C5"/>
    <w:rsid w:val="00D47078"/>
    <w:rsid w:val="00D500C4"/>
    <w:rsid w:val="00D52342"/>
    <w:rsid w:val="00D52C24"/>
    <w:rsid w:val="00D569EE"/>
    <w:rsid w:val="00D57B0B"/>
    <w:rsid w:val="00D61564"/>
    <w:rsid w:val="00D62355"/>
    <w:rsid w:val="00D64659"/>
    <w:rsid w:val="00D64EEC"/>
    <w:rsid w:val="00D65DC2"/>
    <w:rsid w:val="00D67059"/>
    <w:rsid w:val="00D73B9F"/>
    <w:rsid w:val="00D741D7"/>
    <w:rsid w:val="00D828D5"/>
    <w:rsid w:val="00D8470E"/>
    <w:rsid w:val="00D848A7"/>
    <w:rsid w:val="00D86325"/>
    <w:rsid w:val="00D86A40"/>
    <w:rsid w:val="00D9147F"/>
    <w:rsid w:val="00D932A5"/>
    <w:rsid w:val="00D93B79"/>
    <w:rsid w:val="00D945CA"/>
    <w:rsid w:val="00D94B5D"/>
    <w:rsid w:val="00D959A2"/>
    <w:rsid w:val="00D97C1E"/>
    <w:rsid w:val="00DA0141"/>
    <w:rsid w:val="00DA3D92"/>
    <w:rsid w:val="00DA49F4"/>
    <w:rsid w:val="00DA4D38"/>
    <w:rsid w:val="00DA5AD2"/>
    <w:rsid w:val="00DA7138"/>
    <w:rsid w:val="00DB0AA6"/>
    <w:rsid w:val="00DB394D"/>
    <w:rsid w:val="00DB65C6"/>
    <w:rsid w:val="00DC30A5"/>
    <w:rsid w:val="00DC728F"/>
    <w:rsid w:val="00DC7587"/>
    <w:rsid w:val="00DE5D49"/>
    <w:rsid w:val="00DE7B02"/>
    <w:rsid w:val="00DE7BB4"/>
    <w:rsid w:val="00DF1FB7"/>
    <w:rsid w:val="00DF5092"/>
    <w:rsid w:val="00DF65F8"/>
    <w:rsid w:val="00DF7A9C"/>
    <w:rsid w:val="00E07621"/>
    <w:rsid w:val="00E1035F"/>
    <w:rsid w:val="00E10F99"/>
    <w:rsid w:val="00E15C3E"/>
    <w:rsid w:val="00E16019"/>
    <w:rsid w:val="00E17B40"/>
    <w:rsid w:val="00E17E49"/>
    <w:rsid w:val="00E22F2C"/>
    <w:rsid w:val="00E23566"/>
    <w:rsid w:val="00E2390D"/>
    <w:rsid w:val="00E26768"/>
    <w:rsid w:val="00E3418D"/>
    <w:rsid w:val="00E342B7"/>
    <w:rsid w:val="00E35190"/>
    <w:rsid w:val="00E356C1"/>
    <w:rsid w:val="00E35A84"/>
    <w:rsid w:val="00E374F5"/>
    <w:rsid w:val="00E40784"/>
    <w:rsid w:val="00E40ED5"/>
    <w:rsid w:val="00E4260F"/>
    <w:rsid w:val="00E43A93"/>
    <w:rsid w:val="00E43ED5"/>
    <w:rsid w:val="00E455D6"/>
    <w:rsid w:val="00E45A94"/>
    <w:rsid w:val="00E50540"/>
    <w:rsid w:val="00E559CA"/>
    <w:rsid w:val="00E65827"/>
    <w:rsid w:val="00E65F65"/>
    <w:rsid w:val="00E66147"/>
    <w:rsid w:val="00E66E2B"/>
    <w:rsid w:val="00E672A3"/>
    <w:rsid w:val="00E70DAA"/>
    <w:rsid w:val="00E7166B"/>
    <w:rsid w:val="00E71F71"/>
    <w:rsid w:val="00E7274C"/>
    <w:rsid w:val="00E7555B"/>
    <w:rsid w:val="00E759FF"/>
    <w:rsid w:val="00E75F02"/>
    <w:rsid w:val="00E7663A"/>
    <w:rsid w:val="00E768A9"/>
    <w:rsid w:val="00E8067E"/>
    <w:rsid w:val="00E871E3"/>
    <w:rsid w:val="00E9075D"/>
    <w:rsid w:val="00E915BF"/>
    <w:rsid w:val="00E91A68"/>
    <w:rsid w:val="00E946A1"/>
    <w:rsid w:val="00E952CE"/>
    <w:rsid w:val="00E95B63"/>
    <w:rsid w:val="00E961E2"/>
    <w:rsid w:val="00E9656D"/>
    <w:rsid w:val="00EA4DC3"/>
    <w:rsid w:val="00EA57B9"/>
    <w:rsid w:val="00EA5ACA"/>
    <w:rsid w:val="00EA6E53"/>
    <w:rsid w:val="00EA7C39"/>
    <w:rsid w:val="00EB6744"/>
    <w:rsid w:val="00EB73D2"/>
    <w:rsid w:val="00EC3708"/>
    <w:rsid w:val="00ED0598"/>
    <w:rsid w:val="00ED1C85"/>
    <w:rsid w:val="00EE013B"/>
    <w:rsid w:val="00EE0E4A"/>
    <w:rsid w:val="00EE17B5"/>
    <w:rsid w:val="00EE1C8F"/>
    <w:rsid w:val="00EE4969"/>
    <w:rsid w:val="00EE63E1"/>
    <w:rsid w:val="00EF2075"/>
    <w:rsid w:val="00EF2E0C"/>
    <w:rsid w:val="00EF3951"/>
    <w:rsid w:val="00F004FD"/>
    <w:rsid w:val="00F00968"/>
    <w:rsid w:val="00F009B5"/>
    <w:rsid w:val="00F06A0C"/>
    <w:rsid w:val="00F07043"/>
    <w:rsid w:val="00F07858"/>
    <w:rsid w:val="00F248D3"/>
    <w:rsid w:val="00F26DD7"/>
    <w:rsid w:val="00F30305"/>
    <w:rsid w:val="00F30650"/>
    <w:rsid w:val="00F44189"/>
    <w:rsid w:val="00F504A4"/>
    <w:rsid w:val="00F50502"/>
    <w:rsid w:val="00F511F4"/>
    <w:rsid w:val="00F516E7"/>
    <w:rsid w:val="00F52A27"/>
    <w:rsid w:val="00F540EF"/>
    <w:rsid w:val="00F5555F"/>
    <w:rsid w:val="00F563B5"/>
    <w:rsid w:val="00F56A60"/>
    <w:rsid w:val="00F61378"/>
    <w:rsid w:val="00F62916"/>
    <w:rsid w:val="00F6322E"/>
    <w:rsid w:val="00F65A8E"/>
    <w:rsid w:val="00F65E7F"/>
    <w:rsid w:val="00F70397"/>
    <w:rsid w:val="00F70409"/>
    <w:rsid w:val="00F72D14"/>
    <w:rsid w:val="00F75079"/>
    <w:rsid w:val="00F75B89"/>
    <w:rsid w:val="00F76572"/>
    <w:rsid w:val="00F76A4B"/>
    <w:rsid w:val="00F7764F"/>
    <w:rsid w:val="00F80A1C"/>
    <w:rsid w:val="00F80E11"/>
    <w:rsid w:val="00F813F9"/>
    <w:rsid w:val="00F83196"/>
    <w:rsid w:val="00F84C9C"/>
    <w:rsid w:val="00F857F7"/>
    <w:rsid w:val="00F87AF4"/>
    <w:rsid w:val="00F95FFB"/>
    <w:rsid w:val="00F96E12"/>
    <w:rsid w:val="00F9766E"/>
    <w:rsid w:val="00FA39AF"/>
    <w:rsid w:val="00FA39C2"/>
    <w:rsid w:val="00FB4751"/>
    <w:rsid w:val="00FB4F86"/>
    <w:rsid w:val="00FB7459"/>
    <w:rsid w:val="00FC11C4"/>
    <w:rsid w:val="00FC3399"/>
    <w:rsid w:val="00FC4C91"/>
    <w:rsid w:val="00FD09F7"/>
    <w:rsid w:val="00FD1A0B"/>
    <w:rsid w:val="00FD21FE"/>
    <w:rsid w:val="00FE0833"/>
    <w:rsid w:val="00FE0843"/>
    <w:rsid w:val="00FE2438"/>
    <w:rsid w:val="00FF23B6"/>
    <w:rsid w:val="00FF2D7D"/>
    <w:rsid w:val="00FF361D"/>
    <w:rsid w:val="00FF39B6"/>
    <w:rsid w:val="00FF4B42"/>
    <w:rsid w:val="00FF511F"/>
    <w:rsid w:val="00FF61E5"/>
    <w:rsid w:val="00FF7A4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3960D7E"/>
  <w15:docId w15:val="{CC55D768-C7E8-42A7-8DF1-87185C6AA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B7145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unhideWhenUsed/>
    <w:rsid w:val="008A4D23"/>
    <w:pPr>
      <w:spacing w:after="0" w:line="240" w:lineRule="auto"/>
    </w:pPr>
    <w:rPr>
      <w:sz w:val="20"/>
      <w:szCs w:val="20"/>
    </w:rPr>
  </w:style>
  <w:style w:type="character" w:customStyle="1" w:styleId="EndnoteTextChar">
    <w:name w:val="Endnote Text Char"/>
    <w:basedOn w:val="DefaultParagraphFont"/>
    <w:link w:val="EndnoteText"/>
    <w:uiPriority w:val="99"/>
    <w:rsid w:val="008A4D23"/>
    <w:rPr>
      <w:sz w:val="20"/>
      <w:szCs w:val="20"/>
    </w:rPr>
  </w:style>
  <w:style w:type="character" w:styleId="EndnoteReference">
    <w:name w:val="endnote reference"/>
    <w:basedOn w:val="DefaultParagraphFont"/>
    <w:uiPriority w:val="99"/>
    <w:semiHidden/>
    <w:unhideWhenUsed/>
    <w:rsid w:val="008A4D23"/>
    <w:rPr>
      <w:vertAlign w:val="superscript"/>
    </w:rPr>
  </w:style>
  <w:style w:type="paragraph" w:styleId="FootnoteText">
    <w:name w:val="footnote text"/>
    <w:basedOn w:val="Normal"/>
    <w:link w:val="FootnoteTextChar"/>
    <w:uiPriority w:val="99"/>
    <w:semiHidden/>
    <w:unhideWhenUsed/>
    <w:rsid w:val="00AF456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F456C"/>
    <w:rPr>
      <w:sz w:val="20"/>
      <w:szCs w:val="20"/>
    </w:rPr>
  </w:style>
  <w:style w:type="character" w:styleId="FootnoteReference">
    <w:name w:val="footnote reference"/>
    <w:basedOn w:val="DefaultParagraphFont"/>
    <w:uiPriority w:val="99"/>
    <w:semiHidden/>
    <w:unhideWhenUsed/>
    <w:rsid w:val="00AF456C"/>
    <w:rPr>
      <w:vertAlign w:val="superscript"/>
    </w:rPr>
  </w:style>
  <w:style w:type="character" w:styleId="Hyperlink">
    <w:name w:val="Hyperlink"/>
    <w:basedOn w:val="DefaultParagraphFont"/>
    <w:uiPriority w:val="99"/>
    <w:unhideWhenUsed/>
    <w:rsid w:val="004854BE"/>
    <w:rPr>
      <w:color w:val="0563C1" w:themeColor="hyperlink"/>
      <w:u w:val="single"/>
    </w:rPr>
  </w:style>
  <w:style w:type="character" w:styleId="CommentReference">
    <w:name w:val="annotation reference"/>
    <w:basedOn w:val="DefaultParagraphFont"/>
    <w:uiPriority w:val="99"/>
    <w:semiHidden/>
    <w:unhideWhenUsed/>
    <w:rsid w:val="009F7447"/>
    <w:rPr>
      <w:sz w:val="16"/>
      <w:szCs w:val="16"/>
    </w:rPr>
  </w:style>
  <w:style w:type="paragraph" w:styleId="CommentText">
    <w:name w:val="annotation text"/>
    <w:basedOn w:val="Normal"/>
    <w:link w:val="CommentTextChar"/>
    <w:uiPriority w:val="99"/>
    <w:semiHidden/>
    <w:unhideWhenUsed/>
    <w:rsid w:val="009F7447"/>
    <w:pPr>
      <w:spacing w:line="240" w:lineRule="auto"/>
    </w:pPr>
    <w:rPr>
      <w:sz w:val="20"/>
      <w:szCs w:val="20"/>
    </w:rPr>
  </w:style>
  <w:style w:type="character" w:customStyle="1" w:styleId="CommentTextChar">
    <w:name w:val="Comment Text Char"/>
    <w:basedOn w:val="DefaultParagraphFont"/>
    <w:link w:val="CommentText"/>
    <w:uiPriority w:val="99"/>
    <w:semiHidden/>
    <w:rsid w:val="009F7447"/>
    <w:rPr>
      <w:sz w:val="20"/>
      <w:szCs w:val="20"/>
    </w:rPr>
  </w:style>
  <w:style w:type="paragraph" w:styleId="CommentSubject">
    <w:name w:val="annotation subject"/>
    <w:basedOn w:val="CommentText"/>
    <w:next w:val="CommentText"/>
    <w:link w:val="CommentSubjectChar"/>
    <w:uiPriority w:val="99"/>
    <w:semiHidden/>
    <w:unhideWhenUsed/>
    <w:rsid w:val="009F7447"/>
    <w:rPr>
      <w:b/>
      <w:bCs/>
    </w:rPr>
  </w:style>
  <w:style w:type="character" w:customStyle="1" w:styleId="CommentSubjectChar">
    <w:name w:val="Comment Subject Char"/>
    <w:basedOn w:val="CommentTextChar"/>
    <w:link w:val="CommentSubject"/>
    <w:uiPriority w:val="99"/>
    <w:semiHidden/>
    <w:rsid w:val="009F7447"/>
    <w:rPr>
      <w:b/>
      <w:bCs/>
      <w:sz w:val="20"/>
      <w:szCs w:val="20"/>
    </w:rPr>
  </w:style>
  <w:style w:type="paragraph" w:styleId="BalloonText">
    <w:name w:val="Balloon Text"/>
    <w:basedOn w:val="Normal"/>
    <w:link w:val="BalloonTextChar"/>
    <w:uiPriority w:val="99"/>
    <w:semiHidden/>
    <w:unhideWhenUsed/>
    <w:rsid w:val="009F74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7447"/>
    <w:rPr>
      <w:rFonts w:ascii="Segoe UI" w:hAnsi="Segoe UI" w:cs="Segoe UI"/>
      <w:sz w:val="18"/>
      <w:szCs w:val="18"/>
    </w:rPr>
  </w:style>
  <w:style w:type="character" w:customStyle="1" w:styleId="Heading1Char">
    <w:name w:val="Heading 1 Char"/>
    <w:basedOn w:val="DefaultParagraphFont"/>
    <w:link w:val="Heading1"/>
    <w:uiPriority w:val="9"/>
    <w:rsid w:val="00B71455"/>
    <w:rPr>
      <w:rFonts w:ascii="Times New Roman" w:eastAsia="Times New Roman" w:hAnsi="Times New Roman" w:cs="Times New Roman"/>
      <w:b/>
      <w:bCs/>
      <w:kern w:val="36"/>
      <w:sz w:val="48"/>
      <w:szCs w:val="48"/>
      <w:lang w:eastAsia="en-GB"/>
    </w:rPr>
  </w:style>
  <w:style w:type="table" w:styleId="TableGrid">
    <w:name w:val="Table Grid"/>
    <w:basedOn w:val="TableNormal"/>
    <w:uiPriority w:val="59"/>
    <w:rsid w:val="00B714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71455"/>
    <w:pPr>
      <w:spacing w:after="200" w:line="276" w:lineRule="auto"/>
      <w:ind w:left="720"/>
      <w:contextualSpacing/>
    </w:pPr>
  </w:style>
  <w:style w:type="paragraph" w:styleId="Revision">
    <w:name w:val="Revision"/>
    <w:hidden/>
    <w:uiPriority w:val="99"/>
    <w:semiHidden/>
    <w:rsid w:val="00B71455"/>
    <w:pPr>
      <w:spacing w:after="0" w:line="240" w:lineRule="auto"/>
    </w:pPr>
  </w:style>
  <w:style w:type="paragraph" w:styleId="Header">
    <w:name w:val="header"/>
    <w:basedOn w:val="Normal"/>
    <w:link w:val="HeaderChar"/>
    <w:uiPriority w:val="99"/>
    <w:unhideWhenUsed/>
    <w:rsid w:val="00B714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1455"/>
  </w:style>
  <w:style w:type="paragraph" w:styleId="Footer">
    <w:name w:val="footer"/>
    <w:basedOn w:val="Normal"/>
    <w:link w:val="FooterChar"/>
    <w:uiPriority w:val="99"/>
    <w:unhideWhenUsed/>
    <w:rsid w:val="00B714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1455"/>
  </w:style>
  <w:style w:type="character" w:customStyle="1" w:styleId="ref-title">
    <w:name w:val="ref-title"/>
    <w:basedOn w:val="DefaultParagraphFont"/>
    <w:rsid w:val="00B71455"/>
  </w:style>
  <w:style w:type="character" w:customStyle="1" w:styleId="ref-journal">
    <w:name w:val="ref-journal"/>
    <w:basedOn w:val="DefaultParagraphFont"/>
    <w:rsid w:val="00B71455"/>
  </w:style>
  <w:style w:type="character" w:customStyle="1" w:styleId="ref-vol">
    <w:name w:val="ref-vol"/>
    <w:basedOn w:val="DefaultParagraphFont"/>
    <w:rsid w:val="00B71455"/>
  </w:style>
  <w:style w:type="character" w:customStyle="1" w:styleId="title-text">
    <w:name w:val="title-text"/>
    <w:basedOn w:val="DefaultParagraphFont"/>
    <w:rsid w:val="00B71455"/>
  </w:style>
  <w:style w:type="paragraph" w:styleId="NormalWeb">
    <w:name w:val="Normal (Web)"/>
    <w:basedOn w:val="Normal"/>
    <w:uiPriority w:val="99"/>
    <w:unhideWhenUsed/>
    <w:rsid w:val="009E382A"/>
    <w:pPr>
      <w:spacing w:before="100" w:beforeAutospacing="1" w:after="100" w:afterAutospacing="1" w:line="240" w:lineRule="auto"/>
    </w:pPr>
    <w:rPr>
      <w:rFonts w:ascii="Times New Roman" w:hAnsi="Times New Roman" w:cs="Times New Roman"/>
      <w:sz w:val="20"/>
      <w:szCs w:val="20"/>
      <w:lang w:val="en-CA"/>
    </w:rPr>
  </w:style>
  <w:style w:type="character" w:customStyle="1" w:styleId="apple-converted-space">
    <w:name w:val="apple-converted-space"/>
    <w:basedOn w:val="DefaultParagraphFont"/>
    <w:rsid w:val="009E382A"/>
  </w:style>
  <w:style w:type="character" w:styleId="FollowedHyperlink">
    <w:name w:val="FollowedHyperlink"/>
    <w:basedOn w:val="DefaultParagraphFont"/>
    <w:uiPriority w:val="99"/>
    <w:semiHidden/>
    <w:unhideWhenUsed/>
    <w:rsid w:val="00F516E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215959">
      <w:bodyDiv w:val="1"/>
      <w:marLeft w:val="0"/>
      <w:marRight w:val="0"/>
      <w:marTop w:val="0"/>
      <w:marBottom w:val="0"/>
      <w:divBdr>
        <w:top w:val="none" w:sz="0" w:space="0" w:color="auto"/>
        <w:left w:val="none" w:sz="0" w:space="0" w:color="auto"/>
        <w:bottom w:val="none" w:sz="0" w:space="0" w:color="auto"/>
        <w:right w:val="none" w:sz="0" w:space="0" w:color="auto"/>
      </w:divBdr>
    </w:div>
    <w:div w:id="205222248">
      <w:bodyDiv w:val="1"/>
      <w:marLeft w:val="0"/>
      <w:marRight w:val="0"/>
      <w:marTop w:val="0"/>
      <w:marBottom w:val="0"/>
      <w:divBdr>
        <w:top w:val="none" w:sz="0" w:space="0" w:color="auto"/>
        <w:left w:val="none" w:sz="0" w:space="0" w:color="auto"/>
        <w:bottom w:val="none" w:sz="0" w:space="0" w:color="auto"/>
        <w:right w:val="none" w:sz="0" w:space="0" w:color="auto"/>
      </w:divBdr>
    </w:div>
    <w:div w:id="368726560">
      <w:bodyDiv w:val="1"/>
      <w:marLeft w:val="0"/>
      <w:marRight w:val="0"/>
      <w:marTop w:val="0"/>
      <w:marBottom w:val="0"/>
      <w:divBdr>
        <w:top w:val="none" w:sz="0" w:space="0" w:color="auto"/>
        <w:left w:val="none" w:sz="0" w:space="0" w:color="auto"/>
        <w:bottom w:val="none" w:sz="0" w:space="0" w:color="auto"/>
        <w:right w:val="none" w:sz="0" w:space="0" w:color="auto"/>
      </w:divBdr>
    </w:div>
    <w:div w:id="378094196">
      <w:bodyDiv w:val="1"/>
      <w:marLeft w:val="0"/>
      <w:marRight w:val="0"/>
      <w:marTop w:val="0"/>
      <w:marBottom w:val="0"/>
      <w:divBdr>
        <w:top w:val="none" w:sz="0" w:space="0" w:color="auto"/>
        <w:left w:val="none" w:sz="0" w:space="0" w:color="auto"/>
        <w:bottom w:val="none" w:sz="0" w:space="0" w:color="auto"/>
        <w:right w:val="none" w:sz="0" w:space="0" w:color="auto"/>
      </w:divBdr>
    </w:div>
    <w:div w:id="525801305">
      <w:bodyDiv w:val="1"/>
      <w:marLeft w:val="0"/>
      <w:marRight w:val="0"/>
      <w:marTop w:val="0"/>
      <w:marBottom w:val="0"/>
      <w:divBdr>
        <w:top w:val="none" w:sz="0" w:space="0" w:color="auto"/>
        <w:left w:val="none" w:sz="0" w:space="0" w:color="auto"/>
        <w:bottom w:val="none" w:sz="0" w:space="0" w:color="auto"/>
        <w:right w:val="none" w:sz="0" w:space="0" w:color="auto"/>
      </w:divBdr>
    </w:div>
    <w:div w:id="694693501">
      <w:bodyDiv w:val="1"/>
      <w:marLeft w:val="0"/>
      <w:marRight w:val="0"/>
      <w:marTop w:val="0"/>
      <w:marBottom w:val="0"/>
      <w:divBdr>
        <w:top w:val="none" w:sz="0" w:space="0" w:color="auto"/>
        <w:left w:val="none" w:sz="0" w:space="0" w:color="auto"/>
        <w:bottom w:val="none" w:sz="0" w:space="0" w:color="auto"/>
        <w:right w:val="none" w:sz="0" w:space="0" w:color="auto"/>
      </w:divBdr>
    </w:div>
    <w:div w:id="972057038">
      <w:bodyDiv w:val="1"/>
      <w:marLeft w:val="0"/>
      <w:marRight w:val="0"/>
      <w:marTop w:val="0"/>
      <w:marBottom w:val="0"/>
      <w:divBdr>
        <w:top w:val="none" w:sz="0" w:space="0" w:color="auto"/>
        <w:left w:val="none" w:sz="0" w:space="0" w:color="auto"/>
        <w:bottom w:val="none" w:sz="0" w:space="0" w:color="auto"/>
        <w:right w:val="none" w:sz="0" w:space="0" w:color="auto"/>
      </w:divBdr>
    </w:div>
    <w:div w:id="1917351866">
      <w:bodyDiv w:val="1"/>
      <w:marLeft w:val="0"/>
      <w:marRight w:val="0"/>
      <w:marTop w:val="0"/>
      <w:marBottom w:val="0"/>
      <w:divBdr>
        <w:top w:val="none" w:sz="0" w:space="0" w:color="auto"/>
        <w:left w:val="none" w:sz="0" w:space="0" w:color="auto"/>
        <w:bottom w:val="none" w:sz="0" w:space="0" w:color="auto"/>
        <w:right w:val="none" w:sz="0" w:space="0" w:color="auto"/>
      </w:divBdr>
    </w:div>
    <w:div w:id="1989438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ingkwok@doctors.org.uk" TargetMode="Externa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ti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tif"/><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s://www.acc.org/latest-in-cardiology/articles/2016/08/05/08/40/frailty-and-heart-failure" TargetMode="Externa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1DBCC0-E840-4ED0-BDE5-8779114E5F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38</Pages>
  <Words>8806</Words>
  <Characters>50198</Characters>
  <Application>Microsoft Office Word</Application>
  <DocSecurity>0</DocSecurity>
  <Lines>418</Lines>
  <Paragraphs>117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Microsoft</Company>
  <LinksUpToDate>false</LinksUpToDate>
  <CharactersWithSpaces>58887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hfk44</dc:creator>
  <cp:lastModifiedBy>hfk44</cp:lastModifiedBy>
  <cp:revision>4</cp:revision>
  <dcterms:created xsi:type="dcterms:W3CDTF">2019-08-18T21:38:00Z</dcterms:created>
  <dcterms:modified xsi:type="dcterms:W3CDTF">2019-09-20T13:52:00Z</dcterms:modified>
</cp:coreProperties>
</file>