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6C489" w14:textId="67926245" w:rsidR="00A625D5" w:rsidRDefault="00A625D5" w:rsidP="00A625D5">
      <w:pPr>
        <w:spacing w:line="480" w:lineRule="auto"/>
        <w:jc w:val="center"/>
        <w:rPr>
          <w:rFonts w:eastAsiaTheme="minorEastAsia"/>
          <w:b/>
          <w:sz w:val="24"/>
          <w:szCs w:val="24"/>
          <w:lang w:eastAsia="zh-CN"/>
        </w:rPr>
      </w:pPr>
      <w:r>
        <w:rPr>
          <w:rFonts w:eastAsiaTheme="minorEastAsia"/>
          <w:b/>
          <w:sz w:val="24"/>
          <w:szCs w:val="24"/>
          <w:lang w:eastAsia="zh-CN"/>
        </w:rPr>
        <w:t>P</w:t>
      </w:r>
      <w:r w:rsidRPr="009A730E">
        <w:rPr>
          <w:rFonts w:eastAsiaTheme="minorEastAsia"/>
          <w:b/>
          <w:sz w:val="24"/>
          <w:szCs w:val="24"/>
          <w:lang w:eastAsia="zh-CN"/>
        </w:rPr>
        <w:t>rognostic value of first</w:t>
      </w:r>
      <w:r>
        <w:rPr>
          <w:rFonts w:eastAsiaTheme="minorEastAsia"/>
          <w:b/>
          <w:sz w:val="24"/>
          <w:szCs w:val="24"/>
          <w:lang w:eastAsia="zh-CN"/>
        </w:rPr>
        <w:t xml:space="preserve"> recorded</w:t>
      </w:r>
      <w:r w:rsidRPr="009A730E">
        <w:rPr>
          <w:rFonts w:eastAsiaTheme="minorEastAsia"/>
          <w:b/>
          <w:sz w:val="24"/>
          <w:szCs w:val="24"/>
          <w:lang w:eastAsia="zh-CN"/>
        </w:rPr>
        <w:t xml:space="preserve"> presentation of </w:t>
      </w:r>
      <w:r>
        <w:rPr>
          <w:rFonts w:eastAsiaTheme="minorEastAsia"/>
          <w:b/>
          <w:sz w:val="24"/>
          <w:szCs w:val="24"/>
          <w:lang w:eastAsia="zh-CN"/>
        </w:rPr>
        <w:t>breathlessness</w:t>
      </w:r>
      <w:r w:rsidRPr="009A730E">
        <w:rPr>
          <w:rFonts w:eastAsiaTheme="minorEastAsia"/>
          <w:b/>
          <w:sz w:val="24"/>
          <w:szCs w:val="24"/>
          <w:lang w:eastAsia="zh-CN"/>
        </w:rPr>
        <w:t xml:space="preserve"> </w:t>
      </w:r>
      <w:r>
        <w:rPr>
          <w:rFonts w:eastAsiaTheme="minorEastAsia"/>
          <w:b/>
          <w:sz w:val="24"/>
          <w:szCs w:val="24"/>
          <w:lang w:eastAsia="zh-CN"/>
        </w:rPr>
        <w:t>for future COPD,</w:t>
      </w:r>
      <w:r w:rsidRPr="009A730E">
        <w:rPr>
          <w:rFonts w:eastAsiaTheme="minorEastAsia"/>
          <w:b/>
          <w:sz w:val="24"/>
          <w:szCs w:val="24"/>
          <w:lang w:eastAsia="zh-CN"/>
        </w:rPr>
        <w:t xml:space="preserve"> asthma</w:t>
      </w:r>
      <w:r>
        <w:rPr>
          <w:rFonts w:eastAsiaTheme="minorEastAsia"/>
          <w:b/>
          <w:sz w:val="24"/>
          <w:szCs w:val="24"/>
          <w:lang w:eastAsia="zh-CN"/>
        </w:rPr>
        <w:t>,</w:t>
      </w:r>
      <w:r w:rsidRPr="009A730E">
        <w:rPr>
          <w:rFonts w:eastAsiaTheme="minorEastAsia"/>
          <w:b/>
          <w:sz w:val="24"/>
          <w:szCs w:val="24"/>
          <w:lang w:eastAsia="zh-CN"/>
        </w:rPr>
        <w:t xml:space="preserve"> </w:t>
      </w:r>
      <w:r>
        <w:rPr>
          <w:rFonts w:eastAsiaTheme="minorEastAsia"/>
          <w:b/>
          <w:sz w:val="24"/>
          <w:szCs w:val="24"/>
          <w:lang w:eastAsia="zh-CN"/>
        </w:rPr>
        <w:t xml:space="preserve">IHD, and </w:t>
      </w:r>
      <w:r w:rsidRPr="00866DEA">
        <w:rPr>
          <w:rFonts w:eastAsiaTheme="minorEastAsia"/>
          <w:b/>
          <w:sz w:val="24"/>
          <w:szCs w:val="24"/>
          <w:lang w:eastAsia="zh-CN"/>
        </w:rPr>
        <w:t>mortality</w:t>
      </w:r>
      <w:r w:rsidRPr="009A730E">
        <w:rPr>
          <w:rFonts w:eastAsiaTheme="minorEastAsia"/>
          <w:b/>
          <w:sz w:val="24"/>
          <w:szCs w:val="24"/>
          <w:lang w:eastAsia="zh-CN"/>
        </w:rPr>
        <w:t xml:space="preserve">: a cohort study using </w:t>
      </w:r>
      <w:r w:rsidRPr="00000667">
        <w:rPr>
          <w:rFonts w:eastAsiaTheme="minorEastAsia"/>
          <w:b/>
          <w:sz w:val="24"/>
          <w:szCs w:val="24"/>
          <w:lang w:eastAsia="zh-CN"/>
        </w:rPr>
        <w:t>UK national primary care database</w:t>
      </w:r>
    </w:p>
    <w:p w14:paraId="75D0DB29" w14:textId="326E97FF" w:rsidR="00344DF0" w:rsidRDefault="00344DF0" w:rsidP="00344DF0">
      <w:pPr>
        <w:spacing w:line="480" w:lineRule="auto"/>
        <w:rPr>
          <w:rFonts w:eastAsiaTheme="minorEastAsia"/>
          <w:b/>
          <w:sz w:val="24"/>
          <w:szCs w:val="24"/>
          <w:lang w:eastAsia="zh-CN"/>
        </w:rPr>
      </w:pPr>
      <w:r>
        <w:rPr>
          <w:rFonts w:eastAsiaTheme="minorEastAsia"/>
          <w:b/>
          <w:sz w:val="24"/>
          <w:szCs w:val="24"/>
          <w:lang w:eastAsia="zh-CN"/>
        </w:rPr>
        <w:t>Running headline: Dyspnoea in primary care</w:t>
      </w:r>
    </w:p>
    <w:p w14:paraId="5E1CF612" w14:textId="19F8194D" w:rsidR="00477023" w:rsidRPr="009A730E" w:rsidRDefault="00477023" w:rsidP="008A3F3F">
      <w:pPr>
        <w:spacing w:line="480" w:lineRule="auto"/>
        <w:jc w:val="center"/>
        <w:rPr>
          <w:rFonts w:eastAsiaTheme="minorEastAsia"/>
          <w:sz w:val="24"/>
          <w:szCs w:val="24"/>
          <w:lang w:eastAsia="zh-CN"/>
        </w:rPr>
      </w:pPr>
      <w:r w:rsidRPr="009A730E">
        <w:rPr>
          <w:rFonts w:eastAsiaTheme="minorEastAsia"/>
          <w:sz w:val="24"/>
          <w:szCs w:val="24"/>
          <w:lang w:eastAsia="zh-CN"/>
        </w:rPr>
        <w:t>Ying Chen</w:t>
      </w:r>
      <w:r w:rsidRPr="009A730E">
        <w:rPr>
          <w:rFonts w:eastAsiaTheme="minorEastAsia"/>
          <w:sz w:val="24"/>
          <w:szCs w:val="24"/>
          <w:vertAlign w:val="superscript"/>
          <w:lang w:eastAsia="zh-CN"/>
        </w:rPr>
        <w:t>1</w:t>
      </w:r>
      <w:r w:rsidR="00F64915">
        <w:rPr>
          <w:rFonts w:eastAsiaTheme="minorEastAsia"/>
          <w:sz w:val="24"/>
          <w:szCs w:val="24"/>
          <w:lang w:eastAsia="zh-CN"/>
        </w:rPr>
        <w:t xml:space="preserve"> (PhD)</w:t>
      </w:r>
      <w:r w:rsidRPr="009A730E">
        <w:rPr>
          <w:rFonts w:eastAsiaTheme="minorEastAsia"/>
          <w:sz w:val="24"/>
          <w:szCs w:val="24"/>
          <w:lang w:eastAsia="zh-CN"/>
        </w:rPr>
        <w:t>, Richard Hayward</w:t>
      </w:r>
      <w:r w:rsidRPr="009A730E">
        <w:rPr>
          <w:rFonts w:eastAsiaTheme="minorEastAsia"/>
          <w:sz w:val="24"/>
          <w:szCs w:val="24"/>
          <w:vertAlign w:val="superscript"/>
          <w:lang w:eastAsia="zh-CN"/>
        </w:rPr>
        <w:t>1</w:t>
      </w:r>
      <w:r w:rsidR="00F64915">
        <w:rPr>
          <w:rFonts w:eastAsiaTheme="minorEastAsia"/>
          <w:sz w:val="24"/>
          <w:szCs w:val="24"/>
          <w:lang w:eastAsia="zh-CN"/>
        </w:rPr>
        <w:t xml:space="preserve"> (PhD)</w:t>
      </w:r>
      <w:r w:rsidRPr="009A730E">
        <w:rPr>
          <w:rFonts w:eastAsiaTheme="minorEastAsia"/>
          <w:sz w:val="24"/>
          <w:szCs w:val="24"/>
          <w:lang w:eastAsia="zh-CN"/>
        </w:rPr>
        <w:t>, Carolyn Chew-Graham</w:t>
      </w:r>
      <w:r w:rsidRPr="009A730E">
        <w:rPr>
          <w:rFonts w:eastAsiaTheme="minorEastAsia"/>
          <w:sz w:val="24"/>
          <w:szCs w:val="24"/>
          <w:vertAlign w:val="superscript"/>
          <w:lang w:eastAsia="zh-CN"/>
        </w:rPr>
        <w:t>1</w:t>
      </w:r>
      <w:proofErr w:type="gramStart"/>
      <w:r w:rsidRPr="009A730E">
        <w:rPr>
          <w:rFonts w:eastAsiaTheme="minorEastAsia"/>
          <w:sz w:val="24"/>
          <w:szCs w:val="24"/>
          <w:vertAlign w:val="superscript"/>
          <w:lang w:eastAsia="zh-CN"/>
        </w:rPr>
        <w:t>,</w:t>
      </w:r>
      <w:r w:rsidR="00C973AB">
        <w:rPr>
          <w:rFonts w:eastAsiaTheme="minorEastAsia"/>
          <w:sz w:val="24"/>
          <w:szCs w:val="24"/>
          <w:vertAlign w:val="superscript"/>
          <w:lang w:eastAsia="zh-CN"/>
        </w:rPr>
        <w:t>3</w:t>
      </w:r>
      <w:proofErr w:type="gramEnd"/>
      <w:r w:rsidR="00F64915">
        <w:rPr>
          <w:rFonts w:eastAsiaTheme="minorEastAsia"/>
          <w:sz w:val="24"/>
          <w:szCs w:val="24"/>
          <w:lang w:eastAsia="zh-CN"/>
        </w:rPr>
        <w:t xml:space="preserve"> (MD)</w:t>
      </w:r>
      <w:r w:rsidRPr="009A730E">
        <w:rPr>
          <w:rFonts w:eastAsiaTheme="minorEastAsia"/>
          <w:sz w:val="24"/>
          <w:szCs w:val="24"/>
          <w:lang w:eastAsia="zh-CN"/>
        </w:rPr>
        <w:t>, Richard Hubbard</w:t>
      </w:r>
      <w:r w:rsidRPr="009A730E">
        <w:rPr>
          <w:rFonts w:eastAsiaTheme="minorEastAsia"/>
          <w:sz w:val="24"/>
          <w:szCs w:val="24"/>
          <w:vertAlign w:val="superscript"/>
          <w:lang w:eastAsia="zh-CN"/>
        </w:rPr>
        <w:t>2</w:t>
      </w:r>
      <w:r w:rsidR="00F64915">
        <w:rPr>
          <w:rFonts w:eastAsiaTheme="minorEastAsia"/>
          <w:sz w:val="24"/>
          <w:szCs w:val="24"/>
          <w:lang w:eastAsia="zh-CN"/>
        </w:rPr>
        <w:t xml:space="preserve"> (MD)</w:t>
      </w:r>
      <w:r w:rsidRPr="009A730E">
        <w:rPr>
          <w:rFonts w:eastAsiaTheme="minorEastAsia"/>
          <w:sz w:val="24"/>
          <w:szCs w:val="24"/>
          <w:lang w:eastAsia="zh-CN"/>
        </w:rPr>
        <w:t>,</w:t>
      </w:r>
      <w:r w:rsidR="00583424">
        <w:rPr>
          <w:rFonts w:eastAsiaTheme="minorEastAsia"/>
          <w:sz w:val="24"/>
          <w:szCs w:val="24"/>
          <w:lang w:eastAsia="zh-CN"/>
        </w:rPr>
        <w:t xml:space="preserve"> Peter Croft</w:t>
      </w:r>
      <w:r w:rsidR="00047F68" w:rsidRPr="00047F68">
        <w:rPr>
          <w:rFonts w:eastAsiaTheme="minorEastAsia"/>
          <w:sz w:val="24"/>
          <w:szCs w:val="24"/>
          <w:vertAlign w:val="superscript"/>
          <w:lang w:eastAsia="zh-CN"/>
        </w:rPr>
        <w:t>1</w:t>
      </w:r>
      <w:r w:rsidR="00F64915">
        <w:rPr>
          <w:rFonts w:eastAsiaTheme="minorEastAsia"/>
          <w:sz w:val="24"/>
          <w:szCs w:val="24"/>
          <w:lang w:eastAsia="zh-CN"/>
        </w:rPr>
        <w:t xml:space="preserve"> (MD)</w:t>
      </w:r>
      <w:r w:rsidR="00583424">
        <w:rPr>
          <w:rFonts w:eastAsiaTheme="minorEastAsia"/>
          <w:sz w:val="24"/>
          <w:szCs w:val="24"/>
          <w:lang w:eastAsia="zh-CN"/>
        </w:rPr>
        <w:t>,</w:t>
      </w:r>
      <w:r w:rsidRPr="009A730E">
        <w:rPr>
          <w:rFonts w:eastAsiaTheme="minorEastAsia"/>
          <w:sz w:val="24"/>
          <w:szCs w:val="24"/>
          <w:lang w:eastAsia="zh-CN"/>
        </w:rPr>
        <w:t xml:space="preserve"> Keith Sims</w:t>
      </w:r>
      <w:r w:rsidR="00C973AB">
        <w:rPr>
          <w:rFonts w:eastAsiaTheme="minorEastAsia"/>
          <w:sz w:val="24"/>
          <w:szCs w:val="24"/>
          <w:vertAlign w:val="superscript"/>
          <w:lang w:eastAsia="zh-CN"/>
        </w:rPr>
        <w:t>4</w:t>
      </w:r>
      <w:r w:rsidRPr="009A730E">
        <w:rPr>
          <w:rFonts w:eastAsiaTheme="minorEastAsia"/>
          <w:sz w:val="24"/>
          <w:szCs w:val="24"/>
          <w:lang w:eastAsia="zh-CN"/>
        </w:rPr>
        <w:t xml:space="preserve">, Kelvin </w:t>
      </w:r>
      <w:r w:rsidR="00EA76E9">
        <w:rPr>
          <w:rFonts w:eastAsiaTheme="minorEastAsia"/>
          <w:sz w:val="24"/>
          <w:szCs w:val="24"/>
          <w:lang w:eastAsia="zh-CN"/>
        </w:rPr>
        <w:t xml:space="preserve">P </w:t>
      </w:r>
      <w:r w:rsidRPr="009A730E">
        <w:rPr>
          <w:rFonts w:eastAsiaTheme="minorEastAsia"/>
          <w:sz w:val="24"/>
          <w:szCs w:val="24"/>
          <w:lang w:eastAsia="zh-CN"/>
        </w:rPr>
        <w:t>Jordan</w:t>
      </w:r>
      <w:r w:rsidRPr="009A730E">
        <w:rPr>
          <w:rFonts w:eastAsiaTheme="minorEastAsia"/>
          <w:sz w:val="24"/>
          <w:szCs w:val="24"/>
          <w:vertAlign w:val="superscript"/>
          <w:lang w:eastAsia="zh-CN"/>
        </w:rPr>
        <w:t>1</w:t>
      </w:r>
      <w:r w:rsidR="00F64915">
        <w:rPr>
          <w:rFonts w:eastAsiaTheme="minorEastAsia"/>
          <w:sz w:val="24"/>
          <w:szCs w:val="24"/>
          <w:vertAlign w:val="superscript"/>
          <w:lang w:eastAsia="zh-CN"/>
        </w:rPr>
        <w:t xml:space="preserve"> </w:t>
      </w:r>
      <w:r w:rsidR="00F64915">
        <w:rPr>
          <w:rFonts w:eastAsiaTheme="minorEastAsia"/>
          <w:sz w:val="24"/>
          <w:szCs w:val="24"/>
          <w:lang w:eastAsia="zh-CN"/>
        </w:rPr>
        <w:t>(PhD)</w:t>
      </w:r>
    </w:p>
    <w:p w14:paraId="6BD33134" w14:textId="37233A6B" w:rsidR="00477023" w:rsidRDefault="00477023" w:rsidP="008A3F3F">
      <w:pPr>
        <w:spacing w:line="480" w:lineRule="auto"/>
        <w:rPr>
          <w:rFonts w:eastAsiaTheme="minorEastAsia"/>
          <w:sz w:val="24"/>
          <w:szCs w:val="24"/>
          <w:lang w:eastAsia="zh-CN"/>
        </w:rPr>
      </w:pPr>
      <w:r w:rsidRPr="009A730E">
        <w:rPr>
          <w:rFonts w:eastAsiaTheme="minorEastAsia"/>
          <w:sz w:val="24"/>
          <w:szCs w:val="24"/>
          <w:vertAlign w:val="superscript"/>
          <w:lang w:eastAsia="zh-CN"/>
        </w:rPr>
        <w:t>1</w:t>
      </w:r>
      <w:r w:rsidRPr="009A730E">
        <w:rPr>
          <w:rFonts w:eastAsiaTheme="minorEastAsia"/>
          <w:sz w:val="24"/>
          <w:szCs w:val="24"/>
          <w:lang w:eastAsia="zh-CN"/>
        </w:rPr>
        <w:t xml:space="preserve"> </w:t>
      </w:r>
      <w:r w:rsidR="002531F5" w:rsidRPr="002531F5">
        <w:rPr>
          <w:rFonts w:eastAsiaTheme="minorEastAsia"/>
          <w:sz w:val="24"/>
          <w:szCs w:val="24"/>
          <w:lang w:eastAsia="zh-CN"/>
        </w:rPr>
        <w:t xml:space="preserve">Research Institute for Primary Care and Health Sciences, David </w:t>
      </w:r>
      <w:proofErr w:type="spellStart"/>
      <w:r w:rsidR="002531F5" w:rsidRPr="002531F5">
        <w:rPr>
          <w:rFonts w:eastAsiaTheme="minorEastAsia"/>
          <w:sz w:val="24"/>
          <w:szCs w:val="24"/>
          <w:lang w:eastAsia="zh-CN"/>
        </w:rPr>
        <w:t>Weatherall</w:t>
      </w:r>
      <w:proofErr w:type="spellEnd"/>
      <w:r w:rsidR="002531F5" w:rsidRPr="002531F5">
        <w:rPr>
          <w:rFonts w:eastAsiaTheme="minorEastAsia"/>
          <w:sz w:val="24"/>
          <w:szCs w:val="24"/>
          <w:lang w:eastAsia="zh-CN"/>
        </w:rPr>
        <w:t xml:space="preserve"> Building, </w:t>
      </w:r>
      <w:proofErr w:type="spellStart"/>
      <w:r w:rsidR="002531F5" w:rsidRPr="002531F5">
        <w:rPr>
          <w:rFonts w:eastAsiaTheme="minorEastAsia"/>
          <w:sz w:val="24"/>
          <w:szCs w:val="24"/>
          <w:lang w:eastAsia="zh-CN"/>
        </w:rPr>
        <w:t>Keele</w:t>
      </w:r>
      <w:proofErr w:type="spellEnd"/>
      <w:r w:rsidR="002531F5" w:rsidRPr="002531F5">
        <w:rPr>
          <w:rFonts w:eastAsiaTheme="minorEastAsia"/>
          <w:sz w:val="24"/>
          <w:szCs w:val="24"/>
          <w:lang w:eastAsia="zh-CN"/>
        </w:rPr>
        <w:t xml:space="preserve"> University, Staffordshire, ST5 5BG</w:t>
      </w:r>
      <w:r w:rsidR="008A3F3F">
        <w:rPr>
          <w:rFonts w:eastAsiaTheme="minorEastAsia"/>
          <w:sz w:val="24"/>
          <w:szCs w:val="24"/>
          <w:lang w:eastAsia="zh-CN"/>
        </w:rPr>
        <w:t xml:space="preserve">; </w:t>
      </w:r>
      <w:r w:rsidRPr="00C973AB">
        <w:rPr>
          <w:rFonts w:eastAsiaTheme="minorEastAsia"/>
          <w:sz w:val="24"/>
          <w:szCs w:val="24"/>
          <w:vertAlign w:val="superscript"/>
          <w:lang w:eastAsia="zh-CN"/>
        </w:rPr>
        <w:t>2</w:t>
      </w:r>
      <w:r w:rsidRPr="009A730E">
        <w:rPr>
          <w:rFonts w:eastAsiaTheme="minorEastAsia"/>
          <w:sz w:val="24"/>
          <w:szCs w:val="24"/>
          <w:lang w:eastAsia="zh-CN"/>
        </w:rPr>
        <w:t xml:space="preserve"> Division of Epidemiology and Public Health, School of Medicine, University of Nottingham, Nottingham, UK</w:t>
      </w:r>
      <w:r w:rsidR="008A3F3F">
        <w:rPr>
          <w:rFonts w:eastAsiaTheme="minorEastAsia"/>
          <w:sz w:val="24"/>
          <w:szCs w:val="24"/>
          <w:lang w:eastAsia="zh-CN"/>
        </w:rPr>
        <w:t xml:space="preserve">; </w:t>
      </w:r>
      <w:r w:rsidR="008A3F3F" w:rsidRPr="008A3F3F">
        <w:rPr>
          <w:rFonts w:eastAsiaTheme="minorEastAsia"/>
          <w:sz w:val="24"/>
          <w:szCs w:val="24"/>
          <w:vertAlign w:val="superscript"/>
          <w:lang w:eastAsia="zh-CN"/>
        </w:rPr>
        <w:t>3</w:t>
      </w:r>
      <w:r w:rsidR="008A3F3F">
        <w:rPr>
          <w:rFonts w:eastAsiaTheme="minorEastAsia"/>
          <w:sz w:val="24"/>
          <w:szCs w:val="24"/>
          <w:lang w:eastAsia="zh-CN"/>
        </w:rPr>
        <w:t xml:space="preserve"> NIHR Collaboration for Leadership in Applied Health Research and Care West Midlands, </w:t>
      </w:r>
      <w:proofErr w:type="spellStart"/>
      <w:r w:rsidR="008A3F3F">
        <w:rPr>
          <w:rFonts w:eastAsiaTheme="minorEastAsia"/>
          <w:sz w:val="24"/>
          <w:szCs w:val="24"/>
          <w:lang w:eastAsia="zh-CN"/>
        </w:rPr>
        <w:t>Keele</w:t>
      </w:r>
      <w:proofErr w:type="spellEnd"/>
      <w:r w:rsidR="008A3F3F">
        <w:rPr>
          <w:rFonts w:eastAsiaTheme="minorEastAsia"/>
          <w:sz w:val="24"/>
          <w:szCs w:val="24"/>
          <w:lang w:eastAsia="zh-CN"/>
        </w:rPr>
        <w:t xml:space="preserve">, UK; </w:t>
      </w:r>
      <w:r w:rsidR="00C973AB" w:rsidRPr="008A3F3F">
        <w:rPr>
          <w:rFonts w:eastAsiaTheme="minorEastAsia"/>
          <w:sz w:val="24"/>
          <w:szCs w:val="24"/>
          <w:vertAlign w:val="superscript"/>
          <w:lang w:eastAsia="zh-CN"/>
        </w:rPr>
        <w:t>4</w:t>
      </w:r>
      <w:r w:rsidRPr="009A730E">
        <w:rPr>
          <w:rFonts w:eastAsiaTheme="minorEastAsia"/>
          <w:sz w:val="24"/>
          <w:szCs w:val="24"/>
          <w:lang w:eastAsia="zh-CN"/>
        </w:rPr>
        <w:t xml:space="preserve"> </w:t>
      </w:r>
      <w:r w:rsidR="00B02C25">
        <w:rPr>
          <w:rFonts w:eastAsiaTheme="minorEastAsia"/>
          <w:sz w:val="24"/>
          <w:szCs w:val="24"/>
          <w:lang w:eastAsia="zh-CN"/>
        </w:rPr>
        <w:t>North Staffordshire</w:t>
      </w:r>
      <w:r w:rsidRPr="009A730E">
        <w:rPr>
          <w:rFonts w:eastAsiaTheme="minorEastAsia"/>
          <w:sz w:val="24"/>
          <w:szCs w:val="24"/>
          <w:lang w:eastAsia="zh-CN"/>
        </w:rPr>
        <w:t xml:space="preserve"> branch, ‘Breathe Easy’ British Lung Foundation Support Group</w:t>
      </w:r>
      <w:r w:rsidR="00C4367A">
        <w:rPr>
          <w:rFonts w:eastAsiaTheme="minorEastAsia"/>
          <w:sz w:val="24"/>
          <w:szCs w:val="24"/>
          <w:lang w:eastAsia="zh-CN"/>
        </w:rPr>
        <w:t>, UK</w:t>
      </w:r>
      <w:r w:rsidR="008A3F3F">
        <w:rPr>
          <w:rFonts w:eastAsiaTheme="minorEastAsia"/>
          <w:sz w:val="24"/>
          <w:szCs w:val="24"/>
          <w:lang w:eastAsia="zh-CN"/>
        </w:rPr>
        <w:t>.</w:t>
      </w:r>
    </w:p>
    <w:p w14:paraId="7FC1332C" w14:textId="3D4B0F17" w:rsidR="003C211C" w:rsidRPr="00000667" w:rsidRDefault="003C211C" w:rsidP="003C211C">
      <w:pPr>
        <w:spacing w:line="480" w:lineRule="auto"/>
        <w:rPr>
          <w:rFonts w:eastAsiaTheme="minorEastAsia"/>
          <w:sz w:val="24"/>
          <w:szCs w:val="24"/>
          <w:lang w:eastAsia="zh-CN"/>
        </w:rPr>
      </w:pPr>
      <w:r w:rsidRPr="009A730E">
        <w:rPr>
          <w:rFonts w:eastAsiaTheme="minorEastAsia"/>
          <w:sz w:val="24"/>
          <w:szCs w:val="24"/>
          <w:lang w:eastAsia="zh-CN"/>
        </w:rPr>
        <w:t>Ying Chen</w:t>
      </w:r>
      <w:r>
        <w:rPr>
          <w:rFonts w:eastAsiaTheme="minorEastAsia"/>
          <w:sz w:val="24"/>
          <w:szCs w:val="24"/>
          <w:lang w:eastAsia="zh-CN"/>
        </w:rPr>
        <w:t>,</w:t>
      </w:r>
      <w:r w:rsidRPr="009A730E">
        <w:rPr>
          <w:rFonts w:eastAsiaTheme="minorEastAsia"/>
          <w:sz w:val="24"/>
          <w:szCs w:val="24"/>
          <w:lang w:eastAsia="zh-CN"/>
        </w:rPr>
        <w:t xml:space="preserve"> </w:t>
      </w:r>
      <w:r>
        <w:rPr>
          <w:rFonts w:eastAsiaTheme="minorEastAsia"/>
          <w:sz w:val="24"/>
          <w:szCs w:val="24"/>
          <w:lang w:eastAsia="zh-CN"/>
        </w:rPr>
        <w:t>c</w:t>
      </w:r>
      <w:r w:rsidRPr="00000667">
        <w:rPr>
          <w:rFonts w:eastAsiaTheme="minorEastAsia"/>
          <w:sz w:val="24"/>
          <w:szCs w:val="24"/>
          <w:lang w:eastAsia="zh-CN"/>
        </w:rPr>
        <w:t xml:space="preserve">orresponding </w:t>
      </w:r>
      <w:r>
        <w:rPr>
          <w:rFonts w:eastAsiaTheme="minorEastAsia"/>
          <w:sz w:val="24"/>
          <w:szCs w:val="24"/>
          <w:lang w:eastAsia="zh-CN"/>
        </w:rPr>
        <w:t>author</w:t>
      </w:r>
      <w:r w:rsidRPr="00000667">
        <w:rPr>
          <w:rFonts w:eastAsiaTheme="minorEastAsia"/>
          <w:sz w:val="24"/>
          <w:szCs w:val="24"/>
          <w:lang w:eastAsia="zh-CN"/>
        </w:rPr>
        <w:t xml:space="preserve"> </w:t>
      </w:r>
      <w:r>
        <w:rPr>
          <w:rFonts w:eastAsiaTheme="minorEastAsia"/>
          <w:sz w:val="24"/>
          <w:szCs w:val="24"/>
          <w:lang w:eastAsia="zh-CN"/>
        </w:rPr>
        <w:t>(</w:t>
      </w:r>
      <w:r w:rsidRPr="00000667">
        <w:rPr>
          <w:rFonts w:eastAsiaTheme="minorEastAsia"/>
          <w:sz w:val="24"/>
          <w:szCs w:val="24"/>
          <w:lang w:eastAsia="zh-CN"/>
        </w:rPr>
        <w:t xml:space="preserve">Research Institute for Primary Care &amp; Health Sciences, </w:t>
      </w:r>
      <w:proofErr w:type="spellStart"/>
      <w:r w:rsidRPr="00000667">
        <w:rPr>
          <w:rFonts w:eastAsiaTheme="minorEastAsia"/>
          <w:sz w:val="24"/>
          <w:szCs w:val="24"/>
          <w:lang w:eastAsia="zh-CN"/>
        </w:rPr>
        <w:t>Keele</w:t>
      </w:r>
      <w:proofErr w:type="spellEnd"/>
      <w:r w:rsidRPr="00000667">
        <w:rPr>
          <w:rFonts w:eastAsiaTheme="minorEastAsia"/>
          <w:sz w:val="24"/>
          <w:szCs w:val="24"/>
          <w:lang w:eastAsia="zh-CN"/>
        </w:rPr>
        <w:t xml:space="preserve"> University, Staffordshire</w:t>
      </w:r>
      <w:r>
        <w:rPr>
          <w:rFonts w:eastAsiaTheme="minorEastAsia"/>
          <w:sz w:val="24"/>
          <w:szCs w:val="24"/>
          <w:lang w:eastAsia="zh-CN"/>
        </w:rPr>
        <w:t xml:space="preserve"> UK</w:t>
      </w:r>
      <w:r w:rsidRPr="00000667">
        <w:rPr>
          <w:rFonts w:eastAsiaTheme="minorEastAsia"/>
          <w:sz w:val="24"/>
          <w:szCs w:val="24"/>
          <w:lang w:eastAsia="zh-CN"/>
        </w:rPr>
        <w:t>, ST5 5BG;</w:t>
      </w:r>
      <w:r>
        <w:rPr>
          <w:rFonts w:eastAsiaTheme="minorEastAsia"/>
          <w:sz w:val="24"/>
          <w:szCs w:val="24"/>
          <w:lang w:eastAsia="zh-CN"/>
        </w:rPr>
        <w:t xml:space="preserve"> y.chen1@keele.ac.uk;</w:t>
      </w:r>
      <w:r w:rsidRPr="00000667">
        <w:rPr>
          <w:rFonts w:eastAsiaTheme="minorEastAsia"/>
          <w:sz w:val="24"/>
          <w:szCs w:val="24"/>
          <w:lang w:eastAsia="zh-CN"/>
        </w:rPr>
        <w:t xml:space="preserve"> Tel:  </w:t>
      </w:r>
      <w:r>
        <w:rPr>
          <w:rFonts w:eastAsiaTheme="minorEastAsia"/>
          <w:sz w:val="24"/>
          <w:szCs w:val="24"/>
          <w:lang w:eastAsia="zh-CN"/>
        </w:rPr>
        <w:t>+44(0)</w:t>
      </w:r>
      <w:r w:rsidRPr="00000667">
        <w:rPr>
          <w:rFonts w:eastAsiaTheme="minorEastAsia"/>
          <w:sz w:val="24"/>
          <w:szCs w:val="24"/>
          <w:lang w:eastAsia="zh-CN"/>
        </w:rPr>
        <w:t>1782 733990</w:t>
      </w:r>
      <w:r>
        <w:rPr>
          <w:rFonts w:eastAsiaTheme="minorEastAsia"/>
          <w:sz w:val="24"/>
          <w:szCs w:val="24"/>
          <w:lang w:eastAsia="zh-CN"/>
        </w:rPr>
        <w:t>).</w:t>
      </w:r>
      <w:r w:rsidRPr="00000667">
        <w:rPr>
          <w:rFonts w:eastAsiaTheme="minorEastAsia"/>
          <w:sz w:val="24"/>
          <w:szCs w:val="24"/>
          <w:lang w:eastAsia="zh-CN"/>
        </w:rPr>
        <w:t> </w:t>
      </w:r>
    </w:p>
    <w:p w14:paraId="521438A6" w14:textId="77777777" w:rsidR="00A625D5" w:rsidRDefault="00A625D5" w:rsidP="0010787B">
      <w:pPr>
        <w:spacing w:after="0" w:line="480" w:lineRule="auto"/>
        <w:rPr>
          <w:rFonts w:eastAsiaTheme="minorEastAsia"/>
          <w:sz w:val="24"/>
          <w:szCs w:val="24"/>
          <w:lang w:eastAsia="zh-CN"/>
        </w:rPr>
      </w:pPr>
    </w:p>
    <w:p w14:paraId="4BAAB00E" w14:textId="77777777" w:rsidR="00A625D5" w:rsidRDefault="00A625D5" w:rsidP="0010787B">
      <w:pPr>
        <w:spacing w:after="0" w:line="480" w:lineRule="auto"/>
        <w:rPr>
          <w:rFonts w:eastAsiaTheme="minorEastAsia"/>
          <w:sz w:val="24"/>
          <w:szCs w:val="24"/>
          <w:lang w:eastAsia="zh-CN"/>
        </w:rPr>
      </w:pPr>
    </w:p>
    <w:p w14:paraId="62966BF3" w14:textId="77777777" w:rsidR="00A625D5" w:rsidRDefault="00A625D5" w:rsidP="0010787B">
      <w:pPr>
        <w:spacing w:after="0" w:line="480" w:lineRule="auto"/>
        <w:rPr>
          <w:rFonts w:eastAsiaTheme="minorEastAsia"/>
          <w:sz w:val="24"/>
          <w:szCs w:val="24"/>
          <w:lang w:eastAsia="zh-CN"/>
        </w:rPr>
      </w:pPr>
    </w:p>
    <w:p w14:paraId="55E78A99" w14:textId="77777777" w:rsidR="00A625D5" w:rsidRDefault="00A625D5" w:rsidP="0010787B">
      <w:pPr>
        <w:spacing w:after="0" w:line="480" w:lineRule="auto"/>
        <w:rPr>
          <w:rFonts w:eastAsiaTheme="minorEastAsia"/>
          <w:sz w:val="24"/>
          <w:szCs w:val="24"/>
          <w:lang w:eastAsia="zh-CN"/>
        </w:rPr>
      </w:pPr>
    </w:p>
    <w:p w14:paraId="32B72353" w14:textId="77777777" w:rsidR="00A625D5" w:rsidRDefault="00A625D5" w:rsidP="0010787B">
      <w:pPr>
        <w:spacing w:after="0" w:line="480" w:lineRule="auto"/>
        <w:rPr>
          <w:rFonts w:eastAsiaTheme="minorEastAsia"/>
          <w:sz w:val="24"/>
          <w:szCs w:val="24"/>
          <w:lang w:eastAsia="zh-CN"/>
        </w:rPr>
      </w:pPr>
    </w:p>
    <w:p w14:paraId="37AE39A7" w14:textId="77777777" w:rsidR="00A625D5" w:rsidRDefault="00A625D5" w:rsidP="0010787B">
      <w:pPr>
        <w:spacing w:after="0" w:line="480" w:lineRule="auto"/>
        <w:rPr>
          <w:rFonts w:eastAsiaTheme="minorEastAsia"/>
          <w:sz w:val="24"/>
          <w:szCs w:val="24"/>
          <w:lang w:eastAsia="zh-CN"/>
        </w:rPr>
      </w:pPr>
    </w:p>
    <w:p w14:paraId="6A0646E0" w14:textId="77777777" w:rsidR="00A625D5" w:rsidRDefault="00A625D5" w:rsidP="0010787B">
      <w:pPr>
        <w:spacing w:after="0" w:line="480" w:lineRule="auto"/>
        <w:rPr>
          <w:rFonts w:eastAsiaTheme="minorEastAsia"/>
          <w:sz w:val="24"/>
          <w:szCs w:val="24"/>
          <w:lang w:eastAsia="zh-CN"/>
        </w:rPr>
      </w:pPr>
    </w:p>
    <w:p w14:paraId="35643A70" w14:textId="77777777" w:rsidR="00A625D5" w:rsidRDefault="00A625D5" w:rsidP="0010787B">
      <w:pPr>
        <w:spacing w:after="0" w:line="480" w:lineRule="auto"/>
        <w:rPr>
          <w:rFonts w:eastAsiaTheme="minorEastAsia"/>
          <w:sz w:val="24"/>
          <w:szCs w:val="24"/>
          <w:lang w:eastAsia="zh-CN"/>
        </w:rPr>
      </w:pPr>
    </w:p>
    <w:p w14:paraId="4D9809F7" w14:textId="77777777" w:rsidR="00A625D5" w:rsidRDefault="00A625D5" w:rsidP="0010787B">
      <w:pPr>
        <w:spacing w:after="0" w:line="480" w:lineRule="auto"/>
        <w:rPr>
          <w:rFonts w:eastAsiaTheme="minorEastAsia"/>
          <w:sz w:val="24"/>
          <w:szCs w:val="24"/>
          <w:lang w:eastAsia="zh-CN"/>
        </w:rPr>
      </w:pPr>
    </w:p>
    <w:p w14:paraId="28871E2D" w14:textId="1A2E1F4A" w:rsidR="00A625D5" w:rsidRDefault="00A625D5" w:rsidP="00A625D5">
      <w:pPr>
        <w:spacing w:line="480" w:lineRule="auto"/>
        <w:rPr>
          <w:rFonts w:eastAsiaTheme="minorEastAsia"/>
          <w:b/>
          <w:sz w:val="24"/>
          <w:szCs w:val="24"/>
          <w:lang w:eastAsia="zh-CN"/>
        </w:rPr>
      </w:pPr>
      <w:r>
        <w:rPr>
          <w:rFonts w:eastAsiaTheme="minorEastAsia"/>
          <w:b/>
          <w:sz w:val="24"/>
          <w:szCs w:val="24"/>
          <w:lang w:eastAsia="zh-CN"/>
        </w:rPr>
        <w:lastRenderedPageBreak/>
        <w:t>Abstract</w:t>
      </w:r>
    </w:p>
    <w:p w14:paraId="629D6A2E" w14:textId="6B31AB17" w:rsidR="00A625D5" w:rsidRDefault="00A625D5" w:rsidP="00A625D5">
      <w:pPr>
        <w:spacing w:line="480" w:lineRule="auto"/>
        <w:rPr>
          <w:rFonts w:eastAsiaTheme="minorEastAsia"/>
          <w:sz w:val="24"/>
          <w:szCs w:val="24"/>
          <w:lang w:eastAsia="zh-CN"/>
        </w:rPr>
      </w:pPr>
      <w:r>
        <w:rPr>
          <w:rFonts w:eastAsiaTheme="minorEastAsia"/>
          <w:b/>
          <w:sz w:val="24"/>
          <w:szCs w:val="24"/>
          <w:lang w:eastAsia="zh-CN"/>
        </w:rPr>
        <w:t>Background:</w:t>
      </w:r>
      <w:r w:rsidR="00067E86">
        <w:rPr>
          <w:rFonts w:eastAsiaTheme="minorEastAsia"/>
          <w:b/>
          <w:sz w:val="24"/>
          <w:szCs w:val="24"/>
          <w:lang w:eastAsia="zh-CN"/>
        </w:rPr>
        <w:t xml:space="preserve"> </w:t>
      </w:r>
      <w:r>
        <w:rPr>
          <w:rFonts w:eastAsiaTheme="minorEastAsia"/>
          <w:sz w:val="24"/>
          <w:szCs w:val="24"/>
          <w:lang w:eastAsia="zh-CN"/>
        </w:rPr>
        <w:t xml:space="preserve">Breathlessness </w:t>
      </w:r>
      <w:r w:rsidR="00344DF0">
        <w:rPr>
          <w:rFonts w:eastAsiaTheme="minorEastAsia"/>
          <w:sz w:val="24"/>
          <w:szCs w:val="24"/>
          <w:lang w:eastAsia="zh-CN"/>
        </w:rPr>
        <w:t>is a</w:t>
      </w:r>
      <w:r>
        <w:rPr>
          <w:rFonts w:eastAsiaTheme="minorEastAsia"/>
          <w:sz w:val="24"/>
          <w:szCs w:val="24"/>
          <w:lang w:eastAsia="zh-CN"/>
        </w:rPr>
        <w:t xml:space="preserve"> common presentation in primary care, but </w:t>
      </w:r>
      <w:r w:rsidR="00B6399F">
        <w:rPr>
          <w:rFonts w:eastAsiaTheme="minorEastAsia"/>
          <w:sz w:val="24"/>
          <w:szCs w:val="24"/>
          <w:lang w:eastAsia="zh-CN"/>
        </w:rPr>
        <w:t>GP</w:t>
      </w:r>
      <w:r>
        <w:rPr>
          <w:rFonts w:eastAsiaTheme="minorEastAsia"/>
          <w:sz w:val="24"/>
          <w:szCs w:val="24"/>
          <w:lang w:eastAsia="zh-CN"/>
        </w:rPr>
        <w:t xml:space="preserve">s may not always record a diagnosis. </w:t>
      </w:r>
    </w:p>
    <w:p w14:paraId="4BFF4BA4" w14:textId="1D1F326D" w:rsidR="00A625D5" w:rsidRDefault="00067E86" w:rsidP="00A625D5">
      <w:pPr>
        <w:spacing w:line="480" w:lineRule="auto"/>
        <w:rPr>
          <w:rFonts w:eastAsiaTheme="minorEastAsia"/>
          <w:b/>
          <w:sz w:val="24"/>
          <w:szCs w:val="24"/>
          <w:lang w:eastAsia="zh-CN"/>
        </w:rPr>
      </w:pPr>
      <w:r>
        <w:rPr>
          <w:rFonts w:eastAsiaTheme="minorEastAsia"/>
          <w:b/>
          <w:sz w:val="24"/>
          <w:szCs w:val="24"/>
          <w:lang w:eastAsia="zh-CN"/>
        </w:rPr>
        <w:t>Aim</w:t>
      </w:r>
      <w:r w:rsidR="00A625D5" w:rsidRPr="00343CE5">
        <w:rPr>
          <w:rFonts w:eastAsiaTheme="minorEastAsia"/>
          <w:b/>
          <w:sz w:val="24"/>
          <w:szCs w:val="24"/>
          <w:lang w:eastAsia="zh-CN"/>
        </w:rPr>
        <w:t>:</w:t>
      </w:r>
      <w:r>
        <w:rPr>
          <w:rFonts w:eastAsiaTheme="minorEastAsia"/>
          <w:b/>
          <w:sz w:val="24"/>
          <w:szCs w:val="24"/>
          <w:lang w:eastAsia="zh-CN"/>
        </w:rPr>
        <w:t xml:space="preserve"> </w:t>
      </w:r>
      <w:r w:rsidR="00A625D5">
        <w:rPr>
          <w:rFonts w:eastAsiaTheme="minorEastAsia"/>
          <w:sz w:val="24"/>
          <w:szCs w:val="24"/>
          <w:lang w:eastAsia="zh-CN"/>
        </w:rPr>
        <w:t>To assess long-term risk of diagnosed COPD, asthma and IHD, and mortality in patients with undiagnosed breathlessness</w:t>
      </w:r>
      <w:r w:rsidR="00A625D5" w:rsidRPr="00BE2CAD">
        <w:rPr>
          <w:rFonts w:eastAsiaTheme="minorEastAsia"/>
          <w:sz w:val="24"/>
          <w:szCs w:val="24"/>
          <w:lang w:eastAsia="zh-CN"/>
        </w:rPr>
        <w:t>.</w:t>
      </w:r>
      <w:bookmarkStart w:id="0" w:name="_GoBack"/>
      <w:bookmarkEnd w:id="0"/>
    </w:p>
    <w:p w14:paraId="0AC35CF2" w14:textId="2D5831AC" w:rsidR="00067E86" w:rsidRDefault="00067E86" w:rsidP="00A625D5">
      <w:pPr>
        <w:spacing w:line="480" w:lineRule="auto"/>
        <w:rPr>
          <w:rFonts w:eastAsiaTheme="minorEastAsia"/>
          <w:sz w:val="24"/>
          <w:szCs w:val="24"/>
          <w:lang w:eastAsia="zh-CN"/>
        </w:rPr>
      </w:pPr>
      <w:r>
        <w:rPr>
          <w:rFonts w:eastAsiaTheme="minorEastAsia"/>
          <w:b/>
          <w:sz w:val="24"/>
          <w:szCs w:val="24"/>
          <w:lang w:eastAsia="zh-CN"/>
        </w:rPr>
        <w:t>Design and Setting</w:t>
      </w:r>
      <w:r w:rsidR="00A625D5">
        <w:rPr>
          <w:rFonts w:eastAsiaTheme="minorEastAsia"/>
          <w:b/>
          <w:sz w:val="24"/>
          <w:szCs w:val="24"/>
          <w:lang w:eastAsia="zh-CN"/>
        </w:rPr>
        <w:t>:</w:t>
      </w:r>
      <w:r>
        <w:rPr>
          <w:rFonts w:eastAsiaTheme="minorEastAsia"/>
          <w:b/>
          <w:sz w:val="24"/>
          <w:szCs w:val="24"/>
          <w:lang w:eastAsia="zh-CN"/>
        </w:rPr>
        <w:t xml:space="preserve"> </w:t>
      </w:r>
      <w:r w:rsidR="00A625D5">
        <w:rPr>
          <w:rFonts w:eastAsiaTheme="minorEastAsia"/>
          <w:sz w:val="24"/>
          <w:szCs w:val="24"/>
          <w:lang w:eastAsia="zh-CN"/>
        </w:rPr>
        <w:t>M</w:t>
      </w:r>
      <w:r w:rsidR="00A625D5" w:rsidRPr="00E46474">
        <w:rPr>
          <w:rFonts w:eastAsiaTheme="minorEastAsia"/>
          <w:sz w:val="24"/>
          <w:szCs w:val="24"/>
          <w:lang w:eastAsia="zh-CN"/>
        </w:rPr>
        <w:t xml:space="preserve">atched cohort study </w:t>
      </w:r>
      <w:r w:rsidRPr="004A557F">
        <w:rPr>
          <w:rFonts w:eastAsiaTheme="minorEastAsia" w:cstheme="minorHAnsi"/>
          <w:sz w:val="24"/>
          <w:szCs w:val="24"/>
          <w:lang w:eastAsia="zh-CN"/>
        </w:rPr>
        <w:t>set within</w:t>
      </w:r>
      <w:r w:rsidRPr="00E46474" w:rsidDel="00067E86">
        <w:rPr>
          <w:rFonts w:eastAsiaTheme="minorEastAsia"/>
          <w:sz w:val="24"/>
          <w:szCs w:val="24"/>
          <w:lang w:eastAsia="zh-CN"/>
        </w:rPr>
        <w:t xml:space="preserve"> </w:t>
      </w:r>
      <w:r w:rsidR="00A625D5">
        <w:rPr>
          <w:rFonts w:eastAsiaTheme="minorEastAsia"/>
          <w:sz w:val="24"/>
          <w:szCs w:val="24"/>
          <w:lang w:eastAsia="zh-CN"/>
        </w:rPr>
        <w:t xml:space="preserve">the </w:t>
      </w:r>
      <w:r w:rsidR="00A625D5" w:rsidRPr="00E46474">
        <w:rPr>
          <w:rFonts w:eastAsiaTheme="minorEastAsia"/>
          <w:sz w:val="24"/>
          <w:szCs w:val="24"/>
          <w:lang w:eastAsia="zh-CN"/>
        </w:rPr>
        <w:t>Clinical Practice Research Datalink</w:t>
      </w:r>
      <w:r w:rsidR="00A625D5">
        <w:rPr>
          <w:rFonts w:eastAsiaTheme="minorEastAsia"/>
          <w:sz w:val="24"/>
          <w:szCs w:val="24"/>
          <w:lang w:eastAsia="zh-CN"/>
        </w:rPr>
        <w:t xml:space="preserve">. </w:t>
      </w:r>
    </w:p>
    <w:p w14:paraId="1C059FC2" w14:textId="203EA3BE" w:rsidR="00A625D5" w:rsidRPr="001445C4" w:rsidRDefault="00067E86" w:rsidP="00A625D5">
      <w:pPr>
        <w:spacing w:line="480" w:lineRule="auto"/>
        <w:rPr>
          <w:lang w:val="en-US"/>
        </w:rPr>
      </w:pPr>
      <w:r w:rsidRPr="00067E86">
        <w:rPr>
          <w:rFonts w:eastAsiaTheme="minorEastAsia"/>
          <w:b/>
          <w:sz w:val="24"/>
          <w:szCs w:val="24"/>
          <w:lang w:eastAsia="zh-CN"/>
        </w:rPr>
        <w:t>Method</w:t>
      </w:r>
      <w:r>
        <w:rPr>
          <w:rFonts w:eastAsiaTheme="minorEastAsia"/>
          <w:sz w:val="24"/>
          <w:szCs w:val="24"/>
          <w:lang w:eastAsia="zh-CN"/>
        </w:rPr>
        <w:t xml:space="preserve">: </w:t>
      </w:r>
      <w:r w:rsidR="00A625D5">
        <w:rPr>
          <w:rFonts w:eastAsiaTheme="minorEastAsia"/>
          <w:sz w:val="24"/>
          <w:szCs w:val="24"/>
          <w:lang w:eastAsia="zh-CN"/>
        </w:rPr>
        <w:t xml:space="preserve">Adults </w:t>
      </w:r>
      <w:r w:rsidR="00A625D5" w:rsidRPr="009A730E">
        <w:rPr>
          <w:rFonts w:eastAsiaTheme="minorEastAsia"/>
          <w:sz w:val="24"/>
          <w:szCs w:val="24"/>
          <w:lang w:eastAsia="zh-CN"/>
        </w:rPr>
        <w:t>with first record</w:t>
      </w:r>
      <w:r w:rsidR="00A625D5">
        <w:rPr>
          <w:rFonts w:eastAsiaTheme="minorEastAsia"/>
          <w:sz w:val="24"/>
          <w:szCs w:val="24"/>
          <w:lang w:eastAsia="zh-CN"/>
        </w:rPr>
        <w:t>ed</w:t>
      </w:r>
      <w:r w:rsidR="00A625D5" w:rsidRPr="009A730E">
        <w:rPr>
          <w:rFonts w:eastAsiaTheme="minorEastAsia"/>
          <w:sz w:val="24"/>
          <w:szCs w:val="24"/>
          <w:lang w:eastAsia="zh-CN"/>
        </w:rPr>
        <w:t xml:space="preserve"> breathlessness </w:t>
      </w:r>
      <w:r w:rsidR="00A625D5">
        <w:rPr>
          <w:rFonts w:eastAsiaTheme="minorEastAsia"/>
          <w:sz w:val="24"/>
          <w:szCs w:val="24"/>
          <w:lang w:eastAsia="zh-CN"/>
        </w:rPr>
        <w:t>between</w:t>
      </w:r>
      <w:r w:rsidR="00A625D5" w:rsidRPr="009A730E">
        <w:rPr>
          <w:rFonts w:eastAsiaTheme="minorEastAsia"/>
          <w:sz w:val="24"/>
          <w:szCs w:val="24"/>
          <w:lang w:eastAsia="zh-CN"/>
        </w:rPr>
        <w:t xml:space="preserve"> 199</w:t>
      </w:r>
      <w:r w:rsidR="00A625D5">
        <w:rPr>
          <w:rFonts w:eastAsiaTheme="minorEastAsia"/>
          <w:sz w:val="24"/>
          <w:szCs w:val="24"/>
          <w:lang w:eastAsia="zh-CN"/>
        </w:rPr>
        <w:t xml:space="preserve">7–2010 </w:t>
      </w:r>
      <w:r w:rsidR="00A625D5" w:rsidRPr="001445C4">
        <w:rPr>
          <w:rFonts w:eastAsiaTheme="minorEastAsia"/>
          <w:sz w:val="24"/>
          <w:szCs w:val="24"/>
          <w:lang w:eastAsia="zh-CN"/>
        </w:rPr>
        <w:t>and</w:t>
      </w:r>
      <w:r w:rsidR="00A625D5" w:rsidRPr="001445C4">
        <w:rPr>
          <w:rFonts w:eastAsiaTheme="minorEastAsia" w:hint="eastAsia"/>
          <w:sz w:val="24"/>
          <w:szCs w:val="24"/>
          <w:lang w:eastAsia="zh-CN"/>
        </w:rPr>
        <w:t xml:space="preserve"> no</w:t>
      </w:r>
      <w:r w:rsidR="00A625D5" w:rsidRPr="001445C4">
        <w:rPr>
          <w:rFonts w:eastAsiaTheme="minorEastAsia"/>
          <w:sz w:val="24"/>
          <w:szCs w:val="24"/>
          <w:lang w:eastAsia="zh-CN"/>
        </w:rPr>
        <w:t xml:space="preserve"> prior diagnostic </w:t>
      </w:r>
      <w:proofErr w:type="gramStart"/>
      <w:r w:rsidR="00A625D5" w:rsidRPr="001445C4">
        <w:rPr>
          <w:rFonts w:eastAsiaTheme="minorEastAsia"/>
          <w:sz w:val="24"/>
          <w:szCs w:val="24"/>
          <w:lang w:eastAsia="zh-CN"/>
        </w:rPr>
        <w:t>or</w:t>
      </w:r>
      <w:proofErr w:type="gramEnd"/>
      <w:r w:rsidR="00A625D5" w:rsidRPr="001445C4">
        <w:rPr>
          <w:rFonts w:eastAsiaTheme="minorEastAsia"/>
          <w:sz w:val="24"/>
          <w:szCs w:val="24"/>
          <w:lang w:eastAsia="zh-CN"/>
        </w:rPr>
        <w:t xml:space="preserve"> prescription record for </w:t>
      </w:r>
      <w:r w:rsidR="00A625D5" w:rsidRPr="001445C4">
        <w:rPr>
          <w:rFonts w:eastAsiaTheme="minorEastAsia" w:hint="eastAsia"/>
          <w:sz w:val="24"/>
          <w:szCs w:val="24"/>
          <w:lang w:eastAsia="zh-CN"/>
        </w:rPr>
        <w:t xml:space="preserve">IHD or </w:t>
      </w:r>
      <w:r w:rsidR="00A625D5">
        <w:rPr>
          <w:rFonts w:eastAsiaTheme="minorEastAsia"/>
          <w:sz w:val="24"/>
          <w:szCs w:val="24"/>
          <w:lang w:eastAsia="zh-CN"/>
        </w:rPr>
        <w:t xml:space="preserve">a </w:t>
      </w:r>
      <w:r w:rsidR="00A625D5" w:rsidRPr="001445C4">
        <w:rPr>
          <w:rFonts w:eastAsiaTheme="minorEastAsia"/>
          <w:sz w:val="24"/>
          <w:szCs w:val="24"/>
          <w:lang w:eastAsia="zh-CN"/>
        </w:rPr>
        <w:t>respiratory disease</w:t>
      </w:r>
      <w:r w:rsidR="00A625D5" w:rsidRPr="001445C4">
        <w:rPr>
          <w:rFonts w:eastAsiaTheme="minorEastAsia" w:hint="eastAsia"/>
          <w:sz w:val="24"/>
          <w:szCs w:val="24"/>
          <w:lang w:eastAsia="zh-CN"/>
        </w:rPr>
        <w:t xml:space="preserve"> </w:t>
      </w:r>
      <w:r w:rsidR="00A625D5">
        <w:rPr>
          <w:rFonts w:eastAsiaTheme="minorEastAsia"/>
          <w:sz w:val="24"/>
          <w:szCs w:val="24"/>
          <w:lang w:eastAsia="zh-CN"/>
        </w:rPr>
        <w:t>(</w:t>
      </w:r>
      <w:r w:rsidR="008369CB">
        <w:rPr>
          <w:rFonts w:eastAsiaTheme="minorEastAsia"/>
          <w:sz w:val="24"/>
          <w:szCs w:val="24"/>
          <w:lang w:eastAsia="zh-CN"/>
        </w:rPr>
        <w:t>‘</w:t>
      </w:r>
      <w:r w:rsidR="00A625D5" w:rsidRPr="001445C4">
        <w:rPr>
          <w:rFonts w:eastAsiaTheme="minorEastAsia" w:hint="eastAsia"/>
          <w:sz w:val="24"/>
          <w:szCs w:val="24"/>
          <w:lang w:eastAsia="zh-CN"/>
        </w:rPr>
        <w:t>exposed</w:t>
      </w:r>
      <w:r w:rsidR="008369CB">
        <w:rPr>
          <w:rFonts w:eastAsiaTheme="minorEastAsia"/>
          <w:sz w:val="24"/>
          <w:szCs w:val="24"/>
          <w:lang w:eastAsia="zh-CN"/>
        </w:rPr>
        <w:t>’</w:t>
      </w:r>
      <w:r w:rsidR="00A625D5" w:rsidRPr="001445C4">
        <w:rPr>
          <w:rFonts w:eastAsiaTheme="minorEastAsia" w:hint="eastAsia"/>
          <w:sz w:val="24"/>
          <w:szCs w:val="24"/>
          <w:lang w:eastAsia="zh-CN"/>
        </w:rPr>
        <w:t xml:space="preserve"> cohort</w:t>
      </w:r>
      <w:r w:rsidR="00A625D5">
        <w:rPr>
          <w:rFonts w:eastAsiaTheme="minorEastAsia"/>
          <w:sz w:val="24"/>
          <w:szCs w:val="24"/>
          <w:lang w:eastAsia="zh-CN"/>
        </w:rPr>
        <w:t>)</w:t>
      </w:r>
      <w:r w:rsidR="00A625D5" w:rsidRPr="001445C4">
        <w:rPr>
          <w:rFonts w:eastAsiaTheme="minorEastAsia"/>
          <w:sz w:val="24"/>
          <w:szCs w:val="24"/>
          <w:lang w:eastAsia="zh-CN"/>
        </w:rPr>
        <w:t xml:space="preserve"> were matched to a</w:t>
      </w:r>
      <w:r w:rsidR="00A625D5" w:rsidRPr="001445C4">
        <w:rPr>
          <w:rFonts w:eastAsiaTheme="minorEastAsia" w:hint="eastAsia"/>
          <w:sz w:val="24"/>
          <w:szCs w:val="24"/>
          <w:lang w:eastAsia="zh-CN"/>
        </w:rPr>
        <w:t xml:space="preserve">n </w:t>
      </w:r>
      <w:r w:rsidR="00446597">
        <w:rPr>
          <w:rFonts w:eastAsiaTheme="minorEastAsia"/>
          <w:sz w:val="24"/>
          <w:szCs w:val="24"/>
          <w:lang w:eastAsia="zh-CN"/>
        </w:rPr>
        <w:t>‘</w:t>
      </w:r>
      <w:r w:rsidR="00A625D5" w:rsidRPr="001445C4">
        <w:rPr>
          <w:rFonts w:eastAsiaTheme="minorEastAsia" w:hint="eastAsia"/>
          <w:sz w:val="24"/>
          <w:szCs w:val="24"/>
          <w:lang w:eastAsia="zh-CN"/>
        </w:rPr>
        <w:t>unexposed</w:t>
      </w:r>
      <w:r w:rsidR="00446597">
        <w:rPr>
          <w:rFonts w:eastAsiaTheme="minorEastAsia"/>
          <w:sz w:val="24"/>
          <w:szCs w:val="24"/>
          <w:lang w:eastAsia="zh-CN"/>
        </w:rPr>
        <w:t>’</w:t>
      </w:r>
      <w:r w:rsidR="00A625D5" w:rsidRPr="001445C4">
        <w:rPr>
          <w:rFonts w:eastAsiaTheme="minorEastAsia" w:hint="eastAsia"/>
          <w:sz w:val="24"/>
          <w:szCs w:val="24"/>
          <w:lang w:eastAsia="zh-CN"/>
        </w:rPr>
        <w:t xml:space="preserve"> cohort</w:t>
      </w:r>
      <w:r w:rsidR="00A625D5" w:rsidRPr="001445C4">
        <w:rPr>
          <w:rFonts w:eastAsiaTheme="minorEastAsia"/>
          <w:sz w:val="24"/>
          <w:szCs w:val="24"/>
          <w:lang w:eastAsia="zh-CN"/>
        </w:rPr>
        <w:t xml:space="preserve">. </w:t>
      </w:r>
      <w:r w:rsidR="00A625D5">
        <w:rPr>
          <w:rFonts w:eastAsiaTheme="minorEastAsia"/>
          <w:sz w:val="24"/>
          <w:szCs w:val="24"/>
          <w:lang w:eastAsia="zh-CN"/>
        </w:rPr>
        <w:t>Analyses were adjusted</w:t>
      </w:r>
      <w:r w:rsidR="00A625D5" w:rsidRPr="001445C4">
        <w:rPr>
          <w:rFonts w:eastAsiaTheme="minorEastAsia" w:hint="eastAsia"/>
          <w:sz w:val="24"/>
          <w:szCs w:val="24"/>
          <w:lang w:eastAsia="zh-CN"/>
        </w:rPr>
        <w:t xml:space="preserve"> for </w:t>
      </w:r>
      <w:r w:rsidR="00A625D5" w:rsidRPr="001445C4">
        <w:rPr>
          <w:rFonts w:eastAsiaTheme="minorEastAsia"/>
          <w:sz w:val="24"/>
          <w:szCs w:val="24"/>
          <w:lang w:eastAsia="zh-CN"/>
        </w:rPr>
        <w:t xml:space="preserve">socio-demographic and co-morbid characteristics. </w:t>
      </w:r>
      <w:r w:rsidR="00A625D5" w:rsidRPr="001445C4">
        <w:t xml:space="preserve"> </w:t>
      </w:r>
    </w:p>
    <w:p w14:paraId="1ECE8C67" w14:textId="5956103C" w:rsidR="00A625D5" w:rsidRDefault="00A625D5" w:rsidP="00A625D5">
      <w:pPr>
        <w:spacing w:line="480" w:lineRule="auto"/>
        <w:rPr>
          <w:rFonts w:eastAsiaTheme="minorEastAsia"/>
          <w:sz w:val="24"/>
          <w:szCs w:val="24"/>
          <w:lang w:eastAsia="zh-CN"/>
        </w:rPr>
      </w:pPr>
      <w:r>
        <w:rPr>
          <w:rFonts w:eastAsiaTheme="minorEastAsia"/>
          <w:b/>
          <w:sz w:val="24"/>
          <w:szCs w:val="24"/>
          <w:lang w:eastAsia="zh-CN"/>
        </w:rPr>
        <w:t>Results:</w:t>
      </w:r>
      <w:r w:rsidR="00067E86">
        <w:rPr>
          <w:rFonts w:eastAsiaTheme="minorEastAsia"/>
          <w:b/>
          <w:sz w:val="24"/>
          <w:szCs w:val="24"/>
          <w:lang w:eastAsia="zh-CN"/>
        </w:rPr>
        <w:t xml:space="preserve"> </w:t>
      </w:r>
      <w:r w:rsidRPr="00EE1449">
        <w:rPr>
          <w:rFonts w:eastAsiaTheme="minorEastAsia"/>
          <w:sz w:val="24"/>
          <w:szCs w:val="24"/>
          <w:lang w:eastAsia="zh-CN"/>
        </w:rPr>
        <w:t xml:space="preserve">75,698 </w:t>
      </w:r>
      <w:r w:rsidR="00446597">
        <w:rPr>
          <w:rFonts w:eastAsiaTheme="minorEastAsia"/>
          <w:sz w:val="24"/>
          <w:szCs w:val="24"/>
          <w:lang w:eastAsia="zh-CN"/>
        </w:rPr>
        <w:t>‘</w:t>
      </w:r>
      <w:r w:rsidRPr="00EE1449">
        <w:rPr>
          <w:rFonts w:eastAsiaTheme="minorEastAsia" w:hint="eastAsia"/>
          <w:sz w:val="24"/>
          <w:szCs w:val="24"/>
          <w:lang w:eastAsia="zh-CN"/>
        </w:rPr>
        <w:t>exposed</w:t>
      </w:r>
      <w:r w:rsidR="00446597">
        <w:rPr>
          <w:rFonts w:eastAsiaTheme="minorEastAsia"/>
          <w:sz w:val="24"/>
          <w:szCs w:val="24"/>
          <w:lang w:eastAsia="zh-CN"/>
        </w:rPr>
        <w:t>’</w:t>
      </w:r>
      <w:r w:rsidRPr="00EE1449">
        <w:rPr>
          <w:rFonts w:eastAsiaTheme="minorEastAsia"/>
          <w:sz w:val="24"/>
          <w:szCs w:val="24"/>
          <w:lang w:eastAsia="zh-CN"/>
        </w:rPr>
        <w:t xml:space="preserve"> patients</w:t>
      </w:r>
      <w:r>
        <w:rPr>
          <w:rFonts w:eastAsiaTheme="minorEastAsia"/>
          <w:sz w:val="24"/>
          <w:szCs w:val="24"/>
          <w:lang w:eastAsia="zh-CN"/>
        </w:rPr>
        <w:t xml:space="preserve"> were followed for a median of 6.1 years</w:t>
      </w:r>
      <w:r w:rsidR="00446597">
        <w:rPr>
          <w:rFonts w:eastAsiaTheme="minorEastAsia"/>
          <w:sz w:val="24"/>
          <w:szCs w:val="24"/>
          <w:lang w:eastAsia="zh-CN"/>
        </w:rPr>
        <w:t xml:space="preserve">, </w:t>
      </w:r>
      <w:r w:rsidR="00B6399F">
        <w:rPr>
          <w:rFonts w:eastAsiaTheme="minorEastAsia"/>
          <w:sz w:val="24"/>
          <w:szCs w:val="24"/>
          <w:lang w:eastAsia="zh-CN"/>
        </w:rPr>
        <w:t>and</w:t>
      </w:r>
      <w:r w:rsidR="00446597">
        <w:rPr>
          <w:rFonts w:eastAsiaTheme="minorEastAsia"/>
          <w:sz w:val="24"/>
          <w:szCs w:val="24"/>
          <w:lang w:eastAsia="zh-CN"/>
        </w:rPr>
        <w:t xml:space="preserve"> </w:t>
      </w:r>
      <w:r w:rsidR="00446597" w:rsidRPr="004A557F">
        <w:rPr>
          <w:rFonts w:eastAsiaTheme="minorEastAsia" w:cstheme="minorHAnsi"/>
          <w:sz w:val="24"/>
          <w:szCs w:val="24"/>
          <w:lang w:eastAsia="zh-CN"/>
        </w:rPr>
        <w:t xml:space="preserve">more than </w:t>
      </w:r>
      <w:r w:rsidR="00446597">
        <w:rPr>
          <w:rFonts w:eastAsiaTheme="minorEastAsia" w:cstheme="minorHAnsi"/>
          <w:sz w:val="24"/>
          <w:szCs w:val="24"/>
          <w:lang w:eastAsia="zh-CN"/>
        </w:rPr>
        <w:t>a third</w:t>
      </w:r>
      <w:r w:rsidR="00446597" w:rsidRPr="004A557F">
        <w:rPr>
          <w:rFonts w:eastAsiaTheme="minorEastAsia" w:cstheme="minorHAnsi"/>
          <w:sz w:val="24"/>
          <w:szCs w:val="24"/>
          <w:lang w:eastAsia="zh-CN"/>
        </w:rPr>
        <w:t xml:space="preserve"> subsequently received a diagnosis of COPD, asthma or IHD</w:t>
      </w:r>
      <w:r>
        <w:rPr>
          <w:rFonts w:eastAsiaTheme="minorEastAsia"/>
          <w:sz w:val="24"/>
          <w:szCs w:val="24"/>
          <w:lang w:eastAsia="zh-CN"/>
        </w:rPr>
        <w:t xml:space="preserve">. In those who remained undiagnosed after six months, there were increased long-term risks of all three diagnoses compared to the </w:t>
      </w:r>
      <w:r w:rsidR="00446597">
        <w:rPr>
          <w:rFonts w:eastAsiaTheme="minorEastAsia"/>
          <w:sz w:val="24"/>
          <w:szCs w:val="24"/>
          <w:lang w:eastAsia="zh-CN"/>
        </w:rPr>
        <w:t>‘</w:t>
      </w:r>
      <w:r>
        <w:rPr>
          <w:rFonts w:eastAsiaTheme="minorEastAsia"/>
          <w:sz w:val="24"/>
          <w:szCs w:val="24"/>
          <w:lang w:eastAsia="zh-CN"/>
        </w:rPr>
        <w:t>unexposed</w:t>
      </w:r>
      <w:r w:rsidR="00446597">
        <w:rPr>
          <w:rFonts w:eastAsiaTheme="minorEastAsia"/>
          <w:sz w:val="24"/>
          <w:szCs w:val="24"/>
          <w:lang w:eastAsia="zh-CN"/>
        </w:rPr>
        <w:t>’</w:t>
      </w:r>
      <w:r>
        <w:rPr>
          <w:rFonts w:eastAsiaTheme="minorEastAsia"/>
          <w:sz w:val="24"/>
          <w:szCs w:val="24"/>
          <w:lang w:eastAsia="zh-CN"/>
        </w:rPr>
        <w:t xml:space="preserve"> cohort. Adjusted hazard ratios for COPD ranged from 8.6 (95%CI 6.8, 11.0) between 6-12 months to 2.8 (2.6, 3.0) after 36 months (asthma 11.7 to 4.3; IHD 3.0 to 1.6). Risk of long-term diagnosis remained higher in the </w:t>
      </w:r>
      <w:r w:rsidR="00446597">
        <w:rPr>
          <w:rFonts w:eastAsiaTheme="minorEastAsia"/>
          <w:sz w:val="24"/>
          <w:szCs w:val="24"/>
          <w:lang w:eastAsia="zh-CN"/>
        </w:rPr>
        <w:t>‘</w:t>
      </w:r>
      <w:r>
        <w:rPr>
          <w:rFonts w:eastAsiaTheme="minorEastAsia"/>
          <w:sz w:val="24"/>
          <w:szCs w:val="24"/>
          <w:lang w:eastAsia="zh-CN"/>
        </w:rPr>
        <w:t>exposed</w:t>
      </w:r>
      <w:r w:rsidR="00446597">
        <w:rPr>
          <w:rFonts w:eastAsiaTheme="minorEastAsia"/>
          <w:sz w:val="24"/>
          <w:szCs w:val="24"/>
          <w:lang w:eastAsia="zh-CN"/>
        </w:rPr>
        <w:t>’</w:t>
      </w:r>
      <w:r>
        <w:rPr>
          <w:rFonts w:eastAsiaTheme="minorEastAsia"/>
          <w:sz w:val="24"/>
          <w:szCs w:val="24"/>
          <w:lang w:eastAsia="zh-CN"/>
        </w:rPr>
        <w:t xml:space="preserve"> cohort with no relevant prescription in the first 6 months</w:t>
      </w:r>
      <w:r w:rsidR="00B6399F" w:rsidRPr="00D42ABC">
        <w:rPr>
          <w:rFonts w:eastAsiaTheme="minorEastAsia"/>
          <w:sz w:val="24"/>
          <w:szCs w:val="24"/>
          <w:lang w:eastAsia="zh-CN"/>
        </w:rPr>
        <w:t>, and approximately half of all future diagnoses were made in such patients</w:t>
      </w:r>
      <w:r>
        <w:rPr>
          <w:rFonts w:eastAsiaTheme="minorEastAsia"/>
          <w:sz w:val="24"/>
          <w:szCs w:val="24"/>
          <w:lang w:eastAsia="zh-CN"/>
        </w:rPr>
        <w:t xml:space="preserve">. Risk of earlier mortality (all-cause and disease-specific) was higher in the </w:t>
      </w:r>
      <w:r w:rsidR="00446597">
        <w:rPr>
          <w:rFonts w:eastAsiaTheme="minorEastAsia"/>
          <w:sz w:val="24"/>
          <w:szCs w:val="24"/>
          <w:lang w:eastAsia="zh-CN"/>
        </w:rPr>
        <w:t>‘</w:t>
      </w:r>
      <w:r>
        <w:rPr>
          <w:rFonts w:eastAsiaTheme="minorEastAsia"/>
          <w:sz w:val="24"/>
          <w:szCs w:val="24"/>
          <w:lang w:eastAsia="zh-CN"/>
        </w:rPr>
        <w:t>exposed</w:t>
      </w:r>
      <w:r w:rsidR="00446597">
        <w:rPr>
          <w:rFonts w:eastAsiaTheme="minorEastAsia"/>
          <w:sz w:val="24"/>
          <w:szCs w:val="24"/>
          <w:lang w:eastAsia="zh-CN"/>
        </w:rPr>
        <w:t>’</w:t>
      </w:r>
      <w:r>
        <w:rPr>
          <w:rFonts w:eastAsiaTheme="minorEastAsia"/>
          <w:sz w:val="24"/>
          <w:szCs w:val="24"/>
          <w:lang w:eastAsia="zh-CN"/>
        </w:rPr>
        <w:t xml:space="preserve"> cohort.</w:t>
      </w:r>
    </w:p>
    <w:p w14:paraId="74ED045C" w14:textId="7772DF5B" w:rsidR="00A625D5" w:rsidRDefault="00A625D5" w:rsidP="00A625D5">
      <w:pPr>
        <w:spacing w:line="480" w:lineRule="auto"/>
        <w:rPr>
          <w:rFonts w:eastAsiaTheme="minorEastAsia"/>
          <w:sz w:val="24"/>
          <w:szCs w:val="24"/>
          <w:lang w:eastAsia="zh-CN"/>
        </w:rPr>
      </w:pPr>
      <w:r>
        <w:rPr>
          <w:rFonts w:eastAsiaTheme="minorEastAsia"/>
          <w:b/>
          <w:sz w:val="24"/>
          <w:szCs w:val="24"/>
          <w:lang w:eastAsia="zh-CN"/>
        </w:rPr>
        <w:t>Conclusion</w:t>
      </w:r>
      <w:r w:rsidRPr="002E1187">
        <w:rPr>
          <w:rFonts w:eastAsiaTheme="minorEastAsia"/>
          <w:b/>
          <w:sz w:val="24"/>
          <w:szCs w:val="24"/>
          <w:lang w:eastAsia="zh-CN"/>
        </w:rPr>
        <w:t>:</w:t>
      </w:r>
      <w:r w:rsidR="00067E86">
        <w:rPr>
          <w:rFonts w:eastAsiaTheme="minorEastAsia"/>
          <w:b/>
          <w:sz w:val="24"/>
          <w:szCs w:val="24"/>
          <w:lang w:eastAsia="zh-CN"/>
        </w:rPr>
        <w:t xml:space="preserve"> </w:t>
      </w:r>
      <w:r>
        <w:rPr>
          <w:rFonts w:eastAsiaTheme="minorEastAsia"/>
          <w:sz w:val="24"/>
          <w:szCs w:val="24"/>
          <w:lang w:eastAsia="zh-CN"/>
        </w:rPr>
        <w:t>Undiagnosed b</w:t>
      </w:r>
      <w:r w:rsidRPr="003E1FC1">
        <w:rPr>
          <w:rFonts w:eastAsiaTheme="minorEastAsia"/>
          <w:sz w:val="24"/>
          <w:szCs w:val="24"/>
          <w:lang w:eastAsia="zh-CN"/>
        </w:rPr>
        <w:t>reathlessness can be an indicator of later COPD</w:t>
      </w:r>
      <w:r>
        <w:rPr>
          <w:rFonts w:eastAsiaTheme="minorEastAsia"/>
          <w:sz w:val="24"/>
          <w:szCs w:val="24"/>
          <w:lang w:eastAsia="zh-CN"/>
        </w:rPr>
        <w:t>, asthma</w:t>
      </w:r>
      <w:r w:rsidRPr="003E1FC1">
        <w:rPr>
          <w:rFonts w:eastAsiaTheme="minorEastAsia"/>
          <w:sz w:val="24"/>
          <w:szCs w:val="24"/>
          <w:lang w:eastAsia="zh-CN"/>
        </w:rPr>
        <w:t xml:space="preserve"> and IHD</w:t>
      </w:r>
      <w:r>
        <w:rPr>
          <w:rFonts w:eastAsiaTheme="minorEastAsia"/>
          <w:sz w:val="24"/>
          <w:szCs w:val="24"/>
          <w:lang w:eastAsia="zh-CN"/>
        </w:rPr>
        <w:t xml:space="preserve">, and </w:t>
      </w:r>
      <w:r w:rsidR="008369CB">
        <w:rPr>
          <w:rFonts w:eastAsiaTheme="minorEastAsia"/>
          <w:sz w:val="24"/>
          <w:szCs w:val="24"/>
          <w:lang w:eastAsia="zh-CN"/>
        </w:rPr>
        <w:t>is</w:t>
      </w:r>
      <w:r>
        <w:rPr>
          <w:rFonts w:eastAsiaTheme="minorEastAsia"/>
          <w:sz w:val="24"/>
          <w:szCs w:val="24"/>
          <w:lang w:eastAsia="zh-CN"/>
        </w:rPr>
        <w:t xml:space="preserve"> associated with earlier mortality</w:t>
      </w:r>
      <w:r w:rsidRPr="003E1FC1">
        <w:rPr>
          <w:rFonts w:eastAsiaTheme="minorEastAsia"/>
          <w:sz w:val="24"/>
          <w:szCs w:val="24"/>
          <w:lang w:eastAsia="zh-CN"/>
        </w:rPr>
        <w:t xml:space="preserve">. </w:t>
      </w:r>
      <w:r>
        <w:rPr>
          <w:rFonts w:eastAsiaTheme="minorEastAsia"/>
          <w:sz w:val="24"/>
          <w:szCs w:val="24"/>
          <w:lang w:eastAsia="zh-CN"/>
        </w:rPr>
        <w:t xml:space="preserve">There is </w:t>
      </w:r>
      <w:r w:rsidRPr="003E1FC1">
        <w:rPr>
          <w:rFonts w:eastAsiaTheme="minorEastAsia"/>
          <w:sz w:val="24"/>
          <w:szCs w:val="24"/>
          <w:lang w:eastAsia="zh-CN"/>
        </w:rPr>
        <w:t xml:space="preserve">potential for </w:t>
      </w:r>
      <w:r>
        <w:rPr>
          <w:rFonts w:eastAsiaTheme="minorEastAsia"/>
          <w:sz w:val="24"/>
          <w:szCs w:val="24"/>
          <w:lang w:eastAsia="zh-CN"/>
        </w:rPr>
        <w:t xml:space="preserve">improved </w:t>
      </w:r>
      <w:r w:rsidRPr="003E1FC1">
        <w:rPr>
          <w:rFonts w:eastAsiaTheme="minorEastAsia"/>
          <w:sz w:val="24"/>
          <w:szCs w:val="24"/>
          <w:lang w:eastAsia="zh-CN"/>
        </w:rPr>
        <w:t xml:space="preserve">identification at first </w:t>
      </w:r>
      <w:r w:rsidRPr="003E1FC1">
        <w:rPr>
          <w:rFonts w:eastAsiaTheme="minorEastAsia"/>
          <w:sz w:val="24"/>
          <w:szCs w:val="24"/>
          <w:lang w:eastAsia="zh-CN"/>
        </w:rPr>
        <w:lastRenderedPageBreak/>
        <w:t xml:space="preserve">presentation </w:t>
      </w:r>
      <w:r>
        <w:rPr>
          <w:rFonts w:eastAsiaTheme="minorEastAsia"/>
          <w:sz w:val="24"/>
          <w:szCs w:val="24"/>
          <w:lang w:eastAsia="zh-CN"/>
        </w:rPr>
        <w:t xml:space="preserve">in primary care </w:t>
      </w:r>
      <w:r w:rsidRPr="003E1FC1">
        <w:rPr>
          <w:rFonts w:eastAsiaTheme="minorEastAsia"/>
          <w:sz w:val="24"/>
          <w:szCs w:val="24"/>
          <w:lang w:eastAsia="zh-CN"/>
        </w:rPr>
        <w:t xml:space="preserve">of those at high risk of future disease, </w:t>
      </w:r>
      <w:r>
        <w:rPr>
          <w:rFonts w:eastAsiaTheme="minorEastAsia"/>
          <w:sz w:val="24"/>
          <w:szCs w:val="24"/>
          <w:lang w:eastAsia="zh-CN"/>
        </w:rPr>
        <w:t>with careful assessment, appropriate intervention and pro-active follow-up and monitoring.</w:t>
      </w:r>
    </w:p>
    <w:p w14:paraId="160231BE" w14:textId="1100D3CC" w:rsidR="00CB692F" w:rsidRPr="00446597" w:rsidRDefault="0094468E" w:rsidP="00792113">
      <w:pPr>
        <w:spacing w:line="480" w:lineRule="auto"/>
        <w:rPr>
          <w:rFonts w:eastAsiaTheme="minorEastAsia"/>
          <w:sz w:val="24"/>
          <w:szCs w:val="24"/>
          <w:lang w:eastAsia="zh-CN"/>
        </w:rPr>
      </w:pPr>
      <w:r w:rsidRPr="00446597">
        <w:rPr>
          <w:rFonts w:eastAsiaTheme="minorEastAsia"/>
          <w:b/>
          <w:sz w:val="24"/>
          <w:szCs w:val="24"/>
          <w:lang w:eastAsia="zh-CN"/>
        </w:rPr>
        <w:t>Keywords</w:t>
      </w:r>
      <w:r w:rsidR="00446597" w:rsidRPr="00446597">
        <w:rPr>
          <w:rFonts w:eastAsiaTheme="minorEastAsia"/>
          <w:b/>
          <w:sz w:val="24"/>
          <w:szCs w:val="24"/>
          <w:lang w:eastAsia="zh-CN"/>
        </w:rPr>
        <w:t>:</w:t>
      </w:r>
      <w:r w:rsidR="00446597" w:rsidRPr="00446597">
        <w:rPr>
          <w:rFonts w:eastAsiaTheme="minorEastAsia"/>
          <w:sz w:val="24"/>
          <w:szCs w:val="24"/>
          <w:lang w:eastAsia="zh-CN"/>
        </w:rPr>
        <w:t xml:space="preserve"> </w:t>
      </w:r>
      <w:r w:rsidRPr="00446597">
        <w:rPr>
          <w:rFonts w:eastAsiaTheme="minorEastAsia"/>
          <w:sz w:val="24"/>
          <w:szCs w:val="24"/>
          <w:lang w:eastAsia="zh-CN"/>
        </w:rPr>
        <w:t>Dyspnoea</w:t>
      </w:r>
      <w:r w:rsidR="00446597" w:rsidRPr="00446597">
        <w:rPr>
          <w:rFonts w:eastAsiaTheme="minorEastAsia"/>
          <w:sz w:val="24"/>
          <w:szCs w:val="24"/>
          <w:lang w:eastAsia="zh-CN"/>
        </w:rPr>
        <w:t xml:space="preserve">, </w:t>
      </w:r>
      <w:r w:rsidRPr="00446597">
        <w:rPr>
          <w:rFonts w:eastAsiaTheme="minorEastAsia"/>
          <w:sz w:val="24"/>
          <w:szCs w:val="24"/>
          <w:lang w:eastAsia="zh-CN"/>
        </w:rPr>
        <w:t>Chronic Obstructive Pulmonary Disease</w:t>
      </w:r>
      <w:r w:rsidR="00446597" w:rsidRPr="00446597">
        <w:rPr>
          <w:rFonts w:eastAsiaTheme="minorEastAsia"/>
          <w:sz w:val="24"/>
          <w:szCs w:val="24"/>
          <w:lang w:eastAsia="zh-CN"/>
        </w:rPr>
        <w:t xml:space="preserve">, </w:t>
      </w:r>
      <w:r w:rsidRPr="00446597">
        <w:rPr>
          <w:rFonts w:eastAsiaTheme="minorEastAsia"/>
          <w:sz w:val="24"/>
          <w:szCs w:val="24"/>
          <w:lang w:eastAsia="zh-CN"/>
        </w:rPr>
        <w:t>Asthma</w:t>
      </w:r>
      <w:r w:rsidR="00446597" w:rsidRPr="00446597">
        <w:rPr>
          <w:rFonts w:eastAsiaTheme="minorEastAsia"/>
          <w:sz w:val="24"/>
          <w:szCs w:val="24"/>
          <w:lang w:eastAsia="zh-CN"/>
        </w:rPr>
        <w:t xml:space="preserve">, </w:t>
      </w:r>
      <w:r w:rsidRPr="00446597">
        <w:rPr>
          <w:rFonts w:eastAsiaTheme="minorEastAsia"/>
          <w:sz w:val="24"/>
          <w:szCs w:val="24"/>
          <w:lang w:eastAsia="zh-CN"/>
        </w:rPr>
        <w:t xml:space="preserve">Ischemic </w:t>
      </w:r>
      <w:r w:rsidR="008369CB">
        <w:rPr>
          <w:rFonts w:eastAsiaTheme="minorEastAsia"/>
          <w:sz w:val="24"/>
          <w:szCs w:val="24"/>
          <w:lang w:eastAsia="zh-CN"/>
        </w:rPr>
        <w:t>H</w:t>
      </w:r>
      <w:r w:rsidRPr="00446597">
        <w:rPr>
          <w:rFonts w:eastAsiaTheme="minorEastAsia"/>
          <w:sz w:val="24"/>
          <w:szCs w:val="24"/>
          <w:lang w:eastAsia="zh-CN"/>
        </w:rPr>
        <w:t xml:space="preserve">eart </w:t>
      </w:r>
      <w:r w:rsidR="008369CB">
        <w:rPr>
          <w:rFonts w:eastAsiaTheme="minorEastAsia"/>
          <w:sz w:val="24"/>
          <w:szCs w:val="24"/>
          <w:lang w:eastAsia="zh-CN"/>
        </w:rPr>
        <w:t>D</w:t>
      </w:r>
      <w:r w:rsidRPr="00446597">
        <w:rPr>
          <w:rFonts w:eastAsiaTheme="minorEastAsia"/>
          <w:sz w:val="24"/>
          <w:szCs w:val="24"/>
          <w:lang w:eastAsia="zh-CN"/>
        </w:rPr>
        <w:t>isease</w:t>
      </w:r>
      <w:r w:rsidR="00446597" w:rsidRPr="00446597">
        <w:rPr>
          <w:rFonts w:eastAsiaTheme="minorEastAsia"/>
          <w:sz w:val="24"/>
          <w:szCs w:val="24"/>
          <w:lang w:eastAsia="zh-CN"/>
        </w:rPr>
        <w:t xml:space="preserve">, </w:t>
      </w:r>
      <w:r w:rsidRPr="00446597">
        <w:rPr>
          <w:rFonts w:eastAsiaTheme="minorEastAsia"/>
          <w:sz w:val="24"/>
          <w:szCs w:val="24"/>
          <w:lang w:eastAsia="zh-CN"/>
        </w:rPr>
        <w:t xml:space="preserve">Primary </w:t>
      </w:r>
      <w:r w:rsidR="008369CB">
        <w:rPr>
          <w:rFonts w:eastAsiaTheme="minorEastAsia"/>
          <w:sz w:val="24"/>
          <w:szCs w:val="24"/>
          <w:lang w:eastAsia="zh-CN"/>
        </w:rPr>
        <w:t>H</w:t>
      </w:r>
      <w:r w:rsidRPr="00446597">
        <w:rPr>
          <w:rFonts w:eastAsiaTheme="minorEastAsia"/>
          <w:sz w:val="24"/>
          <w:szCs w:val="24"/>
          <w:lang w:eastAsia="zh-CN"/>
        </w:rPr>
        <w:t xml:space="preserve">ealth </w:t>
      </w:r>
      <w:r w:rsidR="008369CB">
        <w:rPr>
          <w:rFonts w:eastAsiaTheme="minorEastAsia"/>
          <w:sz w:val="24"/>
          <w:szCs w:val="24"/>
          <w:lang w:eastAsia="zh-CN"/>
        </w:rPr>
        <w:t>C</w:t>
      </w:r>
      <w:r w:rsidRPr="00446597">
        <w:rPr>
          <w:rFonts w:eastAsiaTheme="minorEastAsia"/>
          <w:sz w:val="24"/>
          <w:szCs w:val="24"/>
          <w:lang w:eastAsia="zh-CN"/>
        </w:rPr>
        <w:t>are</w:t>
      </w:r>
      <w:r w:rsidR="00446597" w:rsidRPr="00446597">
        <w:rPr>
          <w:rFonts w:eastAsiaTheme="minorEastAsia"/>
          <w:sz w:val="24"/>
          <w:szCs w:val="24"/>
          <w:lang w:eastAsia="zh-CN"/>
        </w:rPr>
        <w:t xml:space="preserve">, </w:t>
      </w:r>
      <w:r w:rsidR="00CB692F" w:rsidRPr="00446597">
        <w:rPr>
          <w:rFonts w:eastAsiaTheme="minorEastAsia"/>
          <w:sz w:val="24"/>
          <w:szCs w:val="24"/>
          <w:lang w:eastAsia="zh-CN"/>
        </w:rPr>
        <w:t>Electronic Health Records</w:t>
      </w:r>
      <w:r w:rsidR="00446597">
        <w:rPr>
          <w:rFonts w:eastAsiaTheme="minorEastAsia"/>
          <w:sz w:val="24"/>
          <w:szCs w:val="24"/>
          <w:lang w:eastAsia="zh-CN"/>
        </w:rPr>
        <w:t>.</w:t>
      </w:r>
    </w:p>
    <w:p w14:paraId="0123F6CD" w14:textId="47291B8E" w:rsidR="0094468E" w:rsidRDefault="00CB692F" w:rsidP="00792113">
      <w:pPr>
        <w:spacing w:line="480" w:lineRule="auto"/>
        <w:rPr>
          <w:rFonts w:eastAsiaTheme="minorEastAsia"/>
          <w:b/>
          <w:sz w:val="24"/>
          <w:szCs w:val="24"/>
          <w:lang w:eastAsia="zh-CN"/>
        </w:rPr>
      </w:pPr>
      <w:r w:rsidRPr="00D908AC">
        <w:rPr>
          <w:rFonts w:eastAsiaTheme="minorEastAsia"/>
          <w:b/>
          <w:sz w:val="24"/>
          <w:szCs w:val="24"/>
          <w:lang w:eastAsia="zh-CN"/>
        </w:rPr>
        <w:t>How this fit in</w:t>
      </w:r>
    </w:p>
    <w:p w14:paraId="44560845" w14:textId="49FC571C" w:rsidR="0009587C" w:rsidRDefault="00BE51BC" w:rsidP="00792113">
      <w:pPr>
        <w:spacing w:line="480" w:lineRule="auto"/>
        <w:rPr>
          <w:rFonts w:eastAsiaTheme="minorEastAsia"/>
          <w:b/>
          <w:sz w:val="24"/>
          <w:szCs w:val="24"/>
          <w:lang w:eastAsia="zh-CN"/>
        </w:rPr>
      </w:pPr>
      <w:r w:rsidRPr="004A557F">
        <w:rPr>
          <w:rFonts w:eastAsiaTheme="minorEastAsia" w:cstheme="minorHAnsi"/>
          <w:sz w:val="24"/>
          <w:szCs w:val="24"/>
          <w:lang w:eastAsia="zh-CN"/>
        </w:rPr>
        <w:t xml:space="preserve">The prospective </w:t>
      </w:r>
      <w:r>
        <w:rPr>
          <w:rFonts w:eastAsiaTheme="minorEastAsia" w:cstheme="minorHAnsi"/>
          <w:sz w:val="24"/>
          <w:szCs w:val="24"/>
          <w:lang w:eastAsia="zh-CN"/>
        </w:rPr>
        <w:t>picture</w:t>
      </w:r>
      <w:r w:rsidRPr="004A557F">
        <w:rPr>
          <w:rFonts w:eastAsiaTheme="minorEastAsia" w:cstheme="minorHAnsi"/>
          <w:sz w:val="24"/>
          <w:szCs w:val="24"/>
          <w:lang w:eastAsia="zh-CN"/>
        </w:rPr>
        <w:t xml:space="preserve"> of what happens in the future to patients who present with </w:t>
      </w:r>
      <w:r w:rsidR="00F32D73">
        <w:rPr>
          <w:rFonts w:eastAsiaTheme="minorEastAsia" w:cstheme="minorHAnsi"/>
          <w:sz w:val="24"/>
          <w:szCs w:val="24"/>
          <w:lang w:eastAsia="zh-CN"/>
        </w:rPr>
        <w:t xml:space="preserve">initial </w:t>
      </w:r>
      <w:r w:rsidRPr="004A557F">
        <w:rPr>
          <w:rFonts w:eastAsiaTheme="minorEastAsia" w:cstheme="minorHAnsi"/>
          <w:sz w:val="24"/>
          <w:szCs w:val="24"/>
          <w:lang w:eastAsia="zh-CN"/>
        </w:rPr>
        <w:t>breathlessness in primary care but not given a diagnostic labe</w:t>
      </w:r>
      <w:r>
        <w:rPr>
          <w:rFonts w:eastAsiaTheme="minorEastAsia" w:cstheme="minorHAnsi"/>
          <w:sz w:val="24"/>
          <w:szCs w:val="24"/>
          <w:lang w:eastAsia="zh-CN"/>
        </w:rPr>
        <w:t>l for their symptom</w:t>
      </w:r>
      <w:r w:rsidR="000E3BE6">
        <w:rPr>
          <w:rFonts w:eastAsiaTheme="minorEastAsia" w:cstheme="minorHAnsi"/>
          <w:sz w:val="24"/>
          <w:szCs w:val="24"/>
          <w:lang w:eastAsia="zh-CN"/>
        </w:rPr>
        <w:t xml:space="preserve"> </w:t>
      </w:r>
      <w:r w:rsidR="00F32D73">
        <w:rPr>
          <w:rFonts w:eastAsiaTheme="minorEastAsia" w:cstheme="minorHAnsi"/>
          <w:sz w:val="24"/>
          <w:szCs w:val="24"/>
          <w:lang w:eastAsia="zh-CN"/>
        </w:rPr>
        <w:t>was</w:t>
      </w:r>
      <w:r w:rsidR="000E3BE6">
        <w:rPr>
          <w:rFonts w:eastAsiaTheme="minorEastAsia" w:cstheme="minorHAnsi"/>
          <w:sz w:val="24"/>
          <w:szCs w:val="24"/>
          <w:lang w:eastAsia="zh-CN"/>
        </w:rPr>
        <w:t xml:space="preserve"> not known. This study shows that future disease burden of COPD, asthma and IHD is high and earl</w:t>
      </w:r>
      <w:r w:rsidR="00A76FA7">
        <w:rPr>
          <w:rFonts w:eastAsiaTheme="minorEastAsia" w:cstheme="minorHAnsi"/>
          <w:sz w:val="24"/>
          <w:szCs w:val="24"/>
          <w:lang w:eastAsia="zh-CN"/>
        </w:rPr>
        <w:t>ier</w:t>
      </w:r>
      <w:r w:rsidR="000E3BE6">
        <w:rPr>
          <w:rFonts w:eastAsiaTheme="minorEastAsia" w:cstheme="minorHAnsi"/>
          <w:sz w:val="24"/>
          <w:szCs w:val="24"/>
          <w:lang w:eastAsia="zh-CN"/>
        </w:rPr>
        <w:t xml:space="preserve"> mortality is increased in patients presenting </w:t>
      </w:r>
      <w:r w:rsidR="000E3BE6">
        <w:rPr>
          <w:rFonts w:eastAsiaTheme="minorEastAsia"/>
          <w:sz w:val="24"/>
          <w:szCs w:val="24"/>
          <w:lang w:eastAsia="zh-CN"/>
        </w:rPr>
        <w:t>undiagnosed breathlessness.</w:t>
      </w:r>
      <w:r w:rsidR="00AA3E06">
        <w:rPr>
          <w:rFonts w:eastAsiaTheme="minorEastAsia"/>
          <w:sz w:val="24"/>
          <w:szCs w:val="24"/>
          <w:lang w:eastAsia="zh-CN"/>
        </w:rPr>
        <w:t xml:space="preserve"> In those who receive</w:t>
      </w:r>
      <w:r w:rsidR="000E3BE6">
        <w:rPr>
          <w:rFonts w:eastAsiaTheme="minorEastAsia"/>
          <w:sz w:val="24"/>
          <w:szCs w:val="24"/>
          <w:lang w:eastAsia="zh-CN"/>
        </w:rPr>
        <w:t xml:space="preserve"> no relevant prescription in the first 6 months, the increased risk of future diagnoses of COPD, asthma and IHD re</w:t>
      </w:r>
      <w:r w:rsidR="00AA3E06">
        <w:rPr>
          <w:rFonts w:eastAsiaTheme="minorEastAsia"/>
          <w:sz w:val="24"/>
          <w:szCs w:val="24"/>
          <w:lang w:eastAsia="zh-CN"/>
        </w:rPr>
        <w:t xml:space="preserve">mains, which may represent a missed opportunity for early management. Our findings suggest the potential for more and detailed investigation and monitoring to better confirm or rule out COPD, asthma and IHD, and for early intervention among patients presenting with breathlessness. </w:t>
      </w:r>
    </w:p>
    <w:p w14:paraId="48AB6690" w14:textId="77777777" w:rsidR="0009587C" w:rsidRDefault="0009587C" w:rsidP="00792113">
      <w:pPr>
        <w:spacing w:line="480" w:lineRule="auto"/>
        <w:rPr>
          <w:rFonts w:eastAsiaTheme="minorEastAsia"/>
          <w:b/>
          <w:sz w:val="24"/>
          <w:szCs w:val="24"/>
          <w:lang w:eastAsia="zh-CN"/>
        </w:rPr>
      </w:pPr>
    </w:p>
    <w:p w14:paraId="7354EE12" w14:textId="77777777" w:rsidR="0009587C" w:rsidRDefault="0009587C" w:rsidP="00792113">
      <w:pPr>
        <w:spacing w:line="480" w:lineRule="auto"/>
        <w:rPr>
          <w:rFonts w:eastAsiaTheme="minorEastAsia"/>
          <w:b/>
          <w:sz w:val="24"/>
          <w:szCs w:val="24"/>
          <w:lang w:eastAsia="zh-CN"/>
        </w:rPr>
      </w:pPr>
    </w:p>
    <w:p w14:paraId="624D5075" w14:textId="77777777" w:rsidR="00AA3E06" w:rsidRDefault="00AA3E06" w:rsidP="004A557F">
      <w:pPr>
        <w:spacing w:line="480" w:lineRule="auto"/>
        <w:rPr>
          <w:rFonts w:eastAsiaTheme="minorEastAsia" w:cstheme="minorHAnsi"/>
          <w:sz w:val="24"/>
          <w:szCs w:val="24"/>
          <w:lang w:eastAsia="zh-CN"/>
        </w:rPr>
      </w:pPr>
    </w:p>
    <w:p w14:paraId="2557057B" w14:textId="77777777" w:rsidR="00AA3E06" w:rsidRDefault="00AA3E06" w:rsidP="004A557F">
      <w:pPr>
        <w:spacing w:line="480" w:lineRule="auto"/>
        <w:rPr>
          <w:rFonts w:eastAsiaTheme="minorEastAsia" w:cstheme="minorHAnsi"/>
          <w:sz w:val="24"/>
          <w:szCs w:val="24"/>
          <w:lang w:eastAsia="zh-CN"/>
        </w:rPr>
      </w:pPr>
    </w:p>
    <w:p w14:paraId="13C923F9" w14:textId="77777777" w:rsidR="00E62A0E" w:rsidRDefault="00E62A0E" w:rsidP="004A557F">
      <w:pPr>
        <w:spacing w:line="480" w:lineRule="auto"/>
        <w:rPr>
          <w:rFonts w:eastAsiaTheme="minorEastAsia" w:cstheme="minorHAnsi"/>
          <w:b/>
          <w:sz w:val="24"/>
          <w:szCs w:val="24"/>
          <w:lang w:eastAsia="zh-CN"/>
        </w:rPr>
      </w:pPr>
    </w:p>
    <w:p w14:paraId="59EE2E61" w14:textId="77777777" w:rsidR="00E62A0E" w:rsidRDefault="00E62A0E" w:rsidP="004A557F">
      <w:pPr>
        <w:spacing w:line="480" w:lineRule="auto"/>
        <w:rPr>
          <w:rFonts w:eastAsiaTheme="minorEastAsia" w:cstheme="minorHAnsi"/>
          <w:b/>
          <w:sz w:val="24"/>
          <w:szCs w:val="24"/>
          <w:lang w:eastAsia="zh-CN"/>
        </w:rPr>
      </w:pPr>
    </w:p>
    <w:p w14:paraId="015524CD" w14:textId="550FCB11" w:rsidR="00477023" w:rsidRPr="00A76FA7" w:rsidRDefault="00477023" w:rsidP="004A557F">
      <w:pPr>
        <w:spacing w:line="480" w:lineRule="auto"/>
        <w:rPr>
          <w:rFonts w:eastAsiaTheme="minorEastAsia" w:cstheme="minorHAnsi"/>
          <w:b/>
          <w:sz w:val="24"/>
          <w:szCs w:val="24"/>
          <w:lang w:eastAsia="zh-CN"/>
        </w:rPr>
      </w:pPr>
      <w:r w:rsidRPr="00A76FA7">
        <w:rPr>
          <w:rFonts w:eastAsiaTheme="minorEastAsia" w:cstheme="minorHAnsi"/>
          <w:b/>
          <w:sz w:val="24"/>
          <w:szCs w:val="24"/>
          <w:lang w:eastAsia="zh-CN"/>
        </w:rPr>
        <w:lastRenderedPageBreak/>
        <w:t>Introduction</w:t>
      </w:r>
    </w:p>
    <w:p w14:paraId="68FE7411" w14:textId="287DE874" w:rsidR="001E1E96" w:rsidRPr="004A557F" w:rsidRDefault="00EA76E9"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E</w:t>
      </w:r>
      <w:r w:rsidR="00092B39" w:rsidRPr="004A557F">
        <w:rPr>
          <w:rFonts w:eastAsiaTheme="minorEastAsia" w:cstheme="minorHAnsi"/>
          <w:sz w:val="24"/>
          <w:szCs w:val="24"/>
          <w:lang w:eastAsia="zh-CN"/>
        </w:rPr>
        <w:t>arly</w:t>
      </w:r>
      <w:r w:rsidR="00477023" w:rsidRPr="004A557F">
        <w:rPr>
          <w:rFonts w:eastAsiaTheme="minorEastAsia" w:cstheme="minorHAnsi"/>
          <w:sz w:val="24"/>
          <w:szCs w:val="24"/>
          <w:lang w:eastAsia="zh-CN"/>
        </w:rPr>
        <w:t xml:space="preserve"> diagnosis</w:t>
      </w:r>
      <w:r w:rsidRPr="004A557F">
        <w:rPr>
          <w:rFonts w:eastAsiaTheme="minorEastAsia" w:cstheme="minorHAnsi"/>
          <w:sz w:val="24"/>
          <w:szCs w:val="24"/>
          <w:lang w:eastAsia="zh-CN"/>
        </w:rPr>
        <w:t xml:space="preserve"> of chronic disease</w:t>
      </w:r>
      <w:r w:rsidR="00832315" w:rsidRPr="004A557F">
        <w:rPr>
          <w:rFonts w:eastAsiaTheme="minorEastAsia" w:cstheme="minorHAnsi"/>
          <w:sz w:val="24"/>
          <w:szCs w:val="24"/>
          <w:lang w:eastAsia="zh-CN"/>
        </w:rPr>
        <w:t>,</w:t>
      </w:r>
      <w:r w:rsidR="00477023" w:rsidRPr="004A557F">
        <w:rPr>
          <w:rFonts w:eastAsiaTheme="minorEastAsia" w:cstheme="minorHAnsi"/>
          <w:sz w:val="24"/>
          <w:szCs w:val="24"/>
          <w:lang w:eastAsia="zh-CN"/>
        </w:rPr>
        <w:t xml:space="preserve"> with the possibility of early intervention</w:t>
      </w:r>
      <w:r w:rsidR="00832315" w:rsidRPr="004A557F">
        <w:rPr>
          <w:rFonts w:eastAsiaTheme="minorEastAsia" w:cstheme="minorHAnsi"/>
          <w:sz w:val="24"/>
          <w:szCs w:val="24"/>
          <w:lang w:eastAsia="zh-CN"/>
        </w:rPr>
        <w:t>,</w:t>
      </w:r>
      <w:r w:rsidR="00477023" w:rsidRPr="004A557F">
        <w:rPr>
          <w:rFonts w:eastAsiaTheme="minorEastAsia" w:cstheme="minorHAnsi"/>
          <w:sz w:val="24"/>
          <w:szCs w:val="24"/>
          <w:lang w:eastAsia="zh-CN"/>
        </w:rPr>
        <w:t xml:space="preserve"> </w:t>
      </w:r>
      <w:r w:rsidR="00092B39" w:rsidRPr="004A557F">
        <w:rPr>
          <w:rFonts w:eastAsiaTheme="minorEastAsia" w:cstheme="minorHAnsi"/>
          <w:sz w:val="24"/>
          <w:szCs w:val="24"/>
          <w:lang w:eastAsia="zh-CN"/>
        </w:rPr>
        <w:t>c</w:t>
      </w:r>
      <w:r w:rsidR="006E09A5" w:rsidRPr="004A557F">
        <w:rPr>
          <w:rFonts w:eastAsiaTheme="minorEastAsia" w:cstheme="minorHAnsi"/>
          <w:sz w:val="24"/>
          <w:szCs w:val="24"/>
          <w:lang w:eastAsia="zh-CN"/>
        </w:rPr>
        <w:t xml:space="preserve">ould </w:t>
      </w:r>
      <w:r w:rsidR="00092B39" w:rsidRPr="004A557F">
        <w:rPr>
          <w:rFonts w:eastAsiaTheme="minorEastAsia" w:cstheme="minorHAnsi"/>
          <w:sz w:val="24"/>
          <w:szCs w:val="24"/>
          <w:lang w:eastAsia="zh-CN"/>
        </w:rPr>
        <w:t xml:space="preserve">deliver </w:t>
      </w:r>
      <w:r w:rsidR="00477023" w:rsidRPr="004A557F">
        <w:rPr>
          <w:rFonts w:eastAsiaTheme="minorEastAsia" w:cstheme="minorHAnsi"/>
          <w:sz w:val="24"/>
          <w:szCs w:val="24"/>
          <w:lang w:eastAsia="zh-CN"/>
        </w:rPr>
        <w:t>significant health benefits.</w:t>
      </w:r>
      <w:r w:rsidR="00142AFB" w:rsidRPr="004A557F">
        <w:rPr>
          <w:rFonts w:eastAsiaTheme="minorEastAsia" w:cstheme="minorHAnsi"/>
          <w:sz w:val="24"/>
          <w:szCs w:val="24"/>
          <w:vertAlign w:val="superscript"/>
          <w:lang w:eastAsia="zh-CN"/>
        </w:rPr>
        <w:t>1-</w:t>
      </w:r>
      <w:r w:rsidR="00A04BF1">
        <w:rPr>
          <w:rFonts w:eastAsiaTheme="minorEastAsia" w:cstheme="minorHAnsi"/>
          <w:sz w:val="24"/>
          <w:szCs w:val="24"/>
          <w:vertAlign w:val="superscript"/>
          <w:lang w:eastAsia="zh-CN"/>
        </w:rPr>
        <w:t>5</w:t>
      </w:r>
      <w:r w:rsidR="00F32D73">
        <w:rPr>
          <w:rFonts w:eastAsiaTheme="minorEastAsia" w:cstheme="minorHAnsi"/>
          <w:sz w:val="24"/>
          <w:szCs w:val="24"/>
          <w:vertAlign w:val="superscript"/>
          <w:lang w:eastAsia="zh-CN"/>
        </w:rPr>
        <w:t xml:space="preserve"> </w:t>
      </w:r>
      <w:r w:rsidR="00477023" w:rsidRPr="004A557F">
        <w:rPr>
          <w:rFonts w:eastAsiaTheme="minorEastAsia" w:cstheme="minorHAnsi"/>
          <w:sz w:val="24"/>
          <w:szCs w:val="24"/>
          <w:lang w:eastAsia="zh-CN"/>
        </w:rPr>
        <w:t xml:space="preserve">For example, early recognition of </w:t>
      </w:r>
      <w:r w:rsidR="00F24B55" w:rsidRPr="004A557F">
        <w:rPr>
          <w:rFonts w:eastAsiaTheme="minorEastAsia" w:cstheme="minorHAnsi"/>
          <w:sz w:val="24"/>
          <w:szCs w:val="24"/>
          <w:lang w:eastAsia="zh-CN"/>
        </w:rPr>
        <w:t>chronic obstructive pulmonary disease (</w:t>
      </w:r>
      <w:r w:rsidR="00477023" w:rsidRPr="004A557F">
        <w:rPr>
          <w:rFonts w:eastAsiaTheme="minorEastAsia" w:cstheme="minorHAnsi"/>
          <w:sz w:val="24"/>
          <w:szCs w:val="24"/>
          <w:lang w:eastAsia="zh-CN"/>
        </w:rPr>
        <w:t>COPD</w:t>
      </w:r>
      <w:r w:rsidR="00F24B55" w:rsidRPr="004A557F">
        <w:rPr>
          <w:rFonts w:eastAsiaTheme="minorEastAsia" w:cstheme="minorHAnsi"/>
          <w:sz w:val="24"/>
          <w:szCs w:val="24"/>
          <w:lang w:eastAsia="zh-CN"/>
        </w:rPr>
        <w:t>)</w:t>
      </w:r>
      <w:r w:rsidR="00477023" w:rsidRPr="004A557F">
        <w:rPr>
          <w:rFonts w:eastAsiaTheme="minorEastAsia" w:cstheme="minorHAnsi"/>
          <w:sz w:val="24"/>
          <w:szCs w:val="24"/>
          <w:lang w:eastAsia="zh-CN"/>
        </w:rPr>
        <w:t xml:space="preserve"> and intervention with </w:t>
      </w:r>
      <w:r w:rsidR="00832315" w:rsidRPr="004A557F">
        <w:rPr>
          <w:rFonts w:eastAsiaTheme="minorEastAsia" w:cstheme="minorHAnsi"/>
          <w:sz w:val="24"/>
          <w:szCs w:val="24"/>
          <w:lang w:eastAsia="zh-CN"/>
        </w:rPr>
        <w:t xml:space="preserve">smoking cessation </w:t>
      </w:r>
      <w:r w:rsidR="00477023" w:rsidRPr="004A557F">
        <w:rPr>
          <w:rFonts w:eastAsiaTheme="minorEastAsia" w:cstheme="minorHAnsi"/>
          <w:sz w:val="24"/>
          <w:szCs w:val="24"/>
          <w:lang w:eastAsia="zh-CN"/>
        </w:rPr>
        <w:t>could have major health benefits for the patient</w:t>
      </w:r>
      <w:proofErr w:type="gramStart"/>
      <w:r w:rsidR="00E83A02" w:rsidRPr="004A557F">
        <w:rPr>
          <w:rFonts w:eastAsiaTheme="minorEastAsia" w:cstheme="minorHAnsi"/>
          <w:sz w:val="24"/>
          <w:szCs w:val="24"/>
          <w:lang w:eastAsia="zh-CN"/>
        </w:rPr>
        <w:t>,</w:t>
      </w:r>
      <w:r w:rsidR="00142AFB" w:rsidRPr="004A557F">
        <w:rPr>
          <w:rFonts w:eastAsiaTheme="minorEastAsia" w:cstheme="minorHAnsi"/>
          <w:sz w:val="24"/>
          <w:szCs w:val="24"/>
          <w:vertAlign w:val="superscript"/>
          <w:lang w:eastAsia="zh-CN"/>
        </w:rPr>
        <w:t>6</w:t>
      </w:r>
      <w:proofErr w:type="gramEnd"/>
      <w:r w:rsidR="00142AFB" w:rsidRPr="004A557F">
        <w:rPr>
          <w:rFonts w:eastAsiaTheme="minorEastAsia" w:cstheme="minorHAnsi"/>
          <w:sz w:val="24"/>
          <w:szCs w:val="24"/>
          <w:vertAlign w:val="superscript"/>
          <w:lang w:eastAsia="zh-CN"/>
        </w:rPr>
        <w:t>-8</w:t>
      </w:r>
      <w:r w:rsidR="00477023" w:rsidRPr="004A557F">
        <w:rPr>
          <w:rFonts w:eastAsiaTheme="minorEastAsia" w:cstheme="minorHAnsi"/>
          <w:sz w:val="24"/>
          <w:szCs w:val="24"/>
          <w:lang w:eastAsia="zh-CN"/>
        </w:rPr>
        <w:t xml:space="preserve"> whilst timely intervention with appropriate medication</w:t>
      </w:r>
      <w:r w:rsidR="009A78A2" w:rsidRPr="004A557F">
        <w:rPr>
          <w:rFonts w:eastAsiaTheme="minorEastAsia" w:cstheme="minorHAnsi"/>
          <w:sz w:val="24"/>
          <w:szCs w:val="24"/>
          <w:lang w:eastAsia="zh-CN"/>
        </w:rPr>
        <w:t xml:space="preserve"> in asthma </w:t>
      </w:r>
      <w:r w:rsidR="00477023" w:rsidRPr="004A557F">
        <w:rPr>
          <w:rFonts w:eastAsiaTheme="minorEastAsia" w:cstheme="minorHAnsi"/>
          <w:sz w:val="24"/>
          <w:szCs w:val="24"/>
          <w:lang w:eastAsia="zh-CN"/>
        </w:rPr>
        <w:t>alleviate</w:t>
      </w:r>
      <w:r w:rsidR="006A35D5" w:rsidRPr="004A557F">
        <w:rPr>
          <w:rFonts w:eastAsiaTheme="minorEastAsia" w:cstheme="minorHAnsi"/>
          <w:sz w:val="24"/>
          <w:szCs w:val="24"/>
          <w:lang w:eastAsia="zh-CN"/>
        </w:rPr>
        <w:t>s</w:t>
      </w:r>
      <w:r w:rsidR="00477023" w:rsidRPr="004A557F">
        <w:rPr>
          <w:rFonts w:eastAsiaTheme="minorEastAsia" w:cstheme="minorHAnsi"/>
          <w:sz w:val="24"/>
          <w:szCs w:val="24"/>
          <w:lang w:eastAsia="zh-CN"/>
        </w:rPr>
        <w:t xml:space="preserve"> symptoms and reduce</w:t>
      </w:r>
      <w:r w:rsidR="006A35D5" w:rsidRPr="004A557F">
        <w:rPr>
          <w:rFonts w:eastAsiaTheme="minorEastAsia" w:cstheme="minorHAnsi"/>
          <w:sz w:val="24"/>
          <w:szCs w:val="24"/>
          <w:lang w:eastAsia="zh-CN"/>
        </w:rPr>
        <w:t>s</w:t>
      </w:r>
      <w:r w:rsidR="00477023" w:rsidRPr="004A557F">
        <w:rPr>
          <w:rFonts w:eastAsiaTheme="minorEastAsia" w:cstheme="minorHAnsi"/>
          <w:sz w:val="24"/>
          <w:szCs w:val="24"/>
          <w:lang w:eastAsia="zh-CN"/>
        </w:rPr>
        <w:t xml:space="preserve"> emergency admissions in </w:t>
      </w:r>
      <w:r w:rsidR="00832315" w:rsidRPr="004A557F">
        <w:rPr>
          <w:rFonts w:eastAsiaTheme="minorEastAsia" w:cstheme="minorHAnsi"/>
          <w:sz w:val="24"/>
          <w:szCs w:val="24"/>
          <w:lang w:eastAsia="zh-CN"/>
        </w:rPr>
        <w:t xml:space="preserve">adolescents and </w:t>
      </w:r>
      <w:r w:rsidR="00477023" w:rsidRPr="004A557F">
        <w:rPr>
          <w:rFonts w:eastAsiaTheme="minorEastAsia" w:cstheme="minorHAnsi"/>
          <w:sz w:val="24"/>
          <w:szCs w:val="24"/>
          <w:lang w:eastAsia="zh-CN"/>
        </w:rPr>
        <w:t>adults</w:t>
      </w:r>
      <w:r w:rsidR="001F554C" w:rsidRPr="004A557F">
        <w:rPr>
          <w:rFonts w:eastAsiaTheme="minorEastAsia" w:cstheme="minorHAnsi"/>
          <w:sz w:val="24"/>
          <w:szCs w:val="24"/>
          <w:lang w:eastAsia="zh-CN"/>
        </w:rPr>
        <w:t>.</w:t>
      </w:r>
      <w:r w:rsidR="00142AFB" w:rsidRPr="004A557F">
        <w:rPr>
          <w:rFonts w:eastAsiaTheme="minorEastAsia" w:cstheme="minorHAnsi"/>
          <w:sz w:val="24"/>
          <w:szCs w:val="24"/>
          <w:vertAlign w:val="superscript"/>
          <w:lang w:eastAsia="zh-CN"/>
        </w:rPr>
        <w:t>9</w:t>
      </w:r>
    </w:p>
    <w:p w14:paraId="54A541F8" w14:textId="5B7FEA7D" w:rsidR="004E6FB5" w:rsidRPr="004A557F" w:rsidRDefault="00A04BF1" w:rsidP="004A557F">
      <w:pPr>
        <w:spacing w:line="480" w:lineRule="auto"/>
        <w:rPr>
          <w:rFonts w:eastAsiaTheme="minorEastAsia" w:cstheme="minorHAnsi"/>
          <w:sz w:val="24"/>
          <w:szCs w:val="24"/>
          <w:lang w:eastAsia="zh-CN"/>
        </w:rPr>
      </w:pPr>
      <w:r w:rsidRPr="00503F71">
        <w:rPr>
          <w:rFonts w:eastAsiaTheme="minorEastAsia" w:cs="Helvetica"/>
          <w:sz w:val="24"/>
          <w:szCs w:val="24"/>
          <w:lang w:eastAsia="zh-CN"/>
        </w:rPr>
        <w:t>In UK primary care</w:t>
      </w:r>
      <w:r w:rsidRPr="00503F71">
        <w:rPr>
          <w:rFonts w:eastAsiaTheme="minorEastAsia"/>
          <w:sz w:val="24"/>
          <w:szCs w:val="24"/>
          <w:lang w:eastAsia="zh-CN"/>
        </w:rPr>
        <w:t>,</w:t>
      </w:r>
      <w:r w:rsidRPr="0020643E">
        <w:rPr>
          <w:rFonts w:eastAsiaTheme="minorEastAsia"/>
          <w:sz w:val="24"/>
          <w:szCs w:val="24"/>
          <w:lang w:eastAsia="zh-CN"/>
        </w:rPr>
        <w:t xml:space="preserve"> problems, including disease labels, are generally recorded using </w:t>
      </w:r>
      <w:r w:rsidR="00140493">
        <w:rPr>
          <w:rFonts w:eastAsiaTheme="minorEastAsia"/>
          <w:sz w:val="24"/>
          <w:szCs w:val="24"/>
          <w:lang w:eastAsia="zh-CN"/>
        </w:rPr>
        <w:t>the ‘</w:t>
      </w:r>
      <w:r w:rsidRPr="0020643E">
        <w:rPr>
          <w:rFonts w:eastAsiaTheme="minorEastAsia"/>
          <w:sz w:val="24"/>
          <w:szCs w:val="24"/>
          <w:lang w:eastAsia="zh-CN"/>
        </w:rPr>
        <w:t>Read</w:t>
      </w:r>
      <w:r w:rsidR="00140493">
        <w:rPr>
          <w:rFonts w:eastAsiaTheme="minorEastAsia"/>
          <w:sz w:val="24"/>
          <w:szCs w:val="24"/>
          <w:lang w:eastAsia="zh-CN"/>
        </w:rPr>
        <w:t>’</w:t>
      </w:r>
      <w:r w:rsidRPr="0020643E">
        <w:rPr>
          <w:rFonts w:eastAsiaTheme="minorEastAsia"/>
          <w:sz w:val="24"/>
          <w:szCs w:val="24"/>
          <w:lang w:eastAsia="zh-CN"/>
        </w:rPr>
        <w:t xml:space="preserve"> </w:t>
      </w:r>
      <w:r>
        <w:rPr>
          <w:rFonts w:eastAsiaTheme="minorEastAsia"/>
          <w:sz w:val="24"/>
          <w:szCs w:val="24"/>
          <w:lang w:eastAsia="zh-CN"/>
        </w:rPr>
        <w:t xml:space="preserve">system of </w:t>
      </w:r>
      <w:r w:rsidRPr="0020643E">
        <w:rPr>
          <w:rFonts w:eastAsiaTheme="minorEastAsia"/>
          <w:sz w:val="24"/>
          <w:szCs w:val="24"/>
          <w:lang w:eastAsia="zh-CN"/>
        </w:rPr>
        <w:t>codes</w:t>
      </w:r>
      <w:r w:rsidRPr="00517D97">
        <w:rPr>
          <w:rFonts w:eastAsiaTheme="minorEastAsia"/>
          <w:sz w:val="24"/>
          <w:szCs w:val="24"/>
          <w:lang w:eastAsia="zh-CN"/>
        </w:rPr>
        <w:t>.</w:t>
      </w:r>
      <w:r w:rsidRPr="00517D97">
        <w:rPr>
          <w:rFonts w:eastAsiaTheme="minorEastAsia"/>
          <w:sz w:val="24"/>
          <w:szCs w:val="24"/>
          <w:vertAlign w:val="superscript"/>
          <w:lang w:eastAsia="zh-CN"/>
        </w:rPr>
        <w:t>10</w:t>
      </w:r>
      <w:r w:rsidRPr="0020643E">
        <w:rPr>
          <w:rFonts w:eastAsiaTheme="minorEastAsia"/>
          <w:sz w:val="24"/>
          <w:szCs w:val="24"/>
          <w:lang w:eastAsia="zh-CN"/>
        </w:rPr>
        <w:t xml:space="preserve"> </w:t>
      </w:r>
      <w:proofErr w:type="gramStart"/>
      <w:r w:rsidR="00477023" w:rsidRPr="004A557F">
        <w:rPr>
          <w:rFonts w:eastAsiaTheme="minorEastAsia" w:cstheme="minorHAnsi"/>
          <w:sz w:val="24"/>
          <w:szCs w:val="24"/>
          <w:lang w:eastAsia="zh-CN"/>
        </w:rPr>
        <w:t>The</w:t>
      </w:r>
      <w:proofErr w:type="gramEnd"/>
      <w:r w:rsidR="00477023" w:rsidRPr="004A557F">
        <w:rPr>
          <w:rFonts w:eastAsiaTheme="minorEastAsia" w:cstheme="minorHAnsi"/>
          <w:sz w:val="24"/>
          <w:szCs w:val="24"/>
          <w:lang w:eastAsia="zh-CN"/>
        </w:rPr>
        <w:t xml:space="preserve"> </w:t>
      </w:r>
      <w:r w:rsidR="000F4679" w:rsidRPr="004A557F">
        <w:rPr>
          <w:rFonts w:eastAsiaTheme="minorEastAsia" w:cstheme="minorHAnsi"/>
          <w:sz w:val="24"/>
          <w:szCs w:val="24"/>
          <w:lang w:eastAsia="zh-CN"/>
        </w:rPr>
        <w:t xml:space="preserve">primary care clinician </w:t>
      </w:r>
      <w:r w:rsidR="00477023" w:rsidRPr="004A557F">
        <w:rPr>
          <w:rFonts w:eastAsiaTheme="minorEastAsia" w:cstheme="minorHAnsi"/>
          <w:sz w:val="24"/>
          <w:szCs w:val="24"/>
          <w:lang w:eastAsia="zh-CN"/>
        </w:rPr>
        <w:t xml:space="preserve">may </w:t>
      </w:r>
      <w:r w:rsidR="00B07A0F" w:rsidRPr="004A557F">
        <w:rPr>
          <w:rFonts w:eastAsiaTheme="minorEastAsia" w:cstheme="minorHAnsi"/>
          <w:sz w:val="24"/>
          <w:szCs w:val="24"/>
          <w:lang w:eastAsia="zh-CN"/>
        </w:rPr>
        <w:t>record</w:t>
      </w:r>
      <w:r w:rsidR="00477023" w:rsidRPr="004A557F">
        <w:rPr>
          <w:rFonts w:eastAsiaTheme="minorEastAsia" w:cstheme="minorHAnsi"/>
          <w:sz w:val="24"/>
          <w:szCs w:val="24"/>
          <w:lang w:eastAsia="zh-CN"/>
        </w:rPr>
        <w:t xml:space="preserve"> </w:t>
      </w:r>
      <w:r w:rsidR="00DA7CB8" w:rsidRPr="004A557F">
        <w:rPr>
          <w:rFonts w:eastAsiaTheme="minorEastAsia" w:cstheme="minorHAnsi"/>
          <w:sz w:val="24"/>
          <w:szCs w:val="24"/>
          <w:lang w:eastAsia="zh-CN"/>
        </w:rPr>
        <w:t>a symptom in medical</w:t>
      </w:r>
      <w:r w:rsidR="00671E6B" w:rsidRPr="004A557F">
        <w:rPr>
          <w:rFonts w:eastAsiaTheme="minorEastAsia" w:cstheme="minorHAnsi"/>
          <w:sz w:val="24"/>
          <w:szCs w:val="24"/>
          <w:lang w:eastAsia="zh-CN"/>
        </w:rPr>
        <w:t xml:space="preserve"> records</w:t>
      </w:r>
      <w:r w:rsidR="00C0297E" w:rsidRPr="004A557F">
        <w:rPr>
          <w:rFonts w:eastAsiaTheme="minorEastAsia" w:cstheme="minorHAnsi"/>
          <w:sz w:val="24"/>
          <w:szCs w:val="24"/>
          <w:lang w:eastAsia="zh-CN"/>
        </w:rPr>
        <w:t xml:space="preserve"> </w:t>
      </w:r>
      <w:r w:rsidR="00DA7CB8" w:rsidRPr="004A557F">
        <w:rPr>
          <w:rFonts w:eastAsiaTheme="minorEastAsia" w:cstheme="minorHAnsi"/>
          <w:sz w:val="24"/>
          <w:szCs w:val="24"/>
          <w:lang w:eastAsia="zh-CN"/>
        </w:rPr>
        <w:t>when</w:t>
      </w:r>
      <w:r w:rsidR="00477023" w:rsidRPr="004A557F">
        <w:rPr>
          <w:rFonts w:eastAsiaTheme="minorEastAsia" w:cstheme="minorHAnsi"/>
          <w:sz w:val="24"/>
          <w:szCs w:val="24"/>
          <w:lang w:eastAsia="zh-CN"/>
        </w:rPr>
        <w:t xml:space="preserve"> patients presenting with th</w:t>
      </w:r>
      <w:r w:rsidR="00C0297E" w:rsidRPr="004A557F">
        <w:rPr>
          <w:rFonts w:eastAsiaTheme="minorEastAsia" w:cstheme="minorHAnsi"/>
          <w:sz w:val="24"/>
          <w:szCs w:val="24"/>
          <w:lang w:eastAsia="zh-CN"/>
        </w:rPr>
        <w:t>is</w:t>
      </w:r>
      <w:r w:rsidR="00477023" w:rsidRPr="004A557F">
        <w:rPr>
          <w:rFonts w:eastAsiaTheme="minorEastAsia" w:cstheme="minorHAnsi"/>
          <w:sz w:val="24"/>
          <w:szCs w:val="24"/>
          <w:lang w:eastAsia="zh-CN"/>
        </w:rPr>
        <w:t xml:space="preserve"> symptom</w:t>
      </w:r>
      <w:r w:rsidR="00132145" w:rsidRPr="004A557F">
        <w:rPr>
          <w:rFonts w:eastAsiaTheme="minorEastAsia" w:cstheme="minorHAnsi"/>
          <w:sz w:val="24"/>
          <w:szCs w:val="24"/>
          <w:lang w:eastAsia="zh-CN"/>
        </w:rPr>
        <w:t xml:space="preserve"> at first presentation</w:t>
      </w:r>
      <w:r w:rsidR="00832315" w:rsidRPr="004A557F">
        <w:rPr>
          <w:rFonts w:eastAsiaTheme="minorEastAsia" w:cstheme="minorHAnsi"/>
          <w:sz w:val="24"/>
          <w:szCs w:val="24"/>
          <w:lang w:eastAsia="zh-CN"/>
        </w:rPr>
        <w:t>,</w:t>
      </w:r>
      <w:r w:rsidR="00477023" w:rsidRPr="004A557F">
        <w:rPr>
          <w:rFonts w:eastAsiaTheme="minorEastAsia" w:cstheme="minorHAnsi"/>
          <w:sz w:val="24"/>
          <w:szCs w:val="24"/>
          <w:lang w:eastAsia="zh-CN"/>
        </w:rPr>
        <w:t xml:space="preserve"> if </w:t>
      </w:r>
      <w:r w:rsidR="00B07A0F" w:rsidRPr="004A557F">
        <w:rPr>
          <w:rFonts w:eastAsiaTheme="minorEastAsia" w:cstheme="minorHAnsi"/>
          <w:sz w:val="24"/>
          <w:szCs w:val="24"/>
          <w:lang w:eastAsia="zh-CN"/>
        </w:rPr>
        <w:t>he/she</w:t>
      </w:r>
      <w:r w:rsidR="00477023" w:rsidRPr="004A557F">
        <w:rPr>
          <w:rFonts w:eastAsiaTheme="minorEastAsia" w:cstheme="minorHAnsi"/>
          <w:sz w:val="24"/>
          <w:szCs w:val="24"/>
          <w:lang w:eastAsia="zh-CN"/>
        </w:rPr>
        <w:t xml:space="preserve"> is unsure of </w:t>
      </w:r>
      <w:r w:rsidR="00F24B55" w:rsidRPr="004A557F">
        <w:rPr>
          <w:rFonts w:eastAsiaTheme="minorEastAsia" w:cstheme="minorHAnsi"/>
          <w:sz w:val="24"/>
          <w:szCs w:val="24"/>
          <w:lang w:eastAsia="zh-CN"/>
        </w:rPr>
        <w:t>the</w:t>
      </w:r>
      <w:r w:rsidR="009D55DC" w:rsidRPr="004A557F">
        <w:rPr>
          <w:rFonts w:eastAsiaTheme="minorEastAsia" w:cstheme="minorHAnsi"/>
          <w:sz w:val="24"/>
          <w:szCs w:val="24"/>
          <w:lang w:eastAsia="zh-CN"/>
        </w:rPr>
        <w:t xml:space="preserve"> </w:t>
      </w:r>
      <w:r w:rsidR="00477023" w:rsidRPr="004A557F">
        <w:rPr>
          <w:rFonts w:eastAsiaTheme="minorEastAsia" w:cstheme="minorHAnsi"/>
          <w:sz w:val="24"/>
          <w:szCs w:val="24"/>
          <w:lang w:eastAsia="zh-CN"/>
        </w:rPr>
        <w:t xml:space="preserve">underlying diagnosis, or believe the symptom </w:t>
      </w:r>
      <w:r w:rsidR="009D55DC" w:rsidRPr="004A557F">
        <w:rPr>
          <w:rFonts w:eastAsiaTheme="minorEastAsia" w:cstheme="minorHAnsi"/>
          <w:sz w:val="24"/>
          <w:szCs w:val="24"/>
          <w:lang w:eastAsia="zh-CN"/>
        </w:rPr>
        <w:t xml:space="preserve">represents a </w:t>
      </w:r>
      <w:r w:rsidR="00477023" w:rsidRPr="004A557F">
        <w:rPr>
          <w:rFonts w:eastAsiaTheme="minorEastAsia" w:cstheme="minorHAnsi"/>
          <w:sz w:val="24"/>
          <w:szCs w:val="24"/>
          <w:lang w:eastAsia="zh-CN"/>
        </w:rPr>
        <w:t xml:space="preserve">minor </w:t>
      </w:r>
      <w:r w:rsidR="009D55DC" w:rsidRPr="004A557F">
        <w:rPr>
          <w:rFonts w:eastAsiaTheme="minorEastAsia" w:cstheme="minorHAnsi"/>
          <w:sz w:val="24"/>
          <w:szCs w:val="24"/>
          <w:lang w:eastAsia="zh-CN"/>
        </w:rPr>
        <w:t xml:space="preserve">or </w:t>
      </w:r>
      <w:r w:rsidR="00477023" w:rsidRPr="004A557F">
        <w:rPr>
          <w:rFonts w:eastAsiaTheme="minorEastAsia" w:cstheme="minorHAnsi"/>
          <w:sz w:val="24"/>
          <w:szCs w:val="24"/>
          <w:lang w:eastAsia="zh-CN"/>
        </w:rPr>
        <w:t>self-limiting</w:t>
      </w:r>
      <w:r w:rsidR="009D55DC" w:rsidRPr="004A557F">
        <w:rPr>
          <w:rFonts w:eastAsiaTheme="minorEastAsia" w:cstheme="minorHAnsi"/>
          <w:sz w:val="24"/>
          <w:szCs w:val="24"/>
          <w:lang w:eastAsia="zh-CN"/>
        </w:rPr>
        <w:t xml:space="preserve"> illness</w:t>
      </w:r>
      <w:r w:rsidR="00477023" w:rsidRPr="004A557F">
        <w:rPr>
          <w:rFonts w:eastAsiaTheme="minorEastAsia" w:cstheme="minorHAnsi"/>
          <w:sz w:val="24"/>
          <w:szCs w:val="24"/>
          <w:lang w:eastAsia="zh-CN"/>
        </w:rPr>
        <w:t>. The act of labelling a consultation with a symptom rather than with the underlying (unknown) diagno</w:t>
      </w:r>
      <w:r w:rsidR="00D53C2D" w:rsidRPr="004A557F">
        <w:rPr>
          <w:rFonts w:eastAsiaTheme="minorEastAsia" w:cstheme="minorHAnsi"/>
          <w:sz w:val="24"/>
          <w:szCs w:val="24"/>
          <w:lang w:eastAsia="zh-CN"/>
        </w:rPr>
        <w:t>si</w:t>
      </w:r>
      <w:r w:rsidR="009B657E" w:rsidRPr="004A557F">
        <w:rPr>
          <w:rFonts w:eastAsiaTheme="minorEastAsia" w:cstheme="minorHAnsi"/>
          <w:sz w:val="24"/>
          <w:szCs w:val="24"/>
          <w:lang w:eastAsia="zh-CN"/>
        </w:rPr>
        <w:t>s</w:t>
      </w:r>
      <w:r w:rsidR="00477023" w:rsidRPr="004A557F">
        <w:rPr>
          <w:rFonts w:eastAsiaTheme="minorEastAsia" w:cstheme="minorHAnsi"/>
          <w:sz w:val="24"/>
          <w:szCs w:val="24"/>
          <w:lang w:eastAsia="zh-CN"/>
        </w:rPr>
        <w:t xml:space="preserve"> may affect the management and outcome of that patient</w:t>
      </w:r>
      <w:r w:rsidR="006F6915" w:rsidRPr="004A557F">
        <w:rPr>
          <w:rFonts w:eastAsiaTheme="minorEastAsia" w:cstheme="minorHAnsi"/>
          <w:sz w:val="24"/>
          <w:szCs w:val="24"/>
          <w:lang w:eastAsia="zh-CN"/>
        </w:rPr>
        <w:t>.</w:t>
      </w:r>
      <w:r w:rsidR="00385CFF" w:rsidRPr="004A557F">
        <w:rPr>
          <w:rFonts w:eastAsiaTheme="minorEastAsia" w:cstheme="minorHAnsi"/>
          <w:sz w:val="24"/>
          <w:szCs w:val="24"/>
          <w:lang w:eastAsia="zh-CN"/>
        </w:rPr>
        <w:t xml:space="preserve"> </w:t>
      </w:r>
      <w:r w:rsidR="006F6915" w:rsidRPr="004A557F">
        <w:rPr>
          <w:rFonts w:eastAsiaTheme="minorEastAsia" w:cstheme="minorHAnsi"/>
          <w:sz w:val="24"/>
          <w:szCs w:val="24"/>
          <w:lang w:eastAsia="zh-CN"/>
        </w:rPr>
        <w:t>T</w:t>
      </w:r>
      <w:r w:rsidR="00375697" w:rsidRPr="004A557F">
        <w:rPr>
          <w:rFonts w:eastAsiaTheme="minorEastAsia" w:cstheme="minorHAnsi"/>
          <w:sz w:val="24"/>
          <w:szCs w:val="24"/>
          <w:lang w:eastAsia="zh-CN"/>
        </w:rPr>
        <w:t xml:space="preserve">he </w:t>
      </w:r>
      <w:r w:rsidR="006F6915" w:rsidRPr="004A557F">
        <w:rPr>
          <w:rFonts w:eastAsiaTheme="minorEastAsia" w:cstheme="minorHAnsi"/>
          <w:sz w:val="24"/>
          <w:szCs w:val="24"/>
          <w:lang w:eastAsia="zh-CN"/>
        </w:rPr>
        <w:t xml:space="preserve">use of a </w:t>
      </w:r>
      <w:r w:rsidR="00375697" w:rsidRPr="004A557F">
        <w:rPr>
          <w:rFonts w:eastAsiaTheme="minorEastAsia" w:cstheme="minorHAnsi"/>
          <w:sz w:val="24"/>
          <w:szCs w:val="24"/>
          <w:lang w:eastAsia="zh-CN"/>
        </w:rPr>
        <w:t xml:space="preserve">diagnostic </w:t>
      </w:r>
      <w:r w:rsidR="00B729A3" w:rsidRPr="004A557F">
        <w:rPr>
          <w:rFonts w:eastAsiaTheme="minorEastAsia" w:cstheme="minorHAnsi"/>
          <w:sz w:val="24"/>
          <w:szCs w:val="24"/>
          <w:lang w:eastAsia="zh-CN"/>
        </w:rPr>
        <w:t>record</w:t>
      </w:r>
      <w:r w:rsidR="00477023" w:rsidRPr="004A557F">
        <w:rPr>
          <w:rFonts w:eastAsiaTheme="minorEastAsia" w:cstheme="minorHAnsi"/>
          <w:sz w:val="24"/>
          <w:szCs w:val="24"/>
          <w:lang w:eastAsia="zh-CN"/>
        </w:rPr>
        <w:t xml:space="preserve"> </w:t>
      </w:r>
      <w:r w:rsidR="006F6915" w:rsidRPr="004A557F">
        <w:rPr>
          <w:rFonts w:eastAsiaTheme="minorEastAsia" w:cstheme="minorHAnsi"/>
          <w:sz w:val="24"/>
          <w:szCs w:val="24"/>
          <w:lang w:eastAsia="zh-CN"/>
        </w:rPr>
        <w:t xml:space="preserve">may </w:t>
      </w:r>
      <w:r w:rsidR="00477023" w:rsidRPr="004A557F">
        <w:rPr>
          <w:rFonts w:eastAsiaTheme="minorEastAsia" w:cstheme="minorHAnsi"/>
          <w:sz w:val="24"/>
          <w:szCs w:val="24"/>
          <w:lang w:eastAsia="zh-CN"/>
        </w:rPr>
        <w:t xml:space="preserve">flag up </w:t>
      </w:r>
      <w:r w:rsidR="008306BB" w:rsidRPr="004A557F">
        <w:rPr>
          <w:rFonts w:eastAsiaTheme="minorEastAsia" w:cstheme="minorHAnsi"/>
          <w:sz w:val="24"/>
          <w:szCs w:val="24"/>
          <w:lang w:eastAsia="zh-CN"/>
        </w:rPr>
        <w:t xml:space="preserve">specific </w:t>
      </w:r>
      <w:r w:rsidR="00477023" w:rsidRPr="004A557F">
        <w:rPr>
          <w:rFonts w:eastAsiaTheme="minorEastAsia" w:cstheme="minorHAnsi"/>
          <w:sz w:val="24"/>
          <w:szCs w:val="24"/>
          <w:lang w:eastAsia="zh-CN"/>
        </w:rPr>
        <w:t>management strategies</w:t>
      </w:r>
      <w:r w:rsidR="00FE1748" w:rsidRPr="004A557F">
        <w:rPr>
          <w:rFonts w:eastAsiaTheme="minorEastAsia" w:cstheme="minorHAnsi"/>
          <w:sz w:val="24"/>
          <w:szCs w:val="24"/>
          <w:lang w:eastAsia="zh-CN"/>
        </w:rPr>
        <w:t>.</w:t>
      </w:r>
      <w:r w:rsidR="00477023" w:rsidRPr="004A557F">
        <w:rPr>
          <w:rFonts w:eastAsiaTheme="minorEastAsia" w:cstheme="minorHAnsi"/>
          <w:sz w:val="24"/>
          <w:szCs w:val="24"/>
          <w:lang w:eastAsia="zh-CN"/>
        </w:rPr>
        <w:t xml:space="preserve"> </w:t>
      </w:r>
      <w:r w:rsidR="00FE1748" w:rsidRPr="004A557F">
        <w:rPr>
          <w:rFonts w:eastAsiaTheme="minorEastAsia" w:cstheme="minorHAnsi"/>
          <w:sz w:val="24"/>
          <w:szCs w:val="24"/>
          <w:lang w:eastAsia="zh-CN"/>
        </w:rPr>
        <w:t>F</w:t>
      </w:r>
      <w:r w:rsidR="00477023" w:rsidRPr="004A557F">
        <w:rPr>
          <w:rFonts w:eastAsiaTheme="minorEastAsia" w:cstheme="minorHAnsi"/>
          <w:sz w:val="24"/>
          <w:szCs w:val="24"/>
          <w:lang w:eastAsia="zh-CN"/>
        </w:rPr>
        <w:t xml:space="preserve">or example, coding a patient as heart failure or </w:t>
      </w:r>
      <w:r w:rsidR="00F24B55" w:rsidRPr="004A557F">
        <w:rPr>
          <w:rFonts w:eastAsiaTheme="minorEastAsia" w:cstheme="minorHAnsi"/>
          <w:sz w:val="24"/>
          <w:szCs w:val="24"/>
          <w:lang w:eastAsia="zh-CN"/>
        </w:rPr>
        <w:t>ischaemic heart disease (</w:t>
      </w:r>
      <w:r w:rsidR="00236D39" w:rsidRPr="004A557F">
        <w:rPr>
          <w:rFonts w:eastAsiaTheme="minorEastAsia" w:cstheme="minorHAnsi"/>
          <w:sz w:val="24"/>
          <w:szCs w:val="24"/>
          <w:lang w:eastAsia="zh-CN"/>
        </w:rPr>
        <w:t>IHD</w:t>
      </w:r>
      <w:r w:rsidR="00F24B55" w:rsidRPr="004A557F">
        <w:rPr>
          <w:rFonts w:eastAsiaTheme="minorEastAsia" w:cstheme="minorHAnsi"/>
          <w:sz w:val="24"/>
          <w:szCs w:val="24"/>
          <w:lang w:eastAsia="zh-CN"/>
        </w:rPr>
        <w:t>)</w:t>
      </w:r>
      <w:r w:rsidR="00236D39" w:rsidRPr="004A557F">
        <w:rPr>
          <w:rFonts w:eastAsiaTheme="minorEastAsia" w:cstheme="minorHAnsi"/>
          <w:sz w:val="24"/>
          <w:szCs w:val="24"/>
          <w:lang w:eastAsia="zh-CN"/>
        </w:rPr>
        <w:t xml:space="preserve"> </w:t>
      </w:r>
      <w:r w:rsidR="00477023" w:rsidRPr="004A557F">
        <w:rPr>
          <w:rFonts w:eastAsiaTheme="minorEastAsia" w:cstheme="minorHAnsi"/>
          <w:sz w:val="24"/>
          <w:szCs w:val="24"/>
          <w:lang w:eastAsia="zh-CN"/>
        </w:rPr>
        <w:t xml:space="preserve">will mean that the </w:t>
      </w:r>
      <w:r w:rsidR="000F4679" w:rsidRPr="004A557F">
        <w:rPr>
          <w:rFonts w:eastAsiaTheme="minorEastAsia" w:cstheme="minorHAnsi"/>
          <w:sz w:val="24"/>
          <w:szCs w:val="24"/>
          <w:lang w:eastAsia="zh-CN"/>
        </w:rPr>
        <w:t xml:space="preserve">clinician </w:t>
      </w:r>
      <w:r w:rsidR="00477023" w:rsidRPr="004A557F">
        <w:rPr>
          <w:rFonts w:eastAsiaTheme="minorEastAsia" w:cstheme="minorHAnsi"/>
          <w:sz w:val="24"/>
          <w:szCs w:val="24"/>
          <w:lang w:eastAsia="zh-CN"/>
        </w:rPr>
        <w:t>is likely to initiate specific treatments and review patients in line with single disease guidelines</w:t>
      </w:r>
      <w:r w:rsidR="00F937A4" w:rsidRPr="004A557F">
        <w:rPr>
          <w:rFonts w:eastAsiaTheme="minorEastAsia" w:cstheme="minorHAnsi"/>
          <w:sz w:val="24"/>
          <w:szCs w:val="24"/>
          <w:lang w:eastAsia="zh-CN"/>
        </w:rPr>
        <w:t>, and, in England,</w:t>
      </w:r>
      <w:r w:rsidR="00477023" w:rsidRPr="004A557F">
        <w:rPr>
          <w:rFonts w:eastAsiaTheme="minorEastAsia" w:cstheme="minorHAnsi"/>
          <w:sz w:val="24"/>
          <w:szCs w:val="24"/>
          <w:lang w:eastAsia="zh-CN"/>
        </w:rPr>
        <w:t xml:space="preserve"> the Quality and Outcomes Framework (Q</w:t>
      </w:r>
      <w:r w:rsidR="006D2DDA" w:rsidRPr="004A557F">
        <w:rPr>
          <w:rFonts w:eastAsiaTheme="minorEastAsia" w:cstheme="minorHAnsi"/>
          <w:sz w:val="24"/>
          <w:szCs w:val="24"/>
          <w:lang w:eastAsia="zh-CN"/>
        </w:rPr>
        <w:t>O</w:t>
      </w:r>
      <w:r w:rsidR="00477023" w:rsidRPr="004A557F">
        <w:rPr>
          <w:rFonts w:eastAsiaTheme="minorEastAsia" w:cstheme="minorHAnsi"/>
          <w:sz w:val="24"/>
          <w:szCs w:val="24"/>
          <w:lang w:eastAsia="zh-CN"/>
        </w:rPr>
        <w:t>F).</w:t>
      </w:r>
      <w:r w:rsidR="0054224E" w:rsidRPr="0054224E">
        <w:rPr>
          <w:rFonts w:eastAsiaTheme="minorEastAsia" w:cstheme="minorHAnsi"/>
          <w:sz w:val="24"/>
          <w:szCs w:val="24"/>
          <w:vertAlign w:val="superscript"/>
          <w:lang w:eastAsia="zh-CN"/>
        </w:rPr>
        <w:t>1</w:t>
      </w:r>
      <w:r w:rsidR="00517D97">
        <w:rPr>
          <w:rFonts w:eastAsiaTheme="minorEastAsia" w:cstheme="minorHAnsi"/>
          <w:sz w:val="24"/>
          <w:szCs w:val="24"/>
          <w:vertAlign w:val="superscript"/>
          <w:lang w:eastAsia="zh-CN"/>
        </w:rPr>
        <w:t>1</w:t>
      </w:r>
      <w:r w:rsidR="00C9207A" w:rsidRPr="004A557F">
        <w:rPr>
          <w:rFonts w:eastAsiaTheme="minorEastAsia" w:cstheme="minorHAnsi"/>
          <w:sz w:val="24"/>
          <w:szCs w:val="24"/>
          <w:lang w:eastAsia="zh-CN"/>
        </w:rPr>
        <w:t xml:space="preserve"> </w:t>
      </w:r>
    </w:p>
    <w:p w14:paraId="21736DC0" w14:textId="6EA73E7D" w:rsidR="00140493" w:rsidRDefault="00671E6B"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Breathlessness is a</w:t>
      </w:r>
      <w:r w:rsidR="00DA7CB8" w:rsidRPr="004A557F">
        <w:rPr>
          <w:rFonts w:eastAsiaTheme="minorEastAsia" w:cstheme="minorHAnsi"/>
          <w:sz w:val="24"/>
          <w:szCs w:val="24"/>
          <w:lang w:eastAsia="zh-CN"/>
        </w:rPr>
        <w:t xml:space="preserve"> common</w:t>
      </w:r>
      <w:r w:rsidR="00D66E5E" w:rsidRPr="004A557F">
        <w:rPr>
          <w:rFonts w:eastAsiaTheme="minorEastAsia" w:cstheme="minorHAnsi"/>
          <w:sz w:val="24"/>
          <w:szCs w:val="24"/>
          <w:lang w:eastAsia="zh-CN"/>
        </w:rPr>
        <w:t xml:space="preserve"> respiratory symptom</w:t>
      </w:r>
      <w:r w:rsidRPr="004A557F">
        <w:rPr>
          <w:rFonts w:eastAsiaTheme="minorEastAsia" w:cstheme="minorHAnsi"/>
          <w:sz w:val="24"/>
          <w:szCs w:val="24"/>
          <w:lang w:eastAsia="zh-CN"/>
        </w:rPr>
        <w:t xml:space="preserve">. The prospective </w:t>
      </w:r>
      <w:r w:rsidR="00F84271">
        <w:rPr>
          <w:rFonts w:eastAsiaTheme="minorEastAsia" w:cstheme="minorHAnsi"/>
          <w:sz w:val="24"/>
          <w:szCs w:val="24"/>
          <w:lang w:eastAsia="zh-CN"/>
        </w:rPr>
        <w:t>picture</w:t>
      </w:r>
      <w:r w:rsidRPr="004A557F">
        <w:rPr>
          <w:rFonts w:eastAsiaTheme="minorEastAsia" w:cstheme="minorHAnsi"/>
          <w:sz w:val="24"/>
          <w:szCs w:val="24"/>
          <w:lang w:eastAsia="zh-CN"/>
        </w:rPr>
        <w:t xml:space="preserve"> of what happens in the future to patients who present with </w:t>
      </w:r>
      <w:r w:rsidR="00F32D73">
        <w:rPr>
          <w:rFonts w:eastAsiaTheme="minorEastAsia" w:cstheme="minorHAnsi"/>
          <w:sz w:val="24"/>
          <w:szCs w:val="24"/>
          <w:lang w:eastAsia="zh-CN"/>
        </w:rPr>
        <w:t xml:space="preserve">initial </w:t>
      </w:r>
      <w:r w:rsidRPr="004A557F">
        <w:rPr>
          <w:rFonts w:eastAsiaTheme="minorEastAsia" w:cstheme="minorHAnsi"/>
          <w:sz w:val="24"/>
          <w:szCs w:val="24"/>
          <w:lang w:eastAsia="zh-CN"/>
        </w:rPr>
        <w:t>breathlessness in primary care but not given a diagnostic labe</w:t>
      </w:r>
      <w:r w:rsidR="00D92B37">
        <w:rPr>
          <w:rFonts w:eastAsiaTheme="minorEastAsia" w:cstheme="minorHAnsi"/>
          <w:sz w:val="24"/>
          <w:szCs w:val="24"/>
          <w:lang w:eastAsia="zh-CN"/>
        </w:rPr>
        <w:t xml:space="preserve">l for their symptom </w:t>
      </w:r>
      <w:r w:rsidR="00517D97">
        <w:rPr>
          <w:rFonts w:eastAsiaTheme="minorEastAsia" w:cstheme="minorHAnsi"/>
          <w:sz w:val="24"/>
          <w:szCs w:val="24"/>
          <w:lang w:eastAsia="zh-CN"/>
        </w:rPr>
        <w:t>was not known</w:t>
      </w:r>
      <w:r w:rsidRPr="004A557F">
        <w:rPr>
          <w:rFonts w:eastAsiaTheme="minorEastAsia" w:cstheme="minorHAnsi"/>
          <w:sz w:val="24"/>
          <w:szCs w:val="24"/>
          <w:lang w:eastAsia="zh-CN"/>
        </w:rPr>
        <w:t xml:space="preserve">. </w:t>
      </w:r>
      <w:r w:rsidR="00140493" w:rsidRPr="004A557F">
        <w:rPr>
          <w:rFonts w:eastAsiaTheme="minorEastAsia" w:cstheme="minorHAnsi"/>
          <w:sz w:val="24"/>
          <w:szCs w:val="24"/>
          <w:lang w:eastAsia="zh-CN"/>
        </w:rPr>
        <w:t>The objectives of this study were</w:t>
      </w:r>
      <w:r w:rsidR="00140493">
        <w:rPr>
          <w:rFonts w:eastAsiaTheme="minorEastAsia"/>
          <w:sz w:val="24"/>
          <w:szCs w:val="24"/>
          <w:lang w:eastAsia="zh-CN"/>
        </w:rPr>
        <w:t xml:space="preserve"> to assess long-term risk of diagnosed COPD, asthma and IHD, and all-cause and disease-specific mortality in patients with </w:t>
      </w:r>
      <w:r w:rsidR="00140493" w:rsidRPr="004A557F">
        <w:rPr>
          <w:rFonts w:eastAsiaTheme="minorEastAsia" w:cstheme="minorHAnsi"/>
          <w:sz w:val="24"/>
          <w:szCs w:val="24"/>
          <w:lang w:eastAsia="zh-CN"/>
        </w:rPr>
        <w:t>a new recorded symptom in primary care of breathlessness</w:t>
      </w:r>
      <w:r w:rsidR="00140493">
        <w:rPr>
          <w:rFonts w:eastAsiaTheme="minorEastAsia" w:cstheme="minorHAnsi"/>
          <w:sz w:val="24"/>
          <w:szCs w:val="24"/>
          <w:lang w:eastAsia="zh-CN"/>
        </w:rPr>
        <w:t xml:space="preserve">, compared to </w:t>
      </w:r>
      <w:r w:rsidR="00140493" w:rsidRPr="004A557F">
        <w:rPr>
          <w:rFonts w:eastAsiaTheme="minorEastAsia" w:cstheme="minorHAnsi"/>
          <w:sz w:val="24"/>
          <w:szCs w:val="24"/>
          <w:lang w:eastAsia="zh-CN"/>
        </w:rPr>
        <w:t>patients without such a symptom</w:t>
      </w:r>
      <w:r w:rsidR="00140493" w:rsidRPr="00BE2CAD">
        <w:rPr>
          <w:rFonts w:eastAsiaTheme="minorEastAsia"/>
          <w:sz w:val="24"/>
          <w:szCs w:val="24"/>
          <w:lang w:eastAsia="zh-CN"/>
        </w:rPr>
        <w:t>.</w:t>
      </w:r>
    </w:p>
    <w:p w14:paraId="7972E222" w14:textId="6CEBA3F6" w:rsidR="00477023" w:rsidRPr="00E62A0E" w:rsidRDefault="00477023" w:rsidP="004A557F">
      <w:pPr>
        <w:spacing w:line="480" w:lineRule="auto"/>
        <w:rPr>
          <w:rFonts w:eastAsiaTheme="minorEastAsia" w:cstheme="minorHAnsi"/>
          <w:b/>
          <w:sz w:val="24"/>
          <w:szCs w:val="24"/>
          <w:lang w:eastAsia="zh-CN"/>
        </w:rPr>
      </w:pPr>
      <w:r w:rsidRPr="00E62A0E">
        <w:rPr>
          <w:rFonts w:eastAsiaTheme="minorEastAsia" w:cstheme="minorHAnsi"/>
          <w:b/>
          <w:sz w:val="24"/>
          <w:szCs w:val="24"/>
          <w:lang w:eastAsia="zh-CN"/>
        </w:rPr>
        <w:lastRenderedPageBreak/>
        <w:t>Method</w:t>
      </w:r>
    </w:p>
    <w:p w14:paraId="475A25F7" w14:textId="77777777" w:rsidR="00477023" w:rsidRPr="004A557F" w:rsidRDefault="00477023" w:rsidP="004A557F">
      <w:pPr>
        <w:spacing w:line="480" w:lineRule="auto"/>
        <w:rPr>
          <w:rFonts w:eastAsiaTheme="minorEastAsia" w:cstheme="minorHAnsi"/>
          <w:i/>
          <w:sz w:val="24"/>
          <w:szCs w:val="24"/>
          <w:lang w:eastAsia="zh-CN"/>
        </w:rPr>
      </w:pPr>
      <w:r w:rsidRPr="004A557F">
        <w:rPr>
          <w:rFonts w:eastAsiaTheme="minorEastAsia" w:cstheme="minorHAnsi"/>
          <w:i/>
          <w:sz w:val="24"/>
          <w:szCs w:val="24"/>
          <w:lang w:eastAsia="zh-CN"/>
        </w:rPr>
        <w:t>Database</w:t>
      </w:r>
    </w:p>
    <w:p w14:paraId="6DC88FE5" w14:textId="0EDA7181" w:rsidR="00AF1BF4" w:rsidRPr="004A557F" w:rsidRDefault="00477023"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This was a cohort study set within the Clinical Practice Research Datalink (CPRD).</w:t>
      </w:r>
      <w:r w:rsidR="00DE5441" w:rsidRPr="00DE5441">
        <w:rPr>
          <w:rFonts w:eastAsiaTheme="minorEastAsia" w:cstheme="minorHAnsi"/>
          <w:sz w:val="24"/>
          <w:szCs w:val="24"/>
          <w:vertAlign w:val="superscript"/>
          <w:lang w:eastAsia="zh-CN"/>
        </w:rPr>
        <w:t>1</w:t>
      </w:r>
      <w:r w:rsidR="00517D97">
        <w:rPr>
          <w:rFonts w:eastAsiaTheme="minorEastAsia" w:cstheme="minorHAnsi"/>
          <w:sz w:val="24"/>
          <w:szCs w:val="24"/>
          <w:vertAlign w:val="superscript"/>
          <w:lang w:eastAsia="zh-CN"/>
        </w:rPr>
        <w:t>2</w:t>
      </w:r>
      <w:r w:rsidR="00B81034">
        <w:rPr>
          <w:rFonts w:eastAsiaTheme="minorEastAsia" w:cstheme="minorHAnsi"/>
          <w:sz w:val="24"/>
          <w:szCs w:val="24"/>
          <w:vertAlign w:val="superscript"/>
          <w:lang w:eastAsia="zh-CN"/>
        </w:rPr>
        <w:t xml:space="preserve"> </w:t>
      </w:r>
      <w:r w:rsidR="00E17C11" w:rsidRPr="004A557F">
        <w:rPr>
          <w:rFonts w:eastAsiaTheme="minorEastAsia" w:cstheme="minorHAnsi"/>
          <w:sz w:val="24"/>
          <w:szCs w:val="24"/>
          <w:lang w:eastAsia="zh-CN"/>
        </w:rPr>
        <w:t xml:space="preserve">Diagnoses recorded in CPRD have been </w:t>
      </w:r>
      <w:r w:rsidR="000167D2" w:rsidRPr="004A557F">
        <w:rPr>
          <w:rFonts w:eastAsiaTheme="minorEastAsia" w:cstheme="minorHAnsi"/>
          <w:sz w:val="24"/>
          <w:szCs w:val="24"/>
          <w:lang w:eastAsia="zh-CN"/>
        </w:rPr>
        <w:t xml:space="preserve">validated in a wide range of diseases, </w:t>
      </w:r>
      <w:r w:rsidR="0022550D" w:rsidRPr="004A557F">
        <w:rPr>
          <w:rFonts w:eastAsiaTheme="minorEastAsia" w:cstheme="minorHAnsi"/>
          <w:sz w:val="24"/>
          <w:szCs w:val="24"/>
          <w:lang w:eastAsia="zh-CN"/>
        </w:rPr>
        <w:t xml:space="preserve">including </w:t>
      </w:r>
      <w:r w:rsidR="00FB0326" w:rsidRPr="004A557F">
        <w:rPr>
          <w:rFonts w:eastAsiaTheme="minorEastAsia" w:cstheme="minorHAnsi"/>
          <w:sz w:val="24"/>
          <w:szCs w:val="24"/>
          <w:lang w:eastAsia="zh-CN"/>
        </w:rPr>
        <w:t xml:space="preserve">respiratory and circulatory </w:t>
      </w:r>
      <w:r w:rsidR="0022550D" w:rsidRPr="004A557F">
        <w:rPr>
          <w:rFonts w:eastAsiaTheme="minorEastAsia" w:cstheme="minorHAnsi"/>
          <w:sz w:val="24"/>
          <w:szCs w:val="24"/>
          <w:lang w:eastAsia="zh-CN"/>
        </w:rPr>
        <w:t>conditions</w:t>
      </w:r>
      <w:r w:rsidR="000167D2" w:rsidRPr="004A557F">
        <w:rPr>
          <w:rFonts w:eastAsiaTheme="minorEastAsia" w:cstheme="minorHAnsi"/>
          <w:sz w:val="24"/>
          <w:szCs w:val="24"/>
          <w:lang w:eastAsia="zh-CN"/>
        </w:rPr>
        <w:t>.</w:t>
      </w:r>
      <w:r w:rsidR="00D66E5E" w:rsidRPr="004A557F">
        <w:rPr>
          <w:rFonts w:eastAsiaTheme="minorEastAsia" w:cstheme="minorHAnsi"/>
          <w:sz w:val="24"/>
          <w:szCs w:val="24"/>
          <w:vertAlign w:val="superscript"/>
          <w:lang w:eastAsia="zh-CN"/>
        </w:rPr>
        <w:t>1</w:t>
      </w:r>
      <w:r w:rsidR="00517D97">
        <w:rPr>
          <w:rFonts w:eastAsiaTheme="minorEastAsia" w:cstheme="minorHAnsi"/>
          <w:sz w:val="24"/>
          <w:szCs w:val="24"/>
          <w:vertAlign w:val="superscript"/>
          <w:lang w:eastAsia="zh-CN"/>
        </w:rPr>
        <w:t>3,</w:t>
      </w:r>
      <w:r w:rsidR="00D66E5E" w:rsidRPr="004A557F">
        <w:rPr>
          <w:rFonts w:eastAsiaTheme="minorEastAsia" w:cstheme="minorHAnsi"/>
          <w:sz w:val="24"/>
          <w:szCs w:val="24"/>
          <w:vertAlign w:val="superscript"/>
          <w:lang w:eastAsia="zh-CN"/>
        </w:rPr>
        <w:t>1</w:t>
      </w:r>
      <w:r w:rsidR="00517D97">
        <w:rPr>
          <w:rFonts w:eastAsiaTheme="minorEastAsia" w:cstheme="minorHAnsi"/>
          <w:sz w:val="24"/>
          <w:szCs w:val="24"/>
          <w:vertAlign w:val="superscript"/>
          <w:lang w:eastAsia="zh-CN"/>
        </w:rPr>
        <w:t>4</w:t>
      </w:r>
    </w:p>
    <w:p w14:paraId="497B0D19" w14:textId="66609B04" w:rsidR="00E96DB8" w:rsidRPr="004A557F" w:rsidRDefault="00477023"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 xml:space="preserve">For </w:t>
      </w:r>
      <w:r w:rsidR="00F24B55" w:rsidRPr="004A557F">
        <w:rPr>
          <w:rFonts w:eastAsiaTheme="minorEastAsia" w:cstheme="minorHAnsi"/>
          <w:sz w:val="24"/>
          <w:szCs w:val="24"/>
          <w:lang w:eastAsia="zh-CN"/>
        </w:rPr>
        <w:t>this study</w:t>
      </w:r>
      <w:r w:rsidRPr="004A557F">
        <w:rPr>
          <w:rFonts w:eastAsiaTheme="minorEastAsia" w:cstheme="minorHAnsi"/>
          <w:sz w:val="24"/>
          <w:szCs w:val="24"/>
          <w:lang w:eastAsia="zh-CN"/>
        </w:rPr>
        <w:t>, practices included (</w:t>
      </w:r>
      <w:r w:rsidRPr="004A557F">
        <w:rPr>
          <w:rFonts w:eastAsiaTheme="minorEastAsia" w:cstheme="minorHAnsi"/>
          <w:i/>
          <w:sz w:val="24"/>
          <w:szCs w:val="24"/>
          <w:lang w:eastAsia="zh-CN"/>
        </w:rPr>
        <w:t>n</w:t>
      </w:r>
      <w:r w:rsidRPr="004A557F">
        <w:rPr>
          <w:rFonts w:eastAsiaTheme="minorEastAsia" w:cstheme="minorHAnsi"/>
          <w:sz w:val="24"/>
          <w:szCs w:val="24"/>
          <w:lang w:eastAsia="zh-CN"/>
        </w:rPr>
        <w:t>=360</w:t>
      </w:r>
      <w:r w:rsidR="00503F71" w:rsidRPr="004A557F">
        <w:rPr>
          <w:rFonts w:eastAsiaTheme="minorEastAsia" w:cstheme="minorHAnsi"/>
          <w:sz w:val="24"/>
          <w:szCs w:val="24"/>
          <w:lang w:eastAsia="zh-CN"/>
        </w:rPr>
        <w:t>, all from England</w:t>
      </w:r>
      <w:r w:rsidRPr="004A557F">
        <w:rPr>
          <w:rFonts w:eastAsiaTheme="minorEastAsia" w:cstheme="minorHAnsi"/>
          <w:sz w:val="24"/>
          <w:szCs w:val="24"/>
          <w:lang w:eastAsia="zh-CN"/>
        </w:rPr>
        <w:t xml:space="preserve">) were those with linkage to hospital </w:t>
      </w:r>
      <w:r w:rsidR="005C51D8" w:rsidRPr="004A557F">
        <w:rPr>
          <w:rFonts w:eastAsiaTheme="minorEastAsia" w:cstheme="minorHAnsi"/>
          <w:sz w:val="24"/>
          <w:szCs w:val="24"/>
          <w:lang w:eastAsia="zh-CN"/>
        </w:rPr>
        <w:t xml:space="preserve">inpatient information </w:t>
      </w:r>
      <w:r w:rsidRPr="004A557F">
        <w:rPr>
          <w:rFonts w:eastAsiaTheme="minorEastAsia" w:cstheme="minorHAnsi"/>
          <w:sz w:val="24"/>
          <w:szCs w:val="24"/>
          <w:lang w:eastAsia="zh-CN"/>
        </w:rPr>
        <w:t>(Hospital Episode Statistics</w:t>
      </w:r>
      <w:r w:rsidR="00610229" w:rsidRPr="004A557F">
        <w:rPr>
          <w:rFonts w:eastAsiaTheme="minorEastAsia" w:cstheme="minorHAnsi"/>
          <w:sz w:val="24"/>
          <w:szCs w:val="24"/>
          <w:lang w:eastAsia="zh-CN"/>
        </w:rPr>
        <w:t>, HES</w:t>
      </w:r>
      <w:r w:rsidRPr="004A557F">
        <w:rPr>
          <w:rFonts w:eastAsiaTheme="minorEastAsia" w:cstheme="minorHAnsi"/>
          <w:sz w:val="24"/>
          <w:szCs w:val="24"/>
          <w:lang w:eastAsia="zh-CN"/>
        </w:rPr>
        <w:t>), neighbourhood deprivation (Index of Multiple Deprivation 201</w:t>
      </w:r>
      <w:r w:rsidR="00610229" w:rsidRPr="004A557F">
        <w:rPr>
          <w:rFonts w:eastAsiaTheme="minorEastAsia" w:cstheme="minorHAnsi"/>
          <w:sz w:val="24"/>
          <w:szCs w:val="24"/>
          <w:lang w:eastAsia="zh-CN"/>
        </w:rPr>
        <w:t>0, IMD2010</w:t>
      </w:r>
      <w:r w:rsidRPr="004A557F">
        <w:rPr>
          <w:rFonts w:eastAsiaTheme="minorEastAsia" w:cstheme="minorHAnsi"/>
          <w:sz w:val="24"/>
          <w:szCs w:val="24"/>
          <w:lang w:eastAsia="zh-CN"/>
        </w:rPr>
        <w:t>) and mortality (via the Office of National Statistics</w:t>
      </w:r>
      <w:r w:rsidR="00610229" w:rsidRPr="004A557F">
        <w:rPr>
          <w:rFonts w:eastAsiaTheme="minorEastAsia" w:cstheme="minorHAnsi"/>
          <w:sz w:val="24"/>
          <w:szCs w:val="24"/>
          <w:lang w:eastAsia="zh-CN"/>
        </w:rPr>
        <w:t>, ONS</w:t>
      </w:r>
      <w:r w:rsidRPr="004A557F">
        <w:rPr>
          <w:rFonts w:eastAsiaTheme="minorEastAsia" w:cstheme="minorHAnsi"/>
          <w:sz w:val="24"/>
          <w:szCs w:val="24"/>
          <w:lang w:eastAsia="zh-CN"/>
        </w:rPr>
        <w:t>) data. Similar characteristics in respect of patient demographics, years of follow-up and prescribing</w:t>
      </w:r>
      <w:r w:rsidR="00FB0326" w:rsidRPr="004A557F">
        <w:rPr>
          <w:rFonts w:eastAsiaTheme="minorEastAsia" w:cstheme="minorHAnsi"/>
          <w:sz w:val="24"/>
          <w:szCs w:val="24"/>
          <w:lang w:eastAsia="zh-CN"/>
        </w:rPr>
        <w:t xml:space="preserve"> behaviour</w:t>
      </w:r>
      <w:r w:rsidRPr="004A557F">
        <w:rPr>
          <w:rFonts w:eastAsiaTheme="minorEastAsia" w:cstheme="minorHAnsi"/>
          <w:sz w:val="24"/>
          <w:szCs w:val="24"/>
          <w:lang w:eastAsia="zh-CN"/>
        </w:rPr>
        <w:t xml:space="preserve"> ha</w:t>
      </w:r>
      <w:r w:rsidR="00FD52C6" w:rsidRPr="004A557F">
        <w:rPr>
          <w:rFonts w:eastAsiaTheme="minorEastAsia" w:cstheme="minorHAnsi"/>
          <w:sz w:val="24"/>
          <w:szCs w:val="24"/>
          <w:lang w:eastAsia="zh-CN"/>
        </w:rPr>
        <w:t>ve</w:t>
      </w:r>
      <w:r w:rsidRPr="004A557F">
        <w:rPr>
          <w:rFonts w:eastAsiaTheme="minorEastAsia" w:cstheme="minorHAnsi"/>
          <w:sz w:val="24"/>
          <w:szCs w:val="24"/>
          <w:lang w:eastAsia="zh-CN"/>
        </w:rPr>
        <w:t xml:space="preserve"> been shown in practices with and without such linkages</w:t>
      </w:r>
      <w:r w:rsidR="00E96DB8" w:rsidRPr="004A557F">
        <w:rPr>
          <w:rFonts w:eastAsiaTheme="minorEastAsia" w:cstheme="minorHAnsi"/>
          <w:sz w:val="24"/>
          <w:szCs w:val="24"/>
          <w:lang w:eastAsia="zh-CN"/>
        </w:rPr>
        <w:t>.</w:t>
      </w:r>
      <w:r w:rsidR="00D66E5E" w:rsidRPr="004A557F">
        <w:rPr>
          <w:rFonts w:eastAsiaTheme="minorEastAsia" w:cstheme="minorHAnsi"/>
          <w:sz w:val="24"/>
          <w:szCs w:val="24"/>
          <w:vertAlign w:val="superscript"/>
          <w:lang w:eastAsia="zh-CN"/>
        </w:rPr>
        <w:t>1</w:t>
      </w:r>
      <w:r w:rsidR="00517D97">
        <w:rPr>
          <w:rFonts w:eastAsiaTheme="minorEastAsia" w:cstheme="minorHAnsi"/>
          <w:sz w:val="24"/>
          <w:szCs w:val="24"/>
          <w:vertAlign w:val="superscript"/>
          <w:lang w:eastAsia="zh-CN"/>
        </w:rPr>
        <w:t>5</w:t>
      </w:r>
    </w:p>
    <w:p w14:paraId="12B8769C" w14:textId="77777777" w:rsidR="00477023" w:rsidRPr="004A557F" w:rsidRDefault="00477023" w:rsidP="004A557F">
      <w:pPr>
        <w:spacing w:line="480" w:lineRule="auto"/>
        <w:rPr>
          <w:rFonts w:eastAsiaTheme="minorEastAsia" w:cstheme="minorHAnsi"/>
          <w:i/>
          <w:sz w:val="24"/>
          <w:szCs w:val="24"/>
          <w:lang w:eastAsia="zh-CN"/>
        </w:rPr>
      </w:pPr>
      <w:r w:rsidRPr="004A557F">
        <w:rPr>
          <w:rFonts w:eastAsiaTheme="minorEastAsia" w:cstheme="minorHAnsi"/>
          <w:i/>
          <w:sz w:val="24"/>
          <w:szCs w:val="24"/>
          <w:lang w:eastAsia="zh-CN"/>
        </w:rPr>
        <w:t>Participant identification</w:t>
      </w:r>
    </w:p>
    <w:p w14:paraId="49AAF033" w14:textId="0354AB40" w:rsidR="00477023" w:rsidRPr="004A557F" w:rsidRDefault="00477023" w:rsidP="004A557F">
      <w:pPr>
        <w:spacing w:line="480" w:lineRule="auto"/>
        <w:rPr>
          <w:rFonts w:eastAsiaTheme="minorEastAsia" w:cstheme="minorHAnsi"/>
          <w:i/>
          <w:sz w:val="24"/>
          <w:szCs w:val="24"/>
          <w:lang w:eastAsia="zh-CN"/>
        </w:rPr>
      </w:pPr>
      <w:r w:rsidRPr="004A557F">
        <w:rPr>
          <w:rFonts w:eastAsiaTheme="minorEastAsia" w:cstheme="minorHAnsi"/>
          <w:sz w:val="24"/>
          <w:szCs w:val="24"/>
          <w:lang w:eastAsia="zh-CN"/>
        </w:rPr>
        <w:t>All individuals</w:t>
      </w:r>
      <w:r w:rsidR="00E12D3B" w:rsidRPr="004A557F">
        <w:rPr>
          <w:rFonts w:eastAsiaTheme="minorEastAsia" w:cstheme="minorHAnsi"/>
          <w:sz w:val="24"/>
          <w:szCs w:val="24"/>
          <w:lang w:eastAsia="zh-CN"/>
        </w:rPr>
        <w:t xml:space="preserve"> aged 18 years and over</w:t>
      </w:r>
      <w:r w:rsidRPr="004A557F">
        <w:rPr>
          <w:rFonts w:eastAsiaTheme="minorEastAsia" w:cstheme="minorHAnsi"/>
          <w:sz w:val="24"/>
          <w:szCs w:val="24"/>
          <w:lang w:eastAsia="zh-CN"/>
        </w:rPr>
        <w:t xml:space="preserve"> with a first coded</w:t>
      </w:r>
      <w:r w:rsidR="00814154" w:rsidRPr="004A557F">
        <w:rPr>
          <w:rFonts w:eastAsiaTheme="minorEastAsia" w:cstheme="minorHAnsi"/>
          <w:sz w:val="24"/>
          <w:szCs w:val="24"/>
          <w:lang w:eastAsia="zh-CN"/>
        </w:rPr>
        <w:t xml:space="preserve"> </w:t>
      </w:r>
      <w:r w:rsidRPr="004A557F">
        <w:rPr>
          <w:rFonts w:eastAsiaTheme="minorEastAsia" w:cstheme="minorHAnsi"/>
          <w:sz w:val="24"/>
          <w:szCs w:val="24"/>
          <w:lang w:eastAsia="zh-CN"/>
        </w:rPr>
        <w:t xml:space="preserve">record of a breathlessness symptom </w:t>
      </w:r>
      <w:r w:rsidR="00814154" w:rsidRPr="004A557F">
        <w:rPr>
          <w:rFonts w:eastAsiaTheme="minorEastAsia" w:cstheme="minorHAnsi"/>
          <w:sz w:val="24"/>
          <w:szCs w:val="24"/>
          <w:lang w:eastAsia="zh-CN"/>
        </w:rPr>
        <w:t>during</w:t>
      </w:r>
      <w:r w:rsidRPr="004A557F">
        <w:rPr>
          <w:rFonts w:eastAsiaTheme="minorEastAsia" w:cstheme="minorHAnsi"/>
          <w:sz w:val="24"/>
          <w:szCs w:val="24"/>
          <w:lang w:eastAsia="zh-CN"/>
        </w:rPr>
        <w:t xml:space="preserve"> 1997–2010 were identified as the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exposed</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cohort. Prior to the first breathlessness code, patients included in this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exposed</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cohort had no diagnostic record of COPD, asthma, IHD or other respiratory disease</w:t>
      </w:r>
      <w:r w:rsidR="00795B81" w:rsidRPr="004A557F">
        <w:rPr>
          <w:rFonts w:eastAsiaTheme="minorEastAsia" w:cstheme="minorHAnsi"/>
          <w:sz w:val="24"/>
          <w:szCs w:val="24"/>
          <w:lang w:eastAsia="zh-CN"/>
        </w:rPr>
        <w:t>. Furthermore, patients had no</w:t>
      </w:r>
      <w:r w:rsidR="00753B41" w:rsidRPr="004A557F">
        <w:rPr>
          <w:rFonts w:eastAsiaTheme="minorEastAsia" w:cstheme="minorHAnsi"/>
          <w:sz w:val="24"/>
          <w:szCs w:val="24"/>
          <w:lang w:eastAsia="zh-CN"/>
        </w:rPr>
        <w:t xml:space="preserve"> </w:t>
      </w:r>
      <w:r w:rsidR="00B37D25" w:rsidRPr="004A557F">
        <w:rPr>
          <w:rFonts w:eastAsiaTheme="minorEastAsia" w:cstheme="minorHAnsi"/>
          <w:sz w:val="24"/>
          <w:szCs w:val="24"/>
          <w:lang w:eastAsia="zh-CN"/>
        </w:rPr>
        <w:t xml:space="preserve">prescription record of medications for COPD, asthma or IHD </w:t>
      </w:r>
      <w:r w:rsidR="009528D9" w:rsidRPr="004A557F">
        <w:rPr>
          <w:rFonts w:eastAsiaTheme="minorEastAsia" w:cstheme="minorHAnsi"/>
          <w:sz w:val="24"/>
          <w:szCs w:val="24"/>
          <w:lang w:eastAsia="zh-CN"/>
        </w:rPr>
        <w:t>in</w:t>
      </w:r>
      <w:r w:rsidR="00795B81" w:rsidRPr="004A557F">
        <w:rPr>
          <w:rFonts w:eastAsiaTheme="minorEastAsia" w:cstheme="minorHAnsi"/>
          <w:sz w:val="24"/>
          <w:szCs w:val="24"/>
          <w:lang w:eastAsia="zh-CN"/>
        </w:rPr>
        <w:t xml:space="preserve"> </w:t>
      </w:r>
      <w:r w:rsidR="000B0087" w:rsidRPr="004A557F">
        <w:rPr>
          <w:rFonts w:eastAsiaTheme="minorEastAsia" w:cstheme="minorHAnsi"/>
          <w:sz w:val="24"/>
          <w:szCs w:val="24"/>
          <w:lang w:eastAsia="zh-CN"/>
        </w:rPr>
        <w:t xml:space="preserve">the </w:t>
      </w:r>
      <w:r w:rsidRPr="004A557F">
        <w:rPr>
          <w:rFonts w:eastAsiaTheme="minorEastAsia" w:cstheme="minorHAnsi"/>
          <w:sz w:val="24"/>
          <w:szCs w:val="24"/>
          <w:lang w:eastAsia="zh-CN"/>
        </w:rPr>
        <w:t>2 years</w:t>
      </w:r>
      <w:r w:rsidR="00795B81" w:rsidRPr="004A557F">
        <w:rPr>
          <w:rFonts w:eastAsiaTheme="minorEastAsia" w:cstheme="minorHAnsi"/>
          <w:sz w:val="24"/>
          <w:szCs w:val="24"/>
          <w:lang w:eastAsia="zh-CN"/>
        </w:rPr>
        <w:t xml:space="preserve"> prior to the first breathlessness symptom</w:t>
      </w:r>
      <w:r w:rsidRPr="004A557F">
        <w:rPr>
          <w:rFonts w:eastAsiaTheme="minorEastAsia" w:cstheme="minorHAnsi"/>
          <w:sz w:val="24"/>
          <w:szCs w:val="24"/>
          <w:lang w:eastAsia="zh-CN"/>
        </w:rPr>
        <w:t xml:space="preserve">. The date of first coded </w:t>
      </w:r>
      <w:r w:rsidR="00FB0326" w:rsidRPr="004A557F">
        <w:rPr>
          <w:rFonts w:eastAsiaTheme="minorEastAsia" w:cstheme="minorHAnsi"/>
          <w:sz w:val="24"/>
          <w:szCs w:val="24"/>
          <w:lang w:eastAsia="zh-CN"/>
        </w:rPr>
        <w:t xml:space="preserve">breathlessness </w:t>
      </w:r>
      <w:r w:rsidRPr="004A557F">
        <w:rPr>
          <w:rFonts w:eastAsiaTheme="minorEastAsia" w:cstheme="minorHAnsi"/>
          <w:sz w:val="24"/>
          <w:szCs w:val="24"/>
          <w:lang w:eastAsia="zh-CN"/>
        </w:rPr>
        <w:t xml:space="preserve">symptom was defined as the index date. </w:t>
      </w:r>
    </w:p>
    <w:p w14:paraId="3DCDB0D7" w14:textId="5FD3AE6A" w:rsidR="00477023" w:rsidRPr="004A557F" w:rsidRDefault="00477023"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 xml:space="preserve">An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unexposed</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cohort was matched 1:1 by year of birth, gender and practice to the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exposed</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cohort</w:t>
      </w:r>
      <w:r w:rsidR="008129F3"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The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unexposed</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cohort did not have a prior recorded breathlessness symptom, a prior diagnosis of COPD, asthma, IHD or other respiratory disease, or </w:t>
      </w:r>
      <w:r w:rsidR="00B37D25" w:rsidRPr="004A557F">
        <w:rPr>
          <w:rFonts w:eastAsiaTheme="minorEastAsia" w:cstheme="minorHAnsi"/>
          <w:sz w:val="24"/>
          <w:szCs w:val="24"/>
          <w:lang w:eastAsia="zh-CN"/>
        </w:rPr>
        <w:t>prescription record of medications for COPD, asthma</w:t>
      </w:r>
      <w:r w:rsidR="00B33362" w:rsidRPr="004A557F">
        <w:rPr>
          <w:rFonts w:eastAsiaTheme="minorEastAsia" w:cstheme="minorHAnsi"/>
          <w:sz w:val="24"/>
          <w:szCs w:val="24"/>
          <w:lang w:eastAsia="zh-CN"/>
        </w:rPr>
        <w:t>,</w:t>
      </w:r>
      <w:r w:rsidR="00B37D25" w:rsidRPr="004A557F">
        <w:rPr>
          <w:rFonts w:eastAsiaTheme="minorEastAsia" w:cstheme="minorHAnsi"/>
          <w:sz w:val="24"/>
          <w:szCs w:val="24"/>
          <w:lang w:eastAsia="zh-CN"/>
        </w:rPr>
        <w:t xml:space="preserve"> or IHD</w:t>
      </w:r>
      <w:r w:rsidRPr="004A557F">
        <w:rPr>
          <w:rFonts w:eastAsiaTheme="minorEastAsia" w:cstheme="minorHAnsi"/>
          <w:sz w:val="24"/>
          <w:szCs w:val="24"/>
          <w:lang w:eastAsia="zh-CN"/>
        </w:rPr>
        <w:t xml:space="preserve"> for the </w:t>
      </w:r>
      <w:r w:rsidR="00477113" w:rsidRPr="004A557F">
        <w:rPr>
          <w:rFonts w:eastAsiaTheme="minorEastAsia" w:cstheme="minorHAnsi"/>
          <w:sz w:val="24"/>
          <w:szCs w:val="24"/>
          <w:lang w:eastAsia="zh-CN"/>
        </w:rPr>
        <w:t>2</w:t>
      </w:r>
      <w:r w:rsidRPr="004A557F">
        <w:rPr>
          <w:rFonts w:eastAsiaTheme="minorEastAsia" w:cstheme="minorHAnsi"/>
          <w:sz w:val="24"/>
          <w:szCs w:val="24"/>
          <w:lang w:eastAsia="zh-CN"/>
        </w:rPr>
        <w:t xml:space="preserve"> years prior to the </w:t>
      </w:r>
      <w:r w:rsidRPr="004A557F">
        <w:rPr>
          <w:rFonts w:eastAsiaTheme="minorEastAsia" w:cstheme="minorHAnsi"/>
          <w:sz w:val="24"/>
          <w:szCs w:val="24"/>
          <w:lang w:eastAsia="zh-CN"/>
        </w:rPr>
        <w:lastRenderedPageBreak/>
        <w:t xml:space="preserve">index date of their matched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exposed</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patient.</w:t>
      </w:r>
      <w:r w:rsidR="00FD3FAD" w:rsidRPr="004A557F">
        <w:rPr>
          <w:rFonts w:eastAsiaTheme="minorEastAsia" w:cstheme="minorHAnsi"/>
          <w:sz w:val="24"/>
          <w:szCs w:val="24"/>
          <w:lang w:eastAsia="zh-CN"/>
        </w:rPr>
        <w:t xml:space="preserve"> They were given the same index date as their matched exposed patient.</w:t>
      </w:r>
    </w:p>
    <w:p w14:paraId="0528721D" w14:textId="155D8888" w:rsidR="007F2A06" w:rsidRPr="004A557F" w:rsidRDefault="00405562"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w:t>
      </w:r>
      <w:r w:rsidR="007F2A06" w:rsidRPr="004A557F">
        <w:rPr>
          <w:rFonts w:eastAsiaTheme="minorEastAsia" w:cstheme="minorHAnsi"/>
          <w:sz w:val="24"/>
          <w:szCs w:val="24"/>
          <w:lang w:eastAsia="zh-CN"/>
        </w:rPr>
        <w:t xml:space="preserve">The matched </w:t>
      </w:r>
      <w:r w:rsidRPr="004A557F">
        <w:rPr>
          <w:rFonts w:eastAsiaTheme="minorEastAsia" w:cstheme="minorHAnsi"/>
          <w:sz w:val="24"/>
          <w:szCs w:val="24"/>
          <w:lang w:eastAsia="zh-CN"/>
        </w:rPr>
        <w:t>‘</w:t>
      </w:r>
      <w:r w:rsidR="007F2A06" w:rsidRPr="004A557F">
        <w:rPr>
          <w:rFonts w:eastAsiaTheme="minorEastAsia" w:cstheme="minorHAnsi"/>
          <w:sz w:val="24"/>
          <w:szCs w:val="24"/>
          <w:lang w:eastAsia="zh-CN"/>
        </w:rPr>
        <w:t>exposed</w:t>
      </w:r>
      <w:r w:rsidRPr="004A557F">
        <w:rPr>
          <w:rFonts w:eastAsiaTheme="minorEastAsia" w:cstheme="minorHAnsi"/>
          <w:sz w:val="24"/>
          <w:szCs w:val="24"/>
          <w:lang w:eastAsia="zh-CN"/>
        </w:rPr>
        <w:t>’</w:t>
      </w:r>
      <w:r w:rsidR="007F2A06" w:rsidRPr="004A557F">
        <w:rPr>
          <w:rFonts w:eastAsiaTheme="minorEastAsia" w:cstheme="minorHAnsi"/>
          <w:sz w:val="24"/>
          <w:szCs w:val="24"/>
          <w:lang w:eastAsia="zh-CN"/>
        </w:rPr>
        <w:t xml:space="preserve"> and </w:t>
      </w:r>
      <w:r w:rsidRPr="004A557F">
        <w:rPr>
          <w:rFonts w:eastAsiaTheme="minorEastAsia" w:cstheme="minorHAnsi"/>
          <w:sz w:val="24"/>
          <w:szCs w:val="24"/>
          <w:lang w:eastAsia="zh-CN"/>
        </w:rPr>
        <w:t>‘</w:t>
      </w:r>
      <w:r w:rsidR="007F2A06" w:rsidRPr="004A557F">
        <w:rPr>
          <w:rFonts w:eastAsiaTheme="minorEastAsia" w:cstheme="minorHAnsi"/>
          <w:sz w:val="24"/>
          <w:szCs w:val="24"/>
          <w:lang w:eastAsia="zh-CN"/>
        </w:rPr>
        <w:t>unexposed</w:t>
      </w:r>
      <w:r w:rsidRPr="004A557F">
        <w:rPr>
          <w:rFonts w:eastAsiaTheme="minorEastAsia" w:cstheme="minorHAnsi"/>
          <w:sz w:val="24"/>
          <w:szCs w:val="24"/>
          <w:lang w:eastAsia="zh-CN"/>
        </w:rPr>
        <w:t>’</w:t>
      </w:r>
      <w:r w:rsidR="007F2A06" w:rsidRPr="004A557F">
        <w:rPr>
          <w:rFonts w:eastAsiaTheme="minorEastAsia" w:cstheme="minorHAnsi"/>
          <w:sz w:val="24"/>
          <w:szCs w:val="24"/>
          <w:lang w:eastAsia="zh-CN"/>
        </w:rPr>
        <w:t xml:space="preserve"> cohorts were followed forward from index date until</w:t>
      </w:r>
      <w:r w:rsidR="00FD52C6" w:rsidRPr="004A557F">
        <w:rPr>
          <w:rFonts w:eastAsiaTheme="minorEastAsia" w:cstheme="minorHAnsi"/>
          <w:sz w:val="24"/>
          <w:szCs w:val="24"/>
          <w:lang w:eastAsia="zh-CN"/>
        </w:rPr>
        <w:t xml:space="preserve"> earliest of</w:t>
      </w:r>
      <w:r w:rsidR="007F2A06" w:rsidRPr="004A557F">
        <w:rPr>
          <w:rFonts w:eastAsiaTheme="minorEastAsia" w:cstheme="minorHAnsi"/>
          <w:sz w:val="24"/>
          <w:szCs w:val="24"/>
          <w:lang w:eastAsia="zh-CN"/>
        </w:rPr>
        <w:t xml:space="preserve"> 31</w:t>
      </w:r>
      <w:r w:rsidR="007F2A06" w:rsidRPr="004A557F">
        <w:rPr>
          <w:rFonts w:eastAsiaTheme="minorEastAsia" w:cstheme="minorHAnsi"/>
          <w:sz w:val="24"/>
          <w:szCs w:val="24"/>
          <w:vertAlign w:val="superscript"/>
          <w:lang w:eastAsia="zh-CN"/>
        </w:rPr>
        <w:t>st</w:t>
      </w:r>
      <w:r w:rsidR="007F2A06" w:rsidRPr="004A557F">
        <w:rPr>
          <w:rFonts w:eastAsiaTheme="minorEastAsia" w:cstheme="minorHAnsi"/>
          <w:sz w:val="24"/>
          <w:szCs w:val="24"/>
          <w:lang w:eastAsia="zh-CN"/>
        </w:rPr>
        <w:t xml:space="preserve"> March 2014 or the date they no longer contributed to CPRD (</w:t>
      </w:r>
      <w:r w:rsidR="005520A6" w:rsidRPr="004A557F">
        <w:rPr>
          <w:rFonts w:eastAsiaTheme="minorEastAsia" w:cstheme="minorHAnsi"/>
          <w:sz w:val="24"/>
          <w:szCs w:val="24"/>
          <w:lang w:eastAsia="zh-CN"/>
        </w:rPr>
        <w:t>e.g.</w:t>
      </w:r>
      <w:r w:rsidR="007F2A06" w:rsidRPr="004A557F">
        <w:rPr>
          <w:rFonts w:eastAsiaTheme="minorEastAsia" w:cstheme="minorHAnsi"/>
          <w:sz w:val="24"/>
          <w:szCs w:val="24"/>
          <w:lang w:eastAsia="zh-CN"/>
        </w:rPr>
        <w:t xml:space="preserve"> due to death</w:t>
      </w:r>
      <w:r w:rsidR="000B0087" w:rsidRPr="004A557F">
        <w:rPr>
          <w:rFonts w:eastAsiaTheme="minorEastAsia" w:cstheme="minorHAnsi"/>
          <w:sz w:val="24"/>
          <w:szCs w:val="24"/>
          <w:lang w:eastAsia="zh-CN"/>
        </w:rPr>
        <w:t xml:space="preserve">, </w:t>
      </w:r>
      <w:r w:rsidR="007F2A06" w:rsidRPr="004A557F">
        <w:rPr>
          <w:rFonts w:eastAsiaTheme="minorEastAsia" w:cstheme="minorHAnsi"/>
          <w:sz w:val="24"/>
          <w:szCs w:val="24"/>
          <w:lang w:eastAsia="zh-CN"/>
        </w:rPr>
        <w:t>leaving the practice</w:t>
      </w:r>
      <w:r w:rsidR="005520A6" w:rsidRPr="004A557F">
        <w:rPr>
          <w:rFonts w:eastAsiaTheme="minorEastAsia" w:cstheme="minorHAnsi"/>
          <w:sz w:val="24"/>
          <w:szCs w:val="24"/>
          <w:lang w:eastAsia="zh-CN"/>
        </w:rPr>
        <w:t xml:space="preserve">, </w:t>
      </w:r>
      <w:r w:rsidR="007F2A06" w:rsidRPr="004A557F">
        <w:rPr>
          <w:rFonts w:eastAsiaTheme="minorEastAsia" w:cstheme="minorHAnsi"/>
          <w:sz w:val="24"/>
          <w:szCs w:val="24"/>
          <w:lang w:eastAsia="zh-CN"/>
        </w:rPr>
        <w:t>the practice leaving CPRD).</w:t>
      </w:r>
    </w:p>
    <w:p w14:paraId="40C98B9B" w14:textId="77777777" w:rsidR="00DE2727" w:rsidRPr="004A557F" w:rsidRDefault="00DE2727" w:rsidP="004A557F">
      <w:pPr>
        <w:spacing w:line="480" w:lineRule="auto"/>
        <w:rPr>
          <w:rFonts w:eastAsiaTheme="minorEastAsia" w:cstheme="minorHAnsi"/>
          <w:i/>
          <w:sz w:val="24"/>
          <w:szCs w:val="24"/>
          <w:lang w:eastAsia="zh-CN"/>
        </w:rPr>
      </w:pPr>
      <w:r w:rsidRPr="004A557F">
        <w:rPr>
          <w:rFonts w:eastAsiaTheme="minorEastAsia" w:cstheme="minorHAnsi"/>
          <w:i/>
          <w:sz w:val="24"/>
          <w:szCs w:val="24"/>
          <w:lang w:eastAsia="zh-CN"/>
        </w:rPr>
        <w:t>Outcomes</w:t>
      </w:r>
    </w:p>
    <w:p w14:paraId="53143EA0" w14:textId="2DD43B50" w:rsidR="00D70C5A" w:rsidRPr="004A557F" w:rsidRDefault="002A1EEA"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N</w:t>
      </w:r>
      <w:r w:rsidR="00D70C5A" w:rsidRPr="004A557F">
        <w:rPr>
          <w:rFonts w:eastAsiaTheme="minorEastAsia" w:cstheme="minorHAnsi"/>
          <w:sz w:val="24"/>
          <w:szCs w:val="24"/>
          <w:lang w:eastAsia="zh-CN"/>
        </w:rPr>
        <w:t>ew diagnoses of COPD, asthma and IHD</w:t>
      </w:r>
      <w:r w:rsidRPr="004A557F">
        <w:rPr>
          <w:rFonts w:eastAsiaTheme="minorEastAsia" w:cstheme="minorHAnsi"/>
          <w:sz w:val="24"/>
          <w:szCs w:val="24"/>
          <w:lang w:eastAsia="zh-CN"/>
        </w:rPr>
        <w:t xml:space="preserve"> were</w:t>
      </w:r>
      <w:r w:rsidR="00D70C5A" w:rsidRPr="004A557F">
        <w:rPr>
          <w:rFonts w:eastAsiaTheme="minorEastAsia" w:cstheme="minorHAnsi"/>
          <w:sz w:val="24"/>
          <w:szCs w:val="24"/>
          <w:lang w:eastAsia="zh-CN"/>
        </w:rPr>
        <w:t xml:space="preserve"> defined as the first recording of these conditions </w:t>
      </w:r>
      <w:r w:rsidR="00BF7FC9" w:rsidRPr="004A557F">
        <w:rPr>
          <w:rFonts w:eastAsiaTheme="minorEastAsia" w:cstheme="minorHAnsi"/>
          <w:sz w:val="24"/>
          <w:szCs w:val="24"/>
          <w:lang w:eastAsia="zh-CN"/>
        </w:rPr>
        <w:t xml:space="preserve">in either CPRD or the </w:t>
      </w:r>
      <w:r w:rsidR="00BC27FE" w:rsidRPr="004A557F">
        <w:rPr>
          <w:rFonts w:eastAsiaTheme="minorEastAsia" w:cstheme="minorHAnsi"/>
          <w:sz w:val="24"/>
          <w:szCs w:val="24"/>
          <w:lang w:eastAsia="zh-CN"/>
        </w:rPr>
        <w:t xml:space="preserve">linked </w:t>
      </w:r>
      <w:r w:rsidR="00BF7FC9" w:rsidRPr="004A557F">
        <w:rPr>
          <w:rFonts w:eastAsiaTheme="minorEastAsia" w:cstheme="minorHAnsi"/>
          <w:sz w:val="24"/>
          <w:szCs w:val="24"/>
          <w:lang w:eastAsia="zh-CN"/>
        </w:rPr>
        <w:t xml:space="preserve">hospital </w:t>
      </w:r>
      <w:r w:rsidR="00BC27FE" w:rsidRPr="004A557F">
        <w:rPr>
          <w:rFonts w:eastAsiaTheme="minorEastAsia" w:cstheme="minorHAnsi"/>
          <w:sz w:val="24"/>
          <w:szCs w:val="24"/>
          <w:lang w:eastAsia="zh-CN"/>
        </w:rPr>
        <w:t xml:space="preserve">inpatient </w:t>
      </w:r>
      <w:r w:rsidR="00BF7FC9" w:rsidRPr="004A557F">
        <w:rPr>
          <w:rFonts w:eastAsiaTheme="minorEastAsia" w:cstheme="minorHAnsi"/>
          <w:sz w:val="24"/>
          <w:szCs w:val="24"/>
          <w:lang w:eastAsia="zh-CN"/>
        </w:rPr>
        <w:t xml:space="preserve">data </w:t>
      </w:r>
      <w:r w:rsidR="00D70C5A" w:rsidRPr="004A557F">
        <w:rPr>
          <w:rFonts w:eastAsiaTheme="minorEastAsia" w:cstheme="minorHAnsi"/>
          <w:sz w:val="24"/>
          <w:szCs w:val="24"/>
          <w:lang w:eastAsia="zh-CN"/>
        </w:rPr>
        <w:t xml:space="preserve">within the follow-up period. </w:t>
      </w:r>
      <w:r w:rsidR="00D56811" w:rsidRPr="004A557F">
        <w:rPr>
          <w:rFonts w:eastAsiaTheme="minorEastAsia" w:cstheme="minorHAnsi"/>
          <w:sz w:val="24"/>
          <w:szCs w:val="24"/>
          <w:lang w:eastAsia="zh-CN"/>
        </w:rPr>
        <w:t>T</w:t>
      </w:r>
      <w:r w:rsidRPr="004A557F">
        <w:rPr>
          <w:rFonts w:eastAsiaTheme="minorEastAsia" w:cstheme="minorHAnsi"/>
          <w:sz w:val="24"/>
          <w:szCs w:val="24"/>
          <w:lang w:eastAsia="zh-CN"/>
        </w:rPr>
        <w:t>hey</w:t>
      </w:r>
      <w:r w:rsidR="00D70C5A" w:rsidRPr="004A557F">
        <w:rPr>
          <w:rFonts w:eastAsiaTheme="minorEastAsia" w:cstheme="minorHAnsi"/>
          <w:sz w:val="24"/>
          <w:szCs w:val="24"/>
          <w:lang w:eastAsia="zh-CN"/>
        </w:rPr>
        <w:t xml:space="preserve"> were analysed separately so a patient could have multiple outcomes. COPD, asthma and IHD were identified using Read codes and these Read codes were mapped to International Classification of Diseases v10 codes in the linked HES dataset to enable outcome identification from inpatient hospital information as well as primary care. Read codes used are available from </w:t>
      </w:r>
      <w:hyperlink r:id="rId8" w:history="1">
        <w:r w:rsidR="00D70C5A" w:rsidRPr="004A557F">
          <w:rPr>
            <w:rFonts w:eastAsiaTheme="minorEastAsia" w:cstheme="minorHAnsi"/>
            <w:color w:val="0000FF"/>
            <w:sz w:val="24"/>
            <w:szCs w:val="24"/>
            <w:u w:val="single"/>
            <w:lang w:eastAsia="zh-CN"/>
          </w:rPr>
          <w:t>www.keele.ac.uk/mrr</w:t>
        </w:r>
      </w:hyperlink>
      <w:r w:rsidR="00D70C5A" w:rsidRPr="004A557F">
        <w:rPr>
          <w:rFonts w:eastAsiaTheme="minorEastAsia" w:cstheme="minorHAnsi"/>
          <w:sz w:val="24"/>
          <w:szCs w:val="24"/>
          <w:lang w:eastAsia="zh-CN"/>
        </w:rPr>
        <w:t>.</w:t>
      </w:r>
    </w:p>
    <w:p w14:paraId="612CF49A" w14:textId="08DF46C6" w:rsidR="002A1EEA" w:rsidRPr="004A557F" w:rsidRDefault="00DE45CF"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Mortality information</w:t>
      </w:r>
      <w:r w:rsidR="00085EAF" w:rsidRPr="004A557F">
        <w:rPr>
          <w:rFonts w:eastAsiaTheme="minorEastAsia" w:cstheme="minorHAnsi"/>
          <w:sz w:val="24"/>
          <w:szCs w:val="24"/>
          <w:lang w:eastAsia="zh-CN"/>
        </w:rPr>
        <w:t xml:space="preserve">, including </w:t>
      </w:r>
      <w:r w:rsidRPr="004A557F">
        <w:rPr>
          <w:rFonts w:eastAsiaTheme="minorEastAsia" w:cstheme="minorHAnsi"/>
          <w:sz w:val="24"/>
          <w:szCs w:val="24"/>
          <w:lang w:eastAsia="zh-CN"/>
        </w:rPr>
        <w:t>date and cause</w:t>
      </w:r>
      <w:r w:rsidR="00085EAF"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was obtained from </w:t>
      </w:r>
      <w:r w:rsidR="00DE2727" w:rsidRPr="004A557F">
        <w:rPr>
          <w:rFonts w:eastAsiaTheme="minorEastAsia" w:cstheme="minorHAnsi"/>
          <w:sz w:val="24"/>
          <w:szCs w:val="24"/>
          <w:lang w:eastAsia="zh-CN"/>
        </w:rPr>
        <w:t xml:space="preserve">the linked </w:t>
      </w:r>
      <w:r w:rsidRPr="004A557F">
        <w:rPr>
          <w:rFonts w:eastAsiaTheme="minorEastAsia" w:cstheme="minorHAnsi"/>
          <w:sz w:val="24"/>
          <w:szCs w:val="24"/>
          <w:lang w:eastAsia="zh-CN"/>
        </w:rPr>
        <w:t>ONS</w:t>
      </w:r>
      <w:r w:rsidR="00DE2727" w:rsidRPr="004A557F">
        <w:rPr>
          <w:rFonts w:eastAsiaTheme="minorEastAsia" w:cstheme="minorHAnsi"/>
          <w:sz w:val="24"/>
          <w:szCs w:val="24"/>
          <w:lang w:eastAsia="zh-CN"/>
        </w:rPr>
        <w:t xml:space="preserve"> data</w:t>
      </w:r>
      <w:r w:rsidRPr="004A557F">
        <w:rPr>
          <w:rFonts w:eastAsiaTheme="minorEastAsia" w:cstheme="minorHAnsi"/>
          <w:sz w:val="24"/>
          <w:szCs w:val="24"/>
          <w:lang w:eastAsia="zh-CN"/>
        </w:rPr>
        <w:t>.</w:t>
      </w:r>
      <w:r w:rsidR="005520A6" w:rsidRPr="004A557F">
        <w:rPr>
          <w:rFonts w:eastAsiaTheme="minorEastAsia" w:cstheme="minorHAnsi"/>
          <w:sz w:val="24"/>
          <w:szCs w:val="24"/>
          <w:lang w:eastAsia="zh-CN"/>
        </w:rPr>
        <w:t xml:space="preserve"> </w:t>
      </w:r>
      <w:r w:rsidR="005750E2" w:rsidRPr="004A557F">
        <w:rPr>
          <w:rFonts w:eastAsiaTheme="minorEastAsia" w:cstheme="minorHAnsi"/>
          <w:sz w:val="24"/>
          <w:szCs w:val="24"/>
          <w:lang w:eastAsia="zh-CN"/>
        </w:rPr>
        <w:t>COPD</w:t>
      </w:r>
      <w:r w:rsidRPr="004A557F">
        <w:rPr>
          <w:rFonts w:eastAsiaTheme="minorEastAsia" w:cstheme="minorHAnsi"/>
          <w:sz w:val="24"/>
          <w:szCs w:val="24"/>
          <w:lang w:eastAsia="zh-CN"/>
        </w:rPr>
        <w:t xml:space="preserve"> and IHD-related as well as all-cause mortality were determined</w:t>
      </w:r>
      <w:r w:rsidR="009C16FE" w:rsidRPr="004A557F">
        <w:rPr>
          <w:rFonts w:eastAsiaTheme="minorEastAsia" w:cstheme="minorHAnsi"/>
          <w:sz w:val="24"/>
          <w:szCs w:val="24"/>
          <w:lang w:eastAsia="zh-CN"/>
        </w:rPr>
        <w:t>.</w:t>
      </w:r>
      <w:r w:rsidR="005750E2" w:rsidRPr="004A557F">
        <w:rPr>
          <w:rFonts w:eastAsiaTheme="minorEastAsia" w:cstheme="minorHAnsi"/>
          <w:sz w:val="24"/>
          <w:szCs w:val="24"/>
          <w:lang w:eastAsia="zh-CN"/>
        </w:rPr>
        <w:t xml:space="preserve"> </w:t>
      </w:r>
      <w:r w:rsidR="000278B9" w:rsidRPr="004A557F">
        <w:rPr>
          <w:rFonts w:eastAsiaTheme="minorEastAsia" w:cstheme="minorHAnsi"/>
          <w:sz w:val="24"/>
          <w:szCs w:val="24"/>
          <w:lang w:eastAsia="zh-CN"/>
        </w:rPr>
        <w:t>A</w:t>
      </w:r>
      <w:r w:rsidR="00DE2727" w:rsidRPr="004A557F">
        <w:rPr>
          <w:rFonts w:eastAsiaTheme="minorEastAsia" w:cstheme="minorHAnsi"/>
          <w:sz w:val="24"/>
          <w:szCs w:val="24"/>
          <w:lang w:eastAsia="zh-CN"/>
        </w:rPr>
        <w:t>sthma</w:t>
      </w:r>
      <w:r w:rsidR="00085EAF" w:rsidRPr="004A557F">
        <w:rPr>
          <w:rFonts w:eastAsiaTheme="minorEastAsia" w:cstheme="minorHAnsi"/>
          <w:sz w:val="24"/>
          <w:szCs w:val="24"/>
          <w:lang w:eastAsia="zh-CN"/>
        </w:rPr>
        <w:t>-</w:t>
      </w:r>
      <w:r w:rsidR="00DE2727" w:rsidRPr="004A557F">
        <w:rPr>
          <w:rFonts w:eastAsiaTheme="minorEastAsia" w:cstheme="minorHAnsi"/>
          <w:sz w:val="24"/>
          <w:szCs w:val="24"/>
          <w:lang w:eastAsia="zh-CN"/>
        </w:rPr>
        <w:t xml:space="preserve">related mortality </w:t>
      </w:r>
      <w:r w:rsidR="000278B9" w:rsidRPr="004A557F">
        <w:rPr>
          <w:rFonts w:eastAsiaTheme="minorEastAsia" w:cstheme="minorHAnsi"/>
          <w:sz w:val="24"/>
          <w:szCs w:val="24"/>
          <w:lang w:eastAsia="zh-CN"/>
        </w:rPr>
        <w:t xml:space="preserve">was </w:t>
      </w:r>
      <w:r w:rsidR="0042293F" w:rsidRPr="004A557F">
        <w:rPr>
          <w:rFonts w:eastAsiaTheme="minorEastAsia" w:cstheme="minorHAnsi"/>
          <w:sz w:val="24"/>
          <w:szCs w:val="24"/>
          <w:lang w:eastAsia="zh-CN"/>
        </w:rPr>
        <w:t>not</w:t>
      </w:r>
      <w:r w:rsidR="00D92B37">
        <w:rPr>
          <w:rFonts w:eastAsiaTheme="minorEastAsia" w:cstheme="minorHAnsi"/>
          <w:sz w:val="24"/>
          <w:szCs w:val="24"/>
          <w:lang w:eastAsia="zh-CN"/>
        </w:rPr>
        <w:t xml:space="preserve"> studied</w:t>
      </w:r>
      <w:r w:rsidR="0042293F" w:rsidRPr="004A557F">
        <w:rPr>
          <w:rFonts w:eastAsiaTheme="minorEastAsia" w:cstheme="minorHAnsi"/>
          <w:sz w:val="24"/>
          <w:szCs w:val="24"/>
          <w:lang w:eastAsia="zh-CN"/>
        </w:rPr>
        <w:t xml:space="preserve"> because of its rarity</w:t>
      </w:r>
      <w:r w:rsidR="005750E2" w:rsidRPr="004A557F">
        <w:rPr>
          <w:rFonts w:eastAsiaTheme="minorEastAsia" w:cstheme="minorHAnsi"/>
          <w:sz w:val="24"/>
          <w:szCs w:val="24"/>
          <w:lang w:eastAsia="zh-CN"/>
        </w:rPr>
        <w:t>.</w:t>
      </w:r>
    </w:p>
    <w:p w14:paraId="7BE33E9D" w14:textId="77777777" w:rsidR="00477023" w:rsidRPr="004A557F" w:rsidRDefault="00477023" w:rsidP="004A557F">
      <w:pPr>
        <w:spacing w:line="480" w:lineRule="auto"/>
        <w:rPr>
          <w:rFonts w:eastAsiaTheme="minorEastAsia" w:cstheme="minorHAnsi"/>
          <w:i/>
          <w:sz w:val="24"/>
          <w:szCs w:val="24"/>
          <w:lang w:eastAsia="zh-CN"/>
        </w:rPr>
      </w:pPr>
      <w:r w:rsidRPr="004A557F">
        <w:rPr>
          <w:rFonts w:eastAsiaTheme="minorEastAsia" w:cstheme="minorHAnsi"/>
          <w:i/>
          <w:sz w:val="24"/>
          <w:szCs w:val="24"/>
          <w:lang w:eastAsia="zh-CN"/>
        </w:rPr>
        <w:t>Covariates</w:t>
      </w:r>
    </w:p>
    <w:p w14:paraId="57E609F1" w14:textId="55F6F610" w:rsidR="00477023" w:rsidRPr="004A557F" w:rsidRDefault="00477023"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Covariates thought to be potentially related to both the recording of exposure symptoms and outcome</w:t>
      </w:r>
      <w:r w:rsidR="00883D11" w:rsidRPr="004A557F">
        <w:rPr>
          <w:rFonts w:eastAsiaTheme="minorEastAsia" w:cstheme="minorHAnsi"/>
          <w:sz w:val="24"/>
          <w:szCs w:val="24"/>
          <w:lang w:eastAsia="zh-CN"/>
        </w:rPr>
        <w:t>s</w:t>
      </w:r>
      <w:r w:rsidRPr="004A557F">
        <w:rPr>
          <w:rFonts w:eastAsiaTheme="minorEastAsia" w:cstheme="minorHAnsi"/>
          <w:sz w:val="24"/>
          <w:szCs w:val="24"/>
          <w:lang w:eastAsia="zh-CN"/>
        </w:rPr>
        <w:t xml:space="preserve"> were year of </w:t>
      </w:r>
      <w:r w:rsidR="003317D1" w:rsidRPr="004A557F">
        <w:rPr>
          <w:rFonts w:eastAsiaTheme="minorEastAsia" w:cstheme="minorHAnsi"/>
          <w:sz w:val="24"/>
          <w:szCs w:val="24"/>
          <w:lang w:eastAsia="zh-CN"/>
        </w:rPr>
        <w:t>index date</w:t>
      </w:r>
      <w:r w:rsidRPr="004A557F">
        <w:rPr>
          <w:rFonts w:eastAsiaTheme="minorEastAsia" w:cstheme="minorHAnsi"/>
          <w:sz w:val="24"/>
          <w:szCs w:val="24"/>
          <w:lang w:eastAsia="zh-CN"/>
        </w:rPr>
        <w:t xml:space="preserve">, age, gender, geographical region, smoking status, alcohol </w:t>
      </w:r>
      <w:r w:rsidR="009772B2" w:rsidRPr="004A557F">
        <w:rPr>
          <w:rFonts w:eastAsiaTheme="minorEastAsia" w:cstheme="minorHAnsi"/>
          <w:sz w:val="24"/>
          <w:szCs w:val="24"/>
          <w:lang w:eastAsia="zh-CN"/>
        </w:rPr>
        <w:t>consumption</w:t>
      </w:r>
      <w:r w:rsidRPr="004A557F">
        <w:rPr>
          <w:rFonts w:eastAsiaTheme="minorEastAsia" w:cstheme="minorHAnsi"/>
          <w:sz w:val="24"/>
          <w:szCs w:val="24"/>
          <w:lang w:eastAsia="zh-CN"/>
        </w:rPr>
        <w:t xml:space="preserve">, body mass index (BMI), </w:t>
      </w:r>
      <w:r w:rsidR="00D70C5A" w:rsidRPr="004A557F">
        <w:rPr>
          <w:rFonts w:eastAsiaTheme="minorEastAsia" w:cstheme="minorHAnsi"/>
          <w:sz w:val="24"/>
          <w:szCs w:val="24"/>
          <w:lang w:eastAsia="zh-CN"/>
        </w:rPr>
        <w:t xml:space="preserve">neighbourhood </w:t>
      </w:r>
      <w:r w:rsidRPr="004A557F">
        <w:rPr>
          <w:rFonts w:eastAsiaTheme="minorEastAsia" w:cstheme="minorHAnsi"/>
          <w:sz w:val="24"/>
          <w:szCs w:val="24"/>
          <w:lang w:eastAsia="zh-CN"/>
        </w:rPr>
        <w:t>deprivation, other recorded respiratory symptoms (cough</w:t>
      </w:r>
      <w:r w:rsidR="000310AA"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sputum), recorded inflammatory conditions (rheumatoid arthritis, gout, polymyalgia </w:t>
      </w:r>
      <w:proofErr w:type="spellStart"/>
      <w:r w:rsidRPr="004A557F">
        <w:rPr>
          <w:rFonts w:eastAsiaTheme="minorEastAsia" w:cstheme="minorHAnsi"/>
          <w:sz w:val="24"/>
          <w:szCs w:val="24"/>
          <w:lang w:eastAsia="zh-CN"/>
        </w:rPr>
        <w:t>rheumatic</w:t>
      </w:r>
      <w:r w:rsidR="005813C2" w:rsidRPr="004A557F">
        <w:rPr>
          <w:rFonts w:eastAsiaTheme="minorEastAsia" w:cstheme="minorHAnsi"/>
          <w:sz w:val="24"/>
          <w:szCs w:val="24"/>
          <w:lang w:eastAsia="zh-CN"/>
        </w:rPr>
        <w:t>a</w:t>
      </w:r>
      <w:proofErr w:type="spellEnd"/>
      <w:r w:rsidRPr="004A557F">
        <w:rPr>
          <w:rFonts w:eastAsiaTheme="minorEastAsia" w:cstheme="minorHAnsi"/>
          <w:sz w:val="24"/>
          <w:szCs w:val="24"/>
          <w:lang w:eastAsia="zh-CN"/>
        </w:rPr>
        <w:t xml:space="preserve">, inflammatory bowel disease, systemic lupus </w:t>
      </w:r>
      <w:r w:rsidRPr="004A557F">
        <w:rPr>
          <w:rFonts w:eastAsiaTheme="minorEastAsia" w:cstheme="minorHAnsi"/>
          <w:sz w:val="24"/>
          <w:szCs w:val="24"/>
          <w:lang w:eastAsia="zh-CN"/>
        </w:rPr>
        <w:lastRenderedPageBreak/>
        <w:t>erythematosus</w:t>
      </w:r>
      <w:r w:rsidR="000310AA" w:rsidRPr="004A557F">
        <w:rPr>
          <w:rFonts w:eastAsiaTheme="minorEastAsia" w:cstheme="minorHAnsi"/>
          <w:sz w:val="24"/>
          <w:szCs w:val="24"/>
          <w:lang w:eastAsia="zh-CN"/>
        </w:rPr>
        <w:t xml:space="preserve">, </w:t>
      </w:r>
      <w:proofErr w:type="spellStart"/>
      <w:r w:rsidRPr="004A557F">
        <w:rPr>
          <w:rFonts w:eastAsiaTheme="minorEastAsia" w:cstheme="minorHAnsi"/>
          <w:sz w:val="24"/>
          <w:szCs w:val="24"/>
          <w:lang w:eastAsia="zh-CN"/>
        </w:rPr>
        <w:t>spondyloarthritis</w:t>
      </w:r>
      <w:proofErr w:type="spellEnd"/>
      <w:r w:rsidRPr="004A557F">
        <w:rPr>
          <w:rFonts w:eastAsiaTheme="minorEastAsia" w:cstheme="minorHAnsi"/>
          <w:sz w:val="24"/>
          <w:szCs w:val="24"/>
          <w:lang w:eastAsia="zh-CN"/>
        </w:rPr>
        <w:t xml:space="preserve">), </w:t>
      </w:r>
      <w:r w:rsidR="00832315" w:rsidRPr="004A557F">
        <w:rPr>
          <w:rFonts w:eastAsiaTheme="minorEastAsia" w:cstheme="minorHAnsi"/>
          <w:sz w:val="24"/>
          <w:szCs w:val="24"/>
          <w:lang w:eastAsia="zh-CN"/>
        </w:rPr>
        <w:t xml:space="preserve">common </w:t>
      </w:r>
      <w:r w:rsidRPr="004A557F">
        <w:rPr>
          <w:rFonts w:eastAsiaTheme="minorEastAsia" w:cstheme="minorHAnsi"/>
          <w:sz w:val="24"/>
          <w:szCs w:val="24"/>
          <w:lang w:eastAsia="zh-CN"/>
        </w:rPr>
        <w:t xml:space="preserve">mental health </w:t>
      </w:r>
      <w:r w:rsidR="00832315" w:rsidRPr="004A557F">
        <w:rPr>
          <w:rFonts w:eastAsiaTheme="minorEastAsia" w:cstheme="minorHAnsi"/>
          <w:sz w:val="24"/>
          <w:szCs w:val="24"/>
          <w:lang w:eastAsia="zh-CN"/>
        </w:rPr>
        <w:t xml:space="preserve">disorders </w:t>
      </w:r>
      <w:r w:rsidRPr="004A557F">
        <w:rPr>
          <w:rFonts w:eastAsiaTheme="minorEastAsia" w:cstheme="minorHAnsi"/>
          <w:sz w:val="24"/>
          <w:szCs w:val="24"/>
          <w:lang w:eastAsia="zh-CN"/>
        </w:rPr>
        <w:t>(depression</w:t>
      </w:r>
      <w:r w:rsidR="000310AA"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anxiety), diabetes, non-specific chest pain, musculoskeletal pain, and the total number of co-morbid conditions.</w:t>
      </w:r>
    </w:p>
    <w:p w14:paraId="2F183499" w14:textId="434514BD" w:rsidR="00477023" w:rsidRPr="004A557F" w:rsidRDefault="00477023"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Smoking and alcohol information were classified as ever smoked/drunk alcohol, never or missing</w:t>
      </w:r>
      <w:r w:rsidR="007C1161"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based </w:t>
      </w:r>
      <w:r w:rsidR="007C1161" w:rsidRPr="004A557F">
        <w:rPr>
          <w:rFonts w:eastAsiaTheme="minorEastAsia" w:cstheme="minorHAnsi"/>
          <w:sz w:val="24"/>
          <w:szCs w:val="24"/>
          <w:lang w:eastAsia="zh-CN"/>
        </w:rPr>
        <w:t>up</w:t>
      </w:r>
      <w:r w:rsidRPr="004A557F">
        <w:rPr>
          <w:rFonts w:eastAsiaTheme="minorEastAsia" w:cstheme="minorHAnsi"/>
          <w:sz w:val="24"/>
          <w:szCs w:val="24"/>
          <w:lang w:eastAsia="zh-CN"/>
        </w:rPr>
        <w:t xml:space="preserve">on data recorded prior to index date. The missing category was included to maximise the numbers in the analysis. The BMI value used was the </w:t>
      </w:r>
      <w:r w:rsidR="00CE15CE" w:rsidRPr="004A557F">
        <w:rPr>
          <w:rFonts w:eastAsiaTheme="minorEastAsia" w:cstheme="minorHAnsi"/>
          <w:sz w:val="24"/>
          <w:szCs w:val="24"/>
          <w:lang w:eastAsia="zh-CN"/>
        </w:rPr>
        <w:t xml:space="preserve">most recent </w:t>
      </w:r>
      <w:r w:rsidRPr="004A557F">
        <w:rPr>
          <w:rFonts w:eastAsiaTheme="minorEastAsia" w:cstheme="minorHAnsi"/>
          <w:sz w:val="24"/>
          <w:szCs w:val="24"/>
          <w:lang w:eastAsia="zh-CN"/>
        </w:rPr>
        <w:t>record before index date, and was grouped into &lt;25, ≥25 kg/m</w:t>
      </w:r>
      <w:r w:rsidRPr="004A557F">
        <w:rPr>
          <w:rFonts w:eastAsiaTheme="minorEastAsia" w:cstheme="minorHAnsi"/>
          <w:sz w:val="24"/>
          <w:szCs w:val="24"/>
          <w:vertAlign w:val="superscript"/>
          <w:lang w:eastAsia="zh-CN"/>
        </w:rPr>
        <w:t>2</w:t>
      </w:r>
      <w:r w:rsidRPr="004A557F">
        <w:rPr>
          <w:rFonts w:eastAsiaTheme="minorEastAsia" w:cstheme="minorHAnsi"/>
          <w:sz w:val="24"/>
          <w:szCs w:val="24"/>
          <w:lang w:eastAsia="zh-CN"/>
        </w:rPr>
        <w:t xml:space="preserve"> (overweight), or missing. Neighbourhood deprivation level</w:t>
      </w:r>
      <w:r w:rsidR="00F661AA" w:rsidRPr="004A557F">
        <w:rPr>
          <w:rFonts w:eastAsiaTheme="minorEastAsia" w:cstheme="minorHAnsi"/>
          <w:sz w:val="24"/>
          <w:szCs w:val="24"/>
          <w:lang w:eastAsia="zh-CN"/>
        </w:rPr>
        <w:t xml:space="preserve"> was</w:t>
      </w:r>
      <w:r w:rsidRPr="004A557F">
        <w:rPr>
          <w:rFonts w:eastAsiaTheme="minorEastAsia" w:cstheme="minorHAnsi"/>
          <w:sz w:val="24"/>
          <w:szCs w:val="24"/>
          <w:lang w:eastAsia="zh-CN"/>
        </w:rPr>
        <w:t xml:space="preserve"> based on </w:t>
      </w:r>
      <w:r w:rsidR="00610229" w:rsidRPr="004A557F">
        <w:rPr>
          <w:rFonts w:eastAsiaTheme="minorEastAsia" w:cstheme="minorHAnsi"/>
          <w:sz w:val="24"/>
          <w:szCs w:val="24"/>
          <w:lang w:eastAsia="zh-CN"/>
        </w:rPr>
        <w:t>IMD2010</w:t>
      </w:r>
      <w:r w:rsidR="006B6A84" w:rsidRPr="004A557F">
        <w:rPr>
          <w:rFonts w:eastAsiaTheme="minorEastAsia" w:cstheme="minorHAnsi"/>
          <w:sz w:val="24"/>
          <w:szCs w:val="24"/>
          <w:lang w:eastAsia="zh-CN"/>
        </w:rPr>
        <w:t>,</w:t>
      </w:r>
      <w:r w:rsidR="00F661AA" w:rsidRPr="004A557F">
        <w:rPr>
          <w:rFonts w:eastAsiaTheme="minorEastAsia" w:cstheme="minorHAnsi"/>
          <w:sz w:val="24"/>
          <w:szCs w:val="24"/>
          <w:lang w:eastAsia="zh-CN"/>
        </w:rPr>
        <w:t xml:space="preserve"> a weighted measure of deprivation across seven domains </w:t>
      </w:r>
      <w:r w:rsidRPr="004A557F">
        <w:rPr>
          <w:rFonts w:eastAsiaTheme="minorEastAsia" w:cstheme="minorHAnsi"/>
          <w:sz w:val="24"/>
          <w:szCs w:val="24"/>
          <w:lang w:eastAsia="zh-CN"/>
        </w:rPr>
        <w:t>for geographical areas</w:t>
      </w:r>
      <w:r w:rsidR="00F661AA" w:rsidRPr="004A557F">
        <w:rPr>
          <w:rFonts w:eastAsiaTheme="minorEastAsia" w:cstheme="minorHAnsi"/>
          <w:sz w:val="24"/>
          <w:szCs w:val="24"/>
          <w:lang w:eastAsia="zh-CN"/>
        </w:rPr>
        <w:t>.</w:t>
      </w:r>
      <w:r w:rsidR="00D66E5E" w:rsidRPr="004A557F">
        <w:rPr>
          <w:rFonts w:eastAsiaTheme="minorEastAsia" w:cstheme="minorHAnsi"/>
          <w:sz w:val="24"/>
          <w:szCs w:val="24"/>
          <w:vertAlign w:val="superscript"/>
          <w:lang w:eastAsia="zh-CN"/>
        </w:rPr>
        <w:t>16</w:t>
      </w:r>
      <w:r w:rsidR="00F661AA" w:rsidRPr="004A557F">
        <w:rPr>
          <w:rFonts w:eastAsiaTheme="minorEastAsia" w:cstheme="minorHAnsi"/>
          <w:sz w:val="24"/>
          <w:szCs w:val="24"/>
          <w:lang w:eastAsia="zh-CN"/>
        </w:rPr>
        <w:t xml:space="preserve"> </w:t>
      </w:r>
      <w:proofErr w:type="gramStart"/>
      <w:r w:rsidR="00F661AA" w:rsidRPr="004A557F">
        <w:rPr>
          <w:rFonts w:eastAsiaTheme="minorEastAsia" w:cstheme="minorHAnsi"/>
          <w:sz w:val="24"/>
          <w:szCs w:val="24"/>
          <w:lang w:eastAsia="zh-CN"/>
        </w:rPr>
        <w:t>This</w:t>
      </w:r>
      <w:proofErr w:type="gramEnd"/>
      <w:r w:rsidR="00F661AA" w:rsidRPr="004A557F">
        <w:rPr>
          <w:rFonts w:eastAsiaTheme="minorEastAsia" w:cstheme="minorHAnsi"/>
          <w:sz w:val="24"/>
          <w:szCs w:val="24"/>
          <w:lang w:eastAsia="zh-CN"/>
        </w:rPr>
        <w:t xml:space="preserve"> </w:t>
      </w:r>
      <w:r w:rsidRPr="004A557F">
        <w:rPr>
          <w:rFonts w:eastAsiaTheme="minorEastAsia" w:cstheme="minorHAnsi"/>
          <w:sz w:val="24"/>
          <w:szCs w:val="24"/>
          <w:lang w:eastAsia="zh-CN"/>
        </w:rPr>
        <w:t>was categorised based on quintile score (1 least, 5 most deprived).</w:t>
      </w:r>
      <w:r w:rsidR="00DC1330" w:rsidRPr="004A557F">
        <w:rPr>
          <w:rFonts w:eastAsiaTheme="minorEastAsia" w:cstheme="minorHAnsi"/>
          <w:sz w:val="24"/>
          <w:szCs w:val="24"/>
          <w:lang w:eastAsia="zh-CN"/>
        </w:rPr>
        <w:t xml:space="preserve"> Repeating analyses excluding patients with missing data on covariates gave similar results.</w:t>
      </w:r>
    </w:p>
    <w:p w14:paraId="4EA6A773" w14:textId="0D7E0A8D" w:rsidR="00477023" w:rsidRPr="004A557F" w:rsidRDefault="00477023"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 xml:space="preserve">Cough, sputum and the specific co-morbidities were defined through Read code </w:t>
      </w:r>
      <w:r w:rsidR="00F24B55" w:rsidRPr="004A557F">
        <w:rPr>
          <w:rFonts w:eastAsiaTheme="minorEastAsia" w:cstheme="minorHAnsi"/>
          <w:sz w:val="24"/>
          <w:szCs w:val="24"/>
          <w:lang w:eastAsia="zh-CN"/>
        </w:rPr>
        <w:t xml:space="preserve">extracted </w:t>
      </w:r>
      <w:r w:rsidRPr="004A557F">
        <w:rPr>
          <w:rFonts w:eastAsiaTheme="minorEastAsia" w:cstheme="minorHAnsi"/>
          <w:sz w:val="24"/>
          <w:szCs w:val="24"/>
          <w:lang w:eastAsia="zh-CN"/>
        </w:rPr>
        <w:t xml:space="preserve">from patients’ consultation records in the 2-year period prior to index date. The total number of prescriptions for drugs recorded under different </w:t>
      </w:r>
      <w:r w:rsidR="00644428" w:rsidRPr="004A557F">
        <w:rPr>
          <w:rFonts w:eastAsiaTheme="minorEastAsia" w:cstheme="minorHAnsi"/>
          <w:sz w:val="24"/>
          <w:szCs w:val="24"/>
          <w:lang w:eastAsia="zh-CN"/>
        </w:rPr>
        <w:t>British National Formulary</w:t>
      </w:r>
      <w:r w:rsidRPr="004A557F">
        <w:rPr>
          <w:rFonts w:eastAsiaTheme="minorEastAsia" w:cstheme="minorHAnsi"/>
          <w:sz w:val="24"/>
          <w:szCs w:val="24"/>
          <w:lang w:eastAsia="zh-CN"/>
        </w:rPr>
        <w:t xml:space="preserve"> sections in the 2-year period prior to index date was used as a surrogate measure of the number of co-morbid conditions at baseline. This has been shown to be as predictive of health outcomes as more complicated comorbidity measures.</w:t>
      </w:r>
      <w:r w:rsidR="00D66E5E" w:rsidRPr="004A557F">
        <w:rPr>
          <w:rFonts w:eastAsiaTheme="minorEastAsia" w:cstheme="minorHAnsi"/>
          <w:sz w:val="24"/>
          <w:szCs w:val="24"/>
          <w:vertAlign w:val="superscript"/>
          <w:lang w:eastAsia="zh-CN"/>
        </w:rPr>
        <w:t>17</w:t>
      </w:r>
    </w:p>
    <w:p w14:paraId="05C81DF4" w14:textId="3E7F5905" w:rsidR="00477023" w:rsidRPr="004A557F" w:rsidRDefault="0081076B" w:rsidP="004A557F">
      <w:pPr>
        <w:spacing w:line="480" w:lineRule="auto"/>
        <w:rPr>
          <w:rFonts w:eastAsiaTheme="minorEastAsia" w:cstheme="minorHAnsi"/>
          <w:i/>
          <w:sz w:val="24"/>
          <w:szCs w:val="24"/>
          <w:lang w:eastAsia="zh-CN"/>
        </w:rPr>
      </w:pPr>
      <w:r w:rsidRPr="004A557F">
        <w:rPr>
          <w:rFonts w:eastAsiaTheme="minorEastAsia" w:cstheme="minorHAnsi"/>
          <w:i/>
          <w:sz w:val="24"/>
          <w:szCs w:val="24"/>
          <w:lang w:eastAsia="zh-CN"/>
        </w:rPr>
        <w:t>Primary care management</w:t>
      </w:r>
    </w:p>
    <w:p w14:paraId="189E51D1" w14:textId="1A272156" w:rsidR="00580F42" w:rsidRPr="004A557F" w:rsidRDefault="00D70C5A"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 xml:space="preserve">As a measure of primary care management, </w:t>
      </w:r>
      <w:r w:rsidR="0076035E" w:rsidRPr="004A557F">
        <w:rPr>
          <w:rFonts w:eastAsiaTheme="minorEastAsia" w:cstheme="minorHAnsi"/>
          <w:sz w:val="24"/>
          <w:szCs w:val="24"/>
          <w:lang w:eastAsia="zh-CN"/>
        </w:rPr>
        <w:t xml:space="preserve">prescribed </w:t>
      </w:r>
      <w:r w:rsidRPr="004A557F">
        <w:rPr>
          <w:rFonts w:eastAsiaTheme="minorEastAsia" w:cstheme="minorHAnsi"/>
          <w:sz w:val="24"/>
          <w:szCs w:val="24"/>
          <w:lang w:eastAsia="zh-CN"/>
        </w:rPr>
        <w:t>medication</w:t>
      </w:r>
      <w:r w:rsidR="0076035E" w:rsidRPr="004A557F">
        <w:rPr>
          <w:rFonts w:eastAsiaTheme="minorEastAsia" w:cstheme="minorHAnsi"/>
          <w:sz w:val="24"/>
          <w:szCs w:val="24"/>
          <w:lang w:eastAsia="zh-CN"/>
        </w:rPr>
        <w:t>s</w:t>
      </w:r>
      <w:r w:rsidRPr="004A557F">
        <w:rPr>
          <w:rFonts w:eastAsiaTheme="minorEastAsia" w:cstheme="minorHAnsi"/>
          <w:sz w:val="24"/>
          <w:szCs w:val="24"/>
          <w:lang w:eastAsia="zh-CN"/>
        </w:rPr>
        <w:t xml:space="preserve"> for COPD</w:t>
      </w:r>
      <w:r w:rsidR="005A3C99" w:rsidRPr="004A557F">
        <w:rPr>
          <w:rFonts w:eastAsiaTheme="minorEastAsia" w:cstheme="minorHAnsi"/>
          <w:sz w:val="24"/>
          <w:szCs w:val="24"/>
          <w:lang w:eastAsia="zh-CN"/>
        </w:rPr>
        <w:t xml:space="preserve">, </w:t>
      </w:r>
      <w:r w:rsidRPr="004A557F">
        <w:rPr>
          <w:rFonts w:eastAsiaTheme="minorEastAsia" w:cstheme="minorHAnsi"/>
          <w:sz w:val="24"/>
          <w:szCs w:val="24"/>
          <w:lang w:eastAsia="zh-CN"/>
        </w:rPr>
        <w:t xml:space="preserve">asthma </w:t>
      </w:r>
      <w:r w:rsidR="005A3C99" w:rsidRPr="004A557F">
        <w:rPr>
          <w:rFonts w:eastAsiaTheme="minorEastAsia" w:cstheme="minorHAnsi"/>
          <w:sz w:val="24"/>
          <w:szCs w:val="24"/>
          <w:lang w:eastAsia="zh-CN"/>
        </w:rPr>
        <w:t>and</w:t>
      </w:r>
      <w:r w:rsidRPr="004A557F">
        <w:rPr>
          <w:rFonts w:eastAsiaTheme="minorEastAsia" w:cstheme="minorHAnsi"/>
          <w:sz w:val="24"/>
          <w:szCs w:val="24"/>
          <w:lang w:eastAsia="zh-CN"/>
        </w:rPr>
        <w:t xml:space="preserve"> IHD in the first six months after</w:t>
      </w:r>
      <w:r w:rsidR="00DF5A59" w:rsidRPr="004A557F">
        <w:rPr>
          <w:rFonts w:eastAsiaTheme="minorEastAsia" w:cstheme="minorHAnsi"/>
          <w:sz w:val="24"/>
          <w:szCs w:val="24"/>
          <w:lang w:eastAsia="zh-CN"/>
        </w:rPr>
        <w:t xml:space="preserve"> the</w:t>
      </w:r>
      <w:r w:rsidRPr="004A557F">
        <w:rPr>
          <w:rFonts w:eastAsiaTheme="minorEastAsia" w:cstheme="minorHAnsi"/>
          <w:sz w:val="24"/>
          <w:szCs w:val="24"/>
          <w:lang w:eastAsia="zh-CN"/>
        </w:rPr>
        <w:t xml:space="preserve"> index date (and before any</w:t>
      </w:r>
      <w:r w:rsidR="00E32357" w:rsidRPr="004A557F">
        <w:rPr>
          <w:rFonts w:eastAsiaTheme="minorEastAsia" w:cstheme="minorHAnsi"/>
          <w:sz w:val="24"/>
          <w:szCs w:val="24"/>
          <w:lang w:eastAsia="zh-CN"/>
        </w:rPr>
        <w:t xml:space="preserve"> relevant</w:t>
      </w:r>
      <w:r w:rsidRPr="004A557F">
        <w:rPr>
          <w:rFonts w:eastAsiaTheme="minorEastAsia" w:cstheme="minorHAnsi"/>
          <w:sz w:val="24"/>
          <w:szCs w:val="24"/>
          <w:lang w:eastAsia="zh-CN"/>
        </w:rPr>
        <w:t xml:space="preserve"> diagnosis) w</w:t>
      </w:r>
      <w:r w:rsidR="0076035E" w:rsidRPr="004A557F">
        <w:rPr>
          <w:rFonts w:eastAsiaTheme="minorEastAsia" w:cstheme="minorHAnsi"/>
          <w:sz w:val="24"/>
          <w:szCs w:val="24"/>
          <w:lang w:eastAsia="zh-CN"/>
        </w:rPr>
        <w:t>ere identified</w:t>
      </w:r>
      <w:r w:rsidRPr="004A557F">
        <w:rPr>
          <w:rFonts w:eastAsiaTheme="minorEastAsia" w:cstheme="minorHAnsi"/>
          <w:sz w:val="24"/>
          <w:szCs w:val="24"/>
          <w:lang w:eastAsia="zh-CN"/>
        </w:rPr>
        <w:t xml:space="preserve">. A six-month period was thought to be a sufficient time window to ensure that a </w:t>
      </w:r>
      <w:r w:rsidRPr="004A557F">
        <w:rPr>
          <w:rFonts w:eastAsiaTheme="minorEastAsia" w:cstheme="minorHAnsi"/>
          <w:sz w:val="24"/>
          <w:szCs w:val="24"/>
          <w:lang w:eastAsia="zh-CN"/>
        </w:rPr>
        <w:lastRenderedPageBreak/>
        <w:t>diagnosis resulting from the initial symptom presentation found its way into the record, for example,</w:t>
      </w:r>
      <w:r w:rsidR="00360D45" w:rsidRPr="004A557F">
        <w:rPr>
          <w:rFonts w:eastAsiaTheme="minorEastAsia" w:cstheme="minorHAnsi"/>
          <w:sz w:val="24"/>
          <w:szCs w:val="24"/>
          <w:lang w:eastAsia="zh-CN"/>
        </w:rPr>
        <w:t xml:space="preserve"> in order</w:t>
      </w:r>
      <w:r w:rsidRPr="004A557F">
        <w:rPr>
          <w:rFonts w:eastAsiaTheme="minorEastAsia" w:cstheme="minorHAnsi"/>
          <w:sz w:val="24"/>
          <w:szCs w:val="24"/>
          <w:lang w:eastAsia="zh-CN"/>
        </w:rPr>
        <w:t xml:space="preserve"> to allow time for relevant investigations. </w:t>
      </w:r>
    </w:p>
    <w:p w14:paraId="3443C457" w14:textId="42A77924" w:rsidR="00477023" w:rsidRPr="004A557F" w:rsidRDefault="001561DC"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M</w:t>
      </w:r>
      <w:r w:rsidR="00477023" w:rsidRPr="004A557F">
        <w:rPr>
          <w:rFonts w:eastAsiaTheme="minorEastAsia" w:cstheme="minorHAnsi"/>
          <w:sz w:val="24"/>
          <w:szCs w:val="24"/>
          <w:lang w:eastAsia="zh-CN"/>
        </w:rPr>
        <w:t>edication</w:t>
      </w:r>
      <w:r w:rsidR="00835E57" w:rsidRPr="004A557F">
        <w:rPr>
          <w:rFonts w:eastAsiaTheme="minorEastAsia" w:cstheme="minorHAnsi"/>
          <w:sz w:val="24"/>
          <w:szCs w:val="24"/>
          <w:lang w:eastAsia="zh-CN"/>
        </w:rPr>
        <w:t>s</w:t>
      </w:r>
      <w:r w:rsidR="00477023" w:rsidRPr="004A557F">
        <w:rPr>
          <w:rFonts w:eastAsiaTheme="minorEastAsia" w:cstheme="minorHAnsi"/>
          <w:sz w:val="24"/>
          <w:szCs w:val="24"/>
          <w:lang w:eastAsia="zh-CN"/>
        </w:rPr>
        <w:t xml:space="preserve"> relevant to COPD, asthma and IHD were identified</w:t>
      </w:r>
      <w:r w:rsidR="00644428" w:rsidRPr="004A557F">
        <w:rPr>
          <w:rFonts w:eastAsiaTheme="minorEastAsia" w:cstheme="minorHAnsi"/>
          <w:sz w:val="24"/>
          <w:szCs w:val="24"/>
          <w:lang w:eastAsia="zh-CN"/>
        </w:rPr>
        <w:t xml:space="preserve"> through</w:t>
      </w:r>
      <w:r w:rsidR="00781E5F" w:rsidRPr="004A557F">
        <w:rPr>
          <w:rFonts w:eastAsiaTheme="minorEastAsia" w:cstheme="minorHAnsi"/>
          <w:sz w:val="24"/>
          <w:szCs w:val="24"/>
          <w:lang w:eastAsia="zh-CN"/>
        </w:rPr>
        <w:t xml:space="preserve"> </w:t>
      </w:r>
      <w:r w:rsidR="00644428" w:rsidRPr="004A557F">
        <w:rPr>
          <w:rFonts w:eastAsiaTheme="minorEastAsia" w:cstheme="minorHAnsi"/>
          <w:sz w:val="24"/>
          <w:szCs w:val="24"/>
          <w:lang w:eastAsia="zh-CN"/>
        </w:rPr>
        <w:t>consensus of two academic primary care physician</w:t>
      </w:r>
      <w:r w:rsidR="00D70C5A" w:rsidRPr="004A557F">
        <w:rPr>
          <w:rFonts w:eastAsiaTheme="minorEastAsia" w:cstheme="minorHAnsi"/>
          <w:sz w:val="24"/>
          <w:szCs w:val="24"/>
          <w:lang w:eastAsia="zh-CN"/>
        </w:rPr>
        <w:t>s</w:t>
      </w:r>
      <w:r w:rsidR="00644428" w:rsidRPr="004A557F">
        <w:rPr>
          <w:rFonts w:eastAsiaTheme="minorEastAsia" w:cstheme="minorHAnsi"/>
          <w:sz w:val="24"/>
          <w:szCs w:val="24"/>
          <w:lang w:eastAsia="zh-CN"/>
        </w:rPr>
        <w:t xml:space="preserve"> (RH and </w:t>
      </w:r>
      <w:r w:rsidR="001B0556" w:rsidRPr="004A557F">
        <w:rPr>
          <w:rFonts w:eastAsiaTheme="minorEastAsia" w:cstheme="minorHAnsi"/>
          <w:sz w:val="24"/>
          <w:szCs w:val="24"/>
          <w:lang w:eastAsia="zh-CN"/>
        </w:rPr>
        <w:t>CC-G</w:t>
      </w:r>
      <w:r w:rsidR="00644428" w:rsidRPr="004A557F">
        <w:rPr>
          <w:rFonts w:eastAsiaTheme="minorEastAsia" w:cstheme="minorHAnsi"/>
          <w:sz w:val="24"/>
          <w:szCs w:val="24"/>
          <w:lang w:eastAsia="zh-CN"/>
        </w:rPr>
        <w:t>)</w:t>
      </w:r>
      <w:r w:rsidR="00477023" w:rsidRPr="004A557F">
        <w:rPr>
          <w:rFonts w:eastAsiaTheme="minorEastAsia" w:cstheme="minorHAnsi"/>
          <w:sz w:val="24"/>
          <w:szCs w:val="24"/>
          <w:lang w:eastAsia="zh-CN"/>
        </w:rPr>
        <w:t>. Two lists</w:t>
      </w:r>
      <w:r w:rsidRPr="004A557F">
        <w:rPr>
          <w:rFonts w:eastAsiaTheme="minorEastAsia" w:cstheme="minorHAnsi"/>
          <w:sz w:val="24"/>
          <w:szCs w:val="24"/>
          <w:lang w:eastAsia="zh-CN"/>
        </w:rPr>
        <w:t xml:space="preserve"> </w:t>
      </w:r>
      <w:r w:rsidR="00477023" w:rsidRPr="004A557F">
        <w:rPr>
          <w:rFonts w:eastAsiaTheme="minorEastAsia" w:cstheme="minorHAnsi"/>
          <w:sz w:val="24"/>
          <w:szCs w:val="24"/>
          <w:lang w:eastAsia="zh-CN"/>
        </w:rPr>
        <w:t>were compiled</w:t>
      </w:r>
      <w:r w:rsidR="00644428" w:rsidRPr="004A557F">
        <w:rPr>
          <w:rFonts w:eastAsiaTheme="minorEastAsia" w:cstheme="minorHAnsi"/>
          <w:sz w:val="24"/>
          <w:szCs w:val="24"/>
          <w:lang w:eastAsia="zh-CN"/>
        </w:rPr>
        <w:t>:</w:t>
      </w:r>
      <w:r w:rsidR="00477023" w:rsidRPr="004A557F">
        <w:rPr>
          <w:rFonts w:eastAsiaTheme="minorEastAsia" w:cstheme="minorHAnsi"/>
          <w:sz w:val="24"/>
          <w:szCs w:val="24"/>
          <w:lang w:eastAsia="zh-CN"/>
        </w:rPr>
        <w:t xml:space="preserve"> </w:t>
      </w:r>
      <w:r w:rsidRPr="004A557F">
        <w:rPr>
          <w:rFonts w:eastAsiaTheme="minorEastAsia" w:cstheme="minorHAnsi"/>
          <w:sz w:val="24"/>
          <w:szCs w:val="24"/>
          <w:lang w:eastAsia="zh-CN"/>
        </w:rPr>
        <w:t>1)</w:t>
      </w:r>
      <w:r w:rsidR="00477023" w:rsidRPr="004A557F">
        <w:rPr>
          <w:rFonts w:eastAsiaTheme="minorEastAsia" w:cstheme="minorHAnsi"/>
          <w:sz w:val="24"/>
          <w:szCs w:val="24"/>
          <w:lang w:eastAsia="zh-CN"/>
        </w:rPr>
        <w:t xml:space="preserve"> drugs used only for </w:t>
      </w:r>
      <w:r w:rsidRPr="004A557F">
        <w:rPr>
          <w:rFonts w:eastAsiaTheme="minorEastAsia" w:cstheme="minorHAnsi"/>
          <w:sz w:val="24"/>
          <w:szCs w:val="24"/>
          <w:lang w:eastAsia="zh-CN"/>
        </w:rPr>
        <w:t>management</w:t>
      </w:r>
      <w:r w:rsidR="00477023" w:rsidRPr="004A557F">
        <w:rPr>
          <w:rFonts w:eastAsiaTheme="minorEastAsia" w:cstheme="minorHAnsi"/>
          <w:sz w:val="24"/>
          <w:szCs w:val="24"/>
          <w:lang w:eastAsia="zh-CN"/>
        </w:rPr>
        <w:t xml:space="preserve"> of COPD/asthma or IHD</w:t>
      </w:r>
      <w:r w:rsidRPr="004A557F">
        <w:rPr>
          <w:rFonts w:eastAsiaTheme="minorEastAsia" w:cstheme="minorHAnsi"/>
          <w:sz w:val="24"/>
          <w:szCs w:val="24"/>
          <w:lang w:eastAsia="zh-CN"/>
        </w:rPr>
        <w:t xml:space="preserve"> (the narrow list)</w:t>
      </w:r>
      <w:r w:rsidR="00644428" w:rsidRPr="004A557F">
        <w:rPr>
          <w:rFonts w:eastAsiaTheme="minorEastAsia" w:cstheme="minorHAnsi"/>
          <w:sz w:val="24"/>
          <w:szCs w:val="24"/>
          <w:lang w:eastAsia="zh-CN"/>
        </w:rPr>
        <w:t>,</w:t>
      </w:r>
      <w:r w:rsidR="00477023" w:rsidRPr="004A557F">
        <w:rPr>
          <w:rFonts w:eastAsiaTheme="minorEastAsia" w:cstheme="minorHAnsi"/>
          <w:sz w:val="24"/>
          <w:szCs w:val="24"/>
          <w:lang w:eastAsia="zh-CN"/>
        </w:rPr>
        <w:t xml:space="preserve"> and </w:t>
      </w:r>
      <w:r w:rsidRPr="004A557F">
        <w:rPr>
          <w:rFonts w:eastAsiaTheme="minorEastAsia" w:cstheme="minorHAnsi"/>
          <w:sz w:val="24"/>
          <w:szCs w:val="24"/>
          <w:lang w:eastAsia="zh-CN"/>
        </w:rPr>
        <w:t>2)</w:t>
      </w:r>
      <w:r w:rsidR="00477023" w:rsidRPr="004A557F">
        <w:rPr>
          <w:rFonts w:eastAsiaTheme="minorEastAsia" w:cstheme="minorHAnsi"/>
          <w:sz w:val="24"/>
          <w:szCs w:val="24"/>
          <w:lang w:eastAsia="zh-CN"/>
        </w:rPr>
        <w:t xml:space="preserve"> drugs used for COPD/asthma or IHD and possibly used in other conditions</w:t>
      </w:r>
      <w:r w:rsidRPr="004A557F">
        <w:rPr>
          <w:rFonts w:eastAsiaTheme="minorEastAsia" w:cstheme="minorHAnsi"/>
          <w:sz w:val="24"/>
          <w:szCs w:val="24"/>
          <w:lang w:eastAsia="zh-CN"/>
        </w:rPr>
        <w:t xml:space="preserve"> (the broad list)</w:t>
      </w:r>
      <w:r w:rsidR="00477023" w:rsidRPr="004A557F">
        <w:rPr>
          <w:rFonts w:eastAsiaTheme="minorEastAsia" w:cstheme="minorHAnsi"/>
          <w:sz w:val="24"/>
          <w:szCs w:val="24"/>
          <w:lang w:eastAsia="zh-CN"/>
        </w:rPr>
        <w:t xml:space="preserve">. It was not possible </w:t>
      </w:r>
      <w:r w:rsidR="005E4AAF" w:rsidRPr="004A557F">
        <w:rPr>
          <w:rFonts w:eastAsiaTheme="minorEastAsia" w:cstheme="minorHAnsi"/>
          <w:sz w:val="24"/>
          <w:szCs w:val="24"/>
          <w:lang w:eastAsia="zh-CN"/>
        </w:rPr>
        <w:t xml:space="preserve">to </w:t>
      </w:r>
      <w:r w:rsidR="00477023" w:rsidRPr="004A557F">
        <w:rPr>
          <w:rFonts w:eastAsiaTheme="minorEastAsia" w:cstheme="minorHAnsi"/>
          <w:sz w:val="24"/>
          <w:szCs w:val="24"/>
          <w:lang w:eastAsia="zh-CN"/>
        </w:rPr>
        <w:t>determine separate medication lists for COPD and asthma as these conditions often coexist in the same patient.</w:t>
      </w:r>
      <w:r w:rsidR="00D66E5E" w:rsidRPr="004A557F">
        <w:rPr>
          <w:rFonts w:eastAsiaTheme="minorEastAsia" w:cstheme="minorHAnsi"/>
          <w:sz w:val="24"/>
          <w:szCs w:val="24"/>
          <w:vertAlign w:val="superscript"/>
          <w:lang w:eastAsia="zh-CN"/>
        </w:rPr>
        <w:t>18</w:t>
      </w:r>
      <w:r w:rsidR="002C7F8F">
        <w:rPr>
          <w:rFonts w:eastAsiaTheme="minorEastAsia" w:cstheme="minorHAnsi"/>
          <w:sz w:val="24"/>
          <w:szCs w:val="24"/>
          <w:vertAlign w:val="superscript"/>
          <w:lang w:eastAsia="zh-CN"/>
        </w:rPr>
        <w:t>,</w:t>
      </w:r>
      <w:r w:rsidR="00D66E5E" w:rsidRPr="004A557F">
        <w:rPr>
          <w:rFonts w:eastAsiaTheme="minorEastAsia" w:cstheme="minorHAnsi"/>
          <w:sz w:val="24"/>
          <w:szCs w:val="24"/>
          <w:vertAlign w:val="superscript"/>
          <w:lang w:eastAsia="zh-CN"/>
        </w:rPr>
        <w:t>19</w:t>
      </w:r>
      <w:r w:rsidRPr="004A557F">
        <w:rPr>
          <w:rFonts w:eastAsiaTheme="minorEastAsia" w:cstheme="minorHAnsi"/>
          <w:sz w:val="24"/>
          <w:szCs w:val="24"/>
          <w:lang w:eastAsia="zh-CN"/>
        </w:rPr>
        <w:t xml:space="preserve"> </w:t>
      </w:r>
      <w:r w:rsidR="004C54B6" w:rsidRPr="004A557F">
        <w:rPr>
          <w:rFonts w:eastAsiaTheme="minorEastAsia" w:cstheme="minorHAnsi"/>
          <w:sz w:val="24"/>
          <w:szCs w:val="24"/>
          <w:lang w:eastAsia="zh-CN"/>
        </w:rPr>
        <w:t xml:space="preserve">The narrow list was </w:t>
      </w:r>
      <w:r w:rsidR="00D0326B" w:rsidRPr="004A557F">
        <w:rPr>
          <w:rFonts w:eastAsiaTheme="minorEastAsia" w:cstheme="minorHAnsi"/>
          <w:sz w:val="24"/>
          <w:szCs w:val="24"/>
          <w:lang w:eastAsia="zh-CN"/>
        </w:rPr>
        <w:t xml:space="preserve">used </w:t>
      </w:r>
      <w:r w:rsidR="00D70C5A" w:rsidRPr="004A557F">
        <w:rPr>
          <w:rFonts w:eastAsiaTheme="minorEastAsia" w:cstheme="minorHAnsi"/>
          <w:sz w:val="24"/>
          <w:szCs w:val="24"/>
          <w:lang w:eastAsia="zh-CN"/>
        </w:rPr>
        <w:t>to</w:t>
      </w:r>
      <w:r w:rsidR="00D0326B" w:rsidRPr="004A557F">
        <w:rPr>
          <w:rFonts w:eastAsiaTheme="minorEastAsia" w:cstheme="minorHAnsi"/>
          <w:sz w:val="24"/>
          <w:szCs w:val="24"/>
          <w:lang w:eastAsia="zh-CN"/>
        </w:rPr>
        <w:t xml:space="preserve"> exclud</w:t>
      </w:r>
      <w:r w:rsidR="00781E5F" w:rsidRPr="004A557F">
        <w:rPr>
          <w:rFonts w:eastAsiaTheme="minorEastAsia" w:cstheme="minorHAnsi"/>
          <w:sz w:val="24"/>
          <w:szCs w:val="24"/>
          <w:lang w:eastAsia="zh-CN"/>
        </w:rPr>
        <w:t>e</w:t>
      </w:r>
      <w:r w:rsidR="00D0326B" w:rsidRPr="004A557F">
        <w:rPr>
          <w:rFonts w:eastAsiaTheme="minorEastAsia" w:cstheme="minorHAnsi"/>
          <w:sz w:val="24"/>
          <w:szCs w:val="24"/>
          <w:lang w:eastAsia="zh-CN"/>
        </w:rPr>
        <w:t xml:space="preserve"> individuals with previous evidence of </w:t>
      </w:r>
      <w:r w:rsidR="00497376" w:rsidRPr="004A557F">
        <w:rPr>
          <w:rFonts w:eastAsiaTheme="minorEastAsia" w:cstheme="minorHAnsi"/>
          <w:sz w:val="24"/>
          <w:szCs w:val="24"/>
          <w:lang w:eastAsia="zh-CN"/>
        </w:rPr>
        <w:t>COPD, asthma</w:t>
      </w:r>
      <w:r w:rsidR="00D0326B" w:rsidRPr="004A557F">
        <w:rPr>
          <w:rFonts w:eastAsiaTheme="minorEastAsia" w:cstheme="minorHAnsi"/>
          <w:sz w:val="24"/>
          <w:szCs w:val="24"/>
          <w:lang w:eastAsia="zh-CN"/>
        </w:rPr>
        <w:t xml:space="preserve"> or IHD before index date </w:t>
      </w:r>
      <w:r w:rsidR="00781E5F" w:rsidRPr="004A557F">
        <w:rPr>
          <w:rFonts w:eastAsiaTheme="minorEastAsia" w:cstheme="minorHAnsi"/>
          <w:sz w:val="24"/>
          <w:szCs w:val="24"/>
          <w:lang w:eastAsia="zh-CN"/>
        </w:rPr>
        <w:t xml:space="preserve">when </w:t>
      </w:r>
      <w:r w:rsidR="00D0326B" w:rsidRPr="004A557F">
        <w:rPr>
          <w:rFonts w:eastAsiaTheme="minorEastAsia" w:cstheme="minorHAnsi"/>
          <w:sz w:val="24"/>
          <w:szCs w:val="24"/>
          <w:lang w:eastAsia="zh-CN"/>
        </w:rPr>
        <w:t>identifying the study cohorts (as described</w:t>
      </w:r>
      <w:r w:rsidR="00D70C5A" w:rsidRPr="004A557F">
        <w:rPr>
          <w:rFonts w:eastAsiaTheme="minorEastAsia" w:cstheme="minorHAnsi"/>
          <w:sz w:val="24"/>
          <w:szCs w:val="24"/>
          <w:lang w:eastAsia="zh-CN"/>
        </w:rPr>
        <w:t xml:space="preserve"> above</w:t>
      </w:r>
      <w:r w:rsidR="00D0326B" w:rsidRPr="004A557F">
        <w:rPr>
          <w:rFonts w:eastAsiaTheme="minorEastAsia" w:cstheme="minorHAnsi"/>
          <w:sz w:val="24"/>
          <w:szCs w:val="24"/>
          <w:lang w:eastAsia="zh-CN"/>
        </w:rPr>
        <w:t xml:space="preserve">). </w:t>
      </w:r>
      <w:r w:rsidR="00FC7602" w:rsidRPr="004A557F">
        <w:rPr>
          <w:rFonts w:eastAsiaTheme="minorEastAsia" w:cstheme="minorHAnsi"/>
          <w:sz w:val="24"/>
          <w:szCs w:val="24"/>
          <w:lang w:eastAsia="zh-CN"/>
        </w:rPr>
        <w:t>The broad</w:t>
      </w:r>
      <w:r w:rsidR="00D0326B" w:rsidRPr="004A557F">
        <w:rPr>
          <w:rFonts w:eastAsiaTheme="minorEastAsia" w:cstheme="minorHAnsi"/>
          <w:sz w:val="24"/>
          <w:szCs w:val="24"/>
          <w:lang w:eastAsia="zh-CN"/>
        </w:rPr>
        <w:t xml:space="preserve"> list was used to </w:t>
      </w:r>
      <w:r w:rsidR="00D70C5A" w:rsidRPr="004A557F">
        <w:rPr>
          <w:rFonts w:eastAsiaTheme="minorEastAsia" w:cstheme="minorHAnsi"/>
          <w:sz w:val="24"/>
          <w:szCs w:val="24"/>
          <w:lang w:eastAsia="zh-CN"/>
        </w:rPr>
        <w:t xml:space="preserve">determine whether </w:t>
      </w:r>
      <w:r w:rsidR="00D0326B" w:rsidRPr="004A557F">
        <w:rPr>
          <w:rFonts w:eastAsiaTheme="minorEastAsia" w:cstheme="minorHAnsi"/>
          <w:sz w:val="24"/>
          <w:szCs w:val="24"/>
          <w:lang w:eastAsia="zh-CN"/>
        </w:rPr>
        <w:t>patients received</w:t>
      </w:r>
      <w:r w:rsidR="00497376" w:rsidRPr="004A557F">
        <w:rPr>
          <w:rFonts w:eastAsiaTheme="minorEastAsia" w:cstheme="minorHAnsi"/>
          <w:sz w:val="24"/>
          <w:szCs w:val="24"/>
          <w:lang w:eastAsia="zh-CN"/>
        </w:rPr>
        <w:t xml:space="preserve"> medications relevant to </w:t>
      </w:r>
      <w:r w:rsidR="00D0326B" w:rsidRPr="004A557F">
        <w:rPr>
          <w:rFonts w:eastAsiaTheme="minorEastAsia" w:cstheme="minorHAnsi"/>
          <w:sz w:val="24"/>
          <w:szCs w:val="24"/>
          <w:lang w:eastAsia="zh-CN"/>
        </w:rPr>
        <w:t>COPD</w:t>
      </w:r>
      <w:r w:rsidR="00497376" w:rsidRPr="004A557F">
        <w:rPr>
          <w:rFonts w:eastAsiaTheme="minorEastAsia" w:cstheme="minorHAnsi"/>
          <w:sz w:val="24"/>
          <w:szCs w:val="24"/>
          <w:lang w:eastAsia="zh-CN"/>
        </w:rPr>
        <w:t>/asthma</w:t>
      </w:r>
      <w:r w:rsidR="00D0326B" w:rsidRPr="004A557F">
        <w:rPr>
          <w:rFonts w:eastAsiaTheme="minorEastAsia" w:cstheme="minorHAnsi"/>
          <w:sz w:val="24"/>
          <w:szCs w:val="24"/>
          <w:lang w:eastAsia="zh-CN"/>
        </w:rPr>
        <w:t xml:space="preserve"> or IHD</w:t>
      </w:r>
      <w:r w:rsidR="00602526" w:rsidRPr="004A557F">
        <w:rPr>
          <w:rFonts w:eastAsiaTheme="minorEastAsia" w:cstheme="minorHAnsi"/>
          <w:sz w:val="24"/>
          <w:szCs w:val="24"/>
          <w:lang w:eastAsia="zh-CN"/>
        </w:rPr>
        <w:t xml:space="preserve"> after</w:t>
      </w:r>
      <w:r w:rsidR="00D70C5A" w:rsidRPr="004A557F">
        <w:rPr>
          <w:rFonts w:eastAsiaTheme="minorEastAsia" w:cstheme="minorHAnsi"/>
          <w:sz w:val="24"/>
          <w:szCs w:val="24"/>
          <w:lang w:eastAsia="zh-CN"/>
        </w:rPr>
        <w:t xml:space="preserve"> the</w:t>
      </w:r>
      <w:r w:rsidR="00602526" w:rsidRPr="004A557F">
        <w:rPr>
          <w:rFonts w:eastAsiaTheme="minorEastAsia" w:cstheme="minorHAnsi"/>
          <w:sz w:val="24"/>
          <w:szCs w:val="24"/>
          <w:lang w:eastAsia="zh-CN"/>
        </w:rPr>
        <w:t xml:space="preserve"> index date within the </w:t>
      </w:r>
      <w:r w:rsidR="00405562" w:rsidRPr="004A557F">
        <w:rPr>
          <w:rFonts w:eastAsiaTheme="minorEastAsia" w:cstheme="minorHAnsi"/>
          <w:sz w:val="24"/>
          <w:szCs w:val="24"/>
          <w:lang w:eastAsia="zh-CN"/>
        </w:rPr>
        <w:t>‘</w:t>
      </w:r>
      <w:r w:rsidR="00602526" w:rsidRPr="004A557F">
        <w:rPr>
          <w:rFonts w:eastAsiaTheme="minorEastAsia" w:cstheme="minorHAnsi"/>
          <w:sz w:val="24"/>
          <w:szCs w:val="24"/>
          <w:lang w:eastAsia="zh-CN"/>
        </w:rPr>
        <w:t>exposed</w:t>
      </w:r>
      <w:r w:rsidR="00405562" w:rsidRPr="004A557F">
        <w:rPr>
          <w:rFonts w:eastAsiaTheme="minorEastAsia" w:cstheme="minorHAnsi"/>
          <w:sz w:val="24"/>
          <w:szCs w:val="24"/>
          <w:lang w:eastAsia="zh-CN"/>
        </w:rPr>
        <w:t>’</w:t>
      </w:r>
      <w:r w:rsidR="00602526" w:rsidRPr="004A557F">
        <w:rPr>
          <w:rFonts w:eastAsiaTheme="minorEastAsia" w:cstheme="minorHAnsi"/>
          <w:sz w:val="24"/>
          <w:szCs w:val="24"/>
          <w:lang w:eastAsia="zh-CN"/>
        </w:rPr>
        <w:t xml:space="preserve"> cohort. The broad list </w:t>
      </w:r>
      <w:r w:rsidR="00D70C5A" w:rsidRPr="004A557F">
        <w:rPr>
          <w:rFonts w:eastAsiaTheme="minorEastAsia" w:cstheme="minorHAnsi"/>
          <w:sz w:val="24"/>
          <w:szCs w:val="24"/>
          <w:lang w:eastAsia="zh-CN"/>
        </w:rPr>
        <w:t xml:space="preserve">therefore </w:t>
      </w:r>
      <w:r w:rsidR="00602526" w:rsidRPr="004A557F">
        <w:rPr>
          <w:rFonts w:eastAsiaTheme="minorEastAsia" w:cstheme="minorHAnsi"/>
          <w:sz w:val="24"/>
          <w:szCs w:val="24"/>
          <w:lang w:eastAsia="zh-CN"/>
        </w:rPr>
        <w:t xml:space="preserve">generates </w:t>
      </w:r>
      <w:r w:rsidR="001A0186" w:rsidRPr="004A557F">
        <w:rPr>
          <w:rFonts w:eastAsiaTheme="minorEastAsia" w:cstheme="minorHAnsi"/>
          <w:sz w:val="24"/>
          <w:szCs w:val="24"/>
          <w:lang w:eastAsia="zh-CN"/>
        </w:rPr>
        <w:t xml:space="preserve">a </w:t>
      </w:r>
      <w:r w:rsidR="00602526" w:rsidRPr="004A557F">
        <w:rPr>
          <w:rFonts w:eastAsiaTheme="minorEastAsia" w:cstheme="minorHAnsi"/>
          <w:sz w:val="24"/>
          <w:szCs w:val="24"/>
          <w:lang w:eastAsia="zh-CN"/>
        </w:rPr>
        <w:t>conservative estimat</w:t>
      </w:r>
      <w:r w:rsidR="00D70C5A" w:rsidRPr="004A557F">
        <w:rPr>
          <w:rFonts w:eastAsiaTheme="minorEastAsia" w:cstheme="minorHAnsi"/>
          <w:sz w:val="24"/>
          <w:szCs w:val="24"/>
          <w:lang w:eastAsia="zh-CN"/>
        </w:rPr>
        <w:t>e</w:t>
      </w:r>
      <w:r w:rsidR="00602526" w:rsidRPr="004A557F">
        <w:rPr>
          <w:rFonts w:eastAsiaTheme="minorEastAsia" w:cstheme="minorHAnsi"/>
          <w:sz w:val="24"/>
          <w:szCs w:val="24"/>
          <w:lang w:eastAsia="zh-CN"/>
        </w:rPr>
        <w:t xml:space="preserve"> </w:t>
      </w:r>
      <w:r w:rsidR="00D70C5A" w:rsidRPr="004A557F">
        <w:rPr>
          <w:rFonts w:eastAsiaTheme="minorEastAsia" w:cstheme="minorHAnsi"/>
          <w:sz w:val="24"/>
          <w:szCs w:val="24"/>
          <w:lang w:eastAsia="zh-CN"/>
        </w:rPr>
        <w:t xml:space="preserve">of </w:t>
      </w:r>
      <w:r w:rsidR="00602526" w:rsidRPr="004A557F">
        <w:rPr>
          <w:rFonts w:eastAsiaTheme="minorEastAsia" w:cstheme="minorHAnsi"/>
          <w:sz w:val="24"/>
          <w:szCs w:val="24"/>
          <w:lang w:eastAsia="zh-CN"/>
        </w:rPr>
        <w:t xml:space="preserve">patients </w:t>
      </w:r>
      <w:r w:rsidR="00D70C5A" w:rsidRPr="004A557F">
        <w:rPr>
          <w:rFonts w:eastAsiaTheme="minorEastAsia" w:cstheme="minorHAnsi"/>
          <w:sz w:val="24"/>
          <w:szCs w:val="24"/>
          <w:lang w:eastAsia="zh-CN"/>
        </w:rPr>
        <w:t xml:space="preserve">who </w:t>
      </w:r>
      <w:r w:rsidR="00602526" w:rsidRPr="004A557F">
        <w:rPr>
          <w:rFonts w:eastAsiaTheme="minorEastAsia" w:cstheme="minorHAnsi"/>
          <w:sz w:val="24"/>
          <w:szCs w:val="24"/>
          <w:lang w:eastAsia="zh-CN"/>
        </w:rPr>
        <w:t>did not receive any relevant management.</w:t>
      </w:r>
      <w:r w:rsidR="005A3C99" w:rsidRPr="004A557F">
        <w:rPr>
          <w:rFonts w:eastAsiaTheme="minorEastAsia" w:cstheme="minorHAnsi"/>
          <w:sz w:val="24"/>
          <w:szCs w:val="24"/>
          <w:lang w:eastAsia="zh-CN"/>
        </w:rPr>
        <w:t xml:space="preserve"> </w:t>
      </w:r>
      <w:r w:rsidR="00701074" w:rsidRPr="004A557F">
        <w:rPr>
          <w:rFonts w:eastAsiaTheme="minorEastAsia" w:cstheme="minorHAnsi"/>
          <w:sz w:val="24"/>
          <w:szCs w:val="24"/>
          <w:lang w:eastAsia="zh-CN"/>
        </w:rPr>
        <w:t xml:space="preserve">Medication lists are available from </w:t>
      </w:r>
      <w:hyperlink r:id="rId9" w:history="1">
        <w:r w:rsidR="00701074" w:rsidRPr="004A557F">
          <w:rPr>
            <w:rFonts w:eastAsiaTheme="minorEastAsia" w:cstheme="minorHAnsi"/>
            <w:color w:val="0000FF"/>
            <w:sz w:val="24"/>
            <w:szCs w:val="24"/>
            <w:u w:val="single"/>
            <w:lang w:eastAsia="zh-CN"/>
          </w:rPr>
          <w:t>www.keele.ac.uk/mrr</w:t>
        </w:r>
      </w:hyperlink>
      <w:r w:rsidR="00701074" w:rsidRPr="004A557F">
        <w:rPr>
          <w:rFonts w:eastAsiaTheme="minorEastAsia" w:cstheme="minorHAnsi"/>
          <w:sz w:val="24"/>
          <w:szCs w:val="24"/>
          <w:lang w:eastAsia="zh-CN"/>
        </w:rPr>
        <w:t>.</w:t>
      </w:r>
    </w:p>
    <w:p w14:paraId="26D02010" w14:textId="77777777" w:rsidR="00477023" w:rsidRPr="004A557F" w:rsidRDefault="00477023" w:rsidP="004A557F">
      <w:pPr>
        <w:spacing w:line="480" w:lineRule="auto"/>
        <w:rPr>
          <w:rFonts w:eastAsiaTheme="minorEastAsia" w:cstheme="minorHAnsi"/>
          <w:i/>
          <w:sz w:val="24"/>
          <w:szCs w:val="24"/>
          <w:lang w:eastAsia="zh-CN"/>
        </w:rPr>
      </w:pPr>
      <w:r w:rsidRPr="004A557F">
        <w:rPr>
          <w:rFonts w:eastAsiaTheme="minorEastAsia" w:cstheme="minorHAnsi"/>
          <w:i/>
          <w:sz w:val="24"/>
          <w:szCs w:val="24"/>
          <w:lang w:eastAsia="zh-CN"/>
        </w:rPr>
        <w:t>Statistical analysis</w:t>
      </w:r>
    </w:p>
    <w:p w14:paraId="196AD337" w14:textId="63A22A8B" w:rsidR="00477023" w:rsidRPr="004A557F" w:rsidRDefault="00477023"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The rates of new diagnosis of COPD, asthma</w:t>
      </w:r>
      <w:r w:rsidR="00015C74"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IHD</w:t>
      </w:r>
      <w:r w:rsidR="00015C74" w:rsidRPr="004A557F">
        <w:rPr>
          <w:rFonts w:eastAsiaTheme="minorEastAsia" w:cstheme="minorHAnsi"/>
          <w:sz w:val="24"/>
          <w:szCs w:val="24"/>
          <w:lang w:eastAsia="zh-CN"/>
        </w:rPr>
        <w:t>, all-cause and disease-specific mortality</w:t>
      </w:r>
      <w:r w:rsidRPr="004A557F">
        <w:rPr>
          <w:rFonts w:eastAsiaTheme="minorEastAsia" w:cstheme="minorHAnsi"/>
          <w:sz w:val="24"/>
          <w:szCs w:val="24"/>
          <w:lang w:eastAsia="zh-CN"/>
        </w:rPr>
        <w:t xml:space="preserve"> per 10,000 person-years at risk were determined in both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exposed</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and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unexposed</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cohorts, stratified by time from index date. </w:t>
      </w:r>
    </w:p>
    <w:p w14:paraId="3235B0CF" w14:textId="2F457D3C" w:rsidR="00477023" w:rsidRPr="004A557F" w:rsidRDefault="00F24B55"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 xml:space="preserve">We defined the first six months after index date as the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diagnostic window</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w:t>
      </w:r>
      <w:r w:rsidR="00720D8D" w:rsidRPr="004A557F">
        <w:rPr>
          <w:rFonts w:eastAsiaTheme="minorEastAsia" w:cstheme="minorHAnsi"/>
          <w:sz w:val="24"/>
          <w:szCs w:val="24"/>
          <w:lang w:eastAsia="zh-CN"/>
        </w:rPr>
        <w:t>W</w:t>
      </w:r>
      <w:r w:rsidR="00480552" w:rsidRPr="004A557F">
        <w:rPr>
          <w:rFonts w:eastAsiaTheme="minorEastAsia" w:cstheme="minorHAnsi"/>
          <w:sz w:val="24"/>
          <w:szCs w:val="24"/>
          <w:lang w:eastAsia="zh-CN"/>
        </w:rPr>
        <w:t xml:space="preserve">e expected the risk of future diagnosis to vary by length of time from index date, </w:t>
      </w:r>
      <w:r w:rsidR="00720D8D" w:rsidRPr="004A557F">
        <w:rPr>
          <w:rFonts w:eastAsiaTheme="minorEastAsia" w:cstheme="minorHAnsi"/>
          <w:sz w:val="24"/>
          <w:szCs w:val="24"/>
          <w:lang w:eastAsia="zh-CN"/>
        </w:rPr>
        <w:t xml:space="preserve">and so </w:t>
      </w:r>
      <w:r w:rsidR="00480552" w:rsidRPr="004A557F">
        <w:rPr>
          <w:rFonts w:eastAsiaTheme="minorEastAsia" w:cstheme="minorHAnsi"/>
          <w:sz w:val="24"/>
          <w:szCs w:val="24"/>
          <w:lang w:eastAsia="zh-CN"/>
        </w:rPr>
        <w:t xml:space="preserve">we split the follow-up time from six months onwards into three periods: </w:t>
      </w:r>
      <w:r w:rsidR="003C3B34" w:rsidRPr="004A557F">
        <w:rPr>
          <w:rFonts w:eastAsiaTheme="minorEastAsia" w:cstheme="minorHAnsi"/>
          <w:sz w:val="24"/>
          <w:szCs w:val="24"/>
          <w:lang w:eastAsia="zh-CN"/>
        </w:rPr>
        <w:t>6</w:t>
      </w:r>
      <w:r w:rsidR="005A3C99" w:rsidRPr="004A557F">
        <w:rPr>
          <w:rFonts w:eastAsiaTheme="minorEastAsia" w:cstheme="minorHAnsi"/>
          <w:sz w:val="24"/>
          <w:szCs w:val="24"/>
          <w:lang w:eastAsia="zh-CN"/>
        </w:rPr>
        <w:t>-</w:t>
      </w:r>
      <w:r w:rsidR="00480552" w:rsidRPr="004A557F">
        <w:rPr>
          <w:rFonts w:eastAsiaTheme="minorEastAsia" w:cstheme="minorHAnsi"/>
          <w:sz w:val="24"/>
          <w:szCs w:val="24"/>
          <w:lang w:eastAsia="zh-CN"/>
        </w:rPr>
        <w:t>12 months, 12</w:t>
      </w:r>
      <w:r w:rsidR="005A3C99" w:rsidRPr="004A557F">
        <w:rPr>
          <w:rFonts w:eastAsiaTheme="minorEastAsia" w:cstheme="minorHAnsi"/>
          <w:sz w:val="24"/>
          <w:szCs w:val="24"/>
          <w:lang w:eastAsia="zh-CN"/>
        </w:rPr>
        <w:t>-</w:t>
      </w:r>
      <w:r w:rsidR="00480552" w:rsidRPr="004A557F">
        <w:rPr>
          <w:rFonts w:eastAsiaTheme="minorEastAsia" w:cstheme="minorHAnsi"/>
          <w:sz w:val="24"/>
          <w:szCs w:val="24"/>
          <w:lang w:eastAsia="zh-CN"/>
        </w:rPr>
        <w:t>36 months, and more than 36 months after index date</w:t>
      </w:r>
      <w:r w:rsidRPr="004A557F">
        <w:rPr>
          <w:rFonts w:eastAsiaTheme="minorEastAsia" w:cstheme="minorHAnsi"/>
          <w:sz w:val="24"/>
          <w:szCs w:val="24"/>
          <w:lang w:eastAsia="zh-CN"/>
        </w:rPr>
        <w:t xml:space="preserve"> in those with no diagnosis by the start of the </w:t>
      </w:r>
      <w:r w:rsidRPr="004A557F">
        <w:rPr>
          <w:rFonts w:eastAsiaTheme="minorEastAsia" w:cstheme="minorHAnsi"/>
          <w:sz w:val="24"/>
          <w:szCs w:val="24"/>
          <w:lang w:eastAsia="zh-CN"/>
        </w:rPr>
        <w:lastRenderedPageBreak/>
        <w:t>relevant period</w:t>
      </w:r>
      <w:r w:rsidR="00480552" w:rsidRPr="004A557F">
        <w:rPr>
          <w:rFonts w:eastAsiaTheme="minorEastAsia" w:cstheme="minorHAnsi"/>
          <w:sz w:val="24"/>
          <w:szCs w:val="24"/>
          <w:lang w:eastAsia="zh-CN"/>
        </w:rPr>
        <w:t xml:space="preserve">. </w:t>
      </w:r>
      <w:r w:rsidR="00477023" w:rsidRPr="004A557F">
        <w:rPr>
          <w:rFonts w:eastAsiaTheme="minorEastAsia" w:cstheme="minorHAnsi"/>
          <w:sz w:val="24"/>
          <w:szCs w:val="24"/>
          <w:lang w:eastAsia="zh-CN"/>
        </w:rPr>
        <w:t xml:space="preserve">Cox proportional hazards regression was used to produce both unadjusted and adjusted hazard ratios (HR) for each </w:t>
      </w:r>
      <w:r w:rsidR="00480552" w:rsidRPr="004A557F">
        <w:rPr>
          <w:rFonts w:eastAsiaTheme="minorEastAsia" w:cstheme="minorHAnsi"/>
          <w:sz w:val="24"/>
          <w:szCs w:val="24"/>
          <w:lang w:eastAsia="zh-CN"/>
        </w:rPr>
        <w:t xml:space="preserve">of the three disease </w:t>
      </w:r>
      <w:r w:rsidR="00477023" w:rsidRPr="004A557F">
        <w:rPr>
          <w:rFonts w:eastAsiaTheme="minorEastAsia" w:cstheme="minorHAnsi"/>
          <w:sz w:val="24"/>
          <w:szCs w:val="24"/>
          <w:lang w:eastAsia="zh-CN"/>
        </w:rPr>
        <w:t>outcome</w:t>
      </w:r>
      <w:r w:rsidR="00480552" w:rsidRPr="004A557F">
        <w:rPr>
          <w:rFonts w:eastAsiaTheme="minorEastAsia" w:cstheme="minorHAnsi"/>
          <w:sz w:val="24"/>
          <w:szCs w:val="24"/>
          <w:lang w:eastAsia="zh-CN"/>
        </w:rPr>
        <w:t>s</w:t>
      </w:r>
      <w:r w:rsidR="00477023" w:rsidRPr="004A557F">
        <w:rPr>
          <w:rFonts w:eastAsiaTheme="minorEastAsia" w:cstheme="minorHAnsi"/>
          <w:sz w:val="24"/>
          <w:szCs w:val="24"/>
          <w:lang w:eastAsia="zh-CN"/>
        </w:rPr>
        <w:t xml:space="preserve"> separately, estimating the excess risk of each outcome diagnosis associated with </w:t>
      </w:r>
      <w:r w:rsidR="00360D45" w:rsidRPr="004A557F">
        <w:rPr>
          <w:rFonts w:eastAsiaTheme="minorEastAsia" w:cstheme="minorHAnsi"/>
          <w:sz w:val="24"/>
          <w:szCs w:val="24"/>
          <w:lang w:eastAsia="zh-CN"/>
        </w:rPr>
        <w:t xml:space="preserve">a </w:t>
      </w:r>
      <w:r w:rsidR="00477023" w:rsidRPr="004A557F">
        <w:rPr>
          <w:rFonts w:eastAsiaTheme="minorEastAsia" w:cstheme="minorHAnsi"/>
          <w:sz w:val="24"/>
          <w:szCs w:val="24"/>
          <w:lang w:eastAsia="zh-CN"/>
        </w:rPr>
        <w:t xml:space="preserve">first presentation of breathlessness symptom. The validity of the proportional-hazards assumption was tested using </w:t>
      </w:r>
      <w:proofErr w:type="spellStart"/>
      <w:r w:rsidR="00477023" w:rsidRPr="004A557F">
        <w:rPr>
          <w:rFonts w:eastAsiaTheme="minorEastAsia" w:cstheme="minorHAnsi"/>
          <w:sz w:val="24"/>
          <w:szCs w:val="24"/>
          <w:lang w:eastAsia="zh-CN"/>
        </w:rPr>
        <w:t>Schoenfeld</w:t>
      </w:r>
      <w:proofErr w:type="spellEnd"/>
      <w:r w:rsidR="00477023" w:rsidRPr="004A557F">
        <w:rPr>
          <w:rFonts w:eastAsiaTheme="minorEastAsia" w:cstheme="minorHAnsi"/>
          <w:sz w:val="24"/>
          <w:szCs w:val="24"/>
          <w:lang w:eastAsia="zh-CN"/>
        </w:rPr>
        <w:t xml:space="preserve"> residuals</w:t>
      </w:r>
      <w:r w:rsidR="00EC0EA1" w:rsidRPr="004A557F">
        <w:rPr>
          <w:rFonts w:eastAsiaTheme="minorEastAsia" w:cstheme="minorHAnsi"/>
          <w:sz w:val="24"/>
          <w:szCs w:val="24"/>
          <w:lang w:eastAsia="zh-CN"/>
        </w:rPr>
        <w:t xml:space="preserve"> and </w:t>
      </w:r>
      <w:r w:rsidR="00484146" w:rsidRPr="004A557F">
        <w:rPr>
          <w:rFonts w:eastAsiaTheme="minorEastAsia" w:cstheme="minorHAnsi"/>
          <w:sz w:val="24"/>
          <w:szCs w:val="24"/>
          <w:lang w:eastAsia="zh-CN"/>
        </w:rPr>
        <w:t>deemed adequate</w:t>
      </w:r>
      <w:r w:rsidR="00EC0EA1" w:rsidRPr="004A557F">
        <w:rPr>
          <w:rFonts w:eastAsiaTheme="minorEastAsia" w:cstheme="minorHAnsi"/>
          <w:sz w:val="24"/>
          <w:szCs w:val="24"/>
          <w:lang w:eastAsia="zh-CN"/>
        </w:rPr>
        <w:t xml:space="preserve"> for the exposure variable</w:t>
      </w:r>
      <w:r w:rsidR="00477023" w:rsidRPr="004A557F">
        <w:rPr>
          <w:rFonts w:eastAsiaTheme="minorEastAsia" w:cstheme="minorHAnsi"/>
          <w:sz w:val="24"/>
          <w:szCs w:val="24"/>
          <w:lang w:eastAsia="zh-CN"/>
        </w:rPr>
        <w:t>.</w:t>
      </w:r>
      <w:r w:rsidR="004056E9" w:rsidRPr="004A557F">
        <w:rPr>
          <w:rFonts w:eastAsiaTheme="minorEastAsia" w:cstheme="minorHAnsi"/>
          <w:sz w:val="24"/>
          <w:szCs w:val="24"/>
          <w:lang w:eastAsia="zh-CN"/>
        </w:rPr>
        <w:t xml:space="preserve"> </w:t>
      </w:r>
      <w:r w:rsidR="00650306" w:rsidRPr="004A557F">
        <w:rPr>
          <w:rFonts w:eastAsiaTheme="minorEastAsia" w:cstheme="minorHAnsi"/>
          <w:sz w:val="24"/>
          <w:szCs w:val="24"/>
          <w:lang w:eastAsia="zh-CN"/>
        </w:rPr>
        <w:t>I</w:t>
      </w:r>
      <w:r w:rsidR="007F407E" w:rsidRPr="004A557F">
        <w:rPr>
          <w:rFonts w:eastAsiaTheme="minorEastAsia" w:cstheme="minorHAnsi"/>
          <w:sz w:val="24"/>
          <w:szCs w:val="24"/>
          <w:lang w:eastAsia="zh-CN"/>
        </w:rPr>
        <w:t>n the final models</w:t>
      </w:r>
      <w:r w:rsidR="00650306" w:rsidRPr="004A557F">
        <w:rPr>
          <w:rFonts w:eastAsiaTheme="minorEastAsia" w:cstheme="minorHAnsi"/>
          <w:sz w:val="24"/>
          <w:szCs w:val="24"/>
          <w:lang w:eastAsia="zh-CN"/>
        </w:rPr>
        <w:t xml:space="preserve">, </w:t>
      </w:r>
      <w:r w:rsidR="00643379" w:rsidRPr="004A557F">
        <w:rPr>
          <w:rFonts w:eastAsiaTheme="minorEastAsia" w:cstheme="minorHAnsi"/>
          <w:sz w:val="24"/>
          <w:szCs w:val="24"/>
          <w:lang w:eastAsia="zh-CN"/>
        </w:rPr>
        <w:t xml:space="preserve">all </w:t>
      </w:r>
      <w:r w:rsidR="00650306" w:rsidRPr="004A557F">
        <w:rPr>
          <w:rFonts w:eastAsiaTheme="minorEastAsia" w:cstheme="minorHAnsi"/>
          <w:sz w:val="24"/>
          <w:szCs w:val="24"/>
          <w:lang w:eastAsia="zh-CN"/>
        </w:rPr>
        <w:t>covariates were included as confounding factors</w:t>
      </w:r>
      <w:r w:rsidR="007F407E" w:rsidRPr="004A557F">
        <w:rPr>
          <w:rFonts w:eastAsiaTheme="minorEastAsia" w:cstheme="minorHAnsi"/>
          <w:sz w:val="24"/>
          <w:szCs w:val="24"/>
          <w:lang w:eastAsia="zh-CN"/>
        </w:rPr>
        <w:t xml:space="preserve"> for adjustment</w:t>
      </w:r>
      <w:r w:rsidR="00477023" w:rsidRPr="004A557F">
        <w:rPr>
          <w:rFonts w:eastAsiaTheme="minorEastAsia" w:cstheme="minorHAnsi"/>
          <w:sz w:val="24"/>
          <w:szCs w:val="24"/>
          <w:lang w:eastAsia="zh-CN"/>
        </w:rPr>
        <w:t xml:space="preserve">. </w:t>
      </w:r>
      <w:r w:rsidR="00656B43" w:rsidRPr="004A557F">
        <w:rPr>
          <w:rFonts w:eastAsiaTheme="minorEastAsia" w:cstheme="minorHAnsi"/>
          <w:sz w:val="24"/>
          <w:szCs w:val="24"/>
          <w:lang w:eastAsia="zh-CN"/>
        </w:rPr>
        <w:t xml:space="preserve">We also stratified by smoking status (since smoking is a major risk factor for the symptom and disease outcomes) as </w:t>
      </w:r>
      <w:r w:rsidRPr="004A557F">
        <w:rPr>
          <w:rFonts w:eastAsiaTheme="minorEastAsia" w:cstheme="minorHAnsi"/>
          <w:sz w:val="24"/>
          <w:szCs w:val="24"/>
          <w:lang w:eastAsia="zh-CN"/>
        </w:rPr>
        <w:t xml:space="preserve">a </w:t>
      </w:r>
      <w:r w:rsidR="00656B43" w:rsidRPr="004A557F">
        <w:rPr>
          <w:rFonts w:eastAsiaTheme="minorEastAsia" w:cstheme="minorHAnsi"/>
          <w:sz w:val="24"/>
          <w:szCs w:val="24"/>
          <w:lang w:eastAsia="zh-CN"/>
        </w:rPr>
        <w:t>sensitivity analys</w:t>
      </w:r>
      <w:r w:rsidRPr="004A557F">
        <w:rPr>
          <w:rFonts w:eastAsiaTheme="minorEastAsia" w:cstheme="minorHAnsi"/>
          <w:sz w:val="24"/>
          <w:szCs w:val="24"/>
          <w:lang w:eastAsia="zh-CN"/>
        </w:rPr>
        <w:t>i</w:t>
      </w:r>
      <w:r w:rsidR="00656B43" w:rsidRPr="004A557F">
        <w:rPr>
          <w:rFonts w:eastAsiaTheme="minorEastAsia" w:cstheme="minorHAnsi"/>
          <w:sz w:val="24"/>
          <w:szCs w:val="24"/>
          <w:lang w:eastAsia="zh-CN"/>
        </w:rPr>
        <w:t xml:space="preserve">s. </w:t>
      </w:r>
    </w:p>
    <w:p w14:paraId="7396685E" w14:textId="0134AFDB" w:rsidR="000B4B42" w:rsidRPr="004A557F" w:rsidRDefault="00B83D26"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 xml:space="preserve">Within the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exposed</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cohort, patients who received a relevant prescription in the first six months after index date (and before the date of relevant diagnosis if any) w</w:t>
      </w:r>
      <w:r w:rsidR="00072C3D" w:rsidRPr="004A557F">
        <w:rPr>
          <w:rFonts w:eastAsiaTheme="minorEastAsia" w:cstheme="minorHAnsi"/>
          <w:sz w:val="24"/>
          <w:szCs w:val="24"/>
          <w:lang w:eastAsia="zh-CN"/>
        </w:rPr>
        <w:t>ere</w:t>
      </w:r>
      <w:r w:rsidRPr="004A557F">
        <w:rPr>
          <w:rFonts w:eastAsiaTheme="minorEastAsia" w:cstheme="minorHAnsi"/>
          <w:sz w:val="24"/>
          <w:szCs w:val="24"/>
          <w:lang w:eastAsia="zh-CN"/>
        </w:rPr>
        <w:t xml:space="preserve"> </w:t>
      </w:r>
      <w:r w:rsidR="00072C3D" w:rsidRPr="004A557F">
        <w:rPr>
          <w:rFonts w:eastAsiaTheme="minorEastAsia" w:cstheme="minorHAnsi"/>
          <w:sz w:val="24"/>
          <w:szCs w:val="24"/>
          <w:lang w:eastAsia="zh-CN"/>
        </w:rPr>
        <w:t>identified</w:t>
      </w:r>
      <w:r w:rsidRPr="004A557F">
        <w:rPr>
          <w:rFonts w:eastAsiaTheme="minorEastAsia" w:cstheme="minorHAnsi"/>
          <w:sz w:val="24"/>
          <w:szCs w:val="24"/>
          <w:lang w:eastAsia="zh-CN"/>
        </w:rPr>
        <w:t>.  All models were repeated to assess the risk of long</w:t>
      </w:r>
      <w:r w:rsidR="00DC1330"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term diagnosis in those without any initial relevant prescription or diagnosis in the first six months, compared to the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unexposed</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cohort. </w:t>
      </w:r>
    </w:p>
    <w:p w14:paraId="3F2C80A4" w14:textId="5CF3AC35" w:rsidR="00854E3F" w:rsidRPr="004A557F" w:rsidRDefault="00854E3F"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The risks of</w:t>
      </w:r>
      <w:r w:rsidR="00A70FE0" w:rsidRPr="004A557F">
        <w:rPr>
          <w:rFonts w:eastAsiaTheme="minorEastAsia" w:cstheme="minorHAnsi"/>
          <w:sz w:val="24"/>
          <w:szCs w:val="24"/>
          <w:lang w:eastAsia="zh-CN"/>
        </w:rPr>
        <w:t xml:space="preserve"> </w:t>
      </w:r>
      <w:r w:rsidR="00EE0A17" w:rsidRPr="004A557F">
        <w:rPr>
          <w:rFonts w:eastAsiaTheme="minorEastAsia" w:cstheme="minorHAnsi"/>
          <w:sz w:val="24"/>
          <w:szCs w:val="24"/>
          <w:lang w:eastAsia="zh-CN"/>
        </w:rPr>
        <w:t xml:space="preserve">earlier </w:t>
      </w:r>
      <w:r w:rsidRPr="004A557F">
        <w:rPr>
          <w:rFonts w:eastAsiaTheme="minorEastAsia" w:cstheme="minorHAnsi"/>
          <w:sz w:val="24"/>
          <w:szCs w:val="24"/>
          <w:lang w:eastAsia="zh-CN"/>
        </w:rPr>
        <w:t xml:space="preserve">all-cause mortality between the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exposed</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and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unexposed</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cohorts were compared using Cox regression models, </w:t>
      </w:r>
      <w:r w:rsidR="0022421D" w:rsidRPr="004A557F">
        <w:rPr>
          <w:rFonts w:eastAsiaTheme="minorEastAsia" w:cstheme="minorHAnsi"/>
          <w:sz w:val="24"/>
          <w:szCs w:val="24"/>
          <w:lang w:eastAsia="zh-CN"/>
        </w:rPr>
        <w:t>with</w:t>
      </w:r>
      <w:r w:rsidRPr="004A557F">
        <w:rPr>
          <w:rFonts w:eastAsiaTheme="minorEastAsia" w:cstheme="minorHAnsi"/>
          <w:sz w:val="24"/>
          <w:szCs w:val="24"/>
          <w:lang w:eastAsia="zh-CN"/>
        </w:rPr>
        <w:t xml:space="preserve"> diagnosis (the earliest diagnosis of COPD, asthma or IHD) treated as a time-varying covariate. The risks of future disease-</w:t>
      </w:r>
      <w:r w:rsidR="00DC1330" w:rsidRPr="004A557F">
        <w:rPr>
          <w:rFonts w:eastAsiaTheme="minorEastAsia" w:cstheme="minorHAnsi"/>
          <w:sz w:val="24"/>
          <w:szCs w:val="24"/>
          <w:lang w:eastAsia="zh-CN"/>
        </w:rPr>
        <w:t>specific (COPD</w:t>
      </w:r>
      <w:r w:rsidRPr="004A557F">
        <w:rPr>
          <w:rFonts w:eastAsiaTheme="minorEastAsia" w:cstheme="minorHAnsi"/>
          <w:sz w:val="24"/>
          <w:szCs w:val="24"/>
          <w:lang w:eastAsia="zh-CN"/>
        </w:rPr>
        <w:t xml:space="preserve"> or IHD) mortality were assessed using competing-risk </w:t>
      </w:r>
      <w:r w:rsidR="00813750" w:rsidRPr="004A557F">
        <w:rPr>
          <w:rFonts w:eastAsiaTheme="minorEastAsia" w:cstheme="minorHAnsi"/>
          <w:sz w:val="24"/>
          <w:szCs w:val="24"/>
          <w:lang w:eastAsia="zh-CN"/>
        </w:rPr>
        <w:t xml:space="preserve">models with </w:t>
      </w:r>
      <w:r w:rsidR="00AC6352" w:rsidRPr="004A557F">
        <w:rPr>
          <w:rFonts w:eastAsiaTheme="minorEastAsia" w:cstheme="minorHAnsi"/>
          <w:sz w:val="24"/>
          <w:szCs w:val="24"/>
          <w:lang w:eastAsia="zh-CN"/>
        </w:rPr>
        <w:t xml:space="preserve">death </w:t>
      </w:r>
      <w:r w:rsidR="00813750" w:rsidRPr="004A557F">
        <w:rPr>
          <w:rFonts w:eastAsiaTheme="minorEastAsia" w:cstheme="minorHAnsi"/>
          <w:sz w:val="24"/>
          <w:szCs w:val="24"/>
          <w:lang w:eastAsia="zh-CN"/>
        </w:rPr>
        <w:t xml:space="preserve">from other causes </w:t>
      </w:r>
      <w:r w:rsidR="00AC6352" w:rsidRPr="004A557F">
        <w:rPr>
          <w:rFonts w:eastAsiaTheme="minorEastAsia" w:cstheme="minorHAnsi"/>
          <w:sz w:val="24"/>
          <w:szCs w:val="24"/>
          <w:lang w:eastAsia="zh-CN"/>
        </w:rPr>
        <w:t>as competing events</w:t>
      </w:r>
      <w:r w:rsidR="002B30D3" w:rsidRPr="004A557F">
        <w:rPr>
          <w:rFonts w:eastAsiaTheme="minorEastAsia" w:cstheme="minorHAnsi"/>
          <w:sz w:val="24"/>
          <w:szCs w:val="24"/>
          <w:lang w:eastAsia="zh-CN"/>
        </w:rPr>
        <w:t>.</w:t>
      </w:r>
    </w:p>
    <w:p w14:paraId="6B9882DC" w14:textId="695A40BE" w:rsidR="007F407E" w:rsidRPr="004A557F" w:rsidRDefault="00A57F5A"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All analys</w:t>
      </w:r>
      <w:r w:rsidR="00484146" w:rsidRPr="004A557F">
        <w:rPr>
          <w:rFonts w:eastAsiaTheme="minorEastAsia" w:cstheme="minorHAnsi"/>
          <w:sz w:val="24"/>
          <w:szCs w:val="24"/>
          <w:lang w:eastAsia="zh-CN"/>
        </w:rPr>
        <w:t>e</w:t>
      </w:r>
      <w:r w:rsidRPr="004A557F">
        <w:rPr>
          <w:rFonts w:eastAsiaTheme="minorEastAsia" w:cstheme="minorHAnsi"/>
          <w:sz w:val="24"/>
          <w:szCs w:val="24"/>
          <w:lang w:eastAsia="zh-CN"/>
        </w:rPr>
        <w:t xml:space="preserve">s </w:t>
      </w:r>
      <w:r w:rsidR="00484146" w:rsidRPr="004A557F">
        <w:rPr>
          <w:rFonts w:eastAsiaTheme="minorEastAsia" w:cstheme="minorHAnsi"/>
          <w:sz w:val="24"/>
          <w:szCs w:val="24"/>
          <w:lang w:eastAsia="zh-CN"/>
        </w:rPr>
        <w:t>were performed</w:t>
      </w:r>
      <w:r w:rsidRPr="004A557F">
        <w:rPr>
          <w:rFonts w:eastAsiaTheme="minorEastAsia" w:cstheme="minorHAnsi"/>
          <w:sz w:val="24"/>
          <w:szCs w:val="24"/>
          <w:lang w:eastAsia="zh-CN"/>
        </w:rPr>
        <w:t xml:space="preserve"> using STATA</w:t>
      </w:r>
      <w:r w:rsidR="00665F3F" w:rsidRPr="004A557F">
        <w:rPr>
          <w:rFonts w:eastAsiaTheme="minorEastAsia" w:cstheme="minorHAnsi"/>
          <w:sz w:val="24"/>
          <w:szCs w:val="24"/>
          <w:lang w:eastAsia="zh-CN"/>
        </w:rPr>
        <w:t xml:space="preserve"> </w:t>
      </w:r>
      <w:r w:rsidRPr="004A557F">
        <w:rPr>
          <w:rFonts w:eastAsiaTheme="minorEastAsia" w:cstheme="minorHAnsi"/>
          <w:sz w:val="24"/>
          <w:szCs w:val="24"/>
          <w:lang w:eastAsia="zh-CN"/>
        </w:rPr>
        <w:t xml:space="preserve">14.2. </w:t>
      </w:r>
    </w:p>
    <w:p w14:paraId="510EEDDF" w14:textId="77777777" w:rsidR="00477023" w:rsidRPr="00E62A0E" w:rsidRDefault="00477023" w:rsidP="004A557F">
      <w:pPr>
        <w:spacing w:line="480" w:lineRule="auto"/>
        <w:rPr>
          <w:rFonts w:eastAsiaTheme="minorEastAsia" w:cstheme="minorHAnsi"/>
          <w:b/>
          <w:sz w:val="24"/>
          <w:szCs w:val="24"/>
          <w:lang w:eastAsia="zh-CN"/>
        </w:rPr>
      </w:pPr>
      <w:r w:rsidRPr="00E62A0E">
        <w:rPr>
          <w:rFonts w:eastAsiaTheme="minorEastAsia" w:cstheme="minorHAnsi"/>
          <w:b/>
          <w:sz w:val="24"/>
          <w:szCs w:val="24"/>
          <w:lang w:eastAsia="zh-CN"/>
        </w:rPr>
        <w:t>Results</w:t>
      </w:r>
    </w:p>
    <w:p w14:paraId="44C85229" w14:textId="70E31BC9" w:rsidR="00477023" w:rsidRPr="004A557F" w:rsidRDefault="00ED5AC9" w:rsidP="004A557F">
      <w:pPr>
        <w:spacing w:line="480" w:lineRule="auto"/>
        <w:rPr>
          <w:rFonts w:eastAsiaTheme="minorEastAsia" w:cstheme="minorHAnsi"/>
          <w:i/>
          <w:sz w:val="24"/>
          <w:szCs w:val="24"/>
          <w:lang w:eastAsia="zh-CN"/>
        </w:rPr>
      </w:pPr>
      <w:r w:rsidRPr="004A557F">
        <w:rPr>
          <w:rFonts w:eastAsiaTheme="minorEastAsia" w:cstheme="minorHAnsi"/>
          <w:i/>
          <w:sz w:val="24"/>
          <w:szCs w:val="24"/>
          <w:lang w:eastAsia="zh-CN"/>
        </w:rPr>
        <w:t>Baseline characteristics</w:t>
      </w:r>
    </w:p>
    <w:p w14:paraId="5404DA0B" w14:textId="6D69F063" w:rsidR="00477023" w:rsidRPr="004A557F" w:rsidRDefault="00477023"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lastRenderedPageBreak/>
        <w:t xml:space="preserve">There were 75,698 patients </w:t>
      </w:r>
      <w:r w:rsidR="00F24B55" w:rsidRPr="004A557F">
        <w:rPr>
          <w:rFonts w:eastAsiaTheme="minorEastAsia" w:cstheme="minorHAnsi"/>
          <w:sz w:val="24"/>
          <w:szCs w:val="24"/>
          <w:lang w:eastAsia="zh-CN"/>
        </w:rPr>
        <w:t>included in</w:t>
      </w:r>
      <w:r w:rsidRPr="004A557F">
        <w:rPr>
          <w:rFonts w:eastAsiaTheme="minorEastAsia" w:cstheme="minorHAnsi"/>
          <w:sz w:val="24"/>
          <w:szCs w:val="24"/>
          <w:lang w:eastAsia="zh-CN"/>
        </w:rPr>
        <w:t xml:space="preserve"> each of the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exposed</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w:t>
      </w:r>
      <w:r w:rsidR="00820213" w:rsidRPr="004A557F">
        <w:rPr>
          <w:rFonts w:eastAsiaTheme="minorEastAsia" w:cstheme="minorHAnsi"/>
          <w:sz w:val="24"/>
          <w:szCs w:val="24"/>
          <w:lang w:eastAsia="zh-CN"/>
        </w:rPr>
        <w:t>(recorded first breathless</w:t>
      </w:r>
      <w:r w:rsidR="00405562" w:rsidRPr="004A557F">
        <w:rPr>
          <w:rFonts w:eastAsiaTheme="minorEastAsia" w:cstheme="minorHAnsi"/>
          <w:sz w:val="24"/>
          <w:szCs w:val="24"/>
          <w:lang w:eastAsia="zh-CN"/>
        </w:rPr>
        <w:t>ness</w:t>
      </w:r>
      <w:r w:rsidR="00820213" w:rsidRPr="004A557F">
        <w:rPr>
          <w:rFonts w:eastAsiaTheme="minorEastAsia" w:cstheme="minorHAnsi"/>
          <w:sz w:val="24"/>
          <w:szCs w:val="24"/>
          <w:lang w:eastAsia="zh-CN"/>
        </w:rPr>
        <w:t xml:space="preserve"> symptom) </w:t>
      </w:r>
      <w:r w:rsidRPr="004A557F">
        <w:rPr>
          <w:rFonts w:eastAsiaTheme="minorEastAsia" w:cstheme="minorHAnsi"/>
          <w:sz w:val="24"/>
          <w:szCs w:val="24"/>
          <w:lang w:eastAsia="zh-CN"/>
        </w:rPr>
        <w:t xml:space="preserve">and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unexposed</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cohorts (43% male; median age 60 (IQR 46, 72))</w:t>
      </w:r>
      <w:r w:rsidR="00A12BA9" w:rsidRPr="004A557F">
        <w:rPr>
          <w:rFonts w:eastAsiaTheme="minorEastAsia" w:cstheme="minorHAnsi"/>
          <w:sz w:val="24"/>
          <w:szCs w:val="24"/>
          <w:lang w:eastAsia="zh-CN"/>
        </w:rPr>
        <w:t>. The</w:t>
      </w:r>
      <w:r w:rsidRPr="004A557F">
        <w:rPr>
          <w:rFonts w:eastAsiaTheme="minorEastAsia" w:cstheme="minorHAnsi"/>
          <w:sz w:val="24"/>
          <w:szCs w:val="24"/>
          <w:lang w:eastAsia="zh-CN"/>
        </w:rPr>
        <w:t xml:space="preserve"> median follow-up times</w:t>
      </w:r>
      <w:r w:rsidR="00A12BA9" w:rsidRPr="004A557F">
        <w:rPr>
          <w:rFonts w:eastAsiaTheme="minorEastAsia" w:cstheme="minorHAnsi"/>
          <w:sz w:val="24"/>
          <w:szCs w:val="24"/>
          <w:lang w:eastAsia="zh-CN"/>
        </w:rPr>
        <w:t xml:space="preserve"> were</w:t>
      </w:r>
      <w:r w:rsidRPr="004A557F">
        <w:rPr>
          <w:rFonts w:eastAsiaTheme="minorEastAsia" w:cstheme="minorHAnsi"/>
          <w:sz w:val="24"/>
          <w:szCs w:val="24"/>
          <w:lang w:eastAsia="zh-CN"/>
        </w:rPr>
        <w:t xml:space="preserve"> </w:t>
      </w:r>
      <w:r w:rsidR="00AD6ECD" w:rsidRPr="004A557F">
        <w:rPr>
          <w:rFonts w:eastAsiaTheme="minorEastAsia" w:cstheme="minorHAnsi"/>
          <w:sz w:val="24"/>
          <w:szCs w:val="24"/>
          <w:lang w:eastAsia="zh-CN"/>
        </w:rPr>
        <w:t>6.1 (IQR 3.5, 9.4)</w:t>
      </w:r>
      <w:r w:rsidR="00A12BA9" w:rsidRPr="004A557F">
        <w:rPr>
          <w:rFonts w:eastAsiaTheme="minorEastAsia" w:cstheme="minorHAnsi"/>
          <w:sz w:val="24"/>
          <w:szCs w:val="24"/>
          <w:lang w:eastAsia="zh-CN"/>
        </w:rPr>
        <w:t xml:space="preserve"> and </w:t>
      </w:r>
      <w:r w:rsidR="00AD6ECD" w:rsidRPr="004A557F">
        <w:rPr>
          <w:rFonts w:eastAsiaTheme="minorEastAsia" w:cstheme="minorHAnsi"/>
          <w:sz w:val="24"/>
          <w:szCs w:val="24"/>
          <w:lang w:eastAsia="zh-CN"/>
        </w:rPr>
        <w:t>6.5 (IQR 3.9, 9.7)</w:t>
      </w:r>
      <w:r w:rsidRPr="004A557F">
        <w:rPr>
          <w:rFonts w:eastAsiaTheme="minorEastAsia" w:cstheme="minorHAnsi"/>
          <w:sz w:val="24"/>
          <w:szCs w:val="24"/>
          <w:lang w:eastAsia="zh-CN"/>
        </w:rPr>
        <w:t xml:space="preserve"> years</w:t>
      </w:r>
      <w:r w:rsidR="00A12BA9" w:rsidRPr="004A557F">
        <w:rPr>
          <w:rFonts w:eastAsiaTheme="minorEastAsia" w:cstheme="minorHAnsi"/>
          <w:sz w:val="24"/>
          <w:szCs w:val="24"/>
          <w:lang w:eastAsia="zh-CN"/>
        </w:rPr>
        <w:t xml:space="preserve"> in the </w:t>
      </w:r>
      <w:r w:rsidR="00405562" w:rsidRPr="004A557F">
        <w:rPr>
          <w:rFonts w:eastAsiaTheme="minorEastAsia" w:cstheme="minorHAnsi"/>
          <w:sz w:val="24"/>
          <w:szCs w:val="24"/>
          <w:lang w:eastAsia="zh-CN"/>
        </w:rPr>
        <w:t>‘</w:t>
      </w:r>
      <w:r w:rsidR="00A12BA9" w:rsidRPr="004A557F">
        <w:rPr>
          <w:rFonts w:eastAsiaTheme="minorEastAsia" w:cstheme="minorHAnsi"/>
          <w:sz w:val="24"/>
          <w:szCs w:val="24"/>
          <w:lang w:eastAsia="zh-CN"/>
        </w:rPr>
        <w:t>exposed</w:t>
      </w:r>
      <w:r w:rsidR="00405562" w:rsidRPr="004A557F">
        <w:rPr>
          <w:rFonts w:eastAsiaTheme="minorEastAsia" w:cstheme="minorHAnsi"/>
          <w:sz w:val="24"/>
          <w:szCs w:val="24"/>
          <w:lang w:eastAsia="zh-CN"/>
        </w:rPr>
        <w:t>’</w:t>
      </w:r>
      <w:r w:rsidR="00A12BA9" w:rsidRPr="004A557F">
        <w:rPr>
          <w:rFonts w:eastAsiaTheme="minorEastAsia" w:cstheme="minorHAnsi"/>
          <w:sz w:val="24"/>
          <w:szCs w:val="24"/>
          <w:lang w:eastAsia="zh-CN"/>
        </w:rPr>
        <w:t xml:space="preserve"> and </w:t>
      </w:r>
      <w:r w:rsidR="00405562" w:rsidRPr="004A557F">
        <w:rPr>
          <w:rFonts w:eastAsiaTheme="minorEastAsia" w:cstheme="minorHAnsi"/>
          <w:sz w:val="24"/>
          <w:szCs w:val="24"/>
          <w:lang w:eastAsia="zh-CN"/>
        </w:rPr>
        <w:t>‘</w:t>
      </w:r>
      <w:r w:rsidR="00A12BA9" w:rsidRPr="004A557F">
        <w:rPr>
          <w:rFonts w:eastAsiaTheme="minorEastAsia" w:cstheme="minorHAnsi"/>
          <w:sz w:val="24"/>
          <w:szCs w:val="24"/>
          <w:lang w:eastAsia="zh-CN"/>
        </w:rPr>
        <w:t>unexposed</w:t>
      </w:r>
      <w:r w:rsidR="00405562" w:rsidRPr="004A557F">
        <w:rPr>
          <w:rFonts w:eastAsiaTheme="minorEastAsia" w:cstheme="minorHAnsi"/>
          <w:sz w:val="24"/>
          <w:szCs w:val="24"/>
          <w:lang w:eastAsia="zh-CN"/>
        </w:rPr>
        <w:t>’</w:t>
      </w:r>
      <w:r w:rsidR="00A12BA9" w:rsidRPr="004A557F">
        <w:rPr>
          <w:rFonts w:eastAsiaTheme="minorEastAsia" w:cstheme="minorHAnsi"/>
          <w:sz w:val="24"/>
          <w:szCs w:val="24"/>
          <w:lang w:eastAsia="zh-CN"/>
        </w:rPr>
        <w:t xml:space="preserve"> cohorts, respectively</w:t>
      </w:r>
      <w:r w:rsidRPr="004A557F">
        <w:rPr>
          <w:rFonts w:eastAsiaTheme="minorEastAsia" w:cstheme="minorHAnsi"/>
          <w:sz w:val="24"/>
          <w:szCs w:val="24"/>
          <w:lang w:eastAsia="zh-CN"/>
        </w:rPr>
        <w:t xml:space="preserve">. </w:t>
      </w:r>
      <w:r w:rsidR="00767563" w:rsidRPr="004A557F">
        <w:rPr>
          <w:rFonts w:eastAsiaTheme="minorEastAsia" w:cstheme="minorHAnsi"/>
          <w:sz w:val="24"/>
          <w:szCs w:val="24"/>
          <w:lang w:eastAsia="zh-CN"/>
        </w:rPr>
        <w:t xml:space="preserve">Characteristics of the two cohorts are given in Table 1 and (for individual comorbidities) </w:t>
      </w:r>
      <w:r w:rsidRPr="004A557F">
        <w:rPr>
          <w:rFonts w:eastAsiaTheme="minorEastAsia" w:cstheme="minorHAnsi"/>
          <w:sz w:val="24"/>
          <w:szCs w:val="24"/>
          <w:lang w:eastAsia="zh-CN"/>
        </w:rPr>
        <w:t>Supplement</w:t>
      </w:r>
      <w:r w:rsidR="00A96CBC" w:rsidRPr="004A557F">
        <w:rPr>
          <w:rFonts w:eastAsiaTheme="minorEastAsia" w:cstheme="minorHAnsi"/>
          <w:sz w:val="24"/>
          <w:szCs w:val="24"/>
          <w:lang w:eastAsia="zh-CN"/>
        </w:rPr>
        <w:t>ary</w:t>
      </w:r>
      <w:r w:rsidRPr="004A557F">
        <w:rPr>
          <w:rFonts w:eastAsiaTheme="minorEastAsia" w:cstheme="minorHAnsi"/>
          <w:sz w:val="24"/>
          <w:szCs w:val="24"/>
          <w:lang w:eastAsia="zh-CN"/>
        </w:rPr>
        <w:t xml:space="preserve"> Table 1. </w:t>
      </w:r>
    </w:p>
    <w:p w14:paraId="42A3D5B0" w14:textId="7A6704BD" w:rsidR="00477023" w:rsidRPr="004A557F" w:rsidRDefault="00DB02CA" w:rsidP="004A557F">
      <w:pPr>
        <w:spacing w:line="480" w:lineRule="auto"/>
        <w:rPr>
          <w:rFonts w:eastAsiaTheme="minorEastAsia" w:cstheme="minorHAnsi"/>
          <w:i/>
          <w:sz w:val="24"/>
          <w:szCs w:val="24"/>
          <w:lang w:eastAsia="zh-CN"/>
        </w:rPr>
      </w:pPr>
      <w:r w:rsidRPr="004A557F">
        <w:rPr>
          <w:rFonts w:eastAsiaTheme="minorEastAsia" w:cstheme="minorHAnsi"/>
          <w:i/>
          <w:sz w:val="24"/>
          <w:szCs w:val="24"/>
          <w:lang w:eastAsia="zh-CN"/>
        </w:rPr>
        <w:t>Risk</w:t>
      </w:r>
      <w:r w:rsidR="00996F78" w:rsidRPr="004A557F">
        <w:rPr>
          <w:rFonts w:eastAsiaTheme="minorEastAsia" w:cstheme="minorHAnsi"/>
          <w:i/>
          <w:sz w:val="24"/>
          <w:szCs w:val="24"/>
          <w:lang w:eastAsia="zh-CN"/>
        </w:rPr>
        <w:t xml:space="preserve"> of COPD</w:t>
      </w:r>
      <w:r w:rsidR="00497376" w:rsidRPr="004A557F">
        <w:rPr>
          <w:rFonts w:eastAsiaTheme="minorEastAsia" w:cstheme="minorHAnsi"/>
          <w:i/>
          <w:sz w:val="24"/>
          <w:szCs w:val="24"/>
          <w:lang w:eastAsia="zh-CN"/>
        </w:rPr>
        <w:t>, asthma</w:t>
      </w:r>
      <w:r w:rsidR="0017268A" w:rsidRPr="004A557F">
        <w:rPr>
          <w:rFonts w:eastAsiaTheme="minorEastAsia" w:cstheme="minorHAnsi"/>
          <w:i/>
          <w:sz w:val="24"/>
          <w:szCs w:val="24"/>
          <w:lang w:eastAsia="zh-CN"/>
        </w:rPr>
        <w:t>,</w:t>
      </w:r>
      <w:r w:rsidR="00996F78" w:rsidRPr="004A557F">
        <w:rPr>
          <w:rFonts w:eastAsiaTheme="minorEastAsia" w:cstheme="minorHAnsi"/>
          <w:i/>
          <w:sz w:val="24"/>
          <w:szCs w:val="24"/>
          <w:lang w:eastAsia="zh-CN"/>
        </w:rPr>
        <w:t xml:space="preserve"> and IHD</w:t>
      </w:r>
      <w:r w:rsidRPr="004A557F">
        <w:rPr>
          <w:rFonts w:eastAsiaTheme="minorEastAsia" w:cstheme="minorHAnsi"/>
          <w:i/>
          <w:sz w:val="24"/>
          <w:szCs w:val="24"/>
          <w:lang w:eastAsia="zh-CN"/>
        </w:rPr>
        <w:t xml:space="preserve"> diagnos</w:t>
      </w:r>
      <w:r w:rsidR="0017268A" w:rsidRPr="004A557F">
        <w:rPr>
          <w:rFonts w:eastAsiaTheme="minorEastAsia" w:cstheme="minorHAnsi"/>
          <w:i/>
          <w:sz w:val="24"/>
          <w:szCs w:val="24"/>
          <w:lang w:eastAsia="zh-CN"/>
        </w:rPr>
        <w:t>i</w:t>
      </w:r>
      <w:r w:rsidR="003D5A8A" w:rsidRPr="004A557F">
        <w:rPr>
          <w:rFonts w:eastAsiaTheme="minorEastAsia" w:cstheme="minorHAnsi"/>
          <w:i/>
          <w:sz w:val="24"/>
          <w:szCs w:val="24"/>
          <w:lang w:eastAsia="zh-CN"/>
        </w:rPr>
        <w:t>s</w:t>
      </w:r>
      <w:r w:rsidRPr="004A557F">
        <w:rPr>
          <w:rFonts w:eastAsiaTheme="minorEastAsia" w:cstheme="minorHAnsi"/>
          <w:i/>
          <w:sz w:val="24"/>
          <w:szCs w:val="24"/>
          <w:lang w:eastAsia="zh-CN"/>
        </w:rPr>
        <w:t xml:space="preserve"> </w:t>
      </w:r>
      <w:r w:rsidR="00996F78" w:rsidRPr="004A557F">
        <w:rPr>
          <w:rFonts w:eastAsiaTheme="minorEastAsia" w:cstheme="minorHAnsi"/>
          <w:i/>
          <w:sz w:val="24"/>
          <w:szCs w:val="24"/>
          <w:lang w:eastAsia="zh-CN"/>
        </w:rPr>
        <w:t xml:space="preserve"> </w:t>
      </w:r>
    </w:p>
    <w:p w14:paraId="2C91A64E" w14:textId="4D8A94EB" w:rsidR="00C844BF" w:rsidRPr="004A557F" w:rsidRDefault="00243807"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During</w:t>
      </w:r>
      <w:r w:rsidR="007619EE" w:rsidRPr="004A557F">
        <w:rPr>
          <w:rFonts w:eastAsiaTheme="minorEastAsia" w:cstheme="minorHAnsi"/>
          <w:sz w:val="24"/>
          <w:szCs w:val="24"/>
          <w:lang w:eastAsia="zh-CN"/>
        </w:rPr>
        <w:t xml:space="preserve"> the</w:t>
      </w:r>
      <w:r w:rsidR="00D93B08" w:rsidRPr="004A557F">
        <w:rPr>
          <w:rFonts w:eastAsiaTheme="minorEastAsia" w:cstheme="minorHAnsi"/>
          <w:sz w:val="24"/>
          <w:szCs w:val="24"/>
          <w:lang w:eastAsia="zh-CN"/>
        </w:rPr>
        <w:t xml:space="preserve"> whole</w:t>
      </w:r>
      <w:r w:rsidR="00477023" w:rsidRPr="004A557F">
        <w:rPr>
          <w:rFonts w:eastAsiaTheme="minorEastAsia" w:cstheme="minorHAnsi"/>
          <w:sz w:val="24"/>
          <w:szCs w:val="24"/>
          <w:lang w:eastAsia="zh-CN"/>
        </w:rPr>
        <w:t xml:space="preserve"> follow-up, 35</w:t>
      </w:r>
      <w:r w:rsidR="00700D2A" w:rsidRPr="004A557F">
        <w:rPr>
          <w:rFonts w:eastAsiaTheme="minorEastAsia" w:cstheme="minorHAnsi"/>
          <w:sz w:val="24"/>
          <w:szCs w:val="24"/>
          <w:lang w:eastAsia="zh-CN"/>
        </w:rPr>
        <w:t>%</w:t>
      </w:r>
      <w:r w:rsidR="00477023" w:rsidRPr="004A557F">
        <w:rPr>
          <w:rFonts w:eastAsiaTheme="minorEastAsia" w:cstheme="minorHAnsi"/>
          <w:sz w:val="24"/>
          <w:szCs w:val="24"/>
          <w:lang w:eastAsia="zh-CN"/>
        </w:rPr>
        <w:t xml:space="preserve"> of</w:t>
      </w:r>
      <w:r w:rsidR="00700D2A" w:rsidRPr="004A557F">
        <w:rPr>
          <w:rFonts w:eastAsiaTheme="minorEastAsia" w:cstheme="minorHAnsi"/>
          <w:sz w:val="24"/>
          <w:szCs w:val="24"/>
          <w:lang w:eastAsia="zh-CN"/>
        </w:rPr>
        <w:t xml:space="preserve"> </w:t>
      </w:r>
      <w:r w:rsidR="00477023" w:rsidRPr="004A557F">
        <w:rPr>
          <w:rFonts w:eastAsiaTheme="minorEastAsia" w:cstheme="minorHAnsi"/>
          <w:sz w:val="24"/>
          <w:szCs w:val="24"/>
          <w:lang w:eastAsia="zh-CN"/>
        </w:rPr>
        <w:t xml:space="preserve">patients in the </w:t>
      </w:r>
      <w:r w:rsidR="00405562" w:rsidRPr="004A557F">
        <w:rPr>
          <w:rFonts w:eastAsiaTheme="minorEastAsia" w:cstheme="minorHAnsi"/>
          <w:sz w:val="24"/>
          <w:szCs w:val="24"/>
          <w:lang w:eastAsia="zh-CN"/>
        </w:rPr>
        <w:t>‘</w:t>
      </w:r>
      <w:r w:rsidR="00477023" w:rsidRPr="004A557F">
        <w:rPr>
          <w:rFonts w:eastAsiaTheme="minorEastAsia" w:cstheme="minorHAnsi"/>
          <w:sz w:val="24"/>
          <w:szCs w:val="24"/>
          <w:lang w:eastAsia="zh-CN"/>
        </w:rPr>
        <w:t>exposed</w:t>
      </w:r>
      <w:r w:rsidR="00405562" w:rsidRPr="004A557F">
        <w:rPr>
          <w:rFonts w:eastAsiaTheme="minorEastAsia" w:cstheme="minorHAnsi"/>
          <w:sz w:val="24"/>
          <w:szCs w:val="24"/>
          <w:lang w:eastAsia="zh-CN"/>
        </w:rPr>
        <w:t>’</w:t>
      </w:r>
      <w:r w:rsidR="00477023" w:rsidRPr="004A557F">
        <w:rPr>
          <w:rFonts w:eastAsiaTheme="minorEastAsia" w:cstheme="minorHAnsi"/>
          <w:sz w:val="24"/>
          <w:szCs w:val="24"/>
          <w:lang w:eastAsia="zh-CN"/>
        </w:rPr>
        <w:t xml:space="preserve"> cohort were diagnosed with at least one of</w:t>
      </w:r>
      <w:r w:rsidR="00497376" w:rsidRPr="004A557F">
        <w:rPr>
          <w:rFonts w:eastAsiaTheme="minorEastAsia" w:cstheme="minorHAnsi"/>
          <w:sz w:val="24"/>
          <w:szCs w:val="24"/>
          <w:lang w:eastAsia="zh-CN"/>
        </w:rPr>
        <w:t xml:space="preserve"> </w:t>
      </w:r>
      <w:r w:rsidR="00700D2A" w:rsidRPr="004A557F">
        <w:rPr>
          <w:rFonts w:eastAsiaTheme="minorEastAsia" w:cstheme="minorHAnsi"/>
          <w:sz w:val="24"/>
          <w:szCs w:val="24"/>
          <w:lang w:eastAsia="zh-CN"/>
        </w:rPr>
        <w:t>COPD</w:t>
      </w:r>
      <w:r w:rsidR="00497376" w:rsidRPr="004A557F">
        <w:rPr>
          <w:rFonts w:eastAsiaTheme="minorEastAsia" w:cstheme="minorHAnsi"/>
          <w:sz w:val="24"/>
          <w:szCs w:val="24"/>
          <w:lang w:eastAsia="zh-CN"/>
        </w:rPr>
        <w:t>, asthma</w:t>
      </w:r>
      <w:r w:rsidR="00477023" w:rsidRPr="004A557F">
        <w:rPr>
          <w:rFonts w:eastAsiaTheme="minorEastAsia" w:cstheme="minorHAnsi"/>
          <w:sz w:val="24"/>
          <w:szCs w:val="24"/>
          <w:lang w:eastAsia="zh-CN"/>
        </w:rPr>
        <w:t xml:space="preserve"> or IHD</w:t>
      </w:r>
      <w:r w:rsidR="00140740" w:rsidRPr="004A557F">
        <w:rPr>
          <w:rFonts w:eastAsiaTheme="minorEastAsia" w:cstheme="minorHAnsi"/>
          <w:sz w:val="24"/>
          <w:szCs w:val="24"/>
          <w:lang w:eastAsia="zh-CN"/>
        </w:rPr>
        <w:t>,</w:t>
      </w:r>
      <w:r w:rsidR="007619EE" w:rsidRPr="004A557F">
        <w:rPr>
          <w:rFonts w:eastAsiaTheme="minorEastAsia" w:cstheme="minorHAnsi"/>
          <w:sz w:val="24"/>
          <w:szCs w:val="24"/>
          <w:lang w:eastAsia="zh-CN"/>
        </w:rPr>
        <w:t xml:space="preserve"> whereas it was 11% in the </w:t>
      </w:r>
      <w:r w:rsidR="00405562" w:rsidRPr="004A557F">
        <w:rPr>
          <w:rFonts w:eastAsiaTheme="minorEastAsia" w:cstheme="minorHAnsi"/>
          <w:sz w:val="24"/>
          <w:szCs w:val="24"/>
          <w:lang w:eastAsia="zh-CN"/>
        </w:rPr>
        <w:t>‘</w:t>
      </w:r>
      <w:r w:rsidR="00477023" w:rsidRPr="004A557F">
        <w:rPr>
          <w:rFonts w:eastAsiaTheme="minorEastAsia" w:cstheme="minorHAnsi"/>
          <w:sz w:val="24"/>
          <w:szCs w:val="24"/>
          <w:lang w:eastAsia="zh-CN"/>
        </w:rPr>
        <w:t>unexposed</w:t>
      </w:r>
      <w:r w:rsidR="00405562" w:rsidRPr="004A557F">
        <w:rPr>
          <w:rFonts w:eastAsiaTheme="minorEastAsia" w:cstheme="minorHAnsi"/>
          <w:sz w:val="24"/>
          <w:szCs w:val="24"/>
          <w:lang w:eastAsia="zh-CN"/>
        </w:rPr>
        <w:t>’</w:t>
      </w:r>
      <w:r w:rsidR="00477023" w:rsidRPr="004A557F">
        <w:rPr>
          <w:rFonts w:eastAsiaTheme="minorEastAsia" w:cstheme="minorHAnsi"/>
          <w:sz w:val="24"/>
          <w:szCs w:val="24"/>
          <w:lang w:eastAsia="zh-CN"/>
        </w:rPr>
        <w:t xml:space="preserve"> cohort</w:t>
      </w:r>
      <w:r w:rsidR="007619EE" w:rsidRPr="004A557F">
        <w:rPr>
          <w:rFonts w:eastAsiaTheme="minorEastAsia" w:cstheme="minorHAnsi"/>
          <w:sz w:val="24"/>
          <w:szCs w:val="24"/>
          <w:lang w:eastAsia="zh-CN"/>
        </w:rPr>
        <w:t xml:space="preserve"> (Supplementary Table 2)</w:t>
      </w:r>
      <w:r w:rsidR="00477023" w:rsidRPr="004A557F">
        <w:rPr>
          <w:rFonts w:eastAsiaTheme="minorEastAsia" w:cstheme="minorHAnsi"/>
          <w:sz w:val="24"/>
          <w:szCs w:val="24"/>
          <w:lang w:eastAsia="zh-CN"/>
        </w:rPr>
        <w:t>.</w:t>
      </w:r>
      <w:r w:rsidR="00D93B08" w:rsidRPr="004A557F">
        <w:rPr>
          <w:rFonts w:eastAsiaTheme="minorEastAsia" w:cstheme="minorHAnsi"/>
          <w:sz w:val="24"/>
          <w:szCs w:val="24"/>
          <w:lang w:eastAsia="zh-CN"/>
        </w:rPr>
        <w:t xml:space="preserve"> </w:t>
      </w:r>
      <w:r w:rsidR="00293C47" w:rsidRPr="004A557F">
        <w:rPr>
          <w:rFonts w:eastAsiaTheme="minorEastAsia" w:cstheme="minorHAnsi"/>
          <w:sz w:val="24"/>
          <w:szCs w:val="24"/>
          <w:lang w:eastAsia="zh-CN"/>
        </w:rPr>
        <w:t>Kaplan-Meier curv</w:t>
      </w:r>
      <w:r w:rsidR="00D934FE" w:rsidRPr="004A557F">
        <w:rPr>
          <w:rFonts w:eastAsiaTheme="minorEastAsia" w:cstheme="minorHAnsi"/>
          <w:sz w:val="24"/>
          <w:szCs w:val="24"/>
          <w:lang w:eastAsia="zh-CN"/>
        </w:rPr>
        <w:t xml:space="preserve">es show </w:t>
      </w:r>
      <w:r w:rsidR="009C0335" w:rsidRPr="004A557F">
        <w:rPr>
          <w:rFonts w:eastAsiaTheme="minorEastAsia" w:cstheme="minorHAnsi"/>
          <w:sz w:val="24"/>
          <w:szCs w:val="24"/>
          <w:lang w:eastAsia="zh-CN"/>
        </w:rPr>
        <w:t xml:space="preserve">the </w:t>
      </w:r>
      <w:r w:rsidR="00D934FE" w:rsidRPr="004A557F">
        <w:rPr>
          <w:rFonts w:eastAsiaTheme="minorEastAsia" w:cstheme="minorHAnsi"/>
          <w:sz w:val="24"/>
          <w:szCs w:val="24"/>
          <w:lang w:eastAsia="zh-CN"/>
        </w:rPr>
        <w:t xml:space="preserve">higher rates of </w:t>
      </w:r>
      <w:r w:rsidR="00293C47" w:rsidRPr="004A557F">
        <w:rPr>
          <w:rFonts w:eastAsiaTheme="minorEastAsia" w:cstheme="minorHAnsi"/>
          <w:sz w:val="24"/>
          <w:szCs w:val="24"/>
          <w:lang w:eastAsia="zh-CN"/>
        </w:rPr>
        <w:t>COPD</w:t>
      </w:r>
      <w:r w:rsidR="00D934FE" w:rsidRPr="004A557F">
        <w:rPr>
          <w:rFonts w:eastAsiaTheme="minorEastAsia" w:cstheme="minorHAnsi"/>
          <w:sz w:val="24"/>
          <w:szCs w:val="24"/>
          <w:lang w:eastAsia="zh-CN"/>
        </w:rPr>
        <w:t>, asthma</w:t>
      </w:r>
      <w:r w:rsidR="00293C47" w:rsidRPr="004A557F">
        <w:rPr>
          <w:rFonts w:eastAsiaTheme="minorEastAsia" w:cstheme="minorHAnsi"/>
          <w:sz w:val="24"/>
          <w:szCs w:val="24"/>
          <w:lang w:eastAsia="zh-CN"/>
        </w:rPr>
        <w:t xml:space="preserve"> and IHD diagnos</w:t>
      </w:r>
      <w:r w:rsidR="00A23F7E" w:rsidRPr="004A557F">
        <w:rPr>
          <w:rFonts w:eastAsiaTheme="minorEastAsia" w:cstheme="minorHAnsi"/>
          <w:sz w:val="24"/>
          <w:szCs w:val="24"/>
          <w:lang w:eastAsia="zh-CN"/>
        </w:rPr>
        <w:t>e</w:t>
      </w:r>
      <w:r w:rsidR="00293C47" w:rsidRPr="004A557F">
        <w:rPr>
          <w:rFonts w:eastAsiaTheme="minorEastAsia" w:cstheme="minorHAnsi"/>
          <w:sz w:val="24"/>
          <w:szCs w:val="24"/>
          <w:lang w:eastAsia="zh-CN"/>
        </w:rPr>
        <w:t xml:space="preserve">s </w:t>
      </w:r>
      <w:r w:rsidR="009C0335" w:rsidRPr="004A557F">
        <w:rPr>
          <w:rFonts w:eastAsiaTheme="minorEastAsia" w:cstheme="minorHAnsi"/>
          <w:sz w:val="24"/>
          <w:szCs w:val="24"/>
          <w:lang w:eastAsia="zh-CN"/>
        </w:rPr>
        <w:t xml:space="preserve">during the follow-up in </w:t>
      </w:r>
      <w:r w:rsidR="000703DC" w:rsidRPr="004A557F">
        <w:rPr>
          <w:rFonts w:eastAsiaTheme="minorEastAsia" w:cstheme="minorHAnsi"/>
          <w:sz w:val="24"/>
          <w:szCs w:val="24"/>
          <w:lang w:eastAsia="zh-CN"/>
        </w:rPr>
        <w:t xml:space="preserve">the </w:t>
      </w:r>
      <w:r w:rsidR="00405562" w:rsidRPr="004A557F">
        <w:rPr>
          <w:rFonts w:eastAsiaTheme="minorEastAsia" w:cstheme="minorHAnsi"/>
          <w:sz w:val="24"/>
          <w:szCs w:val="24"/>
          <w:lang w:eastAsia="zh-CN"/>
        </w:rPr>
        <w:t>‘</w:t>
      </w:r>
      <w:r w:rsidR="000703DC" w:rsidRPr="004A557F">
        <w:rPr>
          <w:rFonts w:eastAsiaTheme="minorEastAsia" w:cstheme="minorHAnsi"/>
          <w:sz w:val="24"/>
          <w:szCs w:val="24"/>
          <w:lang w:eastAsia="zh-CN"/>
        </w:rPr>
        <w:t>exposed</w:t>
      </w:r>
      <w:r w:rsidR="00405562" w:rsidRPr="004A557F">
        <w:rPr>
          <w:rFonts w:eastAsiaTheme="minorEastAsia" w:cstheme="minorHAnsi"/>
          <w:sz w:val="24"/>
          <w:szCs w:val="24"/>
          <w:lang w:eastAsia="zh-CN"/>
        </w:rPr>
        <w:t>’</w:t>
      </w:r>
      <w:r w:rsidR="000703DC" w:rsidRPr="004A557F">
        <w:rPr>
          <w:rFonts w:eastAsiaTheme="minorEastAsia" w:cstheme="minorHAnsi"/>
          <w:sz w:val="24"/>
          <w:szCs w:val="24"/>
          <w:lang w:eastAsia="zh-CN"/>
        </w:rPr>
        <w:t xml:space="preserve"> cohort </w:t>
      </w:r>
      <w:r w:rsidR="009C0335" w:rsidRPr="004A557F">
        <w:rPr>
          <w:rFonts w:eastAsiaTheme="minorEastAsia" w:cstheme="minorHAnsi"/>
          <w:sz w:val="24"/>
          <w:szCs w:val="24"/>
          <w:lang w:eastAsia="zh-CN"/>
        </w:rPr>
        <w:t xml:space="preserve">compared to those </w:t>
      </w:r>
      <w:r w:rsidR="000703DC" w:rsidRPr="004A557F">
        <w:rPr>
          <w:rFonts w:eastAsiaTheme="minorEastAsia" w:cstheme="minorHAnsi"/>
          <w:sz w:val="24"/>
          <w:szCs w:val="24"/>
          <w:lang w:eastAsia="zh-CN"/>
        </w:rPr>
        <w:t xml:space="preserve">in the </w:t>
      </w:r>
      <w:r w:rsidR="00405562" w:rsidRPr="004A557F">
        <w:rPr>
          <w:rFonts w:eastAsiaTheme="minorEastAsia" w:cstheme="minorHAnsi"/>
          <w:sz w:val="24"/>
          <w:szCs w:val="24"/>
          <w:lang w:eastAsia="zh-CN"/>
        </w:rPr>
        <w:t>‘</w:t>
      </w:r>
      <w:r w:rsidR="000703DC" w:rsidRPr="004A557F">
        <w:rPr>
          <w:rFonts w:eastAsiaTheme="minorEastAsia" w:cstheme="minorHAnsi"/>
          <w:sz w:val="24"/>
          <w:szCs w:val="24"/>
          <w:lang w:eastAsia="zh-CN"/>
        </w:rPr>
        <w:t>unexposed</w:t>
      </w:r>
      <w:r w:rsidR="00405562" w:rsidRPr="004A557F">
        <w:rPr>
          <w:rFonts w:eastAsiaTheme="minorEastAsia" w:cstheme="minorHAnsi"/>
          <w:sz w:val="24"/>
          <w:szCs w:val="24"/>
          <w:lang w:eastAsia="zh-CN"/>
        </w:rPr>
        <w:t>’</w:t>
      </w:r>
      <w:r w:rsidR="000703DC" w:rsidRPr="004A557F">
        <w:rPr>
          <w:rFonts w:eastAsiaTheme="minorEastAsia" w:cstheme="minorHAnsi"/>
          <w:sz w:val="24"/>
          <w:szCs w:val="24"/>
          <w:lang w:eastAsia="zh-CN"/>
        </w:rPr>
        <w:t xml:space="preserve"> cohort</w:t>
      </w:r>
      <w:r w:rsidR="00AC7F1A" w:rsidRPr="004A557F">
        <w:rPr>
          <w:rFonts w:eastAsiaTheme="minorEastAsia" w:cstheme="minorHAnsi"/>
          <w:sz w:val="24"/>
          <w:szCs w:val="24"/>
          <w:lang w:eastAsia="zh-CN"/>
        </w:rPr>
        <w:t xml:space="preserve"> (Figure 1)</w:t>
      </w:r>
      <w:r w:rsidR="009C0335" w:rsidRPr="004A557F">
        <w:rPr>
          <w:rFonts w:eastAsiaTheme="minorEastAsia" w:cstheme="minorHAnsi"/>
          <w:sz w:val="24"/>
          <w:szCs w:val="24"/>
          <w:lang w:eastAsia="zh-CN"/>
        </w:rPr>
        <w:t xml:space="preserve">. </w:t>
      </w:r>
    </w:p>
    <w:p w14:paraId="1F55D90C" w14:textId="6F89E1C8" w:rsidR="00293C47" w:rsidRPr="004A557F" w:rsidRDefault="00C844BF"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 xml:space="preserve">4% of the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exposed</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cohort received a diagnosis of COPD (6% asthma, 6% IHD) in the initial six months</w:t>
      </w:r>
      <w:r w:rsidR="00A60F79" w:rsidRPr="004A557F">
        <w:rPr>
          <w:rFonts w:eastAsiaTheme="minorEastAsia" w:cstheme="minorHAnsi"/>
          <w:sz w:val="24"/>
          <w:szCs w:val="24"/>
          <w:lang w:eastAsia="zh-CN"/>
        </w:rPr>
        <w:t xml:space="preserve"> (diagnostic window)</w:t>
      </w:r>
      <w:r w:rsidRPr="004A557F">
        <w:rPr>
          <w:rFonts w:eastAsiaTheme="minorEastAsia" w:cstheme="minorHAnsi"/>
          <w:sz w:val="24"/>
          <w:szCs w:val="24"/>
          <w:lang w:eastAsia="zh-CN"/>
        </w:rPr>
        <w:t xml:space="preserve">. </w:t>
      </w:r>
      <w:r w:rsidR="003D5A8A" w:rsidRPr="004A557F">
        <w:rPr>
          <w:rFonts w:eastAsiaTheme="minorEastAsia" w:cstheme="minorHAnsi"/>
          <w:sz w:val="24"/>
          <w:szCs w:val="24"/>
          <w:lang w:eastAsia="zh-CN"/>
        </w:rPr>
        <w:t>B</w:t>
      </w:r>
      <w:r w:rsidRPr="004A557F">
        <w:rPr>
          <w:rFonts w:eastAsiaTheme="minorEastAsia" w:cstheme="minorHAnsi"/>
          <w:sz w:val="24"/>
          <w:szCs w:val="24"/>
          <w:lang w:eastAsia="zh-CN"/>
        </w:rPr>
        <w:t xml:space="preserve">etween 0.1% and 0.4% of the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unexposed</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cohort received one of these diagnoses</w:t>
      </w:r>
      <w:r w:rsidR="00A60F79" w:rsidRPr="004A557F">
        <w:rPr>
          <w:rFonts w:eastAsiaTheme="minorEastAsia" w:cstheme="minorHAnsi"/>
          <w:sz w:val="24"/>
          <w:szCs w:val="24"/>
          <w:lang w:eastAsia="zh-CN"/>
        </w:rPr>
        <w:t xml:space="preserve"> in this 6-month period (Table 2)</w:t>
      </w:r>
      <w:r w:rsidRPr="004A557F">
        <w:rPr>
          <w:rFonts w:eastAsiaTheme="minorEastAsia" w:cstheme="minorHAnsi"/>
          <w:sz w:val="24"/>
          <w:szCs w:val="24"/>
          <w:lang w:eastAsia="zh-CN"/>
        </w:rPr>
        <w:t>.</w:t>
      </w:r>
    </w:p>
    <w:p w14:paraId="1A91D208" w14:textId="2F7010D3" w:rsidR="00192E66" w:rsidRPr="004A557F" w:rsidRDefault="00D93B08"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In</w:t>
      </w:r>
      <w:r w:rsidR="00477023" w:rsidRPr="004A557F">
        <w:rPr>
          <w:rFonts w:eastAsiaTheme="minorEastAsia" w:cstheme="minorHAnsi"/>
          <w:sz w:val="24"/>
          <w:szCs w:val="24"/>
          <w:lang w:eastAsia="zh-CN"/>
        </w:rPr>
        <w:t xml:space="preserve"> the </w:t>
      </w:r>
      <w:r w:rsidR="000A7BC5" w:rsidRPr="004A557F">
        <w:rPr>
          <w:rFonts w:eastAsiaTheme="minorEastAsia" w:cstheme="minorHAnsi"/>
          <w:sz w:val="24"/>
          <w:szCs w:val="24"/>
          <w:lang w:eastAsia="zh-CN"/>
        </w:rPr>
        <w:t>long-term</w:t>
      </w:r>
      <w:r w:rsidR="00243807" w:rsidRPr="004A557F">
        <w:rPr>
          <w:rFonts w:eastAsiaTheme="minorEastAsia" w:cstheme="minorHAnsi"/>
          <w:sz w:val="24"/>
          <w:szCs w:val="24"/>
          <w:lang w:eastAsia="zh-CN"/>
        </w:rPr>
        <w:t xml:space="preserve"> (&gt;6 months)</w:t>
      </w:r>
      <w:r w:rsidR="00477023" w:rsidRPr="004A557F">
        <w:rPr>
          <w:rFonts w:eastAsiaTheme="minorEastAsia" w:cstheme="minorHAnsi"/>
          <w:sz w:val="24"/>
          <w:szCs w:val="24"/>
          <w:lang w:eastAsia="zh-CN"/>
        </w:rPr>
        <w:t xml:space="preserve">, incidence of COPD </w:t>
      </w:r>
      <w:r w:rsidR="00591FBA" w:rsidRPr="004A557F">
        <w:rPr>
          <w:rFonts w:eastAsiaTheme="minorEastAsia" w:cstheme="minorHAnsi"/>
          <w:sz w:val="24"/>
          <w:szCs w:val="24"/>
          <w:lang w:eastAsia="zh-CN"/>
        </w:rPr>
        <w:t xml:space="preserve">in the </w:t>
      </w:r>
      <w:r w:rsidR="00405562" w:rsidRPr="004A557F">
        <w:rPr>
          <w:rFonts w:eastAsiaTheme="minorEastAsia" w:cstheme="minorHAnsi"/>
          <w:sz w:val="24"/>
          <w:szCs w:val="24"/>
          <w:lang w:eastAsia="zh-CN"/>
        </w:rPr>
        <w:t>‘</w:t>
      </w:r>
      <w:r w:rsidR="00591FBA" w:rsidRPr="004A557F">
        <w:rPr>
          <w:rFonts w:eastAsiaTheme="minorEastAsia" w:cstheme="minorHAnsi"/>
          <w:sz w:val="24"/>
          <w:szCs w:val="24"/>
          <w:lang w:eastAsia="zh-CN"/>
        </w:rPr>
        <w:t>exposed</w:t>
      </w:r>
      <w:r w:rsidR="00405562" w:rsidRPr="004A557F">
        <w:rPr>
          <w:rFonts w:eastAsiaTheme="minorEastAsia" w:cstheme="minorHAnsi"/>
          <w:sz w:val="24"/>
          <w:szCs w:val="24"/>
          <w:lang w:eastAsia="zh-CN"/>
        </w:rPr>
        <w:t>’</w:t>
      </w:r>
      <w:r w:rsidR="00591FBA" w:rsidRPr="004A557F">
        <w:rPr>
          <w:rFonts w:eastAsiaTheme="minorEastAsia" w:cstheme="minorHAnsi"/>
          <w:sz w:val="24"/>
          <w:szCs w:val="24"/>
          <w:lang w:eastAsia="zh-CN"/>
        </w:rPr>
        <w:t xml:space="preserve"> cohort </w:t>
      </w:r>
      <w:r w:rsidR="00477023" w:rsidRPr="004A557F">
        <w:rPr>
          <w:rFonts w:eastAsiaTheme="minorEastAsia" w:cstheme="minorHAnsi"/>
          <w:sz w:val="24"/>
          <w:szCs w:val="24"/>
          <w:lang w:eastAsia="zh-CN"/>
        </w:rPr>
        <w:t xml:space="preserve">was </w:t>
      </w:r>
      <w:r w:rsidR="004C6989" w:rsidRPr="004A557F">
        <w:rPr>
          <w:rFonts w:eastAsiaTheme="minorEastAsia" w:cstheme="minorHAnsi"/>
          <w:sz w:val="24"/>
          <w:szCs w:val="24"/>
          <w:lang w:eastAsia="zh-CN"/>
        </w:rPr>
        <w:t>139</w:t>
      </w:r>
      <w:r w:rsidR="00477023" w:rsidRPr="004A557F">
        <w:rPr>
          <w:rFonts w:eastAsiaTheme="minorEastAsia" w:cstheme="minorHAnsi"/>
          <w:sz w:val="24"/>
          <w:szCs w:val="24"/>
          <w:lang w:eastAsia="zh-CN"/>
        </w:rPr>
        <w:t xml:space="preserve"> per 10,000 person-years (asthma </w:t>
      </w:r>
      <w:r w:rsidR="004C6989" w:rsidRPr="004A557F">
        <w:rPr>
          <w:rFonts w:eastAsiaTheme="minorEastAsia" w:cstheme="minorHAnsi"/>
          <w:sz w:val="24"/>
          <w:szCs w:val="24"/>
          <w:lang w:eastAsia="zh-CN"/>
        </w:rPr>
        <w:t>168</w:t>
      </w:r>
      <w:r w:rsidR="00477023" w:rsidRPr="004A557F">
        <w:rPr>
          <w:rFonts w:eastAsiaTheme="minorEastAsia" w:cstheme="minorHAnsi"/>
          <w:sz w:val="24"/>
          <w:szCs w:val="24"/>
          <w:lang w:eastAsia="zh-CN"/>
        </w:rPr>
        <w:t xml:space="preserve">/10,000; IHD </w:t>
      </w:r>
      <w:r w:rsidR="004C6989" w:rsidRPr="004A557F">
        <w:rPr>
          <w:rFonts w:eastAsiaTheme="minorEastAsia" w:cstheme="minorHAnsi"/>
          <w:sz w:val="24"/>
          <w:szCs w:val="24"/>
          <w:lang w:eastAsia="zh-CN"/>
        </w:rPr>
        <w:t>203</w:t>
      </w:r>
      <w:r w:rsidR="00477023" w:rsidRPr="004A557F">
        <w:rPr>
          <w:rFonts w:eastAsiaTheme="minorEastAsia" w:cstheme="minorHAnsi"/>
          <w:sz w:val="24"/>
          <w:szCs w:val="24"/>
          <w:lang w:eastAsia="zh-CN"/>
        </w:rPr>
        <w:t>/10,000)</w:t>
      </w:r>
      <w:r w:rsidR="00D934FE" w:rsidRPr="004A557F">
        <w:rPr>
          <w:rFonts w:eastAsiaTheme="minorEastAsia" w:cstheme="minorHAnsi"/>
          <w:sz w:val="24"/>
          <w:szCs w:val="24"/>
          <w:lang w:eastAsia="zh-CN"/>
        </w:rPr>
        <w:t>, and</w:t>
      </w:r>
      <w:r w:rsidR="00477023" w:rsidRPr="004A557F">
        <w:rPr>
          <w:rFonts w:eastAsiaTheme="minorEastAsia" w:cstheme="minorHAnsi"/>
          <w:sz w:val="24"/>
          <w:szCs w:val="24"/>
          <w:lang w:eastAsia="zh-CN"/>
        </w:rPr>
        <w:t xml:space="preserve"> in the </w:t>
      </w:r>
      <w:r w:rsidR="00405562" w:rsidRPr="004A557F">
        <w:rPr>
          <w:rFonts w:eastAsiaTheme="minorEastAsia" w:cstheme="minorHAnsi"/>
          <w:sz w:val="24"/>
          <w:szCs w:val="24"/>
          <w:lang w:eastAsia="zh-CN"/>
        </w:rPr>
        <w:t>‘</w:t>
      </w:r>
      <w:r w:rsidR="00477023" w:rsidRPr="004A557F">
        <w:rPr>
          <w:rFonts w:eastAsiaTheme="minorEastAsia" w:cstheme="minorHAnsi"/>
          <w:sz w:val="24"/>
          <w:szCs w:val="24"/>
          <w:lang w:eastAsia="zh-CN"/>
        </w:rPr>
        <w:t>unexposed</w:t>
      </w:r>
      <w:r w:rsidR="00405562" w:rsidRPr="004A557F">
        <w:rPr>
          <w:rFonts w:eastAsiaTheme="minorEastAsia" w:cstheme="minorHAnsi"/>
          <w:sz w:val="24"/>
          <w:szCs w:val="24"/>
          <w:lang w:eastAsia="zh-CN"/>
        </w:rPr>
        <w:t>’</w:t>
      </w:r>
      <w:r w:rsidR="00477023" w:rsidRPr="004A557F">
        <w:rPr>
          <w:rFonts w:eastAsiaTheme="minorEastAsia" w:cstheme="minorHAnsi"/>
          <w:sz w:val="24"/>
          <w:szCs w:val="24"/>
          <w:lang w:eastAsia="zh-CN"/>
        </w:rPr>
        <w:t xml:space="preserve"> cohort i</w:t>
      </w:r>
      <w:r w:rsidR="00591FBA" w:rsidRPr="004A557F">
        <w:rPr>
          <w:rFonts w:eastAsiaTheme="minorEastAsia" w:cstheme="minorHAnsi"/>
          <w:sz w:val="24"/>
          <w:szCs w:val="24"/>
          <w:lang w:eastAsia="zh-CN"/>
        </w:rPr>
        <w:t>t</w:t>
      </w:r>
      <w:r w:rsidR="00477023" w:rsidRPr="004A557F">
        <w:rPr>
          <w:rFonts w:eastAsiaTheme="minorEastAsia" w:cstheme="minorHAnsi"/>
          <w:sz w:val="24"/>
          <w:szCs w:val="24"/>
          <w:lang w:eastAsia="zh-CN"/>
        </w:rPr>
        <w:t xml:space="preserve"> was </w:t>
      </w:r>
      <w:r w:rsidR="004C6989" w:rsidRPr="004A557F">
        <w:rPr>
          <w:rFonts w:eastAsiaTheme="minorEastAsia" w:cstheme="minorHAnsi"/>
          <w:sz w:val="24"/>
          <w:szCs w:val="24"/>
          <w:lang w:eastAsia="zh-CN"/>
        </w:rPr>
        <w:t>37</w:t>
      </w:r>
      <w:r w:rsidR="00477023" w:rsidRPr="004A557F">
        <w:rPr>
          <w:rFonts w:eastAsiaTheme="minorEastAsia" w:cstheme="minorHAnsi"/>
          <w:sz w:val="24"/>
          <w:szCs w:val="24"/>
          <w:lang w:eastAsia="zh-CN"/>
        </w:rPr>
        <w:t xml:space="preserve">/10,000 person-years (asthma </w:t>
      </w:r>
      <w:r w:rsidR="004C6989" w:rsidRPr="004A557F">
        <w:rPr>
          <w:rFonts w:eastAsiaTheme="minorEastAsia" w:cstheme="minorHAnsi"/>
          <w:sz w:val="24"/>
          <w:szCs w:val="24"/>
          <w:lang w:eastAsia="zh-CN"/>
        </w:rPr>
        <w:t>27</w:t>
      </w:r>
      <w:r w:rsidR="00477023" w:rsidRPr="004A557F">
        <w:rPr>
          <w:rFonts w:eastAsiaTheme="minorEastAsia" w:cstheme="minorHAnsi"/>
          <w:sz w:val="24"/>
          <w:szCs w:val="24"/>
          <w:lang w:eastAsia="zh-CN"/>
        </w:rPr>
        <w:t xml:space="preserve">/10,000; IHD </w:t>
      </w:r>
      <w:r w:rsidR="004C6989" w:rsidRPr="004A557F">
        <w:rPr>
          <w:rFonts w:eastAsiaTheme="minorEastAsia" w:cstheme="minorHAnsi"/>
          <w:sz w:val="24"/>
          <w:szCs w:val="24"/>
          <w:lang w:eastAsia="zh-CN"/>
        </w:rPr>
        <w:t>107</w:t>
      </w:r>
      <w:r w:rsidR="00477023" w:rsidRPr="004A557F">
        <w:rPr>
          <w:rFonts w:eastAsiaTheme="minorEastAsia" w:cstheme="minorHAnsi"/>
          <w:sz w:val="24"/>
          <w:szCs w:val="24"/>
          <w:lang w:eastAsia="zh-CN"/>
        </w:rPr>
        <w:t>/10,000)</w:t>
      </w:r>
      <w:r w:rsidR="004C6989" w:rsidRPr="004A557F">
        <w:rPr>
          <w:rFonts w:eastAsiaTheme="minorEastAsia" w:cstheme="minorHAnsi"/>
          <w:sz w:val="24"/>
          <w:szCs w:val="24"/>
          <w:lang w:eastAsia="zh-CN"/>
        </w:rPr>
        <w:t xml:space="preserve"> (Table 2)</w:t>
      </w:r>
      <w:r w:rsidR="00A164F6"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L</w:t>
      </w:r>
      <w:r w:rsidR="00473E46" w:rsidRPr="004A557F">
        <w:rPr>
          <w:rFonts w:eastAsiaTheme="minorEastAsia" w:cstheme="minorHAnsi"/>
          <w:sz w:val="24"/>
          <w:szCs w:val="24"/>
          <w:lang w:eastAsia="zh-CN"/>
        </w:rPr>
        <w:t>ong-term e</w:t>
      </w:r>
      <w:r w:rsidR="0006573C" w:rsidRPr="004A557F">
        <w:rPr>
          <w:rFonts w:eastAsiaTheme="minorEastAsia" w:cstheme="minorHAnsi"/>
          <w:sz w:val="24"/>
          <w:szCs w:val="24"/>
          <w:lang w:eastAsia="zh-CN"/>
        </w:rPr>
        <w:t>xcess r</w:t>
      </w:r>
      <w:r w:rsidR="001E71BE" w:rsidRPr="004A557F">
        <w:rPr>
          <w:rFonts w:eastAsiaTheme="minorEastAsia" w:cstheme="minorHAnsi"/>
          <w:sz w:val="24"/>
          <w:szCs w:val="24"/>
          <w:lang w:eastAsia="zh-CN"/>
        </w:rPr>
        <w:t xml:space="preserve">isk of </w:t>
      </w:r>
      <w:r w:rsidR="00144645" w:rsidRPr="004A557F">
        <w:rPr>
          <w:rFonts w:eastAsiaTheme="minorEastAsia" w:cstheme="minorHAnsi"/>
          <w:sz w:val="24"/>
          <w:szCs w:val="24"/>
          <w:lang w:eastAsia="zh-CN"/>
        </w:rPr>
        <w:t xml:space="preserve">all 3 diagnoses </w:t>
      </w:r>
      <w:r w:rsidR="0006573C" w:rsidRPr="004A557F">
        <w:rPr>
          <w:rFonts w:eastAsiaTheme="minorEastAsia" w:cstheme="minorHAnsi"/>
          <w:sz w:val="24"/>
          <w:szCs w:val="24"/>
          <w:lang w:eastAsia="zh-CN"/>
        </w:rPr>
        <w:t>for those</w:t>
      </w:r>
      <w:r w:rsidR="000703DC" w:rsidRPr="004A557F">
        <w:rPr>
          <w:rFonts w:eastAsiaTheme="minorEastAsia" w:cstheme="minorHAnsi"/>
          <w:sz w:val="24"/>
          <w:szCs w:val="24"/>
          <w:lang w:eastAsia="zh-CN"/>
        </w:rPr>
        <w:t xml:space="preserve"> in the </w:t>
      </w:r>
      <w:r w:rsidR="00405562" w:rsidRPr="004A557F">
        <w:rPr>
          <w:rFonts w:eastAsiaTheme="minorEastAsia" w:cstheme="minorHAnsi"/>
          <w:sz w:val="24"/>
          <w:szCs w:val="24"/>
          <w:lang w:eastAsia="zh-CN"/>
        </w:rPr>
        <w:t>‘</w:t>
      </w:r>
      <w:r w:rsidR="000703DC" w:rsidRPr="004A557F">
        <w:rPr>
          <w:rFonts w:eastAsiaTheme="minorEastAsia" w:cstheme="minorHAnsi"/>
          <w:sz w:val="24"/>
          <w:szCs w:val="24"/>
          <w:lang w:eastAsia="zh-CN"/>
        </w:rPr>
        <w:t>exposed</w:t>
      </w:r>
      <w:r w:rsidR="00405562" w:rsidRPr="004A557F">
        <w:rPr>
          <w:rFonts w:eastAsiaTheme="minorEastAsia" w:cstheme="minorHAnsi"/>
          <w:sz w:val="24"/>
          <w:szCs w:val="24"/>
          <w:lang w:eastAsia="zh-CN"/>
        </w:rPr>
        <w:t>’</w:t>
      </w:r>
      <w:r w:rsidR="000703DC" w:rsidRPr="004A557F">
        <w:rPr>
          <w:rFonts w:eastAsiaTheme="minorEastAsia" w:cstheme="minorHAnsi"/>
          <w:sz w:val="24"/>
          <w:szCs w:val="24"/>
          <w:lang w:eastAsia="zh-CN"/>
        </w:rPr>
        <w:t xml:space="preserve"> cohort</w:t>
      </w:r>
      <w:r w:rsidR="00A60F79" w:rsidRPr="004A557F">
        <w:rPr>
          <w:rFonts w:eastAsiaTheme="minorEastAsia" w:cstheme="minorHAnsi"/>
          <w:sz w:val="24"/>
          <w:szCs w:val="24"/>
          <w:lang w:eastAsia="zh-CN"/>
        </w:rPr>
        <w:t xml:space="preserve"> was evident</w:t>
      </w:r>
      <w:r w:rsidR="00DB5E1D" w:rsidRPr="004A557F">
        <w:rPr>
          <w:rFonts w:eastAsiaTheme="minorEastAsia" w:cstheme="minorHAnsi"/>
          <w:sz w:val="24"/>
          <w:szCs w:val="24"/>
          <w:lang w:eastAsia="zh-CN"/>
        </w:rPr>
        <w:t>.</w:t>
      </w:r>
      <w:r w:rsidR="00473E46" w:rsidRPr="004A557F">
        <w:rPr>
          <w:rFonts w:eastAsiaTheme="minorEastAsia" w:cstheme="minorHAnsi"/>
          <w:sz w:val="24"/>
          <w:szCs w:val="24"/>
          <w:lang w:eastAsia="zh-CN"/>
        </w:rPr>
        <w:t xml:space="preserve"> T</w:t>
      </w:r>
      <w:r w:rsidR="004B3453" w:rsidRPr="004A557F">
        <w:rPr>
          <w:rFonts w:eastAsiaTheme="minorEastAsia" w:cstheme="minorHAnsi"/>
          <w:sz w:val="24"/>
          <w:szCs w:val="24"/>
          <w:lang w:eastAsia="zh-CN"/>
        </w:rPr>
        <w:t xml:space="preserve">his risk </w:t>
      </w:r>
      <w:r w:rsidR="00477023" w:rsidRPr="004A557F">
        <w:rPr>
          <w:rFonts w:eastAsiaTheme="minorEastAsia" w:cstheme="minorHAnsi"/>
          <w:sz w:val="24"/>
          <w:szCs w:val="24"/>
          <w:lang w:eastAsia="zh-CN"/>
        </w:rPr>
        <w:t xml:space="preserve">reduced over time </w:t>
      </w:r>
      <w:r w:rsidR="004B3453" w:rsidRPr="004A557F">
        <w:rPr>
          <w:rFonts w:eastAsiaTheme="minorEastAsia" w:cstheme="minorHAnsi"/>
          <w:sz w:val="24"/>
          <w:szCs w:val="24"/>
          <w:lang w:eastAsia="zh-CN"/>
        </w:rPr>
        <w:t>but remained statistically significant</w:t>
      </w:r>
      <w:r w:rsidR="00477023" w:rsidRPr="004A557F">
        <w:rPr>
          <w:rFonts w:eastAsiaTheme="minorEastAsia" w:cstheme="minorHAnsi"/>
          <w:sz w:val="24"/>
          <w:szCs w:val="24"/>
          <w:lang w:eastAsia="zh-CN"/>
        </w:rPr>
        <w:t>. For COPD the adjusted HR</w:t>
      </w:r>
      <w:r w:rsidR="000E547B" w:rsidRPr="004A557F">
        <w:rPr>
          <w:rFonts w:eastAsiaTheme="minorEastAsia" w:cstheme="minorHAnsi"/>
          <w:sz w:val="24"/>
          <w:szCs w:val="24"/>
          <w:lang w:eastAsia="zh-CN"/>
        </w:rPr>
        <w:t xml:space="preserve"> ranged from</w:t>
      </w:r>
      <w:r w:rsidR="00441610" w:rsidRPr="004A557F">
        <w:rPr>
          <w:rFonts w:eastAsiaTheme="minorEastAsia" w:cstheme="minorHAnsi"/>
          <w:sz w:val="24"/>
          <w:szCs w:val="24"/>
          <w:lang w:eastAsia="zh-CN"/>
        </w:rPr>
        <w:t xml:space="preserve"> 8.6</w:t>
      </w:r>
      <w:r w:rsidR="000E547B" w:rsidRPr="004A557F">
        <w:rPr>
          <w:rFonts w:eastAsiaTheme="minorEastAsia" w:cstheme="minorHAnsi"/>
          <w:sz w:val="24"/>
          <w:szCs w:val="24"/>
          <w:lang w:eastAsia="zh-CN"/>
        </w:rPr>
        <w:t xml:space="preserve"> (95% CI</w:t>
      </w:r>
      <w:r w:rsidR="00441610" w:rsidRPr="004A557F">
        <w:rPr>
          <w:rFonts w:eastAsiaTheme="minorEastAsia" w:cstheme="minorHAnsi"/>
          <w:sz w:val="24"/>
          <w:szCs w:val="24"/>
          <w:lang w:eastAsia="zh-CN"/>
        </w:rPr>
        <w:t xml:space="preserve"> 6.8, 11.0</w:t>
      </w:r>
      <w:r w:rsidR="000E547B" w:rsidRPr="004A557F">
        <w:rPr>
          <w:rFonts w:eastAsiaTheme="minorEastAsia" w:cstheme="minorHAnsi"/>
          <w:sz w:val="24"/>
          <w:szCs w:val="24"/>
          <w:lang w:eastAsia="zh-CN"/>
        </w:rPr>
        <w:t xml:space="preserve">) between </w:t>
      </w:r>
      <w:r w:rsidR="00441610" w:rsidRPr="004A557F">
        <w:rPr>
          <w:rFonts w:eastAsiaTheme="minorEastAsia" w:cstheme="minorHAnsi"/>
          <w:sz w:val="24"/>
          <w:szCs w:val="24"/>
          <w:lang w:eastAsia="zh-CN"/>
        </w:rPr>
        <w:t>6</w:t>
      </w:r>
      <w:r w:rsidR="000E547B" w:rsidRPr="004A557F">
        <w:rPr>
          <w:rFonts w:eastAsiaTheme="minorEastAsia" w:cstheme="minorHAnsi"/>
          <w:sz w:val="24"/>
          <w:szCs w:val="24"/>
          <w:lang w:eastAsia="zh-CN"/>
        </w:rPr>
        <w:t xml:space="preserve"> and 12 months</w:t>
      </w:r>
      <w:r w:rsidR="006900F6" w:rsidRPr="004A557F">
        <w:rPr>
          <w:rFonts w:eastAsiaTheme="minorEastAsia" w:cstheme="minorHAnsi"/>
          <w:sz w:val="24"/>
          <w:szCs w:val="24"/>
          <w:lang w:eastAsia="zh-CN"/>
        </w:rPr>
        <w:t xml:space="preserve"> after index date</w:t>
      </w:r>
      <w:r w:rsidR="000E547B" w:rsidRPr="004A557F">
        <w:rPr>
          <w:rFonts w:eastAsiaTheme="minorEastAsia" w:cstheme="minorHAnsi"/>
          <w:sz w:val="24"/>
          <w:szCs w:val="24"/>
          <w:lang w:eastAsia="zh-CN"/>
        </w:rPr>
        <w:t xml:space="preserve"> to </w:t>
      </w:r>
      <w:r w:rsidR="00477023" w:rsidRPr="004A557F">
        <w:rPr>
          <w:rFonts w:eastAsiaTheme="minorEastAsia" w:cstheme="minorHAnsi"/>
          <w:sz w:val="24"/>
          <w:szCs w:val="24"/>
          <w:lang w:eastAsia="zh-CN"/>
        </w:rPr>
        <w:t>2.8 (95% CI 2.6, 3.0)</w:t>
      </w:r>
      <w:r w:rsidR="000E547B" w:rsidRPr="004A557F">
        <w:rPr>
          <w:rFonts w:eastAsiaTheme="minorEastAsia" w:cstheme="minorHAnsi"/>
          <w:sz w:val="24"/>
          <w:szCs w:val="24"/>
          <w:lang w:eastAsia="zh-CN"/>
        </w:rPr>
        <w:t xml:space="preserve"> </w:t>
      </w:r>
      <w:r w:rsidR="001E3547" w:rsidRPr="004A557F">
        <w:rPr>
          <w:rFonts w:eastAsiaTheme="minorEastAsia" w:cstheme="minorHAnsi"/>
          <w:sz w:val="24"/>
          <w:szCs w:val="24"/>
          <w:lang w:eastAsia="zh-CN"/>
        </w:rPr>
        <w:t>after 36 months</w:t>
      </w:r>
      <w:r w:rsidR="00664D86" w:rsidRPr="004A557F">
        <w:rPr>
          <w:rFonts w:eastAsiaTheme="minorEastAsia" w:cstheme="minorHAnsi"/>
          <w:sz w:val="24"/>
          <w:szCs w:val="24"/>
          <w:lang w:eastAsia="zh-CN"/>
        </w:rPr>
        <w:t>.</w:t>
      </w:r>
      <w:r w:rsidR="00441610" w:rsidRPr="004A557F">
        <w:rPr>
          <w:rFonts w:eastAsiaTheme="minorEastAsia" w:cstheme="minorHAnsi"/>
          <w:sz w:val="24"/>
          <w:szCs w:val="24"/>
          <w:lang w:eastAsia="zh-CN"/>
        </w:rPr>
        <w:t xml:space="preserve"> </w:t>
      </w:r>
      <w:r w:rsidR="001677B4" w:rsidRPr="004A557F">
        <w:rPr>
          <w:rFonts w:eastAsiaTheme="minorEastAsia" w:cstheme="minorHAnsi"/>
          <w:sz w:val="24"/>
          <w:szCs w:val="24"/>
          <w:lang w:eastAsia="zh-CN"/>
        </w:rPr>
        <w:t>Adjusted HR</w:t>
      </w:r>
      <w:r w:rsidR="00DC2D4E" w:rsidRPr="004A557F">
        <w:rPr>
          <w:rFonts w:eastAsiaTheme="minorEastAsia" w:cstheme="minorHAnsi"/>
          <w:sz w:val="24"/>
          <w:szCs w:val="24"/>
          <w:lang w:eastAsia="zh-CN"/>
        </w:rPr>
        <w:t xml:space="preserve"> for asthma ranged from 11.7 (95% CI 9.4, 14.6) to 4.3 (95% CI 3.9, 4.6), and for IHD from 3.0 (95% CI 2.7, 3.4) to 1.6 (95% CI 1.5, 1.7)</w:t>
      </w:r>
      <w:r w:rsidR="00CD0106" w:rsidRPr="004A557F">
        <w:rPr>
          <w:rFonts w:eastAsiaTheme="minorEastAsia" w:cstheme="minorHAnsi"/>
          <w:sz w:val="24"/>
          <w:szCs w:val="24"/>
          <w:lang w:eastAsia="zh-CN"/>
        </w:rPr>
        <w:t xml:space="preserve"> (Table 2)</w:t>
      </w:r>
      <w:r w:rsidR="00DC2D4E" w:rsidRPr="004A557F">
        <w:rPr>
          <w:rFonts w:eastAsiaTheme="minorEastAsia" w:cstheme="minorHAnsi"/>
          <w:sz w:val="24"/>
          <w:szCs w:val="24"/>
          <w:lang w:eastAsia="zh-CN"/>
        </w:rPr>
        <w:t xml:space="preserve">. </w:t>
      </w:r>
    </w:p>
    <w:p w14:paraId="446D575A" w14:textId="2F43D166" w:rsidR="00B6705A" w:rsidRPr="004A557F" w:rsidRDefault="00B6705A"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lastRenderedPageBreak/>
        <w:t>The findings were similar in both strata when stratifying by smoking status (Supplementary Table</w:t>
      </w:r>
      <w:r w:rsidR="00D83510" w:rsidRPr="004A557F">
        <w:rPr>
          <w:rFonts w:eastAsiaTheme="minorEastAsia" w:cstheme="minorHAnsi"/>
          <w:sz w:val="24"/>
          <w:szCs w:val="24"/>
          <w:lang w:eastAsia="zh-CN"/>
        </w:rPr>
        <w:t xml:space="preserve"> 3</w:t>
      </w:r>
      <w:r w:rsidRPr="004A557F">
        <w:rPr>
          <w:rFonts w:eastAsiaTheme="minorEastAsia" w:cstheme="minorHAnsi"/>
          <w:sz w:val="24"/>
          <w:szCs w:val="24"/>
          <w:lang w:eastAsia="zh-CN"/>
        </w:rPr>
        <w:t xml:space="preserve">). </w:t>
      </w:r>
    </w:p>
    <w:p w14:paraId="7A8FF719" w14:textId="0E64C8BB" w:rsidR="00D86A74" w:rsidRPr="004A557F" w:rsidRDefault="00D86A74" w:rsidP="004A557F">
      <w:pPr>
        <w:spacing w:line="480" w:lineRule="auto"/>
        <w:rPr>
          <w:rFonts w:eastAsiaTheme="minorEastAsia" w:cstheme="minorHAnsi"/>
          <w:i/>
          <w:sz w:val="24"/>
          <w:szCs w:val="24"/>
          <w:lang w:eastAsia="zh-CN"/>
        </w:rPr>
      </w:pPr>
      <w:r w:rsidRPr="004A557F">
        <w:rPr>
          <w:rFonts w:eastAsiaTheme="minorEastAsia" w:cstheme="minorHAnsi"/>
          <w:i/>
          <w:sz w:val="24"/>
          <w:szCs w:val="24"/>
          <w:lang w:eastAsia="zh-CN"/>
        </w:rPr>
        <w:t>Risk of diagnos</w:t>
      </w:r>
      <w:r w:rsidR="0017268A" w:rsidRPr="004A557F">
        <w:rPr>
          <w:rFonts w:eastAsiaTheme="minorEastAsia" w:cstheme="minorHAnsi"/>
          <w:i/>
          <w:sz w:val="24"/>
          <w:szCs w:val="24"/>
          <w:lang w:eastAsia="zh-CN"/>
        </w:rPr>
        <w:t>i</w:t>
      </w:r>
      <w:r w:rsidR="003D5A8A" w:rsidRPr="004A557F">
        <w:rPr>
          <w:rFonts w:eastAsiaTheme="minorEastAsia" w:cstheme="minorHAnsi"/>
          <w:i/>
          <w:sz w:val="24"/>
          <w:szCs w:val="24"/>
          <w:lang w:eastAsia="zh-CN"/>
        </w:rPr>
        <w:t>s</w:t>
      </w:r>
      <w:r w:rsidR="00B6705A" w:rsidRPr="004A557F">
        <w:rPr>
          <w:rFonts w:eastAsiaTheme="minorEastAsia" w:cstheme="minorHAnsi"/>
          <w:i/>
          <w:sz w:val="24"/>
          <w:szCs w:val="24"/>
          <w:lang w:eastAsia="zh-CN"/>
        </w:rPr>
        <w:t xml:space="preserve"> in those </w:t>
      </w:r>
      <w:r w:rsidR="00D83510" w:rsidRPr="004A557F">
        <w:rPr>
          <w:rFonts w:eastAsiaTheme="minorEastAsia" w:cstheme="minorHAnsi"/>
          <w:i/>
          <w:sz w:val="24"/>
          <w:szCs w:val="24"/>
          <w:lang w:eastAsia="zh-CN"/>
        </w:rPr>
        <w:t>with no</w:t>
      </w:r>
      <w:r w:rsidRPr="004A557F">
        <w:rPr>
          <w:rFonts w:eastAsiaTheme="minorEastAsia" w:cstheme="minorHAnsi"/>
          <w:i/>
          <w:sz w:val="24"/>
          <w:szCs w:val="24"/>
          <w:lang w:eastAsia="zh-CN"/>
        </w:rPr>
        <w:t xml:space="preserve"> management within initial six months  </w:t>
      </w:r>
    </w:p>
    <w:p w14:paraId="52C9CD62" w14:textId="21FFDFB4" w:rsidR="00D86A74" w:rsidRPr="004A557F" w:rsidRDefault="00D86A74"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 xml:space="preserve">Within the first 6 months after index date (and before any relevant diagnosis), 35% of the </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exposed</w:t>
      </w:r>
      <w:r w:rsidR="00405562"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cohort received COPD/asthma medication, and 34% </w:t>
      </w:r>
      <w:r w:rsidR="00F24B55" w:rsidRPr="004A557F">
        <w:rPr>
          <w:rFonts w:eastAsiaTheme="minorEastAsia" w:cstheme="minorHAnsi"/>
          <w:sz w:val="24"/>
          <w:szCs w:val="24"/>
          <w:lang w:eastAsia="zh-CN"/>
        </w:rPr>
        <w:t xml:space="preserve">received </w:t>
      </w:r>
      <w:r w:rsidRPr="004A557F">
        <w:rPr>
          <w:rFonts w:eastAsiaTheme="minorEastAsia" w:cstheme="minorHAnsi"/>
          <w:sz w:val="24"/>
          <w:szCs w:val="24"/>
          <w:lang w:eastAsia="zh-CN"/>
        </w:rPr>
        <w:t>IHD medication. In those who received a COPD diagnosis at any time during follow-up, 53% received a relevant prescription in the first six months and prior to a diagnosis, compared with 32% in those without a COPD diagnosis (71% vs. 28% for asthma; 56% vs. 30% for IHD)</w:t>
      </w:r>
      <w:r w:rsidR="00632A03">
        <w:rPr>
          <w:rFonts w:eastAsiaTheme="minorEastAsia" w:cstheme="minorHAnsi"/>
          <w:sz w:val="24"/>
          <w:szCs w:val="24"/>
          <w:lang w:eastAsia="zh-CN"/>
        </w:rPr>
        <w:t xml:space="preserve"> (Table 3)</w:t>
      </w:r>
      <w:r w:rsidRPr="004A557F">
        <w:rPr>
          <w:rFonts w:eastAsiaTheme="minorEastAsia" w:cstheme="minorHAnsi"/>
          <w:sz w:val="24"/>
          <w:szCs w:val="24"/>
          <w:lang w:eastAsia="zh-CN"/>
        </w:rPr>
        <w:t xml:space="preserve">. </w:t>
      </w:r>
    </w:p>
    <w:p w14:paraId="10D8E8FC" w14:textId="5BDE6D50" w:rsidR="007C0522" w:rsidRPr="004A557F" w:rsidRDefault="00D01745" w:rsidP="004A557F">
      <w:pPr>
        <w:spacing w:before="240" w:line="480" w:lineRule="auto"/>
        <w:rPr>
          <w:rFonts w:eastAsiaTheme="minorEastAsia" w:cstheme="minorHAnsi"/>
          <w:sz w:val="24"/>
          <w:szCs w:val="24"/>
          <w:lang w:eastAsia="zh-CN"/>
        </w:rPr>
      </w:pPr>
      <w:r w:rsidRPr="004A557F">
        <w:rPr>
          <w:rFonts w:eastAsiaTheme="minorEastAsia" w:cstheme="minorHAnsi"/>
          <w:sz w:val="24"/>
          <w:szCs w:val="24"/>
          <w:lang w:eastAsia="zh-CN"/>
        </w:rPr>
        <w:t xml:space="preserve">Patients </w:t>
      </w:r>
      <w:r w:rsidR="00523C5A" w:rsidRPr="004A557F">
        <w:rPr>
          <w:rFonts w:eastAsiaTheme="minorEastAsia" w:cstheme="minorHAnsi"/>
          <w:sz w:val="24"/>
          <w:szCs w:val="24"/>
          <w:lang w:eastAsia="zh-CN"/>
        </w:rPr>
        <w:t xml:space="preserve">with no relevant prescribing </w:t>
      </w:r>
      <w:r w:rsidR="00CE5B7A" w:rsidRPr="004A557F">
        <w:rPr>
          <w:rFonts w:eastAsiaTheme="minorEastAsia" w:cstheme="minorHAnsi"/>
          <w:sz w:val="24"/>
          <w:szCs w:val="24"/>
          <w:lang w:eastAsia="zh-CN"/>
        </w:rPr>
        <w:t xml:space="preserve">in </w:t>
      </w:r>
      <w:r w:rsidR="00A36637" w:rsidRPr="004A557F">
        <w:rPr>
          <w:rFonts w:eastAsiaTheme="minorEastAsia" w:cstheme="minorHAnsi"/>
          <w:sz w:val="24"/>
          <w:szCs w:val="24"/>
          <w:lang w:eastAsia="zh-CN"/>
        </w:rPr>
        <w:t xml:space="preserve">the </w:t>
      </w:r>
      <w:r w:rsidR="00CE5B7A" w:rsidRPr="004A557F">
        <w:rPr>
          <w:rFonts w:eastAsiaTheme="minorEastAsia" w:cstheme="minorHAnsi"/>
          <w:sz w:val="24"/>
          <w:szCs w:val="24"/>
          <w:lang w:eastAsia="zh-CN"/>
        </w:rPr>
        <w:t xml:space="preserve">first six months after index date </w:t>
      </w:r>
      <w:r w:rsidRPr="004A557F">
        <w:rPr>
          <w:rFonts w:eastAsiaTheme="minorEastAsia" w:cstheme="minorHAnsi"/>
          <w:sz w:val="24"/>
          <w:szCs w:val="24"/>
          <w:lang w:eastAsia="zh-CN"/>
        </w:rPr>
        <w:t xml:space="preserve">still </w:t>
      </w:r>
      <w:r w:rsidR="00644327" w:rsidRPr="004A557F">
        <w:rPr>
          <w:rFonts w:eastAsiaTheme="minorEastAsia" w:cstheme="minorHAnsi"/>
          <w:sz w:val="24"/>
          <w:szCs w:val="24"/>
          <w:lang w:eastAsia="zh-CN"/>
        </w:rPr>
        <w:t>had a</w:t>
      </w:r>
      <w:r w:rsidR="00BF0367" w:rsidRPr="004A557F">
        <w:rPr>
          <w:rFonts w:eastAsiaTheme="minorEastAsia" w:cstheme="minorHAnsi"/>
          <w:sz w:val="24"/>
          <w:szCs w:val="24"/>
          <w:lang w:eastAsia="zh-CN"/>
        </w:rPr>
        <w:t>n</w:t>
      </w:r>
      <w:r w:rsidR="00CE5B7A" w:rsidRPr="004A557F">
        <w:rPr>
          <w:rFonts w:eastAsiaTheme="minorEastAsia" w:cstheme="minorHAnsi"/>
          <w:sz w:val="24"/>
          <w:szCs w:val="24"/>
          <w:lang w:eastAsia="zh-CN"/>
        </w:rPr>
        <w:t xml:space="preserve"> </w:t>
      </w:r>
      <w:r w:rsidR="00BF0367" w:rsidRPr="004A557F">
        <w:rPr>
          <w:rFonts w:eastAsiaTheme="minorEastAsia" w:cstheme="minorHAnsi"/>
          <w:sz w:val="24"/>
          <w:szCs w:val="24"/>
          <w:lang w:eastAsia="zh-CN"/>
        </w:rPr>
        <w:t xml:space="preserve">increased </w:t>
      </w:r>
      <w:r w:rsidR="00CE5B7A" w:rsidRPr="004A557F">
        <w:rPr>
          <w:rFonts w:eastAsiaTheme="minorEastAsia" w:cstheme="minorHAnsi"/>
          <w:sz w:val="24"/>
          <w:szCs w:val="24"/>
          <w:lang w:eastAsia="zh-CN"/>
        </w:rPr>
        <w:t>long-term risk for all 3 diagnoses</w:t>
      </w:r>
      <w:r w:rsidR="003C0297" w:rsidRPr="004A557F">
        <w:rPr>
          <w:rFonts w:eastAsiaTheme="minorEastAsia" w:cstheme="minorHAnsi"/>
          <w:sz w:val="24"/>
          <w:szCs w:val="24"/>
          <w:lang w:eastAsia="zh-CN"/>
        </w:rPr>
        <w:t xml:space="preserve"> </w:t>
      </w:r>
      <w:r w:rsidR="00644327" w:rsidRPr="004A557F">
        <w:rPr>
          <w:rFonts w:eastAsiaTheme="minorEastAsia" w:cstheme="minorHAnsi"/>
          <w:sz w:val="24"/>
          <w:szCs w:val="24"/>
          <w:lang w:eastAsia="zh-CN"/>
        </w:rPr>
        <w:t xml:space="preserve">compared to the </w:t>
      </w:r>
      <w:r w:rsidR="00405562" w:rsidRPr="004A557F">
        <w:rPr>
          <w:rFonts w:eastAsiaTheme="minorEastAsia" w:cstheme="minorHAnsi"/>
          <w:sz w:val="24"/>
          <w:szCs w:val="24"/>
          <w:lang w:eastAsia="zh-CN"/>
        </w:rPr>
        <w:t>‘</w:t>
      </w:r>
      <w:r w:rsidR="00644327" w:rsidRPr="004A557F">
        <w:rPr>
          <w:rFonts w:eastAsiaTheme="minorEastAsia" w:cstheme="minorHAnsi"/>
          <w:sz w:val="24"/>
          <w:szCs w:val="24"/>
          <w:lang w:eastAsia="zh-CN"/>
        </w:rPr>
        <w:t>unexposed</w:t>
      </w:r>
      <w:r w:rsidR="00405562" w:rsidRPr="004A557F">
        <w:rPr>
          <w:rFonts w:eastAsiaTheme="minorEastAsia" w:cstheme="minorHAnsi"/>
          <w:sz w:val="24"/>
          <w:szCs w:val="24"/>
          <w:lang w:eastAsia="zh-CN"/>
        </w:rPr>
        <w:t>’</w:t>
      </w:r>
      <w:r w:rsidR="00644327" w:rsidRPr="004A557F">
        <w:rPr>
          <w:rFonts w:eastAsiaTheme="minorEastAsia" w:cstheme="minorHAnsi"/>
          <w:sz w:val="24"/>
          <w:szCs w:val="24"/>
          <w:lang w:eastAsia="zh-CN"/>
        </w:rPr>
        <w:t xml:space="preserve"> cohort</w:t>
      </w:r>
      <w:r w:rsidR="004A1104" w:rsidRPr="004A557F">
        <w:rPr>
          <w:rFonts w:eastAsiaTheme="minorEastAsia" w:cstheme="minorHAnsi"/>
          <w:sz w:val="24"/>
          <w:szCs w:val="24"/>
          <w:lang w:eastAsia="zh-CN"/>
        </w:rPr>
        <w:t>, although</w:t>
      </w:r>
      <w:r w:rsidR="00A84BC9" w:rsidRPr="004A557F">
        <w:rPr>
          <w:rFonts w:eastAsiaTheme="minorEastAsia" w:cstheme="minorHAnsi"/>
          <w:sz w:val="24"/>
          <w:szCs w:val="24"/>
          <w:lang w:eastAsia="zh-CN"/>
        </w:rPr>
        <w:t xml:space="preserve"> at</w:t>
      </w:r>
      <w:r w:rsidR="004A1104" w:rsidRPr="004A557F">
        <w:rPr>
          <w:rFonts w:eastAsiaTheme="minorEastAsia" w:cstheme="minorHAnsi"/>
          <w:sz w:val="24"/>
          <w:szCs w:val="24"/>
          <w:lang w:eastAsia="zh-CN"/>
        </w:rPr>
        <w:t xml:space="preserve"> lower risk than those</w:t>
      </w:r>
      <w:r w:rsidR="00A84BC9" w:rsidRPr="004A557F">
        <w:rPr>
          <w:rFonts w:eastAsiaTheme="minorEastAsia" w:cstheme="minorHAnsi"/>
          <w:sz w:val="24"/>
          <w:szCs w:val="24"/>
          <w:lang w:eastAsia="zh-CN"/>
        </w:rPr>
        <w:t xml:space="preserve"> who</w:t>
      </w:r>
      <w:r w:rsidR="00216D8B" w:rsidRPr="004A557F">
        <w:rPr>
          <w:rFonts w:eastAsiaTheme="minorEastAsia" w:cstheme="minorHAnsi"/>
          <w:sz w:val="24"/>
          <w:szCs w:val="24"/>
          <w:lang w:eastAsia="zh-CN"/>
        </w:rPr>
        <w:t xml:space="preserve"> </w:t>
      </w:r>
      <w:r w:rsidR="004A1104" w:rsidRPr="004A557F">
        <w:rPr>
          <w:rFonts w:eastAsiaTheme="minorEastAsia" w:cstheme="minorHAnsi"/>
          <w:sz w:val="24"/>
          <w:szCs w:val="24"/>
          <w:lang w:eastAsia="zh-CN"/>
        </w:rPr>
        <w:t>ha</w:t>
      </w:r>
      <w:r w:rsidR="00A84BC9" w:rsidRPr="004A557F">
        <w:rPr>
          <w:rFonts w:eastAsiaTheme="minorEastAsia" w:cstheme="minorHAnsi"/>
          <w:sz w:val="24"/>
          <w:szCs w:val="24"/>
          <w:lang w:eastAsia="zh-CN"/>
        </w:rPr>
        <w:t>d</w:t>
      </w:r>
      <w:r w:rsidR="004A1104" w:rsidRPr="004A557F">
        <w:rPr>
          <w:rFonts w:eastAsiaTheme="minorEastAsia" w:cstheme="minorHAnsi"/>
          <w:sz w:val="24"/>
          <w:szCs w:val="24"/>
          <w:lang w:eastAsia="zh-CN"/>
        </w:rPr>
        <w:t xml:space="preserve"> been prescribed relevant medication</w:t>
      </w:r>
      <w:r w:rsidR="00644327" w:rsidRPr="004A557F">
        <w:rPr>
          <w:rFonts w:eastAsiaTheme="minorEastAsia" w:cstheme="minorHAnsi"/>
          <w:sz w:val="24"/>
          <w:szCs w:val="24"/>
          <w:lang w:eastAsia="zh-CN"/>
        </w:rPr>
        <w:t xml:space="preserve"> </w:t>
      </w:r>
      <w:r w:rsidR="003C0297" w:rsidRPr="004A557F">
        <w:rPr>
          <w:rFonts w:eastAsiaTheme="minorEastAsia" w:cstheme="minorHAnsi"/>
          <w:sz w:val="24"/>
          <w:szCs w:val="24"/>
          <w:lang w:eastAsia="zh-CN"/>
        </w:rPr>
        <w:t xml:space="preserve">(Table </w:t>
      </w:r>
      <w:r w:rsidR="00F57C5E" w:rsidRPr="004A557F">
        <w:rPr>
          <w:rFonts w:eastAsiaTheme="minorEastAsia" w:cstheme="minorHAnsi"/>
          <w:sz w:val="24"/>
          <w:szCs w:val="24"/>
          <w:lang w:eastAsia="zh-CN"/>
        </w:rPr>
        <w:t>4</w:t>
      </w:r>
      <w:r w:rsidR="003C0297" w:rsidRPr="004A557F">
        <w:rPr>
          <w:rFonts w:eastAsiaTheme="minorEastAsia" w:cstheme="minorHAnsi"/>
          <w:sz w:val="24"/>
          <w:szCs w:val="24"/>
          <w:lang w:eastAsia="zh-CN"/>
        </w:rPr>
        <w:t>)</w:t>
      </w:r>
      <w:r w:rsidR="00CE5B7A" w:rsidRPr="004A557F">
        <w:rPr>
          <w:rFonts w:eastAsiaTheme="minorEastAsia" w:cstheme="minorHAnsi"/>
          <w:sz w:val="24"/>
          <w:szCs w:val="24"/>
          <w:lang w:eastAsia="zh-CN"/>
        </w:rPr>
        <w:t>.</w:t>
      </w:r>
      <w:r w:rsidR="00B6705A" w:rsidRPr="004A557F">
        <w:rPr>
          <w:rFonts w:eastAsiaTheme="minorEastAsia" w:cstheme="minorHAnsi"/>
          <w:sz w:val="24"/>
          <w:szCs w:val="24"/>
          <w:lang w:eastAsia="zh-CN"/>
        </w:rPr>
        <w:t xml:space="preserve"> </w:t>
      </w:r>
      <w:r w:rsidR="00081E61" w:rsidRPr="004A557F">
        <w:rPr>
          <w:rFonts w:eastAsiaTheme="minorEastAsia" w:cstheme="minorHAnsi"/>
          <w:sz w:val="24"/>
          <w:szCs w:val="24"/>
          <w:lang w:eastAsia="zh-CN"/>
        </w:rPr>
        <w:t xml:space="preserve">This group of patients consisted of </w:t>
      </w:r>
      <w:r w:rsidR="00B16A7D" w:rsidRPr="004A557F">
        <w:rPr>
          <w:rFonts w:eastAsiaTheme="minorEastAsia" w:cstheme="minorHAnsi"/>
          <w:sz w:val="24"/>
          <w:szCs w:val="24"/>
          <w:lang w:eastAsia="zh-CN"/>
        </w:rPr>
        <w:t xml:space="preserve">54% of </w:t>
      </w:r>
      <w:r w:rsidR="00081E61" w:rsidRPr="004A557F">
        <w:rPr>
          <w:rFonts w:eastAsiaTheme="minorEastAsia" w:cstheme="minorHAnsi"/>
          <w:sz w:val="24"/>
          <w:szCs w:val="24"/>
          <w:lang w:eastAsia="zh-CN"/>
        </w:rPr>
        <w:t xml:space="preserve">all </w:t>
      </w:r>
      <w:r w:rsidR="004B28D4" w:rsidRPr="004A557F">
        <w:rPr>
          <w:rFonts w:eastAsiaTheme="minorEastAsia" w:cstheme="minorHAnsi"/>
          <w:sz w:val="24"/>
          <w:szCs w:val="24"/>
          <w:lang w:eastAsia="zh-CN"/>
        </w:rPr>
        <w:t xml:space="preserve">those </w:t>
      </w:r>
      <w:r w:rsidR="00081E61" w:rsidRPr="004A557F">
        <w:rPr>
          <w:rFonts w:eastAsiaTheme="minorEastAsia" w:cstheme="minorHAnsi"/>
          <w:sz w:val="24"/>
          <w:szCs w:val="24"/>
          <w:lang w:eastAsia="zh-CN"/>
        </w:rPr>
        <w:t>subsequent</w:t>
      </w:r>
      <w:r w:rsidR="004B28D4" w:rsidRPr="004A557F">
        <w:rPr>
          <w:rFonts w:eastAsiaTheme="minorEastAsia" w:cstheme="minorHAnsi"/>
          <w:sz w:val="24"/>
          <w:szCs w:val="24"/>
          <w:lang w:eastAsia="zh-CN"/>
        </w:rPr>
        <w:t>ly diagnosed with</w:t>
      </w:r>
      <w:r w:rsidR="00081E61" w:rsidRPr="004A557F">
        <w:rPr>
          <w:rFonts w:eastAsiaTheme="minorEastAsia" w:cstheme="minorHAnsi"/>
          <w:sz w:val="24"/>
          <w:szCs w:val="24"/>
          <w:lang w:eastAsia="zh-CN"/>
        </w:rPr>
        <w:t xml:space="preserve"> COPD during</w:t>
      </w:r>
      <w:r w:rsidR="00E1574C" w:rsidRPr="004A557F">
        <w:rPr>
          <w:rFonts w:eastAsiaTheme="minorEastAsia" w:cstheme="minorHAnsi"/>
          <w:sz w:val="24"/>
          <w:szCs w:val="24"/>
          <w:lang w:eastAsia="zh-CN"/>
        </w:rPr>
        <w:t xml:space="preserve"> the long-term (&gt;6 months)</w:t>
      </w:r>
      <w:r w:rsidR="00081E61" w:rsidRPr="004A557F">
        <w:rPr>
          <w:rFonts w:eastAsiaTheme="minorEastAsia" w:cstheme="minorHAnsi"/>
          <w:sz w:val="24"/>
          <w:szCs w:val="24"/>
          <w:lang w:eastAsia="zh-CN"/>
        </w:rPr>
        <w:t xml:space="preserve"> follow-up</w:t>
      </w:r>
      <w:r w:rsidR="00E117C2" w:rsidRPr="004A557F">
        <w:rPr>
          <w:rFonts w:eastAsiaTheme="minorEastAsia" w:cstheme="minorHAnsi"/>
          <w:sz w:val="24"/>
          <w:szCs w:val="24"/>
          <w:lang w:eastAsia="zh-CN"/>
        </w:rPr>
        <w:t xml:space="preserve"> (40% </w:t>
      </w:r>
      <w:r w:rsidR="00F24B55" w:rsidRPr="004A557F">
        <w:rPr>
          <w:rFonts w:eastAsiaTheme="minorEastAsia" w:cstheme="minorHAnsi"/>
          <w:sz w:val="24"/>
          <w:szCs w:val="24"/>
          <w:lang w:eastAsia="zh-CN"/>
        </w:rPr>
        <w:t>of those diagnosed with</w:t>
      </w:r>
      <w:r w:rsidR="00E117C2" w:rsidRPr="004A557F">
        <w:rPr>
          <w:rFonts w:eastAsiaTheme="minorEastAsia" w:cstheme="minorHAnsi"/>
          <w:sz w:val="24"/>
          <w:szCs w:val="24"/>
          <w:lang w:eastAsia="zh-CN"/>
        </w:rPr>
        <w:t xml:space="preserve"> asthma; 43% </w:t>
      </w:r>
      <w:r w:rsidR="00F24B55" w:rsidRPr="004A557F">
        <w:rPr>
          <w:rFonts w:eastAsiaTheme="minorEastAsia" w:cstheme="minorHAnsi"/>
          <w:sz w:val="24"/>
          <w:szCs w:val="24"/>
          <w:lang w:eastAsia="zh-CN"/>
        </w:rPr>
        <w:t>of those diagnosed with</w:t>
      </w:r>
      <w:r w:rsidR="00E117C2" w:rsidRPr="004A557F">
        <w:rPr>
          <w:rFonts w:eastAsiaTheme="minorEastAsia" w:cstheme="minorHAnsi"/>
          <w:sz w:val="24"/>
          <w:szCs w:val="24"/>
          <w:lang w:eastAsia="zh-CN"/>
        </w:rPr>
        <w:t xml:space="preserve"> IHD).</w:t>
      </w:r>
    </w:p>
    <w:p w14:paraId="609AAA68" w14:textId="6A60D3CC" w:rsidR="00565354" w:rsidRPr="004A557F" w:rsidRDefault="00205A45" w:rsidP="004A557F">
      <w:pPr>
        <w:spacing w:after="160" w:line="480" w:lineRule="auto"/>
        <w:rPr>
          <w:rFonts w:cstheme="minorHAnsi"/>
          <w:i/>
          <w:sz w:val="24"/>
          <w:szCs w:val="24"/>
        </w:rPr>
      </w:pPr>
      <w:r w:rsidRPr="004A557F">
        <w:rPr>
          <w:rFonts w:eastAsiaTheme="minorEastAsia" w:cstheme="minorHAnsi"/>
          <w:i/>
          <w:sz w:val="24"/>
          <w:szCs w:val="24"/>
          <w:lang w:eastAsia="zh-CN"/>
        </w:rPr>
        <w:t>Risk of all-cause and disease-specific mortality</w:t>
      </w:r>
    </w:p>
    <w:p w14:paraId="1E2503AA" w14:textId="53127243" w:rsidR="00F57C5E" w:rsidRPr="004A557F" w:rsidRDefault="00D164A7" w:rsidP="004A557F">
      <w:pPr>
        <w:spacing w:after="160" w:line="480" w:lineRule="auto"/>
        <w:rPr>
          <w:rFonts w:cstheme="minorHAnsi"/>
          <w:sz w:val="24"/>
          <w:szCs w:val="24"/>
        </w:rPr>
      </w:pPr>
      <w:r w:rsidRPr="004A557F">
        <w:rPr>
          <w:rFonts w:cstheme="minorHAnsi"/>
          <w:sz w:val="24"/>
          <w:szCs w:val="24"/>
        </w:rPr>
        <w:t>During the whole follow-up, higher rates of all-</w:t>
      </w:r>
      <w:r w:rsidR="009E78DE" w:rsidRPr="004A557F">
        <w:rPr>
          <w:rFonts w:cstheme="minorHAnsi"/>
          <w:sz w:val="24"/>
          <w:szCs w:val="24"/>
        </w:rPr>
        <w:t>cause (289 per 10,000 person-years),</w:t>
      </w:r>
      <w:r w:rsidR="00305081" w:rsidRPr="004A557F">
        <w:rPr>
          <w:rFonts w:cstheme="minorHAnsi"/>
          <w:sz w:val="24"/>
          <w:szCs w:val="24"/>
        </w:rPr>
        <w:t xml:space="preserve"> COPD</w:t>
      </w:r>
      <w:r w:rsidR="009E78DE" w:rsidRPr="004A557F">
        <w:rPr>
          <w:rFonts w:cstheme="minorHAnsi"/>
          <w:sz w:val="24"/>
          <w:szCs w:val="24"/>
        </w:rPr>
        <w:t xml:space="preserve"> (22</w:t>
      </w:r>
      <w:r w:rsidR="003D5A8A" w:rsidRPr="004A557F">
        <w:rPr>
          <w:rFonts w:cstheme="minorHAnsi"/>
          <w:sz w:val="24"/>
          <w:szCs w:val="24"/>
        </w:rPr>
        <w:t>/</w:t>
      </w:r>
      <w:r w:rsidR="009E78DE" w:rsidRPr="004A557F">
        <w:rPr>
          <w:rFonts w:cstheme="minorHAnsi"/>
          <w:sz w:val="24"/>
          <w:szCs w:val="24"/>
        </w:rPr>
        <w:t>10,000)</w:t>
      </w:r>
      <w:r w:rsidRPr="004A557F">
        <w:rPr>
          <w:rFonts w:cstheme="minorHAnsi"/>
          <w:sz w:val="24"/>
          <w:szCs w:val="24"/>
        </w:rPr>
        <w:t xml:space="preserve"> and IHD-related mortality</w:t>
      </w:r>
      <w:r w:rsidR="009E78DE" w:rsidRPr="004A557F">
        <w:rPr>
          <w:rFonts w:cstheme="minorHAnsi"/>
          <w:sz w:val="24"/>
          <w:szCs w:val="24"/>
        </w:rPr>
        <w:t xml:space="preserve"> (69</w:t>
      </w:r>
      <w:r w:rsidR="003D5A8A" w:rsidRPr="004A557F">
        <w:rPr>
          <w:rFonts w:cstheme="minorHAnsi"/>
          <w:sz w:val="24"/>
          <w:szCs w:val="24"/>
        </w:rPr>
        <w:t>/</w:t>
      </w:r>
      <w:r w:rsidR="009E78DE" w:rsidRPr="004A557F">
        <w:rPr>
          <w:rFonts w:cstheme="minorHAnsi"/>
          <w:sz w:val="24"/>
          <w:szCs w:val="24"/>
        </w:rPr>
        <w:t>10,000)</w:t>
      </w:r>
      <w:r w:rsidRPr="004A557F">
        <w:rPr>
          <w:rFonts w:cstheme="minorHAnsi"/>
          <w:sz w:val="24"/>
          <w:szCs w:val="24"/>
        </w:rPr>
        <w:t xml:space="preserve"> were </w:t>
      </w:r>
      <w:r w:rsidR="009E78DE" w:rsidRPr="004A557F">
        <w:rPr>
          <w:rFonts w:cstheme="minorHAnsi"/>
          <w:sz w:val="24"/>
          <w:szCs w:val="24"/>
        </w:rPr>
        <w:t xml:space="preserve">observed in the </w:t>
      </w:r>
      <w:r w:rsidR="00405562" w:rsidRPr="004A557F">
        <w:rPr>
          <w:rFonts w:cstheme="minorHAnsi"/>
          <w:sz w:val="24"/>
          <w:szCs w:val="24"/>
        </w:rPr>
        <w:t>‘</w:t>
      </w:r>
      <w:r w:rsidR="009E78DE" w:rsidRPr="004A557F">
        <w:rPr>
          <w:rFonts w:cstheme="minorHAnsi"/>
          <w:sz w:val="24"/>
          <w:szCs w:val="24"/>
        </w:rPr>
        <w:t>exposed</w:t>
      </w:r>
      <w:r w:rsidR="00405562" w:rsidRPr="004A557F">
        <w:rPr>
          <w:rFonts w:cstheme="minorHAnsi"/>
          <w:sz w:val="24"/>
          <w:szCs w:val="24"/>
        </w:rPr>
        <w:t>’</w:t>
      </w:r>
      <w:r w:rsidR="009E78DE" w:rsidRPr="004A557F">
        <w:rPr>
          <w:rFonts w:cstheme="minorHAnsi"/>
          <w:sz w:val="24"/>
          <w:szCs w:val="24"/>
        </w:rPr>
        <w:t xml:space="preserve"> cohort compared to the </w:t>
      </w:r>
      <w:r w:rsidR="00405562" w:rsidRPr="004A557F">
        <w:rPr>
          <w:rFonts w:cstheme="minorHAnsi"/>
          <w:sz w:val="24"/>
          <w:szCs w:val="24"/>
        </w:rPr>
        <w:t>‘</w:t>
      </w:r>
      <w:r w:rsidR="009E78DE" w:rsidRPr="004A557F">
        <w:rPr>
          <w:rFonts w:cstheme="minorHAnsi"/>
          <w:sz w:val="24"/>
          <w:szCs w:val="24"/>
        </w:rPr>
        <w:t>unexposed</w:t>
      </w:r>
      <w:r w:rsidR="00405562" w:rsidRPr="004A557F">
        <w:rPr>
          <w:rFonts w:cstheme="minorHAnsi"/>
          <w:sz w:val="24"/>
          <w:szCs w:val="24"/>
        </w:rPr>
        <w:t>’</w:t>
      </w:r>
      <w:r w:rsidR="009E78DE" w:rsidRPr="004A557F">
        <w:rPr>
          <w:rFonts w:cstheme="minorHAnsi"/>
          <w:sz w:val="24"/>
          <w:szCs w:val="24"/>
        </w:rPr>
        <w:t xml:space="preserve"> cohort (all-cause 155/10,000; COPD-related 4/10,000; IHD-related 32/10,000). </w:t>
      </w:r>
    </w:p>
    <w:p w14:paraId="24078FE6" w14:textId="67B220BA" w:rsidR="00543D1A" w:rsidRPr="004A557F" w:rsidRDefault="00C8684F"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 xml:space="preserve">In the </w:t>
      </w:r>
      <w:r w:rsidR="004E5DA3" w:rsidRPr="004A557F">
        <w:rPr>
          <w:rFonts w:eastAsiaTheme="minorEastAsia" w:cstheme="minorHAnsi"/>
          <w:sz w:val="24"/>
          <w:szCs w:val="24"/>
          <w:lang w:eastAsia="zh-CN"/>
        </w:rPr>
        <w:t>long-term (&gt;</w:t>
      </w:r>
      <w:r w:rsidR="002A47F6" w:rsidRPr="004A557F">
        <w:rPr>
          <w:rFonts w:eastAsiaTheme="minorEastAsia" w:cstheme="minorHAnsi"/>
          <w:sz w:val="24"/>
          <w:szCs w:val="24"/>
          <w:lang w:eastAsia="zh-CN"/>
        </w:rPr>
        <w:t xml:space="preserve">6 </w:t>
      </w:r>
      <w:r w:rsidR="004E5DA3" w:rsidRPr="004A557F">
        <w:rPr>
          <w:rFonts w:eastAsiaTheme="minorEastAsia" w:cstheme="minorHAnsi"/>
          <w:sz w:val="24"/>
          <w:szCs w:val="24"/>
          <w:lang w:eastAsia="zh-CN"/>
        </w:rPr>
        <w:t>m</w:t>
      </w:r>
      <w:r w:rsidR="002A47F6" w:rsidRPr="004A557F">
        <w:rPr>
          <w:rFonts w:eastAsiaTheme="minorEastAsia" w:cstheme="minorHAnsi"/>
          <w:sz w:val="24"/>
          <w:szCs w:val="24"/>
          <w:lang w:eastAsia="zh-CN"/>
        </w:rPr>
        <w:t>onths</w:t>
      </w:r>
      <w:r w:rsidR="004E5DA3" w:rsidRPr="004A557F">
        <w:rPr>
          <w:rFonts w:eastAsiaTheme="minorEastAsia" w:cstheme="minorHAnsi"/>
          <w:sz w:val="24"/>
          <w:szCs w:val="24"/>
          <w:lang w:eastAsia="zh-CN"/>
        </w:rPr>
        <w:t>)</w:t>
      </w:r>
      <w:r w:rsidR="003C7B99" w:rsidRPr="004A557F">
        <w:rPr>
          <w:rFonts w:eastAsiaTheme="minorEastAsia" w:cstheme="minorHAnsi"/>
          <w:sz w:val="24"/>
          <w:szCs w:val="24"/>
          <w:lang w:eastAsia="zh-CN"/>
        </w:rPr>
        <w:t>, p</w:t>
      </w:r>
      <w:r w:rsidR="006B168A" w:rsidRPr="004A557F">
        <w:rPr>
          <w:rFonts w:eastAsiaTheme="minorEastAsia" w:cstheme="minorHAnsi"/>
          <w:sz w:val="24"/>
          <w:szCs w:val="24"/>
          <w:lang w:eastAsia="zh-CN"/>
        </w:rPr>
        <w:t xml:space="preserve">atients with an initial recorded breathlessness symptom </w:t>
      </w:r>
      <w:r w:rsidR="005C0F6D" w:rsidRPr="004A557F">
        <w:rPr>
          <w:rFonts w:eastAsiaTheme="minorEastAsia" w:cstheme="minorHAnsi"/>
          <w:sz w:val="24"/>
          <w:szCs w:val="24"/>
          <w:lang w:eastAsia="zh-CN"/>
        </w:rPr>
        <w:t>had increased</w:t>
      </w:r>
      <w:r w:rsidR="003C7B99" w:rsidRPr="004A557F">
        <w:rPr>
          <w:rFonts w:eastAsiaTheme="minorEastAsia" w:cstheme="minorHAnsi"/>
          <w:sz w:val="24"/>
          <w:szCs w:val="24"/>
          <w:lang w:eastAsia="zh-CN"/>
        </w:rPr>
        <w:t xml:space="preserve"> excess risk of</w:t>
      </w:r>
      <w:r w:rsidR="006B168A" w:rsidRPr="004A557F">
        <w:rPr>
          <w:rFonts w:eastAsiaTheme="minorEastAsia" w:cstheme="minorHAnsi"/>
          <w:sz w:val="24"/>
          <w:szCs w:val="24"/>
          <w:lang w:eastAsia="zh-CN"/>
        </w:rPr>
        <w:t xml:space="preserve"> all-cause</w:t>
      </w:r>
      <w:r w:rsidR="003C7B99" w:rsidRPr="004A557F">
        <w:rPr>
          <w:rFonts w:eastAsiaTheme="minorEastAsia" w:cstheme="minorHAnsi"/>
          <w:sz w:val="24"/>
          <w:szCs w:val="24"/>
          <w:lang w:eastAsia="zh-CN"/>
        </w:rPr>
        <w:t xml:space="preserve"> (</w:t>
      </w:r>
      <w:r w:rsidR="008C78C0" w:rsidRPr="004A557F">
        <w:rPr>
          <w:rFonts w:eastAsiaTheme="minorEastAsia" w:cstheme="minorHAnsi"/>
          <w:sz w:val="24"/>
          <w:szCs w:val="24"/>
          <w:lang w:eastAsia="zh-CN"/>
        </w:rPr>
        <w:t>adjusted HR 1.</w:t>
      </w:r>
      <w:r w:rsidR="00836B7C" w:rsidRPr="004A557F">
        <w:rPr>
          <w:rFonts w:eastAsiaTheme="minorEastAsia" w:cstheme="minorHAnsi"/>
          <w:sz w:val="24"/>
          <w:szCs w:val="24"/>
          <w:lang w:eastAsia="zh-CN"/>
        </w:rPr>
        <w:t>2 95% CI (1.1</w:t>
      </w:r>
      <w:r w:rsidR="008C78C0" w:rsidRPr="004A557F">
        <w:rPr>
          <w:rFonts w:eastAsiaTheme="minorEastAsia" w:cstheme="minorHAnsi"/>
          <w:sz w:val="24"/>
          <w:szCs w:val="24"/>
          <w:lang w:eastAsia="zh-CN"/>
        </w:rPr>
        <w:t>, 1.</w:t>
      </w:r>
      <w:r w:rsidR="00836B7C" w:rsidRPr="004A557F">
        <w:rPr>
          <w:rFonts w:eastAsiaTheme="minorEastAsia" w:cstheme="minorHAnsi"/>
          <w:sz w:val="24"/>
          <w:szCs w:val="24"/>
          <w:lang w:eastAsia="zh-CN"/>
        </w:rPr>
        <w:t>3</w:t>
      </w:r>
      <w:r w:rsidR="008C78C0" w:rsidRPr="004A557F">
        <w:rPr>
          <w:rFonts w:eastAsiaTheme="minorEastAsia" w:cstheme="minorHAnsi"/>
          <w:sz w:val="24"/>
          <w:szCs w:val="24"/>
          <w:lang w:eastAsia="zh-CN"/>
        </w:rPr>
        <w:t>)</w:t>
      </w:r>
      <w:r w:rsidR="003C7B99" w:rsidRPr="004A557F">
        <w:rPr>
          <w:rFonts w:eastAsiaTheme="minorEastAsia" w:cstheme="minorHAnsi"/>
          <w:sz w:val="24"/>
          <w:szCs w:val="24"/>
          <w:lang w:eastAsia="zh-CN"/>
        </w:rPr>
        <w:t>)</w:t>
      </w:r>
      <w:r w:rsidR="003D0809" w:rsidRPr="004A557F">
        <w:rPr>
          <w:rFonts w:eastAsiaTheme="minorEastAsia" w:cstheme="minorHAnsi"/>
          <w:sz w:val="24"/>
          <w:szCs w:val="24"/>
          <w:lang w:eastAsia="zh-CN"/>
        </w:rPr>
        <w:t>, COPD</w:t>
      </w:r>
      <w:r w:rsidR="003C7B99" w:rsidRPr="004A557F">
        <w:rPr>
          <w:rFonts w:eastAsiaTheme="minorEastAsia" w:cstheme="minorHAnsi"/>
          <w:sz w:val="24"/>
          <w:szCs w:val="24"/>
          <w:lang w:eastAsia="zh-CN"/>
        </w:rPr>
        <w:t xml:space="preserve"> (</w:t>
      </w:r>
      <w:r w:rsidR="008C78C0" w:rsidRPr="004A557F">
        <w:rPr>
          <w:rFonts w:eastAsiaTheme="minorEastAsia" w:cstheme="minorHAnsi"/>
          <w:sz w:val="24"/>
          <w:szCs w:val="24"/>
          <w:lang w:eastAsia="zh-CN"/>
        </w:rPr>
        <w:t>adjusted HR</w:t>
      </w:r>
      <w:r w:rsidR="00912576" w:rsidRPr="004A557F">
        <w:rPr>
          <w:rFonts w:eastAsiaTheme="minorEastAsia" w:cstheme="minorHAnsi"/>
          <w:sz w:val="24"/>
          <w:szCs w:val="24"/>
          <w:lang w:eastAsia="zh-CN"/>
        </w:rPr>
        <w:t xml:space="preserve"> 1.8</w:t>
      </w:r>
      <w:r w:rsidR="008C78C0" w:rsidRPr="004A557F">
        <w:rPr>
          <w:rFonts w:eastAsiaTheme="minorEastAsia" w:cstheme="minorHAnsi"/>
          <w:sz w:val="24"/>
          <w:szCs w:val="24"/>
          <w:lang w:eastAsia="zh-CN"/>
        </w:rPr>
        <w:t xml:space="preserve"> </w:t>
      </w:r>
      <w:r w:rsidR="00912576" w:rsidRPr="004A557F">
        <w:rPr>
          <w:rFonts w:eastAsiaTheme="minorEastAsia" w:cstheme="minorHAnsi"/>
          <w:sz w:val="24"/>
          <w:szCs w:val="24"/>
          <w:lang w:eastAsia="zh-CN"/>
        </w:rPr>
        <w:t>95% CI (1.5, 2.1)</w:t>
      </w:r>
      <w:r w:rsidR="003C7B99" w:rsidRPr="004A557F">
        <w:rPr>
          <w:rFonts w:eastAsiaTheme="minorEastAsia" w:cstheme="minorHAnsi"/>
          <w:sz w:val="24"/>
          <w:szCs w:val="24"/>
          <w:lang w:eastAsia="zh-CN"/>
        </w:rPr>
        <w:t>)</w:t>
      </w:r>
      <w:r w:rsidR="006B168A" w:rsidRPr="004A557F">
        <w:rPr>
          <w:rFonts w:eastAsiaTheme="minorEastAsia" w:cstheme="minorHAnsi"/>
          <w:sz w:val="24"/>
          <w:szCs w:val="24"/>
          <w:lang w:eastAsia="zh-CN"/>
        </w:rPr>
        <w:t xml:space="preserve"> and IHD-related</w:t>
      </w:r>
      <w:r w:rsidR="003C7B99" w:rsidRPr="004A557F">
        <w:rPr>
          <w:rFonts w:eastAsiaTheme="minorEastAsia" w:cstheme="minorHAnsi"/>
          <w:sz w:val="24"/>
          <w:szCs w:val="24"/>
          <w:lang w:eastAsia="zh-CN"/>
        </w:rPr>
        <w:t xml:space="preserve"> (</w:t>
      </w:r>
      <w:r w:rsidR="00912576" w:rsidRPr="004A557F">
        <w:rPr>
          <w:rFonts w:eastAsiaTheme="minorEastAsia" w:cstheme="minorHAnsi"/>
          <w:sz w:val="24"/>
          <w:szCs w:val="24"/>
          <w:lang w:eastAsia="zh-CN"/>
        </w:rPr>
        <w:t>adjusted HR 1.2 95% CI (1.1, 1.3)</w:t>
      </w:r>
      <w:r w:rsidR="003C7B99" w:rsidRPr="004A557F">
        <w:rPr>
          <w:rFonts w:eastAsiaTheme="minorEastAsia" w:cstheme="minorHAnsi"/>
          <w:sz w:val="24"/>
          <w:szCs w:val="24"/>
          <w:lang w:eastAsia="zh-CN"/>
        </w:rPr>
        <w:t>)</w:t>
      </w:r>
      <w:r w:rsidR="006B168A" w:rsidRPr="004A557F">
        <w:rPr>
          <w:rFonts w:eastAsiaTheme="minorEastAsia" w:cstheme="minorHAnsi"/>
          <w:sz w:val="24"/>
          <w:szCs w:val="24"/>
          <w:lang w:eastAsia="zh-CN"/>
        </w:rPr>
        <w:t xml:space="preserve"> mortality</w:t>
      </w:r>
      <w:r w:rsidR="00107312" w:rsidRPr="004A557F">
        <w:rPr>
          <w:rFonts w:eastAsiaTheme="minorEastAsia" w:cstheme="minorHAnsi"/>
          <w:sz w:val="24"/>
          <w:szCs w:val="24"/>
          <w:lang w:eastAsia="zh-CN"/>
        </w:rPr>
        <w:t xml:space="preserve"> even after </w:t>
      </w:r>
      <w:r w:rsidR="00107312" w:rsidRPr="004A557F">
        <w:rPr>
          <w:rFonts w:eastAsiaTheme="minorEastAsia" w:cstheme="minorHAnsi"/>
          <w:sz w:val="24"/>
          <w:szCs w:val="24"/>
          <w:lang w:eastAsia="zh-CN"/>
        </w:rPr>
        <w:lastRenderedPageBreak/>
        <w:t>adjustment for later diagnosis</w:t>
      </w:r>
      <w:r w:rsidR="002A47F6" w:rsidRPr="004A557F">
        <w:rPr>
          <w:rFonts w:eastAsiaTheme="minorEastAsia" w:cstheme="minorHAnsi"/>
          <w:sz w:val="24"/>
          <w:szCs w:val="24"/>
          <w:lang w:eastAsia="zh-CN"/>
        </w:rPr>
        <w:t xml:space="preserve"> </w:t>
      </w:r>
      <w:r w:rsidR="008C78C0" w:rsidRPr="004A557F">
        <w:rPr>
          <w:rFonts w:eastAsiaTheme="minorEastAsia" w:cstheme="minorHAnsi"/>
          <w:sz w:val="24"/>
          <w:szCs w:val="24"/>
          <w:lang w:eastAsia="zh-CN"/>
        </w:rPr>
        <w:t>(Table 5)</w:t>
      </w:r>
      <w:r w:rsidR="006B168A" w:rsidRPr="004A557F">
        <w:rPr>
          <w:rFonts w:eastAsiaTheme="minorEastAsia" w:cstheme="minorHAnsi"/>
          <w:sz w:val="24"/>
          <w:szCs w:val="24"/>
          <w:lang w:eastAsia="zh-CN"/>
        </w:rPr>
        <w:t>.</w:t>
      </w:r>
      <w:r w:rsidR="00AA71CE" w:rsidRPr="004A557F">
        <w:rPr>
          <w:rFonts w:eastAsiaTheme="minorEastAsia" w:cstheme="minorHAnsi"/>
          <w:sz w:val="24"/>
          <w:szCs w:val="24"/>
          <w:lang w:eastAsia="zh-CN"/>
        </w:rPr>
        <w:t xml:space="preserve"> Mortality risks stratified by age groups (18-59 and 60+) are shown in Supplementary Table 4.</w:t>
      </w:r>
    </w:p>
    <w:p w14:paraId="080D7BAA" w14:textId="77777777" w:rsidR="00477023" w:rsidRPr="00E62A0E" w:rsidRDefault="00477023" w:rsidP="004A557F">
      <w:pPr>
        <w:spacing w:line="480" w:lineRule="auto"/>
        <w:rPr>
          <w:rFonts w:eastAsiaTheme="minorEastAsia" w:cstheme="minorHAnsi"/>
          <w:b/>
          <w:sz w:val="24"/>
          <w:szCs w:val="24"/>
          <w:lang w:eastAsia="zh-CN"/>
        </w:rPr>
      </w:pPr>
      <w:r w:rsidRPr="00E62A0E">
        <w:rPr>
          <w:rFonts w:eastAsiaTheme="minorEastAsia" w:cstheme="minorHAnsi"/>
          <w:b/>
          <w:sz w:val="24"/>
          <w:szCs w:val="24"/>
          <w:lang w:eastAsia="zh-CN"/>
        </w:rPr>
        <w:t>Discussion</w:t>
      </w:r>
    </w:p>
    <w:p w14:paraId="158D5D01" w14:textId="54E3B442" w:rsidR="00FB2149" w:rsidRPr="004A557F" w:rsidRDefault="00477023"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 xml:space="preserve">This </w:t>
      </w:r>
      <w:r w:rsidR="009A6EC7" w:rsidRPr="004A557F">
        <w:rPr>
          <w:rFonts w:eastAsiaTheme="minorEastAsia" w:cstheme="minorHAnsi"/>
          <w:sz w:val="24"/>
          <w:szCs w:val="24"/>
          <w:lang w:eastAsia="zh-CN"/>
        </w:rPr>
        <w:t>study</w:t>
      </w:r>
      <w:r w:rsidR="00FB2149" w:rsidRPr="004A557F">
        <w:rPr>
          <w:rFonts w:eastAsiaTheme="minorEastAsia" w:cstheme="minorHAnsi"/>
          <w:sz w:val="24"/>
          <w:szCs w:val="24"/>
          <w:lang w:eastAsia="zh-CN"/>
        </w:rPr>
        <w:t xml:space="preserve"> </w:t>
      </w:r>
      <w:r w:rsidR="008F749E" w:rsidRPr="004A557F">
        <w:rPr>
          <w:rFonts w:eastAsiaTheme="minorEastAsia" w:cstheme="minorHAnsi"/>
          <w:sz w:val="24"/>
          <w:szCs w:val="24"/>
          <w:lang w:eastAsia="zh-CN"/>
        </w:rPr>
        <w:t>of over</w:t>
      </w:r>
      <w:r w:rsidR="004D64B4" w:rsidRPr="004A557F">
        <w:rPr>
          <w:rFonts w:eastAsiaTheme="minorEastAsia" w:cstheme="minorHAnsi"/>
          <w:sz w:val="24"/>
          <w:szCs w:val="24"/>
          <w:lang w:eastAsia="zh-CN"/>
        </w:rPr>
        <w:t xml:space="preserve"> 150,000 </w:t>
      </w:r>
      <w:r w:rsidR="000F4679" w:rsidRPr="004A557F">
        <w:rPr>
          <w:rFonts w:eastAsiaTheme="minorEastAsia" w:cstheme="minorHAnsi"/>
          <w:sz w:val="24"/>
          <w:szCs w:val="24"/>
          <w:lang w:eastAsia="zh-CN"/>
        </w:rPr>
        <w:t xml:space="preserve">primary care </w:t>
      </w:r>
      <w:r w:rsidR="00C452A3" w:rsidRPr="004A557F">
        <w:rPr>
          <w:rFonts w:eastAsiaTheme="minorEastAsia" w:cstheme="minorHAnsi"/>
          <w:sz w:val="24"/>
          <w:szCs w:val="24"/>
          <w:lang w:eastAsia="zh-CN"/>
        </w:rPr>
        <w:t xml:space="preserve">patients </w:t>
      </w:r>
      <w:r w:rsidR="000D5A62" w:rsidRPr="004A557F">
        <w:rPr>
          <w:rFonts w:eastAsiaTheme="minorEastAsia" w:cstheme="minorHAnsi"/>
          <w:sz w:val="24"/>
          <w:szCs w:val="24"/>
          <w:lang w:eastAsia="zh-CN"/>
        </w:rPr>
        <w:t>showed</w:t>
      </w:r>
      <w:r w:rsidR="008E7430" w:rsidRPr="004A557F">
        <w:rPr>
          <w:rFonts w:eastAsiaTheme="minorEastAsia" w:cstheme="minorHAnsi"/>
          <w:sz w:val="24"/>
          <w:szCs w:val="24"/>
          <w:lang w:eastAsia="zh-CN"/>
        </w:rPr>
        <w:t xml:space="preserve"> </w:t>
      </w:r>
      <w:r w:rsidR="005611EB" w:rsidRPr="004A557F">
        <w:rPr>
          <w:rFonts w:eastAsiaTheme="minorEastAsia" w:cstheme="minorHAnsi"/>
          <w:sz w:val="24"/>
          <w:szCs w:val="24"/>
          <w:lang w:eastAsia="zh-CN"/>
        </w:rPr>
        <w:t xml:space="preserve">an increased long-term </w:t>
      </w:r>
      <w:r w:rsidRPr="004A557F">
        <w:rPr>
          <w:rFonts w:eastAsiaTheme="minorEastAsia" w:cstheme="minorHAnsi"/>
          <w:sz w:val="24"/>
          <w:szCs w:val="24"/>
          <w:lang w:eastAsia="zh-CN"/>
        </w:rPr>
        <w:t>risk of COPD, asthma</w:t>
      </w:r>
      <w:r w:rsidR="003E549D"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and IHD diagnos</w:t>
      </w:r>
      <w:r w:rsidR="00264097" w:rsidRPr="004A557F">
        <w:rPr>
          <w:rFonts w:eastAsiaTheme="minorEastAsia" w:cstheme="minorHAnsi"/>
          <w:sz w:val="24"/>
          <w:szCs w:val="24"/>
          <w:lang w:eastAsia="zh-CN"/>
        </w:rPr>
        <w:t>i</w:t>
      </w:r>
      <w:r w:rsidRPr="004A557F">
        <w:rPr>
          <w:rFonts w:eastAsiaTheme="minorEastAsia" w:cstheme="minorHAnsi"/>
          <w:sz w:val="24"/>
          <w:szCs w:val="24"/>
          <w:lang w:eastAsia="zh-CN"/>
        </w:rPr>
        <w:t>s</w:t>
      </w:r>
      <w:r w:rsidR="00F24B55"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w:t>
      </w:r>
      <w:r w:rsidR="00C96093" w:rsidRPr="004A557F">
        <w:rPr>
          <w:rFonts w:eastAsiaTheme="minorEastAsia" w:cstheme="minorHAnsi"/>
          <w:sz w:val="24"/>
          <w:szCs w:val="24"/>
          <w:lang w:eastAsia="zh-CN"/>
        </w:rPr>
        <w:t xml:space="preserve">and </w:t>
      </w:r>
      <w:r w:rsidR="00F24B55" w:rsidRPr="004A557F">
        <w:rPr>
          <w:rFonts w:eastAsiaTheme="minorEastAsia" w:cstheme="minorHAnsi"/>
          <w:sz w:val="24"/>
          <w:szCs w:val="24"/>
          <w:lang w:eastAsia="zh-CN"/>
        </w:rPr>
        <w:t xml:space="preserve">of </w:t>
      </w:r>
      <w:r w:rsidR="00C96093" w:rsidRPr="004A557F">
        <w:rPr>
          <w:rFonts w:eastAsiaTheme="minorEastAsia" w:cstheme="minorHAnsi"/>
          <w:sz w:val="24"/>
          <w:szCs w:val="24"/>
          <w:lang w:eastAsia="zh-CN"/>
        </w:rPr>
        <w:t>earlier</w:t>
      </w:r>
      <w:r w:rsidR="003E549D" w:rsidRPr="004A557F">
        <w:rPr>
          <w:rFonts w:eastAsiaTheme="minorEastAsia" w:cstheme="minorHAnsi"/>
          <w:sz w:val="24"/>
          <w:szCs w:val="24"/>
          <w:lang w:eastAsia="zh-CN"/>
        </w:rPr>
        <w:t xml:space="preserve"> mortality </w:t>
      </w:r>
      <w:r w:rsidR="008E7430" w:rsidRPr="004A557F">
        <w:rPr>
          <w:rFonts w:eastAsiaTheme="minorEastAsia" w:cstheme="minorHAnsi"/>
          <w:sz w:val="24"/>
          <w:szCs w:val="24"/>
          <w:lang w:eastAsia="zh-CN"/>
        </w:rPr>
        <w:t>among patients</w:t>
      </w:r>
      <w:r w:rsidR="005611EB" w:rsidRPr="004A557F">
        <w:rPr>
          <w:rFonts w:eastAsiaTheme="minorEastAsia" w:cstheme="minorHAnsi"/>
          <w:sz w:val="24"/>
          <w:szCs w:val="24"/>
          <w:lang w:eastAsia="zh-CN"/>
        </w:rPr>
        <w:t xml:space="preserve"> </w:t>
      </w:r>
      <w:r w:rsidR="00F06AB8" w:rsidRPr="004A557F">
        <w:rPr>
          <w:rFonts w:eastAsiaTheme="minorEastAsia" w:cstheme="minorHAnsi"/>
          <w:sz w:val="24"/>
          <w:szCs w:val="24"/>
          <w:lang w:eastAsia="zh-CN"/>
        </w:rPr>
        <w:t xml:space="preserve">presenting with </w:t>
      </w:r>
      <w:r w:rsidR="00731E81" w:rsidRPr="004A557F">
        <w:rPr>
          <w:rFonts w:eastAsiaTheme="minorEastAsia" w:cstheme="minorHAnsi"/>
          <w:sz w:val="24"/>
          <w:szCs w:val="24"/>
          <w:lang w:eastAsia="zh-CN"/>
        </w:rPr>
        <w:t xml:space="preserve">initially </w:t>
      </w:r>
      <w:r w:rsidR="00F06AB8" w:rsidRPr="004A557F">
        <w:rPr>
          <w:rFonts w:eastAsiaTheme="minorEastAsia" w:cstheme="minorHAnsi"/>
          <w:sz w:val="24"/>
          <w:szCs w:val="24"/>
          <w:lang w:eastAsia="zh-CN"/>
        </w:rPr>
        <w:t xml:space="preserve">undiagnosed </w:t>
      </w:r>
      <w:r w:rsidR="005611EB" w:rsidRPr="004A557F">
        <w:rPr>
          <w:rFonts w:eastAsiaTheme="minorEastAsia" w:cstheme="minorHAnsi"/>
          <w:sz w:val="24"/>
          <w:szCs w:val="24"/>
          <w:lang w:eastAsia="zh-CN"/>
        </w:rPr>
        <w:t>symptom of breathlessness</w:t>
      </w:r>
      <w:r w:rsidR="00264097" w:rsidRPr="004A557F">
        <w:rPr>
          <w:rFonts w:eastAsiaTheme="minorEastAsia" w:cstheme="minorHAnsi"/>
          <w:sz w:val="24"/>
          <w:szCs w:val="24"/>
          <w:lang w:eastAsia="zh-CN"/>
        </w:rPr>
        <w:t xml:space="preserve">. </w:t>
      </w:r>
      <w:r w:rsidR="005049C6" w:rsidRPr="004A557F">
        <w:rPr>
          <w:rFonts w:eastAsiaTheme="minorEastAsia" w:cstheme="minorHAnsi"/>
          <w:sz w:val="24"/>
          <w:szCs w:val="24"/>
          <w:lang w:eastAsia="zh-CN"/>
        </w:rPr>
        <w:t xml:space="preserve">Over a median of </w:t>
      </w:r>
      <w:r w:rsidR="00922D46" w:rsidRPr="004A557F">
        <w:rPr>
          <w:rFonts w:eastAsiaTheme="minorEastAsia" w:cstheme="minorHAnsi"/>
          <w:sz w:val="24"/>
          <w:szCs w:val="24"/>
          <w:lang w:eastAsia="zh-CN"/>
        </w:rPr>
        <w:t>6</w:t>
      </w:r>
      <w:r w:rsidR="005049C6" w:rsidRPr="004A557F">
        <w:rPr>
          <w:rFonts w:eastAsiaTheme="minorEastAsia" w:cstheme="minorHAnsi"/>
          <w:sz w:val="24"/>
          <w:szCs w:val="24"/>
          <w:lang w:eastAsia="zh-CN"/>
        </w:rPr>
        <w:t xml:space="preserve"> years, more than </w:t>
      </w:r>
      <w:r w:rsidR="00F413C2" w:rsidRPr="004A557F">
        <w:rPr>
          <w:rFonts w:eastAsiaTheme="minorEastAsia" w:cstheme="minorHAnsi"/>
          <w:sz w:val="24"/>
          <w:szCs w:val="24"/>
          <w:lang w:eastAsia="zh-CN"/>
        </w:rPr>
        <w:t>a third of these patients</w:t>
      </w:r>
      <w:r w:rsidR="009A6EC7" w:rsidRPr="004A557F">
        <w:rPr>
          <w:rFonts w:eastAsiaTheme="minorEastAsia" w:cstheme="minorHAnsi"/>
          <w:sz w:val="24"/>
          <w:szCs w:val="24"/>
          <w:lang w:eastAsia="zh-CN"/>
        </w:rPr>
        <w:t xml:space="preserve"> subsequently</w:t>
      </w:r>
      <w:r w:rsidR="00F413C2" w:rsidRPr="004A557F">
        <w:rPr>
          <w:rFonts w:eastAsiaTheme="minorEastAsia" w:cstheme="minorHAnsi"/>
          <w:sz w:val="24"/>
          <w:szCs w:val="24"/>
          <w:lang w:eastAsia="zh-CN"/>
        </w:rPr>
        <w:t xml:space="preserve"> </w:t>
      </w:r>
      <w:r w:rsidR="005049C6" w:rsidRPr="004A557F">
        <w:rPr>
          <w:rFonts w:eastAsiaTheme="minorEastAsia" w:cstheme="minorHAnsi"/>
          <w:sz w:val="24"/>
          <w:szCs w:val="24"/>
          <w:lang w:eastAsia="zh-CN"/>
        </w:rPr>
        <w:t xml:space="preserve">received </w:t>
      </w:r>
      <w:r w:rsidR="00F413C2" w:rsidRPr="004A557F">
        <w:rPr>
          <w:rFonts w:eastAsiaTheme="minorEastAsia" w:cstheme="minorHAnsi"/>
          <w:sz w:val="24"/>
          <w:szCs w:val="24"/>
          <w:lang w:eastAsia="zh-CN"/>
        </w:rPr>
        <w:t>a d</w:t>
      </w:r>
      <w:r w:rsidR="00304FE0" w:rsidRPr="004A557F">
        <w:rPr>
          <w:rFonts w:eastAsiaTheme="minorEastAsia" w:cstheme="minorHAnsi"/>
          <w:sz w:val="24"/>
          <w:szCs w:val="24"/>
          <w:lang w:eastAsia="zh-CN"/>
        </w:rPr>
        <w:t>iagnosis of COPD, asthma or IHD.</w:t>
      </w:r>
      <w:r w:rsidR="00264097" w:rsidRPr="004A557F">
        <w:rPr>
          <w:rFonts w:eastAsiaTheme="minorEastAsia" w:cstheme="minorHAnsi"/>
          <w:sz w:val="24"/>
          <w:szCs w:val="24"/>
          <w:lang w:eastAsia="zh-CN"/>
        </w:rPr>
        <w:t xml:space="preserve"> </w:t>
      </w:r>
    </w:p>
    <w:p w14:paraId="1A0D9E3C" w14:textId="4A636942" w:rsidR="000D2255" w:rsidRPr="004A557F" w:rsidRDefault="00FB2149"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T</w:t>
      </w:r>
      <w:r w:rsidR="00477023" w:rsidRPr="004A557F">
        <w:rPr>
          <w:rFonts w:eastAsiaTheme="minorEastAsia" w:cstheme="minorHAnsi"/>
          <w:sz w:val="24"/>
          <w:szCs w:val="24"/>
          <w:lang w:eastAsia="zh-CN"/>
        </w:rPr>
        <w:t>he high risk</w:t>
      </w:r>
      <w:r w:rsidR="00954A24" w:rsidRPr="004A557F">
        <w:rPr>
          <w:rFonts w:eastAsiaTheme="minorEastAsia" w:cstheme="minorHAnsi"/>
          <w:sz w:val="24"/>
          <w:szCs w:val="24"/>
          <w:lang w:eastAsia="zh-CN"/>
        </w:rPr>
        <w:t xml:space="preserve"> of diagnoses</w:t>
      </w:r>
      <w:r w:rsidR="00477023" w:rsidRPr="004A557F">
        <w:rPr>
          <w:rFonts w:eastAsiaTheme="minorEastAsia" w:cstheme="minorHAnsi"/>
          <w:sz w:val="24"/>
          <w:szCs w:val="24"/>
          <w:lang w:eastAsia="zh-CN"/>
        </w:rPr>
        <w:t xml:space="preserve"> in the first six months is likely to reflect the diagnos</w:t>
      </w:r>
      <w:r w:rsidR="00D46CF6" w:rsidRPr="004A557F">
        <w:rPr>
          <w:rFonts w:eastAsiaTheme="minorEastAsia" w:cstheme="minorHAnsi"/>
          <w:sz w:val="24"/>
          <w:szCs w:val="24"/>
          <w:lang w:eastAsia="zh-CN"/>
        </w:rPr>
        <w:t>t</w:t>
      </w:r>
      <w:r w:rsidR="00477023" w:rsidRPr="004A557F">
        <w:rPr>
          <w:rFonts w:eastAsiaTheme="minorEastAsia" w:cstheme="minorHAnsi"/>
          <w:sz w:val="24"/>
          <w:szCs w:val="24"/>
          <w:lang w:eastAsia="zh-CN"/>
        </w:rPr>
        <w:t>ic period for the initial presentation of breathlessness to allow time for tests and monitoring of symptoms</w:t>
      </w:r>
      <w:r w:rsidRPr="004A557F">
        <w:rPr>
          <w:rFonts w:eastAsiaTheme="minorEastAsia" w:cstheme="minorHAnsi"/>
          <w:sz w:val="24"/>
          <w:szCs w:val="24"/>
          <w:lang w:eastAsia="zh-CN"/>
        </w:rPr>
        <w:t xml:space="preserve">. </w:t>
      </w:r>
      <w:r w:rsidR="000D2255" w:rsidRPr="004A557F">
        <w:rPr>
          <w:rFonts w:eastAsiaTheme="minorEastAsia" w:cstheme="minorHAnsi"/>
          <w:sz w:val="24"/>
          <w:szCs w:val="24"/>
          <w:lang w:eastAsia="zh-CN"/>
        </w:rPr>
        <w:t>However</w:t>
      </w:r>
      <w:r w:rsidR="003F1CC4" w:rsidRPr="004A557F">
        <w:rPr>
          <w:rFonts w:eastAsiaTheme="minorEastAsia" w:cstheme="minorHAnsi"/>
          <w:sz w:val="24"/>
          <w:szCs w:val="24"/>
          <w:lang w:eastAsia="zh-CN"/>
        </w:rPr>
        <w:t>,</w:t>
      </w:r>
      <w:r w:rsidR="000D2255" w:rsidRPr="004A557F">
        <w:rPr>
          <w:rFonts w:eastAsiaTheme="minorEastAsia" w:cstheme="minorHAnsi"/>
          <w:sz w:val="24"/>
          <w:szCs w:val="24"/>
          <w:lang w:eastAsia="zh-CN"/>
        </w:rPr>
        <w:t xml:space="preserve"> the majority of patients who received a diagnosis </w:t>
      </w:r>
      <w:r w:rsidR="00ED70A5" w:rsidRPr="004A557F">
        <w:rPr>
          <w:rFonts w:eastAsiaTheme="minorEastAsia" w:cstheme="minorHAnsi"/>
          <w:sz w:val="24"/>
          <w:szCs w:val="24"/>
          <w:lang w:eastAsia="zh-CN"/>
        </w:rPr>
        <w:t xml:space="preserve">of COPD, asthma </w:t>
      </w:r>
      <w:r w:rsidR="00954A24" w:rsidRPr="004A557F">
        <w:rPr>
          <w:rFonts w:eastAsiaTheme="minorEastAsia" w:cstheme="minorHAnsi"/>
          <w:sz w:val="24"/>
          <w:szCs w:val="24"/>
          <w:lang w:eastAsia="zh-CN"/>
        </w:rPr>
        <w:t>or</w:t>
      </w:r>
      <w:r w:rsidR="00ED70A5" w:rsidRPr="004A557F">
        <w:rPr>
          <w:rFonts w:eastAsiaTheme="minorEastAsia" w:cstheme="minorHAnsi"/>
          <w:sz w:val="24"/>
          <w:szCs w:val="24"/>
          <w:lang w:eastAsia="zh-CN"/>
        </w:rPr>
        <w:t xml:space="preserve"> IHD </w:t>
      </w:r>
      <w:r w:rsidR="000D2255" w:rsidRPr="004A557F">
        <w:rPr>
          <w:rFonts w:eastAsiaTheme="minorEastAsia" w:cstheme="minorHAnsi"/>
          <w:sz w:val="24"/>
          <w:szCs w:val="24"/>
          <w:lang w:eastAsia="zh-CN"/>
        </w:rPr>
        <w:t xml:space="preserve">did so after this </w:t>
      </w:r>
      <w:r w:rsidR="00ED70A5" w:rsidRPr="004A557F">
        <w:rPr>
          <w:rFonts w:eastAsiaTheme="minorEastAsia" w:cstheme="minorHAnsi"/>
          <w:sz w:val="24"/>
          <w:szCs w:val="24"/>
          <w:lang w:eastAsia="zh-CN"/>
        </w:rPr>
        <w:t xml:space="preserve">six month </w:t>
      </w:r>
      <w:r w:rsidR="000D2255" w:rsidRPr="004A557F">
        <w:rPr>
          <w:rFonts w:eastAsiaTheme="minorEastAsia" w:cstheme="minorHAnsi"/>
          <w:sz w:val="24"/>
          <w:szCs w:val="24"/>
          <w:lang w:eastAsia="zh-CN"/>
        </w:rPr>
        <w:t>period</w:t>
      </w:r>
      <w:r w:rsidR="00954A24" w:rsidRPr="004A557F">
        <w:rPr>
          <w:rFonts w:eastAsiaTheme="minorEastAsia" w:cstheme="minorHAnsi"/>
          <w:sz w:val="24"/>
          <w:szCs w:val="24"/>
          <w:lang w:eastAsia="zh-CN"/>
        </w:rPr>
        <w:t>,</w:t>
      </w:r>
      <w:r w:rsidR="00ED70A5" w:rsidRPr="004A557F">
        <w:rPr>
          <w:rFonts w:eastAsiaTheme="minorEastAsia" w:cstheme="minorHAnsi"/>
          <w:sz w:val="24"/>
          <w:szCs w:val="24"/>
          <w:lang w:eastAsia="zh-CN"/>
        </w:rPr>
        <w:t xml:space="preserve"> which</w:t>
      </w:r>
      <w:r w:rsidR="00163B0B" w:rsidRPr="004A557F">
        <w:rPr>
          <w:rFonts w:eastAsiaTheme="minorEastAsia" w:cstheme="minorHAnsi"/>
          <w:sz w:val="24"/>
          <w:szCs w:val="24"/>
          <w:lang w:eastAsia="zh-CN"/>
        </w:rPr>
        <w:t xml:space="preserve"> </w:t>
      </w:r>
      <w:r w:rsidR="000D2255" w:rsidRPr="004A557F">
        <w:rPr>
          <w:rFonts w:eastAsiaTheme="minorEastAsia" w:cstheme="minorHAnsi"/>
          <w:sz w:val="24"/>
          <w:szCs w:val="24"/>
          <w:lang w:eastAsia="zh-CN"/>
        </w:rPr>
        <w:t xml:space="preserve">may imply a delay in diagnosis. </w:t>
      </w:r>
      <w:r w:rsidR="001E2C77" w:rsidRPr="004A557F">
        <w:rPr>
          <w:rFonts w:eastAsiaTheme="minorEastAsia" w:cstheme="minorHAnsi"/>
          <w:sz w:val="24"/>
          <w:szCs w:val="24"/>
          <w:lang w:eastAsia="zh-CN"/>
        </w:rPr>
        <w:t>T</w:t>
      </w:r>
      <w:r w:rsidR="00056FF7" w:rsidRPr="004A557F">
        <w:rPr>
          <w:rFonts w:eastAsiaTheme="minorEastAsia" w:cstheme="minorHAnsi"/>
          <w:sz w:val="24"/>
          <w:szCs w:val="24"/>
          <w:lang w:eastAsia="zh-CN"/>
        </w:rPr>
        <w:t>he</w:t>
      </w:r>
      <w:r w:rsidR="000D2255" w:rsidRPr="004A557F">
        <w:rPr>
          <w:rFonts w:eastAsiaTheme="minorEastAsia" w:cstheme="minorHAnsi"/>
          <w:sz w:val="24"/>
          <w:szCs w:val="24"/>
          <w:lang w:eastAsia="zh-CN"/>
        </w:rPr>
        <w:t xml:space="preserve"> high</w:t>
      </w:r>
      <w:r w:rsidR="00217AFC" w:rsidRPr="004A557F">
        <w:rPr>
          <w:rFonts w:eastAsiaTheme="minorEastAsia" w:cstheme="minorHAnsi"/>
          <w:sz w:val="24"/>
          <w:szCs w:val="24"/>
          <w:lang w:eastAsia="zh-CN"/>
        </w:rPr>
        <w:t>er</w:t>
      </w:r>
      <w:r w:rsidR="000D2255" w:rsidRPr="004A557F">
        <w:rPr>
          <w:rFonts w:eastAsiaTheme="minorEastAsia" w:cstheme="minorHAnsi"/>
          <w:sz w:val="24"/>
          <w:szCs w:val="24"/>
          <w:lang w:eastAsia="zh-CN"/>
        </w:rPr>
        <w:t xml:space="preserve"> </w:t>
      </w:r>
      <w:r w:rsidR="00163B0B" w:rsidRPr="004A557F">
        <w:rPr>
          <w:rFonts w:eastAsiaTheme="minorEastAsia" w:cstheme="minorHAnsi"/>
          <w:sz w:val="24"/>
          <w:szCs w:val="24"/>
          <w:lang w:eastAsia="zh-CN"/>
        </w:rPr>
        <w:t xml:space="preserve">long-term </w:t>
      </w:r>
      <w:r w:rsidR="000D2255" w:rsidRPr="004A557F">
        <w:rPr>
          <w:rFonts w:eastAsiaTheme="minorEastAsia" w:cstheme="minorHAnsi"/>
          <w:sz w:val="24"/>
          <w:szCs w:val="24"/>
          <w:lang w:eastAsia="zh-CN"/>
        </w:rPr>
        <w:t>risk</w:t>
      </w:r>
      <w:r w:rsidR="002D1700" w:rsidRPr="004A557F">
        <w:rPr>
          <w:rFonts w:eastAsiaTheme="minorEastAsia" w:cstheme="minorHAnsi"/>
          <w:sz w:val="24"/>
          <w:szCs w:val="24"/>
          <w:lang w:eastAsia="zh-CN"/>
        </w:rPr>
        <w:t>s</w:t>
      </w:r>
      <w:r w:rsidR="001E2C77" w:rsidRPr="004A557F">
        <w:rPr>
          <w:rFonts w:eastAsiaTheme="minorEastAsia" w:cstheme="minorHAnsi"/>
          <w:sz w:val="24"/>
          <w:szCs w:val="24"/>
          <w:lang w:eastAsia="zh-CN"/>
        </w:rPr>
        <w:t xml:space="preserve"> </w:t>
      </w:r>
      <w:r w:rsidR="00ED70A5" w:rsidRPr="004A557F">
        <w:rPr>
          <w:rFonts w:eastAsiaTheme="minorEastAsia" w:cstheme="minorHAnsi"/>
          <w:sz w:val="24"/>
          <w:szCs w:val="24"/>
          <w:lang w:eastAsia="zh-CN"/>
        </w:rPr>
        <w:t>of subsequent diagnosis of COPD, asthma or IHD</w:t>
      </w:r>
      <w:r w:rsidR="00217AFC" w:rsidRPr="004A557F">
        <w:rPr>
          <w:rFonts w:eastAsiaTheme="minorEastAsia" w:cstheme="minorHAnsi"/>
          <w:sz w:val="24"/>
          <w:szCs w:val="24"/>
          <w:lang w:eastAsia="zh-CN"/>
        </w:rPr>
        <w:t xml:space="preserve"> and of mortality</w:t>
      </w:r>
      <w:r w:rsidR="00ED70A5" w:rsidRPr="004A557F">
        <w:rPr>
          <w:rFonts w:eastAsiaTheme="minorEastAsia" w:cstheme="minorHAnsi"/>
          <w:sz w:val="24"/>
          <w:szCs w:val="24"/>
          <w:lang w:eastAsia="zh-CN"/>
        </w:rPr>
        <w:t xml:space="preserve"> </w:t>
      </w:r>
      <w:r w:rsidR="001E2C77" w:rsidRPr="004A557F">
        <w:rPr>
          <w:rFonts w:eastAsiaTheme="minorEastAsia" w:cstheme="minorHAnsi"/>
          <w:sz w:val="24"/>
          <w:szCs w:val="24"/>
          <w:lang w:eastAsia="zh-CN"/>
        </w:rPr>
        <w:t>suggest</w:t>
      </w:r>
      <w:r w:rsidR="000D2255" w:rsidRPr="004A557F">
        <w:rPr>
          <w:rFonts w:eastAsiaTheme="minorEastAsia" w:cstheme="minorHAnsi"/>
          <w:sz w:val="24"/>
          <w:szCs w:val="24"/>
          <w:lang w:eastAsia="zh-CN"/>
        </w:rPr>
        <w:t xml:space="preserve"> the important prognostic value</w:t>
      </w:r>
      <w:r w:rsidR="00163B0B" w:rsidRPr="004A557F">
        <w:rPr>
          <w:rFonts w:eastAsiaTheme="minorEastAsia" w:cstheme="minorHAnsi"/>
          <w:sz w:val="24"/>
          <w:szCs w:val="24"/>
          <w:lang w:eastAsia="zh-CN"/>
        </w:rPr>
        <w:t xml:space="preserve"> of th</w:t>
      </w:r>
      <w:r w:rsidR="00405562" w:rsidRPr="004A557F">
        <w:rPr>
          <w:rFonts w:eastAsiaTheme="minorEastAsia" w:cstheme="minorHAnsi"/>
          <w:sz w:val="24"/>
          <w:szCs w:val="24"/>
          <w:lang w:eastAsia="zh-CN"/>
        </w:rPr>
        <w:t>is</w:t>
      </w:r>
      <w:r w:rsidR="00163B0B" w:rsidRPr="004A557F">
        <w:rPr>
          <w:rFonts w:eastAsiaTheme="minorEastAsia" w:cstheme="minorHAnsi"/>
          <w:sz w:val="24"/>
          <w:szCs w:val="24"/>
          <w:lang w:eastAsia="zh-CN"/>
        </w:rPr>
        <w:t xml:space="preserve"> symptom</w:t>
      </w:r>
      <w:r w:rsidR="00D46CF6" w:rsidRPr="004A557F">
        <w:rPr>
          <w:rFonts w:eastAsiaTheme="minorEastAsia" w:cstheme="minorHAnsi"/>
          <w:sz w:val="24"/>
          <w:szCs w:val="24"/>
          <w:lang w:eastAsia="zh-CN"/>
        </w:rPr>
        <w:t xml:space="preserve">, with </w:t>
      </w:r>
      <w:r w:rsidR="00CC7093" w:rsidRPr="004A557F">
        <w:rPr>
          <w:rFonts w:eastAsiaTheme="minorEastAsia" w:cstheme="minorHAnsi"/>
          <w:sz w:val="24"/>
          <w:szCs w:val="24"/>
          <w:lang w:eastAsia="zh-CN"/>
        </w:rPr>
        <w:t>one in ten patients</w:t>
      </w:r>
      <w:r w:rsidR="001E2C77" w:rsidRPr="004A557F">
        <w:rPr>
          <w:rFonts w:eastAsiaTheme="minorEastAsia" w:cstheme="minorHAnsi"/>
          <w:sz w:val="24"/>
          <w:szCs w:val="24"/>
          <w:lang w:eastAsia="zh-CN"/>
        </w:rPr>
        <w:t xml:space="preserve"> </w:t>
      </w:r>
      <w:r w:rsidR="00CC7093" w:rsidRPr="004A557F">
        <w:rPr>
          <w:rFonts w:eastAsiaTheme="minorEastAsia" w:cstheme="minorHAnsi"/>
          <w:sz w:val="24"/>
          <w:szCs w:val="24"/>
          <w:lang w:eastAsia="zh-CN"/>
        </w:rPr>
        <w:t>receiving a diagnosis</w:t>
      </w:r>
      <w:r w:rsidR="001E2C77" w:rsidRPr="004A557F">
        <w:rPr>
          <w:rFonts w:eastAsiaTheme="minorEastAsia" w:cstheme="minorHAnsi"/>
          <w:sz w:val="24"/>
          <w:szCs w:val="24"/>
          <w:lang w:eastAsia="zh-CN"/>
        </w:rPr>
        <w:t xml:space="preserve"> more than three years after their initial symptom presentation</w:t>
      </w:r>
      <w:r w:rsidR="000D2255" w:rsidRPr="004A557F">
        <w:rPr>
          <w:rFonts w:eastAsiaTheme="minorEastAsia" w:cstheme="minorHAnsi"/>
          <w:sz w:val="24"/>
          <w:szCs w:val="24"/>
          <w:lang w:eastAsia="zh-CN"/>
        </w:rPr>
        <w:t>.</w:t>
      </w:r>
    </w:p>
    <w:p w14:paraId="5B0871C3" w14:textId="77AA4B1A" w:rsidR="00EB3A57" w:rsidRPr="004A557F" w:rsidRDefault="00FB2149"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In the first six months a</w:t>
      </w:r>
      <w:r w:rsidR="001F2040" w:rsidRPr="004A557F">
        <w:rPr>
          <w:rFonts w:eastAsiaTheme="minorEastAsia" w:cstheme="minorHAnsi"/>
          <w:sz w:val="24"/>
          <w:szCs w:val="24"/>
          <w:lang w:eastAsia="zh-CN"/>
        </w:rPr>
        <w:t xml:space="preserve">fter presenting </w:t>
      </w:r>
      <w:r w:rsidRPr="004A557F">
        <w:rPr>
          <w:rFonts w:eastAsiaTheme="minorEastAsia" w:cstheme="minorHAnsi"/>
          <w:sz w:val="24"/>
          <w:szCs w:val="24"/>
          <w:lang w:eastAsia="zh-CN"/>
        </w:rPr>
        <w:t xml:space="preserve">with </w:t>
      </w:r>
      <w:r w:rsidR="000138F3" w:rsidRPr="004A557F">
        <w:rPr>
          <w:rFonts w:eastAsiaTheme="minorEastAsia" w:cstheme="minorHAnsi"/>
          <w:sz w:val="24"/>
          <w:szCs w:val="24"/>
          <w:lang w:eastAsia="zh-CN"/>
        </w:rPr>
        <w:t xml:space="preserve">an </w:t>
      </w:r>
      <w:r w:rsidRPr="004A557F">
        <w:rPr>
          <w:rFonts w:eastAsiaTheme="minorEastAsia" w:cstheme="minorHAnsi"/>
          <w:sz w:val="24"/>
          <w:szCs w:val="24"/>
          <w:lang w:eastAsia="zh-CN"/>
        </w:rPr>
        <w:t xml:space="preserve">undiagnosed </w:t>
      </w:r>
      <w:r w:rsidR="001F2040" w:rsidRPr="004A557F">
        <w:rPr>
          <w:rFonts w:eastAsiaTheme="minorEastAsia" w:cstheme="minorHAnsi"/>
          <w:sz w:val="24"/>
          <w:szCs w:val="24"/>
          <w:lang w:eastAsia="zh-CN"/>
        </w:rPr>
        <w:t xml:space="preserve">breathlessness symptom, </w:t>
      </w:r>
      <w:r w:rsidR="00925961" w:rsidRPr="004A557F">
        <w:rPr>
          <w:rFonts w:eastAsiaTheme="minorEastAsia" w:cstheme="minorHAnsi"/>
          <w:sz w:val="24"/>
          <w:szCs w:val="24"/>
          <w:lang w:eastAsia="zh-CN"/>
        </w:rPr>
        <w:t>one third</w:t>
      </w:r>
      <w:r w:rsidR="001F2040" w:rsidRPr="004A557F">
        <w:rPr>
          <w:rFonts w:eastAsiaTheme="minorEastAsia" w:cstheme="minorHAnsi"/>
          <w:sz w:val="24"/>
          <w:szCs w:val="24"/>
          <w:lang w:eastAsia="zh-CN"/>
        </w:rPr>
        <w:t xml:space="preserve"> of the patients received </w:t>
      </w:r>
      <w:r w:rsidRPr="004A557F">
        <w:rPr>
          <w:rFonts w:eastAsiaTheme="minorEastAsia" w:cstheme="minorHAnsi"/>
          <w:sz w:val="24"/>
          <w:szCs w:val="24"/>
          <w:lang w:eastAsia="zh-CN"/>
        </w:rPr>
        <w:t>medication</w:t>
      </w:r>
      <w:r w:rsidR="004530B7" w:rsidRPr="004A557F">
        <w:rPr>
          <w:rFonts w:eastAsiaTheme="minorEastAsia" w:cstheme="minorHAnsi"/>
          <w:sz w:val="24"/>
          <w:szCs w:val="24"/>
          <w:lang w:eastAsia="zh-CN"/>
        </w:rPr>
        <w:t>s</w:t>
      </w:r>
      <w:r w:rsidRPr="004A557F">
        <w:rPr>
          <w:rFonts w:eastAsiaTheme="minorEastAsia" w:cstheme="minorHAnsi"/>
          <w:sz w:val="24"/>
          <w:szCs w:val="24"/>
          <w:lang w:eastAsia="zh-CN"/>
        </w:rPr>
        <w:t xml:space="preserve"> </w:t>
      </w:r>
      <w:r w:rsidR="00CC1553" w:rsidRPr="004A557F">
        <w:rPr>
          <w:rFonts w:eastAsiaTheme="minorEastAsia" w:cstheme="minorHAnsi"/>
          <w:sz w:val="24"/>
          <w:szCs w:val="24"/>
          <w:lang w:eastAsia="zh-CN"/>
        </w:rPr>
        <w:t xml:space="preserve">related </w:t>
      </w:r>
      <w:r w:rsidR="00A43F5A" w:rsidRPr="004A557F">
        <w:rPr>
          <w:rFonts w:eastAsiaTheme="minorEastAsia" w:cstheme="minorHAnsi"/>
          <w:sz w:val="24"/>
          <w:szCs w:val="24"/>
          <w:lang w:eastAsia="zh-CN"/>
        </w:rPr>
        <w:t xml:space="preserve">to </w:t>
      </w:r>
      <w:r w:rsidR="001F2040" w:rsidRPr="004A557F">
        <w:rPr>
          <w:rFonts w:eastAsiaTheme="minorEastAsia" w:cstheme="minorHAnsi"/>
          <w:sz w:val="24"/>
          <w:szCs w:val="24"/>
          <w:lang w:eastAsia="zh-CN"/>
        </w:rPr>
        <w:t>COPD/asthma</w:t>
      </w:r>
      <w:r w:rsidR="00925961" w:rsidRPr="004A557F">
        <w:rPr>
          <w:rFonts w:eastAsiaTheme="minorEastAsia" w:cstheme="minorHAnsi"/>
          <w:sz w:val="24"/>
          <w:szCs w:val="24"/>
          <w:lang w:eastAsia="zh-CN"/>
        </w:rPr>
        <w:t xml:space="preserve"> and one third</w:t>
      </w:r>
      <w:r w:rsidR="001F2040" w:rsidRPr="004A557F">
        <w:rPr>
          <w:rFonts w:eastAsiaTheme="minorEastAsia" w:cstheme="minorHAnsi"/>
          <w:sz w:val="24"/>
          <w:szCs w:val="24"/>
          <w:lang w:eastAsia="zh-CN"/>
        </w:rPr>
        <w:t xml:space="preserve"> IHD</w:t>
      </w:r>
      <w:r w:rsidR="00925961" w:rsidRPr="004A557F">
        <w:rPr>
          <w:rFonts w:eastAsiaTheme="minorEastAsia" w:cstheme="minorHAnsi"/>
          <w:sz w:val="24"/>
          <w:szCs w:val="24"/>
          <w:lang w:eastAsia="zh-CN"/>
        </w:rPr>
        <w:t xml:space="preserve"> </w:t>
      </w:r>
      <w:r w:rsidR="00154638" w:rsidRPr="004A557F">
        <w:rPr>
          <w:rFonts w:eastAsiaTheme="minorEastAsia" w:cstheme="minorHAnsi"/>
          <w:sz w:val="24"/>
          <w:szCs w:val="24"/>
          <w:lang w:eastAsia="zh-CN"/>
        </w:rPr>
        <w:t>medications</w:t>
      </w:r>
      <w:r w:rsidR="00397C63" w:rsidRPr="004A557F">
        <w:rPr>
          <w:rFonts w:eastAsiaTheme="minorEastAsia" w:cstheme="minorHAnsi"/>
          <w:sz w:val="24"/>
          <w:szCs w:val="24"/>
          <w:lang w:eastAsia="zh-CN"/>
        </w:rPr>
        <w:t>,</w:t>
      </w:r>
      <w:r w:rsidR="000138F3" w:rsidRPr="004A557F">
        <w:rPr>
          <w:rFonts w:eastAsiaTheme="minorEastAsia" w:cstheme="minorHAnsi"/>
          <w:sz w:val="24"/>
          <w:szCs w:val="24"/>
          <w:lang w:eastAsia="zh-CN"/>
        </w:rPr>
        <w:t xml:space="preserve"> which might suggest the GP was considering </w:t>
      </w:r>
      <w:r w:rsidR="00ED70A5" w:rsidRPr="004A557F">
        <w:rPr>
          <w:rFonts w:eastAsiaTheme="minorEastAsia" w:cstheme="minorHAnsi"/>
          <w:sz w:val="24"/>
          <w:szCs w:val="24"/>
          <w:lang w:eastAsia="zh-CN"/>
        </w:rPr>
        <w:t xml:space="preserve">a </w:t>
      </w:r>
      <w:r w:rsidR="000138F3" w:rsidRPr="004A557F">
        <w:rPr>
          <w:rFonts w:eastAsiaTheme="minorEastAsia" w:cstheme="minorHAnsi"/>
          <w:sz w:val="24"/>
          <w:szCs w:val="24"/>
          <w:lang w:eastAsia="zh-CN"/>
        </w:rPr>
        <w:t>diagnosis</w:t>
      </w:r>
      <w:r w:rsidR="00ED70A5" w:rsidRPr="004A557F">
        <w:rPr>
          <w:rFonts w:eastAsiaTheme="minorEastAsia" w:cstheme="minorHAnsi"/>
          <w:sz w:val="24"/>
          <w:szCs w:val="24"/>
          <w:lang w:eastAsia="zh-CN"/>
        </w:rPr>
        <w:t xml:space="preserve"> of more serious illness but had not coded this</w:t>
      </w:r>
      <w:r w:rsidRPr="004A557F">
        <w:rPr>
          <w:rFonts w:eastAsiaTheme="minorEastAsia" w:cstheme="minorHAnsi"/>
          <w:sz w:val="24"/>
          <w:szCs w:val="24"/>
          <w:lang w:eastAsia="zh-CN"/>
        </w:rPr>
        <w:t>.</w:t>
      </w:r>
      <w:r w:rsidR="00154638" w:rsidRPr="004A557F">
        <w:rPr>
          <w:rFonts w:eastAsiaTheme="minorEastAsia" w:cstheme="minorHAnsi"/>
          <w:sz w:val="24"/>
          <w:szCs w:val="24"/>
          <w:lang w:eastAsia="zh-CN"/>
        </w:rPr>
        <w:t xml:space="preserve"> </w:t>
      </w:r>
      <w:r w:rsidR="005A2BEC" w:rsidRPr="004A557F">
        <w:rPr>
          <w:rFonts w:eastAsiaTheme="minorEastAsia" w:cstheme="minorHAnsi"/>
          <w:sz w:val="24"/>
          <w:szCs w:val="24"/>
          <w:lang w:eastAsia="zh-CN"/>
        </w:rPr>
        <w:t xml:space="preserve">However, in those </w:t>
      </w:r>
      <w:r w:rsidR="00407687" w:rsidRPr="004A557F">
        <w:rPr>
          <w:rFonts w:eastAsiaTheme="minorEastAsia" w:cstheme="minorHAnsi"/>
          <w:sz w:val="24"/>
          <w:szCs w:val="24"/>
          <w:lang w:eastAsia="zh-CN"/>
        </w:rPr>
        <w:t xml:space="preserve">who </w:t>
      </w:r>
      <w:r w:rsidR="005A2BEC" w:rsidRPr="004A557F">
        <w:rPr>
          <w:rFonts w:eastAsiaTheme="minorEastAsia" w:cstheme="minorHAnsi"/>
          <w:sz w:val="24"/>
          <w:szCs w:val="24"/>
          <w:lang w:eastAsia="zh-CN"/>
        </w:rPr>
        <w:t xml:space="preserve">received no </w:t>
      </w:r>
      <w:r w:rsidRPr="004A557F">
        <w:rPr>
          <w:rFonts w:eastAsiaTheme="minorEastAsia" w:cstheme="minorHAnsi"/>
          <w:sz w:val="24"/>
          <w:szCs w:val="24"/>
          <w:lang w:eastAsia="zh-CN"/>
        </w:rPr>
        <w:t xml:space="preserve">relevant prescription </w:t>
      </w:r>
      <w:r w:rsidR="005A2BEC" w:rsidRPr="004A557F">
        <w:rPr>
          <w:rFonts w:eastAsiaTheme="minorEastAsia" w:cstheme="minorHAnsi"/>
          <w:sz w:val="24"/>
          <w:szCs w:val="24"/>
          <w:lang w:eastAsia="zh-CN"/>
        </w:rPr>
        <w:t>in the first six months</w:t>
      </w:r>
      <w:r w:rsidR="00407687" w:rsidRPr="004A557F">
        <w:rPr>
          <w:rFonts w:eastAsiaTheme="minorEastAsia" w:cstheme="minorHAnsi"/>
          <w:sz w:val="24"/>
          <w:szCs w:val="24"/>
          <w:lang w:eastAsia="zh-CN"/>
        </w:rPr>
        <w:t xml:space="preserve">, </w:t>
      </w:r>
      <w:r w:rsidRPr="004A557F">
        <w:rPr>
          <w:rFonts w:eastAsiaTheme="minorEastAsia" w:cstheme="minorHAnsi"/>
          <w:sz w:val="24"/>
          <w:szCs w:val="24"/>
          <w:lang w:eastAsia="zh-CN"/>
        </w:rPr>
        <w:t>there</w:t>
      </w:r>
      <w:r w:rsidR="002D1700" w:rsidRPr="004A557F">
        <w:rPr>
          <w:rFonts w:eastAsiaTheme="minorEastAsia" w:cstheme="minorHAnsi"/>
          <w:sz w:val="24"/>
          <w:szCs w:val="24"/>
          <w:lang w:eastAsia="zh-CN"/>
        </w:rPr>
        <w:t xml:space="preserve"> </w:t>
      </w:r>
      <w:r w:rsidRPr="004A557F">
        <w:rPr>
          <w:rFonts w:eastAsiaTheme="minorEastAsia" w:cstheme="minorHAnsi"/>
          <w:sz w:val="24"/>
          <w:szCs w:val="24"/>
          <w:lang w:eastAsia="zh-CN"/>
        </w:rPr>
        <w:t>remained a</w:t>
      </w:r>
      <w:r w:rsidR="00903A1B" w:rsidRPr="004A557F">
        <w:rPr>
          <w:rFonts w:eastAsiaTheme="minorEastAsia" w:cstheme="minorHAnsi"/>
          <w:sz w:val="24"/>
          <w:szCs w:val="24"/>
          <w:lang w:eastAsia="zh-CN"/>
        </w:rPr>
        <w:t xml:space="preserve">n </w:t>
      </w:r>
      <w:r w:rsidRPr="004A557F">
        <w:rPr>
          <w:rFonts w:eastAsiaTheme="minorEastAsia" w:cstheme="minorHAnsi"/>
          <w:sz w:val="24"/>
          <w:szCs w:val="24"/>
          <w:lang w:eastAsia="zh-CN"/>
        </w:rPr>
        <w:t>increased risk of future diagnosis of COPD, asthma or IHD</w:t>
      </w:r>
      <w:r w:rsidR="007078D3" w:rsidRPr="004A557F">
        <w:rPr>
          <w:rFonts w:eastAsiaTheme="minorEastAsia" w:cstheme="minorHAnsi"/>
          <w:sz w:val="24"/>
          <w:szCs w:val="24"/>
          <w:lang w:eastAsia="zh-CN"/>
        </w:rPr>
        <w:t>, and approximately half of all</w:t>
      </w:r>
      <w:r w:rsidR="009E3F1F" w:rsidRPr="004A557F">
        <w:rPr>
          <w:rFonts w:eastAsiaTheme="minorEastAsia" w:cstheme="minorHAnsi"/>
          <w:sz w:val="24"/>
          <w:szCs w:val="24"/>
          <w:lang w:eastAsia="zh-CN"/>
        </w:rPr>
        <w:t xml:space="preserve"> future diagnoses were made in such patients.</w:t>
      </w:r>
      <w:r w:rsidR="00A92B94" w:rsidRPr="004A557F">
        <w:rPr>
          <w:rFonts w:eastAsiaTheme="minorEastAsia" w:cstheme="minorHAnsi"/>
          <w:sz w:val="24"/>
          <w:szCs w:val="24"/>
          <w:lang w:eastAsia="zh-CN"/>
        </w:rPr>
        <w:t xml:space="preserve"> </w:t>
      </w:r>
      <w:r w:rsidR="00DB4EDD" w:rsidRPr="004A557F">
        <w:rPr>
          <w:rFonts w:eastAsiaTheme="minorEastAsia" w:cstheme="minorHAnsi"/>
          <w:sz w:val="24"/>
          <w:szCs w:val="24"/>
          <w:lang w:eastAsia="zh-CN"/>
        </w:rPr>
        <w:t>This implies the possibility of a missed opportunity for more investigation of symptom causation and earlier initiation of treatment for COPD, asthma, and IHD.</w:t>
      </w:r>
    </w:p>
    <w:p w14:paraId="22279907" w14:textId="4101CC1D" w:rsidR="00F85427" w:rsidRPr="004A557F" w:rsidRDefault="00162893"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lastRenderedPageBreak/>
        <w:t>Breathlessness symptom w</w:t>
      </w:r>
      <w:r w:rsidR="00405562" w:rsidRPr="004A557F">
        <w:rPr>
          <w:rFonts w:eastAsiaTheme="minorEastAsia" w:cstheme="minorHAnsi"/>
          <w:sz w:val="24"/>
          <w:szCs w:val="24"/>
          <w:lang w:eastAsia="zh-CN"/>
        </w:rPr>
        <w:t>as</w:t>
      </w:r>
      <w:r w:rsidRPr="004A557F">
        <w:rPr>
          <w:rFonts w:eastAsiaTheme="minorEastAsia" w:cstheme="minorHAnsi"/>
          <w:sz w:val="24"/>
          <w:szCs w:val="24"/>
          <w:lang w:eastAsia="zh-CN"/>
        </w:rPr>
        <w:t xml:space="preserve"> associated with all-cause, COPD and IHD-related mortality in the short and long-term. All-cause mortality in the first six months after initial breathlessness symptom was particularly high and it is possible the symptom may be related to an underlying terminal disease. However</w:t>
      </w:r>
      <w:r w:rsidR="003F1CC4"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the</w:t>
      </w:r>
      <w:r w:rsidR="000E467A" w:rsidRPr="004A557F">
        <w:rPr>
          <w:rFonts w:eastAsiaTheme="minorEastAsia" w:cstheme="minorHAnsi"/>
          <w:sz w:val="24"/>
          <w:szCs w:val="24"/>
          <w:lang w:eastAsia="zh-CN"/>
        </w:rPr>
        <w:t>re were</w:t>
      </w:r>
      <w:r w:rsidRPr="004A557F">
        <w:rPr>
          <w:rFonts w:eastAsiaTheme="minorEastAsia" w:cstheme="minorHAnsi"/>
          <w:sz w:val="24"/>
          <w:szCs w:val="24"/>
          <w:lang w:eastAsia="zh-CN"/>
        </w:rPr>
        <w:t xml:space="preserve"> increased long-term risks for</w:t>
      </w:r>
      <w:r w:rsidR="000E467A" w:rsidRPr="004A557F">
        <w:rPr>
          <w:rFonts w:eastAsiaTheme="minorEastAsia" w:cstheme="minorHAnsi"/>
          <w:sz w:val="24"/>
          <w:szCs w:val="24"/>
          <w:lang w:eastAsia="zh-CN"/>
        </w:rPr>
        <w:t xml:space="preserve"> </w:t>
      </w:r>
      <w:r w:rsidR="00926122" w:rsidRPr="004A557F">
        <w:rPr>
          <w:rFonts w:eastAsiaTheme="minorEastAsia" w:cstheme="minorHAnsi"/>
          <w:sz w:val="24"/>
          <w:szCs w:val="24"/>
          <w:lang w:eastAsia="zh-CN"/>
        </w:rPr>
        <w:t xml:space="preserve">disease-specific </w:t>
      </w:r>
      <w:r w:rsidRPr="004A557F">
        <w:rPr>
          <w:rFonts w:eastAsiaTheme="minorEastAsia" w:cstheme="minorHAnsi"/>
          <w:sz w:val="24"/>
          <w:szCs w:val="24"/>
          <w:lang w:eastAsia="zh-CN"/>
        </w:rPr>
        <w:t>mortality, which remained afte</w:t>
      </w:r>
      <w:r w:rsidR="000E467A" w:rsidRPr="004A557F">
        <w:rPr>
          <w:rFonts w:eastAsiaTheme="minorEastAsia" w:cstheme="minorHAnsi"/>
          <w:sz w:val="24"/>
          <w:szCs w:val="24"/>
          <w:lang w:eastAsia="zh-CN"/>
        </w:rPr>
        <w:t>r adjustment for later diagnosis</w:t>
      </w:r>
      <w:r w:rsidRPr="004A557F">
        <w:rPr>
          <w:rFonts w:eastAsiaTheme="minorEastAsia" w:cstheme="minorHAnsi"/>
          <w:sz w:val="24"/>
          <w:szCs w:val="24"/>
          <w:lang w:eastAsia="zh-CN"/>
        </w:rPr>
        <w:t>.</w:t>
      </w:r>
      <w:r w:rsidR="00F27E6A" w:rsidRPr="004A557F">
        <w:rPr>
          <w:rFonts w:eastAsiaTheme="minorEastAsia" w:cstheme="minorHAnsi"/>
          <w:sz w:val="24"/>
          <w:szCs w:val="24"/>
          <w:lang w:eastAsia="zh-CN"/>
        </w:rPr>
        <w:t xml:space="preserve"> T</w:t>
      </w:r>
      <w:r w:rsidR="00FE6914" w:rsidRPr="004A557F">
        <w:rPr>
          <w:rFonts w:eastAsiaTheme="minorEastAsia" w:cstheme="minorHAnsi"/>
          <w:sz w:val="24"/>
          <w:szCs w:val="24"/>
          <w:lang w:eastAsia="zh-CN"/>
        </w:rPr>
        <w:t xml:space="preserve">his </w:t>
      </w:r>
      <w:r w:rsidR="0044055D" w:rsidRPr="004A557F">
        <w:rPr>
          <w:rFonts w:eastAsiaTheme="minorEastAsia" w:cstheme="minorHAnsi"/>
          <w:sz w:val="24"/>
          <w:szCs w:val="24"/>
          <w:lang w:eastAsia="zh-CN"/>
        </w:rPr>
        <w:t xml:space="preserve">indicates that, </w:t>
      </w:r>
      <w:r w:rsidR="00F27E6A" w:rsidRPr="004A557F">
        <w:rPr>
          <w:rFonts w:eastAsiaTheme="minorEastAsia" w:cstheme="minorHAnsi"/>
          <w:sz w:val="24"/>
          <w:szCs w:val="24"/>
          <w:lang w:eastAsia="zh-CN"/>
        </w:rPr>
        <w:t>in addition to being a marker of underlying diseases such as COPD</w:t>
      </w:r>
      <w:r w:rsidR="00FE6914" w:rsidRPr="004A557F">
        <w:rPr>
          <w:rFonts w:eastAsiaTheme="minorEastAsia" w:cstheme="minorHAnsi"/>
          <w:sz w:val="24"/>
          <w:szCs w:val="24"/>
          <w:lang w:eastAsia="zh-CN"/>
        </w:rPr>
        <w:t>, asthma</w:t>
      </w:r>
      <w:r w:rsidR="00F27E6A" w:rsidRPr="004A557F">
        <w:rPr>
          <w:rFonts w:eastAsiaTheme="minorEastAsia" w:cstheme="minorHAnsi"/>
          <w:sz w:val="24"/>
          <w:szCs w:val="24"/>
          <w:lang w:eastAsia="zh-CN"/>
        </w:rPr>
        <w:t xml:space="preserve"> and IHD, breathlessness </w:t>
      </w:r>
      <w:r w:rsidR="0044055D" w:rsidRPr="004A557F">
        <w:rPr>
          <w:rFonts w:eastAsiaTheme="minorEastAsia" w:cstheme="minorHAnsi"/>
          <w:sz w:val="24"/>
          <w:szCs w:val="24"/>
          <w:lang w:eastAsia="zh-CN"/>
        </w:rPr>
        <w:t>remains an independent marker of long-term mortality risk</w:t>
      </w:r>
      <w:r w:rsidR="00F27E6A" w:rsidRPr="004A557F">
        <w:rPr>
          <w:rFonts w:eastAsiaTheme="minorEastAsia" w:cstheme="minorHAnsi"/>
          <w:sz w:val="24"/>
          <w:szCs w:val="24"/>
          <w:lang w:eastAsia="zh-CN"/>
        </w:rPr>
        <w:t xml:space="preserve">.  </w:t>
      </w:r>
    </w:p>
    <w:p w14:paraId="3770D7A0" w14:textId="743227DE" w:rsidR="009A6EC7" w:rsidRPr="004A557F" w:rsidRDefault="00CC4F19" w:rsidP="004A557F">
      <w:pPr>
        <w:spacing w:line="480" w:lineRule="auto"/>
        <w:rPr>
          <w:rFonts w:eastAsiaTheme="minorEastAsia" w:cstheme="minorHAnsi"/>
          <w:i/>
          <w:sz w:val="24"/>
          <w:szCs w:val="24"/>
          <w:lang w:eastAsia="zh-CN"/>
        </w:rPr>
      </w:pPr>
      <w:r w:rsidRPr="004A557F">
        <w:rPr>
          <w:rFonts w:eastAsiaTheme="minorEastAsia" w:cstheme="minorHAnsi"/>
          <w:i/>
          <w:sz w:val="24"/>
          <w:szCs w:val="24"/>
          <w:lang w:eastAsia="zh-CN"/>
        </w:rPr>
        <w:t xml:space="preserve">Comparison </w:t>
      </w:r>
      <w:r w:rsidR="00ED70A5" w:rsidRPr="004A557F">
        <w:rPr>
          <w:rFonts w:eastAsiaTheme="minorEastAsia" w:cstheme="minorHAnsi"/>
          <w:i/>
          <w:sz w:val="24"/>
          <w:szCs w:val="24"/>
          <w:lang w:eastAsia="zh-CN"/>
        </w:rPr>
        <w:t>with</w:t>
      </w:r>
      <w:r w:rsidRPr="004A557F">
        <w:rPr>
          <w:rFonts w:eastAsiaTheme="minorEastAsia" w:cstheme="minorHAnsi"/>
          <w:i/>
          <w:sz w:val="24"/>
          <w:szCs w:val="24"/>
          <w:lang w:eastAsia="zh-CN"/>
        </w:rPr>
        <w:t xml:space="preserve"> previous literature</w:t>
      </w:r>
    </w:p>
    <w:p w14:paraId="65BF0028" w14:textId="185070FF" w:rsidR="00481CA4" w:rsidRPr="004A557F" w:rsidRDefault="007137A0"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 xml:space="preserve">In </w:t>
      </w:r>
      <w:r w:rsidR="002B3BFC" w:rsidRPr="004A557F">
        <w:rPr>
          <w:rFonts w:eastAsiaTheme="minorEastAsia" w:cstheme="minorHAnsi"/>
          <w:sz w:val="24"/>
          <w:szCs w:val="24"/>
          <w:lang w:eastAsia="zh-CN"/>
        </w:rPr>
        <w:t>this</w:t>
      </w:r>
      <w:r w:rsidRPr="004A557F">
        <w:rPr>
          <w:rFonts w:eastAsiaTheme="minorEastAsia" w:cstheme="minorHAnsi"/>
          <w:sz w:val="24"/>
          <w:szCs w:val="24"/>
          <w:lang w:eastAsia="zh-CN"/>
        </w:rPr>
        <w:t xml:space="preserve"> </w:t>
      </w:r>
      <w:r w:rsidR="002B3BFC" w:rsidRPr="004A557F">
        <w:rPr>
          <w:rFonts w:eastAsiaTheme="minorEastAsia" w:cstheme="minorHAnsi"/>
          <w:sz w:val="24"/>
          <w:szCs w:val="24"/>
          <w:lang w:eastAsia="zh-CN"/>
        </w:rPr>
        <w:t>study</w:t>
      </w:r>
      <w:r w:rsidRPr="004A557F">
        <w:rPr>
          <w:rFonts w:eastAsiaTheme="minorEastAsia" w:cstheme="minorHAnsi"/>
          <w:sz w:val="24"/>
          <w:szCs w:val="24"/>
          <w:lang w:eastAsia="zh-CN"/>
        </w:rPr>
        <w:t xml:space="preserve"> 12% of those with a newly recorded symptom of breathlessness went on to develop COPD and two community cohort studies found broadly similar results (7-15%) over 5 to 7 years with COPD diagnosis confirmed by spirometry</w:t>
      </w:r>
      <w:r w:rsidR="007C60CF" w:rsidRPr="004A557F">
        <w:rPr>
          <w:rFonts w:eastAsiaTheme="minorEastAsia" w:cstheme="minorHAnsi"/>
          <w:sz w:val="24"/>
          <w:szCs w:val="24"/>
          <w:lang w:eastAsia="zh-CN"/>
        </w:rPr>
        <w:t>.</w:t>
      </w:r>
      <w:r w:rsidR="00AE5BC3" w:rsidRPr="004A557F">
        <w:rPr>
          <w:rFonts w:eastAsiaTheme="minorEastAsia" w:cstheme="minorHAnsi"/>
          <w:sz w:val="24"/>
          <w:szCs w:val="24"/>
          <w:vertAlign w:val="superscript"/>
          <w:lang w:eastAsia="zh-CN"/>
        </w:rPr>
        <w:t>20</w:t>
      </w:r>
      <w:r w:rsidR="002C7F8F">
        <w:rPr>
          <w:rFonts w:eastAsiaTheme="minorEastAsia" w:cstheme="minorHAnsi"/>
          <w:sz w:val="24"/>
          <w:szCs w:val="24"/>
          <w:vertAlign w:val="superscript"/>
          <w:lang w:eastAsia="zh-CN"/>
        </w:rPr>
        <w:t>,</w:t>
      </w:r>
      <w:r w:rsidR="00AE5BC3" w:rsidRPr="004A557F">
        <w:rPr>
          <w:rFonts w:eastAsiaTheme="minorEastAsia" w:cstheme="minorHAnsi"/>
          <w:sz w:val="24"/>
          <w:szCs w:val="24"/>
          <w:vertAlign w:val="superscript"/>
          <w:lang w:eastAsia="zh-CN"/>
        </w:rPr>
        <w:t>21</w:t>
      </w:r>
      <w:r w:rsidRPr="004A557F">
        <w:rPr>
          <w:rFonts w:eastAsiaTheme="minorEastAsia" w:cstheme="minorHAnsi"/>
          <w:sz w:val="24"/>
          <w:szCs w:val="24"/>
          <w:lang w:eastAsia="zh-CN"/>
        </w:rPr>
        <w:t xml:space="preserve"> In a Swiss cohort 29% of those with shortness of breath followed over 11</w:t>
      </w:r>
      <w:r w:rsidR="003D3F7B" w:rsidRPr="004A557F">
        <w:rPr>
          <w:rFonts w:eastAsiaTheme="minorEastAsia" w:cstheme="minorHAnsi"/>
          <w:sz w:val="24"/>
          <w:szCs w:val="24"/>
          <w:lang w:eastAsia="zh-CN"/>
        </w:rPr>
        <w:t xml:space="preserve"> </w:t>
      </w:r>
      <w:r w:rsidRPr="004A557F">
        <w:rPr>
          <w:rFonts w:eastAsiaTheme="minorEastAsia" w:cstheme="minorHAnsi"/>
          <w:sz w:val="24"/>
          <w:szCs w:val="24"/>
          <w:lang w:eastAsia="zh-CN"/>
        </w:rPr>
        <w:t>years developed incident mild to moderate COPD</w:t>
      </w:r>
      <w:r w:rsidR="00913683" w:rsidRPr="004A557F">
        <w:rPr>
          <w:rFonts w:eastAsiaTheme="minorEastAsia" w:cstheme="minorHAnsi"/>
          <w:sz w:val="24"/>
          <w:szCs w:val="24"/>
          <w:lang w:eastAsia="zh-CN"/>
        </w:rPr>
        <w:t>.</w:t>
      </w:r>
      <w:r w:rsidR="00AE5BC3" w:rsidRPr="004A557F">
        <w:rPr>
          <w:rFonts w:eastAsiaTheme="minorEastAsia" w:cstheme="minorHAnsi"/>
          <w:sz w:val="24"/>
          <w:szCs w:val="24"/>
          <w:vertAlign w:val="superscript"/>
          <w:lang w:eastAsia="zh-CN"/>
        </w:rPr>
        <w:t>22</w:t>
      </w:r>
      <w:r w:rsidR="005D22D9" w:rsidRPr="004A557F">
        <w:rPr>
          <w:rFonts w:eastAsiaTheme="minorEastAsia" w:cstheme="minorHAnsi"/>
          <w:sz w:val="24"/>
          <w:szCs w:val="24"/>
          <w:lang w:eastAsia="zh-CN"/>
        </w:rPr>
        <w:t xml:space="preserve"> </w:t>
      </w:r>
      <w:r w:rsidR="00105342" w:rsidRPr="004A557F">
        <w:rPr>
          <w:rFonts w:eastAsiaTheme="minorEastAsia" w:cstheme="minorHAnsi"/>
          <w:sz w:val="24"/>
          <w:szCs w:val="24"/>
          <w:lang w:eastAsia="zh-CN"/>
        </w:rPr>
        <w:t>Another study</w:t>
      </w:r>
      <w:r w:rsidR="005D22D9" w:rsidRPr="004A557F">
        <w:rPr>
          <w:rFonts w:eastAsiaTheme="minorEastAsia" w:cstheme="minorHAnsi"/>
          <w:sz w:val="24"/>
          <w:szCs w:val="24"/>
          <w:lang w:eastAsia="zh-CN"/>
        </w:rPr>
        <w:t xml:space="preserve"> using CPRD found </w:t>
      </w:r>
      <w:r w:rsidR="000228ED" w:rsidRPr="004A557F">
        <w:rPr>
          <w:rFonts w:eastAsiaTheme="minorEastAsia" w:cstheme="minorHAnsi"/>
          <w:sz w:val="24"/>
          <w:szCs w:val="24"/>
          <w:lang w:eastAsia="zh-CN"/>
        </w:rPr>
        <w:t xml:space="preserve">that more than </w:t>
      </w:r>
      <w:r w:rsidR="005D22D9" w:rsidRPr="004A557F">
        <w:rPr>
          <w:rFonts w:eastAsiaTheme="minorEastAsia" w:cstheme="minorHAnsi"/>
          <w:sz w:val="24"/>
          <w:szCs w:val="24"/>
          <w:lang w:eastAsia="zh-CN"/>
        </w:rPr>
        <w:t xml:space="preserve">20% of patients who were diagnosed with COPD </w:t>
      </w:r>
      <w:r w:rsidR="000228ED" w:rsidRPr="004A557F">
        <w:rPr>
          <w:rFonts w:eastAsiaTheme="minorEastAsia" w:cstheme="minorHAnsi"/>
          <w:sz w:val="24"/>
          <w:szCs w:val="24"/>
          <w:lang w:eastAsia="zh-CN"/>
        </w:rPr>
        <w:t xml:space="preserve">had previously </w:t>
      </w:r>
      <w:r w:rsidR="005D22D9" w:rsidRPr="004A557F">
        <w:rPr>
          <w:rFonts w:eastAsiaTheme="minorEastAsia" w:cstheme="minorHAnsi"/>
          <w:sz w:val="24"/>
          <w:szCs w:val="24"/>
          <w:lang w:eastAsia="zh-CN"/>
        </w:rPr>
        <w:t xml:space="preserve">consulted with respiratory symptoms, and </w:t>
      </w:r>
      <w:r w:rsidR="000228ED" w:rsidRPr="004A557F">
        <w:rPr>
          <w:rFonts w:eastAsiaTheme="minorEastAsia" w:cstheme="minorHAnsi"/>
          <w:sz w:val="24"/>
          <w:szCs w:val="24"/>
          <w:lang w:eastAsia="zh-CN"/>
        </w:rPr>
        <w:t xml:space="preserve">more than </w:t>
      </w:r>
      <w:r w:rsidR="005D22D9" w:rsidRPr="004A557F">
        <w:rPr>
          <w:rFonts w:eastAsiaTheme="minorEastAsia" w:cstheme="minorHAnsi"/>
          <w:sz w:val="24"/>
          <w:szCs w:val="24"/>
          <w:lang w:eastAsia="zh-CN"/>
        </w:rPr>
        <w:t xml:space="preserve">40% </w:t>
      </w:r>
      <w:r w:rsidR="00463167" w:rsidRPr="004A557F">
        <w:rPr>
          <w:rFonts w:eastAsiaTheme="minorEastAsia" w:cstheme="minorHAnsi"/>
          <w:sz w:val="24"/>
          <w:szCs w:val="24"/>
          <w:lang w:eastAsia="zh-CN"/>
        </w:rPr>
        <w:t xml:space="preserve">diagnosed with COPD had already been </w:t>
      </w:r>
      <w:r w:rsidR="005D22D9" w:rsidRPr="004A557F">
        <w:rPr>
          <w:rFonts w:eastAsiaTheme="minorEastAsia" w:cstheme="minorHAnsi"/>
          <w:sz w:val="24"/>
          <w:szCs w:val="24"/>
          <w:lang w:eastAsia="zh-CN"/>
        </w:rPr>
        <w:t>prescribed a medication, in the 2 years before diagnosis.</w:t>
      </w:r>
      <w:r w:rsidR="00AE5BC3" w:rsidRPr="004A557F">
        <w:rPr>
          <w:rFonts w:eastAsiaTheme="minorEastAsia" w:cstheme="minorHAnsi"/>
          <w:sz w:val="24"/>
          <w:szCs w:val="24"/>
          <w:vertAlign w:val="superscript"/>
          <w:lang w:eastAsia="zh-CN"/>
        </w:rPr>
        <w:t>23</w:t>
      </w:r>
      <w:r w:rsidR="002E6BCF" w:rsidRPr="004A557F">
        <w:rPr>
          <w:rFonts w:eastAsiaTheme="minorEastAsia" w:cstheme="minorHAnsi"/>
          <w:sz w:val="24"/>
          <w:szCs w:val="24"/>
          <w:vertAlign w:val="superscript"/>
          <w:lang w:eastAsia="zh-CN"/>
        </w:rPr>
        <w:t xml:space="preserve"> </w:t>
      </w:r>
      <w:r w:rsidRPr="004A557F">
        <w:rPr>
          <w:rFonts w:eastAsiaTheme="minorEastAsia" w:cstheme="minorHAnsi"/>
          <w:sz w:val="24"/>
          <w:szCs w:val="24"/>
          <w:lang w:eastAsia="zh-CN"/>
        </w:rPr>
        <w:t xml:space="preserve">In our </w:t>
      </w:r>
      <w:r w:rsidR="00050925" w:rsidRPr="004A557F">
        <w:rPr>
          <w:rFonts w:eastAsiaTheme="minorEastAsia" w:cstheme="minorHAnsi"/>
          <w:sz w:val="24"/>
          <w:szCs w:val="24"/>
          <w:lang w:eastAsia="zh-CN"/>
        </w:rPr>
        <w:t xml:space="preserve">earlier </w:t>
      </w:r>
      <w:r w:rsidR="007925F6" w:rsidRPr="004A557F">
        <w:rPr>
          <w:rFonts w:eastAsiaTheme="minorEastAsia" w:cstheme="minorHAnsi"/>
          <w:sz w:val="24"/>
          <w:szCs w:val="24"/>
          <w:lang w:eastAsia="zh-CN"/>
        </w:rPr>
        <w:t>case-control</w:t>
      </w:r>
      <w:r w:rsidRPr="004A557F">
        <w:rPr>
          <w:rFonts w:eastAsiaTheme="minorEastAsia" w:cstheme="minorHAnsi"/>
          <w:sz w:val="24"/>
          <w:szCs w:val="24"/>
          <w:lang w:eastAsia="zh-CN"/>
        </w:rPr>
        <w:t xml:space="preserve"> study</w:t>
      </w:r>
      <w:r w:rsidR="00527706" w:rsidRPr="004A557F">
        <w:rPr>
          <w:rFonts w:eastAsiaTheme="minorEastAsia" w:cstheme="minorHAnsi"/>
          <w:sz w:val="24"/>
          <w:szCs w:val="24"/>
          <w:lang w:eastAsia="zh-CN"/>
        </w:rPr>
        <w:t>,</w:t>
      </w:r>
      <w:r w:rsidRPr="004A557F">
        <w:rPr>
          <w:rFonts w:eastAsiaTheme="minorEastAsia" w:cstheme="minorHAnsi"/>
          <w:sz w:val="24"/>
          <w:szCs w:val="24"/>
          <w:lang w:eastAsia="zh-CN"/>
        </w:rPr>
        <w:t xml:space="preserve"> using </w:t>
      </w:r>
      <w:r w:rsidR="00050925" w:rsidRPr="004A557F">
        <w:rPr>
          <w:rFonts w:eastAsiaTheme="minorEastAsia" w:cstheme="minorHAnsi"/>
          <w:sz w:val="24"/>
          <w:szCs w:val="24"/>
          <w:lang w:eastAsia="zh-CN"/>
        </w:rPr>
        <w:t xml:space="preserve">a </w:t>
      </w:r>
      <w:r w:rsidR="00163B0B" w:rsidRPr="004A557F">
        <w:rPr>
          <w:rFonts w:eastAsiaTheme="minorEastAsia" w:cstheme="minorHAnsi"/>
          <w:sz w:val="24"/>
          <w:szCs w:val="24"/>
          <w:lang w:eastAsia="zh-CN"/>
        </w:rPr>
        <w:t>regional</w:t>
      </w:r>
      <w:r w:rsidR="00050925" w:rsidRPr="004A557F">
        <w:rPr>
          <w:rFonts w:eastAsiaTheme="minorEastAsia" w:cstheme="minorHAnsi"/>
          <w:sz w:val="24"/>
          <w:szCs w:val="24"/>
          <w:lang w:eastAsia="zh-CN"/>
        </w:rPr>
        <w:t xml:space="preserve"> primary care </w:t>
      </w:r>
      <w:r w:rsidRPr="004A557F">
        <w:rPr>
          <w:rFonts w:eastAsiaTheme="minorEastAsia" w:cstheme="minorHAnsi"/>
          <w:sz w:val="24"/>
          <w:szCs w:val="24"/>
          <w:lang w:eastAsia="zh-CN"/>
        </w:rPr>
        <w:t>database</w:t>
      </w:r>
      <w:r w:rsidR="00527706" w:rsidRPr="004A557F">
        <w:rPr>
          <w:rFonts w:eastAsiaTheme="minorEastAsia" w:cstheme="minorHAnsi"/>
          <w:sz w:val="24"/>
          <w:szCs w:val="24"/>
          <w:lang w:eastAsia="zh-CN"/>
        </w:rPr>
        <w:t>,</w:t>
      </w:r>
      <w:r w:rsidR="00050925" w:rsidRPr="004A557F">
        <w:rPr>
          <w:rFonts w:eastAsiaTheme="minorEastAsia" w:cstheme="minorHAnsi"/>
          <w:sz w:val="24"/>
          <w:szCs w:val="24"/>
          <w:lang w:eastAsia="zh-CN"/>
        </w:rPr>
        <w:t xml:space="preserve"> </w:t>
      </w:r>
      <w:r w:rsidRPr="004A557F">
        <w:rPr>
          <w:rFonts w:eastAsiaTheme="minorEastAsia" w:cstheme="minorHAnsi"/>
          <w:sz w:val="24"/>
          <w:szCs w:val="24"/>
          <w:lang w:eastAsia="zh-CN"/>
        </w:rPr>
        <w:t xml:space="preserve">20% of those receiving a diagnosis of IHD had a </w:t>
      </w:r>
      <w:r w:rsidR="007775B4" w:rsidRPr="004A557F">
        <w:rPr>
          <w:rFonts w:eastAsiaTheme="minorEastAsia" w:cstheme="minorHAnsi"/>
          <w:sz w:val="24"/>
          <w:szCs w:val="24"/>
          <w:lang w:eastAsia="zh-CN"/>
        </w:rPr>
        <w:t xml:space="preserve">prior </w:t>
      </w:r>
      <w:r w:rsidRPr="004A557F">
        <w:rPr>
          <w:rFonts w:eastAsiaTheme="minorEastAsia" w:cstheme="minorHAnsi"/>
          <w:sz w:val="24"/>
          <w:szCs w:val="24"/>
          <w:lang w:eastAsia="zh-CN"/>
        </w:rPr>
        <w:t xml:space="preserve">code for breathlessness agreeing </w:t>
      </w:r>
      <w:r w:rsidR="0040594F" w:rsidRPr="004A557F">
        <w:rPr>
          <w:rFonts w:eastAsiaTheme="minorEastAsia" w:cstheme="minorHAnsi"/>
          <w:sz w:val="24"/>
          <w:szCs w:val="24"/>
          <w:lang w:eastAsia="zh-CN"/>
        </w:rPr>
        <w:t>with our finding in CPRD of 17</w:t>
      </w:r>
      <w:r w:rsidRPr="004A557F">
        <w:rPr>
          <w:rFonts w:eastAsiaTheme="minorEastAsia" w:cstheme="minorHAnsi"/>
          <w:sz w:val="24"/>
          <w:szCs w:val="24"/>
          <w:lang w:eastAsia="zh-CN"/>
        </w:rPr>
        <w:t>%</w:t>
      </w:r>
      <w:r w:rsidR="0056730F" w:rsidRPr="004A557F">
        <w:rPr>
          <w:rFonts w:eastAsiaTheme="minorEastAsia" w:cstheme="minorHAnsi"/>
          <w:sz w:val="24"/>
          <w:szCs w:val="24"/>
          <w:lang w:eastAsia="zh-CN"/>
        </w:rPr>
        <w:t>.</w:t>
      </w:r>
      <w:r w:rsidR="00AE5BC3" w:rsidRPr="004A557F">
        <w:rPr>
          <w:rFonts w:eastAsiaTheme="minorEastAsia" w:cstheme="minorHAnsi"/>
          <w:sz w:val="24"/>
          <w:szCs w:val="24"/>
          <w:vertAlign w:val="superscript"/>
          <w:lang w:eastAsia="zh-CN"/>
        </w:rPr>
        <w:t>24</w:t>
      </w:r>
    </w:p>
    <w:p w14:paraId="293963A6" w14:textId="7FD68FFE" w:rsidR="000A69BC" w:rsidRPr="004A557F" w:rsidRDefault="00FB3142"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 xml:space="preserve">Breathlessness was found </w:t>
      </w:r>
      <w:r w:rsidR="007137A0" w:rsidRPr="004A557F">
        <w:rPr>
          <w:rFonts w:eastAsiaTheme="minorEastAsia" w:cstheme="minorHAnsi"/>
          <w:sz w:val="24"/>
          <w:szCs w:val="24"/>
          <w:lang w:eastAsia="zh-CN"/>
        </w:rPr>
        <w:t xml:space="preserve">to be a significant predictor of </w:t>
      </w:r>
      <w:r w:rsidR="00F331AB" w:rsidRPr="004A557F">
        <w:rPr>
          <w:rFonts w:eastAsiaTheme="minorEastAsia" w:cstheme="minorHAnsi"/>
          <w:sz w:val="24"/>
          <w:szCs w:val="24"/>
          <w:lang w:eastAsia="zh-CN"/>
        </w:rPr>
        <w:t xml:space="preserve">long-term </w:t>
      </w:r>
      <w:r w:rsidR="007137A0" w:rsidRPr="004A557F">
        <w:rPr>
          <w:rFonts w:eastAsiaTheme="minorEastAsia" w:cstheme="minorHAnsi"/>
          <w:sz w:val="24"/>
          <w:szCs w:val="24"/>
          <w:lang w:eastAsia="zh-CN"/>
        </w:rPr>
        <w:t>IHD mortality in a large Norweg</w:t>
      </w:r>
      <w:r w:rsidR="0056730F" w:rsidRPr="004A557F">
        <w:rPr>
          <w:rFonts w:eastAsiaTheme="minorEastAsia" w:cstheme="minorHAnsi"/>
          <w:sz w:val="24"/>
          <w:szCs w:val="24"/>
          <w:lang w:eastAsia="zh-CN"/>
        </w:rPr>
        <w:t xml:space="preserve">ian </w:t>
      </w:r>
      <w:r w:rsidR="007775B4" w:rsidRPr="004A557F">
        <w:rPr>
          <w:rFonts w:eastAsiaTheme="minorEastAsia" w:cstheme="minorHAnsi"/>
          <w:sz w:val="24"/>
          <w:szCs w:val="24"/>
          <w:lang w:eastAsia="zh-CN"/>
        </w:rPr>
        <w:t>study</w:t>
      </w:r>
      <w:r w:rsidR="00AE5BC3" w:rsidRPr="004A557F">
        <w:rPr>
          <w:rFonts w:eastAsiaTheme="minorEastAsia" w:cstheme="minorHAnsi"/>
          <w:sz w:val="24"/>
          <w:szCs w:val="24"/>
          <w:lang w:eastAsia="zh-CN"/>
        </w:rPr>
        <w:t>,</w:t>
      </w:r>
      <w:r w:rsidR="00AE5BC3" w:rsidRPr="004A557F">
        <w:rPr>
          <w:rFonts w:eastAsiaTheme="minorEastAsia" w:cstheme="minorHAnsi"/>
          <w:sz w:val="24"/>
          <w:szCs w:val="24"/>
          <w:vertAlign w:val="superscript"/>
          <w:lang w:eastAsia="zh-CN"/>
        </w:rPr>
        <w:t>25</w:t>
      </w:r>
      <w:r w:rsidRPr="004A557F">
        <w:rPr>
          <w:rFonts w:eastAsiaTheme="minorEastAsia" w:cstheme="minorHAnsi"/>
          <w:sz w:val="24"/>
          <w:szCs w:val="24"/>
          <w:lang w:eastAsia="zh-CN"/>
        </w:rPr>
        <w:t xml:space="preserve"> </w:t>
      </w:r>
      <w:r w:rsidR="00F331AB" w:rsidRPr="004A557F">
        <w:rPr>
          <w:rFonts w:eastAsiaTheme="minorEastAsia" w:cstheme="minorHAnsi"/>
          <w:sz w:val="24"/>
          <w:szCs w:val="24"/>
          <w:lang w:eastAsia="zh-CN"/>
        </w:rPr>
        <w:t xml:space="preserve">and a short-term </w:t>
      </w:r>
      <w:r w:rsidR="007137A0" w:rsidRPr="004A557F">
        <w:rPr>
          <w:rFonts w:eastAsiaTheme="minorEastAsia" w:cstheme="minorHAnsi"/>
          <w:sz w:val="24"/>
          <w:szCs w:val="24"/>
          <w:lang w:eastAsia="zh-CN"/>
        </w:rPr>
        <w:t>predictor of cardiac ar</w:t>
      </w:r>
      <w:r w:rsidRPr="004A557F">
        <w:rPr>
          <w:rFonts w:eastAsiaTheme="minorEastAsia" w:cstheme="minorHAnsi"/>
          <w:sz w:val="24"/>
          <w:szCs w:val="24"/>
          <w:lang w:eastAsia="zh-CN"/>
        </w:rPr>
        <w:t>rest and myocardial infarction.</w:t>
      </w:r>
      <w:r w:rsidR="00AE5BC3" w:rsidRPr="004A557F">
        <w:rPr>
          <w:rFonts w:eastAsiaTheme="minorEastAsia" w:cstheme="minorHAnsi"/>
          <w:sz w:val="24"/>
          <w:szCs w:val="24"/>
          <w:vertAlign w:val="superscript"/>
          <w:lang w:eastAsia="zh-CN"/>
        </w:rPr>
        <w:t>26</w:t>
      </w:r>
      <w:r w:rsidR="002C7F8F">
        <w:rPr>
          <w:rFonts w:eastAsiaTheme="minorEastAsia" w:cstheme="minorHAnsi"/>
          <w:sz w:val="24"/>
          <w:szCs w:val="24"/>
          <w:vertAlign w:val="superscript"/>
          <w:lang w:eastAsia="zh-CN"/>
        </w:rPr>
        <w:t>,</w:t>
      </w:r>
      <w:r w:rsidR="00AE5BC3" w:rsidRPr="004A557F">
        <w:rPr>
          <w:rFonts w:eastAsiaTheme="minorEastAsia" w:cstheme="minorHAnsi"/>
          <w:sz w:val="24"/>
          <w:szCs w:val="24"/>
          <w:vertAlign w:val="superscript"/>
          <w:lang w:eastAsia="zh-CN"/>
        </w:rPr>
        <w:t>27</w:t>
      </w:r>
      <w:r w:rsidR="00D937EF" w:rsidRPr="004A557F">
        <w:rPr>
          <w:rFonts w:eastAsiaTheme="minorEastAsia" w:cstheme="minorHAnsi"/>
          <w:sz w:val="24"/>
          <w:szCs w:val="24"/>
          <w:lang w:eastAsia="zh-CN"/>
        </w:rPr>
        <w:t xml:space="preserve"> In o</w:t>
      </w:r>
      <w:r w:rsidR="00362396" w:rsidRPr="004A557F">
        <w:rPr>
          <w:rFonts w:eastAsiaTheme="minorEastAsia" w:cstheme="minorHAnsi"/>
          <w:sz w:val="24"/>
          <w:szCs w:val="24"/>
          <w:lang w:eastAsia="zh-CN"/>
        </w:rPr>
        <w:t>lder people</w:t>
      </w:r>
      <w:r w:rsidR="00D937EF" w:rsidRPr="004A557F">
        <w:rPr>
          <w:rFonts w:eastAsiaTheme="minorEastAsia" w:cstheme="minorHAnsi"/>
          <w:sz w:val="24"/>
          <w:szCs w:val="24"/>
          <w:lang w:eastAsia="zh-CN"/>
        </w:rPr>
        <w:t xml:space="preserve"> (</w:t>
      </w:r>
      <w:r w:rsidR="00362396" w:rsidRPr="004A557F">
        <w:rPr>
          <w:rFonts w:eastAsiaTheme="minorEastAsia" w:cstheme="minorHAnsi"/>
          <w:sz w:val="24"/>
          <w:szCs w:val="24"/>
          <w:lang w:eastAsia="zh-CN"/>
        </w:rPr>
        <w:t>≥70 years</w:t>
      </w:r>
      <w:r w:rsidR="00D937EF" w:rsidRPr="004A557F">
        <w:rPr>
          <w:rFonts w:eastAsiaTheme="minorEastAsia" w:cstheme="minorHAnsi"/>
          <w:sz w:val="24"/>
          <w:szCs w:val="24"/>
          <w:lang w:eastAsia="zh-CN"/>
        </w:rPr>
        <w:t xml:space="preserve">) in </w:t>
      </w:r>
      <w:r w:rsidR="00362396" w:rsidRPr="004A557F">
        <w:rPr>
          <w:rFonts w:eastAsiaTheme="minorEastAsia" w:cstheme="minorHAnsi"/>
          <w:sz w:val="24"/>
          <w:szCs w:val="24"/>
          <w:lang w:eastAsia="zh-CN"/>
        </w:rPr>
        <w:t xml:space="preserve">the </w:t>
      </w:r>
      <w:r w:rsidR="00D937EF" w:rsidRPr="004A557F">
        <w:rPr>
          <w:rFonts w:eastAsiaTheme="minorEastAsia" w:cstheme="minorHAnsi"/>
          <w:sz w:val="24"/>
          <w:szCs w:val="24"/>
          <w:lang w:eastAsia="zh-CN"/>
        </w:rPr>
        <w:t>UK community</w:t>
      </w:r>
      <w:r w:rsidR="00362396" w:rsidRPr="004A557F">
        <w:rPr>
          <w:rFonts w:eastAsiaTheme="minorEastAsia" w:cstheme="minorHAnsi"/>
          <w:sz w:val="24"/>
          <w:szCs w:val="24"/>
          <w:lang w:eastAsia="zh-CN"/>
        </w:rPr>
        <w:t>, breathlessness was found to be associated with all</w:t>
      </w:r>
      <w:r w:rsidR="00701B58" w:rsidRPr="004A557F">
        <w:rPr>
          <w:rFonts w:eastAsiaTheme="minorEastAsia" w:cstheme="minorHAnsi"/>
          <w:sz w:val="24"/>
          <w:szCs w:val="24"/>
          <w:lang w:eastAsia="zh-CN"/>
        </w:rPr>
        <w:t>-cause</w:t>
      </w:r>
      <w:r w:rsidR="00362396" w:rsidRPr="004A557F">
        <w:rPr>
          <w:rFonts w:eastAsiaTheme="minorEastAsia" w:cstheme="minorHAnsi"/>
          <w:sz w:val="24"/>
          <w:szCs w:val="24"/>
          <w:lang w:eastAsia="zh-CN"/>
        </w:rPr>
        <w:t xml:space="preserve"> mortality after adjustment for baseline COPD and left ventricular dysfunction.</w:t>
      </w:r>
      <w:r w:rsidR="00AE5BC3" w:rsidRPr="004A557F">
        <w:rPr>
          <w:rFonts w:eastAsiaTheme="minorEastAsia" w:cstheme="minorHAnsi"/>
          <w:sz w:val="24"/>
          <w:szCs w:val="24"/>
          <w:vertAlign w:val="superscript"/>
          <w:lang w:eastAsia="zh-CN"/>
        </w:rPr>
        <w:t>28</w:t>
      </w:r>
    </w:p>
    <w:p w14:paraId="40958712" w14:textId="77777777" w:rsidR="009F57FA" w:rsidRPr="004A557F" w:rsidRDefault="009F57FA" w:rsidP="004A557F">
      <w:pPr>
        <w:spacing w:line="480" w:lineRule="auto"/>
        <w:rPr>
          <w:rFonts w:eastAsiaTheme="minorEastAsia" w:cstheme="minorHAnsi"/>
          <w:i/>
          <w:sz w:val="24"/>
          <w:szCs w:val="24"/>
          <w:lang w:eastAsia="zh-CN"/>
        </w:rPr>
      </w:pPr>
      <w:r w:rsidRPr="004A557F">
        <w:rPr>
          <w:rFonts w:eastAsiaTheme="minorEastAsia" w:cstheme="minorHAnsi"/>
          <w:i/>
          <w:sz w:val="24"/>
          <w:szCs w:val="24"/>
          <w:lang w:eastAsia="zh-CN"/>
        </w:rPr>
        <w:lastRenderedPageBreak/>
        <w:t>Strengths and limitations</w:t>
      </w:r>
    </w:p>
    <w:p w14:paraId="436B9C06" w14:textId="04ABCA9A" w:rsidR="009F57FA" w:rsidRPr="004A557F" w:rsidRDefault="009F57FA"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This study used a large primary care database (CPRD) with previous validation of the identification of recording of COPD.</w:t>
      </w:r>
      <w:r w:rsidR="00AE5BC3" w:rsidRPr="004A557F">
        <w:rPr>
          <w:rFonts w:eastAsiaTheme="minorEastAsia" w:cstheme="minorHAnsi"/>
          <w:sz w:val="24"/>
          <w:szCs w:val="24"/>
          <w:vertAlign w:val="superscript"/>
          <w:lang w:eastAsia="zh-CN"/>
        </w:rPr>
        <w:t>29</w:t>
      </w:r>
      <w:r w:rsidRPr="004A557F">
        <w:rPr>
          <w:rFonts w:eastAsiaTheme="minorEastAsia" w:cstheme="minorHAnsi"/>
          <w:sz w:val="24"/>
          <w:szCs w:val="24"/>
          <w:lang w:eastAsia="zh-CN"/>
        </w:rPr>
        <w:t xml:space="preserve"> </w:t>
      </w:r>
      <w:proofErr w:type="gramStart"/>
      <w:r w:rsidRPr="004A557F">
        <w:rPr>
          <w:rFonts w:eastAsiaTheme="minorEastAsia" w:cstheme="minorHAnsi"/>
          <w:sz w:val="24"/>
          <w:szCs w:val="24"/>
          <w:lang w:eastAsia="zh-CN"/>
        </w:rPr>
        <w:t>The</w:t>
      </w:r>
      <w:proofErr w:type="gramEnd"/>
      <w:r w:rsidRPr="004A557F">
        <w:rPr>
          <w:rFonts w:eastAsiaTheme="minorEastAsia" w:cstheme="minorHAnsi"/>
          <w:sz w:val="24"/>
          <w:szCs w:val="24"/>
          <w:lang w:eastAsia="zh-CN"/>
        </w:rPr>
        <w:t xml:space="preserve"> diagnosis recorded is that believed by the GP to be accurate at that time. Breathlessness symptom recorded in the consultation free text was not included. However, it is likely that those with a coded symptom are those with more troublesome symptoms of breathlessness, and those without an obvious reason for the symptom. No attempt was made to grade the degree of breathlessness.</w:t>
      </w:r>
    </w:p>
    <w:p w14:paraId="43D7931B" w14:textId="77777777" w:rsidR="00690BBA" w:rsidRPr="004A557F" w:rsidRDefault="00690BBA" w:rsidP="004A557F">
      <w:pPr>
        <w:spacing w:line="480" w:lineRule="auto"/>
        <w:rPr>
          <w:rFonts w:eastAsiaTheme="minorEastAsia" w:cstheme="minorHAnsi"/>
          <w:i/>
          <w:sz w:val="24"/>
          <w:szCs w:val="24"/>
          <w:lang w:eastAsia="zh-CN"/>
        </w:rPr>
      </w:pPr>
      <w:r w:rsidRPr="004A557F">
        <w:rPr>
          <w:rFonts w:eastAsiaTheme="minorEastAsia" w:cstheme="minorHAnsi"/>
          <w:i/>
          <w:sz w:val="24"/>
          <w:szCs w:val="24"/>
          <w:lang w:eastAsia="zh-CN"/>
        </w:rPr>
        <w:t>Implications for clinical practice</w:t>
      </w:r>
    </w:p>
    <w:p w14:paraId="40335C88" w14:textId="679C305D" w:rsidR="00690BBA" w:rsidRPr="004A557F" w:rsidRDefault="00690BBA"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Our findings lay out clearly and in quantitative terms the potential for more and detailed investigation, assessment and monitoring-over-time in order to earlier confirm or rule out COPD, asthma and IHD, and broad assessment of mortality risk in this common group of patients with breathlessness but no diagnosis. A cluster-randomised controlled trial suggested that targeted case-finding (inviting patients reporting relevant respiratory symptoms for post-bronchodilator spirometry) would improve the identification of peopl</w:t>
      </w:r>
      <w:r w:rsidR="00AE5BC3" w:rsidRPr="004A557F">
        <w:rPr>
          <w:rFonts w:eastAsiaTheme="minorEastAsia" w:cstheme="minorHAnsi"/>
          <w:sz w:val="24"/>
          <w:szCs w:val="24"/>
          <w:lang w:eastAsia="zh-CN"/>
        </w:rPr>
        <w:t>e with COPD in primary care</w:t>
      </w:r>
      <w:r w:rsidRPr="004A557F">
        <w:rPr>
          <w:rFonts w:eastAsiaTheme="minorEastAsia" w:cstheme="minorHAnsi"/>
          <w:sz w:val="24"/>
          <w:szCs w:val="24"/>
          <w:lang w:eastAsia="zh-CN"/>
        </w:rPr>
        <w:t>.</w:t>
      </w:r>
      <w:r w:rsidR="00AE5BC3" w:rsidRPr="004A557F">
        <w:rPr>
          <w:rFonts w:eastAsiaTheme="minorEastAsia" w:cstheme="minorHAnsi"/>
          <w:sz w:val="24"/>
          <w:szCs w:val="24"/>
          <w:vertAlign w:val="superscript"/>
          <w:lang w:eastAsia="zh-CN"/>
        </w:rPr>
        <w:t>30</w:t>
      </w:r>
      <w:r w:rsidRPr="004A557F">
        <w:rPr>
          <w:rFonts w:eastAsiaTheme="minorEastAsia" w:cstheme="minorHAnsi"/>
          <w:sz w:val="24"/>
          <w:szCs w:val="24"/>
          <w:lang w:eastAsia="zh-CN"/>
        </w:rPr>
        <w:t xml:space="preserve"> In order to directly inform clinical decision-making and primary care policy, the next step is to establish whether realising this potential for early intervention in everyday practice diseases is feasible, benefits patients, and is cost-effective. </w:t>
      </w:r>
    </w:p>
    <w:p w14:paraId="7EE4C04A" w14:textId="77777777" w:rsidR="00690BBA" w:rsidRPr="004A557F" w:rsidRDefault="00690BBA" w:rsidP="004A557F">
      <w:pPr>
        <w:spacing w:line="480" w:lineRule="auto"/>
        <w:rPr>
          <w:rFonts w:eastAsiaTheme="minorEastAsia" w:cstheme="minorHAnsi"/>
          <w:sz w:val="24"/>
          <w:szCs w:val="24"/>
          <w:lang w:eastAsia="zh-CN"/>
        </w:rPr>
      </w:pPr>
    </w:p>
    <w:p w14:paraId="2FF383F7" w14:textId="082DA53D" w:rsidR="00690BBA" w:rsidRPr="004A557F" w:rsidRDefault="00690BBA" w:rsidP="004A557F">
      <w:pPr>
        <w:spacing w:line="480" w:lineRule="auto"/>
        <w:rPr>
          <w:rFonts w:eastAsiaTheme="minorEastAsia" w:cstheme="minorHAnsi"/>
          <w:sz w:val="24"/>
          <w:szCs w:val="24"/>
          <w:lang w:eastAsia="zh-CN"/>
        </w:rPr>
      </w:pPr>
    </w:p>
    <w:p w14:paraId="5A28D7EC" w14:textId="11000CD5" w:rsidR="00690BBA" w:rsidRPr="004A557F" w:rsidRDefault="00690BBA" w:rsidP="004A557F">
      <w:pPr>
        <w:spacing w:line="480" w:lineRule="auto"/>
        <w:rPr>
          <w:rFonts w:eastAsiaTheme="minorEastAsia" w:cstheme="minorHAnsi"/>
          <w:sz w:val="24"/>
          <w:szCs w:val="24"/>
          <w:lang w:eastAsia="zh-CN"/>
        </w:rPr>
      </w:pPr>
    </w:p>
    <w:p w14:paraId="49F9130F" w14:textId="4D19D466" w:rsidR="00690BBA" w:rsidRPr="004A557F" w:rsidRDefault="00690BBA" w:rsidP="004A557F">
      <w:pPr>
        <w:spacing w:line="480" w:lineRule="auto"/>
        <w:rPr>
          <w:rFonts w:eastAsiaTheme="minorEastAsia" w:cstheme="minorHAnsi"/>
          <w:sz w:val="24"/>
          <w:szCs w:val="24"/>
          <w:lang w:eastAsia="zh-CN"/>
        </w:rPr>
      </w:pPr>
    </w:p>
    <w:p w14:paraId="72F63B0C" w14:textId="77777777" w:rsidR="00690BBA" w:rsidRPr="004A557F" w:rsidRDefault="00690BBA" w:rsidP="004A557F">
      <w:pPr>
        <w:spacing w:line="480" w:lineRule="auto"/>
        <w:rPr>
          <w:rFonts w:eastAsiaTheme="minorEastAsia" w:cstheme="minorHAnsi"/>
          <w:b/>
          <w:sz w:val="24"/>
          <w:szCs w:val="24"/>
          <w:lang w:eastAsia="zh-CN"/>
        </w:rPr>
        <w:sectPr w:rsidR="00690BBA" w:rsidRPr="004A557F" w:rsidSect="00154638">
          <w:footerReference w:type="default" r:id="rId10"/>
          <w:pgSz w:w="11906" w:h="16838"/>
          <w:pgMar w:top="1440" w:right="1440" w:bottom="1440" w:left="1440" w:header="709" w:footer="709" w:gutter="0"/>
          <w:cols w:space="708"/>
          <w:docGrid w:linePitch="360"/>
        </w:sectPr>
      </w:pPr>
    </w:p>
    <w:p w14:paraId="00085B46" w14:textId="77777777" w:rsidR="00E62A0E" w:rsidRDefault="00E62A0E" w:rsidP="00E62A0E">
      <w:pPr>
        <w:spacing w:line="480" w:lineRule="auto"/>
        <w:rPr>
          <w:rFonts w:eastAsiaTheme="minorEastAsia" w:cstheme="minorHAnsi"/>
          <w:sz w:val="24"/>
          <w:szCs w:val="24"/>
          <w:lang w:eastAsia="zh-CN"/>
        </w:rPr>
      </w:pPr>
      <w:r w:rsidRPr="008B3AD5">
        <w:rPr>
          <w:rFonts w:eastAsiaTheme="minorEastAsia" w:cstheme="minorHAnsi"/>
          <w:b/>
          <w:sz w:val="24"/>
          <w:szCs w:val="24"/>
          <w:lang w:eastAsia="zh-CN"/>
        </w:rPr>
        <w:lastRenderedPageBreak/>
        <w:t>Funding:</w:t>
      </w:r>
      <w:r>
        <w:rPr>
          <w:rFonts w:eastAsiaTheme="minorEastAsia" w:cstheme="minorHAnsi"/>
          <w:sz w:val="24"/>
          <w:szCs w:val="24"/>
          <w:lang w:eastAsia="zh-CN"/>
        </w:rPr>
        <w:t xml:space="preserve"> </w:t>
      </w:r>
      <w:r w:rsidRPr="004A557F">
        <w:rPr>
          <w:rFonts w:eastAsiaTheme="minorEastAsia" w:cstheme="minorHAnsi"/>
          <w:sz w:val="24"/>
          <w:szCs w:val="24"/>
          <w:lang w:eastAsia="zh-CN"/>
        </w:rPr>
        <w:t xml:space="preserve">This paper presents independent research funded by the National Institute for Health Research School for Primary Care Research (NIHR SPCR) (grant reference number: SPCR-2014-10043). CCG is funded by the NIHR Collaborations for Leadership in Applied Health Research. The views expressed are those of the authors and not necessarily those of the NIHR, the NHS or the Department of Health. </w:t>
      </w:r>
    </w:p>
    <w:p w14:paraId="6F62BF54" w14:textId="51AAF634" w:rsidR="00E62A0E" w:rsidRDefault="00E62A0E" w:rsidP="00E62A0E">
      <w:pPr>
        <w:spacing w:line="480" w:lineRule="auto"/>
        <w:rPr>
          <w:rFonts w:eastAsiaTheme="minorEastAsia" w:cstheme="minorHAnsi"/>
          <w:sz w:val="24"/>
          <w:szCs w:val="24"/>
          <w:lang w:eastAsia="zh-CN"/>
        </w:rPr>
      </w:pPr>
      <w:r w:rsidRPr="008B3AD5">
        <w:rPr>
          <w:rFonts w:eastAsiaTheme="minorEastAsia" w:cstheme="minorHAnsi"/>
          <w:b/>
          <w:sz w:val="24"/>
          <w:szCs w:val="24"/>
          <w:lang w:eastAsia="zh-CN"/>
        </w:rPr>
        <w:t>Ethical approval:</w:t>
      </w:r>
      <w:r>
        <w:rPr>
          <w:rFonts w:eastAsiaTheme="minorEastAsia" w:cstheme="minorHAnsi"/>
          <w:sz w:val="24"/>
          <w:szCs w:val="24"/>
          <w:lang w:eastAsia="zh-CN"/>
        </w:rPr>
        <w:t xml:space="preserve"> </w:t>
      </w:r>
      <w:r w:rsidRPr="004A557F">
        <w:rPr>
          <w:rFonts w:eastAsiaTheme="minorEastAsia" w:cstheme="minorHAnsi"/>
          <w:sz w:val="24"/>
          <w:szCs w:val="24"/>
          <w:lang w:eastAsia="zh-CN"/>
        </w:rPr>
        <w:t>This study was approved by the CPRD Independent Scientific and Advisory Committee (ISAC, Protocol No. 15_140).</w:t>
      </w:r>
    </w:p>
    <w:p w14:paraId="3CF06BAC" w14:textId="3DE1D510" w:rsidR="00E62A0E" w:rsidRPr="004A557F" w:rsidRDefault="00E62A0E" w:rsidP="00E62A0E">
      <w:pPr>
        <w:spacing w:line="480" w:lineRule="auto"/>
        <w:rPr>
          <w:rFonts w:eastAsiaTheme="minorEastAsia" w:cstheme="minorHAnsi"/>
          <w:sz w:val="24"/>
          <w:szCs w:val="24"/>
          <w:lang w:eastAsia="zh-CN"/>
        </w:rPr>
      </w:pPr>
      <w:r w:rsidRPr="008B3AD5">
        <w:rPr>
          <w:rFonts w:eastAsiaTheme="minorEastAsia" w:cstheme="minorHAnsi"/>
          <w:b/>
          <w:sz w:val="24"/>
          <w:szCs w:val="24"/>
          <w:lang w:eastAsia="zh-CN"/>
        </w:rPr>
        <w:t>Competing interests:</w:t>
      </w:r>
      <w:r>
        <w:rPr>
          <w:rFonts w:eastAsiaTheme="minorEastAsia" w:cstheme="minorHAnsi"/>
          <w:sz w:val="24"/>
          <w:szCs w:val="24"/>
          <w:lang w:eastAsia="zh-CN"/>
        </w:rPr>
        <w:t xml:space="preserve"> </w:t>
      </w:r>
      <w:r w:rsidR="008B3AD5">
        <w:rPr>
          <w:rFonts w:eastAsiaTheme="minorEastAsia" w:cstheme="minorHAnsi"/>
          <w:sz w:val="24"/>
          <w:szCs w:val="24"/>
          <w:lang w:eastAsia="zh-CN"/>
        </w:rPr>
        <w:t>None.</w:t>
      </w:r>
    </w:p>
    <w:p w14:paraId="26B3FA90" w14:textId="14E31356" w:rsidR="00E62A0E" w:rsidRDefault="00E62A0E" w:rsidP="00E62A0E">
      <w:pPr>
        <w:spacing w:line="480" w:lineRule="auto"/>
        <w:rPr>
          <w:rFonts w:eastAsiaTheme="minorEastAsia" w:cstheme="minorHAnsi"/>
          <w:sz w:val="24"/>
          <w:szCs w:val="24"/>
          <w:lang w:eastAsia="zh-CN"/>
        </w:rPr>
      </w:pPr>
      <w:r w:rsidRPr="008B3AD5">
        <w:rPr>
          <w:rFonts w:eastAsiaTheme="minorEastAsia" w:cstheme="minorHAnsi"/>
          <w:b/>
          <w:sz w:val="24"/>
          <w:szCs w:val="24"/>
          <w:lang w:eastAsia="zh-CN"/>
        </w:rPr>
        <w:t>Patient and public involvement:</w:t>
      </w:r>
      <w:r>
        <w:rPr>
          <w:rFonts w:eastAsiaTheme="minorEastAsia" w:cstheme="minorHAnsi"/>
          <w:sz w:val="24"/>
          <w:szCs w:val="24"/>
          <w:lang w:eastAsia="zh-CN"/>
        </w:rPr>
        <w:t xml:space="preserve"> </w:t>
      </w:r>
      <w:r w:rsidRPr="004A557F">
        <w:rPr>
          <w:rFonts w:eastAsiaTheme="minorEastAsia" w:cstheme="minorHAnsi"/>
          <w:sz w:val="24"/>
          <w:szCs w:val="24"/>
          <w:lang w:eastAsia="zh-CN"/>
        </w:rPr>
        <w:t>Members from the North Staffordshire Breathe-Easy Group were invited to join a Patient Advisory Group. At the first meeting, the research questions and study design were discussed, at second and third meetings, views on the meaning of the results were sought, particularly how the results related to their own experiences, and to obtain advice on</w:t>
      </w:r>
      <w:r>
        <w:rPr>
          <w:rFonts w:eastAsiaTheme="minorEastAsia" w:cstheme="minorHAnsi"/>
          <w:sz w:val="24"/>
          <w:szCs w:val="24"/>
          <w:lang w:eastAsia="zh-CN"/>
        </w:rPr>
        <w:t xml:space="preserve"> dissemination of the findings.</w:t>
      </w:r>
    </w:p>
    <w:p w14:paraId="44818B22" w14:textId="77777777" w:rsidR="008B3AD5" w:rsidRDefault="00CB270A" w:rsidP="00E62A0E">
      <w:pPr>
        <w:spacing w:line="480" w:lineRule="auto"/>
        <w:rPr>
          <w:rFonts w:eastAsiaTheme="minorEastAsia" w:cstheme="minorHAnsi"/>
          <w:sz w:val="24"/>
          <w:szCs w:val="24"/>
          <w:lang w:eastAsia="zh-CN"/>
        </w:rPr>
      </w:pPr>
      <w:r w:rsidRPr="008B3AD5">
        <w:rPr>
          <w:rFonts w:eastAsiaTheme="minorEastAsia" w:cstheme="minorHAnsi"/>
          <w:b/>
          <w:sz w:val="24"/>
          <w:szCs w:val="24"/>
          <w:lang w:eastAsia="zh-CN"/>
        </w:rPr>
        <w:t>Acknowledgments</w:t>
      </w:r>
      <w:r w:rsidR="00E62A0E" w:rsidRPr="008B3AD5">
        <w:rPr>
          <w:rFonts w:eastAsiaTheme="minorEastAsia" w:cstheme="minorHAnsi"/>
          <w:b/>
          <w:sz w:val="24"/>
          <w:szCs w:val="24"/>
          <w:lang w:eastAsia="zh-CN"/>
        </w:rPr>
        <w:t>:</w:t>
      </w:r>
      <w:r w:rsidR="00E62A0E">
        <w:rPr>
          <w:rFonts w:eastAsiaTheme="minorEastAsia" w:cstheme="minorHAnsi"/>
          <w:sz w:val="24"/>
          <w:szCs w:val="24"/>
          <w:lang w:eastAsia="zh-CN"/>
        </w:rPr>
        <w:t xml:space="preserve"> </w:t>
      </w:r>
      <w:r w:rsidR="0082732A" w:rsidRPr="004A557F">
        <w:rPr>
          <w:rFonts w:eastAsiaTheme="minorEastAsia" w:cstheme="minorHAnsi"/>
          <w:sz w:val="24"/>
          <w:szCs w:val="24"/>
          <w:lang w:eastAsia="zh-CN"/>
        </w:rPr>
        <w:t xml:space="preserve">This study is based in part on data from the Clinical Practice Research Datalink obtained under licence from the UK Medicines and Healthcare products Regulatory Agency. The data is provided by patients and collected by the NHS as part of their care and support. </w:t>
      </w:r>
      <w:r w:rsidR="006963C4" w:rsidRPr="004A557F">
        <w:rPr>
          <w:rFonts w:eastAsiaTheme="minorEastAsia" w:cstheme="minorHAnsi"/>
          <w:sz w:val="24"/>
          <w:szCs w:val="24"/>
          <w:lang w:eastAsia="zh-CN"/>
        </w:rPr>
        <w:t>Use of HES Data/ONS Data: Copyright © (2018), re-used with the permission of The Health &amp; Social Care Information Centre. All rights reserved.</w:t>
      </w:r>
      <w:r w:rsidR="0082732A" w:rsidRPr="004A557F">
        <w:rPr>
          <w:rFonts w:eastAsiaTheme="minorEastAsia" w:cstheme="minorHAnsi"/>
          <w:sz w:val="24"/>
          <w:szCs w:val="24"/>
          <w:lang w:eastAsia="zh-CN"/>
        </w:rPr>
        <w:t xml:space="preserve"> </w:t>
      </w:r>
      <w:r w:rsidR="00250B02" w:rsidRPr="004A557F">
        <w:rPr>
          <w:rFonts w:eastAsiaTheme="minorEastAsia" w:cstheme="minorHAnsi"/>
          <w:sz w:val="24"/>
          <w:szCs w:val="24"/>
          <w:lang w:eastAsia="zh-CN"/>
        </w:rPr>
        <w:t>The interpretation and conclusions contained in this study are those of the authors alone.</w:t>
      </w:r>
      <w:r w:rsidR="00E62A0E">
        <w:rPr>
          <w:rFonts w:eastAsiaTheme="minorEastAsia" w:cstheme="minorHAnsi"/>
          <w:sz w:val="24"/>
          <w:szCs w:val="24"/>
          <w:lang w:eastAsia="zh-CN"/>
        </w:rPr>
        <w:t xml:space="preserve"> </w:t>
      </w:r>
    </w:p>
    <w:p w14:paraId="1A94DC89" w14:textId="4B923ED7" w:rsidR="00E62A0E" w:rsidRPr="004A557F" w:rsidRDefault="00E62A0E" w:rsidP="00E62A0E">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The authors would like to thank the members from the North Staffordshire Breathe-Easy Group who participated in this study as a Patient Advisory Group.</w:t>
      </w:r>
    </w:p>
    <w:p w14:paraId="120C7D16" w14:textId="77777777" w:rsidR="00E62A0E" w:rsidRDefault="00E62A0E" w:rsidP="004A557F">
      <w:pPr>
        <w:spacing w:line="480" w:lineRule="auto"/>
        <w:rPr>
          <w:rFonts w:eastAsiaTheme="minorEastAsia" w:cstheme="minorHAnsi"/>
          <w:sz w:val="24"/>
          <w:szCs w:val="24"/>
          <w:lang w:eastAsia="zh-CN"/>
        </w:rPr>
      </w:pPr>
    </w:p>
    <w:p w14:paraId="1C0C25BF" w14:textId="7F2E4676" w:rsidR="00A961EA" w:rsidRPr="00E62A0E" w:rsidRDefault="00A961EA" w:rsidP="004A557F">
      <w:pPr>
        <w:spacing w:line="480" w:lineRule="auto"/>
        <w:rPr>
          <w:rFonts w:eastAsiaTheme="minorEastAsia" w:cstheme="minorHAnsi"/>
          <w:b/>
          <w:sz w:val="24"/>
          <w:szCs w:val="24"/>
          <w:lang w:eastAsia="zh-CN"/>
        </w:rPr>
      </w:pPr>
      <w:r w:rsidRPr="00E62A0E">
        <w:rPr>
          <w:rFonts w:eastAsiaTheme="minorEastAsia" w:cstheme="minorHAnsi"/>
          <w:b/>
          <w:sz w:val="24"/>
          <w:szCs w:val="24"/>
          <w:lang w:eastAsia="zh-CN"/>
        </w:rPr>
        <w:lastRenderedPageBreak/>
        <w:t>Reference</w:t>
      </w:r>
      <w:r w:rsidR="00E62A0E" w:rsidRPr="00E62A0E">
        <w:rPr>
          <w:rFonts w:eastAsiaTheme="minorEastAsia" w:cstheme="minorHAnsi"/>
          <w:b/>
          <w:sz w:val="24"/>
          <w:szCs w:val="24"/>
          <w:lang w:eastAsia="zh-CN"/>
        </w:rPr>
        <w:t>s</w:t>
      </w:r>
      <w:r w:rsidRPr="00E62A0E">
        <w:rPr>
          <w:rFonts w:eastAsiaTheme="minorEastAsia" w:cstheme="minorHAnsi"/>
          <w:b/>
          <w:sz w:val="24"/>
          <w:szCs w:val="24"/>
          <w:lang w:eastAsia="zh-CN"/>
        </w:rPr>
        <w:t xml:space="preserve"> </w:t>
      </w:r>
    </w:p>
    <w:p w14:paraId="1910DA1E" w14:textId="4E9A79C9" w:rsidR="00A961EA" w:rsidRPr="004A557F" w:rsidRDefault="00A961EA"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 xml:space="preserve">1. Herman L, </w:t>
      </w:r>
      <w:proofErr w:type="spellStart"/>
      <w:r w:rsidRPr="004A557F">
        <w:rPr>
          <w:rFonts w:eastAsiaTheme="minorEastAsia" w:cstheme="minorHAnsi"/>
          <w:sz w:val="24"/>
          <w:szCs w:val="24"/>
          <w:lang w:eastAsia="zh-CN"/>
        </w:rPr>
        <w:t>Atri</w:t>
      </w:r>
      <w:proofErr w:type="spellEnd"/>
      <w:r w:rsidRPr="004A557F">
        <w:rPr>
          <w:rFonts w:eastAsiaTheme="minorEastAsia" w:cstheme="minorHAnsi"/>
          <w:sz w:val="24"/>
          <w:szCs w:val="24"/>
          <w:lang w:eastAsia="zh-CN"/>
        </w:rPr>
        <w:t xml:space="preserve"> A, </w:t>
      </w:r>
      <w:proofErr w:type="spellStart"/>
      <w:r w:rsidRPr="004A557F">
        <w:rPr>
          <w:rFonts w:eastAsiaTheme="minorEastAsia" w:cstheme="minorHAnsi"/>
          <w:sz w:val="24"/>
          <w:szCs w:val="24"/>
          <w:lang w:eastAsia="zh-CN"/>
        </w:rPr>
        <w:t>Salloway</w:t>
      </w:r>
      <w:proofErr w:type="spellEnd"/>
      <w:r w:rsidRPr="004A557F">
        <w:rPr>
          <w:rFonts w:eastAsiaTheme="minorEastAsia" w:cstheme="minorHAnsi"/>
          <w:sz w:val="24"/>
          <w:szCs w:val="24"/>
          <w:lang w:eastAsia="zh-CN"/>
        </w:rPr>
        <w:t xml:space="preserve"> S. Alzheimer’s disease in primary care: the significance of early detection, diagnosis, and intervention. </w:t>
      </w:r>
      <w:r w:rsidRPr="0086752D">
        <w:rPr>
          <w:rFonts w:eastAsiaTheme="minorEastAsia" w:cstheme="minorHAnsi"/>
          <w:i/>
          <w:sz w:val="24"/>
          <w:szCs w:val="24"/>
          <w:lang w:eastAsia="zh-CN"/>
        </w:rPr>
        <w:t>Am J Med</w:t>
      </w:r>
      <w:r w:rsidRPr="004A557F">
        <w:rPr>
          <w:rFonts w:eastAsiaTheme="minorEastAsia" w:cstheme="minorHAnsi"/>
          <w:sz w:val="24"/>
          <w:szCs w:val="24"/>
          <w:lang w:eastAsia="zh-CN"/>
        </w:rPr>
        <w:t xml:space="preserve"> 2017;</w:t>
      </w:r>
      <w:r w:rsidR="0086752D">
        <w:rPr>
          <w:rFonts w:eastAsiaTheme="minorEastAsia" w:cstheme="minorHAnsi"/>
          <w:sz w:val="24"/>
          <w:szCs w:val="24"/>
          <w:lang w:eastAsia="zh-CN"/>
        </w:rPr>
        <w:t xml:space="preserve"> </w:t>
      </w:r>
      <w:r w:rsidR="009F72B0" w:rsidRPr="004A557F">
        <w:rPr>
          <w:rFonts w:eastAsiaTheme="minorEastAsia" w:cstheme="minorHAnsi"/>
          <w:sz w:val="24"/>
          <w:szCs w:val="24"/>
          <w:lang w:eastAsia="zh-CN"/>
        </w:rPr>
        <w:t>130</w:t>
      </w:r>
      <w:r w:rsidR="0086752D">
        <w:rPr>
          <w:rFonts w:eastAsiaTheme="minorEastAsia" w:cstheme="minorHAnsi"/>
          <w:sz w:val="24"/>
          <w:szCs w:val="24"/>
          <w:lang w:eastAsia="zh-CN"/>
        </w:rPr>
        <w:t>(6)</w:t>
      </w:r>
      <w:r w:rsidR="009F72B0" w:rsidRPr="004A557F">
        <w:rPr>
          <w:rFonts w:eastAsiaTheme="minorEastAsia" w:cstheme="minorHAnsi"/>
          <w:sz w:val="24"/>
          <w:szCs w:val="24"/>
          <w:lang w:eastAsia="zh-CN"/>
        </w:rPr>
        <w:t>:</w:t>
      </w:r>
      <w:r w:rsidR="0086752D">
        <w:rPr>
          <w:rFonts w:eastAsiaTheme="minorEastAsia" w:cstheme="minorHAnsi"/>
          <w:sz w:val="24"/>
          <w:szCs w:val="24"/>
          <w:lang w:eastAsia="zh-CN"/>
        </w:rPr>
        <w:t xml:space="preserve"> </w:t>
      </w:r>
      <w:r w:rsidR="009F72B0" w:rsidRPr="004A557F">
        <w:rPr>
          <w:rFonts w:eastAsiaTheme="minorEastAsia" w:cstheme="minorHAnsi"/>
          <w:sz w:val="24"/>
          <w:szCs w:val="24"/>
          <w:lang w:eastAsia="zh-CN"/>
        </w:rPr>
        <w:t>756.</w:t>
      </w:r>
    </w:p>
    <w:p w14:paraId="368C808C" w14:textId="798380D6" w:rsidR="00A961EA" w:rsidRPr="004A557F" w:rsidRDefault="00A961EA"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 xml:space="preserve">2. Feldman DE, </w:t>
      </w:r>
      <w:proofErr w:type="spellStart"/>
      <w:r w:rsidRPr="004A557F">
        <w:rPr>
          <w:rFonts w:eastAsiaTheme="minorEastAsia" w:cstheme="minorHAnsi"/>
          <w:sz w:val="24"/>
          <w:szCs w:val="24"/>
          <w:lang w:eastAsia="zh-CN"/>
        </w:rPr>
        <w:t>Bernatsky</w:t>
      </w:r>
      <w:proofErr w:type="spellEnd"/>
      <w:r w:rsidRPr="004A557F">
        <w:rPr>
          <w:rFonts w:eastAsiaTheme="minorEastAsia" w:cstheme="minorHAnsi"/>
          <w:sz w:val="24"/>
          <w:szCs w:val="24"/>
          <w:lang w:eastAsia="zh-CN"/>
        </w:rPr>
        <w:t xml:space="preserve"> S, </w:t>
      </w:r>
      <w:proofErr w:type="spellStart"/>
      <w:r w:rsidRPr="004A557F">
        <w:rPr>
          <w:rFonts w:eastAsiaTheme="minorEastAsia" w:cstheme="minorHAnsi"/>
          <w:sz w:val="24"/>
          <w:szCs w:val="24"/>
          <w:lang w:eastAsia="zh-CN"/>
        </w:rPr>
        <w:t>Houde</w:t>
      </w:r>
      <w:proofErr w:type="spellEnd"/>
      <w:r w:rsidRPr="004A557F">
        <w:rPr>
          <w:rFonts w:eastAsiaTheme="minorEastAsia" w:cstheme="minorHAnsi"/>
          <w:sz w:val="24"/>
          <w:szCs w:val="24"/>
          <w:lang w:eastAsia="zh-CN"/>
        </w:rPr>
        <w:t xml:space="preserve"> M, Beauchamp ME, </w:t>
      </w:r>
      <w:proofErr w:type="spellStart"/>
      <w:r w:rsidRPr="004A557F">
        <w:rPr>
          <w:rFonts w:eastAsiaTheme="minorEastAsia" w:cstheme="minorHAnsi"/>
          <w:sz w:val="24"/>
          <w:szCs w:val="24"/>
          <w:lang w:eastAsia="zh-CN"/>
        </w:rPr>
        <w:t>Abrahamowicz</w:t>
      </w:r>
      <w:proofErr w:type="spellEnd"/>
      <w:r w:rsidRPr="004A557F">
        <w:rPr>
          <w:rFonts w:eastAsiaTheme="minorEastAsia" w:cstheme="minorHAnsi"/>
          <w:sz w:val="24"/>
          <w:szCs w:val="24"/>
          <w:lang w:eastAsia="zh-CN"/>
        </w:rPr>
        <w:t xml:space="preserve"> M. Early consultation with a rheumatologist for RA: does it reduce subsequent use of orthopaedic surgery? </w:t>
      </w:r>
      <w:r w:rsidRPr="0086752D">
        <w:rPr>
          <w:rFonts w:eastAsiaTheme="minorEastAsia" w:cstheme="minorHAnsi"/>
          <w:i/>
          <w:sz w:val="24"/>
          <w:szCs w:val="24"/>
          <w:lang w:eastAsia="zh-CN"/>
        </w:rPr>
        <w:t>Rheumatology (Oxford)</w:t>
      </w:r>
      <w:r w:rsidRPr="004A557F">
        <w:rPr>
          <w:rFonts w:eastAsiaTheme="minorEastAsia" w:cstheme="minorHAnsi"/>
          <w:sz w:val="24"/>
          <w:szCs w:val="24"/>
          <w:lang w:eastAsia="zh-CN"/>
        </w:rPr>
        <w:t xml:space="preserve"> 2013;</w:t>
      </w:r>
      <w:r w:rsidR="0086752D">
        <w:rPr>
          <w:rFonts w:eastAsiaTheme="minorEastAsia" w:cstheme="minorHAnsi"/>
          <w:sz w:val="24"/>
          <w:szCs w:val="24"/>
          <w:lang w:eastAsia="zh-CN"/>
        </w:rPr>
        <w:t xml:space="preserve"> </w:t>
      </w:r>
      <w:r w:rsidRPr="004A557F">
        <w:rPr>
          <w:rFonts w:eastAsiaTheme="minorEastAsia" w:cstheme="minorHAnsi"/>
          <w:sz w:val="24"/>
          <w:szCs w:val="24"/>
          <w:lang w:eastAsia="zh-CN"/>
        </w:rPr>
        <w:t>52</w:t>
      </w:r>
      <w:r w:rsidR="0086752D">
        <w:rPr>
          <w:rFonts w:eastAsiaTheme="minorEastAsia" w:cstheme="minorHAnsi"/>
          <w:sz w:val="24"/>
          <w:szCs w:val="24"/>
          <w:lang w:eastAsia="zh-CN"/>
        </w:rPr>
        <w:t>(3)</w:t>
      </w:r>
      <w:r w:rsidRPr="004A557F">
        <w:rPr>
          <w:rFonts w:eastAsiaTheme="minorEastAsia" w:cstheme="minorHAnsi"/>
          <w:sz w:val="24"/>
          <w:szCs w:val="24"/>
          <w:lang w:eastAsia="zh-CN"/>
        </w:rPr>
        <w:t>:</w:t>
      </w:r>
      <w:r w:rsidR="0086752D">
        <w:rPr>
          <w:rFonts w:eastAsiaTheme="minorEastAsia" w:cstheme="minorHAnsi"/>
          <w:sz w:val="24"/>
          <w:szCs w:val="24"/>
          <w:lang w:eastAsia="zh-CN"/>
        </w:rPr>
        <w:t xml:space="preserve"> </w:t>
      </w:r>
      <w:r w:rsidRPr="004A557F">
        <w:rPr>
          <w:rFonts w:eastAsiaTheme="minorEastAsia" w:cstheme="minorHAnsi"/>
          <w:sz w:val="24"/>
          <w:szCs w:val="24"/>
          <w:lang w:eastAsia="zh-CN"/>
        </w:rPr>
        <w:t>452-</w:t>
      </w:r>
      <w:r w:rsidR="0086752D">
        <w:rPr>
          <w:rFonts w:eastAsiaTheme="minorEastAsia" w:cstheme="minorHAnsi"/>
          <w:sz w:val="24"/>
          <w:szCs w:val="24"/>
          <w:lang w:eastAsia="zh-CN"/>
        </w:rPr>
        <w:t>45</w:t>
      </w:r>
      <w:r w:rsidRPr="004A557F">
        <w:rPr>
          <w:rFonts w:eastAsiaTheme="minorEastAsia" w:cstheme="minorHAnsi"/>
          <w:sz w:val="24"/>
          <w:szCs w:val="24"/>
          <w:lang w:eastAsia="zh-CN"/>
        </w:rPr>
        <w:t>9.</w:t>
      </w:r>
    </w:p>
    <w:p w14:paraId="0B35C324" w14:textId="2775D33B" w:rsidR="00A961EA" w:rsidRPr="004A557F" w:rsidRDefault="009F72B0"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3</w:t>
      </w:r>
      <w:r w:rsidR="00A961EA" w:rsidRPr="004A557F">
        <w:rPr>
          <w:rFonts w:eastAsiaTheme="minorEastAsia" w:cstheme="minorHAnsi"/>
          <w:sz w:val="24"/>
          <w:szCs w:val="24"/>
          <w:lang w:eastAsia="zh-CN"/>
        </w:rPr>
        <w:t xml:space="preserve">. </w:t>
      </w:r>
      <w:proofErr w:type="spellStart"/>
      <w:r w:rsidR="00A961EA" w:rsidRPr="004A557F">
        <w:rPr>
          <w:rFonts w:eastAsiaTheme="minorEastAsia" w:cstheme="minorHAnsi"/>
          <w:sz w:val="24"/>
          <w:szCs w:val="24"/>
          <w:lang w:eastAsia="zh-CN"/>
        </w:rPr>
        <w:t>Heuvelings</w:t>
      </w:r>
      <w:proofErr w:type="spellEnd"/>
      <w:r w:rsidR="00A961EA" w:rsidRPr="004A557F">
        <w:rPr>
          <w:rFonts w:eastAsiaTheme="minorEastAsia" w:cstheme="minorHAnsi"/>
          <w:sz w:val="24"/>
          <w:szCs w:val="24"/>
          <w:lang w:eastAsia="zh-CN"/>
        </w:rPr>
        <w:t xml:space="preserve"> CC, de </w:t>
      </w:r>
      <w:proofErr w:type="spellStart"/>
      <w:r w:rsidR="00A961EA" w:rsidRPr="004A557F">
        <w:rPr>
          <w:rFonts w:eastAsiaTheme="minorEastAsia" w:cstheme="minorHAnsi"/>
          <w:sz w:val="24"/>
          <w:szCs w:val="24"/>
          <w:lang w:eastAsia="zh-CN"/>
        </w:rPr>
        <w:t>Vries</w:t>
      </w:r>
      <w:proofErr w:type="spellEnd"/>
      <w:r w:rsidR="00A961EA" w:rsidRPr="004A557F">
        <w:rPr>
          <w:rFonts w:eastAsiaTheme="minorEastAsia" w:cstheme="minorHAnsi"/>
          <w:sz w:val="24"/>
          <w:szCs w:val="24"/>
          <w:lang w:eastAsia="zh-CN"/>
        </w:rPr>
        <w:t xml:space="preserve"> SG, </w:t>
      </w:r>
      <w:proofErr w:type="spellStart"/>
      <w:r w:rsidR="00A961EA" w:rsidRPr="004A557F">
        <w:rPr>
          <w:rFonts w:eastAsiaTheme="minorEastAsia" w:cstheme="minorHAnsi"/>
          <w:sz w:val="24"/>
          <w:szCs w:val="24"/>
          <w:lang w:eastAsia="zh-CN"/>
        </w:rPr>
        <w:t>Greve</w:t>
      </w:r>
      <w:proofErr w:type="spellEnd"/>
      <w:r w:rsidR="00A961EA" w:rsidRPr="004A557F">
        <w:rPr>
          <w:rFonts w:eastAsiaTheme="minorEastAsia" w:cstheme="minorHAnsi"/>
          <w:sz w:val="24"/>
          <w:szCs w:val="24"/>
          <w:lang w:eastAsia="zh-CN"/>
        </w:rPr>
        <w:t xml:space="preserve"> PF</w:t>
      </w:r>
      <w:r w:rsidR="0086752D">
        <w:rPr>
          <w:rFonts w:eastAsiaTheme="minorEastAsia" w:cstheme="minorHAnsi"/>
          <w:sz w:val="24"/>
          <w:szCs w:val="24"/>
          <w:lang w:eastAsia="zh-CN"/>
        </w:rPr>
        <w:t>,</w:t>
      </w:r>
      <w:r w:rsidR="00A961EA" w:rsidRPr="004A557F">
        <w:rPr>
          <w:rFonts w:eastAsiaTheme="minorEastAsia" w:cstheme="minorHAnsi"/>
          <w:sz w:val="24"/>
          <w:szCs w:val="24"/>
          <w:lang w:eastAsia="zh-CN"/>
        </w:rPr>
        <w:t xml:space="preserve"> </w:t>
      </w:r>
      <w:r w:rsidR="00A961EA" w:rsidRPr="0086752D">
        <w:rPr>
          <w:rFonts w:eastAsiaTheme="minorEastAsia" w:cstheme="minorHAnsi"/>
          <w:i/>
          <w:sz w:val="24"/>
          <w:szCs w:val="24"/>
          <w:lang w:eastAsia="zh-CN"/>
        </w:rPr>
        <w:t>et al</w:t>
      </w:r>
      <w:r w:rsidR="00A961EA" w:rsidRPr="004A557F">
        <w:rPr>
          <w:rFonts w:eastAsiaTheme="minorEastAsia" w:cstheme="minorHAnsi"/>
          <w:sz w:val="24"/>
          <w:szCs w:val="24"/>
          <w:lang w:eastAsia="zh-CN"/>
        </w:rPr>
        <w:t xml:space="preserve">. Effectiveness of interventions for diagnosis and treatment of tuberculosis in hard-to-reach populations in countries of low and medium tuberculosis incidence: a systematic review. </w:t>
      </w:r>
      <w:r w:rsidR="00A961EA" w:rsidRPr="0086752D">
        <w:rPr>
          <w:rFonts w:eastAsiaTheme="minorEastAsia" w:cstheme="minorHAnsi"/>
          <w:i/>
          <w:sz w:val="24"/>
          <w:szCs w:val="24"/>
          <w:lang w:eastAsia="zh-CN"/>
        </w:rPr>
        <w:t>Lancet Infect Dis</w:t>
      </w:r>
      <w:r w:rsidR="00A961EA" w:rsidRPr="004A557F">
        <w:rPr>
          <w:rFonts w:eastAsiaTheme="minorEastAsia" w:cstheme="minorHAnsi"/>
          <w:sz w:val="24"/>
          <w:szCs w:val="24"/>
          <w:lang w:eastAsia="zh-CN"/>
        </w:rPr>
        <w:t xml:space="preserve"> 2017;</w:t>
      </w:r>
      <w:r w:rsidR="0086752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17</w:t>
      </w:r>
      <w:r w:rsidR="0086752D">
        <w:rPr>
          <w:rFonts w:eastAsiaTheme="minorEastAsia" w:cstheme="minorHAnsi"/>
          <w:sz w:val="24"/>
          <w:szCs w:val="24"/>
          <w:lang w:eastAsia="zh-CN"/>
        </w:rPr>
        <w:t>(5)</w:t>
      </w:r>
      <w:r w:rsidR="00A961EA" w:rsidRPr="004A557F">
        <w:rPr>
          <w:rFonts w:eastAsiaTheme="minorEastAsia" w:cstheme="minorHAnsi"/>
          <w:sz w:val="24"/>
          <w:szCs w:val="24"/>
          <w:lang w:eastAsia="zh-CN"/>
        </w:rPr>
        <w:t>:</w:t>
      </w:r>
      <w:r w:rsidR="0086752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e144-</w:t>
      </w:r>
      <w:r w:rsidR="0086752D">
        <w:rPr>
          <w:rFonts w:eastAsiaTheme="minorEastAsia" w:cstheme="minorHAnsi"/>
          <w:sz w:val="24"/>
          <w:szCs w:val="24"/>
          <w:lang w:eastAsia="zh-CN"/>
        </w:rPr>
        <w:t>1</w:t>
      </w:r>
      <w:r w:rsidR="00A961EA" w:rsidRPr="004A557F">
        <w:rPr>
          <w:rFonts w:eastAsiaTheme="minorEastAsia" w:cstheme="minorHAnsi"/>
          <w:sz w:val="24"/>
          <w:szCs w:val="24"/>
          <w:lang w:eastAsia="zh-CN"/>
        </w:rPr>
        <w:t>58.</w:t>
      </w:r>
    </w:p>
    <w:p w14:paraId="288BFDB8" w14:textId="243FC6FA" w:rsidR="00A961EA" w:rsidRPr="004A557F" w:rsidRDefault="009F72B0"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4</w:t>
      </w:r>
      <w:r w:rsidR="00A961EA" w:rsidRPr="004A557F">
        <w:rPr>
          <w:rFonts w:eastAsiaTheme="minorEastAsia" w:cstheme="minorHAnsi"/>
          <w:sz w:val="24"/>
          <w:szCs w:val="24"/>
          <w:lang w:eastAsia="zh-CN"/>
        </w:rPr>
        <w:t xml:space="preserve">. </w:t>
      </w:r>
      <w:proofErr w:type="spellStart"/>
      <w:r w:rsidR="00A961EA" w:rsidRPr="004A557F">
        <w:rPr>
          <w:rFonts w:eastAsiaTheme="minorEastAsia" w:cstheme="minorHAnsi"/>
          <w:sz w:val="24"/>
          <w:szCs w:val="24"/>
          <w:lang w:eastAsia="zh-CN"/>
        </w:rPr>
        <w:t>Muchtar</w:t>
      </w:r>
      <w:proofErr w:type="spellEnd"/>
      <w:r w:rsidR="00A961EA" w:rsidRPr="004A557F">
        <w:rPr>
          <w:rFonts w:eastAsiaTheme="minorEastAsia" w:cstheme="minorHAnsi"/>
          <w:sz w:val="24"/>
          <w:szCs w:val="24"/>
          <w:lang w:eastAsia="zh-CN"/>
        </w:rPr>
        <w:t xml:space="preserve"> E, </w:t>
      </w:r>
      <w:proofErr w:type="spellStart"/>
      <w:r w:rsidR="00A961EA" w:rsidRPr="004A557F">
        <w:rPr>
          <w:rFonts w:eastAsiaTheme="minorEastAsia" w:cstheme="minorHAnsi"/>
          <w:sz w:val="24"/>
          <w:szCs w:val="24"/>
          <w:lang w:eastAsia="zh-CN"/>
        </w:rPr>
        <w:t>Gertz</w:t>
      </w:r>
      <w:proofErr w:type="spellEnd"/>
      <w:r w:rsidR="00A961EA" w:rsidRPr="004A557F">
        <w:rPr>
          <w:rFonts w:eastAsiaTheme="minorEastAsia" w:cstheme="minorHAnsi"/>
          <w:sz w:val="24"/>
          <w:szCs w:val="24"/>
          <w:lang w:eastAsia="zh-CN"/>
        </w:rPr>
        <w:t xml:space="preserve"> MA, Kumar SK</w:t>
      </w:r>
      <w:r w:rsidR="0086752D">
        <w:rPr>
          <w:rFonts w:eastAsiaTheme="minorEastAsia" w:cstheme="minorHAnsi"/>
          <w:sz w:val="24"/>
          <w:szCs w:val="24"/>
          <w:lang w:eastAsia="zh-CN"/>
        </w:rPr>
        <w:t>,</w:t>
      </w:r>
      <w:r w:rsidR="00A961EA" w:rsidRPr="004A557F">
        <w:rPr>
          <w:rFonts w:eastAsiaTheme="minorEastAsia" w:cstheme="minorHAnsi"/>
          <w:sz w:val="24"/>
          <w:szCs w:val="24"/>
          <w:lang w:eastAsia="zh-CN"/>
        </w:rPr>
        <w:t xml:space="preserve"> </w:t>
      </w:r>
      <w:r w:rsidR="00A961EA" w:rsidRPr="0086752D">
        <w:rPr>
          <w:rFonts w:eastAsiaTheme="minorEastAsia" w:cstheme="minorHAnsi"/>
          <w:i/>
          <w:sz w:val="24"/>
          <w:szCs w:val="24"/>
          <w:lang w:eastAsia="zh-CN"/>
        </w:rPr>
        <w:t>et al</w:t>
      </w:r>
      <w:r w:rsidR="00A961EA" w:rsidRPr="004A557F">
        <w:rPr>
          <w:rFonts w:eastAsiaTheme="minorEastAsia" w:cstheme="minorHAnsi"/>
          <w:sz w:val="24"/>
          <w:szCs w:val="24"/>
          <w:lang w:eastAsia="zh-CN"/>
        </w:rPr>
        <w:t xml:space="preserve">. Improved outcomes for newly diagnosed AL amyloidosis between 2000 and 2014: cracking the glass ceiling of early death. </w:t>
      </w:r>
      <w:r w:rsidR="00A961EA" w:rsidRPr="0086752D">
        <w:rPr>
          <w:rFonts w:eastAsiaTheme="minorEastAsia" w:cstheme="minorHAnsi"/>
          <w:i/>
          <w:sz w:val="24"/>
          <w:szCs w:val="24"/>
          <w:lang w:eastAsia="zh-CN"/>
        </w:rPr>
        <w:t>Blood</w:t>
      </w:r>
      <w:r w:rsidR="00A961EA" w:rsidRPr="004A557F">
        <w:rPr>
          <w:rFonts w:eastAsiaTheme="minorEastAsia" w:cstheme="minorHAnsi"/>
          <w:sz w:val="24"/>
          <w:szCs w:val="24"/>
          <w:lang w:eastAsia="zh-CN"/>
        </w:rPr>
        <w:t xml:space="preserve"> 2017;</w:t>
      </w:r>
      <w:r w:rsidR="0086752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129</w:t>
      </w:r>
      <w:r w:rsidR="0086752D">
        <w:rPr>
          <w:rFonts w:eastAsiaTheme="minorEastAsia" w:cstheme="minorHAnsi"/>
          <w:sz w:val="24"/>
          <w:szCs w:val="24"/>
          <w:lang w:eastAsia="zh-CN"/>
        </w:rPr>
        <w:t>(15)</w:t>
      </w:r>
      <w:r w:rsidR="00A961EA" w:rsidRPr="004A557F">
        <w:rPr>
          <w:rFonts w:eastAsiaTheme="minorEastAsia" w:cstheme="minorHAnsi"/>
          <w:sz w:val="24"/>
          <w:szCs w:val="24"/>
          <w:lang w:eastAsia="zh-CN"/>
        </w:rPr>
        <w:t>:</w:t>
      </w:r>
      <w:r w:rsidR="0086752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2111-</w:t>
      </w:r>
      <w:r w:rsidR="0086752D">
        <w:rPr>
          <w:rFonts w:eastAsiaTheme="minorEastAsia" w:cstheme="minorHAnsi"/>
          <w:sz w:val="24"/>
          <w:szCs w:val="24"/>
          <w:lang w:eastAsia="zh-CN"/>
        </w:rPr>
        <w:t>211</w:t>
      </w:r>
      <w:r w:rsidR="00A961EA" w:rsidRPr="004A557F">
        <w:rPr>
          <w:rFonts w:eastAsiaTheme="minorEastAsia" w:cstheme="minorHAnsi"/>
          <w:sz w:val="24"/>
          <w:szCs w:val="24"/>
          <w:lang w:eastAsia="zh-CN"/>
        </w:rPr>
        <w:t>9.</w:t>
      </w:r>
    </w:p>
    <w:p w14:paraId="1D9133D1" w14:textId="13462C20" w:rsidR="00A961EA" w:rsidRPr="004A557F" w:rsidRDefault="009F72B0"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5</w:t>
      </w:r>
      <w:r w:rsidR="00A961EA" w:rsidRPr="004A557F">
        <w:rPr>
          <w:rFonts w:eastAsiaTheme="minorEastAsia" w:cstheme="minorHAnsi"/>
          <w:sz w:val="24"/>
          <w:szCs w:val="24"/>
          <w:lang w:eastAsia="zh-CN"/>
        </w:rPr>
        <w:t xml:space="preserve">. Jones R. Can early diagnosis and effective management combat the irresistible rise of COPD? </w:t>
      </w:r>
      <w:r w:rsidR="00A961EA" w:rsidRPr="0086752D">
        <w:rPr>
          <w:rFonts w:eastAsiaTheme="minorEastAsia" w:cstheme="minorHAnsi"/>
          <w:i/>
          <w:sz w:val="24"/>
          <w:szCs w:val="24"/>
          <w:lang w:eastAsia="zh-CN"/>
        </w:rPr>
        <w:t xml:space="preserve">Br J Gen </w:t>
      </w:r>
      <w:proofErr w:type="spellStart"/>
      <w:r w:rsidR="00A961EA" w:rsidRPr="0086752D">
        <w:rPr>
          <w:rFonts w:eastAsiaTheme="minorEastAsia" w:cstheme="minorHAnsi"/>
          <w:i/>
          <w:sz w:val="24"/>
          <w:szCs w:val="24"/>
          <w:lang w:eastAsia="zh-CN"/>
        </w:rPr>
        <w:t>Pract</w:t>
      </w:r>
      <w:proofErr w:type="spellEnd"/>
      <w:r w:rsidR="00A961EA" w:rsidRPr="004A557F">
        <w:rPr>
          <w:rFonts w:eastAsiaTheme="minorEastAsia" w:cstheme="minorHAnsi"/>
          <w:sz w:val="24"/>
          <w:szCs w:val="24"/>
          <w:lang w:eastAsia="zh-CN"/>
        </w:rPr>
        <w:t xml:space="preserve"> 2006;</w:t>
      </w:r>
      <w:r w:rsidR="0086752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56</w:t>
      </w:r>
      <w:r w:rsidR="0086752D">
        <w:rPr>
          <w:rFonts w:eastAsiaTheme="minorEastAsia" w:cstheme="minorHAnsi"/>
          <w:sz w:val="24"/>
          <w:szCs w:val="24"/>
          <w:lang w:eastAsia="zh-CN"/>
        </w:rPr>
        <w:t>(530)</w:t>
      </w:r>
      <w:r w:rsidR="00A961EA" w:rsidRPr="004A557F">
        <w:rPr>
          <w:rFonts w:eastAsiaTheme="minorEastAsia" w:cstheme="minorHAnsi"/>
          <w:sz w:val="24"/>
          <w:szCs w:val="24"/>
          <w:lang w:eastAsia="zh-CN"/>
        </w:rPr>
        <w:t>:</w:t>
      </w:r>
      <w:r w:rsidR="0086752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652-</w:t>
      </w:r>
      <w:r w:rsidR="0086752D">
        <w:rPr>
          <w:rFonts w:eastAsiaTheme="minorEastAsia" w:cstheme="minorHAnsi"/>
          <w:sz w:val="24"/>
          <w:szCs w:val="24"/>
          <w:lang w:eastAsia="zh-CN"/>
        </w:rPr>
        <w:t>65</w:t>
      </w:r>
      <w:r w:rsidR="00A961EA" w:rsidRPr="004A557F">
        <w:rPr>
          <w:rFonts w:eastAsiaTheme="minorEastAsia" w:cstheme="minorHAnsi"/>
          <w:sz w:val="24"/>
          <w:szCs w:val="24"/>
          <w:lang w:eastAsia="zh-CN"/>
        </w:rPr>
        <w:t>4.</w:t>
      </w:r>
    </w:p>
    <w:p w14:paraId="667DA6B3" w14:textId="14C3F6B1" w:rsidR="00A961EA" w:rsidRPr="004A557F" w:rsidRDefault="009F72B0"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6</w:t>
      </w:r>
      <w:r w:rsidR="00A961EA" w:rsidRPr="004A557F">
        <w:rPr>
          <w:rFonts w:eastAsiaTheme="minorEastAsia" w:cstheme="minorHAnsi"/>
          <w:sz w:val="24"/>
          <w:szCs w:val="24"/>
          <w:lang w:eastAsia="zh-CN"/>
        </w:rPr>
        <w:t xml:space="preserve">. </w:t>
      </w:r>
      <w:hyperlink r:id="rId11" w:history="1">
        <w:r w:rsidR="00A961EA" w:rsidRPr="004A557F">
          <w:rPr>
            <w:rFonts w:eastAsiaTheme="minorEastAsia" w:cstheme="minorHAnsi"/>
            <w:sz w:val="24"/>
            <w:szCs w:val="24"/>
            <w:lang w:eastAsia="zh-CN"/>
          </w:rPr>
          <w:t>Lindberg A</w:t>
        </w:r>
      </w:hyperlink>
      <w:r w:rsidR="00A961EA" w:rsidRPr="004A557F">
        <w:rPr>
          <w:rFonts w:eastAsiaTheme="minorEastAsia" w:cstheme="minorHAnsi"/>
          <w:sz w:val="24"/>
          <w:szCs w:val="24"/>
          <w:lang w:eastAsia="zh-CN"/>
        </w:rPr>
        <w:t>, </w:t>
      </w:r>
      <w:proofErr w:type="spellStart"/>
      <w:r w:rsidR="004C6092">
        <w:rPr>
          <w:rFonts w:eastAsiaTheme="minorEastAsia" w:cstheme="minorHAnsi"/>
          <w:sz w:val="24"/>
          <w:szCs w:val="24"/>
          <w:lang w:eastAsia="zh-CN"/>
        </w:rPr>
        <w:fldChar w:fldCharType="begin"/>
      </w:r>
      <w:r w:rsidR="004C6092">
        <w:rPr>
          <w:rFonts w:eastAsiaTheme="minorEastAsia" w:cstheme="minorHAnsi"/>
          <w:sz w:val="24"/>
          <w:szCs w:val="24"/>
          <w:lang w:eastAsia="zh-CN"/>
        </w:rPr>
        <w:instrText xml:space="preserve"> HYPERLINK "https://www.ncbi.nlm.nih.gov/pubmed/?term=Jonsson%20AC%5BAuthor%5D&amp;cauthor=true&amp;cauthor_uid=15888826" </w:instrText>
      </w:r>
      <w:r w:rsidR="004C6092">
        <w:rPr>
          <w:rFonts w:eastAsiaTheme="minorEastAsia" w:cstheme="minorHAnsi"/>
          <w:sz w:val="24"/>
          <w:szCs w:val="24"/>
          <w:lang w:eastAsia="zh-CN"/>
        </w:rPr>
        <w:fldChar w:fldCharType="separate"/>
      </w:r>
      <w:r w:rsidR="00A961EA" w:rsidRPr="004A557F">
        <w:rPr>
          <w:rFonts w:eastAsiaTheme="minorEastAsia" w:cstheme="minorHAnsi"/>
          <w:sz w:val="24"/>
          <w:szCs w:val="24"/>
          <w:lang w:eastAsia="zh-CN"/>
        </w:rPr>
        <w:t>Jonsson</w:t>
      </w:r>
      <w:proofErr w:type="spellEnd"/>
      <w:r w:rsidR="00A961EA" w:rsidRPr="004A557F">
        <w:rPr>
          <w:rFonts w:eastAsiaTheme="minorEastAsia" w:cstheme="minorHAnsi"/>
          <w:sz w:val="24"/>
          <w:szCs w:val="24"/>
          <w:lang w:eastAsia="zh-CN"/>
        </w:rPr>
        <w:t xml:space="preserve"> AC</w:t>
      </w:r>
      <w:r w:rsidR="004C6092">
        <w:rPr>
          <w:rFonts w:eastAsiaTheme="minorEastAsia" w:cstheme="minorHAnsi"/>
          <w:sz w:val="24"/>
          <w:szCs w:val="24"/>
          <w:lang w:eastAsia="zh-CN"/>
        </w:rPr>
        <w:fldChar w:fldCharType="end"/>
      </w:r>
      <w:r w:rsidR="00A961EA" w:rsidRPr="004A557F">
        <w:rPr>
          <w:rFonts w:eastAsiaTheme="minorEastAsia" w:cstheme="minorHAnsi"/>
          <w:sz w:val="24"/>
          <w:szCs w:val="24"/>
          <w:lang w:eastAsia="zh-CN"/>
        </w:rPr>
        <w:t>, </w:t>
      </w:r>
      <w:proofErr w:type="spellStart"/>
      <w:r w:rsidR="004C6092">
        <w:rPr>
          <w:rFonts w:eastAsiaTheme="minorEastAsia" w:cstheme="minorHAnsi"/>
          <w:sz w:val="24"/>
          <w:szCs w:val="24"/>
          <w:lang w:eastAsia="zh-CN"/>
        </w:rPr>
        <w:fldChar w:fldCharType="begin"/>
      </w:r>
      <w:r w:rsidR="004C6092">
        <w:rPr>
          <w:rFonts w:eastAsiaTheme="minorEastAsia" w:cstheme="minorHAnsi"/>
          <w:sz w:val="24"/>
          <w:szCs w:val="24"/>
          <w:lang w:eastAsia="zh-CN"/>
        </w:rPr>
        <w:instrText xml:space="preserve"> HYPERLINK "https://www.ncbi.nlm.nih.gov/pubmed/?term=R%C3%B6nmark%20E%5BAuthor%5D&amp;cauthor=true&amp;cauthor_uid=15888826" </w:instrText>
      </w:r>
      <w:r w:rsidR="004C6092">
        <w:rPr>
          <w:rFonts w:eastAsiaTheme="minorEastAsia" w:cstheme="minorHAnsi"/>
          <w:sz w:val="24"/>
          <w:szCs w:val="24"/>
          <w:lang w:eastAsia="zh-CN"/>
        </w:rPr>
        <w:fldChar w:fldCharType="separate"/>
      </w:r>
      <w:r w:rsidR="00A961EA" w:rsidRPr="004A557F">
        <w:rPr>
          <w:rFonts w:eastAsiaTheme="minorEastAsia" w:cstheme="minorHAnsi"/>
          <w:sz w:val="24"/>
          <w:szCs w:val="24"/>
          <w:lang w:eastAsia="zh-CN"/>
        </w:rPr>
        <w:t>Rönmark</w:t>
      </w:r>
      <w:proofErr w:type="spellEnd"/>
      <w:r w:rsidR="00A961EA" w:rsidRPr="004A557F">
        <w:rPr>
          <w:rFonts w:eastAsiaTheme="minorEastAsia" w:cstheme="minorHAnsi"/>
          <w:sz w:val="24"/>
          <w:szCs w:val="24"/>
          <w:lang w:eastAsia="zh-CN"/>
        </w:rPr>
        <w:t xml:space="preserve"> E</w:t>
      </w:r>
      <w:r w:rsidR="004C6092">
        <w:rPr>
          <w:rFonts w:eastAsiaTheme="minorEastAsia" w:cstheme="minorHAnsi"/>
          <w:sz w:val="24"/>
          <w:szCs w:val="24"/>
          <w:lang w:eastAsia="zh-CN"/>
        </w:rPr>
        <w:fldChar w:fldCharType="end"/>
      </w:r>
      <w:r w:rsidR="00A961EA" w:rsidRPr="004A557F">
        <w:rPr>
          <w:rFonts w:eastAsiaTheme="minorEastAsia" w:cstheme="minorHAnsi"/>
          <w:sz w:val="24"/>
          <w:szCs w:val="24"/>
          <w:lang w:eastAsia="zh-CN"/>
        </w:rPr>
        <w:t>, </w:t>
      </w:r>
      <w:hyperlink r:id="rId12" w:history="1">
        <w:r w:rsidR="00A961EA" w:rsidRPr="004A557F">
          <w:rPr>
            <w:rFonts w:eastAsiaTheme="minorEastAsia" w:cstheme="minorHAnsi"/>
            <w:sz w:val="24"/>
            <w:szCs w:val="24"/>
            <w:lang w:eastAsia="zh-CN"/>
          </w:rPr>
          <w:t>Lundgren R</w:t>
        </w:r>
      </w:hyperlink>
      <w:r w:rsidR="00A961EA" w:rsidRPr="004A557F">
        <w:rPr>
          <w:rFonts w:eastAsiaTheme="minorEastAsia" w:cstheme="minorHAnsi"/>
          <w:sz w:val="24"/>
          <w:szCs w:val="24"/>
          <w:lang w:eastAsia="zh-CN"/>
        </w:rPr>
        <w:t>, </w:t>
      </w:r>
      <w:hyperlink r:id="rId13" w:history="1">
        <w:r w:rsidR="00A961EA" w:rsidRPr="004A557F">
          <w:rPr>
            <w:rFonts w:eastAsiaTheme="minorEastAsia" w:cstheme="minorHAnsi"/>
            <w:sz w:val="24"/>
            <w:szCs w:val="24"/>
            <w:lang w:eastAsia="zh-CN"/>
          </w:rPr>
          <w:t>Larsson LG</w:t>
        </w:r>
      </w:hyperlink>
      <w:r w:rsidR="00A961EA" w:rsidRPr="004A557F">
        <w:rPr>
          <w:rFonts w:eastAsiaTheme="minorEastAsia" w:cstheme="minorHAnsi"/>
          <w:sz w:val="24"/>
          <w:szCs w:val="24"/>
          <w:lang w:eastAsia="zh-CN"/>
        </w:rPr>
        <w:t>, </w:t>
      </w:r>
      <w:proofErr w:type="spellStart"/>
      <w:r w:rsidR="004C6092">
        <w:rPr>
          <w:rFonts w:eastAsiaTheme="minorEastAsia" w:cstheme="minorHAnsi"/>
          <w:sz w:val="24"/>
          <w:szCs w:val="24"/>
          <w:lang w:eastAsia="zh-CN"/>
        </w:rPr>
        <w:fldChar w:fldCharType="begin"/>
      </w:r>
      <w:r w:rsidR="004C6092">
        <w:rPr>
          <w:rFonts w:eastAsiaTheme="minorEastAsia" w:cstheme="minorHAnsi"/>
          <w:sz w:val="24"/>
          <w:szCs w:val="24"/>
          <w:lang w:eastAsia="zh-CN"/>
        </w:rPr>
        <w:instrText xml:space="preserve"> HYPERLINK "https://www.ncbi.nlm.nih.gov/pubmed/?term=Lundb%C3%A4ck%20B%5BAuthor%5D&amp;cauthor=true&amp;cauthor_uid=15888826" </w:instrText>
      </w:r>
      <w:r w:rsidR="004C6092">
        <w:rPr>
          <w:rFonts w:eastAsiaTheme="minorEastAsia" w:cstheme="minorHAnsi"/>
          <w:sz w:val="24"/>
          <w:szCs w:val="24"/>
          <w:lang w:eastAsia="zh-CN"/>
        </w:rPr>
        <w:fldChar w:fldCharType="separate"/>
      </w:r>
      <w:r w:rsidR="00A961EA" w:rsidRPr="004A557F">
        <w:rPr>
          <w:rFonts w:eastAsiaTheme="minorEastAsia" w:cstheme="minorHAnsi"/>
          <w:sz w:val="24"/>
          <w:szCs w:val="24"/>
          <w:lang w:eastAsia="zh-CN"/>
        </w:rPr>
        <w:t>Lundbäck</w:t>
      </w:r>
      <w:proofErr w:type="spellEnd"/>
      <w:r w:rsidR="00A961EA" w:rsidRPr="004A557F">
        <w:rPr>
          <w:rFonts w:eastAsiaTheme="minorEastAsia" w:cstheme="minorHAnsi"/>
          <w:sz w:val="24"/>
          <w:szCs w:val="24"/>
          <w:lang w:eastAsia="zh-CN"/>
        </w:rPr>
        <w:t xml:space="preserve"> B</w:t>
      </w:r>
      <w:r w:rsidR="004C6092">
        <w:rPr>
          <w:rFonts w:eastAsiaTheme="minorEastAsia" w:cstheme="minorHAnsi"/>
          <w:sz w:val="24"/>
          <w:szCs w:val="24"/>
          <w:lang w:eastAsia="zh-CN"/>
        </w:rPr>
        <w:fldChar w:fldCharType="end"/>
      </w:r>
      <w:r w:rsidR="00A961EA" w:rsidRPr="004A557F">
        <w:rPr>
          <w:rFonts w:eastAsiaTheme="minorEastAsia" w:cstheme="minorHAnsi"/>
          <w:sz w:val="24"/>
          <w:szCs w:val="24"/>
          <w:lang w:eastAsia="zh-CN"/>
        </w:rPr>
        <w:t xml:space="preserve">. Ten-year cumulative incidence of COPD and risk factors for incident disease in a symptomatic cohort. </w:t>
      </w:r>
      <w:r w:rsidR="00A961EA" w:rsidRPr="0086752D">
        <w:rPr>
          <w:rFonts w:eastAsiaTheme="minorEastAsia" w:cstheme="minorHAnsi"/>
          <w:i/>
          <w:sz w:val="24"/>
          <w:szCs w:val="24"/>
          <w:lang w:eastAsia="zh-CN"/>
        </w:rPr>
        <w:t>Chest</w:t>
      </w:r>
      <w:r w:rsidR="00A961EA" w:rsidRPr="004A557F">
        <w:rPr>
          <w:rFonts w:eastAsiaTheme="minorEastAsia" w:cstheme="minorHAnsi"/>
          <w:sz w:val="24"/>
          <w:szCs w:val="24"/>
          <w:lang w:eastAsia="zh-CN"/>
        </w:rPr>
        <w:t xml:space="preserve"> 2005;</w:t>
      </w:r>
      <w:r w:rsidR="0086752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127</w:t>
      </w:r>
      <w:r w:rsidR="0086752D">
        <w:rPr>
          <w:rFonts w:eastAsiaTheme="minorEastAsia" w:cstheme="minorHAnsi"/>
          <w:sz w:val="24"/>
          <w:szCs w:val="24"/>
          <w:lang w:eastAsia="zh-CN"/>
        </w:rPr>
        <w:t>(5)</w:t>
      </w:r>
      <w:r w:rsidR="00A961EA" w:rsidRPr="004A557F">
        <w:rPr>
          <w:rFonts w:eastAsiaTheme="minorEastAsia" w:cstheme="minorHAnsi"/>
          <w:sz w:val="24"/>
          <w:szCs w:val="24"/>
          <w:lang w:eastAsia="zh-CN"/>
        </w:rPr>
        <w:t>:</w:t>
      </w:r>
      <w:r w:rsidR="0086752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1544-</w:t>
      </w:r>
      <w:r w:rsidR="0086752D">
        <w:rPr>
          <w:rFonts w:eastAsiaTheme="minorEastAsia" w:cstheme="minorHAnsi"/>
          <w:sz w:val="24"/>
          <w:szCs w:val="24"/>
          <w:lang w:eastAsia="zh-CN"/>
        </w:rPr>
        <w:t>15</w:t>
      </w:r>
      <w:r w:rsidR="00A961EA" w:rsidRPr="004A557F">
        <w:rPr>
          <w:rFonts w:eastAsiaTheme="minorEastAsia" w:cstheme="minorHAnsi"/>
          <w:sz w:val="24"/>
          <w:szCs w:val="24"/>
          <w:lang w:eastAsia="zh-CN"/>
        </w:rPr>
        <w:t>52.</w:t>
      </w:r>
    </w:p>
    <w:p w14:paraId="22CF9E84" w14:textId="5711B938" w:rsidR="009F762C" w:rsidRPr="004A557F" w:rsidRDefault="004963D1"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7</w:t>
      </w:r>
      <w:r w:rsidR="00A961EA" w:rsidRPr="004A557F">
        <w:rPr>
          <w:rFonts w:eastAsiaTheme="minorEastAsia" w:cstheme="minorHAnsi"/>
          <w:sz w:val="24"/>
          <w:szCs w:val="24"/>
          <w:lang w:eastAsia="zh-CN"/>
        </w:rPr>
        <w:t xml:space="preserve">. </w:t>
      </w:r>
      <w:proofErr w:type="spellStart"/>
      <w:r w:rsidR="00A961EA" w:rsidRPr="004A557F">
        <w:rPr>
          <w:rFonts w:eastAsiaTheme="minorEastAsia" w:cstheme="minorHAnsi"/>
          <w:sz w:val="24"/>
          <w:szCs w:val="24"/>
          <w:lang w:eastAsia="zh-CN"/>
        </w:rPr>
        <w:t>Løkke</w:t>
      </w:r>
      <w:proofErr w:type="spellEnd"/>
      <w:r w:rsidR="00A961EA" w:rsidRPr="004A557F">
        <w:rPr>
          <w:rFonts w:eastAsiaTheme="minorEastAsia" w:cstheme="minorHAnsi"/>
          <w:sz w:val="24"/>
          <w:szCs w:val="24"/>
          <w:lang w:eastAsia="zh-CN"/>
        </w:rPr>
        <w:t xml:space="preserve"> A, Lange P, </w:t>
      </w:r>
      <w:proofErr w:type="spellStart"/>
      <w:r w:rsidR="00A961EA" w:rsidRPr="004A557F">
        <w:rPr>
          <w:rFonts w:eastAsiaTheme="minorEastAsia" w:cstheme="minorHAnsi"/>
          <w:sz w:val="24"/>
          <w:szCs w:val="24"/>
          <w:lang w:eastAsia="zh-CN"/>
        </w:rPr>
        <w:t>Scharling</w:t>
      </w:r>
      <w:proofErr w:type="spellEnd"/>
      <w:r w:rsidR="00A961EA" w:rsidRPr="004A557F">
        <w:rPr>
          <w:rFonts w:eastAsiaTheme="minorEastAsia" w:cstheme="minorHAnsi"/>
          <w:sz w:val="24"/>
          <w:szCs w:val="24"/>
          <w:lang w:eastAsia="zh-CN"/>
        </w:rPr>
        <w:t xml:space="preserve"> H, </w:t>
      </w:r>
      <w:proofErr w:type="spellStart"/>
      <w:r w:rsidR="00A961EA" w:rsidRPr="004A557F">
        <w:rPr>
          <w:rFonts w:eastAsiaTheme="minorEastAsia" w:cstheme="minorHAnsi"/>
          <w:sz w:val="24"/>
          <w:szCs w:val="24"/>
          <w:lang w:eastAsia="zh-CN"/>
        </w:rPr>
        <w:t>Fabricius</w:t>
      </w:r>
      <w:proofErr w:type="spellEnd"/>
      <w:r w:rsidR="00A961EA" w:rsidRPr="004A557F">
        <w:rPr>
          <w:rFonts w:eastAsiaTheme="minorEastAsia" w:cstheme="minorHAnsi"/>
          <w:sz w:val="24"/>
          <w:szCs w:val="24"/>
          <w:lang w:eastAsia="zh-CN"/>
        </w:rPr>
        <w:t xml:space="preserve"> P, </w:t>
      </w:r>
      <w:proofErr w:type="spellStart"/>
      <w:proofErr w:type="gramStart"/>
      <w:r w:rsidR="00A961EA" w:rsidRPr="004A557F">
        <w:rPr>
          <w:rFonts w:eastAsiaTheme="minorEastAsia" w:cstheme="minorHAnsi"/>
          <w:sz w:val="24"/>
          <w:szCs w:val="24"/>
          <w:lang w:eastAsia="zh-CN"/>
        </w:rPr>
        <w:t>Vestbo</w:t>
      </w:r>
      <w:proofErr w:type="spellEnd"/>
      <w:proofErr w:type="gramEnd"/>
      <w:r w:rsidR="00A961EA" w:rsidRPr="004A557F">
        <w:rPr>
          <w:rFonts w:eastAsiaTheme="minorEastAsia" w:cstheme="minorHAnsi"/>
          <w:sz w:val="24"/>
          <w:szCs w:val="24"/>
          <w:lang w:eastAsia="zh-CN"/>
        </w:rPr>
        <w:t xml:space="preserve"> J. Developing COPD: a 25 year follow up study of the general population. </w:t>
      </w:r>
      <w:r w:rsidR="00A961EA" w:rsidRPr="0086752D">
        <w:rPr>
          <w:rFonts w:eastAsiaTheme="minorEastAsia" w:cstheme="minorHAnsi"/>
          <w:i/>
          <w:sz w:val="24"/>
          <w:szCs w:val="24"/>
          <w:lang w:eastAsia="zh-CN"/>
        </w:rPr>
        <w:t>Thorax</w:t>
      </w:r>
      <w:r w:rsidR="00A961EA" w:rsidRPr="004A557F">
        <w:rPr>
          <w:rFonts w:eastAsiaTheme="minorEastAsia" w:cstheme="minorHAnsi"/>
          <w:sz w:val="24"/>
          <w:szCs w:val="24"/>
          <w:lang w:eastAsia="zh-CN"/>
        </w:rPr>
        <w:t xml:space="preserve"> 2006;</w:t>
      </w:r>
      <w:r w:rsidR="0086752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61</w:t>
      </w:r>
      <w:r w:rsidR="0086752D">
        <w:rPr>
          <w:rFonts w:eastAsiaTheme="minorEastAsia" w:cstheme="minorHAnsi"/>
          <w:sz w:val="24"/>
          <w:szCs w:val="24"/>
          <w:lang w:eastAsia="zh-CN"/>
        </w:rPr>
        <w:t>(11)</w:t>
      </w:r>
      <w:r w:rsidR="00A961EA" w:rsidRPr="004A557F">
        <w:rPr>
          <w:rFonts w:eastAsiaTheme="minorEastAsia" w:cstheme="minorHAnsi"/>
          <w:sz w:val="24"/>
          <w:szCs w:val="24"/>
          <w:lang w:eastAsia="zh-CN"/>
        </w:rPr>
        <w:t>:</w:t>
      </w:r>
      <w:r w:rsidR="0086752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935-</w:t>
      </w:r>
      <w:r w:rsidR="0086752D">
        <w:rPr>
          <w:rFonts w:eastAsiaTheme="minorEastAsia" w:cstheme="minorHAnsi"/>
          <w:sz w:val="24"/>
          <w:szCs w:val="24"/>
          <w:lang w:eastAsia="zh-CN"/>
        </w:rPr>
        <w:t>93</w:t>
      </w:r>
      <w:r w:rsidR="00A961EA" w:rsidRPr="004A557F">
        <w:rPr>
          <w:rFonts w:eastAsiaTheme="minorEastAsia" w:cstheme="minorHAnsi"/>
          <w:sz w:val="24"/>
          <w:szCs w:val="24"/>
          <w:lang w:eastAsia="zh-CN"/>
        </w:rPr>
        <w:t>9.</w:t>
      </w:r>
    </w:p>
    <w:p w14:paraId="7ED868C8" w14:textId="29D4682F" w:rsidR="00A961EA" w:rsidRPr="004A557F" w:rsidRDefault="004963D1"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lastRenderedPageBreak/>
        <w:t>8</w:t>
      </w:r>
      <w:r w:rsidR="00A961EA" w:rsidRPr="004A557F">
        <w:rPr>
          <w:rFonts w:eastAsiaTheme="minorEastAsia" w:cstheme="minorHAnsi"/>
          <w:sz w:val="24"/>
          <w:szCs w:val="24"/>
          <w:lang w:eastAsia="zh-CN"/>
        </w:rPr>
        <w:t xml:space="preserve">. </w:t>
      </w:r>
      <w:hyperlink r:id="rId14" w:history="1">
        <w:r w:rsidR="00A961EA" w:rsidRPr="004A557F">
          <w:rPr>
            <w:rFonts w:eastAsiaTheme="minorEastAsia" w:cstheme="minorHAnsi"/>
            <w:sz w:val="24"/>
            <w:szCs w:val="24"/>
            <w:lang w:eastAsia="zh-CN"/>
          </w:rPr>
          <w:t>Pirie K</w:t>
        </w:r>
      </w:hyperlink>
      <w:r w:rsidR="00A961EA" w:rsidRPr="004A557F">
        <w:rPr>
          <w:rFonts w:eastAsiaTheme="minorEastAsia" w:cstheme="minorHAnsi"/>
          <w:sz w:val="24"/>
          <w:szCs w:val="24"/>
          <w:lang w:eastAsia="zh-CN"/>
        </w:rPr>
        <w:t>, </w:t>
      </w:r>
      <w:proofErr w:type="spellStart"/>
      <w:r w:rsidR="004C6092">
        <w:rPr>
          <w:rFonts w:eastAsiaTheme="minorEastAsia" w:cstheme="minorHAnsi"/>
          <w:sz w:val="24"/>
          <w:szCs w:val="24"/>
          <w:lang w:eastAsia="zh-CN"/>
        </w:rPr>
        <w:fldChar w:fldCharType="begin"/>
      </w:r>
      <w:r w:rsidR="004C6092">
        <w:rPr>
          <w:rFonts w:eastAsiaTheme="minorEastAsia" w:cstheme="minorHAnsi"/>
          <w:sz w:val="24"/>
          <w:szCs w:val="24"/>
          <w:lang w:eastAsia="zh-CN"/>
        </w:rPr>
        <w:instrText xml:space="preserve"> HYPERLINK "https://www.ncbi.nlm.nih.gov/pubmed/?term=Peto%20R%5BAuthor%5D&amp;cauthor=true&amp;cauthor_uid=23107252" </w:instrText>
      </w:r>
      <w:r w:rsidR="004C6092">
        <w:rPr>
          <w:rFonts w:eastAsiaTheme="minorEastAsia" w:cstheme="minorHAnsi"/>
          <w:sz w:val="24"/>
          <w:szCs w:val="24"/>
          <w:lang w:eastAsia="zh-CN"/>
        </w:rPr>
        <w:fldChar w:fldCharType="separate"/>
      </w:r>
      <w:r w:rsidR="00A961EA" w:rsidRPr="004A557F">
        <w:rPr>
          <w:rFonts w:eastAsiaTheme="minorEastAsia" w:cstheme="minorHAnsi"/>
          <w:sz w:val="24"/>
          <w:szCs w:val="24"/>
          <w:lang w:eastAsia="zh-CN"/>
        </w:rPr>
        <w:t>Peto</w:t>
      </w:r>
      <w:proofErr w:type="spellEnd"/>
      <w:r w:rsidR="00A961EA" w:rsidRPr="004A557F">
        <w:rPr>
          <w:rFonts w:eastAsiaTheme="minorEastAsia" w:cstheme="minorHAnsi"/>
          <w:sz w:val="24"/>
          <w:szCs w:val="24"/>
          <w:lang w:eastAsia="zh-CN"/>
        </w:rPr>
        <w:t xml:space="preserve"> R</w:t>
      </w:r>
      <w:r w:rsidR="004C6092">
        <w:rPr>
          <w:rFonts w:eastAsiaTheme="minorEastAsia" w:cstheme="minorHAnsi"/>
          <w:sz w:val="24"/>
          <w:szCs w:val="24"/>
          <w:lang w:eastAsia="zh-CN"/>
        </w:rPr>
        <w:fldChar w:fldCharType="end"/>
      </w:r>
      <w:r w:rsidR="00A961EA" w:rsidRPr="004A557F">
        <w:rPr>
          <w:rFonts w:eastAsiaTheme="minorEastAsia" w:cstheme="minorHAnsi"/>
          <w:sz w:val="24"/>
          <w:szCs w:val="24"/>
          <w:lang w:eastAsia="zh-CN"/>
        </w:rPr>
        <w:t>, </w:t>
      </w:r>
      <w:hyperlink r:id="rId15" w:history="1">
        <w:r w:rsidR="00A961EA" w:rsidRPr="004A557F">
          <w:rPr>
            <w:rFonts w:eastAsiaTheme="minorEastAsia" w:cstheme="minorHAnsi"/>
            <w:sz w:val="24"/>
            <w:szCs w:val="24"/>
            <w:lang w:eastAsia="zh-CN"/>
          </w:rPr>
          <w:t>Reeves GK</w:t>
        </w:r>
      </w:hyperlink>
      <w:r w:rsidR="00A961EA" w:rsidRPr="004A557F">
        <w:rPr>
          <w:rFonts w:eastAsiaTheme="minorEastAsia" w:cstheme="minorHAnsi"/>
          <w:sz w:val="24"/>
          <w:szCs w:val="24"/>
          <w:lang w:eastAsia="zh-CN"/>
        </w:rPr>
        <w:t>, </w:t>
      </w:r>
      <w:hyperlink r:id="rId16" w:history="1">
        <w:r w:rsidR="00A961EA" w:rsidRPr="004A557F">
          <w:rPr>
            <w:rFonts w:eastAsiaTheme="minorEastAsia" w:cstheme="minorHAnsi"/>
            <w:sz w:val="24"/>
            <w:szCs w:val="24"/>
            <w:lang w:eastAsia="zh-CN"/>
          </w:rPr>
          <w:t>Green J</w:t>
        </w:r>
      </w:hyperlink>
      <w:r w:rsidR="00A961EA" w:rsidRPr="004A557F">
        <w:rPr>
          <w:rFonts w:eastAsiaTheme="minorEastAsia" w:cstheme="minorHAnsi"/>
          <w:sz w:val="24"/>
          <w:szCs w:val="24"/>
          <w:lang w:eastAsia="zh-CN"/>
        </w:rPr>
        <w:t>, </w:t>
      </w:r>
      <w:proofErr w:type="spellStart"/>
      <w:r w:rsidR="004C6092">
        <w:rPr>
          <w:rFonts w:eastAsiaTheme="minorEastAsia" w:cstheme="minorHAnsi"/>
          <w:sz w:val="24"/>
          <w:szCs w:val="24"/>
          <w:lang w:eastAsia="zh-CN"/>
        </w:rPr>
        <w:fldChar w:fldCharType="begin"/>
      </w:r>
      <w:r w:rsidR="004C6092">
        <w:rPr>
          <w:rFonts w:eastAsiaTheme="minorEastAsia" w:cstheme="minorHAnsi"/>
          <w:sz w:val="24"/>
          <w:szCs w:val="24"/>
          <w:lang w:eastAsia="zh-CN"/>
        </w:rPr>
        <w:instrText xml:space="preserve"> HYPERLINK "https://www.ncbi.nlm.nih.gov/pubmed/?term=Beral%20V%5BAuthor%5D&amp;cauthor=true&amp;cauthor_uid=23107252" </w:instrText>
      </w:r>
      <w:r w:rsidR="004C6092">
        <w:rPr>
          <w:rFonts w:eastAsiaTheme="minorEastAsia" w:cstheme="minorHAnsi"/>
          <w:sz w:val="24"/>
          <w:szCs w:val="24"/>
          <w:lang w:eastAsia="zh-CN"/>
        </w:rPr>
        <w:fldChar w:fldCharType="separate"/>
      </w:r>
      <w:r w:rsidR="00A961EA" w:rsidRPr="004A557F">
        <w:rPr>
          <w:rFonts w:eastAsiaTheme="minorEastAsia" w:cstheme="minorHAnsi"/>
          <w:sz w:val="24"/>
          <w:szCs w:val="24"/>
          <w:lang w:eastAsia="zh-CN"/>
        </w:rPr>
        <w:t>Beral</w:t>
      </w:r>
      <w:proofErr w:type="spellEnd"/>
      <w:r w:rsidR="00A961EA" w:rsidRPr="004A557F">
        <w:rPr>
          <w:rFonts w:eastAsiaTheme="minorEastAsia" w:cstheme="minorHAnsi"/>
          <w:sz w:val="24"/>
          <w:szCs w:val="24"/>
          <w:lang w:eastAsia="zh-CN"/>
        </w:rPr>
        <w:t xml:space="preserve"> V</w:t>
      </w:r>
      <w:r w:rsidR="004C6092">
        <w:rPr>
          <w:rFonts w:eastAsiaTheme="minorEastAsia" w:cstheme="minorHAnsi"/>
          <w:sz w:val="24"/>
          <w:szCs w:val="24"/>
          <w:lang w:eastAsia="zh-CN"/>
        </w:rPr>
        <w:fldChar w:fldCharType="end"/>
      </w:r>
      <w:r w:rsidR="00A961EA" w:rsidRPr="004A557F">
        <w:rPr>
          <w:rFonts w:eastAsiaTheme="minorEastAsia" w:cstheme="minorHAnsi"/>
          <w:sz w:val="24"/>
          <w:szCs w:val="24"/>
          <w:lang w:eastAsia="zh-CN"/>
        </w:rPr>
        <w:t>; </w:t>
      </w:r>
      <w:hyperlink r:id="rId17" w:history="1">
        <w:r w:rsidR="00A961EA" w:rsidRPr="004A557F">
          <w:rPr>
            <w:rFonts w:eastAsiaTheme="minorEastAsia" w:cstheme="minorHAnsi"/>
            <w:sz w:val="24"/>
            <w:szCs w:val="24"/>
            <w:lang w:eastAsia="zh-CN"/>
          </w:rPr>
          <w:t>Million Women Study Collaborators</w:t>
        </w:r>
      </w:hyperlink>
      <w:r w:rsidR="00A961EA" w:rsidRPr="004A557F">
        <w:rPr>
          <w:rFonts w:eastAsiaTheme="minorEastAsia" w:cstheme="minorHAnsi"/>
          <w:sz w:val="24"/>
          <w:szCs w:val="24"/>
          <w:lang w:eastAsia="zh-CN"/>
        </w:rPr>
        <w:t>.</w:t>
      </w:r>
      <w:r w:rsidR="006E2E2A" w:rsidRPr="004A557F">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 xml:space="preserve">The 21st century hazards of smoking and benefits of stopping: a prospective study of one million women in the UK. </w:t>
      </w:r>
      <w:r w:rsidR="00A961EA" w:rsidRPr="0086752D">
        <w:rPr>
          <w:rFonts w:eastAsiaTheme="minorEastAsia" w:cstheme="minorHAnsi"/>
          <w:i/>
          <w:sz w:val="24"/>
          <w:szCs w:val="24"/>
          <w:lang w:eastAsia="zh-CN"/>
        </w:rPr>
        <w:t>Lancet</w:t>
      </w:r>
      <w:r w:rsidR="00A961EA" w:rsidRPr="004A557F">
        <w:rPr>
          <w:rFonts w:eastAsiaTheme="minorEastAsia" w:cstheme="minorHAnsi"/>
          <w:sz w:val="24"/>
          <w:szCs w:val="24"/>
          <w:lang w:eastAsia="zh-CN"/>
        </w:rPr>
        <w:t> 2013;</w:t>
      </w:r>
      <w:r w:rsidR="0086752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381</w:t>
      </w:r>
      <w:r w:rsidR="0086752D">
        <w:rPr>
          <w:rFonts w:eastAsiaTheme="minorEastAsia" w:cstheme="minorHAnsi"/>
          <w:sz w:val="24"/>
          <w:szCs w:val="24"/>
          <w:lang w:eastAsia="zh-CN"/>
        </w:rPr>
        <w:t>(</w:t>
      </w:r>
      <w:r w:rsidR="0087783D">
        <w:rPr>
          <w:rFonts w:eastAsiaTheme="minorEastAsia" w:cstheme="minorHAnsi"/>
          <w:sz w:val="24"/>
          <w:szCs w:val="24"/>
          <w:lang w:eastAsia="zh-CN"/>
        </w:rPr>
        <w:t>9861</w:t>
      </w:r>
      <w:r w:rsidR="0086752D">
        <w:rPr>
          <w:rFonts w:eastAsiaTheme="minorEastAsia" w:cstheme="minorHAnsi"/>
          <w:sz w:val="24"/>
          <w:szCs w:val="24"/>
          <w:lang w:eastAsia="zh-CN"/>
        </w:rPr>
        <w:t>)</w:t>
      </w:r>
      <w:r w:rsidR="00A961EA" w:rsidRPr="004A557F">
        <w:rPr>
          <w:rFonts w:eastAsiaTheme="minorEastAsia" w:cstheme="minorHAnsi"/>
          <w:sz w:val="24"/>
          <w:szCs w:val="24"/>
          <w:lang w:eastAsia="zh-CN"/>
        </w:rPr>
        <w:t>:</w:t>
      </w:r>
      <w:r w:rsidR="0086752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133-</w:t>
      </w:r>
      <w:r w:rsidR="0086752D">
        <w:rPr>
          <w:rFonts w:eastAsiaTheme="minorEastAsia" w:cstheme="minorHAnsi"/>
          <w:sz w:val="24"/>
          <w:szCs w:val="24"/>
          <w:lang w:eastAsia="zh-CN"/>
        </w:rPr>
        <w:t>1</w:t>
      </w:r>
      <w:r w:rsidR="00A961EA" w:rsidRPr="004A557F">
        <w:rPr>
          <w:rFonts w:eastAsiaTheme="minorEastAsia" w:cstheme="minorHAnsi"/>
          <w:sz w:val="24"/>
          <w:szCs w:val="24"/>
          <w:lang w:eastAsia="zh-CN"/>
        </w:rPr>
        <w:t>41.</w:t>
      </w:r>
    </w:p>
    <w:p w14:paraId="4F38AA61" w14:textId="6FD28219" w:rsidR="00A961EA" w:rsidRDefault="004963D1"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9</w:t>
      </w:r>
      <w:r w:rsidR="00A961EA" w:rsidRPr="004A557F">
        <w:rPr>
          <w:rFonts w:eastAsiaTheme="minorEastAsia" w:cstheme="minorHAnsi"/>
          <w:sz w:val="24"/>
          <w:szCs w:val="24"/>
          <w:lang w:eastAsia="zh-CN"/>
        </w:rPr>
        <w:t xml:space="preserve">. </w:t>
      </w:r>
      <w:proofErr w:type="spellStart"/>
      <w:r w:rsidR="00A961EA" w:rsidRPr="004A557F">
        <w:rPr>
          <w:rFonts w:eastAsiaTheme="minorEastAsia" w:cstheme="minorHAnsi"/>
          <w:sz w:val="24"/>
          <w:szCs w:val="24"/>
          <w:lang w:eastAsia="zh-CN"/>
        </w:rPr>
        <w:t>Loymans</w:t>
      </w:r>
      <w:proofErr w:type="spellEnd"/>
      <w:r w:rsidR="00A961EA" w:rsidRPr="004A557F">
        <w:rPr>
          <w:rFonts w:eastAsiaTheme="minorEastAsia" w:cstheme="minorHAnsi"/>
          <w:sz w:val="24"/>
          <w:szCs w:val="24"/>
          <w:lang w:eastAsia="zh-CN"/>
        </w:rPr>
        <w:t xml:space="preserve"> RJ, </w:t>
      </w:r>
      <w:proofErr w:type="spellStart"/>
      <w:r w:rsidR="00A961EA" w:rsidRPr="004A557F">
        <w:rPr>
          <w:rFonts w:eastAsiaTheme="minorEastAsia" w:cstheme="minorHAnsi"/>
          <w:sz w:val="24"/>
          <w:szCs w:val="24"/>
          <w:lang w:eastAsia="zh-CN"/>
        </w:rPr>
        <w:t>Gemperli</w:t>
      </w:r>
      <w:proofErr w:type="spellEnd"/>
      <w:r w:rsidR="00A961EA" w:rsidRPr="004A557F">
        <w:rPr>
          <w:rFonts w:eastAsiaTheme="minorEastAsia" w:cstheme="minorHAnsi"/>
          <w:sz w:val="24"/>
          <w:szCs w:val="24"/>
          <w:lang w:eastAsia="zh-CN"/>
        </w:rPr>
        <w:t xml:space="preserve"> A, Cohen J</w:t>
      </w:r>
      <w:r w:rsidR="0087783D">
        <w:rPr>
          <w:rFonts w:eastAsiaTheme="minorEastAsia" w:cstheme="minorHAnsi"/>
          <w:sz w:val="24"/>
          <w:szCs w:val="24"/>
          <w:lang w:eastAsia="zh-CN"/>
        </w:rPr>
        <w:t>,</w:t>
      </w:r>
      <w:r w:rsidR="00A961EA" w:rsidRPr="004A557F">
        <w:rPr>
          <w:rFonts w:eastAsiaTheme="minorEastAsia" w:cstheme="minorHAnsi"/>
          <w:sz w:val="24"/>
          <w:szCs w:val="24"/>
          <w:lang w:eastAsia="zh-CN"/>
        </w:rPr>
        <w:t xml:space="preserve"> </w:t>
      </w:r>
      <w:r w:rsidR="00A961EA" w:rsidRPr="0087783D">
        <w:rPr>
          <w:rFonts w:eastAsiaTheme="minorEastAsia" w:cstheme="minorHAnsi"/>
          <w:i/>
          <w:sz w:val="24"/>
          <w:szCs w:val="24"/>
          <w:lang w:eastAsia="zh-CN"/>
        </w:rPr>
        <w:t>et al</w:t>
      </w:r>
      <w:r w:rsidR="00A961EA" w:rsidRPr="004A557F">
        <w:rPr>
          <w:rFonts w:eastAsiaTheme="minorEastAsia" w:cstheme="minorHAnsi"/>
          <w:sz w:val="24"/>
          <w:szCs w:val="24"/>
          <w:lang w:eastAsia="zh-CN"/>
        </w:rPr>
        <w:t xml:space="preserve">. Comparative effectiveness of long term drug treatment strategies to prevent asthma exacerbations: network meta-analysis. </w:t>
      </w:r>
      <w:r w:rsidR="00A961EA" w:rsidRPr="0087783D">
        <w:rPr>
          <w:rFonts w:eastAsiaTheme="minorEastAsia" w:cstheme="minorHAnsi"/>
          <w:i/>
          <w:sz w:val="24"/>
          <w:szCs w:val="24"/>
          <w:lang w:eastAsia="zh-CN"/>
        </w:rPr>
        <w:t>BMJ</w:t>
      </w:r>
      <w:r w:rsidR="00A961EA" w:rsidRPr="004A557F">
        <w:rPr>
          <w:rFonts w:eastAsiaTheme="minorEastAsia" w:cstheme="minorHAnsi"/>
          <w:sz w:val="24"/>
          <w:szCs w:val="24"/>
          <w:lang w:eastAsia="zh-CN"/>
        </w:rPr>
        <w:t xml:space="preserve"> 2014;</w:t>
      </w:r>
      <w:r w:rsidR="0087783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348:</w:t>
      </w:r>
      <w:r w:rsidR="0087783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g3009.</w:t>
      </w:r>
    </w:p>
    <w:p w14:paraId="11E6850B" w14:textId="3EE556DB" w:rsidR="00517D97" w:rsidRPr="004A557F" w:rsidRDefault="00517D97" w:rsidP="00517D97">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1</w:t>
      </w:r>
      <w:r>
        <w:rPr>
          <w:rFonts w:eastAsiaTheme="minorEastAsia" w:cstheme="minorHAnsi"/>
          <w:sz w:val="24"/>
          <w:szCs w:val="24"/>
          <w:lang w:eastAsia="zh-CN"/>
        </w:rPr>
        <w:t>0</w:t>
      </w:r>
      <w:r w:rsidRPr="004A557F">
        <w:rPr>
          <w:rFonts w:eastAsiaTheme="minorEastAsia" w:cstheme="minorHAnsi"/>
          <w:sz w:val="24"/>
          <w:szCs w:val="24"/>
          <w:lang w:eastAsia="zh-CN"/>
        </w:rPr>
        <w:t>. Stuart-</w:t>
      </w:r>
      <w:proofErr w:type="spellStart"/>
      <w:r w:rsidRPr="004A557F">
        <w:rPr>
          <w:rFonts w:eastAsiaTheme="minorEastAsia" w:cstheme="minorHAnsi"/>
          <w:sz w:val="24"/>
          <w:szCs w:val="24"/>
          <w:lang w:eastAsia="zh-CN"/>
        </w:rPr>
        <w:t>Buttle</w:t>
      </w:r>
      <w:proofErr w:type="spellEnd"/>
      <w:r w:rsidRPr="004A557F">
        <w:rPr>
          <w:rFonts w:eastAsiaTheme="minorEastAsia" w:cstheme="minorHAnsi"/>
          <w:sz w:val="24"/>
          <w:szCs w:val="24"/>
          <w:lang w:eastAsia="zh-CN"/>
        </w:rPr>
        <w:t xml:space="preserve"> CD, Read JD, Sanderson HF, Sutton YM. A language of health in action: Read Codes, classifications and groupings. </w:t>
      </w:r>
      <w:proofErr w:type="spellStart"/>
      <w:r w:rsidRPr="0087783D">
        <w:rPr>
          <w:rFonts w:eastAsiaTheme="minorEastAsia" w:cstheme="minorHAnsi"/>
          <w:i/>
          <w:sz w:val="24"/>
          <w:szCs w:val="24"/>
          <w:lang w:eastAsia="zh-CN"/>
        </w:rPr>
        <w:t>Proc</w:t>
      </w:r>
      <w:proofErr w:type="spellEnd"/>
      <w:r w:rsidRPr="0087783D">
        <w:rPr>
          <w:rFonts w:eastAsiaTheme="minorEastAsia" w:cstheme="minorHAnsi"/>
          <w:i/>
          <w:sz w:val="24"/>
          <w:szCs w:val="24"/>
          <w:lang w:eastAsia="zh-CN"/>
        </w:rPr>
        <w:t xml:space="preserve"> AMIA </w:t>
      </w:r>
      <w:proofErr w:type="spellStart"/>
      <w:r w:rsidRPr="0087783D">
        <w:rPr>
          <w:rFonts w:eastAsiaTheme="minorEastAsia" w:cstheme="minorHAnsi"/>
          <w:i/>
          <w:sz w:val="24"/>
          <w:szCs w:val="24"/>
          <w:lang w:eastAsia="zh-CN"/>
        </w:rPr>
        <w:t>Annu</w:t>
      </w:r>
      <w:proofErr w:type="spellEnd"/>
      <w:r w:rsidRPr="0087783D">
        <w:rPr>
          <w:rFonts w:eastAsiaTheme="minorEastAsia" w:cstheme="minorHAnsi"/>
          <w:i/>
          <w:sz w:val="24"/>
          <w:szCs w:val="24"/>
          <w:lang w:eastAsia="zh-CN"/>
        </w:rPr>
        <w:t xml:space="preserve"> Fall </w:t>
      </w:r>
      <w:proofErr w:type="spellStart"/>
      <w:r w:rsidRPr="0087783D">
        <w:rPr>
          <w:rFonts w:eastAsiaTheme="minorEastAsia" w:cstheme="minorHAnsi"/>
          <w:i/>
          <w:sz w:val="24"/>
          <w:szCs w:val="24"/>
          <w:lang w:eastAsia="zh-CN"/>
        </w:rPr>
        <w:t>Symp</w:t>
      </w:r>
      <w:proofErr w:type="spellEnd"/>
      <w:r w:rsidRPr="004A557F">
        <w:rPr>
          <w:rFonts w:eastAsiaTheme="minorEastAsia" w:cstheme="minorHAnsi"/>
          <w:sz w:val="24"/>
          <w:szCs w:val="24"/>
          <w:lang w:eastAsia="zh-CN"/>
        </w:rPr>
        <w:t xml:space="preserve"> 1996:</w:t>
      </w:r>
      <w:r w:rsidR="0087783D">
        <w:rPr>
          <w:rFonts w:eastAsiaTheme="minorEastAsia" w:cstheme="minorHAnsi"/>
          <w:sz w:val="24"/>
          <w:szCs w:val="24"/>
          <w:lang w:eastAsia="zh-CN"/>
        </w:rPr>
        <w:t xml:space="preserve"> </w:t>
      </w:r>
      <w:r w:rsidRPr="004A557F">
        <w:rPr>
          <w:rFonts w:eastAsiaTheme="minorEastAsia" w:cstheme="minorHAnsi"/>
          <w:sz w:val="24"/>
          <w:szCs w:val="24"/>
          <w:lang w:eastAsia="zh-CN"/>
        </w:rPr>
        <w:t>75-</w:t>
      </w:r>
      <w:r w:rsidR="0087783D">
        <w:rPr>
          <w:rFonts w:eastAsiaTheme="minorEastAsia" w:cstheme="minorHAnsi"/>
          <w:sz w:val="24"/>
          <w:szCs w:val="24"/>
          <w:lang w:eastAsia="zh-CN"/>
        </w:rPr>
        <w:t>7</w:t>
      </w:r>
      <w:r w:rsidRPr="004A557F">
        <w:rPr>
          <w:rFonts w:eastAsiaTheme="minorEastAsia" w:cstheme="minorHAnsi"/>
          <w:sz w:val="24"/>
          <w:szCs w:val="24"/>
          <w:lang w:eastAsia="zh-CN"/>
        </w:rPr>
        <w:t>9.</w:t>
      </w:r>
    </w:p>
    <w:p w14:paraId="1688F9C0" w14:textId="098D0289" w:rsidR="00A961EA" w:rsidRPr="004A557F" w:rsidRDefault="004963D1"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1</w:t>
      </w:r>
      <w:r w:rsidR="00517D97">
        <w:rPr>
          <w:rFonts w:eastAsiaTheme="minorEastAsia" w:cstheme="minorHAnsi"/>
          <w:sz w:val="24"/>
          <w:szCs w:val="24"/>
          <w:lang w:eastAsia="zh-CN"/>
        </w:rPr>
        <w:t>1</w:t>
      </w:r>
      <w:r w:rsidR="00A961EA" w:rsidRPr="004A557F">
        <w:rPr>
          <w:rFonts w:eastAsiaTheme="minorEastAsia" w:cstheme="minorHAnsi"/>
          <w:sz w:val="24"/>
          <w:szCs w:val="24"/>
          <w:lang w:eastAsia="zh-CN"/>
        </w:rPr>
        <w:t>. Quality and Outcomes Framework.</w:t>
      </w:r>
      <w:r w:rsidR="009F762C" w:rsidRPr="004A557F">
        <w:rPr>
          <w:rFonts w:eastAsiaTheme="minorEastAsia" w:cstheme="minorHAnsi"/>
          <w:sz w:val="24"/>
          <w:szCs w:val="24"/>
          <w:lang w:eastAsia="zh-CN"/>
        </w:rPr>
        <w:t xml:space="preserve"> Available at</w:t>
      </w:r>
      <w:r w:rsidR="00A961EA" w:rsidRPr="004A557F">
        <w:rPr>
          <w:rFonts w:eastAsiaTheme="minorEastAsia" w:cstheme="minorHAnsi"/>
          <w:sz w:val="24"/>
          <w:szCs w:val="24"/>
          <w:lang w:eastAsia="zh-CN"/>
        </w:rPr>
        <w:t xml:space="preserve"> </w:t>
      </w:r>
      <w:hyperlink r:id="rId18" w:history="1">
        <w:r w:rsidR="00C740BE" w:rsidRPr="004A557F">
          <w:rPr>
            <w:rStyle w:val="Hyperlink"/>
            <w:rFonts w:eastAsiaTheme="minorEastAsia" w:cstheme="minorHAnsi"/>
            <w:sz w:val="24"/>
            <w:szCs w:val="24"/>
            <w:lang w:eastAsia="zh-CN"/>
          </w:rPr>
          <w:t>http://content.digital.nhs.uk/qof</w:t>
        </w:r>
      </w:hyperlink>
      <w:r w:rsidR="00A4153F">
        <w:rPr>
          <w:rStyle w:val="Hyperlink"/>
          <w:rFonts w:eastAsiaTheme="minorEastAsia" w:cstheme="minorHAnsi"/>
          <w:sz w:val="24"/>
          <w:szCs w:val="24"/>
          <w:lang w:eastAsia="zh-CN"/>
        </w:rPr>
        <w:t xml:space="preserve"> </w:t>
      </w:r>
      <w:r w:rsidR="00C740BE" w:rsidRPr="004A557F">
        <w:rPr>
          <w:rFonts w:eastAsiaTheme="minorEastAsia" w:cstheme="minorHAnsi"/>
          <w:sz w:val="24"/>
          <w:szCs w:val="24"/>
          <w:lang w:eastAsia="zh-CN"/>
        </w:rPr>
        <w:t xml:space="preserve">Accessed </w:t>
      </w:r>
      <w:r w:rsidR="0087783D">
        <w:rPr>
          <w:rFonts w:eastAsiaTheme="minorEastAsia" w:cstheme="minorHAnsi"/>
          <w:sz w:val="24"/>
          <w:szCs w:val="24"/>
          <w:lang w:eastAsia="zh-CN"/>
        </w:rPr>
        <w:t>17 April</w:t>
      </w:r>
      <w:r w:rsidR="00C740BE" w:rsidRPr="004A557F">
        <w:rPr>
          <w:rFonts w:eastAsiaTheme="minorEastAsia" w:cstheme="minorHAnsi"/>
          <w:sz w:val="24"/>
          <w:szCs w:val="24"/>
          <w:lang w:eastAsia="zh-CN"/>
        </w:rPr>
        <w:t xml:space="preserve"> 2019.</w:t>
      </w:r>
    </w:p>
    <w:p w14:paraId="5BCACF23" w14:textId="07456184" w:rsidR="00A961EA" w:rsidRPr="004A557F" w:rsidRDefault="004963D1"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1</w:t>
      </w:r>
      <w:r w:rsidR="00517D97">
        <w:rPr>
          <w:rFonts w:eastAsiaTheme="minorEastAsia" w:cstheme="minorHAnsi"/>
          <w:sz w:val="24"/>
          <w:szCs w:val="24"/>
          <w:lang w:eastAsia="zh-CN"/>
        </w:rPr>
        <w:t>2</w:t>
      </w:r>
      <w:r w:rsidR="00A961EA" w:rsidRPr="004A557F">
        <w:rPr>
          <w:rFonts w:eastAsiaTheme="minorEastAsia" w:cstheme="minorHAnsi"/>
          <w:sz w:val="24"/>
          <w:szCs w:val="24"/>
          <w:lang w:eastAsia="zh-CN"/>
        </w:rPr>
        <w:t xml:space="preserve">. </w:t>
      </w:r>
      <w:hyperlink r:id="rId19" w:history="1">
        <w:proofErr w:type="spellStart"/>
        <w:r w:rsidR="00A961EA" w:rsidRPr="004A557F">
          <w:rPr>
            <w:rFonts w:eastAsiaTheme="minorEastAsia" w:cstheme="minorHAnsi"/>
            <w:sz w:val="24"/>
            <w:szCs w:val="24"/>
            <w:lang w:eastAsia="zh-CN"/>
          </w:rPr>
          <w:t>Herrett</w:t>
        </w:r>
        <w:proofErr w:type="spellEnd"/>
        <w:r w:rsidR="00A961EA" w:rsidRPr="004A557F">
          <w:rPr>
            <w:rFonts w:eastAsiaTheme="minorEastAsia" w:cstheme="minorHAnsi"/>
            <w:sz w:val="24"/>
            <w:szCs w:val="24"/>
            <w:lang w:eastAsia="zh-CN"/>
          </w:rPr>
          <w:t xml:space="preserve"> E</w:t>
        </w:r>
      </w:hyperlink>
      <w:r w:rsidR="00A961EA" w:rsidRPr="004A557F">
        <w:rPr>
          <w:rFonts w:eastAsiaTheme="minorEastAsia" w:cstheme="minorHAnsi"/>
          <w:sz w:val="24"/>
          <w:szCs w:val="24"/>
          <w:lang w:eastAsia="zh-CN"/>
        </w:rPr>
        <w:t>, </w:t>
      </w:r>
      <w:hyperlink r:id="rId20" w:history="1">
        <w:r w:rsidR="00A961EA" w:rsidRPr="004A557F">
          <w:rPr>
            <w:rFonts w:eastAsiaTheme="minorEastAsia" w:cstheme="minorHAnsi"/>
            <w:sz w:val="24"/>
            <w:szCs w:val="24"/>
            <w:lang w:eastAsia="zh-CN"/>
          </w:rPr>
          <w:t>Gallagher AM</w:t>
        </w:r>
      </w:hyperlink>
      <w:r w:rsidR="00A961EA" w:rsidRPr="004A557F">
        <w:rPr>
          <w:rFonts w:eastAsiaTheme="minorEastAsia" w:cstheme="minorHAnsi"/>
          <w:sz w:val="24"/>
          <w:szCs w:val="24"/>
          <w:lang w:eastAsia="zh-CN"/>
        </w:rPr>
        <w:t>, </w:t>
      </w:r>
      <w:proofErr w:type="spellStart"/>
      <w:r w:rsidR="004C6092">
        <w:rPr>
          <w:rFonts w:eastAsiaTheme="minorEastAsia" w:cstheme="minorHAnsi"/>
          <w:sz w:val="24"/>
          <w:szCs w:val="24"/>
          <w:lang w:eastAsia="zh-CN"/>
        </w:rPr>
        <w:fldChar w:fldCharType="begin"/>
      </w:r>
      <w:r w:rsidR="004C6092">
        <w:rPr>
          <w:rFonts w:eastAsiaTheme="minorEastAsia" w:cstheme="minorHAnsi"/>
          <w:sz w:val="24"/>
          <w:szCs w:val="24"/>
          <w:lang w:eastAsia="zh-CN"/>
        </w:rPr>
        <w:instrText xml:space="preserve"> HYPERLINK "https://www.ncbi.nlm.nih.gov/pubmed/?term=Bhaskaran%20K%5BAuthor%5D&amp;cauthor=true&amp;cauthor_uid=26050254" </w:instrText>
      </w:r>
      <w:r w:rsidR="004C6092">
        <w:rPr>
          <w:rFonts w:eastAsiaTheme="minorEastAsia" w:cstheme="minorHAnsi"/>
          <w:sz w:val="24"/>
          <w:szCs w:val="24"/>
          <w:lang w:eastAsia="zh-CN"/>
        </w:rPr>
        <w:fldChar w:fldCharType="separate"/>
      </w:r>
      <w:r w:rsidR="00A961EA" w:rsidRPr="004A557F">
        <w:rPr>
          <w:rFonts w:eastAsiaTheme="minorEastAsia" w:cstheme="minorHAnsi"/>
          <w:sz w:val="24"/>
          <w:szCs w:val="24"/>
          <w:lang w:eastAsia="zh-CN"/>
        </w:rPr>
        <w:t>Bhaskaran</w:t>
      </w:r>
      <w:proofErr w:type="spellEnd"/>
      <w:r w:rsidR="00A961EA" w:rsidRPr="004A557F">
        <w:rPr>
          <w:rFonts w:eastAsiaTheme="minorEastAsia" w:cstheme="minorHAnsi"/>
          <w:sz w:val="24"/>
          <w:szCs w:val="24"/>
          <w:lang w:eastAsia="zh-CN"/>
        </w:rPr>
        <w:t xml:space="preserve"> K</w:t>
      </w:r>
      <w:r w:rsidR="004C6092">
        <w:rPr>
          <w:rFonts w:eastAsiaTheme="minorEastAsia" w:cstheme="minorHAnsi"/>
          <w:sz w:val="24"/>
          <w:szCs w:val="24"/>
          <w:lang w:eastAsia="zh-CN"/>
        </w:rPr>
        <w:fldChar w:fldCharType="end"/>
      </w:r>
      <w:r w:rsidR="0087783D">
        <w:rPr>
          <w:rFonts w:eastAsiaTheme="minorEastAsia" w:cstheme="minorHAnsi"/>
          <w:sz w:val="24"/>
          <w:szCs w:val="24"/>
          <w:lang w:eastAsia="zh-CN"/>
        </w:rPr>
        <w:t>,</w:t>
      </w:r>
      <w:r w:rsidR="00A961EA" w:rsidRPr="004A557F">
        <w:rPr>
          <w:rFonts w:eastAsiaTheme="minorEastAsia" w:cstheme="minorHAnsi"/>
          <w:sz w:val="24"/>
          <w:szCs w:val="24"/>
          <w:lang w:eastAsia="zh-CN"/>
        </w:rPr>
        <w:t xml:space="preserve"> </w:t>
      </w:r>
      <w:r w:rsidR="00A961EA" w:rsidRPr="0087783D">
        <w:rPr>
          <w:rFonts w:eastAsiaTheme="minorEastAsia" w:cstheme="minorHAnsi"/>
          <w:i/>
          <w:sz w:val="24"/>
          <w:szCs w:val="24"/>
          <w:lang w:eastAsia="zh-CN"/>
        </w:rPr>
        <w:t>et al</w:t>
      </w:r>
      <w:r w:rsidR="00A961EA" w:rsidRPr="004A557F">
        <w:rPr>
          <w:rFonts w:eastAsiaTheme="minorEastAsia" w:cstheme="minorHAnsi"/>
          <w:sz w:val="24"/>
          <w:szCs w:val="24"/>
          <w:lang w:eastAsia="zh-CN"/>
        </w:rPr>
        <w:t xml:space="preserve">. Data Resource Profile: Clinical Practice Research Datalink (CPRD). </w:t>
      </w:r>
      <w:proofErr w:type="spellStart"/>
      <w:r w:rsidR="00A961EA" w:rsidRPr="0087783D">
        <w:rPr>
          <w:rFonts w:eastAsiaTheme="minorEastAsia" w:cstheme="minorHAnsi"/>
          <w:i/>
          <w:sz w:val="24"/>
          <w:szCs w:val="24"/>
          <w:lang w:eastAsia="zh-CN"/>
        </w:rPr>
        <w:t>Int</w:t>
      </w:r>
      <w:proofErr w:type="spellEnd"/>
      <w:r w:rsidR="00A961EA" w:rsidRPr="0087783D">
        <w:rPr>
          <w:rFonts w:eastAsiaTheme="minorEastAsia" w:cstheme="minorHAnsi"/>
          <w:i/>
          <w:sz w:val="24"/>
          <w:szCs w:val="24"/>
          <w:lang w:eastAsia="zh-CN"/>
        </w:rPr>
        <w:t xml:space="preserve"> J </w:t>
      </w:r>
      <w:proofErr w:type="spellStart"/>
      <w:r w:rsidR="00A961EA" w:rsidRPr="0087783D">
        <w:rPr>
          <w:rFonts w:eastAsiaTheme="minorEastAsia" w:cstheme="minorHAnsi"/>
          <w:i/>
          <w:sz w:val="24"/>
          <w:szCs w:val="24"/>
          <w:lang w:eastAsia="zh-CN"/>
        </w:rPr>
        <w:t>Epidemiol</w:t>
      </w:r>
      <w:proofErr w:type="spellEnd"/>
      <w:r w:rsidR="00A961EA" w:rsidRPr="004A557F">
        <w:rPr>
          <w:rFonts w:eastAsiaTheme="minorEastAsia" w:cstheme="minorHAnsi"/>
          <w:sz w:val="24"/>
          <w:szCs w:val="24"/>
          <w:lang w:eastAsia="zh-CN"/>
        </w:rPr>
        <w:t xml:space="preserve"> 2015;</w:t>
      </w:r>
      <w:r w:rsidR="0087783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44</w:t>
      </w:r>
      <w:r w:rsidR="0087783D">
        <w:rPr>
          <w:rFonts w:eastAsiaTheme="minorEastAsia" w:cstheme="minorHAnsi"/>
          <w:sz w:val="24"/>
          <w:szCs w:val="24"/>
          <w:lang w:eastAsia="zh-CN"/>
        </w:rPr>
        <w:t>(3)</w:t>
      </w:r>
      <w:r w:rsidR="00A961EA" w:rsidRPr="004A557F">
        <w:rPr>
          <w:rFonts w:eastAsiaTheme="minorEastAsia" w:cstheme="minorHAnsi"/>
          <w:sz w:val="24"/>
          <w:szCs w:val="24"/>
          <w:lang w:eastAsia="zh-CN"/>
        </w:rPr>
        <w:t>:</w:t>
      </w:r>
      <w:r w:rsidR="0087783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827-</w:t>
      </w:r>
      <w:r w:rsidR="0087783D">
        <w:rPr>
          <w:rFonts w:eastAsiaTheme="minorEastAsia" w:cstheme="minorHAnsi"/>
          <w:sz w:val="24"/>
          <w:szCs w:val="24"/>
          <w:lang w:eastAsia="zh-CN"/>
        </w:rPr>
        <w:t>8</w:t>
      </w:r>
      <w:r w:rsidR="00A961EA" w:rsidRPr="004A557F">
        <w:rPr>
          <w:rFonts w:eastAsiaTheme="minorEastAsia" w:cstheme="minorHAnsi"/>
          <w:sz w:val="24"/>
          <w:szCs w:val="24"/>
          <w:lang w:eastAsia="zh-CN"/>
        </w:rPr>
        <w:t>36.</w:t>
      </w:r>
    </w:p>
    <w:p w14:paraId="615F5535" w14:textId="182B5AA9" w:rsidR="00A961EA" w:rsidRPr="004A557F" w:rsidRDefault="004963D1"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1</w:t>
      </w:r>
      <w:r w:rsidR="00517D97">
        <w:rPr>
          <w:rFonts w:eastAsiaTheme="minorEastAsia" w:cstheme="minorHAnsi"/>
          <w:sz w:val="24"/>
          <w:szCs w:val="24"/>
          <w:lang w:eastAsia="zh-CN"/>
        </w:rPr>
        <w:t>3</w:t>
      </w:r>
      <w:r w:rsidR="00A961EA" w:rsidRPr="004A557F">
        <w:rPr>
          <w:rFonts w:eastAsiaTheme="minorEastAsia" w:cstheme="minorHAnsi"/>
          <w:sz w:val="24"/>
          <w:szCs w:val="24"/>
          <w:lang w:eastAsia="zh-CN"/>
        </w:rPr>
        <w:t xml:space="preserve">. </w:t>
      </w:r>
      <w:proofErr w:type="spellStart"/>
      <w:r w:rsidR="00A961EA" w:rsidRPr="004A557F">
        <w:rPr>
          <w:rFonts w:eastAsiaTheme="minorEastAsia" w:cstheme="minorHAnsi"/>
          <w:sz w:val="24"/>
          <w:szCs w:val="24"/>
          <w:lang w:eastAsia="zh-CN"/>
        </w:rPr>
        <w:t>Herrett</w:t>
      </w:r>
      <w:proofErr w:type="spellEnd"/>
      <w:r w:rsidR="00A961EA" w:rsidRPr="004A557F">
        <w:rPr>
          <w:rFonts w:eastAsiaTheme="minorEastAsia" w:cstheme="minorHAnsi"/>
          <w:sz w:val="24"/>
          <w:szCs w:val="24"/>
          <w:lang w:eastAsia="zh-CN"/>
        </w:rPr>
        <w:t xml:space="preserve"> E, Thomas SL, </w:t>
      </w:r>
      <w:proofErr w:type="spellStart"/>
      <w:r w:rsidR="00A961EA" w:rsidRPr="004A557F">
        <w:rPr>
          <w:rFonts w:eastAsiaTheme="minorEastAsia" w:cstheme="minorHAnsi"/>
          <w:sz w:val="24"/>
          <w:szCs w:val="24"/>
          <w:lang w:eastAsia="zh-CN"/>
        </w:rPr>
        <w:t>Schoonen</w:t>
      </w:r>
      <w:proofErr w:type="spellEnd"/>
      <w:r w:rsidR="00A961EA" w:rsidRPr="004A557F">
        <w:rPr>
          <w:rFonts w:eastAsiaTheme="minorEastAsia" w:cstheme="minorHAnsi"/>
          <w:sz w:val="24"/>
          <w:szCs w:val="24"/>
          <w:lang w:eastAsia="zh-CN"/>
        </w:rPr>
        <w:t xml:space="preserve"> WM, Smeeth L, Hall AJ. Validation and validity of diagnoses in the General Practice Research Database: a systematic review. </w:t>
      </w:r>
      <w:r w:rsidR="00A961EA" w:rsidRPr="0087783D">
        <w:rPr>
          <w:rFonts w:eastAsiaTheme="minorEastAsia" w:cstheme="minorHAnsi"/>
          <w:i/>
          <w:sz w:val="24"/>
          <w:szCs w:val="24"/>
          <w:lang w:eastAsia="zh-CN"/>
        </w:rPr>
        <w:t xml:space="preserve">Br J </w:t>
      </w:r>
      <w:proofErr w:type="spellStart"/>
      <w:r w:rsidR="00A961EA" w:rsidRPr="0087783D">
        <w:rPr>
          <w:rFonts w:eastAsiaTheme="minorEastAsia" w:cstheme="minorHAnsi"/>
          <w:i/>
          <w:sz w:val="24"/>
          <w:szCs w:val="24"/>
          <w:lang w:eastAsia="zh-CN"/>
        </w:rPr>
        <w:t>Clin</w:t>
      </w:r>
      <w:proofErr w:type="spellEnd"/>
      <w:r w:rsidR="00A961EA" w:rsidRPr="0087783D">
        <w:rPr>
          <w:rFonts w:eastAsiaTheme="minorEastAsia" w:cstheme="minorHAnsi"/>
          <w:i/>
          <w:sz w:val="24"/>
          <w:szCs w:val="24"/>
          <w:lang w:eastAsia="zh-CN"/>
        </w:rPr>
        <w:t xml:space="preserve"> </w:t>
      </w:r>
      <w:proofErr w:type="spellStart"/>
      <w:r w:rsidR="00A961EA" w:rsidRPr="0087783D">
        <w:rPr>
          <w:rFonts w:eastAsiaTheme="minorEastAsia" w:cstheme="minorHAnsi"/>
          <w:i/>
          <w:sz w:val="24"/>
          <w:szCs w:val="24"/>
          <w:lang w:eastAsia="zh-CN"/>
        </w:rPr>
        <w:t>Pharmacol</w:t>
      </w:r>
      <w:proofErr w:type="spellEnd"/>
      <w:r w:rsidR="00A961EA" w:rsidRPr="004A557F">
        <w:rPr>
          <w:rFonts w:eastAsiaTheme="minorEastAsia" w:cstheme="minorHAnsi"/>
          <w:sz w:val="24"/>
          <w:szCs w:val="24"/>
          <w:lang w:eastAsia="zh-CN"/>
        </w:rPr>
        <w:t xml:space="preserve"> 2010;</w:t>
      </w:r>
      <w:r w:rsidR="0087783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69</w:t>
      </w:r>
      <w:r w:rsidR="0087783D">
        <w:rPr>
          <w:rFonts w:eastAsiaTheme="minorEastAsia" w:cstheme="minorHAnsi"/>
          <w:sz w:val="24"/>
          <w:szCs w:val="24"/>
          <w:lang w:eastAsia="zh-CN"/>
        </w:rPr>
        <w:t>(1)</w:t>
      </w:r>
      <w:r w:rsidR="00A961EA" w:rsidRPr="004A557F">
        <w:rPr>
          <w:rFonts w:eastAsiaTheme="minorEastAsia" w:cstheme="minorHAnsi"/>
          <w:sz w:val="24"/>
          <w:szCs w:val="24"/>
          <w:lang w:eastAsia="zh-CN"/>
        </w:rPr>
        <w:t>:</w:t>
      </w:r>
      <w:r w:rsidR="0087783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4-14.</w:t>
      </w:r>
    </w:p>
    <w:p w14:paraId="2154CDBD" w14:textId="5897EDC0" w:rsidR="00A961EA" w:rsidRDefault="004963D1"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1</w:t>
      </w:r>
      <w:r w:rsidR="00517D97">
        <w:rPr>
          <w:rFonts w:eastAsiaTheme="minorEastAsia" w:cstheme="minorHAnsi"/>
          <w:sz w:val="24"/>
          <w:szCs w:val="24"/>
          <w:lang w:eastAsia="zh-CN"/>
        </w:rPr>
        <w:t>4</w:t>
      </w:r>
      <w:r w:rsidR="00A961EA" w:rsidRPr="004A557F">
        <w:rPr>
          <w:rFonts w:eastAsiaTheme="minorEastAsia" w:cstheme="minorHAnsi"/>
          <w:sz w:val="24"/>
          <w:szCs w:val="24"/>
          <w:lang w:eastAsia="zh-CN"/>
        </w:rPr>
        <w:t xml:space="preserve">. Khan NF, Harrison SE, Rose PW. Validity of diagnostic coding within the General Practice Research Database: a systemic review. </w:t>
      </w:r>
      <w:r w:rsidR="00A961EA" w:rsidRPr="0087783D">
        <w:rPr>
          <w:rFonts w:eastAsiaTheme="minorEastAsia" w:cstheme="minorHAnsi"/>
          <w:i/>
          <w:sz w:val="24"/>
          <w:szCs w:val="24"/>
          <w:lang w:eastAsia="zh-CN"/>
        </w:rPr>
        <w:t xml:space="preserve">Br J Gen </w:t>
      </w:r>
      <w:proofErr w:type="spellStart"/>
      <w:r w:rsidR="00A961EA" w:rsidRPr="0087783D">
        <w:rPr>
          <w:rFonts w:eastAsiaTheme="minorEastAsia" w:cstheme="minorHAnsi"/>
          <w:i/>
          <w:sz w:val="24"/>
          <w:szCs w:val="24"/>
          <w:lang w:eastAsia="zh-CN"/>
        </w:rPr>
        <w:t>Pract</w:t>
      </w:r>
      <w:proofErr w:type="spellEnd"/>
      <w:r w:rsidR="00A961EA" w:rsidRPr="004A557F">
        <w:rPr>
          <w:rFonts w:eastAsiaTheme="minorEastAsia" w:cstheme="minorHAnsi"/>
          <w:sz w:val="24"/>
          <w:szCs w:val="24"/>
          <w:lang w:eastAsia="zh-CN"/>
        </w:rPr>
        <w:t xml:space="preserve"> 2010;</w:t>
      </w:r>
      <w:r w:rsidR="0087783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60</w:t>
      </w:r>
      <w:r w:rsidR="0087783D">
        <w:rPr>
          <w:rFonts w:eastAsiaTheme="minorEastAsia" w:cstheme="minorHAnsi"/>
          <w:sz w:val="24"/>
          <w:szCs w:val="24"/>
          <w:lang w:eastAsia="zh-CN"/>
        </w:rPr>
        <w:t>(572)</w:t>
      </w:r>
      <w:r w:rsidR="00A961EA" w:rsidRPr="004A557F">
        <w:rPr>
          <w:rFonts w:eastAsiaTheme="minorEastAsia" w:cstheme="minorHAnsi"/>
          <w:sz w:val="24"/>
          <w:szCs w:val="24"/>
          <w:lang w:eastAsia="zh-CN"/>
        </w:rPr>
        <w:t>:</w:t>
      </w:r>
      <w:r w:rsidR="0087783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e128-</w:t>
      </w:r>
      <w:r w:rsidR="0087783D">
        <w:rPr>
          <w:rFonts w:eastAsiaTheme="minorEastAsia" w:cstheme="minorHAnsi"/>
          <w:sz w:val="24"/>
          <w:szCs w:val="24"/>
          <w:lang w:eastAsia="zh-CN"/>
        </w:rPr>
        <w:t>1</w:t>
      </w:r>
      <w:r w:rsidR="00A961EA" w:rsidRPr="004A557F">
        <w:rPr>
          <w:rFonts w:eastAsiaTheme="minorEastAsia" w:cstheme="minorHAnsi"/>
          <w:sz w:val="24"/>
          <w:szCs w:val="24"/>
          <w:lang w:eastAsia="zh-CN"/>
        </w:rPr>
        <w:t>36.</w:t>
      </w:r>
    </w:p>
    <w:p w14:paraId="4D658C53" w14:textId="64AE73EC" w:rsidR="00A961EA" w:rsidRPr="004A557F" w:rsidRDefault="004621DD"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1</w:t>
      </w:r>
      <w:r w:rsidR="002C7F8F">
        <w:rPr>
          <w:rFonts w:eastAsiaTheme="minorEastAsia" w:cstheme="minorHAnsi"/>
          <w:sz w:val="24"/>
          <w:szCs w:val="24"/>
          <w:lang w:eastAsia="zh-CN"/>
        </w:rPr>
        <w:t>5</w:t>
      </w:r>
      <w:r w:rsidR="00A961EA" w:rsidRPr="004A557F">
        <w:rPr>
          <w:rFonts w:eastAsiaTheme="minorEastAsia" w:cstheme="minorHAnsi"/>
          <w:sz w:val="24"/>
          <w:szCs w:val="24"/>
          <w:lang w:eastAsia="zh-CN"/>
        </w:rPr>
        <w:t xml:space="preserve">. Gallagher AM, </w:t>
      </w:r>
      <w:proofErr w:type="spellStart"/>
      <w:r w:rsidR="00A961EA" w:rsidRPr="004A557F">
        <w:rPr>
          <w:rFonts w:eastAsiaTheme="minorEastAsia" w:cstheme="minorHAnsi"/>
          <w:sz w:val="24"/>
          <w:szCs w:val="24"/>
          <w:lang w:eastAsia="zh-CN"/>
        </w:rPr>
        <w:t>Puri</w:t>
      </w:r>
      <w:proofErr w:type="spellEnd"/>
      <w:r w:rsidR="00A961EA" w:rsidRPr="004A557F">
        <w:rPr>
          <w:rFonts w:eastAsiaTheme="minorEastAsia" w:cstheme="minorHAnsi"/>
          <w:sz w:val="24"/>
          <w:szCs w:val="24"/>
          <w:lang w:eastAsia="zh-CN"/>
        </w:rPr>
        <w:t xml:space="preserve"> S, Van </w:t>
      </w:r>
      <w:proofErr w:type="spellStart"/>
      <w:r w:rsidR="00A961EA" w:rsidRPr="004A557F">
        <w:rPr>
          <w:rFonts w:eastAsiaTheme="minorEastAsia" w:cstheme="minorHAnsi"/>
          <w:sz w:val="24"/>
          <w:szCs w:val="24"/>
          <w:lang w:eastAsia="zh-CN"/>
        </w:rPr>
        <w:t>Staa</w:t>
      </w:r>
      <w:proofErr w:type="spellEnd"/>
      <w:r w:rsidR="00A961EA" w:rsidRPr="004A557F">
        <w:rPr>
          <w:rFonts w:eastAsiaTheme="minorEastAsia" w:cstheme="minorHAnsi"/>
          <w:sz w:val="24"/>
          <w:szCs w:val="24"/>
          <w:lang w:eastAsia="zh-CN"/>
        </w:rPr>
        <w:t xml:space="preserve"> T. Linkage of the General Practice Research Database (GPRD) with other data sources. </w:t>
      </w:r>
      <w:proofErr w:type="spellStart"/>
      <w:r w:rsidR="00A961EA" w:rsidRPr="0087783D">
        <w:rPr>
          <w:rFonts w:eastAsiaTheme="minorEastAsia" w:cstheme="minorHAnsi"/>
          <w:i/>
          <w:sz w:val="24"/>
          <w:szCs w:val="24"/>
          <w:lang w:eastAsia="zh-CN"/>
        </w:rPr>
        <w:t>Pharmacoepidemiol</w:t>
      </w:r>
      <w:proofErr w:type="spellEnd"/>
      <w:r w:rsidR="00A961EA" w:rsidRPr="0087783D">
        <w:rPr>
          <w:rFonts w:eastAsiaTheme="minorEastAsia" w:cstheme="minorHAnsi"/>
          <w:i/>
          <w:sz w:val="24"/>
          <w:szCs w:val="24"/>
          <w:lang w:eastAsia="zh-CN"/>
        </w:rPr>
        <w:t xml:space="preserve"> Drug </w:t>
      </w:r>
      <w:proofErr w:type="spellStart"/>
      <w:r w:rsidR="00A961EA" w:rsidRPr="0087783D">
        <w:rPr>
          <w:rFonts w:eastAsiaTheme="minorEastAsia" w:cstheme="minorHAnsi"/>
          <w:i/>
          <w:sz w:val="24"/>
          <w:szCs w:val="24"/>
          <w:lang w:eastAsia="zh-CN"/>
        </w:rPr>
        <w:t>Saf</w:t>
      </w:r>
      <w:proofErr w:type="spellEnd"/>
      <w:r w:rsidR="00A961EA" w:rsidRPr="004A557F">
        <w:rPr>
          <w:rFonts w:eastAsiaTheme="minorEastAsia" w:cstheme="minorHAnsi"/>
          <w:sz w:val="24"/>
          <w:szCs w:val="24"/>
          <w:lang w:eastAsia="zh-CN"/>
        </w:rPr>
        <w:t> 2011;</w:t>
      </w:r>
      <w:r w:rsidR="0087783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20:</w:t>
      </w:r>
      <w:r w:rsidR="0087783D">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S230</w:t>
      </w:r>
      <w:r w:rsidR="0087783D">
        <w:rPr>
          <w:rFonts w:eastAsiaTheme="minorEastAsia" w:cstheme="minorHAnsi"/>
          <w:sz w:val="24"/>
          <w:szCs w:val="24"/>
          <w:lang w:eastAsia="zh-CN"/>
        </w:rPr>
        <w:t>-</w:t>
      </w:r>
      <w:r w:rsidR="00A961EA" w:rsidRPr="004A557F">
        <w:rPr>
          <w:rFonts w:eastAsiaTheme="minorEastAsia" w:cstheme="minorHAnsi"/>
          <w:sz w:val="24"/>
          <w:szCs w:val="24"/>
          <w:lang w:eastAsia="zh-CN"/>
        </w:rPr>
        <w:t>231.</w:t>
      </w:r>
    </w:p>
    <w:p w14:paraId="4BC51CA0" w14:textId="4CC39021" w:rsidR="00A961EA" w:rsidRPr="004A557F" w:rsidRDefault="00E83A02"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lastRenderedPageBreak/>
        <w:t>1</w:t>
      </w:r>
      <w:r w:rsidR="0059141A" w:rsidRPr="004A557F">
        <w:rPr>
          <w:rFonts w:eastAsiaTheme="minorEastAsia" w:cstheme="minorHAnsi"/>
          <w:sz w:val="24"/>
          <w:szCs w:val="24"/>
          <w:lang w:eastAsia="zh-CN"/>
        </w:rPr>
        <w:t>6</w:t>
      </w:r>
      <w:r w:rsidR="00A961EA" w:rsidRPr="004A557F">
        <w:rPr>
          <w:rFonts w:eastAsiaTheme="minorEastAsia" w:cstheme="minorHAnsi"/>
          <w:sz w:val="24"/>
          <w:szCs w:val="24"/>
          <w:lang w:eastAsia="zh-CN"/>
        </w:rPr>
        <w:t>. English Indices of Deprivation 2010.</w:t>
      </w:r>
      <w:r w:rsidR="009F762C" w:rsidRPr="004A557F">
        <w:rPr>
          <w:rFonts w:eastAsiaTheme="minorEastAsia" w:cstheme="minorHAnsi"/>
          <w:sz w:val="24"/>
          <w:szCs w:val="24"/>
          <w:lang w:eastAsia="zh-CN"/>
        </w:rPr>
        <w:t xml:space="preserve"> Available at</w:t>
      </w:r>
      <w:r w:rsidR="00A961EA" w:rsidRPr="004A557F">
        <w:rPr>
          <w:rFonts w:eastAsiaTheme="minorEastAsia" w:cstheme="minorHAnsi"/>
          <w:sz w:val="24"/>
          <w:szCs w:val="24"/>
          <w:lang w:eastAsia="zh-CN"/>
        </w:rPr>
        <w:t xml:space="preserve"> </w:t>
      </w:r>
      <w:hyperlink r:id="rId21" w:history="1">
        <w:r w:rsidR="00D20485" w:rsidRPr="004A557F">
          <w:rPr>
            <w:rStyle w:val="Hyperlink"/>
            <w:rFonts w:eastAsiaTheme="minorEastAsia" w:cstheme="minorHAnsi"/>
            <w:sz w:val="24"/>
            <w:szCs w:val="24"/>
            <w:lang w:eastAsia="zh-CN"/>
          </w:rPr>
          <w:t>https://www.gov.uk/government/statistics/english-indices-of-deprivation-2010</w:t>
        </w:r>
      </w:hyperlink>
      <w:r w:rsidR="00D20485" w:rsidRPr="004A557F">
        <w:rPr>
          <w:rFonts w:eastAsiaTheme="minorEastAsia" w:cstheme="minorHAnsi"/>
          <w:sz w:val="24"/>
          <w:szCs w:val="24"/>
          <w:lang w:eastAsia="zh-CN"/>
        </w:rPr>
        <w:t xml:space="preserve"> </w:t>
      </w:r>
      <w:r w:rsidR="0087783D" w:rsidRPr="004A557F">
        <w:rPr>
          <w:rFonts w:eastAsiaTheme="minorEastAsia" w:cstheme="minorHAnsi"/>
          <w:sz w:val="24"/>
          <w:szCs w:val="24"/>
          <w:lang w:eastAsia="zh-CN"/>
        </w:rPr>
        <w:t xml:space="preserve">Accessed </w:t>
      </w:r>
      <w:r w:rsidR="0087783D">
        <w:rPr>
          <w:rFonts w:eastAsiaTheme="minorEastAsia" w:cstheme="minorHAnsi"/>
          <w:sz w:val="24"/>
          <w:szCs w:val="24"/>
          <w:lang w:eastAsia="zh-CN"/>
        </w:rPr>
        <w:t>17 April</w:t>
      </w:r>
      <w:r w:rsidR="0087783D" w:rsidRPr="004A557F">
        <w:rPr>
          <w:rFonts w:eastAsiaTheme="minorEastAsia" w:cstheme="minorHAnsi"/>
          <w:sz w:val="24"/>
          <w:szCs w:val="24"/>
          <w:lang w:eastAsia="zh-CN"/>
        </w:rPr>
        <w:t xml:space="preserve"> 2019.</w:t>
      </w:r>
    </w:p>
    <w:p w14:paraId="63E8031C" w14:textId="036CA54C" w:rsidR="00A961EA" w:rsidRPr="004A557F" w:rsidRDefault="00E83A02"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1</w:t>
      </w:r>
      <w:r w:rsidR="0059141A" w:rsidRPr="004A557F">
        <w:rPr>
          <w:rFonts w:eastAsiaTheme="minorEastAsia" w:cstheme="minorHAnsi"/>
          <w:sz w:val="24"/>
          <w:szCs w:val="24"/>
          <w:lang w:eastAsia="zh-CN"/>
        </w:rPr>
        <w:t>7</w:t>
      </w:r>
      <w:r w:rsidR="00A961EA" w:rsidRPr="004A557F">
        <w:rPr>
          <w:rFonts w:eastAsiaTheme="minorEastAsia" w:cstheme="minorHAnsi"/>
          <w:sz w:val="24"/>
          <w:szCs w:val="24"/>
          <w:lang w:eastAsia="zh-CN"/>
        </w:rPr>
        <w:t xml:space="preserve">. </w:t>
      </w:r>
      <w:proofErr w:type="spellStart"/>
      <w:r w:rsidR="00A961EA" w:rsidRPr="004A557F">
        <w:rPr>
          <w:rFonts w:eastAsiaTheme="minorEastAsia" w:cstheme="minorHAnsi"/>
          <w:sz w:val="24"/>
          <w:szCs w:val="24"/>
          <w:lang w:eastAsia="zh-CN"/>
        </w:rPr>
        <w:t>Brilleman</w:t>
      </w:r>
      <w:proofErr w:type="spellEnd"/>
      <w:r w:rsidR="00A961EA" w:rsidRPr="004A557F">
        <w:rPr>
          <w:rFonts w:eastAsiaTheme="minorEastAsia" w:cstheme="minorHAnsi"/>
          <w:sz w:val="24"/>
          <w:szCs w:val="24"/>
          <w:lang w:eastAsia="zh-CN"/>
        </w:rPr>
        <w:t xml:space="preserve"> SL, Salisbury C. Comparing measures of </w:t>
      </w:r>
      <w:proofErr w:type="spellStart"/>
      <w:r w:rsidR="00A961EA" w:rsidRPr="004A557F">
        <w:rPr>
          <w:rFonts w:eastAsiaTheme="minorEastAsia" w:cstheme="minorHAnsi"/>
          <w:sz w:val="24"/>
          <w:szCs w:val="24"/>
          <w:lang w:eastAsia="zh-CN"/>
        </w:rPr>
        <w:t>multimorbidity</w:t>
      </w:r>
      <w:proofErr w:type="spellEnd"/>
      <w:r w:rsidR="00A961EA" w:rsidRPr="004A557F">
        <w:rPr>
          <w:rFonts w:eastAsiaTheme="minorEastAsia" w:cstheme="minorHAnsi"/>
          <w:sz w:val="24"/>
          <w:szCs w:val="24"/>
          <w:lang w:eastAsia="zh-CN"/>
        </w:rPr>
        <w:t xml:space="preserve"> to predict outcomes in primary care: a cross sectional study. </w:t>
      </w:r>
      <w:proofErr w:type="gramStart"/>
      <w:r w:rsidR="00A961EA" w:rsidRPr="003830E3">
        <w:rPr>
          <w:rFonts w:eastAsiaTheme="minorEastAsia" w:cstheme="minorHAnsi"/>
          <w:i/>
          <w:sz w:val="24"/>
          <w:szCs w:val="24"/>
          <w:lang w:eastAsia="zh-CN"/>
        </w:rPr>
        <w:t>Fam</w:t>
      </w:r>
      <w:proofErr w:type="gramEnd"/>
      <w:r w:rsidR="00A961EA" w:rsidRPr="003830E3">
        <w:rPr>
          <w:rFonts w:eastAsiaTheme="minorEastAsia" w:cstheme="minorHAnsi"/>
          <w:i/>
          <w:sz w:val="24"/>
          <w:szCs w:val="24"/>
          <w:lang w:eastAsia="zh-CN"/>
        </w:rPr>
        <w:t xml:space="preserve"> </w:t>
      </w:r>
      <w:proofErr w:type="spellStart"/>
      <w:r w:rsidR="00A961EA" w:rsidRPr="003830E3">
        <w:rPr>
          <w:rFonts w:eastAsiaTheme="minorEastAsia" w:cstheme="minorHAnsi"/>
          <w:i/>
          <w:sz w:val="24"/>
          <w:szCs w:val="24"/>
          <w:lang w:eastAsia="zh-CN"/>
        </w:rPr>
        <w:t>Pract</w:t>
      </w:r>
      <w:proofErr w:type="spellEnd"/>
      <w:r w:rsidR="00A961EA" w:rsidRPr="004A557F">
        <w:rPr>
          <w:rFonts w:eastAsiaTheme="minorEastAsia" w:cstheme="minorHAnsi"/>
          <w:sz w:val="24"/>
          <w:szCs w:val="24"/>
          <w:lang w:eastAsia="zh-CN"/>
        </w:rPr>
        <w:t xml:space="preserve"> 2013;</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30</w:t>
      </w:r>
      <w:r w:rsidR="003830E3">
        <w:rPr>
          <w:rFonts w:eastAsiaTheme="minorEastAsia" w:cstheme="minorHAnsi"/>
          <w:sz w:val="24"/>
          <w:szCs w:val="24"/>
          <w:lang w:eastAsia="zh-CN"/>
        </w:rPr>
        <w:t>(2)</w:t>
      </w:r>
      <w:r w:rsidR="00A961EA" w:rsidRPr="004A557F">
        <w:rPr>
          <w:rFonts w:eastAsiaTheme="minorEastAsia" w:cstheme="minorHAnsi"/>
          <w:sz w:val="24"/>
          <w:szCs w:val="24"/>
          <w:lang w:eastAsia="zh-CN"/>
        </w:rPr>
        <w:t>:</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172-</w:t>
      </w:r>
      <w:r w:rsidR="003830E3">
        <w:rPr>
          <w:rFonts w:eastAsiaTheme="minorEastAsia" w:cstheme="minorHAnsi"/>
          <w:sz w:val="24"/>
          <w:szCs w:val="24"/>
          <w:lang w:eastAsia="zh-CN"/>
        </w:rPr>
        <w:t>17</w:t>
      </w:r>
      <w:r w:rsidR="00A961EA" w:rsidRPr="004A557F">
        <w:rPr>
          <w:rFonts w:eastAsiaTheme="minorEastAsia" w:cstheme="minorHAnsi"/>
          <w:sz w:val="24"/>
          <w:szCs w:val="24"/>
          <w:lang w:eastAsia="zh-CN"/>
        </w:rPr>
        <w:t>8.</w:t>
      </w:r>
    </w:p>
    <w:p w14:paraId="56CC32F8" w14:textId="082F83B2" w:rsidR="00A961EA" w:rsidRPr="004A557F" w:rsidRDefault="00E83A02"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1</w:t>
      </w:r>
      <w:r w:rsidR="0059141A" w:rsidRPr="004A557F">
        <w:rPr>
          <w:rFonts w:eastAsiaTheme="minorEastAsia" w:cstheme="minorHAnsi"/>
          <w:sz w:val="24"/>
          <w:szCs w:val="24"/>
          <w:lang w:eastAsia="zh-CN"/>
        </w:rPr>
        <w:t>8</w:t>
      </w:r>
      <w:r w:rsidR="00A961EA" w:rsidRPr="004A557F">
        <w:rPr>
          <w:rFonts w:eastAsiaTheme="minorEastAsia" w:cstheme="minorHAnsi"/>
          <w:sz w:val="24"/>
          <w:szCs w:val="24"/>
          <w:lang w:eastAsia="zh-CN"/>
        </w:rPr>
        <w:t xml:space="preserve">. Gibson PG, Simpson JL. The overlap syndrome of asthma and COPD: what are its features and how important is it? </w:t>
      </w:r>
      <w:r w:rsidR="00A961EA" w:rsidRPr="003830E3">
        <w:rPr>
          <w:rFonts w:eastAsiaTheme="minorEastAsia" w:cstheme="minorHAnsi"/>
          <w:i/>
          <w:sz w:val="24"/>
          <w:szCs w:val="24"/>
          <w:lang w:eastAsia="zh-CN"/>
        </w:rPr>
        <w:t>Thorax</w:t>
      </w:r>
      <w:r w:rsidR="00A961EA" w:rsidRPr="004A557F">
        <w:rPr>
          <w:rFonts w:eastAsiaTheme="minorEastAsia" w:cstheme="minorHAnsi"/>
          <w:sz w:val="24"/>
          <w:szCs w:val="24"/>
          <w:lang w:eastAsia="zh-CN"/>
        </w:rPr>
        <w:t xml:space="preserve"> 2009;</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64</w:t>
      </w:r>
      <w:r w:rsidR="003830E3">
        <w:rPr>
          <w:rFonts w:eastAsiaTheme="minorEastAsia" w:cstheme="minorHAnsi"/>
          <w:sz w:val="24"/>
          <w:szCs w:val="24"/>
          <w:lang w:eastAsia="zh-CN"/>
        </w:rPr>
        <w:t>(8)</w:t>
      </w:r>
      <w:r w:rsidR="00A961EA" w:rsidRPr="004A557F">
        <w:rPr>
          <w:rFonts w:eastAsiaTheme="minorEastAsia" w:cstheme="minorHAnsi"/>
          <w:sz w:val="24"/>
          <w:szCs w:val="24"/>
          <w:lang w:eastAsia="zh-CN"/>
        </w:rPr>
        <w:t>:</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728-</w:t>
      </w:r>
      <w:r w:rsidR="003830E3">
        <w:rPr>
          <w:rFonts w:eastAsiaTheme="minorEastAsia" w:cstheme="minorHAnsi"/>
          <w:sz w:val="24"/>
          <w:szCs w:val="24"/>
          <w:lang w:eastAsia="zh-CN"/>
        </w:rPr>
        <w:t>7</w:t>
      </w:r>
      <w:r w:rsidR="00A961EA" w:rsidRPr="004A557F">
        <w:rPr>
          <w:rFonts w:eastAsiaTheme="minorEastAsia" w:cstheme="minorHAnsi"/>
          <w:sz w:val="24"/>
          <w:szCs w:val="24"/>
          <w:lang w:eastAsia="zh-CN"/>
        </w:rPr>
        <w:t>35.</w:t>
      </w:r>
    </w:p>
    <w:p w14:paraId="72CC4036" w14:textId="5469677E" w:rsidR="00A961EA" w:rsidRPr="004A557F" w:rsidRDefault="0059141A"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19</w:t>
      </w:r>
      <w:r w:rsidR="00A961EA" w:rsidRPr="004A557F">
        <w:rPr>
          <w:rFonts w:eastAsiaTheme="minorEastAsia" w:cstheme="minorHAnsi"/>
          <w:sz w:val="24"/>
          <w:szCs w:val="24"/>
          <w:lang w:eastAsia="zh-CN"/>
        </w:rPr>
        <w:t xml:space="preserve">. </w:t>
      </w:r>
      <w:hyperlink r:id="rId22" w:history="1">
        <w:r w:rsidR="00A961EA" w:rsidRPr="004A557F">
          <w:rPr>
            <w:rFonts w:eastAsiaTheme="minorEastAsia" w:cstheme="minorHAnsi"/>
            <w:sz w:val="24"/>
            <w:szCs w:val="24"/>
            <w:lang w:eastAsia="zh-CN"/>
          </w:rPr>
          <w:t>Bateman ED</w:t>
        </w:r>
      </w:hyperlink>
      <w:r w:rsidR="00A961EA" w:rsidRPr="004A557F">
        <w:rPr>
          <w:rFonts w:eastAsiaTheme="minorEastAsia" w:cstheme="minorHAnsi"/>
          <w:sz w:val="24"/>
          <w:szCs w:val="24"/>
          <w:lang w:eastAsia="zh-CN"/>
        </w:rPr>
        <w:t>, </w:t>
      </w:r>
      <w:proofErr w:type="spellStart"/>
      <w:r w:rsidR="004C6092">
        <w:rPr>
          <w:rFonts w:eastAsiaTheme="minorEastAsia" w:cstheme="minorHAnsi"/>
          <w:sz w:val="24"/>
          <w:szCs w:val="24"/>
          <w:lang w:eastAsia="zh-CN"/>
        </w:rPr>
        <w:fldChar w:fldCharType="begin"/>
      </w:r>
      <w:r w:rsidR="004C6092">
        <w:rPr>
          <w:rFonts w:eastAsiaTheme="minorEastAsia" w:cstheme="minorHAnsi"/>
          <w:sz w:val="24"/>
          <w:szCs w:val="24"/>
          <w:lang w:eastAsia="zh-CN"/>
        </w:rPr>
        <w:instrText xml:space="preserve"> HYPERLINK "https://www.ncbi.nlm.nih.gov/pubmed/?term=Reddel%20HK%5BAuthor%5D&amp;cauthor=true&amp;cauthor_uid=26255108" </w:instrText>
      </w:r>
      <w:r w:rsidR="004C6092">
        <w:rPr>
          <w:rFonts w:eastAsiaTheme="minorEastAsia" w:cstheme="minorHAnsi"/>
          <w:sz w:val="24"/>
          <w:szCs w:val="24"/>
          <w:lang w:eastAsia="zh-CN"/>
        </w:rPr>
        <w:fldChar w:fldCharType="separate"/>
      </w:r>
      <w:r w:rsidR="00A961EA" w:rsidRPr="004A557F">
        <w:rPr>
          <w:rFonts w:eastAsiaTheme="minorEastAsia" w:cstheme="minorHAnsi"/>
          <w:sz w:val="24"/>
          <w:szCs w:val="24"/>
          <w:lang w:eastAsia="zh-CN"/>
        </w:rPr>
        <w:t>Reddel</w:t>
      </w:r>
      <w:proofErr w:type="spellEnd"/>
      <w:r w:rsidR="00A961EA" w:rsidRPr="004A557F">
        <w:rPr>
          <w:rFonts w:eastAsiaTheme="minorEastAsia" w:cstheme="minorHAnsi"/>
          <w:sz w:val="24"/>
          <w:szCs w:val="24"/>
          <w:lang w:eastAsia="zh-CN"/>
        </w:rPr>
        <w:t xml:space="preserve"> HK</w:t>
      </w:r>
      <w:r w:rsidR="004C6092">
        <w:rPr>
          <w:rFonts w:eastAsiaTheme="minorEastAsia" w:cstheme="minorHAnsi"/>
          <w:sz w:val="24"/>
          <w:szCs w:val="24"/>
          <w:lang w:eastAsia="zh-CN"/>
        </w:rPr>
        <w:fldChar w:fldCharType="end"/>
      </w:r>
      <w:r w:rsidR="00A961EA" w:rsidRPr="004A557F">
        <w:rPr>
          <w:rFonts w:eastAsiaTheme="minorEastAsia" w:cstheme="minorHAnsi"/>
          <w:sz w:val="24"/>
          <w:szCs w:val="24"/>
          <w:lang w:eastAsia="zh-CN"/>
        </w:rPr>
        <w:t>, </w:t>
      </w:r>
      <w:hyperlink r:id="rId23" w:history="1">
        <w:r w:rsidR="00A961EA" w:rsidRPr="004A557F">
          <w:rPr>
            <w:rFonts w:eastAsiaTheme="minorEastAsia" w:cstheme="minorHAnsi"/>
            <w:sz w:val="24"/>
            <w:szCs w:val="24"/>
            <w:lang w:eastAsia="zh-CN"/>
          </w:rPr>
          <w:t xml:space="preserve">van </w:t>
        </w:r>
        <w:proofErr w:type="spellStart"/>
        <w:r w:rsidR="00A961EA" w:rsidRPr="004A557F">
          <w:rPr>
            <w:rFonts w:eastAsiaTheme="minorEastAsia" w:cstheme="minorHAnsi"/>
            <w:sz w:val="24"/>
            <w:szCs w:val="24"/>
            <w:lang w:eastAsia="zh-CN"/>
          </w:rPr>
          <w:t>Zyl</w:t>
        </w:r>
        <w:proofErr w:type="spellEnd"/>
        <w:r w:rsidR="00A961EA" w:rsidRPr="004A557F">
          <w:rPr>
            <w:rFonts w:eastAsiaTheme="minorEastAsia" w:cstheme="minorHAnsi"/>
            <w:sz w:val="24"/>
            <w:szCs w:val="24"/>
            <w:lang w:eastAsia="zh-CN"/>
          </w:rPr>
          <w:t>-Smit RN</w:t>
        </w:r>
      </w:hyperlink>
      <w:r w:rsidR="00A961EA" w:rsidRPr="004A557F">
        <w:rPr>
          <w:rFonts w:eastAsiaTheme="minorEastAsia" w:cstheme="minorHAnsi"/>
          <w:sz w:val="24"/>
          <w:szCs w:val="24"/>
          <w:lang w:eastAsia="zh-CN"/>
        </w:rPr>
        <w:t>, </w:t>
      </w:r>
      <w:proofErr w:type="spellStart"/>
      <w:r w:rsidR="004C6092">
        <w:rPr>
          <w:rFonts w:eastAsiaTheme="minorEastAsia" w:cstheme="minorHAnsi"/>
          <w:sz w:val="24"/>
          <w:szCs w:val="24"/>
          <w:lang w:eastAsia="zh-CN"/>
        </w:rPr>
        <w:fldChar w:fldCharType="begin"/>
      </w:r>
      <w:r w:rsidR="004C6092">
        <w:rPr>
          <w:rFonts w:eastAsiaTheme="minorEastAsia" w:cstheme="minorHAnsi"/>
          <w:sz w:val="24"/>
          <w:szCs w:val="24"/>
          <w:lang w:eastAsia="zh-CN"/>
        </w:rPr>
        <w:instrText xml:space="preserve"> HYPERLINK "https://www.ncbi.nlm.nih.gov/pubmed/?term=Agusti%20A%5BAuthor%5D&amp;cauthor=true&amp;cauthor_uid=26255108" </w:instrText>
      </w:r>
      <w:r w:rsidR="004C6092">
        <w:rPr>
          <w:rFonts w:eastAsiaTheme="minorEastAsia" w:cstheme="minorHAnsi"/>
          <w:sz w:val="24"/>
          <w:szCs w:val="24"/>
          <w:lang w:eastAsia="zh-CN"/>
        </w:rPr>
        <w:fldChar w:fldCharType="separate"/>
      </w:r>
      <w:r w:rsidR="00A961EA" w:rsidRPr="004A557F">
        <w:rPr>
          <w:rFonts w:eastAsiaTheme="minorEastAsia" w:cstheme="minorHAnsi"/>
          <w:sz w:val="24"/>
          <w:szCs w:val="24"/>
          <w:lang w:eastAsia="zh-CN"/>
        </w:rPr>
        <w:t>Agusti</w:t>
      </w:r>
      <w:proofErr w:type="spellEnd"/>
      <w:r w:rsidR="00A961EA" w:rsidRPr="004A557F">
        <w:rPr>
          <w:rFonts w:eastAsiaTheme="minorEastAsia" w:cstheme="minorHAnsi"/>
          <w:sz w:val="24"/>
          <w:szCs w:val="24"/>
          <w:lang w:eastAsia="zh-CN"/>
        </w:rPr>
        <w:t xml:space="preserve"> A</w:t>
      </w:r>
      <w:r w:rsidR="004C6092">
        <w:rPr>
          <w:rFonts w:eastAsiaTheme="minorEastAsia" w:cstheme="minorHAnsi"/>
          <w:sz w:val="24"/>
          <w:szCs w:val="24"/>
          <w:lang w:eastAsia="zh-CN"/>
        </w:rPr>
        <w:fldChar w:fldCharType="end"/>
      </w:r>
      <w:r w:rsidR="00A961EA" w:rsidRPr="004A557F">
        <w:rPr>
          <w:rFonts w:eastAsiaTheme="minorEastAsia" w:cstheme="minorHAnsi"/>
          <w:sz w:val="24"/>
          <w:szCs w:val="24"/>
          <w:lang w:eastAsia="zh-CN"/>
        </w:rPr>
        <w:t xml:space="preserve">. The asthma-COPD overlap syndrome: towards a revised taxonomy of chronic airways diseases? </w:t>
      </w:r>
      <w:r w:rsidR="00A961EA" w:rsidRPr="003830E3">
        <w:rPr>
          <w:rFonts w:eastAsiaTheme="minorEastAsia" w:cstheme="minorHAnsi"/>
          <w:i/>
          <w:sz w:val="24"/>
          <w:szCs w:val="24"/>
          <w:lang w:eastAsia="zh-CN"/>
        </w:rPr>
        <w:t xml:space="preserve">Lancet </w:t>
      </w:r>
      <w:proofErr w:type="spellStart"/>
      <w:r w:rsidR="00A961EA" w:rsidRPr="003830E3">
        <w:rPr>
          <w:rFonts w:eastAsiaTheme="minorEastAsia" w:cstheme="minorHAnsi"/>
          <w:i/>
          <w:sz w:val="24"/>
          <w:szCs w:val="24"/>
          <w:lang w:eastAsia="zh-CN"/>
        </w:rPr>
        <w:t>Respir</w:t>
      </w:r>
      <w:proofErr w:type="spellEnd"/>
      <w:r w:rsidR="00A961EA" w:rsidRPr="003830E3">
        <w:rPr>
          <w:rFonts w:eastAsiaTheme="minorEastAsia" w:cstheme="minorHAnsi"/>
          <w:i/>
          <w:sz w:val="24"/>
          <w:szCs w:val="24"/>
          <w:lang w:eastAsia="zh-CN"/>
        </w:rPr>
        <w:t xml:space="preserve"> Med</w:t>
      </w:r>
      <w:r w:rsidR="00A961EA" w:rsidRPr="004A557F">
        <w:rPr>
          <w:rFonts w:eastAsiaTheme="minorEastAsia" w:cstheme="minorHAnsi"/>
          <w:sz w:val="24"/>
          <w:szCs w:val="24"/>
          <w:lang w:eastAsia="zh-CN"/>
        </w:rPr>
        <w:t> 2015;</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3</w:t>
      </w:r>
      <w:r w:rsidR="003830E3">
        <w:rPr>
          <w:rFonts w:eastAsiaTheme="minorEastAsia" w:cstheme="minorHAnsi"/>
          <w:sz w:val="24"/>
          <w:szCs w:val="24"/>
          <w:lang w:eastAsia="zh-CN"/>
        </w:rPr>
        <w:t>(9)</w:t>
      </w:r>
      <w:r w:rsidR="00A961EA" w:rsidRPr="004A557F">
        <w:rPr>
          <w:rFonts w:eastAsiaTheme="minorEastAsia" w:cstheme="minorHAnsi"/>
          <w:sz w:val="24"/>
          <w:szCs w:val="24"/>
          <w:lang w:eastAsia="zh-CN"/>
        </w:rPr>
        <w:t>:</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719-</w:t>
      </w:r>
      <w:r w:rsidR="003830E3">
        <w:rPr>
          <w:rFonts w:eastAsiaTheme="minorEastAsia" w:cstheme="minorHAnsi"/>
          <w:sz w:val="24"/>
          <w:szCs w:val="24"/>
          <w:lang w:eastAsia="zh-CN"/>
        </w:rPr>
        <w:t>7</w:t>
      </w:r>
      <w:r w:rsidR="00A961EA" w:rsidRPr="004A557F">
        <w:rPr>
          <w:rFonts w:eastAsiaTheme="minorEastAsia" w:cstheme="minorHAnsi"/>
          <w:sz w:val="24"/>
          <w:szCs w:val="24"/>
          <w:lang w:eastAsia="zh-CN"/>
        </w:rPr>
        <w:t>28.</w:t>
      </w:r>
    </w:p>
    <w:p w14:paraId="20C85BF1" w14:textId="556537EC" w:rsidR="00A961EA" w:rsidRPr="004A557F" w:rsidRDefault="004963D1"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2</w:t>
      </w:r>
      <w:r w:rsidR="0059141A" w:rsidRPr="004A557F">
        <w:rPr>
          <w:rFonts w:eastAsiaTheme="minorEastAsia" w:cstheme="minorHAnsi"/>
          <w:sz w:val="24"/>
          <w:szCs w:val="24"/>
          <w:lang w:eastAsia="zh-CN"/>
        </w:rPr>
        <w:t>0</w:t>
      </w:r>
      <w:r w:rsidR="00A961EA" w:rsidRPr="004A557F">
        <w:rPr>
          <w:rFonts w:eastAsiaTheme="minorEastAsia" w:cstheme="minorHAnsi"/>
          <w:sz w:val="24"/>
          <w:szCs w:val="24"/>
          <w:lang w:eastAsia="zh-CN"/>
        </w:rPr>
        <w:t xml:space="preserve">. </w:t>
      </w:r>
      <w:proofErr w:type="spellStart"/>
      <w:r w:rsidR="00A961EA" w:rsidRPr="004A557F">
        <w:rPr>
          <w:rFonts w:eastAsiaTheme="minorEastAsia" w:cstheme="minorHAnsi"/>
          <w:sz w:val="24"/>
          <w:szCs w:val="24"/>
          <w:lang w:eastAsia="zh-CN"/>
        </w:rPr>
        <w:t>Vestbo</w:t>
      </w:r>
      <w:proofErr w:type="spellEnd"/>
      <w:r w:rsidR="00A961EA" w:rsidRPr="004A557F">
        <w:rPr>
          <w:rFonts w:eastAsiaTheme="minorEastAsia" w:cstheme="minorHAnsi"/>
          <w:sz w:val="24"/>
          <w:szCs w:val="24"/>
          <w:lang w:eastAsia="zh-CN"/>
        </w:rPr>
        <w:t xml:space="preserve"> J, Lange P. Can GOLD Stage 0 provide information of prognostic value in chronic obstructive pulmonary disease? </w:t>
      </w:r>
      <w:r w:rsidR="00A961EA" w:rsidRPr="003830E3">
        <w:rPr>
          <w:rFonts w:eastAsiaTheme="minorEastAsia" w:cstheme="minorHAnsi"/>
          <w:i/>
          <w:sz w:val="24"/>
          <w:szCs w:val="24"/>
          <w:lang w:eastAsia="zh-CN"/>
        </w:rPr>
        <w:t xml:space="preserve">Am J </w:t>
      </w:r>
      <w:proofErr w:type="spellStart"/>
      <w:r w:rsidR="00A961EA" w:rsidRPr="003830E3">
        <w:rPr>
          <w:rFonts w:eastAsiaTheme="minorEastAsia" w:cstheme="minorHAnsi"/>
          <w:i/>
          <w:sz w:val="24"/>
          <w:szCs w:val="24"/>
          <w:lang w:eastAsia="zh-CN"/>
        </w:rPr>
        <w:t>Respir</w:t>
      </w:r>
      <w:proofErr w:type="spellEnd"/>
      <w:r w:rsidR="00A961EA" w:rsidRPr="003830E3">
        <w:rPr>
          <w:rFonts w:eastAsiaTheme="minorEastAsia" w:cstheme="minorHAnsi"/>
          <w:i/>
          <w:sz w:val="24"/>
          <w:szCs w:val="24"/>
          <w:lang w:eastAsia="zh-CN"/>
        </w:rPr>
        <w:t xml:space="preserve"> </w:t>
      </w:r>
      <w:proofErr w:type="spellStart"/>
      <w:r w:rsidR="00A961EA" w:rsidRPr="003830E3">
        <w:rPr>
          <w:rFonts w:eastAsiaTheme="minorEastAsia" w:cstheme="minorHAnsi"/>
          <w:i/>
          <w:sz w:val="24"/>
          <w:szCs w:val="24"/>
          <w:lang w:eastAsia="zh-CN"/>
        </w:rPr>
        <w:t>Crit</w:t>
      </w:r>
      <w:proofErr w:type="spellEnd"/>
      <w:r w:rsidR="00A961EA" w:rsidRPr="003830E3">
        <w:rPr>
          <w:rFonts w:eastAsiaTheme="minorEastAsia" w:cstheme="minorHAnsi"/>
          <w:i/>
          <w:sz w:val="24"/>
          <w:szCs w:val="24"/>
          <w:lang w:eastAsia="zh-CN"/>
        </w:rPr>
        <w:t xml:space="preserve"> Care Med</w:t>
      </w:r>
      <w:r w:rsidR="00A961EA" w:rsidRPr="004A557F">
        <w:rPr>
          <w:rFonts w:eastAsiaTheme="minorEastAsia" w:cstheme="minorHAnsi"/>
          <w:sz w:val="24"/>
          <w:szCs w:val="24"/>
          <w:lang w:eastAsia="zh-CN"/>
        </w:rPr>
        <w:t xml:space="preserve"> 2002;</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166</w:t>
      </w:r>
      <w:r w:rsidR="003830E3">
        <w:rPr>
          <w:rFonts w:eastAsiaTheme="minorEastAsia" w:cstheme="minorHAnsi"/>
          <w:sz w:val="24"/>
          <w:szCs w:val="24"/>
          <w:lang w:eastAsia="zh-CN"/>
        </w:rPr>
        <w:t>(3)</w:t>
      </w:r>
      <w:r w:rsidR="00A961EA" w:rsidRPr="004A557F">
        <w:rPr>
          <w:rFonts w:eastAsiaTheme="minorEastAsia" w:cstheme="minorHAnsi"/>
          <w:sz w:val="24"/>
          <w:szCs w:val="24"/>
          <w:lang w:eastAsia="zh-CN"/>
        </w:rPr>
        <w:t>:</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329-</w:t>
      </w:r>
      <w:r w:rsidR="003830E3">
        <w:rPr>
          <w:rFonts w:eastAsiaTheme="minorEastAsia" w:cstheme="minorHAnsi"/>
          <w:sz w:val="24"/>
          <w:szCs w:val="24"/>
          <w:lang w:eastAsia="zh-CN"/>
        </w:rPr>
        <w:t>3</w:t>
      </w:r>
      <w:r w:rsidR="00A961EA" w:rsidRPr="004A557F">
        <w:rPr>
          <w:rFonts w:eastAsiaTheme="minorEastAsia" w:cstheme="minorHAnsi"/>
          <w:sz w:val="24"/>
          <w:szCs w:val="24"/>
          <w:lang w:eastAsia="zh-CN"/>
        </w:rPr>
        <w:t>32.</w:t>
      </w:r>
    </w:p>
    <w:p w14:paraId="417BFDD9" w14:textId="661C276F" w:rsidR="00A961EA" w:rsidRPr="004A557F" w:rsidRDefault="004963D1"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2</w:t>
      </w:r>
      <w:r w:rsidR="0059141A" w:rsidRPr="004A557F">
        <w:rPr>
          <w:rFonts w:eastAsiaTheme="minorEastAsia" w:cstheme="minorHAnsi"/>
          <w:sz w:val="24"/>
          <w:szCs w:val="24"/>
          <w:lang w:eastAsia="zh-CN"/>
        </w:rPr>
        <w:t>1</w:t>
      </w:r>
      <w:r w:rsidR="00A961EA" w:rsidRPr="004A557F">
        <w:rPr>
          <w:rFonts w:eastAsiaTheme="minorEastAsia" w:cstheme="minorHAnsi"/>
          <w:sz w:val="24"/>
          <w:szCs w:val="24"/>
          <w:lang w:eastAsia="zh-CN"/>
        </w:rPr>
        <w:t xml:space="preserve">. Lindberg A, Eriksson B, Larsson LG, </w:t>
      </w:r>
      <w:proofErr w:type="spellStart"/>
      <w:r w:rsidR="00A961EA" w:rsidRPr="004A557F">
        <w:rPr>
          <w:rFonts w:eastAsiaTheme="minorEastAsia" w:cstheme="minorHAnsi"/>
          <w:sz w:val="24"/>
          <w:szCs w:val="24"/>
          <w:lang w:eastAsia="zh-CN"/>
        </w:rPr>
        <w:t>Rönmark</w:t>
      </w:r>
      <w:proofErr w:type="spellEnd"/>
      <w:r w:rsidR="00A961EA" w:rsidRPr="004A557F">
        <w:rPr>
          <w:rFonts w:eastAsiaTheme="minorEastAsia" w:cstheme="minorHAnsi"/>
          <w:sz w:val="24"/>
          <w:szCs w:val="24"/>
          <w:lang w:eastAsia="zh-CN"/>
        </w:rPr>
        <w:t xml:space="preserve"> E, </w:t>
      </w:r>
      <w:proofErr w:type="spellStart"/>
      <w:r w:rsidR="00A961EA" w:rsidRPr="004A557F">
        <w:rPr>
          <w:rFonts w:eastAsiaTheme="minorEastAsia" w:cstheme="minorHAnsi"/>
          <w:sz w:val="24"/>
          <w:szCs w:val="24"/>
          <w:lang w:eastAsia="zh-CN"/>
        </w:rPr>
        <w:t>Sandström</w:t>
      </w:r>
      <w:proofErr w:type="spellEnd"/>
      <w:r w:rsidR="00A961EA" w:rsidRPr="004A557F">
        <w:rPr>
          <w:rFonts w:eastAsiaTheme="minorEastAsia" w:cstheme="minorHAnsi"/>
          <w:sz w:val="24"/>
          <w:szCs w:val="24"/>
          <w:lang w:eastAsia="zh-CN"/>
        </w:rPr>
        <w:t xml:space="preserve"> T, </w:t>
      </w:r>
      <w:proofErr w:type="spellStart"/>
      <w:r w:rsidR="00A961EA" w:rsidRPr="004A557F">
        <w:rPr>
          <w:rFonts w:eastAsiaTheme="minorEastAsia" w:cstheme="minorHAnsi"/>
          <w:sz w:val="24"/>
          <w:szCs w:val="24"/>
          <w:lang w:eastAsia="zh-CN"/>
        </w:rPr>
        <w:t>Lundbäck</w:t>
      </w:r>
      <w:proofErr w:type="spellEnd"/>
      <w:r w:rsidR="00A961EA" w:rsidRPr="004A557F">
        <w:rPr>
          <w:rFonts w:eastAsiaTheme="minorEastAsia" w:cstheme="minorHAnsi"/>
          <w:sz w:val="24"/>
          <w:szCs w:val="24"/>
          <w:lang w:eastAsia="zh-CN"/>
        </w:rPr>
        <w:t xml:space="preserve"> B. Seven-year cumulative incidence of COPD in an age-stratified general population sample. </w:t>
      </w:r>
      <w:r w:rsidR="00A961EA" w:rsidRPr="003830E3">
        <w:rPr>
          <w:rFonts w:eastAsiaTheme="minorEastAsia" w:cstheme="minorHAnsi"/>
          <w:i/>
          <w:sz w:val="24"/>
          <w:szCs w:val="24"/>
          <w:lang w:eastAsia="zh-CN"/>
        </w:rPr>
        <w:t>Chest</w:t>
      </w:r>
      <w:r w:rsidR="00A961EA" w:rsidRPr="004A557F">
        <w:rPr>
          <w:rFonts w:eastAsiaTheme="minorEastAsia" w:cstheme="minorHAnsi"/>
          <w:sz w:val="24"/>
          <w:szCs w:val="24"/>
          <w:lang w:eastAsia="zh-CN"/>
        </w:rPr>
        <w:t xml:space="preserve"> 2006;</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129</w:t>
      </w:r>
      <w:r w:rsidR="003830E3">
        <w:rPr>
          <w:rFonts w:eastAsiaTheme="minorEastAsia" w:cstheme="minorHAnsi"/>
          <w:sz w:val="24"/>
          <w:szCs w:val="24"/>
          <w:lang w:eastAsia="zh-CN"/>
        </w:rPr>
        <w:t>(4)</w:t>
      </w:r>
      <w:r w:rsidR="00A961EA" w:rsidRPr="004A557F">
        <w:rPr>
          <w:rFonts w:eastAsiaTheme="minorEastAsia" w:cstheme="minorHAnsi"/>
          <w:sz w:val="24"/>
          <w:szCs w:val="24"/>
          <w:lang w:eastAsia="zh-CN"/>
        </w:rPr>
        <w:t>:</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879-</w:t>
      </w:r>
      <w:r w:rsidR="003830E3">
        <w:rPr>
          <w:rFonts w:eastAsiaTheme="minorEastAsia" w:cstheme="minorHAnsi"/>
          <w:sz w:val="24"/>
          <w:szCs w:val="24"/>
          <w:lang w:eastAsia="zh-CN"/>
        </w:rPr>
        <w:t>8</w:t>
      </w:r>
      <w:r w:rsidR="00A961EA" w:rsidRPr="004A557F">
        <w:rPr>
          <w:rFonts w:eastAsiaTheme="minorEastAsia" w:cstheme="minorHAnsi"/>
          <w:sz w:val="24"/>
          <w:szCs w:val="24"/>
          <w:lang w:eastAsia="zh-CN"/>
        </w:rPr>
        <w:t>85.</w:t>
      </w:r>
    </w:p>
    <w:p w14:paraId="26185CE9" w14:textId="703ED57D" w:rsidR="004621DD" w:rsidRPr="004A557F" w:rsidRDefault="004963D1"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2</w:t>
      </w:r>
      <w:r w:rsidR="0059141A" w:rsidRPr="004A557F">
        <w:rPr>
          <w:rFonts w:eastAsiaTheme="minorEastAsia" w:cstheme="minorHAnsi"/>
          <w:sz w:val="24"/>
          <w:szCs w:val="24"/>
          <w:lang w:eastAsia="zh-CN"/>
        </w:rPr>
        <w:t>2</w:t>
      </w:r>
      <w:r w:rsidR="00A961EA" w:rsidRPr="004A557F">
        <w:rPr>
          <w:rFonts w:eastAsiaTheme="minorEastAsia" w:cstheme="minorHAnsi"/>
          <w:sz w:val="24"/>
          <w:szCs w:val="24"/>
          <w:lang w:eastAsia="zh-CN"/>
        </w:rPr>
        <w:t>. Probst-</w:t>
      </w:r>
      <w:proofErr w:type="spellStart"/>
      <w:r w:rsidR="00A961EA" w:rsidRPr="004A557F">
        <w:rPr>
          <w:rFonts w:eastAsiaTheme="minorEastAsia" w:cstheme="minorHAnsi"/>
          <w:sz w:val="24"/>
          <w:szCs w:val="24"/>
          <w:lang w:eastAsia="zh-CN"/>
        </w:rPr>
        <w:t>Hensch</w:t>
      </w:r>
      <w:proofErr w:type="spellEnd"/>
      <w:r w:rsidR="00A961EA" w:rsidRPr="004A557F">
        <w:rPr>
          <w:rFonts w:eastAsiaTheme="minorEastAsia" w:cstheme="minorHAnsi"/>
          <w:sz w:val="24"/>
          <w:szCs w:val="24"/>
          <w:lang w:eastAsia="zh-CN"/>
        </w:rPr>
        <w:t xml:space="preserve"> NM, </w:t>
      </w:r>
      <w:proofErr w:type="spellStart"/>
      <w:r w:rsidR="00A961EA" w:rsidRPr="004A557F">
        <w:rPr>
          <w:rFonts w:eastAsiaTheme="minorEastAsia" w:cstheme="minorHAnsi"/>
          <w:sz w:val="24"/>
          <w:szCs w:val="24"/>
          <w:lang w:eastAsia="zh-CN"/>
        </w:rPr>
        <w:t>Curjuric</w:t>
      </w:r>
      <w:proofErr w:type="spellEnd"/>
      <w:r w:rsidR="00A961EA" w:rsidRPr="004A557F">
        <w:rPr>
          <w:rFonts w:eastAsiaTheme="minorEastAsia" w:cstheme="minorHAnsi"/>
          <w:sz w:val="24"/>
          <w:szCs w:val="24"/>
          <w:lang w:eastAsia="zh-CN"/>
        </w:rPr>
        <w:t xml:space="preserve"> I, Pierre-Olivier B</w:t>
      </w:r>
      <w:r w:rsidR="003830E3">
        <w:rPr>
          <w:rFonts w:eastAsiaTheme="minorEastAsia" w:cstheme="minorHAnsi"/>
          <w:sz w:val="24"/>
          <w:szCs w:val="24"/>
          <w:lang w:eastAsia="zh-CN"/>
        </w:rPr>
        <w:t>,</w:t>
      </w:r>
      <w:r w:rsidR="00A961EA" w:rsidRPr="004A557F">
        <w:rPr>
          <w:rFonts w:eastAsiaTheme="minorEastAsia" w:cstheme="minorHAnsi"/>
          <w:sz w:val="24"/>
          <w:szCs w:val="24"/>
          <w:lang w:eastAsia="zh-CN"/>
        </w:rPr>
        <w:t xml:space="preserve"> </w:t>
      </w:r>
      <w:r w:rsidR="00A961EA" w:rsidRPr="003830E3">
        <w:rPr>
          <w:rFonts w:eastAsiaTheme="minorEastAsia" w:cstheme="minorHAnsi"/>
          <w:i/>
          <w:sz w:val="24"/>
          <w:szCs w:val="24"/>
          <w:lang w:eastAsia="zh-CN"/>
        </w:rPr>
        <w:t>et al</w:t>
      </w:r>
      <w:r w:rsidR="00A961EA" w:rsidRPr="004A557F">
        <w:rPr>
          <w:rFonts w:eastAsiaTheme="minorEastAsia" w:cstheme="minorHAnsi"/>
          <w:sz w:val="24"/>
          <w:szCs w:val="24"/>
          <w:lang w:eastAsia="zh-CN"/>
        </w:rPr>
        <w:t xml:space="preserve">. Longitudinal change of </w:t>
      </w:r>
      <w:proofErr w:type="spellStart"/>
      <w:r w:rsidR="00A961EA" w:rsidRPr="004A557F">
        <w:rPr>
          <w:rFonts w:eastAsiaTheme="minorEastAsia" w:cstheme="minorHAnsi"/>
          <w:sz w:val="24"/>
          <w:szCs w:val="24"/>
          <w:lang w:eastAsia="zh-CN"/>
        </w:rPr>
        <w:t>prebronchodilator</w:t>
      </w:r>
      <w:proofErr w:type="spellEnd"/>
      <w:r w:rsidR="00A961EA" w:rsidRPr="004A557F">
        <w:rPr>
          <w:rFonts w:eastAsiaTheme="minorEastAsia" w:cstheme="minorHAnsi"/>
          <w:sz w:val="24"/>
          <w:szCs w:val="24"/>
          <w:lang w:eastAsia="zh-CN"/>
        </w:rPr>
        <w:t xml:space="preserve"> </w:t>
      </w:r>
      <w:proofErr w:type="spellStart"/>
      <w:r w:rsidR="00A961EA" w:rsidRPr="004A557F">
        <w:rPr>
          <w:rFonts w:eastAsiaTheme="minorEastAsia" w:cstheme="minorHAnsi"/>
          <w:sz w:val="24"/>
          <w:szCs w:val="24"/>
          <w:lang w:eastAsia="zh-CN"/>
        </w:rPr>
        <w:t>spirometric</w:t>
      </w:r>
      <w:proofErr w:type="spellEnd"/>
      <w:r w:rsidR="00A961EA" w:rsidRPr="004A557F">
        <w:rPr>
          <w:rFonts w:eastAsiaTheme="minorEastAsia" w:cstheme="minorHAnsi"/>
          <w:sz w:val="24"/>
          <w:szCs w:val="24"/>
          <w:lang w:eastAsia="zh-CN"/>
        </w:rPr>
        <w:t xml:space="preserve"> obstruction and health outcomes: results from the SAPALDIA cohort. </w:t>
      </w:r>
      <w:r w:rsidR="00A961EA" w:rsidRPr="003830E3">
        <w:rPr>
          <w:rFonts w:eastAsiaTheme="minorEastAsia" w:cstheme="minorHAnsi"/>
          <w:i/>
          <w:sz w:val="24"/>
          <w:szCs w:val="24"/>
          <w:lang w:eastAsia="zh-CN"/>
        </w:rPr>
        <w:t>Thorax</w:t>
      </w:r>
      <w:r w:rsidR="00A961EA" w:rsidRPr="004A557F">
        <w:rPr>
          <w:rFonts w:eastAsiaTheme="minorEastAsia" w:cstheme="minorHAnsi"/>
          <w:sz w:val="24"/>
          <w:szCs w:val="24"/>
          <w:lang w:eastAsia="zh-CN"/>
        </w:rPr>
        <w:t xml:space="preserve"> 2010;</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65</w:t>
      </w:r>
      <w:r w:rsidR="003830E3">
        <w:rPr>
          <w:rFonts w:eastAsiaTheme="minorEastAsia" w:cstheme="minorHAnsi"/>
          <w:sz w:val="24"/>
          <w:szCs w:val="24"/>
          <w:lang w:eastAsia="zh-CN"/>
        </w:rPr>
        <w:t>(2)</w:t>
      </w:r>
      <w:r w:rsidR="00A961EA" w:rsidRPr="004A557F">
        <w:rPr>
          <w:rFonts w:eastAsiaTheme="minorEastAsia" w:cstheme="minorHAnsi"/>
          <w:sz w:val="24"/>
          <w:szCs w:val="24"/>
          <w:lang w:eastAsia="zh-CN"/>
        </w:rPr>
        <w:t>:</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150-</w:t>
      </w:r>
      <w:r w:rsidR="003830E3">
        <w:rPr>
          <w:rFonts w:eastAsiaTheme="minorEastAsia" w:cstheme="minorHAnsi"/>
          <w:sz w:val="24"/>
          <w:szCs w:val="24"/>
          <w:lang w:eastAsia="zh-CN"/>
        </w:rPr>
        <w:t>15</w:t>
      </w:r>
      <w:r w:rsidR="00A961EA" w:rsidRPr="004A557F">
        <w:rPr>
          <w:rFonts w:eastAsiaTheme="minorEastAsia" w:cstheme="minorHAnsi"/>
          <w:sz w:val="24"/>
          <w:szCs w:val="24"/>
          <w:lang w:eastAsia="zh-CN"/>
        </w:rPr>
        <w:t>6.</w:t>
      </w:r>
    </w:p>
    <w:p w14:paraId="7F07C46F" w14:textId="6405ADF4" w:rsidR="00A961EA" w:rsidRPr="004A557F" w:rsidRDefault="004963D1"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2</w:t>
      </w:r>
      <w:r w:rsidR="0059141A" w:rsidRPr="004A557F">
        <w:rPr>
          <w:rFonts w:eastAsiaTheme="minorEastAsia" w:cstheme="minorHAnsi"/>
          <w:sz w:val="24"/>
          <w:szCs w:val="24"/>
          <w:lang w:eastAsia="zh-CN"/>
        </w:rPr>
        <w:t>3</w:t>
      </w:r>
      <w:r w:rsidR="00A961EA" w:rsidRPr="004A557F">
        <w:rPr>
          <w:rFonts w:eastAsiaTheme="minorEastAsia" w:cstheme="minorHAnsi"/>
          <w:sz w:val="24"/>
          <w:szCs w:val="24"/>
          <w:lang w:eastAsia="zh-CN"/>
        </w:rPr>
        <w:t>. Jones RC, Price D, Ryan D</w:t>
      </w:r>
      <w:r w:rsidR="003830E3">
        <w:rPr>
          <w:rFonts w:eastAsiaTheme="minorEastAsia" w:cstheme="minorHAnsi"/>
          <w:sz w:val="24"/>
          <w:szCs w:val="24"/>
          <w:lang w:eastAsia="zh-CN"/>
        </w:rPr>
        <w:t>,</w:t>
      </w:r>
      <w:r w:rsidR="00A961EA" w:rsidRPr="004A557F">
        <w:rPr>
          <w:rFonts w:eastAsiaTheme="minorEastAsia" w:cstheme="minorHAnsi"/>
          <w:sz w:val="24"/>
          <w:szCs w:val="24"/>
          <w:lang w:eastAsia="zh-CN"/>
        </w:rPr>
        <w:t xml:space="preserve"> </w:t>
      </w:r>
      <w:r w:rsidR="00A961EA" w:rsidRPr="003830E3">
        <w:rPr>
          <w:rFonts w:eastAsiaTheme="minorEastAsia" w:cstheme="minorHAnsi"/>
          <w:i/>
          <w:sz w:val="24"/>
          <w:szCs w:val="24"/>
          <w:lang w:eastAsia="zh-CN"/>
        </w:rPr>
        <w:t>et al</w:t>
      </w:r>
      <w:r w:rsidR="00A961EA" w:rsidRPr="004A557F">
        <w:rPr>
          <w:rFonts w:eastAsiaTheme="minorEastAsia" w:cstheme="minorHAnsi"/>
          <w:sz w:val="24"/>
          <w:szCs w:val="24"/>
          <w:lang w:eastAsia="zh-CN"/>
        </w:rPr>
        <w:t xml:space="preserve">. Opportunities to diagnose chronic obstructive pulmonary disease in routine care in the UK: a retrospective study of a clinical cohort. </w:t>
      </w:r>
      <w:r w:rsidR="00A961EA" w:rsidRPr="003830E3">
        <w:rPr>
          <w:rFonts w:eastAsiaTheme="minorEastAsia" w:cstheme="minorHAnsi"/>
          <w:i/>
          <w:sz w:val="24"/>
          <w:szCs w:val="24"/>
          <w:lang w:eastAsia="zh-CN"/>
        </w:rPr>
        <w:t xml:space="preserve">Lancet </w:t>
      </w:r>
      <w:proofErr w:type="spellStart"/>
      <w:r w:rsidR="00A961EA" w:rsidRPr="003830E3">
        <w:rPr>
          <w:rFonts w:eastAsiaTheme="minorEastAsia" w:cstheme="minorHAnsi"/>
          <w:i/>
          <w:sz w:val="24"/>
          <w:szCs w:val="24"/>
          <w:lang w:eastAsia="zh-CN"/>
        </w:rPr>
        <w:t>Respir</w:t>
      </w:r>
      <w:proofErr w:type="spellEnd"/>
      <w:r w:rsidR="00A961EA" w:rsidRPr="003830E3">
        <w:rPr>
          <w:rFonts w:eastAsiaTheme="minorEastAsia" w:cstheme="minorHAnsi"/>
          <w:i/>
          <w:sz w:val="24"/>
          <w:szCs w:val="24"/>
          <w:lang w:eastAsia="zh-CN"/>
        </w:rPr>
        <w:t xml:space="preserve"> Med</w:t>
      </w:r>
      <w:r w:rsidR="00A961EA" w:rsidRPr="004A557F">
        <w:rPr>
          <w:rFonts w:eastAsiaTheme="minorEastAsia" w:cstheme="minorHAnsi"/>
          <w:sz w:val="24"/>
          <w:szCs w:val="24"/>
          <w:lang w:eastAsia="zh-CN"/>
        </w:rPr>
        <w:t xml:space="preserve"> 2014;</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2</w:t>
      </w:r>
      <w:r w:rsidR="003830E3">
        <w:rPr>
          <w:rFonts w:eastAsiaTheme="minorEastAsia" w:cstheme="minorHAnsi"/>
          <w:sz w:val="24"/>
          <w:szCs w:val="24"/>
          <w:lang w:eastAsia="zh-CN"/>
        </w:rPr>
        <w:t>(4)</w:t>
      </w:r>
      <w:r w:rsidR="00A961EA" w:rsidRPr="004A557F">
        <w:rPr>
          <w:rFonts w:eastAsiaTheme="minorEastAsia" w:cstheme="minorHAnsi"/>
          <w:sz w:val="24"/>
          <w:szCs w:val="24"/>
          <w:lang w:eastAsia="zh-CN"/>
        </w:rPr>
        <w:t>:</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267-</w:t>
      </w:r>
      <w:r w:rsidR="003830E3">
        <w:rPr>
          <w:rFonts w:eastAsiaTheme="minorEastAsia" w:cstheme="minorHAnsi"/>
          <w:sz w:val="24"/>
          <w:szCs w:val="24"/>
          <w:lang w:eastAsia="zh-CN"/>
        </w:rPr>
        <w:t>2</w:t>
      </w:r>
      <w:r w:rsidR="00A961EA" w:rsidRPr="004A557F">
        <w:rPr>
          <w:rFonts w:eastAsiaTheme="minorEastAsia" w:cstheme="minorHAnsi"/>
          <w:sz w:val="24"/>
          <w:szCs w:val="24"/>
          <w:lang w:eastAsia="zh-CN"/>
        </w:rPr>
        <w:t>76.</w:t>
      </w:r>
    </w:p>
    <w:p w14:paraId="0C1862F3" w14:textId="3172B25D" w:rsidR="00A83DCF" w:rsidRPr="004A557F" w:rsidRDefault="00A83DCF"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lastRenderedPageBreak/>
        <w:t>2</w:t>
      </w:r>
      <w:r w:rsidR="0059141A" w:rsidRPr="004A557F">
        <w:rPr>
          <w:rFonts w:eastAsiaTheme="minorEastAsia" w:cstheme="minorHAnsi"/>
          <w:sz w:val="24"/>
          <w:szCs w:val="24"/>
          <w:lang w:eastAsia="zh-CN"/>
        </w:rPr>
        <w:t>4</w:t>
      </w:r>
      <w:r w:rsidRPr="004A557F">
        <w:rPr>
          <w:rFonts w:eastAsiaTheme="minorEastAsia" w:cstheme="minorHAnsi"/>
          <w:sz w:val="24"/>
          <w:szCs w:val="24"/>
          <w:lang w:eastAsia="zh-CN"/>
        </w:rPr>
        <w:t xml:space="preserve">. Hayward RA, Chen Y, Croft P, Jordan KP. Presentation of respiratory symptoms prior to diagnosis in general practice: a case–control study examining free text and morbidity codes. </w:t>
      </w:r>
      <w:r w:rsidRPr="003830E3">
        <w:rPr>
          <w:rFonts w:eastAsiaTheme="minorEastAsia" w:cstheme="minorHAnsi"/>
          <w:i/>
          <w:sz w:val="24"/>
          <w:szCs w:val="24"/>
          <w:lang w:eastAsia="zh-CN"/>
        </w:rPr>
        <w:t>BMJ Open</w:t>
      </w:r>
      <w:r w:rsidRPr="004A557F">
        <w:rPr>
          <w:rFonts w:eastAsiaTheme="minorEastAsia" w:cstheme="minorHAnsi"/>
          <w:sz w:val="24"/>
          <w:szCs w:val="24"/>
          <w:lang w:eastAsia="zh-CN"/>
        </w:rPr>
        <w:t xml:space="preserve"> 2015;</w:t>
      </w:r>
      <w:r w:rsidR="003830E3">
        <w:rPr>
          <w:rFonts w:eastAsiaTheme="minorEastAsia" w:cstheme="minorHAnsi"/>
          <w:sz w:val="24"/>
          <w:szCs w:val="24"/>
          <w:lang w:eastAsia="zh-CN"/>
        </w:rPr>
        <w:t xml:space="preserve"> </w:t>
      </w:r>
      <w:r w:rsidRPr="004A557F">
        <w:rPr>
          <w:rFonts w:eastAsiaTheme="minorEastAsia" w:cstheme="minorHAnsi"/>
          <w:sz w:val="24"/>
          <w:szCs w:val="24"/>
          <w:lang w:eastAsia="zh-CN"/>
        </w:rPr>
        <w:t>5</w:t>
      </w:r>
      <w:r w:rsidR="003830E3">
        <w:rPr>
          <w:rFonts w:eastAsiaTheme="minorEastAsia" w:cstheme="minorHAnsi"/>
          <w:sz w:val="24"/>
          <w:szCs w:val="24"/>
          <w:lang w:eastAsia="zh-CN"/>
        </w:rPr>
        <w:t>(6)</w:t>
      </w:r>
      <w:r w:rsidRPr="004A557F">
        <w:rPr>
          <w:rFonts w:eastAsiaTheme="minorEastAsia" w:cstheme="minorHAnsi"/>
          <w:sz w:val="24"/>
          <w:szCs w:val="24"/>
          <w:lang w:eastAsia="zh-CN"/>
        </w:rPr>
        <w:t>:</w:t>
      </w:r>
      <w:r w:rsidR="003830E3">
        <w:rPr>
          <w:rFonts w:eastAsiaTheme="minorEastAsia" w:cstheme="minorHAnsi"/>
          <w:sz w:val="24"/>
          <w:szCs w:val="24"/>
          <w:lang w:eastAsia="zh-CN"/>
        </w:rPr>
        <w:t xml:space="preserve"> </w:t>
      </w:r>
      <w:r w:rsidRPr="004A557F">
        <w:rPr>
          <w:rFonts w:eastAsiaTheme="minorEastAsia" w:cstheme="minorHAnsi"/>
          <w:sz w:val="24"/>
          <w:szCs w:val="24"/>
          <w:lang w:eastAsia="zh-CN"/>
        </w:rPr>
        <w:t>e007355.</w:t>
      </w:r>
    </w:p>
    <w:p w14:paraId="3660F844" w14:textId="74BD6056" w:rsidR="00A961EA" w:rsidRPr="004A557F" w:rsidRDefault="00A83DCF"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2</w:t>
      </w:r>
      <w:r w:rsidR="0059141A" w:rsidRPr="004A557F">
        <w:rPr>
          <w:rFonts w:eastAsiaTheme="minorEastAsia" w:cstheme="minorHAnsi"/>
          <w:sz w:val="24"/>
          <w:szCs w:val="24"/>
          <w:lang w:eastAsia="zh-CN"/>
        </w:rPr>
        <w:t>5</w:t>
      </w:r>
      <w:r w:rsidR="00A961EA" w:rsidRPr="004A557F">
        <w:rPr>
          <w:rFonts w:eastAsiaTheme="minorEastAsia" w:cstheme="minorHAnsi"/>
          <w:sz w:val="24"/>
          <w:szCs w:val="24"/>
          <w:lang w:eastAsia="zh-CN"/>
        </w:rPr>
        <w:t xml:space="preserve">. </w:t>
      </w:r>
      <w:proofErr w:type="spellStart"/>
      <w:r w:rsidR="00A961EA" w:rsidRPr="004A557F">
        <w:rPr>
          <w:rFonts w:eastAsiaTheme="minorEastAsia" w:cstheme="minorHAnsi"/>
          <w:sz w:val="24"/>
          <w:szCs w:val="24"/>
          <w:lang w:eastAsia="zh-CN"/>
        </w:rPr>
        <w:t>Frostad</w:t>
      </w:r>
      <w:proofErr w:type="spellEnd"/>
      <w:r w:rsidR="00A961EA" w:rsidRPr="004A557F">
        <w:rPr>
          <w:rFonts w:eastAsiaTheme="minorEastAsia" w:cstheme="minorHAnsi"/>
          <w:sz w:val="24"/>
          <w:szCs w:val="24"/>
          <w:lang w:eastAsia="zh-CN"/>
        </w:rPr>
        <w:t xml:space="preserve"> A, </w:t>
      </w:r>
      <w:proofErr w:type="spellStart"/>
      <w:r w:rsidR="00A961EA" w:rsidRPr="004A557F">
        <w:rPr>
          <w:rFonts w:eastAsiaTheme="minorEastAsia" w:cstheme="minorHAnsi"/>
          <w:sz w:val="24"/>
          <w:szCs w:val="24"/>
          <w:lang w:eastAsia="zh-CN"/>
        </w:rPr>
        <w:t>Soyseth</w:t>
      </w:r>
      <w:proofErr w:type="spellEnd"/>
      <w:r w:rsidR="00A961EA" w:rsidRPr="004A557F">
        <w:rPr>
          <w:rFonts w:eastAsiaTheme="minorEastAsia" w:cstheme="minorHAnsi"/>
          <w:sz w:val="24"/>
          <w:szCs w:val="24"/>
          <w:lang w:eastAsia="zh-CN"/>
        </w:rPr>
        <w:t xml:space="preserve"> V, </w:t>
      </w:r>
      <w:proofErr w:type="spellStart"/>
      <w:r w:rsidR="00A961EA" w:rsidRPr="004A557F">
        <w:rPr>
          <w:rFonts w:eastAsiaTheme="minorEastAsia" w:cstheme="minorHAnsi"/>
          <w:sz w:val="24"/>
          <w:szCs w:val="24"/>
          <w:lang w:eastAsia="zh-CN"/>
        </w:rPr>
        <w:t>Haldorsen</w:t>
      </w:r>
      <w:proofErr w:type="spellEnd"/>
      <w:r w:rsidR="00A961EA" w:rsidRPr="004A557F">
        <w:rPr>
          <w:rFonts w:eastAsiaTheme="minorEastAsia" w:cstheme="minorHAnsi"/>
          <w:sz w:val="24"/>
          <w:szCs w:val="24"/>
          <w:lang w:eastAsia="zh-CN"/>
        </w:rPr>
        <w:t xml:space="preserve"> T, Andersen A, </w:t>
      </w:r>
      <w:proofErr w:type="spellStart"/>
      <w:r w:rsidR="00A961EA" w:rsidRPr="004A557F">
        <w:rPr>
          <w:rFonts w:eastAsiaTheme="minorEastAsia" w:cstheme="minorHAnsi"/>
          <w:sz w:val="24"/>
          <w:szCs w:val="24"/>
          <w:lang w:eastAsia="zh-CN"/>
        </w:rPr>
        <w:t>Gulsvik</w:t>
      </w:r>
      <w:proofErr w:type="spellEnd"/>
      <w:r w:rsidR="00A961EA" w:rsidRPr="004A557F">
        <w:rPr>
          <w:rFonts w:eastAsiaTheme="minorEastAsia" w:cstheme="minorHAnsi"/>
          <w:sz w:val="24"/>
          <w:szCs w:val="24"/>
          <w:lang w:eastAsia="zh-CN"/>
        </w:rPr>
        <w:t xml:space="preserve"> A. Respiratory symptoms and long-term cardiovascular mortality. </w:t>
      </w:r>
      <w:proofErr w:type="spellStart"/>
      <w:r w:rsidR="00A961EA" w:rsidRPr="003830E3">
        <w:rPr>
          <w:rFonts w:eastAsiaTheme="minorEastAsia" w:cstheme="minorHAnsi"/>
          <w:i/>
          <w:sz w:val="24"/>
          <w:szCs w:val="24"/>
          <w:lang w:eastAsia="zh-CN"/>
        </w:rPr>
        <w:t>Respir</w:t>
      </w:r>
      <w:proofErr w:type="spellEnd"/>
      <w:r w:rsidR="00A961EA" w:rsidRPr="003830E3">
        <w:rPr>
          <w:rFonts w:eastAsiaTheme="minorEastAsia" w:cstheme="minorHAnsi"/>
          <w:i/>
          <w:sz w:val="24"/>
          <w:szCs w:val="24"/>
          <w:lang w:eastAsia="zh-CN"/>
        </w:rPr>
        <w:t xml:space="preserve"> Med</w:t>
      </w:r>
      <w:r w:rsidR="00A961EA" w:rsidRPr="004A557F">
        <w:rPr>
          <w:rFonts w:eastAsiaTheme="minorEastAsia" w:cstheme="minorHAnsi"/>
          <w:sz w:val="24"/>
          <w:szCs w:val="24"/>
          <w:lang w:eastAsia="zh-CN"/>
        </w:rPr>
        <w:t xml:space="preserve"> 2007;</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101</w:t>
      </w:r>
      <w:r w:rsidR="003830E3">
        <w:rPr>
          <w:rFonts w:eastAsiaTheme="minorEastAsia" w:cstheme="minorHAnsi"/>
          <w:sz w:val="24"/>
          <w:szCs w:val="24"/>
          <w:lang w:eastAsia="zh-CN"/>
        </w:rPr>
        <w:t>(11)</w:t>
      </w:r>
      <w:r w:rsidR="00A961EA" w:rsidRPr="004A557F">
        <w:rPr>
          <w:rFonts w:eastAsiaTheme="minorEastAsia" w:cstheme="minorHAnsi"/>
          <w:sz w:val="24"/>
          <w:szCs w:val="24"/>
          <w:lang w:eastAsia="zh-CN"/>
        </w:rPr>
        <w:t>:</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2289-</w:t>
      </w:r>
      <w:r w:rsidR="003830E3">
        <w:rPr>
          <w:rFonts w:eastAsiaTheme="minorEastAsia" w:cstheme="minorHAnsi"/>
          <w:sz w:val="24"/>
          <w:szCs w:val="24"/>
          <w:lang w:eastAsia="zh-CN"/>
        </w:rPr>
        <w:t>22</w:t>
      </w:r>
      <w:r w:rsidR="00A961EA" w:rsidRPr="004A557F">
        <w:rPr>
          <w:rFonts w:eastAsiaTheme="minorEastAsia" w:cstheme="minorHAnsi"/>
          <w:sz w:val="24"/>
          <w:szCs w:val="24"/>
          <w:lang w:eastAsia="zh-CN"/>
        </w:rPr>
        <w:t>96.</w:t>
      </w:r>
    </w:p>
    <w:p w14:paraId="41212491" w14:textId="0AD30FC2" w:rsidR="00A961EA" w:rsidRPr="004A557F" w:rsidRDefault="00E83A02"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2</w:t>
      </w:r>
      <w:r w:rsidR="0059141A" w:rsidRPr="004A557F">
        <w:rPr>
          <w:rFonts w:eastAsiaTheme="minorEastAsia" w:cstheme="minorHAnsi"/>
          <w:sz w:val="24"/>
          <w:szCs w:val="24"/>
          <w:lang w:eastAsia="zh-CN"/>
        </w:rPr>
        <w:t>6</w:t>
      </w:r>
      <w:r w:rsidR="00A961EA" w:rsidRPr="004A557F">
        <w:rPr>
          <w:rFonts w:eastAsiaTheme="minorEastAsia" w:cstheme="minorHAnsi"/>
          <w:sz w:val="24"/>
          <w:szCs w:val="24"/>
          <w:lang w:eastAsia="zh-CN"/>
        </w:rPr>
        <w:t xml:space="preserve">. </w:t>
      </w:r>
      <w:proofErr w:type="spellStart"/>
      <w:r w:rsidR="00A961EA" w:rsidRPr="004A557F">
        <w:rPr>
          <w:rFonts w:eastAsiaTheme="minorEastAsia" w:cstheme="minorHAnsi"/>
          <w:sz w:val="24"/>
          <w:szCs w:val="24"/>
          <w:lang w:eastAsia="zh-CN"/>
        </w:rPr>
        <w:t>Höglund</w:t>
      </w:r>
      <w:proofErr w:type="spellEnd"/>
      <w:r w:rsidR="00A961EA" w:rsidRPr="004A557F">
        <w:rPr>
          <w:rFonts w:eastAsiaTheme="minorEastAsia" w:cstheme="minorHAnsi"/>
          <w:sz w:val="24"/>
          <w:szCs w:val="24"/>
          <w:lang w:eastAsia="zh-CN"/>
        </w:rPr>
        <w:t xml:space="preserve"> H, </w:t>
      </w:r>
      <w:proofErr w:type="spellStart"/>
      <w:r w:rsidR="00A961EA" w:rsidRPr="004A557F">
        <w:rPr>
          <w:rFonts w:eastAsiaTheme="minorEastAsia" w:cstheme="minorHAnsi"/>
          <w:sz w:val="24"/>
          <w:szCs w:val="24"/>
          <w:lang w:eastAsia="zh-CN"/>
        </w:rPr>
        <w:t>Jansson</w:t>
      </w:r>
      <w:proofErr w:type="spellEnd"/>
      <w:r w:rsidR="00A961EA" w:rsidRPr="004A557F">
        <w:rPr>
          <w:rFonts w:eastAsiaTheme="minorEastAsia" w:cstheme="minorHAnsi"/>
          <w:sz w:val="24"/>
          <w:szCs w:val="24"/>
          <w:lang w:eastAsia="zh-CN"/>
        </w:rPr>
        <w:t xml:space="preserve"> JH, </w:t>
      </w:r>
      <w:proofErr w:type="spellStart"/>
      <w:r w:rsidR="00A961EA" w:rsidRPr="004A557F">
        <w:rPr>
          <w:rFonts w:eastAsiaTheme="minorEastAsia" w:cstheme="minorHAnsi"/>
          <w:sz w:val="24"/>
          <w:szCs w:val="24"/>
          <w:lang w:eastAsia="zh-CN"/>
        </w:rPr>
        <w:t>Forslund</w:t>
      </w:r>
      <w:proofErr w:type="spellEnd"/>
      <w:r w:rsidR="00A961EA" w:rsidRPr="004A557F">
        <w:rPr>
          <w:rFonts w:eastAsiaTheme="minorEastAsia" w:cstheme="minorHAnsi"/>
          <w:sz w:val="24"/>
          <w:szCs w:val="24"/>
          <w:lang w:eastAsia="zh-CN"/>
        </w:rPr>
        <w:t xml:space="preserve"> AS, </w:t>
      </w:r>
      <w:proofErr w:type="spellStart"/>
      <w:r w:rsidR="00A961EA" w:rsidRPr="004A557F">
        <w:rPr>
          <w:rFonts w:eastAsiaTheme="minorEastAsia" w:cstheme="minorHAnsi"/>
          <w:sz w:val="24"/>
          <w:szCs w:val="24"/>
          <w:lang w:eastAsia="zh-CN"/>
        </w:rPr>
        <w:t>Lundblad</w:t>
      </w:r>
      <w:proofErr w:type="spellEnd"/>
      <w:r w:rsidR="00A961EA" w:rsidRPr="004A557F">
        <w:rPr>
          <w:rFonts w:eastAsiaTheme="minorEastAsia" w:cstheme="minorHAnsi"/>
          <w:sz w:val="24"/>
          <w:szCs w:val="24"/>
          <w:lang w:eastAsia="zh-CN"/>
        </w:rPr>
        <w:t xml:space="preserve"> D. Prodromal symptoms and health care consumption prior to out-of-hospital cardiac arrest in patients without previously known ischaemic heart disease. </w:t>
      </w:r>
      <w:r w:rsidR="00A961EA" w:rsidRPr="003830E3">
        <w:rPr>
          <w:rFonts w:eastAsiaTheme="minorEastAsia" w:cstheme="minorHAnsi"/>
          <w:i/>
          <w:sz w:val="24"/>
          <w:szCs w:val="24"/>
          <w:lang w:eastAsia="zh-CN"/>
        </w:rPr>
        <w:t>Resuscitation</w:t>
      </w:r>
      <w:r w:rsidR="00A961EA" w:rsidRPr="004A557F">
        <w:rPr>
          <w:rFonts w:eastAsiaTheme="minorEastAsia" w:cstheme="minorHAnsi"/>
          <w:sz w:val="24"/>
          <w:szCs w:val="24"/>
          <w:lang w:eastAsia="zh-CN"/>
        </w:rPr>
        <w:t xml:space="preserve"> 2014;</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85</w:t>
      </w:r>
      <w:r w:rsidR="003830E3">
        <w:rPr>
          <w:rFonts w:eastAsiaTheme="minorEastAsia" w:cstheme="minorHAnsi"/>
          <w:sz w:val="24"/>
          <w:szCs w:val="24"/>
          <w:lang w:eastAsia="zh-CN"/>
        </w:rPr>
        <w:t>(7)</w:t>
      </w:r>
      <w:r w:rsidR="00A961EA" w:rsidRPr="004A557F">
        <w:rPr>
          <w:rFonts w:eastAsiaTheme="minorEastAsia" w:cstheme="minorHAnsi"/>
          <w:sz w:val="24"/>
          <w:szCs w:val="24"/>
          <w:lang w:eastAsia="zh-CN"/>
        </w:rPr>
        <w:t>:</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864-</w:t>
      </w:r>
      <w:r w:rsidR="003830E3">
        <w:rPr>
          <w:rFonts w:eastAsiaTheme="minorEastAsia" w:cstheme="minorHAnsi"/>
          <w:sz w:val="24"/>
          <w:szCs w:val="24"/>
          <w:lang w:eastAsia="zh-CN"/>
        </w:rPr>
        <w:t>86</w:t>
      </w:r>
      <w:r w:rsidR="00A961EA" w:rsidRPr="004A557F">
        <w:rPr>
          <w:rFonts w:eastAsiaTheme="minorEastAsia" w:cstheme="minorHAnsi"/>
          <w:sz w:val="24"/>
          <w:szCs w:val="24"/>
          <w:lang w:eastAsia="zh-CN"/>
        </w:rPr>
        <w:t>8.</w:t>
      </w:r>
    </w:p>
    <w:p w14:paraId="2F849CAD" w14:textId="686D370A" w:rsidR="00A961EA" w:rsidRPr="004A557F" w:rsidRDefault="00E83A02"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2</w:t>
      </w:r>
      <w:r w:rsidR="0059141A" w:rsidRPr="004A557F">
        <w:rPr>
          <w:rFonts w:eastAsiaTheme="minorEastAsia" w:cstheme="minorHAnsi"/>
          <w:sz w:val="24"/>
          <w:szCs w:val="24"/>
          <w:lang w:eastAsia="zh-CN"/>
        </w:rPr>
        <w:t>7</w:t>
      </w:r>
      <w:r w:rsidR="00A961EA" w:rsidRPr="004A557F">
        <w:rPr>
          <w:rFonts w:eastAsiaTheme="minorEastAsia" w:cstheme="minorHAnsi"/>
          <w:sz w:val="24"/>
          <w:szCs w:val="24"/>
          <w:lang w:eastAsia="zh-CN"/>
        </w:rPr>
        <w:t xml:space="preserve">. </w:t>
      </w:r>
      <w:proofErr w:type="spellStart"/>
      <w:r w:rsidR="00A961EA" w:rsidRPr="004A557F">
        <w:rPr>
          <w:rFonts w:eastAsiaTheme="minorEastAsia" w:cstheme="minorHAnsi"/>
          <w:sz w:val="24"/>
          <w:szCs w:val="24"/>
          <w:lang w:eastAsia="zh-CN"/>
        </w:rPr>
        <w:t>Sequist</w:t>
      </w:r>
      <w:proofErr w:type="spellEnd"/>
      <w:r w:rsidR="00A961EA" w:rsidRPr="004A557F">
        <w:rPr>
          <w:rFonts w:eastAsiaTheme="minorEastAsia" w:cstheme="minorHAnsi"/>
          <w:sz w:val="24"/>
          <w:szCs w:val="24"/>
          <w:lang w:eastAsia="zh-CN"/>
        </w:rPr>
        <w:t xml:space="preserve"> TD, Marshall R, Lampert S, </w:t>
      </w:r>
      <w:proofErr w:type="spellStart"/>
      <w:r w:rsidR="00A961EA" w:rsidRPr="004A557F">
        <w:rPr>
          <w:rFonts w:eastAsiaTheme="minorEastAsia" w:cstheme="minorHAnsi"/>
          <w:sz w:val="24"/>
          <w:szCs w:val="24"/>
          <w:lang w:eastAsia="zh-CN"/>
        </w:rPr>
        <w:t>Buechler</w:t>
      </w:r>
      <w:proofErr w:type="spellEnd"/>
      <w:r w:rsidR="00A961EA" w:rsidRPr="004A557F">
        <w:rPr>
          <w:rFonts w:eastAsiaTheme="minorEastAsia" w:cstheme="minorHAnsi"/>
          <w:sz w:val="24"/>
          <w:szCs w:val="24"/>
          <w:lang w:eastAsia="zh-CN"/>
        </w:rPr>
        <w:t xml:space="preserve"> EJ, Lee TH. Missed opportunities in the primary care management of early acute ischemic heart disease. </w:t>
      </w:r>
      <w:r w:rsidR="00A961EA" w:rsidRPr="003830E3">
        <w:rPr>
          <w:rFonts w:eastAsiaTheme="minorEastAsia" w:cstheme="minorHAnsi"/>
          <w:i/>
          <w:sz w:val="24"/>
          <w:szCs w:val="24"/>
          <w:lang w:eastAsia="zh-CN"/>
        </w:rPr>
        <w:t>Arch Intern Med</w:t>
      </w:r>
      <w:r w:rsidR="00A961EA" w:rsidRPr="004A557F">
        <w:rPr>
          <w:rFonts w:eastAsiaTheme="minorEastAsia" w:cstheme="minorHAnsi"/>
          <w:sz w:val="24"/>
          <w:szCs w:val="24"/>
          <w:lang w:eastAsia="zh-CN"/>
        </w:rPr>
        <w:t xml:space="preserve"> 2006;</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166</w:t>
      </w:r>
      <w:r w:rsidR="003830E3">
        <w:rPr>
          <w:rFonts w:eastAsiaTheme="minorEastAsia" w:cstheme="minorHAnsi"/>
          <w:sz w:val="24"/>
          <w:szCs w:val="24"/>
          <w:lang w:eastAsia="zh-CN"/>
        </w:rPr>
        <w:t>(20)</w:t>
      </w:r>
      <w:r w:rsidR="00A961EA" w:rsidRPr="004A557F">
        <w:rPr>
          <w:rFonts w:eastAsiaTheme="minorEastAsia" w:cstheme="minorHAnsi"/>
          <w:sz w:val="24"/>
          <w:szCs w:val="24"/>
          <w:lang w:eastAsia="zh-CN"/>
        </w:rPr>
        <w:t>:</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2237-</w:t>
      </w:r>
      <w:r w:rsidR="003830E3">
        <w:rPr>
          <w:rFonts w:eastAsiaTheme="minorEastAsia" w:cstheme="minorHAnsi"/>
          <w:sz w:val="24"/>
          <w:szCs w:val="24"/>
          <w:lang w:eastAsia="zh-CN"/>
        </w:rPr>
        <w:t>22</w:t>
      </w:r>
      <w:r w:rsidR="00A961EA" w:rsidRPr="004A557F">
        <w:rPr>
          <w:rFonts w:eastAsiaTheme="minorEastAsia" w:cstheme="minorHAnsi"/>
          <w:sz w:val="24"/>
          <w:szCs w:val="24"/>
          <w:lang w:eastAsia="zh-CN"/>
        </w:rPr>
        <w:t>43.</w:t>
      </w:r>
    </w:p>
    <w:p w14:paraId="061E1DFE" w14:textId="18CCF014" w:rsidR="00A83DCF" w:rsidRPr="004A557F" w:rsidRDefault="00E83A02"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2</w:t>
      </w:r>
      <w:r w:rsidR="0059141A" w:rsidRPr="004A557F">
        <w:rPr>
          <w:rFonts w:eastAsiaTheme="minorEastAsia" w:cstheme="minorHAnsi"/>
          <w:sz w:val="24"/>
          <w:szCs w:val="24"/>
          <w:lang w:eastAsia="zh-CN"/>
        </w:rPr>
        <w:t>8</w:t>
      </w:r>
      <w:r w:rsidR="00362396" w:rsidRPr="004A557F">
        <w:rPr>
          <w:rFonts w:eastAsiaTheme="minorEastAsia" w:cstheme="minorHAnsi"/>
          <w:sz w:val="24"/>
          <w:szCs w:val="24"/>
          <w:lang w:eastAsia="zh-CN"/>
        </w:rPr>
        <w:t xml:space="preserve">. Ahmed T, Steward JA, </w:t>
      </w:r>
      <w:proofErr w:type="spellStart"/>
      <w:r w:rsidR="00362396" w:rsidRPr="004A557F">
        <w:rPr>
          <w:rFonts w:eastAsiaTheme="minorEastAsia" w:cstheme="minorHAnsi"/>
          <w:sz w:val="24"/>
          <w:szCs w:val="24"/>
          <w:lang w:eastAsia="zh-CN"/>
        </w:rPr>
        <w:t>O’Mahony</w:t>
      </w:r>
      <w:proofErr w:type="spellEnd"/>
      <w:r w:rsidR="00362396" w:rsidRPr="004A557F">
        <w:rPr>
          <w:rFonts w:eastAsiaTheme="minorEastAsia" w:cstheme="minorHAnsi"/>
          <w:sz w:val="24"/>
          <w:szCs w:val="24"/>
          <w:lang w:eastAsia="zh-CN"/>
        </w:rPr>
        <w:t xml:space="preserve"> MS. Dyspnoea and mortality in older people in the community: a 10-year-up. </w:t>
      </w:r>
      <w:r w:rsidR="00164592" w:rsidRPr="003830E3">
        <w:rPr>
          <w:rFonts w:eastAsiaTheme="minorEastAsia" w:cstheme="minorHAnsi"/>
          <w:i/>
          <w:sz w:val="24"/>
          <w:szCs w:val="24"/>
          <w:lang w:eastAsia="zh-CN"/>
        </w:rPr>
        <w:t>Age Ageing</w:t>
      </w:r>
      <w:r w:rsidR="00164592" w:rsidRPr="004A557F">
        <w:rPr>
          <w:rFonts w:eastAsiaTheme="minorEastAsia" w:cstheme="minorHAnsi"/>
          <w:sz w:val="24"/>
          <w:szCs w:val="24"/>
          <w:lang w:eastAsia="zh-CN"/>
        </w:rPr>
        <w:t xml:space="preserve"> 2012;</w:t>
      </w:r>
      <w:r w:rsidR="003830E3">
        <w:rPr>
          <w:rFonts w:eastAsiaTheme="minorEastAsia" w:cstheme="minorHAnsi"/>
          <w:sz w:val="24"/>
          <w:szCs w:val="24"/>
          <w:lang w:eastAsia="zh-CN"/>
        </w:rPr>
        <w:t xml:space="preserve"> </w:t>
      </w:r>
      <w:r w:rsidR="00164592" w:rsidRPr="004A557F">
        <w:rPr>
          <w:rFonts w:eastAsiaTheme="minorEastAsia" w:cstheme="minorHAnsi"/>
          <w:sz w:val="24"/>
          <w:szCs w:val="24"/>
          <w:lang w:eastAsia="zh-CN"/>
        </w:rPr>
        <w:t>41</w:t>
      </w:r>
      <w:r w:rsidR="003830E3">
        <w:rPr>
          <w:rFonts w:eastAsiaTheme="minorEastAsia" w:cstheme="minorHAnsi"/>
          <w:sz w:val="24"/>
          <w:szCs w:val="24"/>
          <w:lang w:eastAsia="zh-CN"/>
        </w:rPr>
        <w:t>(4)</w:t>
      </w:r>
      <w:r w:rsidR="00164592" w:rsidRPr="004A557F">
        <w:rPr>
          <w:rFonts w:eastAsiaTheme="minorEastAsia" w:cstheme="minorHAnsi"/>
          <w:sz w:val="24"/>
          <w:szCs w:val="24"/>
          <w:lang w:eastAsia="zh-CN"/>
        </w:rPr>
        <w:t>:</w:t>
      </w:r>
      <w:r w:rsidR="003830E3">
        <w:rPr>
          <w:rFonts w:eastAsiaTheme="minorEastAsia" w:cstheme="minorHAnsi"/>
          <w:sz w:val="24"/>
          <w:szCs w:val="24"/>
          <w:lang w:eastAsia="zh-CN"/>
        </w:rPr>
        <w:t xml:space="preserve"> </w:t>
      </w:r>
      <w:r w:rsidR="00164592" w:rsidRPr="004A557F">
        <w:rPr>
          <w:rFonts w:eastAsiaTheme="minorEastAsia" w:cstheme="minorHAnsi"/>
          <w:sz w:val="24"/>
          <w:szCs w:val="24"/>
          <w:lang w:eastAsia="zh-CN"/>
        </w:rPr>
        <w:t>545-</w:t>
      </w:r>
      <w:r w:rsidR="003830E3">
        <w:rPr>
          <w:rFonts w:eastAsiaTheme="minorEastAsia" w:cstheme="minorHAnsi"/>
          <w:sz w:val="24"/>
          <w:szCs w:val="24"/>
          <w:lang w:eastAsia="zh-CN"/>
        </w:rPr>
        <w:t>54</w:t>
      </w:r>
      <w:r w:rsidR="00164592" w:rsidRPr="004A557F">
        <w:rPr>
          <w:rFonts w:eastAsiaTheme="minorEastAsia" w:cstheme="minorHAnsi"/>
          <w:sz w:val="24"/>
          <w:szCs w:val="24"/>
          <w:lang w:eastAsia="zh-CN"/>
        </w:rPr>
        <w:t>9.</w:t>
      </w:r>
    </w:p>
    <w:p w14:paraId="396009A0" w14:textId="2B98C614" w:rsidR="00D90344" w:rsidRPr="004A557F" w:rsidRDefault="0059141A"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29</w:t>
      </w:r>
      <w:r w:rsidR="00A961EA" w:rsidRPr="004A557F">
        <w:rPr>
          <w:rFonts w:eastAsiaTheme="minorEastAsia" w:cstheme="minorHAnsi"/>
          <w:sz w:val="24"/>
          <w:szCs w:val="24"/>
          <w:lang w:eastAsia="zh-CN"/>
        </w:rPr>
        <w:t xml:space="preserve">. Quint JK, </w:t>
      </w:r>
      <w:proofErr w:type="spellStart"/>
      <w:r w:rsidR="00A961EA" w:rsidRPr="004A557F">
        <w:rPr>
          <w:rFonts w:eastAsiaTheme="minorEastAsia" w:cstheme="minorHAnsi"/>
          <w:sz w:val="24"/>
          <w:szCs w:val="24"/>
          <w:lang w:eastAsia="zh-CN"/>
        </w:rPr>
        <w:t>Müllerova</w:t>
      </w:r>
      <w:proofErr w:type="spellEnd"/>
      <w:r w:rsidR="00A961EA" w:rsidRPr="004A557F">
        <w:rPr>
          <w:rFonts w:eastAsiaTheme="minorEastAsia" w:cstheme="minorHAnsi"/>
          <w:sz w:val="24"/>
          <w:szCs w:val="24"/>
          <w:lang w:eastAsia="zh-CN"/>
        </w:rPr>
        <w:t xml:space="preserve"> H, </w:t>
      </w:r>
      <w:proofErr w:type="spellStart"/>
      <w:r w:rsidR="00A961EA" w:rsidRPr="004A557F">
        <w:rPr>
          <w:rFonts w:eastAsiaTheme="minorEastAsia" w:cstheme="minorHAnsi"/>
          <w:sz w:val="24"/>
          <w:szCs w:val="24"/>
          <w:lang w:eastAsia="zh-CN"/>
        </w:rPr>
        <w:t>DiSantostefano</w:t>
      </w:r>
      <w:proofErr w:type="spellEnd"/>
      <w:r w:rsidR="00A961EA" w:rsidRPr="004A557F">
        <w:rPr>
          <w:rFonts w:eastAsiaTheme="minorEastAsia" w:cstheme="minorHAnsi"/>
          <w:sz w:val="24"/>
          <w:szCs w:val="24"/>
          <w:lang w:eastAsia="zh-CN"/>
        </w:rPr>
        <w:t xml:space="preserve"> </w:t>
      </w:r>
      <w:proofErr w:type="spellStart"/>
      <w:r w:rsidR="00A961EA" w:rsidRPr="004A557F">
        <w:rPr>
          <w:rFonts w:eastAsiaTheme="minorEastAsia" w:cstheme="minorHAnsi"/>
          <w:sz w:val="24"/>
          <w:szCs w:val="24"/>
          <w:lang w:eastAsia="zh-CN"/>
        </w:rPr>
        <w:t>Rl</w:t>
      </w:r>
      <w:proofErr w:type="spellEnd"/>
      <w:r w:rsidR="003830E3">
        <w:rPr>
          <w:rFonts w:eastAsiaTheme="minorEastAsia" w:cstheme="minorHAnsi"/>
          <w:sz w:val="24"/>
          <w:szCs w:val="24"/>
          <w:lang w:eastAsia="zh-CN"/>
        </w:rPr>
        <w:t>,</w:t>
      </w:r>
      <w:r w:rsidR="00A961EA" w:rsidRPr="004A557F">
        <w:rPr>
          <w:rFonts w:eastAsiaTheme="minorEastAsia" w:cstheme="minorHAnsi"/>
          <w:sz w:val="24"/>
          <w:szCs w:val="24"/>
          <w:lang w:eastAsia="zh-CN"/>
        </w:rPr>
        <w:t xml:space="preserve"> </w:t>
      </w:r>
      <w:r w:rsidR="00A961EA" w:rsidRPr="003830E3">
        <w:rPr>
          <w:rFonts w:eastAsiaTheme="minorEastAsia" w:cstheme="minorHAnsi"/>
          <w:i/>
          <w:sz w:val="24"/>
          <w:szCs w:val="24"/>
          <w:lang w:eastAsia="zh-CN"/>
        </w:rPr>
        <w:t>et al</w:t>
      </w:r>
      <w:r w:rsidR="00A961EA" w:rsidRPr="004A557F">
        <w:rPr>
          <w:rFonts w:eastAsiaTheme="minorEastAsia" w:cstheme="minorHAnsi"/>
          <w:sz w:val="24"/>
          <w:szCs w:val="24"/>
          <w:lang w:eastAsia="zh-CN"/>
        </w:rPr>
        <w:t xml:space="preserve">. Validation of chronic obstructive pulmonary disease recording in the Clinical Practice Research Datalink (CPRD-GOLD). </w:t>
      </w:r>
      <w:r w:rsidR="00A961EA" w:rsidRPr="003830E3">
        <w:rPr>
          <w:rFonts w:eastAsiaTheme="minorEastAsia" w:cstheme="minorHAnsi"/>
          <w:i/>
          <w:sz w:val="24"/>
          <w:szCs w:val="24"/>
          <w:lang w:eastAsia="zh-CN"/>
        </w:rPr>
        <w:t>BMJ Open</w:t>
      </w:r>
      <w:r w:rsidR="00A961EA" w:rsidRPr="004A557F">
        <w:rPr>
          <w:rFonts w:eastAsiaTheme="minorEastAsia" w:cstheme="minorHAnsi"/>
          <w:sz w:val="24"/>
          <w:szCs w:val="24"/>
          <w:lang w:eastAsia="zh-CN"/>
        </w:rPr>
        <w:t xml:space="preserve"> 2014;</w:t>
      </w:r>
      <w:r w:rsidR="003830E3">
        <w:rPr>
          <w:rFonts w:eastAsiaTheme="minorEastAsia" w:cstheme="minorHAnsi"/>
          <w:sz w:val="24"/>
          <w:szCs w:val="24"/>
          <w:lang w:eastAsia="zh-CN"/>
        </w:rPr>
        <w:t xml:space="preserve"> 4(7)</w:t>
      </w:r>
      <w:r w:rsidR="00A961EA" w:rsidRPr="004A557F">
        <w:rPr>
          <w:rFonts w:eastAsiaTheme="minorEastAsia" w:cstheme="minorHAnsi"/>
          <w:sz w:val="24"/>
          <w:szCs w:val="24"/>
          <w:lang w:eastAsia="zh-CN"/>
        </w:rPr>
        <w:t>:</w:t>
      </w:r>
      <w:r w:rsidR="003830E3">
        <w:rPr>
          <w:rFonts w:eastAsiaTheme="minorEastAsia" w:cstheme="minorHAnsi"/>
          <w:sz w:val="24"/>
          <w:szCs w:val="24"/>
          <w:lang w:eastAsia="zh-CN"/>
        </w:rPr>
        <w:t xml:space="preserve"> </w:t>
      </w:r>
      <w:r w:rsidR="00A961EA" w:rsidRPr="004A557F">
        <w:rPr>
          <w:rFonts w:eastAsiaTheme="minorEastAsia" w:cstheme="minorHAnsi"/>
          <w:sz w:val="24"/>
          <w:szCs w:val="24"/>
          <w:lang w:eastAsia="zh-CN"/>
        </w:rPr>
        <w:t>e005540.</w:t>
      </w:r>
    </w:p>
    <w:p w14:paraId="242128B5" w14:textId="11558602" w:rsidR="00A174E4" w:rsidRPr="004A557F" w:rsidRDefault="00A174E4" w:rsidP="004A557F">
      <w:pPr>
        <w:spacing w:line="480" w:lineRule="auto"/>
        <w:rPr>
          <w:rFonts w:eastAsiaTheme="minorEastAsia" w:cstheme="minorHAnsi"/>
          <w:sz w:val="24"/>
          <w:szCs w:val="24"/>
          <w:lang w:eastAsia="zh-CN"/>
        </w:rPr>
      </w:pPr>
      <w:r w:rsidRPr="004A557F">
        <w:rPr>
          <w:rFonts w:eastAsiaTheme="minorEastAsia" w:cstheme="minorHAnsi"/>
          <w:sz w:val="24"/>
          <w:szCs w:val="24"/>
          <w:lang w:eastAsia="zh-CN"/>
        </w:rPr>
        <w:t>3</w:t>
      </w:r>
      <w:r w:rsidR="0059141A" w:rsidRPr="004A557F">
        <w:rPr>
          <w:rFonts w:eastAsiaTheme="minorEastAsia" w:cstheme="minorHAnsi"/>
          <w:sz w:val="24"/>
          <w:szCs w:val="24"/>
          <w:lang w:eastAsia="zh-CN"/>
        </w:rPr>
        <w:t>0</w:t>
      </w:r>
      <w:r w:rsidRPr="004A557F">
        <w:rPr>
          <w:rFonts w:eastAsiaTheme="minorEastAsia" w:cstheme="minorHAnsi"/>
          <w:sz w:val="24"/>
          <w:szCs w:val="24"/>
          <w:lang w:eastAsia="zh-CN"/>
        </w:rPr>
        <w:t xml:space="preserve">. Jordan RE, </w:t>
      </w:r>
      <w:proofErr w:type="spellStart"/>
      <w:r w:rsidRPr="004A557F">
        <w:rPr>
          <w:rFonts w:eastAsiaTheme="minorEastAsia" w:cstheme="minorHAnsi"/>
          <w:sz w:val="24"/>
          <w:szCs w:val="24"/>
          <w:lang w:eastAsia="zh-CN"/>
        </w:rPr>
        <w:t>Adab</w:t>
      </w:r>
      <w:proofErr w:type="spellEnd"/>
      <w:r w:rsidRPr="004A557F">
        <w:rPr>
          <w:rFonts w:eastAsiaTheme="minorEastAsia" w:cstheme="minorHAnsi"/>
          <w:sz w:val="24"/>
          <w:szCs w:val="24"/>
          <w:lang w:eastAsia="zh-CN"/>
        </w:rPr>
        <w:t xml:space="preserve"> P, </w:t>
      </w:r>
      <w:proofErr w:type="spellStart"/>
      <w:r w:rsidRPr="004A557F">
        <w:rPr>
          <w:rFonts w:eastAsiaTheme="minorEastAsia" w:cstheme="minorHAnsi"/>
          <w:sz w:val="24"/>
          <w:szCs w:val="24"/>
          <w:lang w:eastAsia="zh-CN"/>
        </w:rPr>
        <w:t>Sitch</w:t>
      </w:r>
      <w:proofErr w:type="spellEnd"/>
      <w:r w:rsidRPr="004A557F">
        <w:rPr>
          <w:rFonts w:eastAsiaTheme="minorEastAsia" w:cstheme="minorHAnsi"/>
          <w:sz w:val="24"/>
          <w:szCs w:val="24"/>
          <w:lang w:eastAsia="zh-CN"/>
        </w:rPr>
        <w:t xml:space="preserve"> A</w:t>
      </w:r>
      <w:r w:rsidR="003830E3">
        <w:rPr>
          <w:rFonts w:eastAsiaTheme="minorEastAsia" w:cstheme="minorHAnsi"/>
          <w:sz w:val="24"/>
          <w:szCs w:val="24"/>
          <w:lang w:eastAsia="zh-CN"/>
        </w:rPr>
        <w:t>,</w:t>
      </w:r>
      <w:r w:rsidRPr="004A557F">
        <w:rPr>
          <w:rFonts w:eastAsiaTheme="minorEastAsia" w:cstheme="minorHAnsi"/>
          <w:sz w:val="24"/>
          <w:szCs w:val="24"/>
          <w:lang w:eastAsia="zh-CN"/>
        </w:rPr>
        <w:t xml:space="preserve"> </w:t>
      </w:r>
      <w:r w:rsidRPr="003830E3">
        <w:rPr>
          <w:rFonts w:eastAsiaTheme="minorEastAsia" w:cstheme="minorHAnsi"/>
          <w:i/>
          <w:sz w:val="24"/>
          <w:szCs w:val="24"/>
          <w:lang w:eastAsia="zh-CN"/>
        </w:rPr>
        <w:t>et al</w:t>
      </w:r>
      <w:r w:rsidRPr="004A557F">
        <w:rPr>
          <w:rFonts w:eastAsiaTheme="minorEastAsia" w:cstheme="minorHAnsi"/>
          <w:sz w:val="24"/>
          <w:szCs w:val="24"/>
          <w:lang w:eastAsia="zh-CN"/>
        </w:rPr>
        <w:t>. Targeted case finding for chronic obstructive pulmonary disease versus routine practice in primary care (</w:t>
      </w:r>
      <w:proofErr w:type="spellStart"/>
      <w:r w:rsidRPr="004A557F">
        <w:rPr>
          <w:rFonts w:eastAsiaTheme="minorEastAsia" w:cstheme="minorHAnsi"/>
          <w:sz w:val="24"/>
          <w:szCs w:val="24"/>
          <w:lang w:eastAsia="zh-CN"/>
        </w:rPr>
        <w:t>TargetCOPD</w:t>
      </w:r>
      <w:proofErr w:type="spellEnd"/>
      <w:r w:rsidRPr="004A557F">
        <w:rPr>
          <w:rFonts w:eastAsiaTheme="minorEastAsia" w:cstheme="minorHAnsi"/>
          <w:sz w:val="24"/>
          <w:szCs w:val="24"/>
          <w:lang w:eastAsia="zh-CN"/>
        </w:rPr>
        <w:t xml:space="preserve">): a cluster-randomised controlled trial. </w:t>
      </w:r>
      <w:r w:rsidRPr="003830E3">
        <w:rPr>
          <w:rFonts w:eastAsiaTheme="minorEastAsia" w:cstheme="minorHAnsi"/>
          <w:i/>
          <w:sz w:val="24"/>
          <w:szCs w:val="24"/>
          <w:lang w:eastAsia="zh-CN"/>
        </w:rPr>
        <w:t xml:space="preserve">Lancet </w:t>
      </w:r>
      <w:proofErr w:type="spellStart"/>
      <w:r w:rsidRPr="003830E3">
        <w:rPr>
          <w:rFonts w:eastAsiaTheme="minorEastAsia" w:cstheme="minorHAnsi"/>
          <w:i/>
          <w:sz w:val="24"/>
          <w:szCs w:val="24"/>
          <w:lang w:eastAsia="zh-CN"/>
        </w:rPr>
        <w:t>Respir</w:t>
      </w:r>
      <w:proofErr w:type="spellEnd"/>
      <w:r w:rsidRPr="003830E3">
        <w:rPr>
          <w:rFonts w:eastAsiaTheme="minorEastAsia" w:cstheme="minorHAnsi"/>
          <w:i/>
          <w:sz w:val="24"/>
          <w:szCs w:val="24"/>
          <w:lang w:eastAsia="zh-CN"/>
        </w:rPr>
        <w:t xml:space="preserve"> Med</w:t>
      </w:r>
      <w:r w:rsidRPr="004A557F">
        <w:rPr>
          <w:rFonts w:eastAsiaTheme="minorEastAsia" w:cstheme="minorHAnsi"/>
          <w:sz w:val="24"/>
          <w:szCs w:val="24"/>
          <w:lang w:eastAsia="zh-CN"/>
        </w:rPr>
        <w:t xml:space="preserve"> 2016;</w:t>
      </w:r>
      <w:r w:rsidR="003830E3">
        <w:rPr>
          <w:rFonts w:eastAsiaTheme="minorEastAsia" w:cstheme="minorHAnsi"/>
          <w:sz w:val="24"/>
          <w:szCs w:val="24"/>
          <w:lang w:eastAsia="zh-CN"/>
        </w:rPr>
        <w:t xml:space="preserve"> </w:t>
      </w:r>
      <w:r w:rsidRPr="004A557F">
        <w:rPr>
          <w:rFonts w:eastAsiaTheme="minorEastAsia" w:cstheme="minorHAnsi"/>
          <w:sz w:val="24"/>
          <w:szCs w:val="24"/>
          <w:lang w:eastAsia="zh-CN"/>
        </w:rPr>
        <w:t>4</w:t>
      </w:r>
      <w:r w:rsidR="003830E3">
        <w:rPr>
          <w:rFonts w:eastAsiaTheme="minorEastAsia" w:cstheme="minorHAnsi"/>
          <w:sz w:val="24"/>
          <w:szCs w:val="24"/>
          <w:lang w:eastAsia="zh-CN"/>
        </w:rPr>
        <w:t>(9)</w:t>
      </w:r>
      <w:r w:rsidRPr="004A557F">
        <w:rPr>
          <w:rFonts w:eastAsiaTheme="minorEastAsia" w:cstheme="minorHAnsi"/>
          <w:sz w:val="24"/>
          <w:szCs w:val="24"/>
          <w:lang w:eastAsia="zh-CN"/>
        </w:rPr>
        <w:t>:</w:t>
      </w:r>
      <w:r w:rsidR="003830E3">
        <w:rPr>
          <w:rFonts w:eastAsiaTheme="minorEastAsia" w:cstheme="minorHAnsi"/>
          <w:sz w:val="24"/>
          <w:szCs w:val="24"/>
          <w:lang w:eastAsia="zh-CN"/>
        </w:rPr>
        <w:t xml:space="preserve"> </w:t>
      </w:r>
      <w:r w:rsidRPr="004A557F">
        <w:rPr>
          <w:rFonts w:eastAsiaTheme="minorEastAsia" w:cstheme="minorHAnsi"/>
          <w:sz w:val="24"/>
          <w:szCs w:val="24"/>
          <w:lang w:eastAsia="zh-CN"/>
        </w:rPr>
        <w:t>720-</w:t>
      </w:r>
      <w:r w:rsidR="003830E3">
        <w:rPr>
          <w:rFonts w:eastAsiaTheme="minorEastAsia" w:cstheme="minorHAnsi"/>
          <w:sz w:val="24"/>
          <w:szCs w:val="24"/>
          <w:lang w:eastAsia="zh-CN"/>
        </w:rPr>
        <w:t>7</w:t>
      </w:r>
      <w:r w:rsidRPr="004A557F">
        <w:rPr>
          <w:rFonts w:eastAsiaTheme="minorEastAsia" w:cstheme="minorHAnsi"/>
          <w:sz w:val="24"/>
          <w:szCs w:val="24"/>
          <w:lang w:eastAsia="zh-CN"/>
        </w:rPr>
        <w:t>30.</w:t>
      </w:r>
    </w:p>
    <w:p w14:paraId="08758E2B" w14:textId="77777777" w:rsidR="009E6406" w:rsidRDefault="009E6406" w:rsidP="009A730E">
      <w:pPr>
        <w:spacing w:line="360" w:lineRule="auto"/>
      </w:pPr>
    </w:p>
    <w:p w14:paraId="71CA199E" w14:textId="77777777" w:rsidR="009E6406" w:rsidRDefault="009E6406" w:rsidP="009A730E">
      <w:pPr>
        <w:spacing w:line="360" w:lineRule="auto"/>
      </w:pPr>
    </w:p>
    <w:p w14:paraId="309FF4ED" w14:textId="77777777" w:rsidR="009E6406" w:rsidRPr="002E4D9F" w:rsidRDefault="009E6406" w:rsidP="004A6442">
      <w:pPr>
        <w:spacing w:after="0" w:line="240" w:lineRule="auto"/>
        <w:rPr>
          <w:rFonts w:ascii="Times New Roman" w:hAnsi="Times New Roman" w:cs="Times New Roman"/>
          <w:sz w:val="24"/>
          <w:szCs w:val="24"/>
        </w:rPr>
      </w:pPr>
      <w:r w:rsidRPr="002E4D9F">
        <w:rPr>
          <w:rFonts w:ascii="Times New Roman" w:hAnsi="Times New Roman" w:cs="Times New Roman"/>
          <w:sz w:val="24"/>
          <w:szCs w:val="24"/>
        </w:rPr>
        <w:lastRenderedPageBreak/>
        <w:t>Heading</w:t>
      </w:r>
    </w:p>
    <w:p w14:paraId="0383F773" w14:textId="50B24788" w:rsidR="009E6406" w:rsidRPr="002E4D9F" w:rsidRDefault="009E6406" w:rsidP="004A6442">
      <w:pPr>
        <w:spacing w:after="0" w:line="240" w:lineRule="auto"/>
        <w:rPr>
          <w:rFonts w:ascii="Times New Roman" w:hAnsi="Times New Roman" w:cs="Times New Roman"/>
          <w:sz w:val="24"/>
          <w:szCs w:val="24"/>
        </w:rPr>
      </w:pPr>
      <w:r w:rsidRPr="002E4D9F">
        <w:rPr>
          <w:rFonts w:ascii="Times New Roman" w:hAnsi="Times New Roman" w:cs="Times New Roman"/>
          <w:sz w:val="24"/>
          <w:szCs w:val="24"/>
        </w:rPr>
        <w:t>Figure 1 Kaplan-Meier curves for first diagnosis of COPD, asthma and IHD for the ‘exposed’ and ‘unexposed’ cohorts</w:t>
      </w:r>
    </w:p>
    <w:p w14:paraId="626F1202" w14:textId="77777777" w:rsidR="004A6442" w:rsidRPr="002E4D9F" w:rsidRDefault="004A6442" w:rsidP="004A6442">
      <w:pPr>
        <w:spacing w:after="0" w:line="240" w:lineRule="auto"/>
        <w:rPr>
          <w:rFonts w:ascii="Times New Roman" w:hAnsi="Times New Roman" w:cs="Times New Roman"/>
          <w:sz w:val="24"/>
          <w:szCs w:val="24"/>
        </w:rPr>
      </w:pPr>
    </w:p>
    <w:p w14:paraId="78B8B7F6" w14:textId="77777777" w:rsidR="009E6406" w:rsidRPr="002E4D9F" w:rsidRDefault="009E6406" w:rsidP="004A6442">
      <w:pPr>
        <w:spacing w:after="0" w:line="240" w:lineRule="auto"/>
        <w:rPr>
          <w:rFonts w:ascii="Times New Roman" w:hAnsi="Times New Roman" w:cs="Times New Roman"/>
          <w:sz w:val="24"/>
          <w:szCs w:val="24"/>
        </w:rPr>
      </w:pPr>
      <w:r w:rsidRPr="002E4D9F">
        <w:rPr>
          <w:rFonts w:ascii="Times New Roman" w:hAnsi="Times New Roman" w:cs="Times New Roman"/>
          <w:sz w:val="24"/>
          <w:szCs w:val="24"/>
        </w:rPr>
        <w:t>Legends</w:t>
      </w:r>
    </w:p>
    <w:p w14:paraId="6176599E" w14:textId="77777777" w:rsidR="009E6406" w:rsidRPr="002E4D9F" w:rsidRDefault="009E6406" w:rsidP="004A6442">
      <w:pPr>
        <w:spacing w:after="0" w:line="240" w:lineRule="auto"/>
        <w:rPr>
          <w:rFonts w:ascii="Times New Roman" w:hAnsi="Times New Roman" w:cs="Times New Roman"/>
          <w:sz w:val="24"/>
          <w:szCs w:val="24"/>
        </w:rPr>
      </w:pPr>
      <w:r w:rsidRPr="002E4D9F">
        <w:rPr>
          <w:rFonts w:ascii="Times New Roman" w:hAnsi="Times New Roman" w:cs="Times New Roman"/>
          <w:sz w:val="24"/>
          <w:szCs w:val="24"/>
        </w:rPr>
        <w:t xml:space="preserve">Red, the ‘exposed’ cohort; Blue, the ‘unexposed’ cohort. At least six months’ follow-up was available for 93% of patients, and 12% of patients had the full 12 years of follow-up (maximum follow-up time, 18 years). Kaplan-Meier curves truncated at 12 years. </w:t>
      </w:r>
    </w:p>
    <w:p w14:paraId="1458E8FA" w14:textId="77777777" w:rsidR="009E6406" w:rsidRDefault="009E6406" w:rsidP="009E6406">
      <w:pPr>
        <w:spacing w:after="160" w:line="240" w:lineRule="auto"/>
        <w:rPr>
          <w:rFonts w:ascii="Times New Roman" w:hAnsi="Times New Roman" w:cs="Times New Roman"/>
          <w:sz w:val="20"/>
          <w:szCs w:val="20"/>
        </w:rPr>
      </w:pPr>
      <w:r>
        <w:rPr>
          <w:rFonts w:ascii="Times New Roman" w:hAnsi="Times New Roman" w:cs="Times New Roman"/>
          <w:noProof/>
          <w:sz w:val="20"/>
          <w:szCs w:val="20"/>
          <w:lang w:eastAsia="zh-CN"/>
        </w:rPr>
        <w:lastRenderedPageBreak/>
        <w:drawing>
          <wp:inline distT="0" distB="0" distL="0" distR="0" wp14:anchorId="2777D32F" wp14:editId="3AED7343">
            <wp:extent cx="5731510" cy="841057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31510" cy="8410575"/>
                    </a:xfrm>
                    <a:prstGeom prst="rect">
                      <a:avLst/>
                    </a:prstGeom>
                  </pic:spPr>
                </pic:pic>
              </a:graphicData>
            </a:graphic>
          </wp:inline>
        </w:drawing>
      </w:r>
    </w:p>
    <w:p w14:paraId="2611867B" w14:textId="77777777" w:rsidR="008B47DA" w:rsidRDefault="008B47DA" w:rsidP="009A730E">
      <w:pPr>
        <w:spacing w:line="360" w:lineRule="auto"/>
        <w:rPr>
          <w:sz w:val="24"/>
          <w:szCs w:val="24"/>
        </w:rPr>
      </w:pPr>
    </w:p>
    <w:p w14:paraId="08459F8F" w14:textId="77777777" w:rsidR="007B1A56" w:rsidRDefault="007B1A56" w:rsidP="009A730E">
      <w:pPr>
        <w:spacing w:line="360" w:lineRule="auto"/>
        <w:rPr>
          <w:sz w:val="24"/>
          <w:szCs w:val="24"/>
        </w:rPr>
        <w:sectPr w:rsidR="007B1A56" w:rsidSect="00154638">
          <w:footerReference w:type="default" r:id="rId25"/>
          <w:pgSz w:w="11906" w:h="16838"/>
          <w:pgMar w:top="1440" w:right="1440" w:bottom="1440" w:left="1440" w:header="709" w:footer="709" w:gutter="0"/>
          <w:cols w:space="708"/>
          <w:docGrid w:linePitch="360"/>
        </w:sectPr>
      </w:pPr>
    </w:p>
    <w:p w14:paraId="62786AB6" w14:textId="77777777" w:rsidR="008B47DA" w:rsidRPr="00ED2316" w:rsidRDefault="008B47DA" w:rsidP="004A6442">
      <w:pPr>
        <w:spacing w:after="0" w:line="240" w:lineRule="auto"/>
        <w:rPr>
          <w:rFonts w:ascii="Times New Roman" w:hAnsi="Times New Roman" w:cs="Times New Roman"/>
          <w:b/>
          <w:sz w:val="20"/>
          <w:szCs w:val="20"/>
        </w:rPr>
      </w:pPr>
      <w:r w:rsidRPr="00ED2316">
        <w:rPr>
          <w:rFonts w:ascii="Times New Roman" w:hAnsi="Times New Roman" w:cs="Times New Roman"/>
          <w:b/>
          <w:sz w:val="20"/>
          <w:szCs w:val="20"/>
        </w:rPr>
        <w:lastRenderedPageBreak/>
        <w:t>Table 1 Participant demographic and clinical characteristics at baseline</w:t>
      </w:r>
    </w:p>
    <w:tbl>
      <w:tblPr>
        <w:tblStyle w:val="TableGrid6"/>
        <w:tblW w:w="9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gridCol w:w="6"/>
        <w:gridCol w:w="2945"/>
        <w:gridCol w:w="2247"/>
        <w:gridCol w:w="2368"/>
        <w:gridCol w:w="1823"/>
      </w:tblGrid>
      <w:tr w:rsidR="008B47DA" w:rsidRPr="000D29B5" w14:paraId="1888FF0B" w14:textId="77777777" w:rsidTr="00ED2316">
        <w:tc>
          <w:tcPr>
            <w:tcW w:w="3530" w:type="dxa"/>
            <w:gridSpan w:val="3"/>
            <w:tcBorders>
              <w:top w:val="single" w:sz="4" w:space="0" w:color="auto"/>
              <w:bottom w:val="single" w:sz="4" w:space="0" w:color="auto"/>
            </w:tcBorders>
          </w:tcPr>
          <w:p w14:paraId="40A2B0A4" w14:textId="77777777" w:rsidR="008B47DA" w:rsidRPr="00ED2316" w:rsidRDefault="008B47DA" w:rsidP="00ED2316">
            <w:pPr>
              <w:rPr>
                <w:rFonts w:ascii="Times New Roman" w:hAnsi="Times New Roman" w:cs="Times New Roman"/>
                <w:sz w:val="20"/>
                <w:szCs w:val="20"/>
              </w:rPr>
            </w:pPr>
          </w:p>
        </w:tc>
        <w:tc>
          <w:tcPr>
            <w:tcW w:w="2247" w:type="dxa"/>
            <w:tcBorders>
              <w:top w:val="single" w:sz="4" w:space="0" w:color="auto"/>
              <w:bottom w:val="single" w:sz="4" w:space="0" w:color="auto"/>
            </w:tcBorders>
          </w:tcPr>
          <w:p w14:paraId="3C5F6C54" w14:textId="6FD159F3"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Patients with a first coded record of breathlessness symptom</w:t>
            </w:r>
          </w:p>
        </w:tc>
        <w:tc>
          <w:tcPr>
            <w:tcW w:w="2368" w:type="dxa"/>
            <w:tcBorders>
              <w:top w:val="single" w:sz="4" w:space="0" w:color="auto"/>
              <w:bottom w:val="single" w:sz="4" w:space="0" w:color="auto"/>
            </w:tcBorders>
          </w:tcPr>
          <w:p w14:paraId="33CBA9CF"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Matched participants</w:t>
            </w:r>
          </w:p>
        </w:tc>
        <w:tc>
          <w:tcPr>
            <w:tcW w:w="1823" w:type="dxa"/>
            <w:tcBorders>
              <w:top w:val="single" w:sz="4" w:space="0" w:color="auto"/>
              <w:bottom w:val="single" w:sz="4" w:space="0" w:color="auto"/>
            </w:tcBorders>
          </w:tcPr>
          <w:p w14:paraId="273E3521" w14:textId="77777777" w:rsidR="008B47DA" w:rsidRPr="00ED2316" w:rsidRDefault="008B47DA" w:rsidP="00ED2316">
            <w:pPr>
              <w:jc w:val="center"/>
              <w:rPr>
                <w:rFonts w:ascii="Times New Roman" w:hAnsi="Times New Roman" w:cs="Times New Roman"/>
                <w:sz w:val="20"/>
                <w:szCs w:val="20"/>
              </w:rPr>
            </w:pPr>
          </w:p>
        </w:tc>
      </w:tr>
      <w:tr w:rsidR="008B47DA" w:rsidRPr="000D29B5" w14:paraId="3C406E7C" w14:textId="77777777" w:rsidTr="00ED2316">
        <w:tc>
          <w:tcPr>
            <w:tcW w:w="3530" w:type="dxa"/>
            <w:gridSpan w:val="3"/>
            <w:tcBorders>
              <w:top w:val="single" w:sz="4" w:space="0" w:color="auto"/>
            </w:tcBorders>
          </w:tcPr>
          <w:p w14:paraId="5AAD0A7B"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 xml:space="preserve">Participants, </w:t>
            </w:r>
            <w:r w:rsidRPr="00ED2316">
              <w:rPr>
                <w:rFonts w:ascii="Times New Roman" w:hAnsi="Times New Roman" w:cs="Times New Roman"/>
                <w:i/>
                <w:sz w:val="20"/>
                <w:szCs w:val="20"/>
              </w:rPr>
              <w:t>n</w:t>
            </w:r>
          </w:p>
        </w:tc>
        <w:tc>
          <w:tcPr>
            <w:tcW w:w="2247" w:type="dxa"/>
            <w:tcBorders>
              <w:top w:val="single" w:sz="4" w:space="0" w:color="auto"/>
            </w:tcBorders>
          </w:tcPr>
          <w:p w14:paraId="3B780772"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75,698</w:t>
            </w:r>
          </w:p>
        </w:tc>
        <w:tc>
          <w:tcPr>
            <w:tcW w:w="2368" w:type="dxa"/>
            <w:tcBorders>
              <w:top w:val="single" w:sz="4" w:space="0" w:color="auto"/>
            </w:tcBorders>
          </w:tcPr>
          <w:p w14:paraId="06C27670"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75,698</w:t>
            </w:r>
          </w:p>
        </w:tc>
        <w:tc>
          <w:tcPr>
            <w:tcW w:w="1823" w:type="dxa"/>
            <w:tcBorders>
              <w:top w:val="single" w:sz="4" w:space="0" w:color="auto"/>
            </w:tcBorders>
          </w:tcPr>
          <w:p w14:paraId="6D4647E1"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matched</w:t>
            </w:r>
          </w:p>
        </w:tc>
      </w:tr>
      <w:tr w:rsidR="008B47DA" w:rsidRPr="000D29B5" w14:paraId="00FED0AA" w14:textId="77777777" w:rsidTr="00ED2316">
        <w:tc>
          <w:tcPr>
            <w:tcW w:w="3530" w:type="dxa"/>
            <w:gridSpan w:val="3"/>
          </w:tcPr>
          <w:p w14:paraId="0EDB6C88"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Year of index date, median (IQR)</w:t>
            </w:r>
          </w:p>
        </w:tc>
        <w:tc>
          <w:tcPr>
            <w:tcW w:w="2247" w:type="dxa"/>
          </w:tcPr>
          <w:p w14:paraId="12DF5CF3"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2005 (2001, 2007)</w:t>
            </w:r>
          </w:p>
        </w:tc>
        <w:tc>
          <w:tcPr>
            <w:tcW w:w="2368" w:type="dxa"/>
          </w:tcPr>
          <w:p w14:paraId="1DFD8AF4"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2005 (2001, 2007)</w:t>
            </w:r>
          </w:p>
        </w:tc>
        <w:tc>
          <w:tcPr>
            <w:tcW w:w="1823" w:type="dxa"/>
          </w:tcPr>
          <w:p w14:paraId="22C880B8"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matched</w:t>
            </w:r>
          </w:p>
        </w:tc>
      </w:tr>
      <w:tr w:rsidR="008B47DA" w:rsidRPr="000D29B5" w14:paraId="6FCF2147" w14:textId="77777777" w:rsidTr="00ED2316">
        <w:tc>
          <w:tcPr>
            <w:tcW w:w="3530" w:type="dxa"/>
            <w:gridSpan w:val="3"/>
          </w:tcPr>
          <w:p w14:paraId="4A97B79D"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Age,</w:t>
            </w:r>
            <w:r w:rsidRPr="00ED2316">
              <w:rPr>
                <w:rFonts w:ascii="Times New Roman" w:hAnsi="Times New Roman" w:cs="Times New Roman"/>
                <w:i/>
                <w:sz w:val="20"/>
                <w:szCs w:val="20"/>
              </w:rPr>
              <w:t xml:space="preserve"> n</w:t>
            </w:r>
            <w:r w:rsidRPr="00ED2316">
              <w:rPr>
                <w:rFonts w:ascii="Times New Roman" w:hAnsi="Times New Roman" w:cs="Times New Roman"/>
                <w:sz w:val="20"/>
                <w:szCs w:val="20"/>
              </w:rPr>
              <w:t xml:space="preserve"> (%)</w:t>
            </w:r>
          </w:p>
        </w:tc>
        <w:tc>
          <w:tcPr>
            <w:tcW w:w="2247" w:type="dxa"/>
          </w:tcPr>
          <w:p w14:paraId="396BE22C" w14:textId="77777777" w:rsidR="008B47DA" w:rsidRPr="00ED2316" w:rsidRDefault="008B47DA" w:rsidP="00ED2316">
            <w:pPr>
              <w:jc w:val="center"/>
              <w:rPr>
                <w:rFonts w:ascii="Times New Roman" w:hAnsi="Times New Roman" w:cs="Times New Roman"/>
                <w:sz w:val="20"/>
                <w:szCs w:val="20"/>
              </w:rPr>
            </w:pPr>
          </w:p>
        </w:tc>
        <w:tc>
          <w:tcPr>
            <w:tcW w:w="2368" w:type="dxa"/>
          </w:tcPr>
          <w:p w14:paraId="7AD072A5" w14:textId="77777777" w:rsidR="008B47DA" w:rsidRPr="00ED2316" w:rsidRDefault="008B47DA" w:rsidP="00ED2316">
            <w:pPr>
              <w:jc w:val="center"/>
              <w:rPr>
                <w:rFonts w:ascii="Times New Roman" w:hAnsi="Times New Roman" w:cs="Times New Roman"/>
                <w:sz w:val="20"/>
                <w:szCs w:val="20"/>
              </w:rPr>
            </w:pPr>
          </w:p>
        </w:tc>
        <w:tc>
          <w:tcPr>
            <w:tcW w:w="1823" w:type="dxa"/>
          </w:tcPr>
          <w:p w14:paraId="29CB1AC8"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matched</w:t>
            </w:r>
          </w:p>
        </w:tc>
      </w:tr>
      <w:tr w:rsidR="008B47DA" w:rsidRPr="000D29B5" w14:paraId="53E67041" w14:textId="77777777" w:rsidTr="00ED2316">
        <w:tc>
          <w:tcPr>
            <w:tcW w:w="585" w:type="dxa"/>
            <w:gridSpan w:val="2"/>
          </w:tcPr>
          <w:p w14:paraId="783C8A97" w14:textId="77777777" w:rsidR="008B47DA" w:rsidRPr="00ED2316" w:rsidRDefault="008B47DA" w:rsidP="00ED2316">
            <w:pPr>
              <w:rPr>
                <w:rFonts w:ascii="Times New Roman" w:hAnsi="Times New Roman" w:cs="Times New Roman"/>
                <w:sz w:val="20"/>
                <w:szCs w:val="20"/>
              </w:rPr>
            </w:pPr>
          </w:p>
        </w:tc>
        <w:tc>
          <w:tcPr>
            <w:tcW w:w="2945" w:type="dxa"/>
          </w:tcPr>
          <w:p w14:paraId="459DAEFA"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18 - 44</w:t>
            </w:r>
          </w:p>
        </w:tc>
        <w:tc>
          <w:tcPr>
            <w:tcW w:w="2247" w:type="dxa"/>
          </w:tcPr>
          <w:p w14:paraId="4D4E8ADB"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16,668 (22.0)</w:t>
            </w:r>
          </w:p>
        </w:tc>
        <w:tc>
          <w:tcPr>
            <w:tcW w:w="2368" w:type="dxa"/>
          </w:tcPr>
          <w:p w14:paraId="5931CBD3"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16,668 (22.0)</w:t>
            </w:r>
          </w:p>
        </w:tc>
        <w:tc>
          <w:tcPr>
            <w:tcW w:w="1823" w:type="dxa"/>
          </w:tcPr>
          <w:p w14:paraId="66653671" w14:textId="77777777" w:rsidR="008B47DA" w:rsidRPr="00ED2316" w:rsidRDefault="008B47DA" w:rsidP="00ED2316">
            <w:pPr>
              <w:jc w:val="center"/>
              <w:rPr>
                <w:rFonts w:ascii="Times New Roman" w:hAnsi="Times New Roman" w:cs="Times New Roman"/>
                <w:sz w:val="20"/>
                <w:szCs w:val="20"/>
              </w:rPr>
            </w:pPr>
          </w:p>
        </w:tc>
      </w:tr>
      <w:tr w:rsidR="008B47DA" w:rsidRPr="000D29B5" w14:paraId="4E8227D1" w14:textId="77777777" w:rsidTr="00ED2316">
        <w:tc>
          <w:tcPr>
            <w:tcW w:w="585" w:type="dxa"/>
            <w:gridSpan w:val="2"/>
          </w:tcPr>
          <w:p w14:paraId="4A6D5A55" w14:textId="77777777" w:rsidR="008B47DA" w:rsidRPr="00ED2316" w:rsidRDefault="008B47DA" w:rsidP="00ED2316">
            <w:pPr>
              <w:rPr>
                <w:rFonts w:ascii="Times New Roman" w:hAnsi="Times New Roman" w:cs="Times New Roman"/>
                <w:sz w:val="20"/>
                <w:szCs w:val="20"/>
              </w:rPr>
            </w:pPr>
          </w:p>
        </w:tc>
        <w:tc>
          <w:tcPr>
            <w:tcW w:w="2945" w:type="dxa"/>
          </w:tcPr>
          <w:p w14:paraId="602F5E39"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45 - 59</w:t>
            </w:r>
          </w:p>
        </w:tc>
        <w:tc>
          <w:tcPr>
            <w:tcW w:w="2247" w:type="dxa"/>
          </w:tcPr>
          <w:p w14:paraId="143E8767"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20,356 (26.9)</w:t>
            </w:r>
          </w:p>
        </w:tc>
        <w:tc>
          <w:tcPr>
            <w:tcW w:w="2368" w:type="dxa"/>
          </w:tcPr>
          <w:p w14:paraId="3DDD33F7"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20,356 (26.9)</w:t>
            </w:r>
          </w:p>
        </w:tc>
        <w:tc>
          <w:tcPr>
            <w:tcW w:w="1823" w:type="dxa"/>
          </w:tcPr>
          <w:p w14:paraId="6A1F5163" w14:textId="77777777" w:rsidR="008B47DA" w:rsidRPr="00ED2316" w:rsidRDefault="008B47DA" w:rsidP="00ED2316">
            <w:pPr>
              <w:jc w:val="center"/>
              <w:rPr>
                <w:rFonts w:ascii="Times New Roman" w:hAnsi="Times New Roman" w:cs="Times New Roman"/>
                <w:sz w:val="20"/>
                <w:szCs w:val="20"/>
              </w:rPr>
            </w:pPr>
          </w:p>
        </w:tc>
      </w:tr>
      <w:tr w:rsidR="008B47DA" w:rsidRPr="000D29B5" w14:paraId="59DF8F11" w14:textId="77777777" w:rsidTr="00ED2316">
        <w:tc>
          <w:tcPr>
            <w:tcW w:w="585" w:type="dxa"/>
            <w:gridSpan w:val="2"/>
          </w:tcPr>
          <w:p w14:paraId="723E697E" w14:textId="77777777" w:rsidR="008B47DA" w:rsidRPr="00ED2316" w:rsidRDefault="008B47DA" w:rsidP="00ED2316">
            <w:pPr>
              <w:rPr>
                <w:rFonts w:ascii="Times New Roman" w:hAnsi="Times New Roman" w:cs="Times New Roman"/>
                <w:sz w:val="20"/>
                <w:szCs w:val="20"/>
              </w:rPr>
            </w:pPr>
          </w:p>
        </w:tc>
        <w:tc>
          <w:tcPr>
            <w:tcW w:w="2945" w:type="dxa"/>
          </w:tcPr>
          <w:p w14:paraId="5F620E8B"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60 - 74</w:t>
            </w:r>
          </w:p>
        </w:tc>
        <w:tc>
          <w:tcPr>
            <w:tcW w:w="2247" w:type="dxa"/>
          </w:tcPr>
          <w:p w14:paraId="4FD4C96E"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23,813 (31.5)</w:t>
            </w:r>
          </w:p>
        </w:tc>
        <w:tc>
          <w:tcPr>
            <w:tcW w:w="2368" w:type="dxa"/>
          </w:tcPr>
          <w:p w14:paraId="3140601F"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23,813 (31.5)</w:t>
            </w:r>
          </w:p>
        </w:tc>
        <w:tc>
          <w:tcPr>
            <w:tcW w:w="1823" w:type="dxa"/>
          </w:tcPr>
          <w:p w14:paraId="0DB452F7" w14:textId="77777777" w:rsidR="008B47DA" w:rsidRPr="00ED2316" w:rsidRDefault="008B47DA" w:rsidP="00ED2316">
            <w:pPr>
              <w:jc w:val="center"/>
              <w:rPr>
                <w:rFonts w:ascii="Times New Roman" w:hAnsi="Times New Roman" w:cs="Times New Roman"/>
                <w:sz w:val="20"/>
                <w:szCs w:val="20"/>
              </w:rPr>
            </w:pPr>
          </w:p>
        </w:tc>
      </w:tr>
      <w:tr w:rsidR="008B47DA" w:rsidRPr="000D29B5" w14:paraId="5A299312" w14:textId="77777777" w:rsidTr="00ED2316">
        <w:tc>
          <w:tcPr>
            <w:tcW w:w="585" w:type="dxa"/>
            <w:gridSpan w:val="2"/>
          </w:tcPr>
          <w:p w14:paraId="708067FF" w14:textId="77777777" w:rsidR="008B47DA" w:rsidRPr="00ED2316" w:rsidRDefault="008B47DA" w:rsidP="00ED2316">
            <w:pPr>
              <w:rPr>
                <w:rFonts w:ascii="Times New Roman" w:hAnsi="Times New Roman" w:cs="Times New Roman"/>
                <w:sz w:val="20"/>
                <w:szCs w:val="20"/>
              </w:rPr>
            </w:pPr>
          </w:p>
        </w:tc>
        <w:tc>
          <w:tcPr>
            <w:tcW w:w="2945" w:type="dxa"/>
          </w:tcPr>
          <w:p w14:paraId="0922A643"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75 and over</w:t>
            </w:r>
          </w:p>
        </w:tc>
        <w:tc>
          <w:tcPr>
            <w:tcW w:w="2247" w:type="dxa"/>
          </w:tcPr>
          <w:p w14:paraId="11511F26"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14,861 (19.6)</w:t>
            </w:r>
          </w:p>
        </w:tc>
        <w:tc>
          <w:tcPr>
            <w:tcW w:w="2368" w:type="dxa"/>
          </w:tcPr>
          <w:p w14:paraId="7024C13B"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14,861 (19.6)</w:t>
            </w:r>
          </w:p>
        </w:tc>
        <w:tc>
          <w:tcPr>
            <w:tcW w:w="1823" w:type="dxa"/>
          </w:tcPr>
          <w:p w14:paraId="4D15D8C3" w14:textId="77777777" w:rsidR="008B47DA" w:rsidRPr="00ED2316" w:rsidRDefault="008B47DA" w:rsidP="00ED2316">
            <w:pPr>
              <w:jc w:val="center"/>
              <w:rPr>
                <w:rFonts w:ascii="Times New Roman" w:hAnsi="Times New Roman" w:cs="Times New Roman"/>
                <w:sz w:val="20"/>
                <w:szCs w:val="20"/>
              </w:rPr>
            </w:pPr>
          </w:p>
        </w:tc>
      </w:tr>
      <w:tr w:rsidR="008B47DA" w:rsidRPr="000D29B5" w14:paraId="74AA65AF" w14:textId="77777777" w:rsidTr="00ED2316">
        <w:tc>
          <w:tcPr>
            <w:tcW w:w="3530" w:type="dxa"/>
            <w:gridSpan w:val="3"/>
          </w:tcPr>
          <w:p w14:paraId="07FBF867"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 xml:space="preserve">Male, </w:t>
            </w:r>
            <w:r w:rsidRPr="00ED2316">
              <w:rPr>
                <w:rFonts w:ascii="Times New Roman" w:hAnsi="Times New Roman" w:cs="Times New Roman"/>
                <w:i/>
                <w:sz w:val="20"/>
                <w:szCs w:val="20"/>
              </w:rPr>
              <w:t>n</w:t>
            </w:r>
            <w:r w:rsidRPr="00ED2316">
              <w:rPr>
                <w:rFonts w:ascii="Times New Roman" w:hAnsi="Times New Roman" w:cs="Times New Roman"/>
                <w:sz w:val="20"/>
                <w:szCs w:val="20"/>
              </w:rPr>
              <w:t xml:space="preserve"> (%)</w:t>
            </w:r>
          </w:p>
        </w:tc>
        <w:tc>
          <w:tcPr>
            <w:tcW w:w="2247" w:type="dxa"/>
          </w:tcPr>
          <w:p w14:paraId="6875393E"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32,195 (42.5)</w:t>
            </w:r>
          </w:p>
        </w:tc>
        <w:tc>
          <w:tcPr>
            <w:tcW w:w="2368" w:type="dxa"/>
          </w:tcPr>
          <w:p w14:paraId="7421F7B5"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32,195 (42.5)</w:t>
            </w:r>
          </w:p>
        </w:tc>
        <w:tc>
          <w:tcPr>
            <w:tcW w:w="1823" w:type="dxa"/>
          </w:tcPr>
          <w:p w14:paraId="5628C214"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matched</w:t>
            </w:r>
          </w:p>
        </w:tc>
      </w:tr>
      <w:tr w:rsidR="008B47DA" w:rsidRPr="000D29B5" w14:paraId="6E7D89CC" w14:textId="77777777" w:rsidTr="00ED2316">
        <w:tc>
          <w:tcPr>
            <w:tcW w:w="3530" w:type="dxa"/>
            <w:gridSpan w:val="3"/>
          </w:tcPr>
          <w:p w14:paraId="480BE468"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 xml:space="preserve">Geographical region, </w:t>
            </w:r>
            <w:r w:rsidRPr="00ED2316">
              <w:rPr>
                <w:rFonts w:ascii="Times New Roman" w:hAnsi="Times New Roman" w:cs="Times New Roman"/>
                <w:i/>
                <w:sz w:val="20"/>
                <w:szCs w:val="20"/>
              </w:rPr>
              <w:t>n</w:t>
            </w:r>
            <w:r w:rsidRPr="00ED2316">
              <w:rPr>
                <w:rFonts w:ascii="Times New Roman" w:hAnsi="Times New Roman" w:cs="Times New Roman"/>
                <w:sz w:val="20"/>
                <w:szCs w:val="20"/>
              </w:rPr>
              <w:t xml:space="preserve"> (%)</w:t>
            </w:r>
          </w:p>
        </w:tc>
        <w:tc>
          <w:tcPr>
            <w:tcW w:w="2247" w:type="dxa"/>
          </w:tcPr>
          <w:p w14:paraId="0B4650F6" w14:textId="77777777" w:rsidR="008B47DA" w:rsidRPr="00ED2316" w:rsidRDefault="008B47DA" w:rsidP="00ED2316">
            <w:pPr>
              <w:jc w:val="center"/>
              <w:rPr>
                <w:rFonts w:ascii="Times New Roman" w:hAnsi="Times New Roman" w:cs="Times New Roman"/>
                <w:color w:val="FF0000"/>
                <w:sz w:val="20"/>
                <w:szCs w:val="20"/>
              </w:rPr>
            </w:pPr>
          </w:p>
        </w:tc>
        <w:tc>
          <w:tcPr>
            <w:tcW w:w="2368" w:type="dxa"/>
          </w:tcPr>
          <w:p w14:paraId="239CA56A" w14:textId="77777777" w:rsidR="008B47DA" w:rsidRPr="00ED2316" w:rsidRDefault="008B47DA" w:rsidP="00ED2316">
            <w:pPr>
              <w:jc w:val="center"/>
              <w:rPr>
                <w:rFonts w:ascii="Times New Roman" w:hAnsi="Times New Roman" w:cs="Times New Roman"/>
                <w:color w:val="FF0000"/>
                <w:sz w:val="20"/>
                <w:szCs w:val="20"/>
              </w:rPr>
            </w:pPr>
          </w:p>
        </w:tc>
        <w:tc>
          <w:tcPr>
            <w:tcW w:w="1823" w:type="dxa"/>
          </w:tcPr>
          <w:p w14:paraId="4B82A840"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matched</w:t>
            </w:r>
          </w:p>
        </w:tc>
      </w:tr>
      <w:tr w:rsidR="008B47DA" w:rsidRPr="000D29B5" w14:paraId="631DC54E" w14:textId="77777777" w:rsidTr="00ED2316">
        <w:tc>
          <w:tcPr>
            <w:tcW w:w="579" w:type="dxa"/>
          </w:tcPr>
          <w:p w14:paraId="611C3C30" w14:textId="77777777" w:rsidR="008B47DA" w:rsidRPr="00ED2316" w:rsidRDefault="008B47DA" w:rsidP="00ED2316">
            <w:pPr>
              <w:rPr>
                <w:rFonts w:ascii="Times New Roman" w:hAnsi="Times New Roman" w:cs="Times New Roman"/>
                <w:sz w:val="20"/>
                <w:szCs w:val="20"/>
              </w:rPr>
            </w:pPr>
          </w:p>
        </w:tc>
        <w:tc>
          <w:tcPr>
            <w:tcW w:w="2951" w:type="dxa"/>
            <w:gridSpan w:val="2"/>
          </w:tcPr>
          <w:p w14:paraId="133DD8A1"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 xml:space="preserve">London </w:t>
            </w:r>
          </w:p>
        </w:tc>
        <w:tc>
          <w:tcPr>
            <w:tcW w:w="2247" w:type="dxa"/>
          </w:tcPr>
          <w:p w14:paraId="46AC4E23"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6,154 (8.1)</w:t>
            </w:r>
          </w:p>
        </w:tc>
        <w:tc>
          <w:tcPr>
            <w:tcW w:w="2368" w:type="dxa"/>
          </w:tcPr>
          <w:p w14:paraId="5B3E70A7"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6,154 (8.1)</w:t>
            </w:r>
          </w:p>
        </w:tc>
        <w:tc>
          <w:tcPr>
            <w:tcW w:w="1823" w:type="dxa"/>
          </w:tcPr>
          <w:p w14:paraId="05748BA4" w14:textId="77777777" w:rsidR="008B47DA" w:rsidRPr="00ED2316" w:rsidRDefault="008B47DA" w:rsidP="00ED2316">
            <w:pPr>
              <w:jc w:val="center"/>
              <w:rPr>
                <w:rFonts w:ascii="Times New Roman" w:hAnsi="Times New Roman" w:cs="Times New Roman"/>
                <w:sz w:val="20"/>
                <w:szCs w:val="20"/>
              </w:rPr>
            </w:pPr>
          </w:p>
        </w:tc>
      </w:tr>
      <w:tr w:rsidR="008B47DA" w:rsidRPr="000D29B5" w14:paraId="491D3E11" w14:textId="77777777" w:rsidTr="00ED2316">
        <w:tc>
          <w:tcPr>
            <w:tcW w:w="579" w:type="dxa"/>
          </w:tcPr>
          <w:p w14:paraId="08271A0E" w14:textId="77777777" w:rsidR="008B47DA" w:rsidRPr="00ED2316" w:rsidRDefault="008B47DA" w:rsidP="00ED2316">
            <w:pPr>
              <w:rPr>
                <w:rFonts w:ascii="Times New Roman" w:hAnsi="Times New Roman" w:cs="Times New Roman"/>
                <w:sz w:val="20"/>
                <w:szCs w:val="20"/>
              </w:rPr>
            </w:pPr>
          </w:p>
        </w:tc>
        <w:tc>
          <w:tcPr>
            <w:tcW w:w="2951" w:type="dxa"/>
            <w:gridSpan w:val="2"/>
          </w:tcPr>
          <w:p w14:paraId="5F1F40F5"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South</w:t>
            </w:r>
          </w:p>
        </w:tc>
        <w:tc>
          <w:tcPr>
            <w:tcW w:w="2247" w:type="dxa"/>
          </w:tcPr>
          <w:p w14:paraId="4D0BE7D8"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19,592 (25.9)</w:t>
            </w:r>
          </w:p>
        </w:tc>
        <w:tc>
          <w:tcPr>
            <w:tcW w:w="2368" w:type="dxa"/>
          </w:tcPr>
          <w:p w14:paraId="5CCA3870"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19,592 (25.9)</w:t>
            </w:r>
          </w:p>
        </w:tc>
        <w:tc>
          <w:tcPr>
            <w:tcW w:w="1823" w:type="dxa"/>
          </w:tcPr>
          <w:p w14:paraId="54E3FAE6" w14:textId="77777777" w:rsidR="008B47DA" w:rsidRPr="00ED2316" w:rsidRDefault="008B47DA" w:rsidP="00ED2316">
            <w:pPr>
              <w:jc w:val="center"/>
              <w:rPr>
                <w:rFonts w:ascii="Times New Roman" w:hAnsi="Times New Roman" w:cs="Times New Roman"/>
                <w:sz w:val="20"/>
                <w:szCs w:val="20"/>
              </w:rPr>
            </w:pPr>
          </w:p>
        </w:tc>
      </w:tr>
      <w:tr w:rsidR="008B47DA" w:rsidRPr="000D29B5" w14:paraId="54EC56A3" w14:textId="77777777" w:rsidTr="00ED2316">
        <w:tc>
          <w:tcPr>
            <w:tcW w:w="579" w:type="dxa"/>
          </w:tcPr>
          <w:p w14:paraId="01E2FD54" w14:textId="77777777" w:rsidR="008B47DA" w:rsidRPr="00ED2316" w:rsidRDefault="008B47DA" w:rsidP="00ED2316">
            <w:pPr>
              <w:rPr>
                <w:rFonts w:ascii="Times New Roman" w:hAnsi="Times New Roman" w:cs="Times New Roman"/>
                <w:sz w:val="20"/>
                <w:szCs w:val="20"/>
              </w:rPr>
            </w:pPr>
          </w:p>
        </w:tc>
        <w:tc>
          <w:tcPr>
            <w:tcW w:w="2951" w:type="dxa"/>
            <w:gridSpan w:val="2"/>
          </w:tcPr>
          <w:p w14:paraId="7C1D293F"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Midlands and East</w:t>
            </w:r>
          </w:p>
        </w:tc>
        <w:tc>
          <w:tcPr>
            <w:tcW w:w="2247" w:type="dxa"/>
          </w:tcPr>
          <w:p w14:paraId="05C45CC4"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24,219 (32.0)</w:t>
            </w:r>
          </w:p>
        </w:tc>
        <w:tc>
          <w:tcPr>
            <w:tcW w:w="2368" w:type="dxa"/>
          </w:tcPr>
          <w:p w14:paraId="59276D72"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24,219 (32.0)</w:t>
            </w:r>
          </w:p>
        </w:tc>
        <w:tc>
          <w:tcPr>
            <w:tcW w:w="1823" w:type="dxa"/>
          </w:tcPr>
          <w:p w14:paraId="589E88A0" w14:textId="77777777" w:rsidR="008B47DA" w:rsidRPr="00ED2316" w:rsidRDefault="008B47DA" w:rsidP="00ED2316">
            <w:pPr>
              <w:jc w:val="center"/>
              <w:rPr>
                <w:rFonts w:ascii="Times New Roman" w:hAnsi="Times New Roman" w:cs="Times New Roman"/>
                <w:sz w:val="20"/>
                <w:szCs w:val="20"/>
              </w:rPr>
            </w:pPr>
          </w:p>
        </w:tc>
      </w:tr>
      <w:tr w:rsidR="008B47DA" w:rsidRPr="000D29B5" w14:paraId="0BCBCA5B" w14:textId="77777777" w:rsidTr="00ED2316">
        <w:tc>
          <w:tcPr>
            <w:tcW w:w="579" w:type="dxa"/>
          </w:tcPr>
          <w:p w14:paraId="09C4965E" w14:textId="77777777" w:rsidR="008B47DA" w:rsidRPr="00ED2316" w:rsidRDefault="008B47DA" w:rsidP="00ED2316">
            <w:pPr>
              <w:rPr>
                <w:rFonts w:ascii="Times New Roman" w:hAnsi="Times New Roman" w:cs="Times New Roman"/>
                <w:sz w:val="20"/>
                <w:szCs w:val="20"/>
              </w:rPr>
            </w:pPr>
          </w:p>
        </w:tc>
        <w:tc>
          <w:tcPr>
            <w:tcW w:w="2951" w:type="dxa"/>
            <w:gridSpan w:val="2"/>
          </w:tcPr>
          <w:p w14:paraId="55C93DE2"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North</w:t>
            </w:r>
          </w:p>
        </w:tc>
        <w:tc>
          <w:tcPr>
            <w:tcW w:w="2247" w:type="dxa"/>
          </w:tcPr>
          <w:p w14:paraId="2457E79C"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25,733 (34.0)</w:t>
            </w:r>
          </w:p>
        </w:tc>
        <w:tc>
          <w:tcPr>
            <w:tcW w:w="2368" w:type="dxa"/>
          </w:tcPr>
          <w:p w14:paraId="5B5D23B6"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25,733 (34.0)</w:t>
            </w:r>
          </w:p>
        </w:tc>
        <w:tc>
          <w:tcPr>
            <w:tcW w:w="1823" w:type="dxa"/>
          </w:tcPr>
          <w:p w14:paraId="1F2FE75E" w14:textId="77777777" w:rsidR="008B47DA" w:rsidRPr="00ED2316" w:rsidRDefault="008B47DA" w:rsidP="00ED2316">
            <w:pPr>
              <w:jc w:val="center"/>
              <w:rPr>
                <w:rFonts w:ascii="Times New Roman" w:hAnsi="Times New Roman" w:cs="Times New Roman"/>
                <w:sz w:val="20"/>
                <w:szCs w:val="20"/>
              </w:rPr>
            </w:pPr>
          </w:p>
        </w:tc>
      </w:tr>
      <w:tr w:rsidR="008B47DA" w:rsidRPr="000D29B5" w14:paraId="4A2F77FF" w14:textId="77777777" w:rsidTr="00ED2316">
        <w:tc>
          <w:tcPr>
            <w:tcW w:w="3530" w:type="dxa"/>
            <w:gridSpan w:val="3"/>
          </w:tcPr>
          <w:p w14:paraId="241ECA4B"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 xml:space="preserve">Smoking, </w:t>
            </w:r>
            <w:r w:rsidRPr="00ED2316">
              <w:rPr>
                <w:rFonts w:ascii="Times New Roman" w:hAnsi="Times New Roman" w:cs="Times New Roman"/>
                <w:i/>
                <w:sz w:val="20"/>
                <w:szCs w:val="20"/>
              </w:rPr>
              <w:t>n</w:t>
            </w:r>
            <w:r w:rsidRPr="00ED2316">
              <w:rPr>
                <w:rFonts w:ascii="Times New Roman" w:hAnsi="Times New Roman" w:cs="Times New Roman"/>
                <w:sz w:val="20"/>
                <w:szCs w:val="20"/>
              </w:rPr>
              <w:t xml:space="preserve"> (%)</w:t>
            </w:r>
          </w:p>
        </w:tc>
        <w:tc>
          <w:tcPr>
            <w:tcW w:w="2247" w:type="dxa"/>
          </w:tcPr>
          <w:p w14:paraId="4C4372CA" w14:textId="77777777" w:rsidR="008B47DA" w:rsidRPr="00ED2316" w:rsidRDefault="008B47DA" w:rsidP="00ED2316">
            <w:pPr>
              <w:jc w:val="center"/>
              <w:rPr>
                <w:rFonts w:ascii="Times New Roman" w:hAnsi="Times New Roman" w:cs="Times New Roman"/>
                <w:color w:val="FF0000"/>
                <w:sz w:val="20"/>
                <w:szCs w:val="20"/>
              </w:rPr>
            </w:pPr>
          </w:p>
        </w:tc>
        <w:tc>
          <w:tcPr>
            <w:tcW w:w="2368" w:type="dxa"/>
          </w:tcPr>
          <w:p w14:paraId="52979D87" w14:textId="77777777" w:rsidR="008B47DA" w:rsidRPr="00ED2316" w:rsidRDefault="008B47DA" w:rsidP="00ED2316">
            <w:pPr>
              <w:jc w:val="center"/>
              <w:rPr>
                <w:rFonts w:ascii="Times New Roman" w:hAnsi="Times New Roman" w:cs="Times New Roman"/>
                <w:color w:val="FF0000"/>
                <w:sz w:val="20"/>
                <w:szCs w:val="20"/>
              </w:rPr>
            </w:pPr>
          </w:p>
        </w:tc>
        <w:tc>
          <w:tcPr>
            <w:tcW w:w="1823" w:type="dxa"/>
          </w:tcPr>
          <w:p w14:paraId="1D831E56" w14:textId="4D74C061"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i/>
                <w:sz w:val="20"/>
                <w:szCs w:val="20"/>
              </w:rPr>
              <w:t>p</w:t>
            </w:r>
            <w:r w:rsidRPr="00ED2316">
              <w:rPr>
                <w:rFonts w:ascii="Times New Roman" w:hAnsi="Times New Roman" w:cs="Times New Roman"/>
                <w:sz w:val="20"/>
                <w:szCs w:val="20"/>
              </w:rPr>
              <w:t xml:space="preserve"> &lt; 0.0</w:t>
            </w:r>
            <w:r w:rsidR="001B5E64" w:rsidRPr="00ED2316">
              <w:rPr>
                <w:rFonts w:ascii="Times New Roman" w:hAnsi="Times New Roman" w:cs="Times New Roman"/>
                <w:sz w:val="20"/>
                <w:szCs w:val="20"/>
              </w:rPr>
              <w:t>0</w:t>
            </w:r>
            <w:r w:rsidRPr="00ED2316">
              <w:rPr>
                <w:rFonts w:ascii="Times New Roman" w:hAnsi="Times New Roman" w:cs="Times New Roman"/>
                <w:sz w:val="20"/>
                <w:szCs w:val="20"/>
              </w:rPr>
              <w:t>1</w:t>
            </w:r>
          </w:p>
        </w:tc>
      </w:tr>
      <w:tr w:rsidR="008B47DA" w:rsidRPr="000D29B5" w14:paraId="21486C7C" w14:textId="77777777" w:rsidTr="00ED2316">
        <w:tc>
          <w:tcPr>
            <w:tcW w:w="579" w:type="dxa"/>
          </w:tcPr>
          <w:p w14:paraId="1A1B58AA" w14:textId="77777777" w:rsidR="008B47DA" w:rsidRPr="00ED2316" w:rsidRDefault="008B47DA" w:rsidP="00ED2316">
            <w:pPr>
              <w:rPr>
                <w:rFonts w:ascii="Times New Roman" w:hAnsi="Times New Roman" w:cs="Times New Roman"/>
                <w:sz w:val="20"/>
                <w:szCs w:val="20"/>
              </w:rPr>
            </w:pPr>
          </w:p>
        </w:tc>
        <w:tc>
          <w:tcPr>
            <w:tcW w:w="2951" w:type="dxa"/>
            <w:gridSpan w:val="2"/>
          </w:tcPr>
          <w:p w14:paraId="2625423C"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Non smoker</w:t>
            </w:r>
          </w:p>
        </w:tc>
        <w:tc>
          <w:tcPr>
            <w:tcW w:w="2247" w:type="dxa"/>
          </w:tcPr>
          <w:p w14:paraId="7E6AAE6B"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40,436 (53.4)</w:t>
            </w:r>
          </w:p>
        </w:tc>
        <w:tc>
          <w:tcPr>
            <w:tcW w:w="2368" w:type="dxa"/>
          </w:tcPr>
          <w:p w14:paraId="5DB228AB"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42,632 (56.3)</w:t>
            </w:r>
          </w:p>
        </w:tc>
        <w:tc>
          <w:tcPr>
            <w:tcW w:w="1823" w:type="dxa"/>
          </w:tcPr>
          <w:p w14:paraId="16CF143F" w14:textId="77777777" w:rsidR="008B47DA" w:rsidRPr="00ED2316" w:rsidRDefault="008B47DA" w:rsidP="00ED2316">
            <w:pPr>
              <w:jc w:val="center"/>
              <w:rPr>
                <w:rFonts w:ascii="Times New Roman" w:hAnsi="Times New Roman" w:cs="Times New Roman"/>
                <w:sz w:val="20"/>
                <w:szCs w:val="20"/>
              </w:rPr>
            </w:pPr>
          </w:p>
        </w:tc>
      </w:tr>
      <w:tr w:rsidR="008B47DA" w:rsidRPr="000D29B5" w14:paraId="067711D4" w14:textId="77777777" w:rsidTr="00ED2316">
        <w:tc>
          <w:tcPr>
            <w:tcW w:w="579" w:type="dxa"/>
          </w:tcPr>
          <w:p w14:paraId="7276A257" w14:textId="77777777" w:rsidR="008B47DA" w:rsidRPr="00ED2316" w:rsidRDefault="008B47DA" w:rsidP="00ED2316">
            <w:pPr>
              <w:rPr>
                <w:rFonts w:ascii="Times New Roman" w:hAnsi="Times New Roman" w:cs="Times New Roman"/>
                <w:sz w:val="20"/>
                <w:szCs w:val="20"/>
              </w:rPr>
            </w:pPr>
          </w:p>
        </w:tc>
        <w:tc>
          <w:tcPr>
            <w:tcW w:w="2951" w:type="dxa"/>
            <w:gridSpan w:val="2"/>
          </w:tcPr>
          <w:p w14:paraId="4C3EE6E1"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Ever smoker</w:t>
            </w:r>
          </w:p>
        </w:tc>
        <w:tc>
          <w:tcPr>
            <w:tcW w:w="2247" w:type="dxa"/>
          </w:tcPr>
          <w:p w14:paraId="242C2892"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24,740 (32.7)</w:t>
            </w:r>
          </w:p>
        </w:tc>
        <w:tc>
          <w:tcPr>
            <w:tcW w:w="2368" w:type="dxa"/>
          </w:tcPr>
          <w:p w14:paraId="4D1D32EB"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19,143 (25.3)</w:t>
            </w:r>
          </w:p>
        </w:tc>
        <w:tc>
          <w:tcPr>
            <w:tcW w:w="1823" w:type="dxa"/>
          </w:tcPr>
          <w:p w14:paraId="74373EF4" w14:textId="77777777" w:rsidR="008B47DA" w:rsidRPr="00ED2316" w:rsidRDefault="008B47DA" w:rsidP="00ED2316">
            <w:pPr>
              <w:jc w:val="center"/>
              <w:rPr>
                <w:rFonts w:ascii="Times New Roman" w:hAnsi="Times New Roman" w:cs="Times New Roman"/>
                <w:sz w:val="20"/>
                <w:szCs w:val="20"/>
              </w:rPr>
            </w:pPr>
          </w:p>
        </w:tc>
      </w:tr>
      <w:tr w:rsidR="008B47DA" w:rsidRPr="000D29B5" w14:paraId="57CD78FD" w14:textId="77777777" w:rsidTr="00ED2316">
        <w:tc>
          <w:tcPr>
            <w:tcW w:w="579" w:type="dxa"/>
          </w:tcPr>
          <w:p w14:paraId="20F396CF" w14:textId="77777777" w:rsidR="008B47DA" w:rsidRPr="00ED2316" w:rsidRDefault="008B47DA" w:rsidP="00ED2316">
            <w:pPr>
              <w:rPr>
                <w:rFonts w:ascii="Times New Roman" w:hAnsi="Times New Roman" w:cs="Times New Roman"/>
                <w:sz w:val="20"/>
                <w:szCs w:val="20"/>
              </w:rPr>
            </w:pPr>
          </w:p>
        </w:tc>
        <w:tc>
          <w:tcPr>
            <w:tcW w:w="2951" w:type="dxa"/>
            <w:gridSpan w:val="2"/>
          </w:tcPr>
          <w:p w14:paraId="3BED3DCB"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Unknown</w:t>
            </w:r>
          </w:p>
        </w:tc>
        <w:tc>
          <w:tcPr>
            <w:tcW w:w="2247" w:type="dxa"/>
          </w:tcPr>
          <w:p w14:paraId="1768703D"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10,522 (13.9)</w:t>
            </w:r>
          </w:p>
        </w:tc>
        <w:tc>
          <w:tcPr>
            <w:tcW w:w="2368" w:type="dxa"/>
          </w:tcPr>
          <w:p w14:paraId="1CA67F52"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13,923 (18.4)</w:t>
            </w:r>
          </w:p>
        </w:tc>
        <w:tc>
          <w:tcPr>
            <w:tcW w:w="1823" w:type="dxa"/>
          </w:tcPr>
          <w:p w14:paraId="3A6F383E" w14:textId="77777777" w:rsidR="008B47DA" w:rsidRPr="00ED2316" w:rsidRDefault="008B47DA" w:rsidP="00ED2316">
            <w:pPr>
              <w:jc w:val="center"/>
              <w:rPr>
                <w:rFonts w:ascii="Times New Roman" w:hAnsi="Times New Roman" w:cs="Times New Roman"/>
                <w:sz w:val="20"/>
                <w:szCs w:val="20"/>
              </w:rPr>
            </w:pPr>
          </w:p>
        </w:tc>
      </w:tr>
      <w:tr w:rsidR="008B47DA" w:rsidRPr="000D29B5" w14:paraId="79E1DC7F" w14:textId="77777777" w:rsidTr="00ED2316">
        <w:tc>
          <w:tcPr>
            <w:tcW w:w="3530" w:type="dxa"/>
            <w:gridSpan w:val="3"/>
          </w:tcPr>
          <w:p w14:paraId="00A77348"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 xml:space="preserve">Alcohol consumption, </w:t>
            </w:r>
            <w:r w:rsidRPr="00ED2316">
              <w:rPr>
                <w:rFonts w:ascii="Times New Roman" w:hAnsi="Times New Roman" w:cs="Times New Roman"/>
                <w:i/>
                <w:sz w:val="20"/>
                <w:szCs w:val="20"/>
              </w:rPr>
              <w:t>n</w:t>
            </w:r>
            <w:r w:rsidRPr="00ED2316">
              <w:rPr>
                <w:rFonts w:ascii="Times New Roman" w:hAnsi="Times New Roman" w:cs="Times New Roman"/>
                <w:sz w:val="20"/>
                <w:szCs w:val="20"/>
              </w:rPr>
              <w:t xml:space="preserve"> (%)</w:t>
            </w:r>
          </w:p>
        </w:tc>
        <w:tc>
          <w:tcPr>
            <w:tcW w:w="2247" w:type="dxa"/>
          </w:tcPr>
          <w:p w14:paraId="32FE3DD1" w14:textId="77777777" w:rsidR="008B47DA" w:rsidRPr="00ED2316" w:rsidRDefault="008B47DA" w:rsidP="00ED2316">
            <w:pPr>
              <w:jc w:val="center"/>
              <w:rPr>
                <w:rFonts w:ascii="Times New Roman" w:hAnsi="Times New Roman" w:cs="Times New Roman"/>
                <w:sz w:val="20"/>
                <w:szCs w:val="20"/>
              </w:rPr>
            </w:pPr>
          </w:p>
        </w:tc>
        <w:tc>
          <w:tcPr>
            <w:tcW w:w="2368" w:type="dxa"/>
          </w:tcPr>
          <w:p w14:paraId="5E96384B" w14:textId="77777777" w:rsidR="008B47DA" w:rsidRPr="00ED2316" w:rsidRDefault="008B47DA" w:rsidP="00ED2316">
            <w:pPr>
              <w:jc w:val="center"/>
              <w:rPr>
                <w:rFonts w:ascii="Times New Roman" w:hAnsi="Times New Roman" w:cs="Times New Roman"/>
                <w:sz w:val="20"/>
                <w:szCs w:val="20"/>
              </w:rPr>
            </w:pPr>
          </w:p>
        </w:tc>
        <w:tc>
          <w:tcPr>
            <w:tcW w:w="1823" w:type="dxa"/>
          </w:tcPr>
          <w:p w14:paraId="43FA7185" w14:textId="130521E2"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i/>
                <w:sz w:val="20"/>
                <w:szCs w:val="20"/>
              </w:rPr>
              <w:t>p</w:t>
            </w:r>
            <w:r w:rsidRPr="00ED2316">
              <w:rPr>
                <w:rFonts w:ascii="Times New Roman" w:hAnsi="Times New Roman" w:cs="Times New Roman"/>
                <w:sz w:val="20"/>
                <w:szCs w:val="20"/>
              </w:rPr>
              <w:t xml:space="preserve"> &lt; 0.0</w:t>
            </w:r>
            <w:r w:rsidR="001B5E64" w:rsidRPr="00ED2316">
              <w:rPr>
                <w:rFonts w:ascii="Times New Roman" w:hAnsi="Times New Roman" w:cs="Times New Roman"/>
                <w:sz w:val="20"/>
                <w:szCs w:val="20"/>
              </w:rPr>
              <w:t>0</w:t>
            </w:r>
            <w:r w:rsidRPr="00ED2316">
              <w:rPr>
                <w:rFonts w:ascii="Times New Roman" w:hAnsi="Times New Roman" w:cs="Times New Roman"/>
                <w:sz w:val="20"/>
                <w:szCs w:val="20"/>
              </w:rPr>
              <w:t>1</w:t>
            </w:r>
          </w:p>
        </w:tc>
      </w:tr>
      <w:tr w:rsidR="008B47DA" w:rsidRPr="000D29B5" w14:paraId="4BCDC829" w14:textId="77777777" w:rsidTr="00ED2316">
        <w:tc>
          <w:tcPr>
            <w:tcW w:w="579" w:type="dxa"/>
          </w:tcPr>
          <w:p w14:paraId="68D4E487" w14:textId="77777777" w:rsidR="008B47DA" w:rsidRPr="00ED2316" w:rsidRDefault="008B47DA" w:rsidP="00ED2316">
            <w:pPr>
              <w:rPr>
                <w:rFonts w:ascii="Times New Roman" w:hAnsi="Times New Roman" w:cs="Times New Roman"/>
                <w:sz w:val="20"/>
                <w:szCs w:val="20"/>
              </w:rPr>
            </w:pPr>
          </w:p>
        </w:tc>
        <w:tc>
          <w:tcPr>
            <w:tcW w:w="2951" w:type="dxa"/>
            <w:gridSpan w:val="2"/>
          </w:tcPr>
          <w:p w14:paraId="4A4FFA91"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Non drinker</w:t>
            </w:r>
          </w:p>
        </w:tc>
        <w:tc>
          <w:tcPr>
            <w:tcW w:w="2247" w:type="dxa"/>
          </w:tcPr>
          <w:p w14:paraId="794C5940"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8,623 (11.4)</w:t>
            </w:r>
          </w:p>
        </w:tc>
        <w:tc>
          <w:tcPr>
            <w:tcW w:w="2368" w:type="dxa"/>
          </w:tcPr>
          <w:p w14:paraId="0108DE85"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7,425 (9.8)</w:t>
            </w:r>
          </w:p>
        </w:tc>
        <w:tc>
          <w:tcPr>
            <w:tcW w:w="1823" w:type="dxa"/>
          </w:tcPr>
          <w:p w14:paraId="4C4D47F1" w14:textId="77777777" w:rsidR="008B47DA" w:rsidRPr="00ED2316" w:rsidRDefault="008B47DA" w:rsidP="00ED2316">
            <w:pPr>
              <w:jc w:val="center"/>
              <w:rPr>
                <w:rFonts w:ascii="Times New Roman" w:hAnsi="Times New Roman" w:cs="Times New Roman"/>
                <w:sz w:val="20"/>
                <w:szCs w:val="20"/>
              </w:rPr>
            </w:pPr>
          </w:p>
        </w:tc>
      </w:tr>
      <w:tr w:rsidR="008B47DA" w:rsidRPr="000D29B5" w14:paraId="392C0C97" w14:textId="77777777" w:rsidTr="00ED2316">
        <w:tc>
          <w:tcPr>
            <w:tcW w:w="579" w:type="dxa"/>
          </w:tcPr>
          <w:p w14:paraId="3084A982" w14:textId="77777777" w:rsidR="008B47DA" w:rsidRPr="00ED2316" w:rsidRDefault="008B47DA" w:rsidP="00ED2316">
            <w:pPr>
              <w:rPr>
                <w:rFonts w:ascii="Times New Roman" w:hAnsi="Times New Roman" w:cs="Times New Roman"/>
                <w:sz w:val="20"/>
                <w:szCs w:val="20"/>
              </w:rPr>
            </w:pPr>
          </w:p>
        </w:tc>
        <w:tc>
          <w:tcPr>
            <w:tcW w:w="2951" w:type="dxa"/>
            <w:gridSpan w:val="2"/>
          </w:tcPr>
          <w:p w14:paraId="6C67A72E"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Ever drinker</w:t>
            </w:r>
          </w:p>
        </w:tc>
        <w:tc>
          <w:tcPr>
            <w:tcW w:w="2247" w:type="dxa"/>
          </w:tcPr>
          <w:p w14:paraId="5F859070"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54,991 (72.7)</w:t>
            </w:r>
          </w:p>
        </w:tc>
        <w:tc>
          <w:tcPr>
            <w:tcW w:w="2368" w:type="dxa"/>
          </w:tcPr>
          <w:p w14:paraId="2202F4C7"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52,197 (69.0)</w:t>
            </w:r>
          </w:p>
        </w:tc>
        <w:tc>
          <w:tcPr>
            <w:tcW w:w="1823" w:type="dxa"/>
          </w:tcPr>
          <w:p w14:paraId="667532D5" w14:textId="77777777" w:rsidR="008B47DA" w:rsidRPr="00ED2316" w:rsidRDefault="008B47DA" w:rsidP="00ED2316">
            <w:pPr>
              <w:jc w:val="center"/>
              <w:rPr>
                <w:rFonts w:ascii="Times New Roman" w:hAnsi="Times New Roman" w:cs="Times New Roman"/>
                <w:sz w:val="20"/>
                <w:szCs w:val="20"/>
              </w:rPr>
            </w:pPr>
          </w:p>
        </w:tc>
      </w:tr>
      <w:tr w:rsidR="008B47DA" w:rsidRPr="000D29B5" w14:paraId="53592143" w14:textId="77777777" w:rsidTr="00ED2316">
        <w:tc>
          <w:tcPr>
            <w:tcW w:w="579" w:type="dxa"/>
          </w:tcPr>
          <w:p w14:paraId="69EBD651" w14:textId="77777777" w:rsidR="008B47DA" w:rsidRPr="00ED2316" w:rsidRDefault="008B47DA" w:rsidP="00ED2316">
            <w:pPr>
              <w:rPr>
                <w:rFonts w:ascii="Times New Roman" w:hAnsi="Times New Roman" w:cs="Times New Roman"/>
                <w:sz w:val="20"/>
                <w:szCs w:val="20"/>
              </w:rPr>
            </w:pPr>
          </w:p>
        </w:tc>
        <w:tc>
          <w:tcPr>
            <w:tcW w:w="2951" w:type="dxa"/>
            <w:gridSpan w:val="2"/>
          </w:tcPr>
          <w:p w14:paraId="1789DCFC"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Unknown</w:t>
            </w:r>
          </w:p>
        </w:tc>
        <w:tc>
          <w:tcPr>
            <w:tcW w:w="2247" w:type="dxa"/>
          </w:tcPr>
          <w:p w14:paraId="1EEF772E"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12,084 (16.0)</w:t>
            </w:r>
          </w:p>
        </w:tc>
        <w:tc>
          <w:tcPr>
            <w:tcW w:w="2368" w:type="dxa"/>
          </w:tcPr>
          <w:p w14:paraId="63BBEC10"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16,076 (21.2)</w:t>
            </w:r>
          </w:p>
        </w:tc>
        <w:tc>
          <w:tcPr>
            <w:tcW w:w="1823" w:type="dxa"/>
          </w:tcPr>
          <w:p w14:paraId="3B5BFF2C" w14:textId="77777777" w:rsidR="008B47DA" w:rsidRPr="00ED2316" w:rsidRDefault="008B47DA" w:rsidP="00ED2316">
            <w:pPr>
              <w:jc w:val="center"/>
              <w:rPr>
                <w:rFonts w:ascii="Times New Roman" w:hAnsi="Times New Roman" w:cs="Times New Roman"/>
                <w:sz w:val="20"/>
                <w:szCs w:val="20"/>
              </w:rPr>
            </w:pPr>
          </w:p>
        </w:tc>
      </w:tr>
      <w:tr w:rsidR="008B47DA" w:rsidRPr="000D29B5" w14:paraId="1ED892D1" w14:textId="77777777" w:rsidTr="00ED2316">
        <w:tc>
          <w:tcPr>
            <w:tcW w:w="3530" w:type="dxa"/>
            <w:gridSpan w:val="3"/>
          </w:tcPr>
          <w:p w14:paraId="1D5DDEDC"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 xml:space="preserve">Body mass index, </w:t>
            </w:r>
            <w:r w:rsidRPr="00ED2316">
              <w:rPr>
                <w:rFonts w:ascii="Times New Roman" w:hAnsi="Times New Roman" w:cs="Times New Roman"/>
                <w:i/>
                <w:sz w:val="20"/>
                <w:szCs w:val="20"/>
              </w:rPr>
              <w:t>n</w:t>
            </w:r>
            <w:r w:rsidRPr="00ED2316">
              <w:rPr>
                <w:rFonts w:ascii="Times New Roman" w:hAnsi="Times New Roman" w:cs="Times New Roman"/>
                <w:sz w:val="20"/>
                <w:szCs w:val="20"/>
              </w:rPr>
              <w:t xml:space="preserve"> (%) </w:t>
            </w:r>
          </w:p>
        </w:tc>
        <w:tc>
          <w:tcPr>
            <w:tcW w:w="2247" w:type="dxa"/>
          </w:tcPr>
          <w:p w14:paraId="353B5765" w14:textId="77777777" w:rsidR="008B47DA" w:rsidRPr="00ED2316" w:rsidRDefault="008B47DA" w:rsidP="00ED2316">
            <w:pPr>
              <w:jc w:val="center"/>
              <w:rPr>
                <w:rFonts w:ascii="Times New Roman" w:hAnsi="Times New Roman" w:cs="Times New Roman"/>
                <w:sz w:val="20"/>
                <w:szCs w:val="20"/>
              </w:rPr>
            </w:pPr>
          </w:p>
        </w:tc>
        <w:tc>
          <w:tcPr>
            <w:tcW w:w="2368" w:type="dxa"/>
          </w:tcPr>
          <w:p w14:paraId="40947D61" w14:textId="77777777" w:rsidR="008B47DA" w:rsidRPr="00ED2316" w:rsidRDefault="008B47DA" w:rsidP="00ED2316">
            <w:pPr>
              <w:jc w:val="center"/>
              <w:rPr>
                <w:rFonts w:ascii="Times New Roman" w:hAnsi="Times New Roman" w:cs="Times New Roman"/>
                <w:sz w:val="20"/>
                <w:szCs w:val="20"/>
              </w:rPr>
            </w:pPr>
          </w:p>
        </w:tc>
        <w:tc>
          <w:tcPr>
            <w:tcW w:w="1823" w:type="dxa"/>
          </w:tcPr>
          <w:p w14:paraId="1B9ADB37" w14:textId="46F18A02"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i/>
                <w:sz w:val="20"/>
                <w:szCs w:val="20"/>
              </w:rPr>
              <w:t>p</w:t>
            </w:r>
            <w:r w:rsidRPr="00ED2316">
              <w:rPr>
                <w:rFonts w:ascii="Times New Roman" w:hAnsi="Times New Roman" w:cs="Times New Roman"/>
                <w:sz w:val="20"/>
                <w:szCs w:val="20"/>
              </w:rPr>
              <w:t xml:space="preserve"> &lt; 0.0</w:t>
            </w:r>
            <w:r w:rsidR="00B80289" w:rsidRPr="00ED2316">
              <w:rPr>
                <w:rFonts w:ascii="Times New Roman" w:hAnsi="Times New Roman" w:cs="Times New Roman"/>
                <w:sz w:val="20"/>
                <w:szCs w:val="20"/>
              </w:rPr>
              <w:t>0</w:t>
            </w:r>
            <w:r w:rsidRPr="00ED2316">
              <w:rPr>
                <w:rFonts w:ascii="Times New Roman" w:hAnsi="Times New Roman" w:cs="Times New Roman"/>
                <w:sz w:val="20"/>
                <w:szCs w:val="20"/>
              </w:rPr>
              <w:t>1</w:t>
            </w:r>
          </w:p>
        </w:tc>
      </w:tr>
      <w:tr w:rsidR="008B47DA" w:rsidRPr="000D29B5" w14:paraId="5AFB8983" w14:textId="77777777" w:rsidTr="00ED2316">
        <w:tc>
          <w:tcPr>
            <w:tcW w:w="579" w:type="dxa"/>
          </w:tcPr>
          <w:p w14:paraId="75851A7D" w14:textId="77777777" w:rsidR="008B47DA" w:rsidRPr="00ED2316" w:rsidRDefault="008B47DA" w:rsidP="00ED2316">
            <w:pPr>
              <w:rPr>
                <w:rFonts w:ascii="Times New Roman" w:hAnsi="Times New Roman" w:cs="Times New Roman"/>
                <w:sz w:val="20"/>
                <w:szCs w:val="20"/>
              </w:rPr>
            </w:pPr>
          </w:p>
        </w:tc>
        <w:tc>
          <w:tcPr>
            <w:tcW w:w="2951" w:type="dxa"/>
            <w:gridSpan w:val="2"/>
          </w:tcPr>
          <w:p w14:paraId="0E5620F4"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&lt; 25 kg/m</w:t>
            </w:r>
            <w:r w:rsidRPr="00ED2316">
              <w:rPr>
                <w:rFonts w:ascii="Times New Roman" w:hAnsi="Times New Roman" w:cs="Times New Roman"/>
                <w:sz w:val="20"/>
                <w:szCs w:val="20"/>
                <w:vertAlign w:val="superscript"/>
              </w:rPr>
              <w:t>2</w:t>
            </w:r>
          </w:p>
        </w:tc>
        <w:tc>
          <w:tcPr>
            <w:tcW w:w="2247" w:type="dxa"/>
          </w:tcPr>
          <w:p w14:paraId="193AE791"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23,901 (31.6)</w:t>
            </w:r>
          </w:p>
        </w:tc>
        <w:tc>
          <w:tcPr>
            <w:tcW w:w="2368" w:type="dxa"/>
          </w:tcPr>
          <w:p w14:paraId="03D25EA0"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27,054 (35.7)</w:t>
            </w:r>
          </w:p>
        </w:tc>
        <w:tc>
          <w:tcPr>
            <w:tcW w:w="1823" w:type="dxa"/>
          </w:tcPr>
          <w:p w14:paraId="3884D566" w14:textId="77777777" w:rsidR="008B47DA" w:rsidRPr="00ED2316" w:rsidRDefault="008B47DA" w:rsidP="00ED2316">
            <w:pPr>
              <w:jc w:val="center"/>
              <w:rPr>
                <w:rFonts w:ascii="Times New Roman" w:hAnsi="Times New Roman" w:cs="Times New Roman"/>
                <w:sz w:val="20"/>
                <w:szCs w:val="20"/>
              </w:rPr>
            </w:pPr>
          </w:p>
        </w:tc>
      </w:tr>
      <w:tr w:rsidR="008B47DA" w:rsidRPr="000D29B5" w14:paraId="7A9A4544" w14:textId="77777777" w:rsidTr="00ED2316">
        <w:tc>
          <w:tcPr>
            <w:tcW w:w="579" w:type="dxa"/>
          </w:tcPr>
          <w:p w14:paraId="7ED75029" w14:textId="77777777" w:rsidR="008B47DA" w:rsidRPr="00ED2316" w:rsidRDefault="008B47DA" w:rsidP="00ED2316">
            <w:pPr>
              <w:rPr>
                <w:rFonts w:ascii="Times New Roman" w:hAnsi="Times New Roman" w:cs="Times New Roman"/>
                <w:sz w:val="20"/>
                <w:szCs w:val="20"/>
              </w:rPr>
            </w:pPr>
          </w:p>
        </w:tc>
        <w:tc>
          <w:tcPr>
            <w:tcW w:w="2951" w:type="dxa"/>
            <w:gridSpan w:val="2"/>
          </w:tcPr>
          <w:p w14:paraId="252B327A"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 25 kg/m</w:t>
            </w:r>
            <w:r w:rsidRPr="00ED2316">
              <w:rPr>
                <w:rFonts w:ascii="Times New Roman" w:hAnsi="Times New Roman" w:cs="Times New Roman"/>
                <w:sz w:val="20"/>
                <w:szCs w:val="20"/>
                <w:vertAlign w:val="superscript"/>
              </w:rPr>
              <w:t>2</w:t>
            </w:r>
          </w:p>
        </w:tc>
        <w:tc>
          <w:tcPr>
            <w:tcW w:w="2247" w:type="dxa"/>
          </w:tcPr>
          <w:p w14:paraId="053C3649"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39,854 (52.7)</w:t>
            </w:r>
          </w:p>
        </w:tc>
        <w:tc>
          <w:tcPr>
            <w:tcW w:w="2368" w:type="dxa"/>
          </w:tcPr>
          <w:p w14:paraId="71FB3854"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32,194 (42.5)</w:t>
            </w:r>
          </w:p>
        </w:tc>
        <w:tc>
          <w:tcPr>
            <w:tcW w:w="1823" w:type="dxa"/>
          </w:tcPr>
          <w:p w14:paraId="4DACD5FE" w14:textId="77777777" w:rsidR="008B47DA" w:rsidRPr="00ED2316" w:rsidRDefault="008B47DA" w:rsidP="00ED2316">
            <w:pPr>
              <w:jc w:val="center"/>
              <w:rPr>
                <w:rFonts w:ascii="Times New Roman" w:hAnsi="Times New Roman" w:cs="Times New Roman"/>
                <w:sz w:val="20"/>
                <w:szCs w:val="20"/>
              </w:rPr>
            </w:pPr>
          </w:p>
        </w:tc>
      </w:tr>
      <w:tr w:rsidR="008B47DA" w:rsidRPr="000D29B5" w14:paraId="23AA6208" w14:textId="77777777" w:rsidTr="00ED2316">
        <w:tc>
          <w:tcPr>
            <w:tcW w:w="579" w:type="dxa"/>
          </w:tcPr>
          <w:p w14:paraId="0B60334C" w14:textId="77777777" w:rsidR="008B47DA" w:rsidRPr="00ED2316" w:rsidRDefault="008B47DA" w:rsidP="00ED2316">
            <w:pPr>
              <w:rPr>
                <w:rFonts w:ascii="Times New Roman" w:hAnsi="Times New Roman" w:cs="Times New Roman"/>
                <w:sz w:val="20"/>
                <w:szCs w:val="20"/>
              </w:rPr>
            </w:pPr>
          </w:p>
        </w:tc>
        <w:tc>
          <w:tcPr>
            <w:tcW w:w="2951" w:type="dxa"/>
            <w:gridSpan w:val="2"/>
          </w:tcPr>
          <w:p w14:paraId="049CAC2D"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Unknown</w:t>
            </w:r>
          </w:p>
        </w:tc>
        <w:tc>
          <w:tcPr>
            <w:tcW w:w="2247" w:type="dxa"/>
          </w:tcPr>
          <w:p w14:paraId="0985EB5B"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11,943 (15.8)</w:t>
            </w:r>
          </w:p>
        </w:tc>
        <w:tc>
          <w:tcPr>
            <w:tcW w:w="2368" w:type="dxa"/>
          </w:tcPr>
          <w:p w14:paraId="71A2AD97"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16,450 (21.7)</w:t>
            </w:r>
          </w:p>
        </w:tc>
        <w:tc>
          <w:tcPr>
            <w:tcW w:w="1823" w:type="dxa"/>
          </w:tcPr>
          <w:p w14:paraId="08EA6827" w14:textId="77777777" w:rsidR="008B47DA" w:rsidRPr="00ED2316" w:rsidRDefault="008B47DA" w:rsidP="00ED2316">
            <w:pPr>
              <w:jc w:val="center"/>
              <w:rPr>
                <w:rFonts w:ascii="Times New Roman" w:hAnsi="Times New Roman" w:cs="Times New Roman"/>
                <w:sz w:val="20"/>
                <w:szCs w:val="20"/>
              </w:rPr>
            </w:pPr>
          </w:p>
        </w:tc>
      </w:tr>
      <w:tr w:rsidR="008B47DA" w:rsidRPr="000D29B5" w14:paraId="0350BECD" w14:textId="77777777" w:rsidTr="00ED2316">
        <w:tc>
          <w:tcPr>
            <w:tcW w:w="3530" w:type="dxa"/>
            <w:gridSpan w:val="3"/>
          </w:tcPr>
          <w:p w14:paraId="5A7F99C8"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Deprivation level,</w:t>
            </w:r>
            <w:r w:rsidRPr="00ED2316">
              <w:rPr>
                <w:rFonts w:ascii="Times New Roman" w:hAnsi="Times New Roman" w:cs="Times New Roman"/>
                <w:i/>
                <w:sz w:val="20"/>
                <w:szCs w:val="20"/>
              </w:rPr>
              <w:t xml:space="preserve"> n</w:t>
            </w:r>
            <w:r w:rsidRPr="00ED2316">
              <w:rPr>
                <w:rFonts w:ascii="Times New Roman" w:hAnsi="Times New Roman" w:cs="Times New Roman"/>
                <w:sz w:val="20"/>
                <w:szCs w:val="20"/>
              </w:rPr>
              <w:t xml:space="preserve"> (%)</w:t>
            </w:r>
          </w:p>
        </w:tc>
        <w:tc>
          <w:tcPr>
            <w:tcW w:w="2247" w:type="dxa"/>
          </w:tcPr>
          <w:p w14:paraId="6C3B756E" w14:textId="77777777" w:rsidR="008B47DA" w:rsidRPr="00ED2316" w:rsidRDefault="008B47DA" w:rsidP="00ED2316">
            <w:pPr>
              <w:jc w:val="center"/>
              <w:rPr>
                <w:rFonts w:ascii="Times New Roman" w:hAnsi="Times New Roman" w:cs="Times New Roman"/>
                <w:color w:val="FF0000"/>
                <w:sz w:val="20"/>
                <w:szCs w:val="20"/>
              </w:rPr>
            </w:pPr>
          </w:p>
        </w:tc>
        <w:tc>
          <w:tcPr>
            <w:tcW w:w="2368" w:type="dxa"/>
          </w:tcPr>
          <w:p w14:paraId="4014ECC1" w14:textId="77777777" w:rsidR="008B47DA" w:rsidRPr="00ED2316" w:rsidRDefault="008B47DA" w:rsidP="00ED2316">
            <w:pPr>
              <w:jc w:val="center"/>
              <w:rPr>
                <w:rFonts w:ascii="Times New Roman" w:hAnsi="Times New Roman" w:cs="Times New Roman"/>
                <w:color w:val="FF0000"/>
                <w:sz w:val="20"/>
                <w:szCs w:val="20"/>
              </w:rPr>
            </w:pPr>
          </w:p>
        </w:tc>
        <w:tc>
          <w:tcPr>
            <w:tcW w:w="1823" w:type="dxa"/>
          </w:tcPr>
          <w:p w14:paraId="7DCB8240" w14:textId="3B483D54"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i/>
                <w:sz w:val="20"/>
                <w:szCs w:val="20"/>
              </w:rPr>
              <w:t>p</w:t>
            </w:r>
            <w:r w:rsidRPr="00ED2316">
              <w:rPr>
                <w:rFonts w:ascii="Times New Roman" w:hAnsi="Times New Roman" w:cs="Times New Roman"/>
                <w:sz w:val="20"/>
                <w:szCs w:val="20"/>
              </w:rPr>
              <w:t xml:space="preserve"> &lt; 0.0</w:t>
            </w:r>
            <w:r w:rsidR="001B5E64" w:rsidRPr="00ED2316">
              <w:rPr>
                <w:rFonts w:ascii="Times New Roman" w:hAnsi="Times New Roman" w:cs="Times New Roman"/>
                <w:sz w:val="20"/>
                <w:szCs w:val="20"/>
              </w:rPr>
              <w:t>0</w:t>
            </w:r>
            <w:r w:rsidRPr="00ED2316">
              <w:rPr>
                <w:rFonts w:ascii="Times New Roman" w:hAnsi="Times New Roman" w:cs="Times New Roman"/>
                <w:sz w:val="20"/>
                <w:szCs w:val="20"/>
              </w:rPr>
              <w:t>1</w:t>
            </w:r>
          </w:p>
        </w:tc>
      </w:tr>
      <w:tr w:rsidR="008B47DA" w:rsidRPr="000D29B5" w14:paraId="277F045D" w14:textId="77777777" w:rsidTr="00ED2316">
        <w:tc>
          <w:tcPr>
            <w:tcW w:w="579" w:type="dxa"/>
          </w:tcPr>
          <w:p w14:paraId="4BB46104" w14:textId="77777777" w:rsidR="008B47DA" w:rsidRPr="00ED2316" w:rsidRDefault="008B47DA" w:rsidP="00ED2316">
            <w:pPr>
              <w:rPr>
                <w:rFonts w:ascii="Times New Roman" w:hAnsi="Times New Roman" w:cs="Times New Roman"/>
                <w:sz w:val="20"/>
                <w:szCs w:val="20"/>
              </w:rPr>
            </w:pPr>
          </w:p>
        </w:tc>
        <w:tc>
          <w:tcPr>
            <w:tcW w:w="2951" w:type="dxa"/>
            <w:gridSpan w:val="2"/>
          </w:tcPr>
          <w:p w14:paraId="61FAA62D"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1 (least)</w:t>
            </w:r>
          </w:p>
        </w:tc>
        <w:tc>
          <w:tcPr>
            <w:tcW w:w="2247" w:type="dxa"/>
          </w:tcPr>
          <w:p w14:paraId="67C60761"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17,008 (22.5)</w:t>
            </w:r>
          </w:p>
        </w:tc>
        <w:tc>
          <w:tcPr>
            <w:tcW w:w="2368" w:type="dxa"/>
          </w:tcPr>
          <w:p w14:paraId="3315F7D2"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18,231 (24.1)</w:t>
            </w:r>
          </w:p>
        </w:tc>
        <w:tc>
          <w:tcPr>
            <w:tcW w:w="1823" w:type="dxa"/>
          </w:tcPr>
          <w:p w14:paraId="6CD0F61F" w14:textId="77777777" w:rsidR="008B47DA" w:rsidRPr="00ED2316" w:rsidRDefault="008B47DA" w:rsidP="00ED2316">
            <w:pPr>
              <w:jc w:val="center"/>
              <w:rPr>
                <w:rFonts w:ascii="Times New Roman" w:hAnsi="Times New Roman" w:cs="Times New Roman"/>
                <w:sz w:val="20"/>
                <w:szCs w:val="20"/>
              </w:rPr>
            </w:pPr>
          </w:p>
        </w:tc>
      </w:tr>
      <w:tr w:rsidR="008B47DA" w:rsidRPr="000D29B5" w14:paraId="683D53A0" w14:textId="77777777" w:rsidTr="00ED2316">
        <w:tc>
          <w:tcPr>
            <w:tcW w:w="579" w:type="dxa"/>
          </w:tcPr>
          <w:p w14:paraId="4ED73C6D" w14:textId="77777777" w:rsidR="008B47DA" w:rsidRPr="00ED2316" w:rsidRDefault="008B47DA" w:rsidP="00ED2316">
            <w:pPr>
              <w:rPr>
                <w:rFonts w:ascii="Times New Roman" w:hAnsi="Times New Roman" w:cs="Times New Roman"/>
                <w:sz w:val="20"/>
                <w:szCs w:val="20"/>
              </w:rPr>
            </w:pPr>
          </w:p>
        </w:tc>
        <w:tc>
          <w:tcPr>
            <w:tcW w:w="2951" w:type="dxa"/>
            <w:gridSpan w:val="2"/>
          </w:tcPr>
          <w:p w14:paraId="3235F6DE"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2</w:t>
            </w:r>
          </w:p>
        </w:tc>
        <w:tc>
          <w:tcPr>
            <w:tcW w:w="2247" w:type="dxa"/>
          </w:tcPr>
          <w:p w14:paraId="5B4C713F"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18,123 (23.9)</w:t>
            </w:r>
          </w:p>
        </w:tc>
        <w:tc>
          <w:tcPr>
            <w:tcW w:w="2368" w:type="dxa"/>
          </w:tcPr>
          <w:p w14:paraId="1EA16C7C"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19,043 (25.2)</w:t>
            </w:r>
          </w:p>
        </w:tc>
        <w:tc>
          <w:tcPr>
            <w:tcW w:w="1823" w:type="dxa"/>
          </w:tcPr>
          <w:p w14:paraId="31CB886C" w14:textId="77777777" w:rsidR="008B47DA" w:rsidRPr="00ED2316" w:rsidRDefault="008B47DA" w:rsidP="00ED2316">
            <w:pPr>
              <w:jc w:val="center"/>
              <w:rPr>
                <w:rFonts w:ascii="Times New Roman" w:hAnsi="Times New Roman" w:cs="Times New Roman"/>
                <w:sz w:val="20"/>
                <w:szCs w:val="20"/>
              </w:rPr>
            </w:pPr>
          </w:p>
        </w:tc>
      </w:tr>
      <w:tr w:rsidR="008B47DA" w:rsidRPr="000D29B5" w14:paraId="23FCF04B" w14:textId="77777777" w:rsidTr="00ED2316">
        <w:tc>
          <w:tcPr>
            <w:tcW w:w="579" w:type="dxa"/>
          </w:tcPr>
          <w:p w14:paraId="13BE0A67" w14:textId="77777777" w:rsidR="008B47DA" w:rsidRPr="00ED2316" w:rsidRDefault="008B47DA" w:rsidP="00ED2316">
            <w:pPr>
              <w:rPr>
                <w:rFonts w:ascii="Times New Roman" w:hAnsi="Times New Roman" w:cs="Times New Roman"/>
                <w:sz w:val="20"/>
                <w:szCs w:val="20"/>
              </w:rPr>
            </w:pPr>
          </w:p>
        </w:tc>
        <w:tc>
          <w:tcPr>
            <w:tcW w:w="2951" w:type="dxa"/>
            <w:gridSpan w:val="2"/>
          </w:tcPr>
          <w:p w14:paraId="7CA1CCC2"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3</w:t>
            </w:r>
          </w:p>
        </w:tc>
        <w:tc>
          <w:tcPr>
            <w:tcW w:w="2247" w:type="dxa"/>
          </w:tcPr>
          <w:p w14:paraId="66392948"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15,810 (20.9)</w:t>
            </w:r>
          </w:p>
        </w:tc>
        <w:tc>
          <w:tcPr>
            <w:tcW w:w="2368" w:type="dxa"/>
          </w:tcPr>
          <w:p w14:paraId="39F1A445"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15,644 (20.7)</w:t>
            </w:r>
          </w:p>
        </w:tc>
        <w:tc>
          <w:tcPr>
            <w:tcW w:w="1823" w:type="dxa"/>
          </w:tcPr>
          <w:p w14:paraId="0637C13D" w14:textId="77777777" w:rsidR="008B47DA" w:rsidRPr="00ED2316" w:rsidRDefault="008B47DA" w:rsidP="00ED2316">
            <w:pPr>
              <w:jc w:val="center"/>
              <w:rPr>
                <w:rFonts w:ascii="Times New Roman" w:hAnsi="Times New Roman" w:cs="Times New Roman"/>
                <w:sz w:val="20"/>
                <w:szCs w:val="20"/>
              </w:rPr>
            </w:pPr>
          </w:p>
        </w:tc>
      </w:tr>
      <w:tr w:rsidR="008B47DA" w:rsidRPr="000D29B5" w14:paraId="5046D334" w14:textId="77777777" w:rsidTr="00ED2316">
        <w:tc>
          <w:tcPr>
            <w:tcW w:w="579" w:type="dxa"/>
          </w:tcPr>
          <w:p w14:paraId="399B2A63" w14:textId="77777777" w:rsidR="008B47DA" w:rsidRPr="00ED2316" w:rsidRDefault="008B47DA" w:rsidP="00ED2316">
            <w:pPr>
              <w:rPr>
                <w:rFonts w:ascii="Times New Roman" w:hAnsi="Times New Roman" w:cs="Times New Roman"/>
                <w:sz w:val="20"/>
                <w:szCs w:val="20"/>
              </w:rPr>
            </w:pPr>
          </w:p>
        </w:tc>
        <w:tc>
          <w:tcPr>
            <w:tcW w:w="2951" w:type="dxa"/>
            <w:gridSpan w:val="2"/>
          </w:tcPr>
          <w:p w14:paraId="10B5FA33"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4</w:t>
            </w:r>
          </w:p>
        </w:tc>
        <w:tc>
          <w:tcPr>
            <w:tcW w:w="2247" w:type="dxa"/>
          </w:tcPr>
          <w:p w14:paraId="304C2F06"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13,508 (17.8)</w:t>
            </w:r>
          </w:p>
        </w:tc>
        <w:tc>
          <w:tcPr>
            <w:tcW w:w="2368" w:type="dxa"/>
          </w:tcPr>
          <w:p w14:paraId="75B4D15E"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12,772 (16.9)</w:t>
            </w:r>
          </w:p>
        </w:tc>
        <w:tc>
          <w:tcPr>
            <w:tcW w:w="1823" w:type="dxa"/>
          </w:tcPr>
          <w:p w14:paraId="34D0FB56" w14:textId="77777777" w:rsidR="008B47DA" w:rsidRPr="00ED2316" w:rsidRDefault="008B47DA" w:rsidP="00ED2316">
            <w:pPr>
              <w:jc w:val="center"/>
              <w:rPr>
                <w:rFonts w:ascii="Times New Roman" w:hAnsi="Times New Roman" w:cs="Times New Roman"/>
                <w:sz w:val="20"/>
                <w:szCs w:val="20"/>
              </w:rPr>
            </w:pPr>
          </w:p>
        </w:tc>
      </w:tr>
      <w:tr w:rsidR="008B47DA" w:rsidRPr="000D29B5" w14:paraId="6690F304" w14:textId="77777777" w:rsidTr="00ED2316">
        <w:tc>
          <w:tcPr>
            <w:tcW w:w="579" w:type="dxa"/>
          </w:tcPr>
          <w:p w14:paraId="48215E3D" w14:textId="77777777" w:rsidR="008B47DA" w:rsidRPr="00ED2316" w:rsidRDefault="008B47DA" w:rsidP="00ED2316">
            <w:pPr>
              <w:rPr>
                <w:rFonts w:ascii="Times New Roman" w:hAnsi="Times New Roman" w:cs="Times New Roman"/>
                <w:sz w:val="20"/>
                <w:szCs w:val="20"/>
              </w:rPr>
            </w:pPr>
          </w:p>
        </w:tc>
        <w:tc>
          <w:tcPr>
            <w:tcW w:w="2951" w:type="dxa"/>
            <w:gridSpan w:val="2"/>
          </w:tcPr>
          <w:p w14:paraId="432916A9"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5 (most)</w:t>
            </w:r>
          </w:p>
        </w:tc>
        <w:tc>
          <w:tcPr>
            <w:tcW w:w="2247" w:type="dxa"/>
          </w:tcPr>
          <w:p w14:paraId="1A573CB2"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11,163 (14.8)</w:t>
            </w:r>
          </w:p>
        </w:tc>
        <w:tc>
          <w:tcPr>
            <w:tcW w:w="2368" w:type="dxa"/>
          </w:tcPr>
          <w:p w14:paraId="1FC03057"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9,929 (13.1)</w:t>
            </w:r>
          </w:p>
        </w:tc>
        <w:tc>
          <w:tcPr>
            <w:tcW w:w="1823" w:type="dxa"/>
          </w:tcPr>
          <w:p w14:paraId="2B0B2B82" w14:textId="77777777" w:rsidR="008B47DA" w:rsidRPr="00ED2316" w:rsidRDefault="008B47DA" w:rsidP="00ED2316">
            <w:pPr>
              <w:jc w:val="center"/>
              <w:rPr>
                <w:rFonts w:ascii="Times New Roman" w:hAnsi="Times New Roman" w:cs="Times New Roman"/>
                <w:sz w:val="20"/>
                <w:szCs w:val="20"/>
              </w:rPr>
            </w:pPr>
          </w:p>
        </w:tc>
      </w:tr>
      <w:tr w:rsidR="008B47DA" w:rsidRPr="000D29B5" w14:paraId="13FB2BBF" w14:textId="77777777" w:rsidTr="00ED2316">
        <w:tc>
          <w:tcPr>
            <w:tcW w:w="579" w:type="dxa"/>
          </w:tcPr>
          <w:p w14:paraId="61C7C3A8" w14:textId="77777777" w:rsidR="008B47DA" w:rsidRPr="00ED2316" w:rsidRDefault="008B47DA" w:rsidP="00ED2316">
            <w:pPr>
              <w:rPr>
                <w:rFonts w:ascii="Times New Roman" w:hAnsi="Times New Roman" w:cs="Times New Roman"/>
                <w:sz w:val="20"/>
                <w:szCs w:val="20"/>
              </w:rPr>
            </w:pPr>
          </w:p>
        </w:tc>
        <w:tc>
          <w:tcPr>
            <w:tcW w:w="2951" w:type="dxa"/>
            <w:gridSpan w:val="2"/>
          </w:tcPr>
          <w:p w14:paraId="47A9F0C1"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Unknown</w:t>
            </w:r>
          </w:p>
        </w:tc>
        <w:tc>
          <w:tcPr>
            <w:tcW w:w="2247" w:type="dxa"/>
          </w:tcPr>
          <w:p w14:paraId="5D85E518"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86 (0.1)</w:t>
            </w:r>
          </w:p>
        </w:tc>
        <w:tc>
          <w:tcPr>
            <w:tcW w:w="2368" w:type="dxa"/>
          </w:tcPr>
          <w:p w14:paraId="74B2A068"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79 (0.1)</w:t>
            </w:r>
          </w:p>
        </w:tc>
        <w:tc>
          <w:tcPr>
            <w:tcW w:w="1823" w:type="dxa"/>
          </w:tcPr>
          <w:p w14:paraId="03C0BC0F" w14:textId="77777777" w:rsidR="008B47DA" w:rsidRPr="00ED2316" w:rsidRDefault="008B47DA" w:rsidP="00ED2316">
            <w:pPr>
              <w:jc w:val="center"/>
              <w:rPr>
                <w:rFonts w:ascii="Times New Roman" w:hAnsi="Times New Roman" w:cs="Times New Roman"/>
                <w:sz w:val="20"/>
                <w:szCs w:val="20"/>
              </w:rPr>
            </w:pPr>
          </w:p>
        </w:tc>
      </w:tr>
      <w:tr w:rsidR="008B47DA" w:rsidRPr="000D29B5" w14:paraId="6AFE5A5D" w14:textId="77777777" w:rsidTr="00ED2316">
        <w:trPr>
          <w:trHeight w:val="195"/>
        </w:trPr>
        <w:tc>
          <w:tcPr>
            <w:tcW w:w="3530" w:type="dxa"/>
            <w:gridSpan w:val="3"/>
            <w:tcBorders>
              <w:bottom w:val="single" w:sz="4" w:space="0" w:color="auto"/>
            </w:tcBorders>
          </w:tcPr>
          <w:p w14:paraId="25C9FCE1" w14:textId="77777777" w:rsidR="008B47DA" w:rsidRPr="00ED2316" w:rsidRDefault="008B47DA" w:rsidP="00ED2316">
            <w:pPr>
              <w:rPr>
                <w:rFonts w:ascii="Times New Roman" w:hAnsi="Times New Roman" w:cs="Times New Roman"/>
                <w:sz w:val="20"/>
                <w:szCs w:val="20"/>
              </w:rPr>
            </w:pPr>
            <w:r w:rsidRPr="00ED2316">
              <w:rPr>
                <w:rFonts w:ascii="Times New Roman" w:hAnsi="Times New Roman" w:cs="Times New Roman"/>
                <w:sz w:val="20"/>
                <w:szCs w:val="20"/>
              </w:rPr>
              <w:t>Number of co-morbidities, median (IQR)</w:t>
            </w:r>
          </w:p>
        </w:tc>
        <w:tc>
          <w:tcPr>
            <w:tcW w:w="2247" w:type="dxa"/>
            <w:tcBorders>
              <w:bottom w:val="single" w:sz="4" w:space="0" w:color="auto"/>
            </w:tcBorders>
          </w:tcPr>
          <w:p w14:paraId="50F709F2"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6 (3, 11)</w:t>
            </w:r>
          </w:p>
        </w:tc>
        <w:tc>
          <w:tcPr>
            <w:tcW w:w="2368" w:type="dxa"/>
            <w:tcBorders>
              <w:bottom w:val="single" w:sz="4" w:space="0" w:color="auto"/>
            </w:tcBorders>
          </w:tcPr>
          <w:p w14:paraId="30456A52" w14:textId="77777777"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sz w:val="20"/>
                <w:szCs w:val="20"/>
              </w:rPr>
              <w:t>3 (1, 7)</w:t>
            </w:r>
          </w:p>
        </w:tc>
        <w:tc>
          <w:tcPr>
            <w:tcW w:w="1823" w:type="dxa"/>
            <w:tcBorders>
              <w:bottom w:val="single" w:sz="4" w:space="0" w:color="auto"/>
            </w:tcBorders>
          </w:tcPr>
          <w:p w14:paraId="720CAAB8" w14:textId="5D6587BF" w:rsidR="008B47DA" w:rsidRPr="00ED2316" w:rsidRDefault="008B47DA" w:rsidP="00ED2316">
            <w:pPr>
              <w:jc w:val="center"/>
              <w:rPr>
                <w:rFonts w:ascii="Times New Roman" w:hAnsi="Times New Roman" w:cs="Times New Roman"/>
                <w:sz w:val="20"/>
                <w:szCs w:val="20"/>
              </w:rPr>
            </w:pPr>
            <w:r w:rsidRPr="00ED2316">
              <w:rPr>
                <w:rFonts w:ascii="Times New Roman" w:hAnsi="Times New Roman" w:cs="Times New Roman"/>
                <w:i/>
                <w:sz w:val="20"/>
                <w:szCs w:val="20"/>
              </w:rPr>
              <w:t>p</w:t>
            </w:r>
            <w:r w:rsidRPr="00ED2316">
              <w:rPr>
                <w:rFonts w:ascii="Times New Roman" w:hAnsi="Times New Roman" w:cs="Times New Roman"/>
                <w:sz w:val="20"/>
                <w:szCs w:val="20"/>
              </w:rPr>
              <w:t xml:space="preserve"> &lt; 0.0</w:t>
            </w:r>
            <w:r w:rsidR="001B5E64" w:rsidRPr="00ED2316">
              <w:rPr>
                <w:rFonts w:ascii="Times New Roman" w:hAnsi="Times New Roman" w:cs="Times New Roman"/>
                <w:sz w:val="20"/>
                <w:szCs w:val="20"/>
              </w:rPr>
              <w:t>0</w:t>
            </w:r>
            <w:r w:rsidRPr="00ED2316">
              <w:rPr>
                <w:rFonts w:ascii="Times New Roman" w:hAnsi="Times New Roman" w:cs="Times New Roman"/>
                <w:sz w:val="20"/>
                <w:szCs w:val="20"/>
              </w:rPr>
              <w:t>1</w:t>
            </w:r>
          </w:p>
        </w:tc>
      </w:tr>
    </w:tbl>
    <w:p w14:paraId="3ADD95DA" w14:textId="2F902E54" w:rsidR="008B47DA" w:rsidRPr="000D29B5" w:rsidRDefault="008B47DA" w:rsidP="004A6442">
      <w:pPr>
        <w:spacing w:after="0" w:line="240" w:lineRule="auto"/>
        <w:rPr>
          <w:rFonts w:ascii="Times New Roman" w:hAnsi="Times New Roman" w:cs="Times New Roman"/>
          <w:sz w:val="20"/>
          <w:szCs w:val="20"/>
        </w:rPr>
      </w:pPr>
      <w:r w:rsidRPr="000D29B5">
        <w:rPr>
          <w:rFonts w:ascii="Times New Roman" w:hAnsi="Times New Roman" w:cs="Times New Roman"/>
          <w:sz w:val="20"/>
          <w:szCs w:val="20"/>
        </w:rPr>
        <w:t xml:space="preserve">IQR, interquartile range; </w:t>
      </w:r>
      <w:r w:rsidRPr="000D29B5">
        <w:rPr>
          <w:rFonts w:ascii="Times New Roman" w:hAnsi="Times New Roman" w:cs="Times New Roman"/>
          <w:i/>
          <w:sz w:val="20"/>
          <w:szCs w:val="20"/>
        </w:rPr>
        <w:t>p</w:t>
      </w:r>
      <w:r w:rsidR="0076035E">
        <w:rPr>
          <w:rFonts w:ascii="Times New Roman" w:hAnsi="Times New Roman" w:cs="Times New Roman"/>
          <w:sz w:val="20"/>
          <w:szCs w:val="20"/>
        </w:rPr>
        <w:t>-</w:t>
      </w:r>
      <w:r w:rsidRPr="000D29B5">
        <w:rPr>
          <w:rFonts w:ascii="Times New Roman" w:hAnsi="Times New Roman" w:cs="Times New Roman"/>
          <w:sz w:val="20"/>
          <w:szCs w:val="20"/>
        </w:rPr>
        <w:t>value obtained from Chi-square</w:t>
      </w:r>
      <w:r>
        <w:rPr>
          <w:rFonts w:ascii="Times New Roman" w:hAnsi="Times New Roman" w:cs="Times New Roman"/>
          <w:sz w:val="20"/>
          <w:szCs w:val="20"/>
        </w:rPr>
        <w:t>d</w:t>
      </w:r>
      <w:r w:rsidRPr="000D29B5">
        <w:rPr>
          <w:rFonts w:ascii="Times New Roman" w:hAnsi="Times New Roman" w:cs="Times New Roman"/>
          <w:sz w:val="20"/>
          <w:szCs w:val="20"/>
        </w:rPr>
        <w:t xml:space="preserve"> or from Mann-Whitney U test</w:t>
      </w:r>
      <w:r>
        <w:rPr>
          <w:rFonts w:ascii="Times New Roman" w:hAnsi="Times New Roman" w:cs="Times New Roman"/>
          <w:sz w:val="20"/>
          <w:szCs w:val="20"/>
        </w:rPr>
        <w:t xml:space="preserve"> as appropriate</w:t>
      </w:r>
      <w:r w:rsidRPr="000D29B5">
        <w:rPr>
          <w:rFonts w:ascii="Times New Roman" w:hAnsi="Times New Roman" w:cs="Times New Roman"/>
          <w:sz w:val="20"/>
          <w:szCs w:val="20"/>
        </w:rPr>
        <w:t>, and where applicable analysis excluded the unknown category (missing data).</w:t>
      </w:r>
    </w:p>
    <w:p w14:paraId="32A7631A" w14:textId="23165FAD" w:rsidR="008B47DA" w:rsidRDefault="008B47DA" w:rsidP="008B47DA">
      <w:r>
        <w:br w:type="page"/>
      </w:r>
    </w:p>
    <w:p w14:paraId="5EA800A2" w14:textId="77777777" w:rsidR="008B47DA" w:rsidRDefault="008B47DA" w:rsidP="008B47DA">
      <w:pPr>
        <w:sectPr w:rsidR="008B47DA" w:rsidSect="00154638">
          <w:pgSz w:w="11906" w:h="16838"/>
          <w:pgMar w:top="1440" w:right="1440" w:bottom="1440" w:left="1440" w:header="709" w:footer="709" w:gutter="0"/>
          <w:cols w:space="708"/>
          <w:docGrid w:linePitch="360"/>
        </w:sectPr>
      </w:pPr>
    </w:p>
    <w:p w14:paraId="13FCFDBE" w14:textId="1B158820" w:rsidR="008B47DA" w:rsidRDefault="008B47DA" w:rsidP="004A6442">
      <w:pPr>
        <w:spacing w:after="0" w:line="240" w:lineRule="auto"/>
        <w:rPr>
          <w:rFonts w:ascii="Times New Roman" w:hAnsi="Times New Roman" w:cs="Times New Roman"/>
          <w:b/>
          <w:sz w:val="20"/>
          <w:szCs w:val="20"/>
        </w:rPr>
      </w:pPr>
      <w:r w:rsidRPr="0090121C">
        <w:rPr>
          <w:rFonts w:ascii="Times New Roman" w:hAnsi="Times New Roman" w:cs="Times New Roman"/>
          <w:b/>
          <w:sz w:val="20"/>
          <w:szCs w:val="20"/>
        </w:rPr>
        <w:lastRenderedPageBreak/>
        <w:t>Table 2 Incidence o</w:t>
      </w:r>
      <w:r>
        <w:rPr>
          <w:rFonts w:ascii="Times New Roman" w:hAnsi="Times New Roman" w:cs="Times New Roman"/>
          <w:b/>
          <w:sz w:val="20"/>
          <w:szCs w:val="20"/>
        </w:rPr>
        <w:t>f future diagnosis of COPD, asthma</w:t>
      </w:r>
      <w:r w:rsidRPr="0090121C">
        <w:rPr>
          <w:rFonts w:ascii="Times New Roman" w:hAnsi="Times New Roman" w:cs="Times New Roman"/>
          <w:b/>
          <w:sz w:val="20"/>
          <w:szCs w:val="20"/>
        </w:rPr>
        <w:t xml:space="preserve"> or IHD in patients with a first coded record of breathlessness symptom and in the matched participants </w:t>
      </w:r>
    </w:p>
    <w:tbl>
      <w:tblPr>
        <w:tblStyle w:val="TableGrid7"/>
        <w:tblW w:w="12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436"/>
        <w:gridCol w:w="1459"/>
        <w:gridCol w:w="1417"/>
        <w:gridCol w:w="1231"/>
        <w:gridCol w:w="1463"/>
        <w:gridCol w:w="1417"/>
        <w:gridCol w:w="1134"/>
        <w:gridCol w:w="2136"/>
      </w:tblGrid>
      <w:tr w:rsidR="003927EE" w:rsidRPr="006F4FDE" w14:paraId="75DB3BDB" w14:textId="77777777" w:rsidTr="000102D2">
        <w:tc>
          <w:tcPr>
            <w:tcW w:w="2571" w:type="dxa"/>
            <w:gridSpan w:val="2"/>
            <w:tcBorders>
              <w:top w:val="single" w:sz="4" w:space="0" w:color="auto"/>
            </w:tcBorders>
          </w:tcPr>
          <w:p w14:paraId="6B9F1340" w14:textId="77777777" w:rsidR="003927EE" w:rsidRPr="00ED2316" w:rsidRDefault="003927EE" w:rsidP="00ED2316">
            <w:pPr>
              <w:jc w:val="center"/>
              <w:rPr>
                <w:rFonts w:ascii="Times New Roman" w:hAnsi="Times New Roman" w:cs="Times New Roman"/>
                <w:sz w:val="20"/>
                <w:szCs w:val="20"/>
              </w:rPr>
            </w:pPr>
          </w:p>
        </w:tc>
        <w:tc>
          <w:tcPr>
            <w:tcW w:w="4107" w:type="dxa"/>
            <w:gridSpan w:val="3"/>
            <w:tcBorders>
              <w:top w:val="single" w:sz="4" w:space="0" w:color="auto"/>
            </w:tcBorders>
          </w:tcPr>
          <w:p w14:paraId="50B2650D" w14:textId="2413F005" w:rsidR="003927EE" w:rsidRPr="00ED2316" w:rsidRDefault="003927EE" w:rsidP="00ED2316">
            <w:pPr>
              <w:jc w:val="center"/>
              <w:rPr>
                <w:rFonts w:ascii="Times New Roman" w:hAnsi="Times New Roman" w:cs="Times New Roman"/>
                <w:sz w:val="20"/>
                <w:szCs w:val="20"/>
              </w:rPr>
            </w:pPr>
            <w:r w:rsidRPr="00ED2316">
              <w:rPr>
                <w:rFonts w:ascii="Times New Roman" w:hAnsi="Times New Roman" w:cs="Times New Roman"/>
                <w:sz w:val="20"/>
                <w:szCs w:val="20"/>
              </w:rPr>
              <w:t>Patients with a first coded record of breathlessness symptom (</w:t>
            </w:r>
            <w:r w:rsidRPr="00ED2316">
              <w:rPr>
                <w:rFonts w:ascii="Times New Roman" w:hAnsi="Times New Roman" w:cs="Times New Roman"/>
                <w:i/>
                <w:sz w:val="20"/>
                <w:szCs w:val="20"/>
              </w:rPr>
              <w:t>n</w:t>
            </w:r>
            <w:r w:rsidRPr="00ED2316">
              <w:rPr>
                <w:rFonts w:ascii="Times New Roman" w:hAnsi="Times New Roman" w:cs="Times New Roman"/>
                <w:sz w:val="20"/>
                <w:szCs w:val="20"/>
              </w:rPr>
              <w:t>=75,698)</w:t>
            </w:r>
          </w:p>
        </w:tc>
        <w:tc>
          <w:tcPr>
            <w:tcW w:w="4014" w:type="dxa"/>
            <w:gridSpan w:val="3"/>
            <w:tcBorders>
              <w:top w:val="single" w:sz="4" w:space="0" w:color="auto"/>
            </w:tcBorders>
          </w:tcPr>
          <w:p w14:paraId="66DB85A7" w14:textId="77777777" w:rsidR="003927EE" w:rsidRPr="00ED2316" w:rsidRDefault="003927EE" w:rsidP="00ED2316">
            <w:pPr>
              <w:jc w:val="center"/>
              <w:rPr>
                <w:rFonts w:ascii="Times New Roman" w:hAnsi="Times New Roman" w:cs="Times New Roman"/>
                <w:sz w:val="20"/>
                <w:szCs w:val="20"/>
              </w:rPr>
            </w:pPr>
            <w:r w:rsidRPr="00ED2316">
              <w:rPr>
                <w:rFonts w:ascii="Times New Roman" w:hAnsi="Times New Roman" w:cs="Times New Roman"/>
                <w:sz w:val="20"/>
                <w:szCs w:val="20"/>
              </w:rPr>
              <w:t>Matched participants (</w:t>
            </w:r>
            <w:r w:rsidRPr="00ED2316">
              <w:rPr>
                <w:rFonts w:ascii="Times New Roman" w:hAnsi="Times New Roman" w:cs="Times New Roman"/>
                <w:i/>
                <w:sz w:val="20"/>
                <w:szCs w:val="20"/>
              </w:rPr>
              <w:t>n</w:t>
            </w:r>
            <w:r w:rsidRPr="00ED2316">
              <w:rPr>
                <w:rFonts w:ascii="Times New Roman" w:hAnsi="Times New Roman" w:cs="Times New Roman"/>
                <w:sz w:val="20"/>
                <w:szCs w:val="20"/>
              </w:rPr>
              <w:t>=75,698)</w:t>
            </w:r>
          </w:p>
          <w:p w14:paraId="0EA34105" w14:textId="77777777" w:rsidR="003927EE" w:rsidRPr="00ED2316" w:rsidRDefault="003927EE" w:rsidP="00ED2316">
            <w:pPr>
              <w:jc w:val="center"/>
              <w:rPr>
                <w:rFonts w:ascii="Times New Roman" w:hAnsi="Times New Roman" w:cs="Times New Roman"/>
                <w:sz w:val="20"/>
                <w:szCs w:val="20"/>
              </w:rPr>
            </w:pPr>
          </w:p>
        </w:tc>
        <w:tc>
          <w:tcPr>
            <w:tcW w:w="2136" w:type="dxa"/>
            <w:tcBorders>
              <w:top w:val="single" w:sz="4" w:space="0" w:color="auto"/>
            </w:tcBorders>
          </w:tcPr>
          <w:p w14:paraId="2EE59D1D" w14:textId="77777777" w:rsidR="003927EE" w:rsidRPr="00ED2316" w:rsidRDefault="003927EE" w:rsidP="00ED2316">
            <w:pPr>
              <w:jc w:val="center"/>
              <w:rPr>
                <w:rFonts w:ascii="Times New Roman" w:hAnsi="Times New Roman" w:cs="Times New Roman"/>
                <w:sz w:val="20"/>
                <w:szCs w:val="20"/>
              </w:rPr>
            </w:pPr>
            <w:proofErr w:type="gramStart"/>
            <w:r w:rsidRPr="00ED2316">
              <w:rPr>
                <w:rFonts w:ascii="Times New Roman" w:hAnsi="Times New Roman" w:cs="Times New Roman"/>
                <w:sz w:val="20"/>
                <w:szCs w:val="20"/>
              </w:rPr>
              <w:t>Patients</w:t>
            </w:r>
            <w:proofErr w:type="gramEnd"/>
            <w:r w:rsidRPr="00ED2316">
              <w:rPr>
                <w:rFonts w:ascii="Times New Roman" w:hAnsi="Times New Roman" w:cs="Times New Roman"/>
                <w:sz w:val="20"/>
                <w:szCs w:val="20"/>
              </w:rPr>
              <w:t xml:space="preserve"> vs. </w:t>
            </w:r>
          </w:p>
          <w:p w14:paraId="39C92D4A" w14:textId="77777777" w:rsidR="003927EE" w:rsidRPr="00ED2316" w:rsidRDefault="003927EE" w:rsidP="00ED2316">
            <w:pPr>
              <w:jc w:val="center"/>
              <w:rPr>
                <w:rFonts w:ascii="Times New Roman" w:hAnsi="Times New Roman" w:cs="Times New Roman"/>
                <w:sz w:val="20"/>
                <w:szCs w:val="20"/>
              </w:rPr>
            </w:pPr>
            <w:r w:rsidRPr="00ED2316">
              <w:rPr>
                <w:rFonts w:ascii="Times New Roman" w:hAnsi="Times New Roman" w:cs="Times New Roman"/>
                <w:sz w:val="20"/>
                <w:szCs w:val="20"/>
              </w:rPr>
              <w:t>matched participants</w:t>
            </w:r>
          </w:p>
        </w:tc>
      </w:tr>
      <w:tr w:rsidR="003927EE" w:rsidRPr="006F4FDE" w14:paraId="1AFFE18F" w14:textId="77777777" w:rsidTr="003927EE">
        <w:tc>
          <w:tcPr>
            <w:tcW w:w="2571" w:type="dxa"/>
            <w:gridSpan w:val="2"/>
          </w:tcPr>
          <w:p w14:paraId="769447CD" w14:textId="77777777" w:rsidR="003927EE" w:rsidRPr="00ED2316" w:rsidRDefault="003927EE" w:rsidP="00ED2316">
            <w:pPr>
              <w:jc w:val="center"/>
              <w:rPr>
                <w:rFonts w:ascii="Times New Roman" w:hAnsi="Times New Roman" w:cs="Times New Roman"/>
                <w:sz w:val="20"/>
                <w:szCs w:val="20"/>
              </w:rPr>
            </w:pPr>
            <w:r w:rsidRPr="00ED2316">
              <w:rPr>
                <w:rFonts w:ascii="Times New Roman" w:hAnsi="Times New Roman" w:cs="Times New Roman"/>
                <w:sz w:val="20"/>
                <w:szCs w:val="20"/>
              </w:rPr>
              <w:t>Time period</w:t>
            </w:r>
          </w:p>
        </w:tc>
        <w:tc>
          <w:tcPr>
            <w:tcW w:w="1459" w:type="dxa"/>
          </w:tcPr>
          <w:p w14:paraId="31937E6E" w14:textId="2BEBB2BB" w:rsidR="003927EE" w:rsidRPr="00ED2316" w:rsidRDefault="003927EE" w:rsidP="00ED2316">
            <w:pPr>
              <w:jc w:val="center"/>
              <w:rPr>
                <w:rFonts w:ascii="Times New Roman" w:hAnsi="Times New Roman" w:cs="Times New Roman"/>
                <w:sz w:val="20"/>
                <w:szCs w:val="20"/>
              </w:rPr>
            </w:pPr>
            <w:r w:rsidRPr="00ED2316">
              <w:rPr>
                <w:rFonts w:ascii="Times New Roman" w:hAnsi="Times New Roman" w:cs="Times New Roman"/>
                <w:sz w:val="20"/>
                <w:szCs w:val="20"/>
              </w:rPr>
              <w:t>Number with diagnosis (%</w:t>
            </w:r>
            <w:r>
              <w:rPr>
                <w:rFonts w:ascii="Times New Roman" w:hAnsi="Times New Roman" w:cs="Times New Roman"/>
                <w:sz w:val="20"/>
                <w:szCs w:val="20"/>
              </w:rPr>
              <w:t>*</w:t>
            </w:r>
            <w:r w:rsidRPr="00ED2316">
              <w:rPr>
                <w:rFonts w:ascii="Times New Roman" w:hAnsi="Times New Roman" w:cs="Times New Roman"/>
                <w:sz w:val="20"/>
                <w:szCs w:val="20"/>
              </w:rPr>
              <w:t>)</w:t>
            </w:r>
          </w:p>
        </w:tc>
        <w:tc>
          <w:tcPr>
            <w:tcW w:w="1417" w:type="dxa"/>
          </w:tcPr>
          <w:p w14:paraId="02661EA7" w14:textId="77777777" w:rsidR="003927EE" w:rsidRPr="00ED2316" w:rsidRDefault="003927EE" w:rsidP="00ED2316">
            <w:pPr>
              <w:jc w:val="center"/>
              <w:rPr>
                <w:rFonts w:ascii="Times New Roman" w:hAnsi="Times New Roman" w:cs="Times New Roman"/>
                <w:sz w:val="20"/>
                <w:szCs w:val="20"/>
              </w:rPr>
            </w:pPr>
            <w:r w:rsidRPr="00ED2316">
              <w:rPr>
                <w:rFonts w:ascii="Times New Roman" w:hAnsi="Times New Roman" w:cs="Times New Roman"/>
                <w:sz w:val="20"/>
                <w:szCs w:val="20"/>
              </w:rPr>
              <w:t>Time at risk (person-years)</w:t>
            </w:r>
          </w:p>
        </w:tc>
        <w:tc>
          <w:tcPr>
            <w:tcW w:w="1231" w:type="dxa"/>
          </w:tcPr>
          <w:p w14:paraId="22B2943B" w14:textId="5204573D" w:rsidR="003927EE" w:rsidRPr="00ED2316" w:rsidRDefault="003927EE" w:rsidP="00ED2316">
            <w:pPr>
              <w:jc w:val="center"/>
              <w:rPr>
                <w:rFonts w:ascii="Times New Roman" w:hAnsi="Times New Roman" w:cs="Times New Roman"/>
                <w:sz w:val="20"/>
                <w:szCs w:val="20"/>
              </w:rPr>
            </w:pPr>
            <w:r w:rsidRPr="00ED2316">
              <w:rPr>
                <w:rFonts w:ascii="Times New Roman" w:hAnsi="Times New Roman" w:cs="Times New Roman"/>
                <w:sz w:val="20"/>
                <w:szCs w:val="20"/>
              </w:rPr>
              <w:t>Incidence</w:t>
            </w:r>
            <w:r>
              <w:rPr>
                <w:rFonts w:ascii="Times New Roman" w:hAnsi="Times New Roman" w:cs="Times New Roman"/>
                <w:sz w:val="20"/>
                <w:szCs w:val="20"/>
              </w:rPr>
              <w:t>†</w:t>
            </w:r>
          </w:p>
        </w:tc>
        <w:tc>
          <w:tcPr>
            <w:tcW w:w="1463" w:type="dxa"/>
          </w:tcPr>
          <w:p w14:paraId="37ED71AE" w14:textId="0B938DD7" w:rsidR="003927EE" w:rsidRPr="00ED2316" w:rsidRDefault="003927EE" w:rsidP="00ED2316">
            <w:pPr>
              <w:jc w:val="center"/>
              <w:rPr>
                <w:rFonts w:ascii="Times New Roman" w:hAnsi="Times New Roman" w:cs="Times New Roman"/>
                <w:sz w:val="20"/>
                <w:szCs w:val="20"/>
              </w:rPr>
            </w:pPr>
            <w:r w:rsidRPr="00ED2316">
              <w:rPr>
                <w:rFonts w:ascii="Times New Roman" w:hAnsi="Times New Roman" w:cs="Times New Roman"/>
                <w:sz w:val="20"/>
                <w:szCs w:val="20"/>
              </w:rPr>
              <w:t>Number with diagnosis (%</w:t>
            </w:r>
            <w:r>
              <w:rPr>
                <w:rFonts w:ascii="Times New Roman" w:hAnsi="Times New Roman" w:cs="Times New Roman"/>
                <w:sz w:val="20"/>
                <w:szCs w:val="20"/>
              </w:rPr>
              <w:t>*</w:t>
            </w:r>
            <w:r w:rsidRPr="00ED2316">
              <w:rPr>
                <w:rFonts w:ascii="Times New Roman" w:hAnsi="Times New Roman" w:cs="Times New Roman"/>
                <w:sz w:val="20"/>
                <w:szCs w:val="20"/>
              </w:rPr>
              <w:t>)</w:t>
            </w:r>
          </w:p>
        </w:tc>
        <w:tc>
          <w:tcPr>
            <w:tcW w:w="1417" w:type="dxa"/>
          </w:tcPr>
          <w:p w14:paraId="2B2EED50" w14:textId="77777777" w:rsidR="003927EE" w:rsidRPr="00ED2316" w:rsidRDefault="003927EE" w:rsidP="00ED2316">
            <w:pPr>
              <w:jc w:val="center"/>
              <w:rPr>
                <w:rFonts w:ascii="Times New Roman" w:hAnsi="Times New Roman" w:cs="Times New Roman"/>
                <w:sz w:val="20"/>
                <w:szCs w:val="20"/>
              </w:rPr>
            </w:pPr>
            <w:r w:rsidRPr="00ED2316">
              <w:rPr>
                <w:rFonts w:ascii="Times New Roman" w:hAnsi="Times New Roman" w:cs="Times New Roman"/>
                <w:sz w:val="20"/>
                <w:szCs w:val="20"/>
              </w:rPr>
              <w:t>Time at risk (person-years)</w:t>
            </w:r>
          </w:p>
        </w:tc>
        <w:tc>
          <w:tcPr>
            <w:tcW w:w="1134" w:type="dxa"/>
          </w:tcPr>
          <w:p w14:paraId="4252EC61" w14:textId="36B519F1" w:rsidR="003927EE" w:rsidRPr="00ED2316" w:rsidRDefault="003927EE" w:rsidP="00ED2316">
            <w:pPr>
              <w:jc w:val="center"/>
              <w:rPr>
                <w:rFonts w:ascii="Times New Roman" w:hAnsi="Times New Roman" w:cs="Times New Roman"/>
                <w:sz w:val="20"/>
                <w:szCs w:val="20"/>
              </w:rPr>
            </w:pPr>
            <w:r w:rsidRPr="00ED2316">
              <w:rPr>
                <w:rFonts w:ascii="Times New Roman" w:hAnsi="Times New Roman" w:cs="Times New Roman"/>
                <w:sz w:val="20"/>
                <w:szCs w:val="20"/>
              </w:rPr>
              <w:t>Incidence</w:t>
            </w:r>
            <w:r>
              <w:rPr>
                <w:rFonts w:ascii="Times New Roman" w:hAnsi="Times New Roman" w:cs="Times New Roman"/>
                <w:sz w:val="20"/>
                <w:szCs w:val="20"/>
              </w:rPr>
              <w:t>†</w:t>
            </w:r>
          </w:p>
        </w:tc>
        <w:tc>
          <w:tcPr>
            <w:tcW w:w="2136" w:type="dxa"/>
          </w:tcPr>
          <w:p w14:paraId="619AA995" w14:textId="5CB10C2A" w:rsidR="003927EE" w:rsidRPr="00ED2316" w:rsidRDefault="003927EE" w:rsidP="00ED2316">
            <w:pPr>
              <w:jc w:val="center"/>
              <w:rPr>
                <w:rFonts w:ascii="Times New Roman" w:hAnsi="Times New Roman" w:cs="Times New Roman"/>
                <w:sz w:val="20"/>
                <w:szCs w:val="20"/>
              </w:rPr>
            </w:pPr>
            <w:r w:rsidRPr="00ED2316">
              <w:rPr>
                <w:rFonts w:ascii="Times New Roman" w:hAnsi="Times New Roman" w:cs="Times New Roman"/>
                <w:sz w:val="20"/>
                <w:szCs w:val="20"/>
              </w:rPr>
              <w:t>Adjusted</w:t>
            </w:r>
            <w:r>
              <w:rPr>
                <w:rFonts w:ascii="Times New Roman" w:hAnsi="Times New Roman" w:cs="Times New Roman"/>
                <w:sz w:val="20"/>
                <w:szCs w:val="20"/>
              </w:rPr>
              <w:t>‡</w:t>
            </w:r>
            <w:r w:rsidRPr="00ED2316">
              <w:rPr>
                <w:rFonts w:ascii="Times New Roman" w:hAnsi="Times New Roman" w:cs="Times New Roman"/>
                <w:sz w:val="20"/>
                <w:szCs w:val="20"/>
              </w:rPr>
              <w:t xml:space="preserve"> hazard ratio </w:t>
            </w:r>
          </w:p>
          <w:p w14:paraId="0568A7F4" w14:textId="77777777" w:rsidR="003927EE" w:rsidRPr="00ED2316" w:rsidRDefault="003927EE" w:rsidP="00ED2316">
            <w:pPr>
              <w:jc w:val="center"/>
              <w:rPr>
                <w:rFonts w:ascii="Times New Roman" w:hAnsi="Times New Roman" w:cs="Times New Roman"/>
                <w:sz w:val="20"/>
                <w:szCs w:val="20"/>
              </w:rPr>
            </w:pPr>
            <w:r w:rsidRPr="00ED2316">
              <w:rPr>
                <w:rFonts w:ascii="Times New Roman" w:hAnsi="Times New Roman" w:cs="Times New Roman"/>
                <w:sz w:val="20"/>
                <w:szCs w:val="20"/>
              </w:rPr>
              <w:t>(95% CI)</w:t>
            </w:r>
          </w:p>
        </w:tc>
      </w:tr>
      <w:tr w:rsidR="003927EE" w:rsidRPr="006F4FDE" w14:paraId="7E73ADA1" w14:textId="77777777" w:rsidTr="000102D2">
        <w:tc>
          <w:tcPr>
            <w:tcW w:w="2571" w:type="dxa"/>
            <w:gridSpan w:val="2"/>
            <w:tcBorders>
              <w:top w:val="single" w:sz="4" w:space="0" w:color="auto"/>
            </w:tcBorders>
          </w:tcPr>
          <w:p w14:paraId="7AF958D9" w14:textId="59B445FC" w:rsidR="003927EE" w:rsidRPr="00ED2316" w:rsidRDefault="003927EE" w:rsidP="003927EE">
            <w:pPr>
              <w:rPr>
                <w:rFonts w:ascii="Times New Roman" w:hAnsi="Times New Roman" w:cs="Times New Roman"/>
                <w:sz w:val="20"/>
                <w:szCs w:val="20"/>
              </w:rPr>
            </w:pPr>
            <w:r w:rsidRPr="00ED2316">
              <w:rPr>
                <w:rFonts w:ascii="Times New Roman" w:hAnsi="Times New Roman" w:cs="Times New Roman"/>
                <w:sz w:val="20"/>
                <w:szCs w:val="20"/>
              </w:rPr>
              <w:t>COPD</w:t>
            </w:r>
          </w:p>
        </w:tc>
        <w:tc>
          <w:tcPr>
            <w:tcW w:w="1459" w:type="dxa"/>
            <w:tcBorders>
              <w:top w:val="single" w:sz="4" w:space="0" w:color="auto"/>
            </w:tcBorders>
          </w:tcPr>
          <w:p w14:paraId="4AD27C0F" w14:textId="77777777" w:rsidR="003927EE" w:rsidRPr="00ED2316" w:rsidRDefault="003927EE" w:rsidP="003927EE">
            <w:pPr>
              <w:jc w:val="center"/>
              <w:rPr>
                <w:rFonts w:ascii="Times New Roman" w:hAnsi="Times New Roman" w:cs="Times New Roman"/>
                <w:sz w:val="20"/>
                <w:szCs w:val="20"/>
              </w:rPr>
            </w:pPr>
          </w:p>
        </w:tc>
        <w:tc>
          <w:tcPr>
            <w:tcW w:w="1417" w:type="dxa"/>
            <w:tcBorders>
              <w:top w:val="single" w:sz="4" w:space="0" w:color="auto"/>
            </w:tcBorders>
          </w:tcPr>
          <w:p w14:paraId="07EE35C7" w14:textId="77777777" w:rsidR="003927EE" w:rsidRPr="00ED2316" w:rsidRDefault="003927EE" w:rsidP="003927EE">
            <w:pPr>
              <w:jc w:val="center"/>
              <w:rPr>
                <w:rFonts w:ascii="Times New Roman" w:hAnsi="Times New Roman" w:cs="Times New Roman"/>
                <w:sz w:val="20"/>
                <w:szCs w:val="20"/>
              </w:rPr>
            </w:pPr>
          </w:p>
        </w:tc>
        <w:tc>
          <w:tcPr>
            <w:tcW w:w="1231" w:type="dxa"/>
            <w:tcBorders>
              <w:top w:val="single" w:sz="4" w:space="0" w:color="auto"/>
            </w:tcBorders>
          </w:tcPr>
          <w:p w14:paraId="5891BD1A" w14:textId="77777777" w:rsidR="003927EE" w:rsidRPr="00ED2316" w:rsidRDefault="003927EE" w:rsidP="003927EE">
            <w:pPr>
              <w:jc w:val="center"/>
              <w:rPr>
                <w:rFonts w:ascii="Times New Roman" w:hAnsi="Times New Roman" w:cs="Times New Roman"/>
                <w:sz w:val="20"/>
                <w:szCs w:val="20"/>
              </w:rPr>
            </w:pPr>
          </w:p>
        </w:tc>
        <w:tc>
          <w:tcPr>
            <w:tcW w:w="1463" w:type="dxa"/>
            <w:tcBorders>
              <w:top w:val="single" w:sz="4" w:space="0" w:color="auto"/>
            </w:tcBorders>
          </w:tcPr>
          <w:p w14:paraId="6A1075EB" w14:textId="77777777" w:rsidR="003927EE" w:rsidRPr="00ED2316" w:rsidRDefault="003927EE" w:rsidP="003927EE">
            <w:pPr>
              <w:jc w:val="center"/>
              <w:rPr>
                <w:rFonts w:ascii="Times New Roman" w:hAnsi="Times New Roman" w:cs="Times New Roman"/>
                <w:sz w:val="20"/>
                <w:szCs w:val="20"/>
              </w:rPr>
            </w:pPr>
          </w:p>
        </w:tc>
        <w:tc>
          <w:tcPr>
            <w:tcW w:w="1417" w:type="dxa"/>
            <w:tcBorders>
              <w:top w:val="single" w:sz="4" w:space="0" w:color="auto"/>
            </w:tcBorders>
          </w:tcPr>
          <w:p w14:paraId="1488B2A8" w14:textId="77777777" w:rsidR="003927EE" w:rsidRPr="00ED2316" w:rsidRDefault="003927EE" w:rsidP="003927EE">
            <w:pPr>
              <w:jc w:val="center"/>
              <w:rPr>
                <w:rFonts w:ascii="Times New Roman" w:hAnsi="Times New Roman" w:cs="Times New Roman"/>
                <w:sz w:val="20"/>
                <w:szCs w:val="20"/>
              </w:rPr>
            </w:pPr>
          </w:p>
        </w:tc>
        <w:tc>
          <w:tcPr>
            <w:tcW w:w="1134" w:type="dxa"/>
            <w:tcBorders>
              <w:top w:val="single" w:sz="4" w:space="0" w:color="auto"/>
            </w:tcBorders>
          </w:tcPr>
          <w:p w14:paraId="5B3A9B4A" w14:textId="77777777" w:rsidR="003927EE" w:rsidRPr="00ED2316" w:rsidRDefault="003927EE" w:rsidP="003927EE">
            <w:pPr>
              <w:jc w:val="center"/>
              <w:rPr>
                <w:rFonts w:ascii="Times New Roman" w:hAnsi="Times New Roman" w:cs="Times New Roman"/>
                <w:sz w:val="20"/>
                <w:szCs w:val="20"/>
              </w:rPr>
            </w:pPr>
          </w:p>
        </w:tc>
        <w:tc>
          <w:tcPr>
            <w:tcW w:w="2136" w:type="dxa"/>
            <w:tcBorders>
              <w:top w:val="single" w:sz="4" w:space="0" w:color="auto"/>
            </w:tcBorders>
          </w:tcPr>
          <w:p w14:paraId="0DA7EE75" w14:textId="77777777" w:rsidR="003927EE" w:rsidRPr="00ED2316" w:rsidRDefault="003927EE" w:rsidP="003927EE">
            <w:pPr>
              <w:jc w:val="center"/>
              <w:rPr>
                <w:rFonts w:ascii="Times New Roman" w:hAnsi="Times New Roman" w:cs="Times New Roman"/>
                <w:sz w:val="20"/>
                <w:szCs w:val="20"/>
              </w:rPr>
            </w:pPr>
          </w:p>
        </w:tc>
      </w:tr>
      <w:tr w:rsidR="003927EE" w:rsidRPr="006F4FDE" w14:paraId="41542A0E" w14:textId="77777777" w:rsidTr="003927EE">
        <w:tc>
          <w:tcPr>
            <w:tcW w:w="2571" w:type="dxa"/>
            <w:gridSpan w:val="2"/>
          </w:tcPr>
          <w:p w14:paraId="43BCA309" w14:textId="1964F599" w:rsidR="003927EE" w:rsidRPr="00ED2316" w:rsidRDefault="00756CAE" w:rsidP="003927EE">
            <w:pPr>
              <w:rPr>
                <w:rFonts w:ascii="Times New Roman" w:hAnsi="Times New Roman" w:cs="Times New Roman"/>
                <w:sz w:val="20"/>
                <w:szCs w:val="20"/>
              </w:rPr>
            </w:pPr>
            <w:r>
              <w:rPr>
                <w:rFonts w:ascii="Times New Roman" w:hAnsi="Times New Roman" w:cs="Times New Roman"/>
                <w:sz w:val="20"/>
                <w:szCs w:val="20"/>
              </w:rPr>
              <w:t>Diagnostic window (0-</w:t>
            </w:r>
            <w:r w:rsidR="003927EE" w:rsidRPr="00ED2316">
              <w:rPr>
                <w:rFonts w:ascii="Times New Roman" w:hAnsi="Times New Roman" w:cs="Times New Roman"/>
                <w:sz w:val="20"/>
                <w:szCs w:val="20"/>
              </w:rPr>
              <w:t>6m)</w:t>
            </w:r>
          </w:p>
        </w:tc>
        <w:tc>
          <w:tcPr>
            <w:tcW w:w="1459" w:type="dxa"/>
          </w:tcPr>
          <w:p w14:paraId="36C764DD" w14:textId="2A88AE3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2,970 (3.9)</w:t>
            </w:r>
          </w:p>
        </w:tc>
        <w:tc>
          <w:tcPr>
            <w:tcW w:w="1417" w:type="dxa"/>
          </w:tcPr>
          <w:p w14:paraId="1A754EE6" w14:textId="5890498C"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35349.8              </w:t>
            </w:r>
          </w:p>
        </w:tc>
        <w:tc>
          <w:tcPr>
            <w:tcW w:w="1231" w:type="dxa"/>
          </w:tcPr>
          <w:p w14:paraId="21609484" w14:textId="32626A55"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840.2</w:t>
            </w:r>
          </w:p>
        </w:tc>
        <w:tc>
          <w:tcPr>
            <w:tcW w:w="1463" w:type="dxa"/>
          </w:tcPr>
          <w:p w14:paraId="112E3FF5" w14:textId="04961CFE"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72 (0.1)</w:t>
            </w:r>
          </w:p>
        </w:tc>
        <w:tc>
          <w:tcPr>
            <w:tcW w:w="1417" w:type="dxa"/>
          </w:tcPr>
          <w:p w14:paraId="36584FBA" w14:textId="0DE2F526"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37,188.2            </w:t>
            </w:r>
          </w:p>
        </w:tc>
        <w:tc>
          <w:tcPr>
            <w:tcW w:w="1134" w:type="dxa"/>
          </w:tcPr>
          <w:p w14:paraId="74F77579" w14:textId="56E3611C"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19.4</w:t>
            </w:r>
          </w:p>
        </w:tc>
        <w:tc>
          <w:tcPr>
            <w:tcW w:w="2136" w:type="dxa"/>
          </w:tcPr>
          <w:p w14:paraId="65C13D29" w14:textId="6FA078F2"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w:t>
            </w:r>
          </w:p>
        </w:tc>
      </w:tr>
      <w:tr w:rsidR="003927EE" w:rsidRPr="006F4FDE" w14:paraId="2DC9B7E9" w14:textId="77777777" w:rsidTr="003927EE">
        <w:tc>
          <w:tcPr>
            <w:tcW w:w="2571" w:type="dxa"/>
            <w:gridSpan w:val="2"/>
          </w:tcPr>
          <w:p w14:paraId="4F216628" w14:textId="50F22A49" w:rsidR="003927EE" w:rsidRPr="00ED2316" w:rsidRDefault="00756CAE" w:rsidP="003927EE">
            <w:pPr>
              <w:rPr>
                <w:rFonts w:ascii="Times New Roman" w:hAnsi="Times New Roman" w:cs="Times New Roman"/>
                <w:sz w:val="20"/>
                <w:szCs w:val="20"/>
              </w:rPr>
            </w:pPr>
            <w:r>
              <w:rPr>
                <w:rFonts w:ascii="Times New Roman" w:hAnsi="Times New Roman" w:cs="Times New Roman"/>
                <w:sz w:val="20"/>
                <w:szCs w:val="20"/>
              </w:rPr>
              <w:t>Long term follow-up (&gt;</w:t>
            </w:r>
            <w:r w:rsidR="003927EE" w:rsidRPr="00ED2316">
              <w:rPr>
                <w:rFonts w:ascii="Times New Roman" w:hAnsi="Times New Roman" w:cs="Times New Roman"/>
                <w:sz w:val="20"/>
                <w:szCs w:val="20"/>
              </w:rPr>
              <w:t>6m)</w:t>
            </w:r>
          </w:p>
        </w:tc>
        <w:tc>
          <w:tcPr>
            <w:tcW w:w="1459" w:type="dxa"/>
          </w:tcPr>
          <w:p w14:paraId="4F58FBE0" w14:textId="7A4CDD03"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6,141 (8.1)</w:t>
            </w:r>
          </w:p>
        </w:tc>
        <w:tc>
          <w:tcPr>
            <w:tcW w:w="1417" w:type="dxa"/>
          </w:tcPr>
          <w:p w14:paraId="23C39712" w14:textId="71C7BB1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441,810.8</w:t>
            </w:r>
          </w:p>
        </w:tc>
        <w:tc>
          <w:tcPr>
            <w:tcW w:w="1231" w:type="dxa"/>
          </w:tcPr>
          <w:p w14:paraId="21874716" w14:textId="16615D11"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139.0</w:t>
            </w:r>
          </w:p>
        </w:tc>
        <w:tc>
          <w:tcPr>
            <w:tcW w:w="1463" w:type="dxa"/>
          </w:tcPr>
          <w:p w14:paraId="5DBEDDA6" w14:textId="303C0475"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1,883 (2.5)</w:t>
            </w:r>
          </w:p>
        </w:tc>
        <w:tc>
          <w:tcPr>
            <w:tcW w:w="1417" w:type="dxa"/>
          </w:tcPr>
          <w:p w14:paraId="7E4A0E28" w14:textId="0983C796"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503,290.6</w:t>
            </w:r>
          </w:p>
        </w:tc>
        <w:tc>
          <w:tcPr>
            <w:tcW w:w="1134" w:type="dxa"/>
          </w:tcPr>
          <w:p w14:paraId="7A0E0119" w14:textId="1F8C791F"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37.4</w:t>
            </w:r>
          </w:p>
        </w:tc>
        <w:tc>
          <w:tcPr>
            <w:tcW w:w="2136" w:type="dxa"/>
          </w:tcPr>
          <w:p w14:paraId="58682113" w14:textId="46037360"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w:t>
            </w:r>
          </w:p>
        </w:tc>
      </w:tr>
      <w:tr w:rsidR="003927EE" w:rsidRPr="006F4FDE" w14:paraId="7E3DB572" w14:textId="77777777" w:rsidTr="003927EE">
        <w:tc>
          <w:tcPr>
            <w:tcW w:w="1135" w:type="dxa"/>
          </w:tcPr>
          <w:p w14:paraId="07E99A76" w14:textId="77777777" w:rsidR="003927EE" w:rsidRPr="00ED2316" w:rsidRDefault="003927EE" w:rsidP="003927EE">
            <w:pPr>
              <w:rPr>
                <w:rFonts w:ascii="Times New Roman" w:hAnsi="Times New Roman" w:cs="Times New Roman"/>
                <w:sz w:val="20"/>
                <w:szCs w:val="20"/>
              </w:rPr>
            </w:pPr>
          </w:p>
        </w:tc>
        <w:tc>
          <w:tcPr>
            <w:tcW w:w="1436" w:type="dxa"/>
          </w:tcPr>
          <w:p w14:paraId="27D74BCE" w14:textId="3AC5DDB8" w:rsidR="003927EE" w:rsidRPr="00ED2316" w:rsidRDefault="003927EE" w:rsidP="003927EE">
            <w:pPr>
              <w:rPr>
                <w:rFonts w:ascii="Times New Roman" w:hAnsi="Times New Roman" w:cs="Times New Roman"/>
                <w:sz w:val="20"/>
                <w:szCs w:val="20"/>
              </w:rPr>
            </w:pPr>
            <w:r w:rsidRPr="00ED2316">
              <w:rPr>
                <w:rFonts w:ascii="Times New Roman" w:hAnsi="Times New Roman" w:cs="Times New Roman"/>
                <w:sz w:val="20"/>
                <w:szCs w:val="20"/>
              </w:rPr>
              <w:t>6–12m</w:t>
            </w:r>
          </w:p>
        </w:tc>
        <w:tc>
          <w:tcPr>
            <w:tcW w:w="1459" w:type="dxa"/>
          </w:tcPr>
          <w:p w14:paraId="0983D463"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685 (0.9)</w:t>
            </w:r>
          </w:p>
        </w:tc>
        <w:tc>
          <w:tcPr>
            <w:tcW w:w="1417" w:type="dxa"/>
          </w:tcPr>
          <w:p w14:paraId="2177966F"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33,467.6             </w:t>
            </w:r>
          </w:p>
        </w:tc>
        <w:tc>
          <w:tcPr>
            <w:tcW w:w="1231" w:type="dxa"/>
          </w:tcPr>
          <w:p w14:paraId="03D2EA35"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204.7</w:t>
            </w:r>
          </w:p>
        </w:tc>
        <w:tc>
          <w:tcPr>
            <w:tcW w:w="1463" w:type="dxa"/>
          </w:tcPr>
          <w:p w14:paraId="4D6FAA7A"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80 (0.1)</w:t>
            </w:r>
          </w:p>
        </w:tc>
        <w:tc>
          <w:tcPr>
            <w:tcW w:w="1417" w:type="dxa"/>
          </w:tcPr>
          <w:p w14:paraId="4FEBDF23"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36,235.7           </w:t>
            </w:r>
          </w:p>
        </w:tc>
        <w:tc>
          <w:tcPr>
            <w:tcW w:w="1134" w:type="dxa"/>
          </w:tcPr>
          <w:p w14:paraId="26DC333C"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22.1</w:t>
            </w:r>
          </w:p>
        </w:tc>
        <w:tc>
          <w:tcPr>
            <w:tcW w:w="2136" w:type="dxa"/>
          </w:tcPr>
          <w:p w14:paraId="4CDABAD1"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8.6 (6.8, 11.0)</w:t>
            </w:r>
          </w:p>
        </w:tc>
      </w:tr>
      <w:tr w:rsidR="003927EE" w:rsidRPr="006F4FDE" w14:paraId="68532E4E" w14:textId="77777777" w:rsidTr="003927EE">
        <w:tc>
          <w:tcPr>
            <w:tcW w:w="1135" w:type="dxa"/>
          </w:tcPr>
          <w:p w14:paraId="2066C83B" w14:textId="77777777" w:rsidR="003927EE" w:rsidRPr="00ED2316" w:rsidRDefault="003927EE" w:rsidP="003927EE">
            <w:pPr>
              <w:rPr>
                <w:rFonts w:ascii="Times New Roman" w:hAnsi="Times New Roman" w:cs="Times New Roman"/>
                <w:sz w:val="20"/>
                <w:szCs w:val="20"/>
              </w:rPr>
            </w:pPr>
          </w:p>
        </w:tc>
        <w:tc>
          <w:tcPr>
            <w:tcW w:w="1436" w:type="dxa"/>
          </w:tcPr>
          <w:p w14:paraId="221C55FA" w14:textId="1379223C" w:rsidR="003927EE" w:rsidRPr="00ED2316" w:rsidRDefault="003927EE" w:rsidP="003927EE">
            <w:pPr>
              <w:rPr>
                <w:rFonts w:ascii="Times New Roman" w:hAnsi="Times New Roman" w:cs="Times New Roman"/>
                <w:sz w:val="20"/>
                <w:szCs w:val="20"/>
              </w:rPr>
            </w:pPr>
            <w:r w:rsidRPr="00ED2316">
              <w:rPr>
                <w:rFonts w:ascii="Times New Roman" w:hAnsi="Times New Roman" w:cs="Times New Roman"/>
                <w:sz w:val="20"/>
                <w:szCs w:val="20"/>
              </w:rPr>
              <w:t>12–36m</w:t>
            </w:r>
          </w:p>
        </w:tc>
        <w:tc>
          <w:tcPr>
            <w:tcW w:w="1459" w:type="dxa"/>
          </w:tcPr>
          <w:p w14:paraId="341B29CB"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1,835 (2.4)</w:t>
            </w:r>
          </w:p>
        </w:tc>
        <w:tc>
          <w:tcPr>
            <w:tcW w:w="1417" w:type="dxa"/>
          </w:tcPr>
          <w:p w14:paraId="111F1FA6"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120,124.0           </w:t>
            </w:r>
          </w:p>
        </w:tc>
        <w:tc>
          <w:tcPr>
            <w:tcW w:w="1231" w:type="dxa"/>
          </w:tcPr>
          <w:p w14:paraId="720DE10B"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152.8</w:t>
            </w:r>
          </w:p>
        </w:tc>
        <w:tc>
          <w:tcPr>
            <w:tcW w:w="1463" w:type="dxa"/>
          </w:tcPr>
          <w:p w14:paraId="197F569D"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364 (0.5)</w:t>
            </w:r>
          </w:p>
        </w:tc>
        <w:tc>
          <w:tcPr>
            <w:tcW w:w="1417" w:type="dxa"/>
          </w:tcPr>
          <w:p w14:paraId="452A8300"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133,356.3         </w:t>
            </w:r>
          </w:p>
        </w:tc>
        <w:tc>
          <w:tcPr>
            <w:tcW w:w="1134" w:type="dxa"/>
          </w:tcPr>
          <w:p w14:paraId="0AF07929"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27.3</w:t>
            </w:r>
          </w:p>
        </w:tc>
        <w:tc>
          <w:tcPr>
            <w:tcW w:w="2136" w:type="dxa"/>
          </w:tcPr>
          <w:p w14:paraId="23DCCA8C"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5.3 (4.7, 6.0)</w:t>
            </w:r>
          </w:p>
        </w:tc>
      </w:tr>
      <w:tr w:rsidR="003927EE" w:rsidRPr="006F4FDE" w14:paraId="3B306EF0" w14:textId="77777777" w:rsidTr="003927EE">
        <w:tc>
          <w:tcPr>
            <w:tcW w:w="1135" w:type="dxa"/>
          </w:tcPr>
          <w:p w14:paraId="5A24512F" w14:textId="77777777" w:rsidR="003927EE" w:rsidRPr="00ED2316" w:rsidRDefault="003927EE" w:rsidP="003927EE">
            <w:pPr>
              <w:rPr>
                <w:rFonts w:ascii="Times New Roman" w:hAnsi="Times New Roman" w:cs="Times New Roman"/>
                <w:sz w:val="20"/>
                <w:szCs w:val="20"/>
              </w:rPr>
            </w:pPr>
          </w:p>
        </w:tc>
        <w:tc>
          <w:tcPr>
            <w:tcW w:w="1436" w:type="dxa"/>
          </w:tcPr>
          <w:p w14:paraId="3E4B52AA" w14:textId="77777777" w:rsidR="003927EE" w:rsidRPr="00ED2316" w:rsidRDefault="003927EE" w:rsidP="003927EE">
            <w:pPr>
              <w:rPr>
                <w:rFonts w:ascii="Times New Roman" w:hAnsi="Times New Roman" w:cs="Times New Roman"/>
                <w:sz w:val="20"/>
                <w:szCs w:val="20"/>
              </w:rPr>
            </w:pPr>
            <w:r w:rsidRPr="00ED2316">
              <w:rPr>
                <w:rFonts w:ascii="Times New Roman" w:hAnsi="Times New Roman" w:cs="Times New Roman"/>
                <w:sz w:val="20"/>
                <w:szCs w:val="20"/>
              </w:rPr>
              <w:t>&gt;36m</w:t>
            </w:r>
          </w:p>
        </w:tc>
        <w:tc>
          <w:tcPr>
            <w:tcW w:w="1459" w:type="dxa"/>
          </w:tcPr>
          <w:p w14:paraId="6AAF0E62"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3,621 (4.8)</w:t>
            </w:r>
          </w:p>
        </w:tc>
        <w:tc>
          <w:tcPr>
            <w:tcW w:w="1417" w:type="dxa"/>
          </w:tcPr>
          <w:p w14:paraId="58C7C281"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288,219.2           </w:t>
            </w:r>
          </w:p>
        </w:tc>
        <w:tc>
          <w:tcPr>
            <w:tcW w:w="1231" w:type="dxa"/>
          </w:tcPr>
          <w:p w14:paraId="027DC734"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125.6</w:t>
            </w:r>
          </w:p>
        </w:tc>
        <w:tc>
          <w:tcPr>
            <w:tcW w:w="1463" w:type="dxa"/>
          </w:tcPr>
          <w:p w14:paraId="2E4FBE6E"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1,439 (1.9)</w:t>
            </w:r>
          </w:p>
        </w:tc>
        <w:tc>
          <w:tcPr>
            <w:tcW w:w="1417" w:type="dxa"/>
          </w:tcPr>
          <w:p w14:paraId="44493FB4"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333,698.6         </w:t>
            </w:r>
          </w:p>
        </w:tc>
        <w:tc>
          <w:tcPr>
            <w:tcW w:w="1134" w:type="dxa"/>
          </w:tcPr>
          <w:p w14:paraId="491DC0A5"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43.1</w:t>
            </w:r>
          </w:p>
        </w:tc>
        <w:tc>
          <w:tcPr>
            <w:tcW w:w="2136" w:type="dxa"/>
          </w:tcPr>
          <w:p w14:paraId="2AF2AF00"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2.8 (2.6, 3.0)</w:t>
            </w:r>
          </w:p>
        </w:tc>
      </w:tr>
      <w:tr w:rsidR="003927EE" w:rsidRPr="006F4FDE" w14:paraId="7D7C0318" w14:textId="77777777" w:rsidTr="003927EE">
        <w:tc>
          <w:tcPr>
            <w:tcW w:w="2571" w:type="dxa"/>
            <w:gridSpan w:val="2"/>
          </w:tcPr>
          <w:p w14:paraId="4C1CC228" w14:textId="77777777" w:rsidR="003927EE" w:rsidRPr="00ED2316" w:rsidRDefault="003927EE" w:rsidP="003927EE">
            <w:pPr>
              <w:rPr>
                <w:rFonts w:ascii="Times New Roman" w:hAnsi="Times New Roman" w:cs="Times New Roman"/>
                <w:sz w:val="20"/>
                <w:szCs w:val="20"/>
              </w:rPr>
            </w:pPr>
            <w:r w:rsidRPr="00ED2316">
              <w:rPr>
                <w:rFonts w:ascii="Times New Roman" w:hAnsi="Times New Roman" w:cs="Times New Roman"/>
                <w:sz w:val="20"/>
                <w:szCs w:val="20"/>
              </w:rPr>
              <w:t>Asthma</w:t>
            </w:r>
          </w:p>
        </w:tc>
        <w:tc>
          <w:tcPr>
            <w:tcW w:w="1459" w:type="dxa"/>
          </w:tcPr>
          <w:p w14:paraId="065151A0" w14:textId="77777777" w:rsidR="003927EE" w:rsidRPr="00ED2316" w:rsidRDefault="003927EE" w:rsidP="003927EE">
            <w:pPr>
              <w:jc w:val="center"/>
              <w:rPr>
                <w:rFonts w:ascii="Times New Roman" w:hAnsi="Times New Roman" w:cs="Times New Roman"/>
                <w:sz w:val="20"/>
                <w:szCs w:val="20"/>
              </w:rPr>
            </w:pPr>
          </w:p>
        </w:tc>
        <w:tc>
          <w:tcPr>
            <w:tcW w:w="1417" w:type="dxa"/>
          </w:tcPr>
          <w:p w14:paraId="78B51979" w14:textId="77777777" w:rsidR="003927EE" w:rsidRPr="00ED2316" w:rsidRDefault="003927EE" w:rsidP="003927EE">
            <w:pPr>
              <w:jc w:val="center"/>
              <w:rPr>
                <w:rFonts w:ascii="Times New Roman" w:hAnsi="Times New Roman" w:cs="Times New Roman"/>
                <w:sz w:val="20"/>
                <w:szCs w:val="20"/>
              </w:rPr>
            </w:pPr>
          </w:p>
        </w:tc>
        <w:tc>
          <w:tcPr>
            <w:tcW w:w="1231" w:type="dxa"/>
          </w:tcPr>
          <w:p w14:paraId="569F398E" w14:textId="77777777" w:rsidR="003927EE" w:rsidRPr="00ED2316" w:rsidRDefault="003927EE" w:rsidP="003927EE">
            <w:pPr>
              <w:jc w:val="center"/>
              <w:rPr>
                <w:rFonts w:ascii="Times New Roman" w:hAnsi="Times New Roman" w:cs="Times New Roman"/>
                <w:sz w:val="20"/>
                <w:szCs w:val="20"/>
              </w:rPr>
            </w:pPr>
          </w:p>
        </w:tc>
        <w:tc>
          <w:tcPr>
            <w:tcW w:w="1463" w:type="dxa"/>
          </w:tcPr>
          <w:p w14:paraId="356FED81" w14:textId="77777777" w:rsidR="003927EE" w:rsidRPr="00ED2316" w:rsidRDefault="003927EE" w:rsidP="003927EE">
            <w:pPr>
              <w:jc w:val="center"/>
              <w:rPr>
                <w:rFonts w:ascii="Times New Roman" w:hAnsi="Times New Roman" w:cs="Times New Roman"/>
                <w:sz w:val="20"/>
                <w:szCs w:val="20"/>
              </w:rPr>
            </w:pPr>
          </w:p>
        </w:tc>
        <w:tc>
          <w:tcPr>
            <w:tcW w:w="1417" w:type="dxa"/>
          </w:tcPr>
          <w:p w14:paraId="21F73D70" w14:textId="77777777" w:rsidR="003927EE" w:rsidRPr="00ED2316" w:rsidRDefault="003927EE" w:rsidP="003927EE">
            <w:pPr>
              <w:jc w:val="center"/>
              <w:rPr>
                <w:rFonts w:ascii="Times New Roman" w:hAnsi="Times New Roman" w:cs="Times New Roman"/>
                <w:sz w:val="20"/>
                <w:szCs w:val="20"/>
              </w:rPr>
            </w:pPr>
          </w:p>
        </w:tc>
        <w:tc>
          <w:tcPr>
            <w:tcW w:w="1134" w:type="dxa"/>
          </w:tcPr>
          <w:p w14:paraId="24FCC7C8" w14:textId="77777777" w:rsidR="003927EE" w:rsidRPr="00ED2316" w:rsidRDefault="003927EE" w:rsidP="003927EE">
            <w:pPr>
              <w:jc w:val="center"/>
              <w:rPr>
                <w:rFonts w:ascii="Times New Roman" w:hAnsi="Times New Roman" w:cs="Times New Roman"/>
                <w:sz w:val="20"/>
                <w:szCs w:val="20"/>
              </w:rPr>
            </w:pPr>
          </w:p>
        </w:tc>
        <w:tc>
          <w:tcPr>
            <w:tcW w:w="2136" w:type="dxa"/>
          </w:tcPr>
          <w:p w14:paraId="758B5655" w14:textId="77777777" w:rsidR="003927EE" w:rsidRPr="00ED2316" w:rsidRDefault="003927EE" w:rsidP="003927EE">
            <w:pPr>
              <w:jc w:val="center"/>
              <w:rPr>
                <w:rFonts w:ascii="Times New Roman" w:hAnsi="Times New Roman" w:cs="Times New Roman"/>
                <w:sz w:val="20"/>
                <w:szCs w:val="20"/>
              </w:rPr>
            </w:pPr>
          </w:p>
        </w:tc>
      </w:tr>
      <w:tr w:rsidR="003927EE" w:rsidRPr="006F4FDE" w14:paraId="5E8391E2" w14:textId="77777777" w:rsidTr="003927EE">
        <w:tc>
          <w:tcPr>
            <w:tcW w:w="2571" w:type="dxa"/>
            <w:gridSpan w:val="2"/>
          </w:tcPr>
          <w:p w14:paraId="198FB877" w14:textId="41E43D8C" w:rsidR="003927EE" w:rsidRPr="00ED2316" w:rsidRDefault="003927EE" w:rsidP="003927EE">
            <w:pPr>
              <w:rPr>
                <w:rFonts w:ascii="Times New Roman" w:hAnsi="Times New Roman" w:cs="Times New Roman"/>
                <w:sz w:val="20"/>
                <w:szCs w:val="20"/>
              </w:rPr>
            </w:pPr>
            <w:r w:rsidRPr="00ED2316">
              <w:rPr>
                <w:rFonts w:ascii="Times New Roman" w:hAnsi="Times New Roman" w:cs="Times New Roman"/>
                <w:sz w:val="20"/>
                <w:szCs w:val="20"/>
              </w:rPr>
              <w:t>Diagnostic window (0-6m)</w:t>
            </w:r>
          </w:p>
        </w:tc>
        <w:tc>
          <w:tcPr>
            <w:tcW w:w="1459" w:type="dxa"/>
          </w:tcPr>
          <w:p w14:paraId="39A473BD"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4,430 (5.9)</w:t>
            </w:r>
          </w:p>
        </w:tc>
        <w:tc>
          <w:tcPr>
            <w:tcW w:w="1417" w:type="dxa"/>
          </w:tcPr>
          <w:p w14:paraId="74F8F093"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34,759.7</w:t>
            </w:r>
          </w:p>
        </w:tc>
        <w:tc>
          <w:tcPr>
            <w:tcW w:w="1231" w:type="dxa"/>
          </w:tcPr>
          <w:p w14:paraId="0D322C38"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1274.5</w:t>
            </w:r>
          </w:p>
        </w:tc>
        <w:tc>
          <w:tcPr>
            <w:tcW w:w="1463" w:type="dxa"/>
          </w:tcPr>
          <w:p w14:paraId="58D71AB6"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80 (0.1)</w:t>
            </w:r>
          </w:p>
        </w:tc>
        <w:tc>
          <w:tcPr>
            <w:tcW w:w="1417" w:type="dxa"/>
          </w:tcPr>
          <w:p w14:paraId="4F28A510"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37,184.6         </w:t>
            </w:r>
          </w:p>
        </w:tc>
        <w:tc>
          <w:tcPr>
            <w:tcW w:w="1134" w:type="dxa"/>
          </w:tcPr>
          <w:p w14:paraId="655134B2"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21.5</w:t>
            </w:r>
          </w:p>
        </w:tc>
        <w:tc>
          <w:tcPr>
            <w:tcW w:w="2136" w:type="dxa"/>
          </w:tcPr>
          <w:p w14:paraId="25F26118"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w:t>
            </w:r>
          </w:p>
        </w:tc>
      </w:tr>
      <w:tr w:rsidR="003927EE" w:rsidRPr="006F4FDE" w14:paraId="38E9C823" w14:textId="77777777" w:rsidTr="003927EE">
        <w:tc>
          <w:tcPr>
            <w:tcW w:w="2571" w:type="dxa"/>
            <w:gridSpan w:val="2"/>
          </w:tcPr>
          <w:p w14:paraId="788085D5" w14:textId="6C1A06D6" w:rsidR="003927EE" w:rsidRPr="00ED2316" w:rsidRDefault="003927EE" w:rsidP="003927EE">
            <w:pPr>
              <w:rPr>
                <w:rFonts w:ascii="Times New Roman" w:hAnsi="Times New Roman" w:cs="Times New Roman"/>
                <w:sz w:val="20"/>
                <w:szCs w:val="20"/>
              </w:rPr>
            </w:pPr>
            <w:r w:rsidRPr="00ED2316">
              <w:rPr>
                <w:rFonts w:ascii="Times New Roman" w:hAnsi="Times New Roman" w:cs="Times New Roman"/>
                <w:sz w:val="20"/>
                <w:szCs w:val="20"/>
              </w:rPr>
              <w:t>Long term follow-up (&gt;6m)</w:t>
            </w:r>
          </w:p>
        </w:tc>
        <w:tc>
          <w:tcPr>
            <w:tcW w:w="1459" w:type="dxa"/>
          </w:tcPr>
          <w:p w14:paraId="759B2A72"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6,925 (9.1)</w:t>
            </w:r>
          </w:p>
        </w:tc>
        <w:tc>
          <w:tcPr>
            <w:tcW w:w="1417" w:type="dxa"/>
          </w:tcPr>
          <w:p w14:paraId="5CB8512C"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411,223.4</w:t>
            </w:r>
          </w:p>
        </w:tc>
        <w:tc>
          <w:tcPr>
            <w:tcW w:w="1231" w:type="dxa"/>
          </w:tcPr>
          <w:p w14:paraId="260EE545"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168.4</w:t>
            </w:r>
          </w:p>
        </w:tc>
        <w:tc>
          <w:tcPr>
            <w:tcW w:w="1463" w:type="dxa"/>
          </w:tcPr>
          <w:p w14:paraId="247E4B34"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1,347 (1.8)</w:t>
            </w:r>
          </w:p>
        </w:tc>
        <w:tc>
          <w:tcPr>
            <w:tcW w:w="1417" w:type="dxa"/>
          </w:tcPr>
          <w:p w14:paraId="1C17DA24"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502,628.2</w:t>
            </w:r>
          </w:p>
        </w:tc>
        <w:tc>
          <w:tcPr>
            <w:tcW w:w="1134" w:type="dxa"/>
          </w:tcPr>
          <w:p w14:paraId="5A185F28"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26.8</w:t>
            </w:r>
          </w:p>
        </w:tc>
        <w:tc>
          <w:tcPr>
            <w:tcW w:w="2136" w:type="dxa"/>
          </w:tcPr>
          <w:p w14:paraId="5D87AC4C"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w:t>
            </w:r>
          </w:p>
        </w:tc>
      </w:tr>
      <w:tr w:rsidR="003927EE" w:rsidRPr="006F4FDE" w14:paraId="6C6521F4" w14:textId="77777777" w:rsidTr="003927EE">
        <w:tc>
          <w:tcPr>
            <w:tcW w:w="1135" w:type="dxa"/>
          </w:tcPr>
          <w:p w14:paraId="7BAFA919" w14:textId="77777777" w:rsidR="003927EE" w:rsidRPr="00ED2316" w:rsidRDefault="003927EE" w:rsidP="003927EE">
            <w:pPr>
              <w:rPr>
                <w:rFonts w:ascii="Times New Roman" w:hAnsi="Times New Roman" w:cs="Times New Roman"/>
                <w:sz w:val="20"/>
                <w:szCs w:val="20"/>
              </w:rPr>
            </w:pPr>
          </w:p>
        </w:tc>
        <w:tc>
          <w:tcPr>
            <w:tcW w:w="1436" w:type="dxa"/>
          </w:tcPr>
          <w:p w14:paraId="1CF721BD" w14:textId="3BA55C14" w:rsidR="003927EE" w:rsidRPr="00ED2316" w:rsidRDefault="003927EE" w:rsidP="003927EE">
            <w:pPr>
              <w:rPr>
                <w:rFonts w:ascii="Times New Roman" w:hAnsi="Times New Roman" w:cs="Times New Roman"/>
                <w:sz w:val="20"/>
                <w:szCs w:val="20"/>
              </w:rPr>
            </w:pPr>
            <w:r w:rsidRPr="00ED2316">
              <w:rPr>
                <w:rFonts w:ascii="Times New Roman" w:hAnsi="Times New Roman" w:cs="Times New Roman"/>
                <w:sz w:val="20"/>
                <w:szCs w:val="20"/>
              </w:rPr>
              <w:t>6–12m</w:t>
            </w:r>
          </w:p>
        </w:tc>
        <w:tc>
          <w:tcPr>
            <w:tcW w:w="1459" w:type="dxa"/>
          </w:tcPr>
          <w:p w14:paraId="4FD61AAA"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1,032 (1.4)</w:t>
            </w:r>
          </w:p>
        </w:tc>
        <w:tc>
          <w:tcPr>
            <w:tcW w:w="1417" w:type="dxa"/>
          </w:tcPr>
          <w:p w14:paraId="63C9BEC7"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32,539.8            </w:t>
            </w:r>
          </w:p>
        </w:tc>
        <w:tc>
          <w:tcPr>
            <w:tcW w:w="1231" w:type="dxa"/>
          </w:tcPr>
          <w:p w14:paraId="4DA8BC06"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317.2</w:t>
            </w:r>
          </w:p>
        </w:tc>
        <w:tc>
          <w:tcPr>
            <w:tcW w:w="1463" w:type="dxa"/>
          </w:tcPr>
          <w:p w14:paraId="5D4202F3"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89 (0.1)</w:t>
            </w:r>
          </w:p>
        </w:tc>
        <w:tc>
          <w:tcPr>
            <w:tcW w:w="1417" w:type="dxa"/>
          </w:tcPr>
          <w:p w14:paraId="48781D23"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36,226.2          </w:t>
            </w:r>
          </w:p>
        </w:tc>
        <w:tc>
          <w:tcPr>
            <w:tcW w:w="1134" w:type="dxa"/>
          </w:tcPr>
          <w:p w14:paraId="4302A108"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24.6</w:t>
            </w:r>
          </w:p>
        </w:tc>
        <w:tc>
          <w:tcPr>
            <w:tcW w:w="2136" w:type="dxa"/>
          </w:tcPr>
          <w:p w14:paraId="2F305622"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11.7 (9.4, 14.6)</w:t>
            </w:r>
          </w:p>
        </w:tc>
      </w:tr>
      <w:tr w:rsidR="003927EE" w:rsidRPr="006F4FDE" w14:paraId="0DA868F4" w14:textId="77777777" w:rsidTr="003927EE">
        <w:tc>
          <w:tcPr>
            <w:tcW w:w="1135" w:type="dxa"/>
          </w:tcPr>
          <w:p w14:paraId="7ED4720B" w14:textId="77777777" w:rsidR="003927EE" w:rsidRPr="00ED2316" w:rsidRDefault="003927EE" w:rsidP="003927EE">
            <w:pPr>
              <w:rPr>
                <w:rFonts w:ascii="Times New Roman" w:hAnsi="Times New Roman" w:cs="Times New Roman"/>
                <w:sz w:val="20"/>
                <w:szCs w:val="20"/>
              </w:rPr>
            </w:pPr>
          </w:p>
        </w:tc>
        <w:tc>
          <w:tcPr>
            <w:tcW w:w="1436" w:type="dxa"/>
          </w:tcPr>
          <w:p w14:paraId="3727F91F" w14:textId="572615DA" w:rsidR="003927EE" w:rsidRPr="00ED2316" w:rsidRDefault="003927EE" w:rsidP="003927EE">
            <w:pPr>
              <w:rPr>
                <w:rFonts w:ascii="Times New Roman" w:hAnsi="Times New Roman" w:cs="Times New Roman"/>
                <w:sz w:val="20"/>
                <w:szCs w:val="20"/>
              </w:rPr>
            </w:pPr>
            <w:r w:rsidRPr="00ED2316">
              <w:rPr>
                <w:rFonts w:ascii="Times New Roman" w:hAnsi="Times New Roman" w:cs="Times New Roman"/>
                <w:sz w:val="20"/>
                <w:szCs w:val="20"/>
              </w:rPr>
              <w:t>12–36m</w:t>
            </w:r>
          </w:p>
        </w:tc>
        <w:tc>
          <w:tcPr>
            <w:tcW w:w="1459" w:type="dxa"/>
          </w:tcPr>
          <w:p w14:paraId="138CEE1C"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2,335 (3.1)</w:t>
            </w:r>
          </w:p>
        </w:tc>
        <w:tc>
          <w:tcPr>
            <w:tcW w:w="1417" w:type="dxa"/>
          </w:tcPr>
          <w:p w14:paraId="20976577"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115,176.6         </w:t>
            </w:r>
          </w:p>
        </w:tc>
        <w:tc>
          <w:tcPr>
            <w:tcW w:w="1231" w:type="dxa"/>
          </w:tcPr>
          <w:p w14:paraId="6B1C5008"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202.7</w:t>
            </w:r>
          </w:p>
        </w:tc>
        <w:tc>
          <w:tcPr>
            <w:tcW w:w="1463" w:type="dxa"/>
          </w:tcPr>
          <w:p w14:paraId="38373FE3"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347 (0.5)</w:t>
            </w:r>
          </w:p>
        </w:tc>
        <w:tc>
          <w:tcPr>
            <w:tcW w:w="1417" w:type="dxa"/>
          </w:tcPr>
          <w:p w14:paraId="3A9AC068"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133,251.3       </w:t>
            </w:r>
          </w:p>
        </w:tc>
        <w:tc>
          <w:tcPr>
            <w:tcW w:w="1134" w:type="dxa"/>
          </w:tcPr>
          <w:p w14:paraId="5DD4208F"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26.0</w:t>
            </w:r>
          </w:p>
        </w:tc>
        <w:tc>
          <w:tcPr>
            <w:tcW w:w="2136" w:type="dxa"/>
          </w:tcPr>
          <w:p w14:paraId="35EE2FB1"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6.8 (6.0, 7.6)</w:t>
            </w:r>
          </w:p>
        </w:tc>
      </w:tr>
      <w:tr w:rsidR="003927EE" w:rsidRPr="006F4FDE" w14:paraId="037FB069" w14:textId="77777777" w:rsidTr="003927EE">
        <w:tc>
          <w:tcPr>
            <w:tcW w:w="1135" w:type="dxa"/>
          </w:tcPr>
          <w:p w14:paraId="10CF0F57" w14:textId="77777777" w:rsidR="003927EE" w:rsidRPr="00ED2316" w:rsidRDefault="003927EE" w:rsidP="003927EE">
            <w:pPr>
              <w:rPr>
                <w:rFonts w:ascii="Times New Roman" w:hAnsi="Times New Roman" w:cs="Times New Roman"/>
                <w:sz w:val="20"/>
                <w:szCs w:val="20"/>
              </w:rPr>
            </w:pPr>
          </w:p>
        </w:tc>
        <w:tc>
          <w:tcPr>
            <w:tcW w:w="1436" w:type="dxa"/>
          </w:tcPr>
          <w:p w14:paraId="728C4702" w14:textId="77777777" w:rsidR="003927EE" w:rsidRPr="00ED2316" w:rsidRDefault="003927EE" w:rsidP="003927EE">
            <w:pPr>
              <w:rPr>
                <w:rFonts w:ascii="Times New Roman" w:hAnsi="Times New Roman" w:cs="Times New Roman"/>
                <w:sz w:val="20"/>
                <w:szCs w:val="20"/>
              </w:rPr>
            </w:pPr>
            <w:r w:rsidRPr="00ED2316">
              <w:rPr>
                <w:rFonts w:ascii="Times New Roman" w:hAnsi="Times New Roman" w:cs="Times New Roman"/>
                <w:sz w:val="20"/>
                <w:szCs w:val="20"/>
              </w:rPr>
              <w:t>&gt;36m</w:t>
            </w:r>
          </w:p>
        </w:tc>
        <w:tc>
          <w:tcPr>
            <w:tcW w:w="1459" w:type="dxa"/>
          </w:tcPr>
          <w:p w14:paraId="0A8CFFBB"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3,558 (4.7)</w:t>
            </w:r>
          </w:p>
        </w:tc>
        <w:tc>
          <w:tcPr>
            <w:tcW w:w="1417" w:type="dxa"/>
          </w:tcPr>
          <w:p w14:paraId="5E3B60E7"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263,507.0         </w:t>
            </w:r>
          </w:p>
        </w:tc>
        <w:tc>
          <w:tcPr>
            <w:tcW w:w="1231" w:type="dxa"/>
          </w:tcPr>
          <w:p w14:paraId="2701720F"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135.0</w:t>
            </w:r>
          </w:p>
        </w:tc>
        <w:tc>
          <w:tcPr>
            <w:tcW w:w="1463" w:type="dxa"/>
          </w:tcPr>
          <w:p w14:paraId="7D8171C0"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911 (1.2)</w:t>
            </w:r>
          </w:p>
        </w:tc>
        <w:tc>
          <w:tcPr>
            <w:tcW w:w="1417" w:type="dxa"/>
          </w:tcPr>
          <w:p w14:paraId="69F5DDD1"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333,150.7        </w:t>
            </w:r>
          </w:p>
        </w:tc>
        <w:tc>
          <w:tcPr>
            <w:tcW w:w="1134" w:type="dxa"/>
          </w:tcPr>
          <w:p w14:paraId="184B7990"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27.3</w:t>
            </w:r>
          </w:p>
        </w:tc>
        <w:tc>
          <w:tcPr>
            <w:tcW w:w="2136" w:type="dxa"/>
          </w:tcPr>
          <w:p w14:paraId="221E67C5"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4.3 (3.9, 4.6)</w:t>
            </w:r>
          </w:p>
        </w:tc>
      </w:tr>
      <w:tr w:rsidR="003927EE" w:rsidRPr="006F4FDE" w14:paraId="2E15CF51" w14:textId="77777777" w:rsidTr="003927EE">
        <w:tc>
          <w:tcPr>
            <w:tcW w:w="2571" w:type="dxa"/>
            <w:gridSpan w:val="2"/>
          </w:tcPr>
          <w:p w14:paraId="549F5654" w14:textId="77777777" w:rsidR="003927EE" w:rsidRPr="00ED2316" w:rsidRDefault="003927EE" w:rsidP="003927EE">
            <w:pPr>
              <w:rPr>
                <w:rFonts w:ascii="Times New Roman" w:hAnsi="Times New Roman" w:cs="Times New Roman"/>
                <w:sz w:val="20"/>
                <w:szCs w:val="20"/>
              </w:rPr>
            </w:pPr>
            <w:r w:rsidRPr="00ED2316">
              <w:rPr>
                <w:rFonts w:ascii="Times New Roman" w:hAnsi="Times New Roman" w:cs="Times New Roman"/>
                <w:sz w:val="20"/>
                <w:szCs w:val="20"/>
              </w:rPr>
              <w:t>IHD</w:t>
            </w:r>
          </w:p>
        </w:tc>
        <w:tc>
          <w:tcPr>
            <w:tcW w:w="1459" w:type="dxa"/>
          </w:tcPr>
          <w:p w14:paraId="7FBFB877" w14:textId="77777777" w:rsidR="003927EE" w:rsidRPr="00ED2316" w:rsidRDefault="003927EE" w:rsidP="003927EE">
            <w:pPr>
              <w:jc w:val="center"/>
              <w:rPr>
                <w:rFonts w:ascii="Times New Roman" w:hAnsi="Times New Roman" w:cs="Times New Roman"/>
                <w:sz w:val="20"/>
                <w:szCs w:val="20"/>
              </w:rPr>
            </w:pPr>
          </w:p>
        </w:tc>
        <w:tc>
          <w:tcPr>
            <w:tcW w:w="1417" w:type="dxa"/>
          </w:tcPr>
          <w:p w14:paraId="7914B945" w14:textId="77777777" w:rsidR="003927EE" w:rsidRPr="00ED2316" w:rsidRDefault="003927EE" w:rsidP="003927EE">
            <w:pPr>
              <w:jc w:val="center"/>
              <w:rPr>
                <w:rFonts w:ascii="Times New Roman" w:hAnsi="Times New Roman" w:cs="Times New Roman"/>
                <w:sz w:val="20"/>
                <w:szCs w:val="20"/>
              </w:rPr>
            </w:pPr>
          </w:p>
        </w:tc>
        <w:tc>
          <w:tcPr>
            <w:tcW w:w="1231" w:type="dxa"/>
          </w:tcPr>
          <w:p w14:paraId="2B1478A4" w14:textId="77777777" w:rsidR="003927EE" w:rsidRPr="00ED2316" w:rsidRDefault="003927EE" w:rsidP="003927EE">
            <w:pPr>
              <w:jc w:val="center"/>
              <w:rPr>
                <w:rFonts w:ascii="Times New Roman" w:hAnsi="Times New Roman" w:cs="Times New Roman"/>
                <w:sz w:val="20"/>
                <w:szCs w:val="20"/>
              </w:rPr>
            </w:pPr>
          </w:p>
        </w:tc>
        <w:tc>
          <w:tcPr>
            <w:tcW w:w="1463" w:type="dxa"/>
          </w:tcPr>
          <w:p w14:paraId="4B64E6B2" w14:textId="77777777" w:rsidR="003927EE" w:rsidRPr="00ED2316" w:rsidRDefault="003927EE" w:rsidP="003927EE">
            <w:pPr>
              <w:jc w:val="center"/>
              <w:rPr>
                <w:rFonts w:ascii="Times New Roman" w:hAnsi="Times New Roman" w:cs="Times New Roman"/>
                <w:sz w:val="20"/>
                <w:szCs w:val="20"/>
              </w:rPr>
            </w:pPr>
          </w:p>
        </w:tc>
        <w:tc>
          <w:tcPr>
            <w:tcW w:w="1417" w:type="dxa"/>
          </w:tcPr>
          <w:p w14:paraId="78F32090" w14:textId="77777777" w:rsidR="003927EE" w:rsidRPr="00ED2316" w:rsidRDefault="003927EE" w:rsidP="003927EE">
            <w:pPr>
              <w:jc w:val="center"/>
              <w:rPr>
                <w:rFonts w:ascii="Times New Roman" w:hAnsi="Times New Roman" w:cs="Times New Roman"/>
                <w:sz w:val="20"/>
                <w:szCs w:val="20"/>
              </w:rPr>
            </w:pPr>
          </w:p>
        </w:tc>
        <w:tc>
          <w:tcPr>
            <w:tcW w:w="1134" w:type="dxa"/>
          </w:tcPr>
          <w:p w14:paraId="223535B7" w14:textId="77777777" w:rsidR="003927EE" w:rsidRPr="00ED2316" w:rsidRDefault="003927EE" w:rsidP="003927EE">
            <w:pPr>
              <w:jc w:val="center"/>
              <w:rPr>
                <w:rFonts w:ascii="Times New Roman" w:hAnsi="Times New Roman" w:cs="Times New Roman"/>
                <w:sz w:val="20"/>
                <w:szCs w:val="20"/>
              </w:rPr>
            </w:pPr>
          </w:p>
        </w:tc>
        <w:tc>
          <w:tcPr>
            <w:tcW w:w="2136" w:type="dxa"/>
          </w:tcPr>
          <w:p w14:paraId="2045BAA3" w14:textId="77777777" w:rsidR="003927EE" w:rsidRPr="00ED2316" w:rsidRDefault="003927EE" w:rsidP="003927EE">
            <w:pPr>
              <w:jc w:val="center"/>
              <w:rPr>
                <w:rFonts w:ascii="Times New Roman" w:hAnsi="Times New Roman" w:cs="Times New Roman"/>
                <w:sz w:val="20"/>
                <w:szCs w:val="20"/>
              </w:rPr>
            </w:pPr>
          </w:p>
        </w:tc>
      </w:tr>
      <w:tr w:rsidR="003927EE" w:rsidRPr="006F4FDE" w14:paraId="7ADE68C7" w14:textId="77777777" w:rsidTr="003927EE">
        <w:tc>
          <w:tcPr>
            <w:tcW w:w="2571" w:type="dxa"/>
            <w:gridSpan w:val="2"/>
          </w:tcPr>
          <w:p w14:paraId="15BF1093" w14:textId="7260D191" w:rsidR="003927EE" w:rsidRPr="00ED2316" w:rsidRDefault="003927EE" w:rsidP="003927EE">
            <w:pPr>
              <w:rPr>
                <w:rFonts w:ascii="Times New Roman" w:hAnsi="Times New Roman" w:cs="Times New Roman"/>
                <w:sz w:val="20"/>
                <w:szCs w:val="20"/>
              </w:rPr>
            </w:pPr>
            <w:r w:rsidRPr="00ED2316">
              <w:rPr>
                <w:rFonts w:ascii="Times New Roman" w:hAnsi="Times New Roman" w:cs="Times New Roman"/>
                <w:sz w:val="20"/>
                <w:szCs w:val="20"/>
              </w:rPr>
              <w:t>Diagnostic window (0-6m)</w:t>
            </w:r>
          </w:p>
        </w:tc>
        <w:tc>
          <w:tcPr>
            <w:tcW w:w="1459" w:type="dxa"/>
          </w:tcPr>
          <w:p w14:paraId="5DEB8914"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4,430 (5.9)</w:t>
            </w:r>
          </w:p>
        </w:tc>
        <w:tc>
          <w:tcPr>
            <w:tcW w:w="1417" w:type="dxa"/>
          </w:tcPr>
          <w:p w14:paraId="2FF6AE84"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34,964.4             </w:t>
            </w:r>
          </w:p>
        </w:tc>
        <w:tc>
          <w:tcPr>
            <w:tcW w:w="1231" w:type="dxa"/>
          </w:tcPr>
          <w:p w14:paraId="2591C729"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1267.0</w:t>
            </w:r>
          </w:p>
        </w:tc>
        <w:tc>
          <w:tcPr>
            <w:tcW w:w="1463" w:type="dxa"/>
          </w:tcPr>
          <w:p w14:paraId="64923520"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338 (0.4)</w:t>
            </w:r>
          </w:p>
        </w:tc>
        <w:tc>
          <w:tcPr>
            <w:tcW w:w="1417" w:type="dxa"/>
          </w:tcPr>
          <w:p w14:paraId="580D0688"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37,131.6            </w:t>
            </w:r>
          </w:p>
        </w:tc>
        <w:tc>
          <w:tcPr>
            <w:tcW w:w="1134" w:type="dxa"/>
          </w:tcPr>
          <w:p w14:paraId="06C07D8E"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91.0</w:t>
            </w:r>
          </w:p>
        </w:tc>
        <w:tc>
          <w:tcPr>
            <w:tcW w:w="2136" w:type="dxa"/>
          </w:tcPr>
          <w:p w14:paraId="2E25CAB6"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w:t>
            </w:r>
          </w:p>
        </w:tc>
      </w:tr>
      <w:tr w:rsidR="003927EE" w:rsidRPr="006F4FDE" w14:paraId="50555543" w14:textId="77777777" w:rsidTr="003927EE">
        <w:tc>
          <w:tcPr>
            <w:tcW w:w="2571" w:type="dxa"/>
            <w:gridSpan w:val="2"/>
          </w:tcPr>
          <w:p w14:paraId="41669121" w14:textId="0754A2C9" w:rsidR="003927EE" w:rsidRPr="00ED2316" w:rsidRDefault="003927EE" w:rsidP="003927EE">
            <w:pPr>
              <w:rPr>
                <w:rFonts w:ascii="Times New Roman" w:hAnsi="Times New Roman" w:cs="Times New Roman"/>
                <w:sz w:val="20"/>
                <w:szCs w:val="20"/>
              </w:rPr>
            </w:pPr>
            <w:r w:rsidRPr="00ED2316">
              <w:rPr>
                <w:rFonts w:ascii="Times New Roman" w:hAnsi="Times New Roman" w:cs="Times New Roman"/>
                <w:sz w:val="20"/>
                <w:szCs w:val="20"/>
              </w:rPr>
              <w:t>Long term follow-up (&gt;6m)</w:t>
            </w:r>
          </w:p>
        </w:tc>
        <w:tc>
          <w:tcPr>
            <w:tcW w:w="1459" w:type="dxa"/>
          </w:tcPr>
          <w:p w14:paraId="16DA7BFA"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8,680 (11.5)</w:t>
            </w:r>
          </w:p>
        </w:tc>
        <w:tc>
          <w:tcPr>
            <w:tcW w:w="1417" w:type="dxa"/>
          </w:tcPr>
          <w:p w14:paraId="56D2E941"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427,498.9</w:t>
            </w:r>
          </w:p>
        </w:tc>
        <w:tc>
          <w:tcPr>
            <w:tcW w:w="1231" w:type="dxa"/>
          </w:tcPr>
          <w:p w14:paraId="744B4EBB"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203.0</w:t>
            </w:r>
          </w:p>
        </w:tc>
        <w:tc>
          <w:tcPr>
            <w:tcW w:w="1463" w:type="dxa"/>
          </w:tcPr>
          <w:p w14:paraId="08186043"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5,240 (6.9)</w:t>
            </w:r>
          </w:p>
        </w:tc>
        <w:tc>
          <w:tcPr>
            <w:tcW w:w="1417" w:type="dxa"/>
          </w:tcPr>
          <w:p w14:paraId="2A319547"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489,700.3</w:t>
            </w:r>
          </w:p>
        </w:tc>
        <w:tc>
          <w:tcPr>
            <w:tcW w:w="1134" w:type="dxa"/>
          </w:tcPr>
          <w:p w14:paraId="4B387B57"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107.0</w:t>
            </w:r>
          </w:p>
        </w:tc>
        <w:tc>
          <w:tcPr>
            <w:tcW w:w="2136" w:type="dxa"/>
          </w:tcPr>
          <w:p w14:paraId="53B7E191"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w:t>
            </w:r>
          </w:p>
        </w:tc>
      </w:tr>
      <w:tr w:rsidR="003927EE" w:rsidRPr="006F4FDE" w14:paraId="207BBF4C" w14:textId="77777777" w:rsidTr="003927EE">
        <w:tc>
          <w:tcPr>
            <w:tcW w:w="1135" w:type="dxa"/>
          </w:tcPr>
          <w:p w14:paraId="74B4C028" w14:textId="77777777" w:rsidR="003927EE" w:rsidRPr="00ED2316" w:rsidRDefault="003927EE" w:rsidP="003927EE">
            <w:pPr>
              <w:rPr>
                <w:rFonts w:ascii="Times New Roman" w:hAnsi="Times New Roman" w:cs="Times New Roman"/>
                <w:sz w:val="20"/>
                <w:szCs w:val="20"/>
              </w:rPr>
            </w:pPr>
          </w:p>
        </w:tc>
        <w:tc>
          <w:tcPr>
            <w:tcW w:w="1436" w:type="dxa"/>
          </w:tcPr>
          <w:p w14:paraId="553CB00C" w14:textId="726B38D6" w:rsidR="003927EE" w:rsidRPr="00ED2316" w:rsidRDefault="003927EE" w:rsidP="003927EE">
            <w:pPr>
              <w:rPr>
                <w:rFonts w:ascii="Times New Roman" w:hAnsi="Times New Roman" w:cs="Times New Roman"/>
                <w:sz w:val="20"/>
                <w:szCs w:val="20"/>
              </w:rPr>
            </w:pPr>
            <w:r w:rsidRPr="00ED2316">
              <w:rPr>
                <w:rFonts w:ascii="Times New Roman" w:hAnsi="Times New Roman" w:cs="Times New Roman"/>
                <w:sz w:val="20"/>
                <w:szCs w:val="20"/>
              </w:rPr>
              <w:t>6–12m</w:t>
            </w:r>
          </w:p>
        </w:tc>
        <w:tc>
          <w:tcPr>
            <w:tcW w:w="1459" w:type="dxa"/>
          </w:tcPr>
          <w:p w14:paraId="143A9D65"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1,115 (1.5)</w:t>
            </w:r>
          </w:p>
        </w:tc>
        <w:tc>
          <w:tcPr>
            <w:tcW w:w="1417" w:type="dxa"/>
          </w:tcPr>
          <w:p w14:paraId="27B4E7C9"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32,864.5            </w:t>
            </w:r>
          </w:p>
        </w:tc>
        <w:tc>
          <w:tcPr>
            <w:tcW w:w="1231" w:type="dxa"/>
          </w:tcPr>
          <w:p w14:paraId="622CD76B"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339.3</w:t>
            </w:r>
          </w:p>
        </w:tc>
        <w:tc>
          <w:tcPr>
            <w:tcW w:w="1463" w:type="dxa"/>
          </w:tcPr>
          <w:p w14:paraId="6D51160F"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386 (0.5)</w:t>
            </w:r>
          </w:p>
        </w:tc>
        <w:tc>
          <w:tcPr>
            <w:tcW w:w="1417" w:type="dxa"/>
          </w:tcPr>
          <w:p w14:paraId="5AC836C2"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36,068.3            </w:t>
            </w:r>
          </w:p>
        </w:tc>
        <w:tc>
          <w:tcPr>
            <w:tcW w:w="1134" w:type="dxa"/>
          </w:tcPr>
          <w:p w14:paraId="4DE98D50"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107.0</w:t>
            </w:r>
          </w:p>
        </w:tc>
        <w:tc>
          <w:tcPr>
            <w:tcW w:w="2136" w:type="dxa"/>
          </w:tcPr>
          <w:p w14:paraId="6FBF7F18"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3.0 (2.7, 3.4)</w:t>
            </w:r>
          </w:p>
        </w:tc>
      </w:tr>
      <w:tr w:rsidR="003927EE" w:rsidRPr="006F4FDE" w14:paraId="299E2B9C" w14:textId="77777777" w:rsidTr="003927EE">
        <w:tc>
          <w:tcPr>
            <w:tcW w:w="1135" w:type="dxa"/>
          </w:tcPr>
          <w:p w14:paraId="46667896" w14:textId="77777777" w:rsidR="003927EE" w:rsidRPr="00ED2316" w:rsidRDefault="003927EE" w:rsidP="003927EE">
            <w:pPr>
              <w:rPr>
                <w:rFonts w:ascii="Times New Roman" w:hAnsi="Times New Roman" w:cs="Times New Roman"/>
                <w:sz w:val="20"/>
                <w:szCs w:val="20"/>
              </w:rPr>
            </w:pPr>
          </w:p>
        </w:tc>
        <w:tc>
          <w:tcPr>
            <w:tcW w:w="1436" w:type="dxa"/>
          </w:tcPr>
          <w:p w14:paraId="642CF240" w14:textId="712FFF93" w:rsidR="003927EE" w:rsidRPr="00ED2316" w:rsidRDefault="003927EE" w:rsidP="003927EE">
            <w:pPr>
              <w:rPr>
                <w:rFonts w:ascii="Times New Roman" w:hAnsi="Times New Roman" w:cs="Times New Roman"/>
                <w:sz w:val="20"/>
                <w:szCs w:val="20"/>
              </w:rPr>
            </w:pPr>
            <w:r w:rsidRPr="00ED2316">
              <w:rPr>
                <w:rFonts w:ascii="Times New Roman" w:hAnsi="Times New Roman" w:cs="Times New Roman"/>
                <w:sz w:val="20"/>
                <w:szCs w:val="20"/>
              </w:rPr>
              <w:t>12–36m</w:t>
            </w:r>
          </w:p>
        </w:tc>
        <w:tc>
          <w:tcPr>
            <w:tcW w:w="1459" w:type="dxa"/>
          </w:tcPr>
          <w:p w14:paraId="2B566056"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2,562 (3.4)</w:t>
            </w:r>
          </w:p>
        </w:tc>
        <w:tc>
          <w:tcPr>
            <w:tcW w:w="1417" w:type="dxa"/>
          </w:tcPr>
          <w:p w14:paraId="2BBA89FA"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117,374.1           </w:t>
            </w:r>
          </w:p>
        </w:tc>
        <w:tc>
          <w:tcPr>
            <w:tcW w:w="1231" w:type="dxa"/>
          </w:tcPr>
          <w:p w14:paraId="2E4C0148"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218.3</w:t>
            </w:r>
          </w:p>
        </w:tc>
        <w:tc>
          <w:tcPr>
            <w:tcW w:w="1463" w:type="dxa"/>
          </w:tcPr>
          <w:p w14:paraId="34D9E93E"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1,390 (1.8)</w:t>
            </w:r>
          </w:p>
        </w:tc>
        <w:tc>
          <w:tcPr>
            <w:tcW w:w="1417" w:type="dxa"/>
          </w:tcPr>
          <w:p w14:paraId="26D5D14F"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131,714.2          </w:t>
            </w:r>
          </w:p>
        </w:tc>
        <w:tc>
          <w:tcPr>
            <w:tcW w:w="1134" w:type="dxa"/>
          </w:tcPr>
          <w:p w14:paraId="73CB78BF"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105.5</w:t>
            </w:r>
          </w:p>
        </w:tc>
        <w:tc>
          <w:tcPr>
            <w:tcW w:w="2136" w:type="dxa"/>
          </w:tcPr>
          <w:p w14:paraId="4EEB07FC"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1.9 (1.8, 2.1)</w:t>
            </w:r>
          </w:p>
        </w:tc>
      </w:tr>
      <w:tr w:rsidR="003927EE" w:rsidRPr="006F4FDE" w14:paraId="7DDD3B4C" w14:textId="77777777" w:rsidTr="000102D2">
        <w:trPr>
          <w:trHeight w:val="210"/>
        </w:trPr>
        <w:tc>
          <w:tcPr>
            <w:tcW w:w="1135" w:type="dxa"/>
            <w:tcBorders>
              <w:bottom w:val="single" w:sz="4" w:space="0" w:color="auto"/>
            </w:tcBorders>
          </w:tcPr>
          <w:p w14:paraId="33FBCA14" w14:textId="77777777" w:rsidR="003927EE" w:rsidRPr="00ED2316" w:rsidRDefault="003927EE" w:rsidP="003927EE">
            <w:pPr>
              <w:rPr>
                <w:rFonts w:ascii="Times New Roman" w:hAnsi="Times New Roman" w:cs="Times New Roman"/>
                <w:sz w:val="20"/>
                <w:szCs w:val="20"/>
              </w:rPr>
            </w:pPr>
          </w:p>
        </w:tc>
        <w:tc>
          <w:tcPr>
            <w:tcW w:w="1436" w:type="dxa"/>
            <w:tcBorders>
              <w:bottom w:val="single" w:sz="4" w:space="0" w:color="auto"/>
            </w:tcBorders>
          </w:tcPr>
          <w:p w14:paraId="5D8422E7" w14:textId="77777777" w:rsidR="003927EE" w:rsidRPr="00ED2316" w:rsidRDefault="003927EE" w:rsidP="003927EE">
            <w:pPr>
              <w:rPr>
                <w:rFonts w:ascii="Times New Roman" w:hAnsi="Times New Roman" w:cs="Times New Roman"/>
                <w:sz w:val="20"/>
                <w:szCs w:val="20"/>
              </w:rPr>
            </w:pPr>
            <w:r w:rsidRPr="00ED2316">
              <w:rPr>
                <w:rFonts w:ascii="Times New Roman" w:hAnsi="Times New Roman" w:cs="Times New Roman"/>
                <w:sz w:val="20"/>
                <w:szCs w:val="20"/>
              </w:rPr>
              <w:t>&gt;36m</w:t>
            </w:r>
          </w:p>
        </w:tc>
        <w:tc>
          <w:tcPr>
            <w:tcW w:w="1459" w:type="dxa"/>
            <w:tcBorders>
              <w:bottom w:val="single" w:sz="4" w:space="0" w:color="auto"/>
            </w:tcBorders>
          </w:tcPr>
          <w:p w14:paraId="313BD641"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5,003 (6.6)</w:t>
            </w:r>
          </w:p>
        </w:tc>
        <w:tc>
          <w:tcPr>
            <w:tcW w:w="1417" w:type="dxa"/>
            <w:tcBorders>
              <w:bottom w:val="single" w:sz="4" w:space="0" w:color="auto"/>
            </w:tcBorders>
          </w:tcPr>
          <w:p w14:paraId="5F974963"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277,260.3     </w:t>
            </w:r>
          </w:p>
        </w:tc>
        <w:tc>
          <w:tcPr>
            <w:tcW w:w="1231" w:type="dxa"/>
            <w:tcBorders>
              <w:bottom w:val="single" w:sz="4" w:space="0" w:color="auto"/>
            </w:tcBorders>
          </w:tcPr>
          <w:p w14:paraId="49E749A2"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180.4</w:t>
            </w:r>
          </w:p>
        </w:tc>
        <w:tc>
          <w:tcPr>
            <w:tcW w:w="1463" w:type="dxa"/>
            <w:tcBorders>
              <w:bottom w:val="single" w:sz="4" w:space="0" w:color="auto"/>
            </w:tcBorders>
          </w:tcPr>
          <w:p w14:paraId="4900B08E"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3,464 (4.6)</w:t>
            </w:r>
          </w:p>
        </w:tc>
        <w:tc>
          <w:tcPr>
            <w:tcW w:w="1417" w:type="dxa"/>
            <w:tcBorders>
              <w:bottom w:val="single" w:sz="4" w:space="0" w:color="auto"/>
            </w:tcBorders>
          </w:tcPr>
          <w:p w14:paraId="3A821639"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 xml:space="preserve">321,917.8     </w:t>
            </w:r>
          </w:p>
        </w:tc>
        <w:tc>
          <w:tcPr>
            <w:tcW w:w="1134" w:type="dxa"/>
            <w:tcBorders>
              <w:bottom w:val="single" w:sz="4" w:space="0" w:color="auto"/>
            </w:tcBorders>
          </w:tcPr>
          <w:p w14:paraId="2B9B4BFF"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107.6</w:t>
            </w:r>
          </w:p>
        </w:tc>
        <w:tc>
          <w:tcPr>
            <w:tcW w:w="2136" w:type="dxa"/>
            <w:tcBorders>
              <w:bottom w:val="single" w:sz="4" w:space="0" w:color="auto"/>
            </w:tcBorders>
          </w:tcPr>
          <w:p w14:paraId="643FC7B4" w14:textId="77777777" w:rsidR="003927EE" w:rsidRPr="00ED2316" w:rsidRDefault="003927EE" w:rsidP="003927EE">
            <w:pPr>
              <w:jc w:val="center"/>
              <w:rPr>
                <w:rFonts w:ascii="Times New Roman" w:hAnsi="Times New Roman" w:cs="Times New Roman"/>
                <w:sz w:val="20"/>
                <w:szCs w:val="20"/>
              </w:rPr>
            </w:pPr>
            <w:r w:rsidRPr="00ED2316">
              <w:rPr>
                <w:rFonts w:ascii="Times New Roman" w:hAnsi="Times New Roman" w:cs="Times New Roman"/>
                <w:sz w:val="20"/>
                <w:szCs w:val="20"/>
              </w:rPr>
              <w:t>1.6 (1.5, 1.7)</w:t>
            </w:r>
          </w:p>
        </w:tc>
      </w:tr>
    </w:tbl>
    <w:p w14:paraId="2B38DCEE" w14:textId="3489263A" w:rsidR="008B47DA" w:rsidRDefault="003927EE" w:rsidP="004A6442">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8B47DA" w:rsidRPr="0090121C">
        <w:rPr>
          <w:rFonts w:ascii="Times New Roman" w:hAnsi="Times New Roman" w:cs="Times New Roman"/>
          <w:sz w:val="20"/>
          <w:szCs w:val="20"/>
        </w:rPr>
        <w:t>Percentage in the total number of patients with a first coded record of breathlessness</w:t>
      </w:r>
      <w:r w:rsidR="00925B3A">
        <w:rPr>
          <w:rFonts w:ascii="Times New Roman" w:hAnsi="Times New Roman" w:cs="Times New Roman"/>
          <w:sz w:val="20"/>
          <w:szCs w:val="20"/>
        </w:rPr>
        <w:t xml:space="preserve"> </w:t>
      </w:r>
      <w:r w:rsidR="008B47DA" w:rsidRPr="0090121C">
        <w:rPr>
          <w:rFonts w:ascii="Times New Roman" w:hAnsi="Times New Roman" w:cs="Times New Roman"/>
          <w:sz w:val="20"/>
          <w:szCs w:val="20"/>
        </w:rPr>
        <w:t>symptom; or in the total number of the matched participants.</w:t>
      </w:r>
      <w:r>
        <w:rPr>
          <w:rFonts w:ascii="Times New Roman" w:hAnsi="Times New Roman" w:cs="Times New Roman"/>
          <w:sz w:val="20"/>
          <w:szCs w:val="20"/>
        </w:rPr>
        <w:t xml:space="preserve"> †</w:t>
      </w:r>
      <w:r w:rsidR="008B47DA">
        <w:rPr>
          <w:rFonts w:ascii="Times New Roman" w:hAnsi="Times New Roman" w:cs="Times New Roman"/>
          <w:sz w:val="20"/>
          <w:szCs w:val="20"/>
        </w:rPr>
        <w:t>P</w:t>
      </w:r>
      <w:r w:rsidR="008B47DA" w:rsidRPr="0090121C">
        <w:rPr>
          <w:rFonts w:ascii="Times New Roman" w:hAnsi="Times New Roman" w:cs="Times New Roman"/>
          <w:sz w:val="20"/>
          <w:szCs w:val="20"/>
        </w:rPr>
        <w:t xml:space="preserve">er 10,000 person-years. </w:t>
      </w:r>
      <w:r>
        <w:rPr>
          <w:rFonts w:ascii="Times New Roman" w:hAnsi="Times New Roman" w:cs="Times New Roman"/>
          <w:sz w:val="20"/>
          <w:szCs w:val="20"/>
        </w:rPr>
        <w:t>‡</w:t>
      </w:r>
      <w:r w:rsidR="008B47DA" w:rsidRPr="0090121C">
        <w:rPr>
          <w:rFonts w:ascii="Times New Roman" w:hAnsi="Times New Roman" w:cs="Times New Roman"/>
          <w:sz w:val="20"/>
          <w:szCs w:val="20"/>
        </w:rPr>
        <w:t>Adjusted hazard ratio, adjusted for index year, age, gender, region, ever smoking, ever alcohol drinking, BMI,</w:t>
      </w:r>
      <w:r w:rsidR="008B47DA">
        <w:rPr>
          <w:rFonts w:ascii="Times New Roman" w:hAnsi="Times New Roman" w:cs="Times New Roman"/>
          <w:sz w:val="20"/>
          <w:szCs w:val="20"/>
        </w:rPr>
        <w:t xml:space="preserve"> deprivation level, comorbidity</w:t>
      </w:r>
      <w:r w:rsidR="008B47DA" w:rsidRPr="0090121C">
        <w:rPr>
          <w:rFonts w:ascii="Times New Roman" w:hAnsi="Times New Roman" w:cs="Times New Roman"/>
          <w:sz w:val="20"/>
          <w:szCs w:val="20"/>
        </w:rPr>
        <w:t>, cough and sputum, inflammatory conditions, depression and anxiety, diabetes, non-specific chest pain, musculoskeletal pain.</w:t>
      </w:r>
    </w:p>
    <w:p w14:paraId="3F8055C7" w14:textId="77777777" w:rsidR="008B47DA" w:rsidRPr="007A7B55" w:rsidRDefault="008B47DA" w:rsidP="008B47DA">
      <w:pPr>
        <w:rPr>
          <w:rFonts w:ascii="Times New Roman" w:hAnsi="Times New Roman" w:cs="Times New Roman"/>
          <w:sz w:val="20"/>
          <w:szCs w:val="20"/>
        </w:rPr>
      </w:pPr>
    </w:p>
    <w:p w14:paraId="2C6138C1" w14:textId="13E54C2C" w:rsidR="008B47DA" w:rsidRDefault="008B47DA" w:rsidP="008B47DA"/>
    <w:p w14:paraId="3967796D" w14:textId="77777777" w:rsidR="008B47DA" w:rsidRDefault="008B47DA" w:rsidP="008B47DA"/>
    <w:p w14:paraId="51AA2509" w14:textId="77777777" w:rsidR="008B47DA" w:rsidRDefault="008B47DA" w:rsidP="008B47DA"/>
    <w:p w14:paraId="3E6A432D" w14:textId="77777777" w:rsidR="004A6442" w:rsidRDefault="004A6442" w:rsidP="008B47DA">
      <w:pPr>
        <w:rPr>
          <w:rFonts w:ascii="Times New Roman" w:hAnsi="Times New Roman" w:cs="Times New Roman"/>
          <w:b/>
          <w:sz w:val="20"/>
          <w:szCs w:val="20"/>
        </w:rPr>
      </w:pPr>
    </w:p>
    <w:p w14:paraId="613B2B95" w14:textId="77777777" w:rsidR="000102D2" w:rsidRDefault="000102D2" w:rsidP="008B47DA"/>
    <w:p w14:paraId="68DD2070" w14:textId="623D546C" w:rsidR="008B47DA" w:rsidRPr="00756CAE" w:rsidRDefault="008B47DA" w:rsidP="004A6442">
      <w:pPr>
        <w:spacing w:after="0" w:line="240" w:lineRule="auto"/>
        <w:rPr>
          <w:rFonts w:ascii="Times New Roman" w:hAnsi="Times New Roman" w:cs="Times New Roman"/>
          <w:sz w:val="20"/>
          <w:szCs w:val="20"/>
        </w:rPr>
      </w:pPr>
      <w:r w:rsidRPr="00756CAE">
        <w:rPr>
          <w:rFonts w:ascii="Times New Roman" w:hAnsi="Times New Roman" w:cs="Times New Roman"/>
          <w:b/>
          <w:sz w:val="20"/>
          <w:szCs w:val="20"/>
        </w:rPr>
        <w:lastRenderedPageBreak/>
        <w:t>Table 3 Prescription in first six months after index date in patients with a first coded record of breathlessness symptom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83"/>
        <w:gridCol w:w="2955"/>
        <w:gridCol w:w="873"/>
        <w:gridCol w:w="1559"/>
        <w:gridCol w:w="992"/>
        <w:gridCol w:w="1701"/>
        <w:gridCol w:w="992"/>
        <w:gridCol w:w="1560"/>
      </w:tblGrid>
      <w:tr w:rsidR="00756CAE" w14:paraId="53452D57" w14:textId="77777777" w:rsidTr="00692F5A">
        <w:tc>
          <w:tcPr>
            <w:tcW w:w="279" w:type="dxa"/>
            <w:tcBorders>
              <w:top w:val="single" w:sz="4" w:space="0" w:color="auto"/>
            </w:tcBorders>
          </w:tcPr>
          <w:p w14:paraId="39447449" w14:textId="77777777" w:rsidR="00756CAE" w:rsidRDefault="00756CAE" w:rsidP="00756CAE"/>
        </w:tc>
        <w:tc>
          <w:tcPr>
            <w:tcW w:w="283" w:type="dxa"/>
            <w:tcBorders>
              <w:top w:val="single" w:sz="4" w:space="0" w:color="auto"/>
            </w:tcBorders>
          </w:tcPr>
          <w:p w14:paraId="122DDDCD" w14:textId="77777777" w:rsidR="00756CAE" w:rsidRDefault="00756CAE" w:rsidP="00756CAE"/>
        </w:tc>
        <w:tc>
          <w:tcPr>
            <w:tcW w:w="2955" w:type="dxa"/>
            <w:tcBorders>
              <w:top w:val="single" w:sz="4" w:space="0" w:color="auto"/>
            </w:tcBorders>
          </w:tcPr>
          <w:p w14:paraId="04A2CDAE" w14:textId="77777777" w:rsidR="00756CAE" w:rsidRDefault="00756CAE" w:rsidP="00756CAE"/>
        </w:tc>
        <w:tc>
          <w:tcPr>
            <w:tcW w:w="2432" w:type="dxa"/>
            <w:gridSpan w:val="2"/>
            <w:tcBorders>
              <w:top w:val="single" w:sz="4" w:space="0" w:color="auto"/>
            </w:tcBorders>
          </w:tcPr>
          <w:p w14:paraId="003D8697" w14:textId="6DBA81F3" w:rsidR="00756CAE" w:rsidRDefault="00756CAE" w:rsidP="00D544ED">
            <w:pPr>
              <w:jc w:val="center"/>
            </w:pPr>
            <w:r w:rsidRPr="00756CAE">
              <w:rPr>
                <w:rFonts w:ascii="Times New Roman" w:hAnsi="Times New Roman" w:cs="Times New Roman"/>
                <w:sz w:val="20"/>
                <w:szCs w:val="20"/>
              </w:rPr>
              <w:t>COPD</w:t>
            </w:r>
          </w:p>
        </w:tc>
        <w:tc>
          <w:tcPr>
            <w:tcW w:w="2693" w:type="dxa"/>
            <w:gridSpan w:val="2"/>
            <w:tcBorders>
              <w:top w:val="single" w:sz="4" w:space="0" w:color="auto"/>
            </w:tcBorders>
          </w:tcPr>
          <w:p w14:paraId="4B304DBA" w14:textId="271831C1" w:rsidR="00756CAE" w:rsidRDefault="00756CAE" w:rsidP="00D544ED">
            <w:pPr>
              <w:jc w:val="center"/>
            </w:pPr>
            <w:r w:rsidRPr="00756CAE">
              <w:rPr>
                <w:rFonts w:ascii="Times New Roman" w:hAnsi="Times New Roman" w:cs="Times New Roman"/>
                <w:sz w:val="20"/>
                <w:szCs w:val="20"/>
              </w:rPr>
              <w:t>Asthma</w:t>
            </w:r>
          </w:p>
        </w:tc>
        <w:tc>
          <w:tcPr>
            <w:tcW w:w="2552" w:type="dxa"/>
            <w:gridSpan w:val="2"/>
            <w:tcBorders>
              <w:top w:val="single" w:sz="4" w:space="0" w:color="auto"/>
            </w:tcBorders>
          </w:tcPr>
          <w:p w14:paraId="272F0E52" w14:textId="663970EF" w:rsidR="00756CAE" w:rsidRDefault="00756CAE" w:rsidP="00D544ED">
            <w:pPr>
              <w:jc w:val="center"/>
            </w:pPr>
            <w:r w:rsidRPr="00756CAE">
              <w:rPr>
                <w:rFonts w:ascii="Times New Roman" w:hAnsi="Times New Roman" w:cs="Times New Roman"/>
                <w:sz w:val="20"/>
                <w:szCs w:val="20"/>
              </w:rPr>
              <w:t>IHD</w:t>
            </w:r>
          </w:p>
        </w:tc>
      </w:tr>
      <w:tr w:rsidR="00756CAE" w14:paraId="28B6E8F1" w14:textId="77777777" w:rsidTr="00692F5A">
        <w:tc>
          <w:tcPr>
            <w:tcW w:w="279" w:type="dxa"/>
            <w:tcBorders>
              <w:bottom w:val="single" w:sz="4" w:space="0" w:color="auto"/>
            </w:tcBorders>
          </w:tcPr>
          <w:p w14:paraId="1FE93C5F" w14:textId="77777777" w:rsidR="00756CAE" w:rsidRDefault="00756CAE" w:rsidP="00756CAE"/>
        </w:tc>
        <w:tc>
          <w:tcPr>
            <w:tcW w:w="283" w:type="dxa"/>
            <w:tcBorders>
              <w:bottom w:val="single" w:sz="4" w:space="0" w:color="auto"/>
            </w:tcBorders>
          </w:tcPr>
          <w:p w14:paraId="51BDD337" w14:textId="77777777" w:rsidR="00756CAE" w:rsidRDefault="00756CAE" w:rsidP="00756CAE"/>
        </w:tc>
        <w:tc>
          <w:tcPr>
            <w:tcW w:w="2955" w:type="dxa"/>
            <w:tcBorders>
              <w:bottom w:val="single" w:sz="4" w:space="0" w:color="auto"/>
            </w:tcBorders>
          </w:tcPr>
          <w:p w14:paraId="7A5CC27D" w14:textId="77777777" w:rsidR="00756CAE" w:rsidRDefault="00756CAE" w:rsidP="00756CAE"/>
        </w:tc>
        <w:tc>
          <w:tcPr>
            <w:tcW w:w="873" w:type="dxa"/>
            <w:tcBorders>
              <w:bottom w:val="single" w:sz="4" w:space="0" w:color="auto"/>
            </w:tcBorders>
          </w:tcPr>
          <w:p w14:paraId="539E29A0" w14:textId="47F4A4E2" w:rsidR="00756CAE" w:rsidRDefault="00756CAE" w:rsidP="00756CAE">
            <w:r w:rsidRPr="00756CAE">
              <w:rPr>
                <w:rFonts w:ascii="Times New Roman" w:hAnsi="Times New Roman" w:cs="Times New Roman"/>
                <w:sz w:val="20"/>
                <w:szCs w:val="20"/>
              </w:rPr>
              <w:t>No. of patients</w:t>
            </w:r>
          </w:p>
        </w:tc>
        <w:tc>
          <w:tcPr>
            <w:tcW w:w="1559" w:type="dxa"/>
            <w:tcBorders>
              <w:bottom w:val="single" w:sz="4" w:space="0" w:color="auto"/>
            </w:tcBorders>
          </w:tcPr>
          <w:p w14:paraId="75AFAE79" w14:textId="405DB0DC" w:rsidR="00756CAE" w:rsidRDefault="00756CAE" w:rsidP="00D544ED">
            <w:pPr>
              <w:jc w:val="center"/>
            </w:pPr>
            <w:r w:rsidRPr="00756CAE">
              <w:rPr>
                <w:rFonts w:ascii="Times New Roman" w:hAnsi="Times New Roman" w:cs="Times New Roman"/>
                <w:sz w:val="20"/>
                <w:szCs w:val="20"/>
              </w:rPr>
              <w:t>No. (%) who received prescription</w:t>
            </w:r>
            <w:r w:rsidR="00D544ED">
              <w:rPr>
                <w:rFonts w:ascii="Times New Roman" w:hAnsi="Times New Roman" w:cs="Times New Roman"/>
                <w:sz w:val="20"/>
                <w:szCs w:val="20"/>
              </w:rPr>
              <w:t>*</w:t>
            </w:r>
            <w:r w:rsidRPr="00756CAE">
              <w:rPr>
                <w:rFonts w:ascii="Times New Roman" w:hAnsi="Times New Roman" w:cs="Times New Roman"/>
                <w:sz w:val="20"/>
                <w:szCs w:val="20"/>
              </w:rPr>
              <w:t xml:space="preserve"> in first 6 months</w:t>
            </w:r>
          </w:p>
        </w:tc>
        <w:tc>
          <w:tcPr>
            <w:tcW w:w="992" w:type="dxa"/>
            <w:tcBorders>
              <w:bottom w:val="single" w:sz="4" w:space="0" w:color="auto"/>
            </w:tcBorders>
          </w:tcPr>
          <w:p w14:paraId="6FC53F81" w14:textId="51A50CC0" w:rsidR="00756CAE" w:rsidRDefault="00756CAE" w:rsidP="00D544ED">
            <w:pPr>
              <w:jc w:val="center"/>
            </w:pPr>
            <w:r w:rsidRPr="00756CAE">
              <w:rPr>
                <w:rFonts w:ascii="Times New Roman" w:hAnsi="Times New Roman" w:cs="Times New Roman"/>
                <w:sz w:val="20"/>
                <w:szCs w:val="20"/>
              </w:rPr>
              <w:t>No. of patients</w:t>
            </w:r>
          </w:p>
        </w:tc>
        <w:tc>
          <w:tcPr>
            <w:tcW w:w="1701" w:type="dxa"/>
            <w:tcBorders>
              <w:bottom w:val="single" w:sz="4" w:space="0" w:color="auto"/>
            </w:tcBorders>
          </w:tcPr>
          <w:p w14:paraId="7D223943" w14:textId="6592DF1D" w:rsidR="00756CAE" w:rsidRDefault="00756CAE" w:rsidP="00D544ED">
            <w:pPr>
              <w:jc w:val="center"/>
            </w:pPr>
            <w:r w:rsidRPr="00756CAE">
              <w:rPr>
                <w:rFonts w:ascii="Times New Roman" w:hAnsi="Times New Roman" w:cs="Times New Roman"/>
                <w:sz w:val="20"/>
                <w:szCs w:val="20"/>
              </w:rPr>
              <w:t>No. (%) who received prescription</w:t>
            </w:r>
            <w:r w:rsidR="00D544ED">
              <w:rPr>
                <w:rFonts w:ascii="Times New Roman" w:hAnsi="Times New Roman" w:cs="Times New Roman"/>
                <w:sz w:val="20"/>
                <w:szCs w:val="20"/>
              </w:rPr>
              <w:t>*</w:t>
            </w:r>
            <w:r w:rsidRPr="00756CAE">
              <w:rPr>
                <w:rFonts w:ascii="Times New Roman" w:hAnsi="Times New Roman" w:cs="Times New Roman"/>
                <w:sz w:val="20"/>
                <w:szCs w:val="20"/>
              </w:rPr>
              <w:t xml:space="preserve"> in first 6 months</w:t>
            </w:r>
          </w:p>
        </w:tc>
        <w:tc>
          <w:tcPr>
            <w:tcW w:w="992" w:type="dxa"/>
            <w:tcBorders>
              <w:bottom w:val="single" w:sz="4" w:space="0" w:color="auto"/>
            </w:tcBorders>
          </w:tcPr>
          <w:p w14:paraId="24FBB3DB" w14:textId="28F258C1" w:rsidR="00756CAE" w:rsidRDefault="00756CAE" w:rsidP="00D544ED">
            <w:pPr>
              <w:jc w:val="center"/>
            </w:pPr>
            <w:r w:rsidRPr="00756CAE">
              <w:rPr>
                <w:rFonts w:ascii="Times New Roman" w:hAnsi="Times New Roman" w:cs="Times New Roman"/>
                <w:sz w:val="20"/>
                <w:szCs w:val="20"/>
              </w:rPr>
              <w:t>No. of patients</w:t>
            </w:r>
          </w:p>
        </w:tc>
        <w:tc>
          <w:tcPr>
            <w:tcW w:w="1560" w:type="dxa"/>
            <w:tcBorders>
              <w:bottom w:val="single" w:sz="4" w:space="0" w:color="auto"/>
            </w:tcBorders>
          </w:tcPr>
          <w:p w14:paraId="672F9D6A" w14:textId="50AA4F6D" w:rsidR="00756CAE" w:rsidRDefault="00756CAE" w:rsidP="00D544ED">
            <w:pPr>
              <w:jc w:val="center"/>
            </w:pPr>
            <w:r w:rsidRPr="00756CAE">
              <w:rPr>
                <w:rFonts w:ascii="Times New Roman" w:hAnsi="Times New Roman" w:cs="Times New Roman"/>
                <w:sz w:val="20"/>
                <w:szCs w:val="20"/>
              </w:rPr>
              <w:t>No. (%) who received prescription</w:t>
            </w:r>
            <w:r w:rsidR="00D544ED">
              <w:rPr>
                <w:rFonts w:ascii="Times New Roman" w:hAnsi="Times New Roman" w:cs="Times New Roman"/>
                <w:sz w:val="20"/>
                <w:szCs w:val="20"/>
              </w:rPr>
              <w:t>*</w:t>
            </w:r>
            <w:r w:rsidRPr="00756CAE">
              <w:rPr>
                <w:rFonts w:ascii="Times New Roman" w:hAnsi="Times New Roman" w:cs="Times New Roman"/>
                <w:sz w:val="20"/>
                <w:szCs w:val="20"/>
              </w:rPr>
              <w:t xml:space="preserve"> in first 6 months</w:t>
            </w:r>
          </w:p>
        </w:tc>
      </w:tr>
      <w:tr w:rsidR="00756CAE" w14:paraId="03524727" w14:textId="77777777" w:rsidTr="00692F5A">
        <w:tc>
          <w:tcPr>
            <w:tcW w:w="3517" w:type="dxa"/>
            <w:gridSpan w:val="3"/>
            <w:tcBorders>
              <w:top w:val="single" w:sz="4" w:space="0" w:color="auto"/>
            </w:tcBorders>
          </w:tcPr>
          <w:p w14:paraId="5EE06EA7" w14:textId="4E013438" w:rsidR="00756CAE" w:rsidRPr="00D544ED" w:rsidRDefault="00756CAE" w:rsidP="00756CAE">
            <w:pPr>
              <w:rPr>
                <w:rFonts w:ascii="Times New Roman" w:hAnsi="Times New Roman" w:cs="Times New Roman"/>
                <w:sz w:val="20"/>
                <w:szCs w:val="20"/>
              </w:rPr>
            </w:pPr>
            <w:r w:rsidRPr="00756CAE">
              <w:rPr>
                <w:rFonts w:ascii="Times New Roman" w:hAnsi="Times New Roman" w:cs="Times New Roman"/>
                <w:sz w:val="20"/>
                <w:szCs w:val="20"/>
              </w:rPr>
              <w:t>Medication prescribed</w:t>
            </w:r>
            <w:r w:rsidR="00D544ED">
              <w:rPr>
                <w:rFonts w:ascii="Times New Roman" w:hAnsi="Times New Roman" w:cs="Times New Roman"/>
                <w:sz w:val="20"/>
                <w:szCs w:val="20"/>
              </w:rPr>
              <w:t>†</w:t>
            </w:r>
          </w:p>
        </w:tc>
        <w:tc>
          <w:tcPr>
            <w:tcW w:w="873" w:type="dxa"/>
            <w:tcBorders>
              <w:top w:val="single" w:sz="4" w:space="0" w:color="auto"/>
            </w:tcBorders>
          </w:tcPr>
          <w:p w14:paraId="6301D7A1" w14:textId="77777777" w:rsidR="00756CAE" w:rsidRPr="00D544ED" w:rsidRDefault="00756CAE" w:rsidP="00756CAE">
            <w:pPr>
              <w:rPr>
                <w:rFonts w:ascii="Times New Roman" w:hAnsi="Times New Roman" w:cs="Times New Roman"/>
                <w:sz w:val="20"/>
                <w:szCs w:val="20"/>
              </w:rPr>
            </w:pPr>
          </w:p>
        </w:tc>
        <w:tc>
          <w:tcPr>
            <w:tcW w:w="1559" w:type="dxa"/>
            <w:tcBorders>
              <w:top w:val="single" w:sz="4" w:space="0" w:color="auto"/>
            </w:tcBorders>
          </w:tcPr>
          <w:p w14:paraId="58BA28F5" w14:textId="77777777" w:rsidR="00756CAE" w:rsidRPr="00D544ED" w:rsidRDefault="00756CAE" w:rsidP="00756CAE">
            <w:pPr>
              <w:rPr>
                <w:rFonts w:ascii="Times New Roman" w:hAnsi="Times New Roman" w:cs="Times New Roman"/>
                <w:sz w:val="20"/>
                <w:szCs w:val="20"/>
              </w:rPr>
            </w:pPr>
          </w:p>
        </w:tc>
        <w:tc>
          <w:tcPr>
            <w:tcW w:w="992" w:type="dxa"/>
            <w:tcBorders>
              <w:top w:val="single" w:sz="4" w:space="0" w:color="auto"/>
            </w:tcBorders>
          </w:tcPr>
          <w:p w14:paraId="78C2274D" w14:textId="77777777" w:rsidR="00756CAE" w:rsidRPr="00D544ED" w:rsidRDefault="00756CAE" w:rsidP="00756CAE">
            <w:pPr>
              <w:rPr>
                <w:rFonts w:ascii="Times New Roman" w:hAnsi="Times New Roman" w:cs="Times New Roman"/>
                <w:sz w:val="20"/>
                <w:szCs w:val="20"/>
              </w:rPr>
            </w:pPr>
          </w:p>
        </w:tc>
        <w:tc>
          <w:tcPr>
            <w:tcW w:w="1701" w:type="dxa"/>
            <w:tcBorders>
              <w:top w:val="single" w:sz="4" w:space="0" w:color="auto"/>
            </w:tcBorders>
          </w:tcPr>
          <w:p w14:paraId="4B6AAF2E" w14:textId="77777777" w:rsidR="00756CAE" w:rsidRPr="00D544ED" w:rsidRDefault="00756CAE" w:rsidP="00756CAE">
            <w:pPr>
              <w:rPr>
                <w:rFonts w:ascii="Times New Roman" w:hAnsi="Times New Roman" w:cs="Times New Roman"/>
                <w:sz w:val="20"/>
                <w:szCs w:val="20"/>
              </w:rPr>
            </w:pPr>
          </w:p>
        </w:tc>
        <w:tc>
          <w:tcPr>
            <w:tcW w:w="992" w:type="dxa"/>
            <w:tcBorders>
              <w:top w:val="single" w:sz="4" w:space="0" w:color="auto"/>
            </w:tcBorders>
          </w:tcPr>
          <w:p w14:paraId="56CF5B70" w14:textId="77777777" w:rsidR="00756CAE" w:rsidRPr="00D544ED" w:rsidRDefault="00756CAE" w:rsidP="00756CAE">
            <w:pPr>
              <w:rPr>
                <w:rFonts w:ascii="Times New Roman" w:hAnsi="Times New Roman" w:cs="Times New Roman"/>
                <w:sz w:val="20"/>
                <w:szCs w:val="20"/>
              </w:rPr>
            </w:pPr>
          </w:p>
        </w:tc>
        <w:tc>
          <w:tcPr>
            <w:tcW w:w="1560" w:type="dxa"/>
            <w:tcBorders>
              <w:top w:val="single" w:sz="4" w:space="0" w:color="auto"/>
            </w:tcBorders>
          </w:tcPr>
          <w:p w14:paraId="6BF3CED2" w14:textId="77777777" w:rsidR="00756CAE" w:rsidRPr="00D544ED" w:rsidRDefault="00756CAE" w:rsidP="00756CAE">
            <w:pPr>
              <w:rPr>
                <w:rFonts w:ascii="Times New Roman" w:hAnsi="Times New Roman" w:cs="Times New Roman"/>
                <w:sz w:val="20"/>
                <w:szCs w:val="20"/>
              </w:rPr>
            </w:pPr>
          </w:p>
        </w:tc>
      </w:tr>
      <w:tr w:rsidR="00756CAE" w14:paraId="5C62029B" w14:textId="77777777" w:rsidTr="00692F5A">
        <w:tc>
          <w:tcPr>
            <w:tcW w:w="3517" w:type="dxa"/>
            <w:gridSpan w:val="3"/>
          </w:tcPr>
          <w:p w14:paraId="79050112" w14:textId="08EB885F" w:rsidR="00756CAE" w:rsidRPr="00D544ED" w:rsidRDefault="00756CAE" w:rsidP="00756CAE">
            <w:pPr>
              <w:rPr>
                <w:rFonts w:ascii="Times New Roman" w:hAnsi="Times New Roman" w:cs="Times New Roman"/>
                <w:sz w:val="20"/>
                <w:szCs w:val="20"/>
              </w:rPr>
            </w:pPr>
            <w:r w:rsidRPr="00756CAE">
              <w:rPr>
                <w:rFonts w:ascii="Times New Roman" w:hAnsi="Times New Roman" w:cs="Times New Roman"/>
                <w:sz w:val="20"/>
                <w:szCs w:val="20"/>
              </w:rPr>
              <w:t>In whole cohort</w:t>
            </w:r>
          </w:p>
        </w:tc>
        <w:tc>
          <w:tcPr>
            <w:tcW w:w="873" w:type="dxa"/>
          </w:tcPr>
          <w:p w14:paraId="50070FEB" w14:textId="3EB59729"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75,698</w:t>
            </w:r>
          </w:p>
        </w:tc>
        <w:tc>
          <w:tcPr>
            <w:tcW w:w="1559" w:type="dxa"/>
          </w:tcPr>
          <w:p w14:paraId="39FA9166" w14:textId="1FD708DA"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26,055 (34.4)</w:t>
            </w:r>
          </w:p>
        </w:tc>
        <w:tc>
          <w:tcPr>
            <w:tcW w:w="992" w:type="dxa"/>
          </w:tcPr>
          <w:p w14:paraId="5CA8C687" w14:textId="08977198"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75,698</w:t>
            </w:r>
          </w:p>
        </w:tc>
        <w:tc>
          <w:tcPr>
            <w:tcW w:w="1701" w:type="dxa"/>
          </w:tcPr>
          <w:p w14:paraId="51D50607" w14:textId="746A2355"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26,313 (34.8)</w:t>
            </w:r>
          </w:p>
        </w:tc>
        <w:tc>
          <w:tcPr>
            <w:tcW w:w="992" w:type="dxa"/>
          </w:tcPr>
          <w:p w14:paraId="74552457" w14:textId="097AACBE"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75,698</w:t>
            </w:r>
          </w:p>
        </w:tc>
        <w:tc>
          <w:tcPr>
            <w:tcW w:w="1560" w:type="dxa"/>
          </w:tcPr>
          <w:p w14:paraId="016009BB" w14:textId="57F26814"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25,828 (34.1)</w:t>
            </w:r>
          </w:p>
        </w:tc>
      </w:tr>
      <w:tr w:rsidR="00756CAE" w14:paraId="056B1E52" w14:textId="77777777" w:rsidTr="00692F5A">
        <w:tc>
          <w:tcPr>
            <w:tcW w:w="279" w:type="dxa"/>
          </w:tcPr>
          <w:p w14:paraId="370ACC93" w14:textId="77777777" w:rsidR="00756CAE" w:rsidRPr="00D544ED" w:rsidRDefault="00756CAE" w:rsidP="00756CAE">
            <w:pPr>
              <w:rPr>
                <w:rFonts w:ascii="Times New Roman" w:hAnsi="Times New Roman" w:cs="Times New Roman"/>
                <w:sz w:val="20"/>
                <w:szCs w:val="20"/>
              </w:rPr>
            </w:pPr>
          </w:p>
        </w:tc>
        <w:tc>
          <w:tcPr>
            <w:tcW w:w="3238" w:type="dxa"/>
            <w:gridSpan w:val="2"/>
          </w:tcPr>
          <w:p w14:paraId="09CD9339" w14:textId="59679CB3" w:rsidR="00756CAE" w:rsidRPr="00D544ED" w:rsidRDefault="00756CAE" w:rsidP="00756CAE">
            <w:pPr>
              <w:rPr>
                <w:rFonts w:ascii="Times New Roman" w:hAnsi="Times New Roman" w:cs="Times New Roman"/>
                <w:sz w:val="20"/>
                <w:szCs w:val="20"/>
              </w:rPr>
            </w:pPr>
            <w:r w:rsidRPr="00756CAE">
              <w:rPr>
                <w:rFonts w:ascii="Times New Roman" w:hAnsi="Times New Roman" w:cs="Times New Roman"/>
                <w:sz w:val="20"/>
                <w:szCs w:val="20"/>
              </w:rPr>
              <w:t>In those received a diagnosis</w:t>
            </w:r>
            <w:r w:rsidR="00692F5A">
              <w:rPr>
                <w:rFonts w:ascii="Times New Roman" w:hAnsi="Times New Roman" w:cs="Times New Roman"/>
                <w:sz w:val="20"/>
                <w:szCs w:val="20"/>
              </w:rPr>
              <w:t>‡</w:t>
            </w:r>
          </w:p>
        </w:tc>
        <w:tc>
          <w:tcPr>
            <w:tcW w:w="873" w:type="dxa"/>
          </w:tcPr>
          <w:p w14:paraId="2E95A75B" w14:textId="33B0ADF8"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9,111</w:t>
            </w:r>
          </w:p>
        </w:tc>
        <w:tc>
          <w:tcPr>
            <w:tcW w:w="1559" w:type="dxa"/>
          </w:tcPr>
          <w:p w14:paraId="3E4229FF" w14:textId="204C8493"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4,810 (52.8)</w:t>
            </w:r>
          </w:p>
        </w:tc>
        <w:tc>
          <w:tcPr>
            <w:tcW w:w="992" w:type="dxa"/>
          </w:tcPr>
          <w:p w14:paraId="0B51F09C" w14:textId="49793FCA"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11,355</w:t>
            </w:r>
          </w:p>
        </w:tc>
        <w:tc>
          <w:tcPr>
            <w:tcW w:w="1701" w:type="dxa"/>
          </w:tcPr>
          <w:p w14:paraId="61884366" w14:textId="43F0DAC1"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8,080 (71.2)</w:t>
            </w:r>
          </w:p>
        </w:tc>
        <w:tc>
          <w:tcPr>
            <w:tcW w:w="992" w:type="dxa"/>
          </w:tcPr>
          <w:p w14:paraId="438E78C5" w14:textId="23EAAFB9"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13,110</w:t>
            </w:r>
          </w:p>
        </w:tc>
        <w:tc>
          <w:tcPr>
            <w:tcW w:w="1560" w:type="dxa"/>
          </w:tcPr>
          <w:p w14:paraId="4BBBF9CE" w14:textId="1F620078"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7360 (56.1)</w:t>
            </w:r>
          </w:p>
        </w:tc>
      </w:tr>
      <w:tr w:rsidR="00756CAE" w14:paraId="378DF789" w14:textId="77777777" w:rsidTr="00692F5A">
        <w:tc>
          <w:tcPr>
            <w:tcW w:w="279" w:type="dxa"/>
          </w:tcPr>
          <w:p w14:paraId="7976D207" w14:textId="77777777" w:rsidR="00756CAE" w:rsidRPr="00D544ED" w:rsidRDefault="00756CAE" w:rsidP="00756CAE">
            <w:pPr>
              <w:rPr>
                <w:rFonts w:ascii="Times New Roman" w:hAnsi="Times New Roman" w:cs="Times New Roman"/>
                <w:sz w:val="20"/>
                <w:szCs w:val="20"/>
              </w:rPr>
            </w:pPr>
          </w:p>
        </w:tc>
        <w:tc>
          <w:tcPr>
            <w:tcW w:w="283" w:type="dxa"/>
          </w:tcPr>
          <w:p w14:paraId="5E64571E" w14:textId="77777777" w:rsidR="00756CAE" w:rsidRPr="00D544ED" w:rsidRDefault="00756CAE" w:rsidP="00756CAE">
            <w:pPr>
              <w:rPr>
                <w:rFonts w:ascii="Times New Roman" w:hAnsi="Times New Roman" w:cs="Times New Roman"/>
                <w:sz w:val="20"/>
                <w:szCs w:val="20"/>
              </w:rPr>
            </w:pPr>
          </w:p>
        </w:tc>
        <w:tc>
          <w:tcPr>
            <w:tcW w:w="2955" w:type="dxa"/>
          </w:tcPr>
          <w:p w14:paraId="4A6F0E69" w14:textId="4DDCECD3" w:rsidR="00756CAE" w:rsidRPr="00D544ED" w:rsidRDefault="00756CAE" w:rsidP="00756CAE">
            <w:pPr>
              <w:rPr>
                <w:rFonts w:ascii="Times New Roman" w:hAnsi="Times New Roman" w:cs="Times New Roman"/>
                <w:sz w:val="20"/>
                <w:szCs w:val="20"/>
              </w:rPr>
            </w:pPr>
            <w:r w:rsidRPr="00756CAE">
              <w:rPr>
                <w:rFonts w:ascii="Times New Roman" w:hAnsi="Times New Roman" w:cs="Times New Roman"/>
                <w:sz w:val="20"/>
                <w:szCs w:val="20"/>
              </w:rPr>
              <w:t>Diagnosis during 0-6m</w:t>
            </w:r>
          </w:p>
        </w:tc>
        <w:tc>
          <w:tcPr>
            <w:tcW w:w="873" w:type="dxa"/>
          </w:tcPr>
          <w:p w14:paraId="2188BD4B" w14:textId="5E001A1C"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2,970</w:t>
            </w:r>
          </w:p>
        </w:tc>
        <w:tc>
          <w:tcPr>
            <w:tcW w:w="1559" w:type="dxa"/>
          </w:tcPr>
          <w:p w14:paraId="15D2B659" w14:textId="04F886EF"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1,969 (66.3)</w:t>
            </w:r>
          </w:p>
        </w:tc>
        <w:tc>
          <w:tcPr>
            <w:tcW w:w="992" w:type="dxa"/>
          </w:tcPr>
          <w:p w14:paraId="4FAA2E7A" w14:textId="316F914C"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4,430</w:t>
            </w:r>
          </w:p>
        </w:tc>
        <w:tc>
          <w:tcPr>
            <w:tcW w:w="1701" w:type="dxa"/>
          </w:tcPr>
          <w:p w14:paraId="4EC5D65C" w14:textId="7ACAD024"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3,918 (88.4)</w:t>
            </w:r>
          </w:p>
        </w:tc>
        <w:tc>
          <w:tcPr>
            <w:tcW w:w="992" w:type="dxa"/>
          </w:tcPr>
          <w:p w14:paraId="16BD71AC" w14:textId="7A6A9AB4"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4,430</w:t>
            </w:r>
          </w:p>
        </w:tc>
        <w:tc>
          <w:tcPr>
            <w:tcW w:w="1560" w:type="dxa"/>
          </w:tcPr>
          <w:p w14:paraId="7CBE9CB0" w14:textId="0D62FBFE"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2,398 (54.1)</w:t>
            </w:r>
          </w:p>
        </w:tc>
      </w:tr>
      <w:tr w:rsidR="00756CAE" w14:paraId="57478C27" w14:textId="77777777" w:rsidTr="00692F5A">
        <w:tc>
          <w:tcPr>
            <w:tcW w:w="279" w:type="dxa"/>
          </w:tcPr>
          <w:p w14:paraId="5C5E1650" w14:textId="77777777" w:rsidR="00756CAE" w:rsidRPr="00D544ED" w:rsidRDefault="00756CAE" w:rsidP="00756CAE">
            <w:pPr>
              <w:rPr>
                <w:rFonts w:ascii="Times New Roman" w:hAnsi="Times New Roman" w:cs="Times New Roman"/>
                <w:sz w:val="20"/>
                <w:szCs w:val="20"/>
              </w:rPr>
            </w:pPr>
          </w:p>
        </w:tc>
        <w:tc>
          <w:tcPr>
            <w:tcW w:w="283" w:type="dxa"/>
          </w:tcPr>
          <w:p w14:paraId="208AE936" w14:textId="77777777" w:rsidR="00756CAE" w:rsidRPr="00D544ED" w:rsidRDefault="00756CAE" w:rsidP="00756CAE">
            <w:pPr>
              <w:rPr>
                <w:rFonts w:ascii="Times New Roman" w:hAnsi="Times New Roman" w:cs="Times New Roman"/>
                <w:sz w:val="20"/>
                <w:szCs w:val="20"/>
              </w:rPr>
            </w:pPr>
          </w:p>
        </w:tc>
        <w:tc>
          <w:tcPr>
            <w:tcW w:w="2955" w:type="dxa"/>
          </w:tcPr>
          <w:p w14:paraId="0C21708C" w14:textId="2F764653" w:rsidR="00756CAE" w:rsidRPr="00D544ED" w:rsidRDefault="00756CAE" w:rsidP="00756CAE">
            <w:pPr>
              <w:rPr>
                <w:rFonts w:ascii="Times New Roman" w:hAnsi="Times New Roman" w:cs="Times New Roman"/>
                <w:sz w:val="20"/>
                <w:szCs w:val="20"/>
              </w:rPr>
            </w:pPr>
            <w:r w:rsidRPr="00756CAE">
              <w:rPr>
                <w:rFonts w:ascii="Times New Roman" w:hAnsi="Times New Roman" w:cs="Times New Roman"/>
                <w:sz w:val="20"/>
                <w:szCs w:val="20"/>
              </w:rPr>
              <w:t>Diagnosis during 6-12m</w:t>
            </w:r>
          </w:p>
        </w:tc>
        <w:tc>
          <w:tcPr>
            <w:tcW w:w="873" w:type="dxa"/>
          </w:tcPr>
          <w:p w14:paraId="79E7599D" w14:textId="4BAF6504"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685</w:t>
            </w:r>
          </w:p>
        </w:tc>
        <w:tc>
          <w:tcPr>
            <w:tcW w:w="1559" w:type="dxa"/>
          </w:tcPr>
          <w:p w14:paraId="3B65C310" w14:textId="23A17CB1"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390 (56.9)</w:t>
            </w:r>
          </w:p>
        </w:tc>
        <w:tc>
          <w:tcPr>
            <w:tcW w:w="992" w:type="dxa"/>
          </w:tcPr>
          <w:p w14:paraId="49F90D5C" w14:textId="14388211"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1,032</w:t>
            </w:r>
          </w:p>
        </w:tc>
        <w:tc>
          <w:tcPr>
            <w:tcW w:w="1701" w:type="dxa"/>
          </w:tcPr>
          <w:p w14:paraId="72826660" w14:textId="5D049753"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784 (76.0)</w:t>
            </w:r>
          </w:p>
        </w:tc>
        <w:tc>
          <w:tcPr>
            <w:tcW w:w="992" w:type="dxa"/>
          </w:tcPr>
          <w:p w14:paraId="0F9E568E" w14:textId="585926F1"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1,115</w:t>
            </w:r>
          </w:p>
        </w:tc>
        <w:tc>
          <w:tcPr>
            <w:tcW w:w="1560" w:type="dxa"/>
          </w:tcPr>
          <w:p w14:paraId="486B4BCB" w14:textId="5145225C"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744 (66.7)</w:t>
            </w:r>
          </w:p>
        </w:tc>
      </w:tr>
      <w:tr w:rsidR="00756CAE" w14:paraId="0C4485D4" w14:textId="77777777" w:rsidTr="00692F5A">
        <w:tc>
          <w:tcPr>
            <w:tcW w:w="279" w:type="dxa"/>
          </w:tcPr>
          <w:p w14:paraId="6ED89319" w14:textId="77777777" w:rsidR="00756CAE" w:rsidRPr="00D544ED" w:rsidRDefault="00756CAE" w:rsidP="00756CAE">
            <w:pPr>
              <w:rPr>
                <w:rFonts w:ascii="Times New Roman" w:hAnsi="Times New Roman" w:cs="Times New Roman"/>
                <w:sz w:val="20"/>
                <w:szCs w:val="20"/>
              </w:rPr>
            </w:pPr>
          </w:p>
        </w:tc>
        <w:tc>
          <w:tcPr>
            <w:tcW w:w="283" w:type="dxa"/>
          </w:tcPr>
          <w:p w14:paraId="05902B9C" w14:textId="77777777" w:rsidR="00756CAE" w:rsidRPr="00D544ED" w:rsidRDefault="00756CAE" w:rsidP="00756CAE">
            <w:pPr>
              <w:rPr>
                <w:rFonts w:ascii="Times New Roman" w:hAnsi="Times New Roman" w:cs="Times New Roman"/>
                <w:sz w:val="20"/>
                <w:szCs w:val="20"/>
              </w:rPr>
            </w:pPr>
          </w:p>
        </w:tc>
        <w:tc>
          <w:tcPr>
            <w:tcW w:w="2955" w:type="dxa"/>
          </w:tcPr>
          <w:p w14:paraId="06E5A72A" w14:textId="6774B8AA" w:rsidR="00756CAE" w:rsidRPr="00D544ED" w:rsidRDefault="00756CAE" w:rsidP="00756CAE">
            <w:pPr>
              <w:rPr>
                <w:rFonts w:ascii="Times New Roman" w:hAnsi="Times New Roman" w:cs="Times New Roman"/>
                <w:sz w:val="20"/>
                <w:szCs w:val="20"/>
              </w:rPr>
            </w:pPr>
            <w:r w:rsidRPr="00756CAE">
              <w:rPr>
                <w:rFonts w:ascii="Times New Roman" w:hAnsi="Times New Roman" w:cs="Times New Roman"/>
                <w:sz w:val="20"/>
                <w:szCs w:val="20"/>
              </w:rPr>
              <w:t>Diagnosis during 12-36m</w:t>
            </w:r>
          </w:p>
        </w:tc>
        <w:tc>
          <w:tcPr>
            <w:tcW w:w="873" w:type="dxa"/>
          </w:tcPr>
          <w:p w14:paraId="334A9F2B" w14:textId="5DDA52DB"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1,835</w:t>
            </w:r>
          </w:p>
        </w:tc>
        <w:tc>
          <w:tcPr>
            <w:tcW w:w="1559" w:type="dxa"/>
          </w:tcPr>
          <w:p w14:paraId="50C91534" w14:textId="09CE2212"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878 (47.8)</w:t>
            </w:r>
          </w:p>
        </w:tc>
        <w:tc>
          <w:tcPr>
            <w:tcW w:w="992" w:type="dxa"/>
          </w:tcPr>
          <w:p w14:paraId="4D3F4AE6" w14:textId="5D2CBC12"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2,335</w:t>
            </w:r>
          </w:p>
        </w:tc>
        <w:tc>
          <w:tcPr>
            <w:tcW w:w="1701" w:type="dxa"/>
          </w:tcPr>
          <w:p w14:paraId="10293FAF" w14:textId="0A5C9E1A"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1,511 (64.7)</w:t>
            </w:r>
          </w:p>
        </w:tc>
        <w:tc>
          <w:tcPr>
            <w:tcW w:w="992" w:type="dxa"/>
          </w:tcPr>
          <w:p w14:paraId="197CE628" w14:textId="577D4DCA"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2,562</w:t>
            </w:r>
          </w:p>
        </w:tc>
        <w:tc>
          <w:tcPr>
            <w:tcW w:w="1560" w:type="dxa"/>
          </w:tcPr>
          <w:p w14:paraId="67964E3E" w14:textId="109AD341"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1,591 (62.1)</w:t>
            </w:r>
          </w:p>
        </w:tc>
      </w:tr>
      <w:tr w:rsidR="00756CAE" w14:paraId="28F5D6BF" w14:textId="77777777" w:rsidTr="00692F5A">
        <w:tc>
          <w:tcPr>
            <w:tcW w:w="279" w:type="dxa"/>
          </w:tcPr>
          <w:p w14:paraId="211FE6EF" w14:textId="77777777" w:rsidR="00756CAE" w:rsidRPr="00D544ED" w:rsidRDefault="00756CAE" w:rsidP="00756CAE">
            <w:pPr>
              <w:rPr>
                <w:rFonts w:ascii="Times New Roman" w:hAnsi="Times New Roman" w:cs="Times New Roman"/>
                <w:sz w:val="20"/>
                <w:szCs w:val="20"/>
              </w:rPr>
            </w:pPr>
          </w:p>
        </w:tc>
        <w:tc>
          <w:tcPr>
            <w:tcW w:w="283" w:type="dxa"/>
          </w:tcPr>
          <w:p w14:paraId="5FEB307F" w14:textId="77777777" w:rsidR="00756CAE" w:rsidRPr="00D544ED" w:rsidRDefault="00756CAE" w:rsidP="00756CAE">
            <w:pPr>
              <w:rPr>
                <w:rFonts w:ascii="Times New Roman" w:hAnsi="Times New Roman" w:cs="Times New Roman"/>
                <w:sz w:val="20"/>
                <w:szCs w:val="20"/>
              </w:rPr>
            </w:pPr>
          </w:p>
        </w:tc>
        <w:tc>
          <w:tcPr>
            <w:tcW w:w="2955" w:type="dxa"/>
          </w:tcPr>
          <w:p w14:paraId="5CB05186" w14:textId="03DD3BC9" w:rsidR="00756CAE" w:rsidRPr="00D544ED" w:rsidRDefault="00756CAE" w:rsidP="00756CAE">
            <w:pPr>
              <w:rPr>
                <w:rFonts w:ascii="Times New Roman" w:hAnsi="Times New Roman" w:cs="Times New Roman"/>
                <w:sz w:val="20"/>
                <w:szCs w:val="20"/>
              </w:rPr>
            </w:pPr>
            <w:r w:rsidRPr="00756CAE">
              <w:rPr>
                <w:rFonts w:ascii="Times New Roman" w:hAnsi="Times New Roman" w:cs="Times New Roman"/>
                <w:sz w:val="20"/>
                <w:szCs w:val="20"/>
              </w:rPr>
              <w:t>Diagnosis after 36m</w:t>
            </w:r>
          </w:p>
        </w:tc>
        <w:tc>
          <w:tcPr>
            <w:tcW w:w="873" w:type="dxa"/>
          </w:tcPr>
          <w:p w14:paraId="73347644" w14:textId="4CDC44C8"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3,621</w:t>
            </w:r>
          </w:p>
        </w:tc>
        <w:tc>
          <w:tcPr>
            <w:tcW w:w="1559" w:type="dxa"/>
          </w:tcPr>
          <w:p w14:paraId="3EAA00D2" w14:textId="5FB62DFB"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1,573 (43.4)</w:t>
            </w:r>
          </w:p>
        </w:tc>
        <w:tc>
          <w:tcPr>
            <w:tcW w:w="992" w:type="dxa"/>
          </w:tcPr>
          <w:p w14:paraId="1AEE4458" w14:textId="69A8D95C"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3,558</w:t>
            </w:r>
          </w:p>
        </w:tc>
        <w:tc>
          <w:tcPr>
            <w:tcW w:w="1701" w:type="dxa"/>
          </w:tcPr>
          <w:p w14:paraId="41C0A575" w14:textId="2DF02C76"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1,867 (52.5)</w:t>
            </w:r>
          </w:p>
        </w:tc>
        <w:tc>
          <w:tcPr>
            <w:tcW w:w="992" w:type="dxa"/>
          </w:tcPr>
          <w:p w14:paraId="169849E8" w14:textId="77636F07"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5,003</w:t>
            </w:r>
          </w:p>
        </w:tc>
        <w:tc>
          <w:tcPr>
            <w:tcW w:w="1560" w:type="dxa"/>
          </w:tcPr>
          <w:p w14:paraId="6B57F8EF" w14:textId="45D30E58"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2,627 (52.5)</w:t>
            </w:r>
          </w:p>
        </w:tc>
      </w:tr>
      <w:tr w:rsidR="00756CAE" w14:paraId="593D289B" w14:textId="77777777" w:rsidTr="00692F5A">
        <w:tc>
          <w:tcPr>
            <w:tcW w:w="279" w:type="dxa"/>
            <w:tcBorders>
              <w:bottom w:val="single" w:sz="4" w:space="0" w:color="auto"/>
            </w:tcBorders>
          </w:tcPr>
          <w:p w14:paraId="0CFD9CBD" w14:textId="77777777" w:rsidR="00756CAE" w:rsidRPr="00D544ED" w:rsidRDefault="00756CAE" w:rsidP="00756CAE">
            <w:pPr>
              <w:rPr>
                <w:rFonts w:ascii="Times New Roman" w:hAnsi="Times New Roman" w:cs="Times New Roman"/>
                <w:sz w:val="20"/>
                <w:szCs w:val="20"/>
              </w:rPr>
            </w:pPr>
          </w:p>
        </w:tc>
        <w:tc>
          <w:tcPr>
            <w:tcW w:w="3238" w:type="dxa"/>
            <w:gridSpan w:val="2"/>
            <w:tcBorders>
              <w:bottom w:val="single" w:sz="4" w:space="0" w:color="auto"/>
            </w:tcBorders>
          </w:tcPr>
          <w:p w14:paraId="612ED125" w14:textId="4DBC2A52" w:rsidR="00756CAE" w:rsidRPr="00D544ED" w:rsidRDefault="00756CAE" w:rsidP="00756CAE">
            <w:pPr>
              <w:rPr>
                <w:rFonts w:ascii="Times New Roman" w:hAnsi="Times New Roman" w:cs="Times New Roman"/>
                <w:sz w:val="20"/>
                <w:szCs w:val="20"/>
              </w:rPr>
            </w:pPr>
            <w:r w:rsidRPr="00756CAE">
              <w:rPr>
                <w:rFonts w:ascii="Times New Roman" w:hAnsi="Times New Roman" w:cs="Times New Roman"/>
                <w:sz w:val="20"/>
                <w:szCs w:val="20"/>
              </w:rPr>
              <w:t>In those did not receive a diagnosis</w:t>
            </w:r>
            <w:r w:rsidR="00692F5A">
              <w:rPr>
                <w:rFonts w:ascii="Times New Roman" w:hAnsi="Times New Roman" w:cs="Times New Roman"/>
                <w:sz w:val="20"/>
                <w:szCs w:val="20"/>
              </w:rPr>
              <w:t>‡</w:t>
            </w:r>
          </w:p>
        </w:tc>
        <w:tc>
          <w:tcPr>
            <w:tcW w:w="873" w:type="dxa"/>
            <w:tcBorders>
              <w:bottom w:val="single" w:sz="4" w:space="0" w:color="auto"/>
            </w:tcBorders>
          </w:tcPr>
          <w:p w14:paraId="5C1A74BF" w14:textId="7131C2F3"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66,587</w:t>
            </w:r>
          </w:p>
        </w:tc>
        <w:tc>
          <w:tcPr>
            <w:tcW w:w="1559" w:type="dxa"/>
            <w:tcBorders>
              <w:bottom w:val="single" w:sz="4" w:space="0" w:color="auto"/>
            </w:tcBorders>
          </w:tcPr>
          <w:p w14:paraId="7DFDAA56" w14:textId="379E7142"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21,245 (31.9)</w:t>
            </w:r>
          </w:p>
        </w:tc>
        <w:tc>
          <w:tcPr>
            <w:tcW w:w="992" w:type="dxa"/>
            <w:tcBorders>
              <w:bottom w:val="single" w:sz="4" w:space="0" w:color="auto"/>
            </w:tcBorders>
          </w:tcPr>
          <w:p w14:paraId="077C951D" w14:textId="032A9A3D"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64,343</w:t>
            </w:r>
          </w:p>
        </w:tc>
        <w:tc>
          <w:tcPr>
            <w:tcW w:w="1701" w:type="dxa"/>
            <w:tcBorders>
              <w:bottom w:val="single" w:sz="4" w:space="0" w:color="auto"/>
            </w:tcBorders>
          </w:tcPr>
          <w:p w14:paraId="5171345A" w14:textId="01FC86F9"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18,233 (28.3)</w:t>
            </w:r>
          </w:p>
        </w:tc>
        <w:tc>
          <w:tcPr>
            <w:tcW w:w="992" w:type="dxa"/>
            <w:tcBorders>
              <w:bottom w:val="single" w:sz="4" w:space="0" w:color="auto"/>
            </w:tcBorders>
          </w:tcPr>
          <w:p w14:paraId="7EF25116" w14:textId="0D55A52B"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62,588</w:t>
            </w:r>
          </w:p>
        </w:tc>
        <w:tc>
          <w:tcPr>
            <w:tcW w:w="1560" w:type="dxa"/>
            <w:tcBorders>
              <w:bottom w:val="single" w:sz="4" w:space="0" w:color="auto"/>
            </w:tcBorders>
          </w:tcPr>
          <w:p w14:paraId="311DA484" w14:textId="21DE741D" w:rsidR="00756CAE" w:rsidRPr="00D544ED" w:rsidRDefault="00D544ED" w:rsidP="00D544ED">
            <w:pPr>
              <w:jc w:val="center"/>
              <w:rPr>
                <w:rFonts w:ascii="Times New Roman" w:hAnsi="Times New Roman" w:cs="Times New Roman"/>
                <w:sz w:val="20"/>
                <w:szCs w:val="20"/>
              </w:rPr>
            </w:pPr>
            <w:r w:rsidRPr="00756CAE">
              <w:rPr>
                <w:rFonts w:ascii="Times New Roman" w:hAnsi="Times New Roman" w:cs="Times New Roman"/>
                <w:sz w:val="20"/>
                <w:szCs w:val="20"/>
              </w:rPr>
              <w:t>18,468 (29.5)</w:t>
            </w:r>
          </w:p>
        </w:tc>
      </w:tr>
    </w:tbl>
    <w:p w14:paraId="063254E3" w14:textId="4E1CA0A3" w:rsidR="008B47DA" w:rsidRDefault="00D544ED" w:rsidP="004A6442">
      <w:pPr>
        <w:spacing w:after="0"/>
      </w:pPr>
      <w:r>
        <w:rPr>
          <w:rFonts w:ascii="Times New Roman" w:hAnsi="Times New Roman" w:cs="Times New Roman"/>
          <w:sz w:val="20"/>
          <w:szCs w:val="20"/>
        </w:rPr>
        <w:t>*</w:t>
      </w:r>
      <w:r w:rsidRPr="00D544ED">
        <w:rPr>
          <w:rFonts w:ascii="Times New Roman" w:hAnsi="Times New Roman" w:cs="Times New Roman"/>
          <w:sz w:val="20"/>
          <w:szCs w:val="20"/>
        </w:rPr>
        <w:t>Before</w:t>
      </w:r>
      <w:r w:rsidRPr="00756CAE">
        <w:rPr>
          <w:rFonts w:ascii="Times New Roman" w:hAnsi="Times New Roman" w:cs="Times New Roman"/>
          <w:sz w:val="20"/>
          <w:szCs w:val="20"/>
        </w:rPr>
        <w:t xml:space="preserve"> the date of diagnosis if diagnosis occurred within first 6 months (pre-diagnosis prescription). </w:t>
      </w:r>
      <w:r>
        <w:rPr>
          <w:rFonts w:ascii="Times New Roman" w:hAnsi="Times New Roman" w:cs="Times New Roman"/>
          <w:sz w:val="20"/>
          <w:szCs w:val="20"/>
        </w:rPr>
        <w:t>†</w:t>
      </w:r>
      <w:r w:rsidRPr="00756CAE">
        <w:rPr>
          <w:rFonts w:ascii="Times New Roman" w:hAnsi="Times New Roman" w:cs="Times New Roman"/>
          <w:sz w:val="20"/>
          <w:szCs w:val="20"/>
        </w:rPr>
        <w:t>COPD/asthma-related medications</w:t>
      </w:r>
      <w:r>
        <w:rPr>
          <w:rFonts w:ascii="Times New Roman" w:hAnsi="Times New Roman" w:cs="Times New Roman"/>
          <w:sz w:val="20"/>
          <w:szCs w:val="20"/>
        </w:rPr>
        <w:t xml:space="preserve"> regarding COPD and asthma</w:t>
      </w:r>
      <w:r w:rsidRPr="00756CAE">
        <w:rPr>
          <w:rFonts w:ascii="Times New Roman" w:hAnsi="Times New Roman" w:cs="Times New Roman"/>
          <w:sz w:val="20"/>
          <w:szCs w:val="20"/>
        </w:rPr>
        <w:t>; and IHD-re</w:t>
      </w:r>
      <w:r>
        <w:rPr>
          <w:rFonts w:ascii="Times New Roman" w:hAnsi="Times New Roman" w:cs="Times New Roman"/>
          <w:sz w:val="20"/>
          <w:szCs w:val="20"/>
        </w:rPr>
        <w:t xml:space="preserve">lated medications regarding </w:t>
      </w:r>
      <w:r w:rsidRPr="00756CAE">
        <w:rPr>
          <w:rFonts w:ascii="Times New Roman" w:hAnsi="Times New Roman" w:cs="Times New Roman"/>
          <w:sz w:val="20"/>
          <w:szCs w:val="20"/>
        </w:rPr>
        <w:t xml:space="preserve">IHD. </w:t>
      </w:r>
      <w:r w:rsidR="00692F5A">
        <w:rPr>
          <w:rFonts w:ascii="Times New Roman" w:hAnsi="Times New Roman" w:cs="Times New Roman"/>
          <w:sz w:val="20"/>
          <w:szCs w:val="20"/>
        </w:rPr>
        <w:t>‡</w:t>
      </w:r>
      <w:r w:rsidRPr="00756CAE">
        <w:rPr>
          <w:rFonts w:ascii="Times New Roman" w:hAnsi="Times New Roman" w:cs="Times New Roman"/>
          <w:sz w:val="20"/>
          <w:szCs w:val="20"/>
        </w:rPr>
        <w:t>Diagnosis during the follow-up period.</w:t>
      </w:r>
    </w:p>
    <w:p w14:paraId="53EF4707" w14:textId="77777777" w:rsidR="008B47DA" w:rsidRDefault="008B47DA" w:rsidP="008B47DA"/>
    <w:p w14:paraId="1D84CB16" w14:textId="77777777" w:rsidR="008B47DA" w:rsidRDefault="008B47DA" w:rsidP="008B47DA"/>
    <w:p w14:paraId="0A6FC1EB" w14:textId="77777777" w:rsidR="008B47DA" w:rsidRDefault="008B47DA" w:rsidP="008B47DA"/>
    <w:p w14:paraId="7C6F0D50" w14:textId="77777777" w:rsidR="008B47DA" w:rsidRDefault="008B47DA" w:rsidP="008B47DA"/>
    <w:p w14:paraId="5D164DC2" w14:textId="77777777" w:rsidR="008B47DA" w:rsidRDefault="008B47DA" w:rsidP="009A730E">
      <w:pPr>
        <w:spacing w:line="360" w:lineRule="auto"/>
        <w:rPr>
          <w:sz w:val="24"/>
          <w:szCs w:val="24"/>
        </w:rPr>
        <w:sectPr w:rsidR="008B47DA" w:rsidSect="008B47DA">
          <w:pgSz w:w="16838" w:h="11906" w:orient="landscape"/>
          <w:pgMar w:top="1440" w:right="1440" w:bottom="1440" w:left="1440" w:header="709" w:footer="709" w:gutter="0"/>
          <w:cols w:space="708"/>
          <w:docGrid w:linePitch="360"/>
        </w:sectPr>
      </w:pPr>
    </w:p>
    <w:p w14:paraId="3BB1E7A4" w14:textId="65DC8D72" w:rsidR="008B47DA" w:rsidRPr="00692F5A" w:rsidRDefault="008B47DA" w:rsidP="004A6442">
      <w:pPr>
        <w:spacing w:after="0" w:line="240" w:lineRule="auto"/>
        <w:rPr>
          <w:rFonts w:ascii="Times New Roman" w:hAnsi="Times New Roman" w:cs="Times New Roman"/>
          <w:b/>
          <w:sz w:val="20"/>
          <w:szCs w:val="20"/>
        </w:rPr>
      </w:pPr>
      <w:r w:rsidRPr="00692F5A">
        <w:rPr>
          <w:rFonts w:ascii="Times New Roman" w:hAnsi="Times New Roman" w:cs="Times New Roman"/>
          <w:b/>
          <w:sz w:val="20"/>
          <w:szCs w:val="20"/>
        </w:rPr>
        <w:lastRenderedPageBreak/>
        <w:t>Table 4 Risk of future diagnosis of COPD, asthma and IHD in patients with a first coded record of breathlessness</w:t>
      </w:r>
      <w:r w:rsidR="002117C3" w:rsidRPr="00692F5A">
        <w:rPr>
          <w:rFonts w:ascii="Times New Roman" w:hAnsi="Times New Roman" w:cs="Times New Roman"/>
          <w:b/>
          <w:sz w:val="20"/>
          <w:szCs w:val="20"/>
        </w:rPr>
        <w:t xml:space="preserve"> </w:t>
      </w:r>
      <w:r w:rsidRPr="00692F5A">
        <w:rPr>
          <w:rFonts w:ascii="Times New Roman" w:hAnsi="Times New Roman" w:cs="Times New Roman"/>
          <w:b/>
          <w:sz w:val="20"/>
          <w:szCs w:val="20"/>
        </w:rPr>
        <w:t xml:space="preserve">symptom stratified by prescription management </w:t>
      </w:r>
    </w:p>
    <w:tbl>
      <w:tblPr>
        <w:tblStyle w:val="TableGrid"/>
        <w:tblW w:w="8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1284"/>
        <w:gridCol w:w="2087"/>
        <w:gridCol w:w="2127"/>
        <w:gridCol w:w="2179"/>
      </w:tblGrid>
      <w:tr w:rsidR="008B47DA" w:rsidRPr="00692F5A" w14:paraId="145BB346" w14:textId="77777777" w:rsidTr="00692F5A">
        <w:tc>
          <w:tcPr>
            <w:tcW w:w="1300" w:type="dxa"/>
            <w:tcBorders>
              <w:top w:val="single" w:sz="4" w:space="0" w:color="auto"/>
              <w:bottom w:val="single" w:sz="4" w:space="0" w:color="auto"/>
            </w:tcBorders>
          </w:tcPr>
          <w:p w14:paraId="33104217"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Time period</w:t>
            </w:r>
          </w:p>
        </w:tc>
        <w:tc>
          <w:tcPr>
            <w:tcW w:w="1284" w:type="dxa"/>
            <w:tcBorders>
              <w:top w:val="single" w:sz="4" w:space="0" w:color="auto"/>
              <w:bottom w:val="single" w:sz="4" w:space="0" w:color="auto"/>
            </w:tcBorders>
          </w:tcPr>
          <w:p w14:paraId="11C43916" w14:textId="592B42ED"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Patient group</w:t>
            </w:r>
            <w:r w:rsidR="00692F5A">
              <w:rPr>
                <w:rFonts w:ascii="Times New Roman" w:hAnsi="Times New Roman" w:cs="Times New Roman"/>
                <w:sz w:val="20"/>
                <w:szCs w:val="20"/>
              </w:rPr>
              <w:t>*</w:t>
            </w:r>
          </w:p>
        </w:tc>
        <w:tc>
          <w:tcPr>
            <w:tcW w:w="2087" w:type="dxa"/>
            <w:tcBorders>
              <w:top w:val="single" w:sz="4" w:space="0" w:color="auto"/>
              <w:bottom w:val="single" w:sz="4" w:space="0" w:color="auto"/>
            </w:tcBorders>
          </w:tcPr>
          <w:p w14:paraId="2FCEB478"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COPD</w:t>
            </w:r>
          </w:p>
          <w:p w14:paraId="27EE3144" w14:textId="6BB3693E"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Adjusted</w:t>
            </w:r>
            <w:r w:rsidR="00692F5A">
              <w:rPr>
                <w:rFonts w:ascii="Times New Roman" w:hAnsi="Times New Roman" w:cs="Times New Roman"/>
                <w:sz w:val="20"/>
                <w:szCs w:val="20"/>
              </w:rPr>
              <w:t>†</w:t>
            </w:r>
            <w:r w:rsidRPr="00692F5A">
              <w:rPr>
                <w:rFonts w:ascii="Times New Roman" w:hAnsi="Times New Roman" w:cs="Times New Roman"/>
                <w:sz w:val="20"/>
                <w:szCs w:val="20"/>
              </w:rPr>
              <w:t xml:space="preserve"> hazard ratio </w:t>
            </w:r>
          </w:p>
          <w:p w14:paraId="77E4D717"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(95% CI)</w:t>
            </w:r>
          </w:p>
        </w:tc>
        <w:tc>
          <w:tcPr>
            <w:tcW w:w="2127" w:type="dxa"/>
            <w:tcBorders>
              <w:top w:val="single" w:sz="4" w:space="0" w:color="auto"/>
              <w:bottom w:val="single" w:sz="4" w:space="0" w:color="auto"/>
            </w:tcBorders>
          </w:tcPr>
          <w:p w14:paraId="211C81F2"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Asthma</w:t>
            </w:r>
          </w:p>
          <w:p w14:paraId="5DB1ECAA" w14:textId="5CD965FC"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Adjusted</w:t>
            </w:r>
            <w:r w:rsidR="00692F5A">
              <w:rPr>
                <w:rFonts w:ascii="Times New Roman" w:hAnsi="Times New Roman" w:cs="Times New Roman"/>
                <w:sz w:val="20"/>
                <w:szCs w:val="20"/>
              </w:rPr>
              <w:t>†</w:t>
            </w:r>
            <w:r w:rsidRPr="00692F5A">
              <w:rPr>
                <w:rFonts w:ascii="Times New Roman" w:hAnsi="Times New Roman" w:cs="Times New Roman"/>
                <w:sz w:val="20"/>
                <w:szCs w:val="20"/>
              </w:rPr>
              <w:t xml:space="preserve"> hazard ratio </w:t>
            </w:r>
          </w:p>
          <w:p w14:paraId="0DD1281A"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(95% CI)</w:t>
            </w:r>
          </w:p>
        </w:tc>
        <w:tc>
          <w:tcPr>
            <w:tcW w:w="2179" w:type="dxa"/>
            <w:tcBorders>
              <w:top w:val="single" w:sz="4" w:space="0" w:color="auto"/>
              <w:bottom w:val="single" w:sz="4" w:space="0" w:color="auto"/>
            </w:tcBorders>
          </w:tcPr>
          <w:p w14:paraId="2BFC27F7"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IHD</w:t>
            </w:r>
          </w:p>
          <w:p w14:paraId="03960341" w14:textId="1B2A5522"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Adjusted</w:t>
            </w:r>
            <w:r w:rsidR="00692F5A">
              <w:rPr>
                <w:rFonts w:ascii="Times New Roman" w:hAnsi="Times New Roman" w:cs="Times New Roman"/>
                <w:sz w:val="20"/>
                <w:szCs w:val="20"/>
              </w:rPr>
              <w:t>†</w:t>
            </w:r>
            <w:r w:rsidRPr="00692F5A">
              <w:rPr>
                <w:rFonts w:ascii="Times New Roman" w:hAnsi="Times New Roman" w:cs="Times New Roman"/>
                <w:sz w:val="20"/>
                <w:szCs w:val="20"/>
              </w:rPr>
              <w:t xml:space="preserve"> hazard ratio </w:t>
            </w:r>
          </w:p>
          <w:p w14:paraId="2D0783E5"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(95% CI)</w:t>
            </w:r>
          </w:p>
        </w:tc>
      </w:tr>
      <w:tr w:rsidR="008B47DA" w:rsidRPr="00692F5A" w14:paraId="2432C285" w14:textId="77777777" w:rsidTr="00692F5A">
        <w:tc>
          <w:tcPr>
            <w:tcW w:w="1300" w:type="dxa"/>
            <w:tcBorders>
              <w:top w:val="single" w:sz="4" w:space="0" w:color="auto"/>
            </w:tcBorders>
          </w:tcPr>
          <w:p w14:paraId="5F477E36" w14:textId="77777777" w:rsidR="008B47DA" w:rsidRPr="00692F5A" w:rsidRDefault="008B47DA" w:rsidP="00692F5A">
            <w:pPr>
              <w:jc w:val="center"/>
              <w:rPr>
                <w:rFonts w:ascii="Times New Roman" w:hAnsi="Times New Roman" w:cs="Times New Roman"/>
                <w:b/>
                <w:sz w:val="20"/>
                <w:szCs w:val="20"/>
              </w:rPr>
            </w:pPr>
          </w:p>
        </w:tc>
        <w:tc>
          <w:tcPr>
            <w:tcW w:w="1284" w:type="dxa"/>
            <w:tcBorders>
              <w:top w:val="single" w:sz="4" w:space="0" w:color="auto"/>
            </w:tcBorders>
          </w:tcPr>
          <w:p w14:paraId="54C1B548"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A</w:t>
            </w:r>
          </w:p>
        </w:tc>
        <w:tc>
          <w:tcPr>
            <w:tcW w:w="2087" w:type="dxa"/>
            <w:tcBorders>
              <w:top w:val="single" w:sz="4" w:space="0" w:color="auto"/>
            </w:tcBorders>
          </w:tcPr>
          <w:p w14:paraId="265478EE"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1.0 (referent)</w:t>
            </w:r>
          </w:p>
        </w:tc>
        <w:tc>
          <w:tcPr>
            <w:tcW w:w="2127" w:type="dxa"/>
            <w:tcBorders>
              <w:top w:val="single" w:sz="4" w:space="0" w:color="auto"/>
            </w:tcBorders>
          </w:tcPr>
          <w:p w14:paraId="11AFF9E9"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1.0 (referent)</w:t>
            </w:r>
          </w:p>
        </w:tc>
        <w:tc>
          <w:tcPr>
            <w:tcW w:w="2179" w:type="dxa"/>
            <w:tcBorders>
              <w:top w:val="single" w:sz="4" w:space="0" w:color="auto"/>
            </w:tcBorders>
          </w:tcPr>
          <w:p w14:paraId="27132302"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1.0 (referent)</w:t>
            </w:r>
          </w:p>
        </w:tc>
      </w:tr>
      <w:tr w:rsidR="008B47DA" w:rsidRPr="00692F5A" w14:paraId="0F28ED8A" w14:textId="77777777" w:rsidTr="00692F5A">
        <w:tc>
          <w:tcPr>
            <w:tcW w:w="1300" w:type="dxa"/>
          </w:tcPr>
          <w:p w14:paraId="4A5D2409" w14:textId="158969C4"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6–12m</w:t>
            </w:r>
          </w:p>
        </w:tc>
        <w:tc>
          <w:tcPr>
            <w:tcW w:w="1284" w:type="dxa"/>
          </w:tcPr>
          <w:p w14:paraId="723C3E30"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B</w:t>
            </w:r>
          </w:p>
        </w:tc>
        <w:tc>
          <w:tcPr>
            <w:tcW w:w="2087" w:type="dxa"/>
          </w:tcPr>
          <w:p w14:paraId="0C2ABE3D"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5.6 (4.3, 7.2)</w:t>
            </w:r>
          </w:p>
        </w:tc>
        <w:tc>
          <w:tcPr>
            <w:tcW w:w="2127" w:type="dxa"/>
          </w:tcPr>
          <w:p w14:paraId="5ED0D4F1"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4.4 (3.5, 5.7)</w:t>
            </w:r>
          </w:p>
        </w:tc>
        <w:tc>
          <w:tcPr>
            <w:tcW w:w="2179" w:type="dxa"/>
          </w:tcPr>
          <w:p w14:paraId="0C8616E4"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2.0 (1.8, 2.4)</w:t>
            </w:r>
          </w:p>
        </w:tc>
      </w:tr>
      <w:tr w:rsidR="008B47DA" w:rsidRPr="00692F5A" w14:paraId="0AFA8F64" w14:textId="77777777" w:rsidTr="00692F5A">
        <w:tc>
          <w:tcPr>
            <w:tcW w:w="1300" w:type="dxa"/>
          </w:tcPr>
          <w:p w14:paraId="302D9044" w14:textId="77777777" w:rsidR="008B47DA" w:rsidRPr="00692F5A" w:rsidRDefault="008B47DA" w:rsidP="00692F5A">
            <w:pPr>
              <w:jc w:val="center"/>
              <w:rPr>
                <w:rFonts w:ascii="Times New Roman" w:hAnsi="Times New Roman" w:cs="Times New Roman"/>
                <w:sz w:val="20"/>
                <w:szCs w:val="20"/>
              </w:rPr>
            </w:pPr>
          </w:p>
        </w:tc>
        <w:tc>
          <w:tcPr>
            <w:tcW w:w="1284" w:type="dxa"/>
          </w:tcPr>
          <w:p w14:paraId="5F043EF8"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C</w:t>
            </w:r>
          </w:p>
        </w:tc>
        <w:tc>
          <w:tcPr>
            <w:tcW w:w="2087" w:type="dxa"/>
          </w:tcPr>
          <w:p w14:paraId="40F087C3"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16.9 (13.1, 21.7)</w:t>
            </w:r>
          </w:p>
        </w:tc>
        <w:tc>
          <w:tcPr>
            <w:tcW w:w="2127" w:type="dxa"/>
          </w:tcPr>
          <w:p w14:paraId="66950B3F"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29.0 (23.1, 36.3)</w:t>
            </w:r>
          </w:p>
        </w:tc>
        <w:tc>
          <w:tcPr>
            <w:tcW w:w="2179" w:type="dxa"/>
          </w:tcPr>
          <w:p w14:paraId="7EDD4DB2"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4.1 (3.6, 4.7)</w:t>
            </w:r>
          </w:p>
        </w:tc>
      </w:tr>
      <w:tr w:rsidR="008B47DA" w:rsidRPr="00692F5A" w14:paraId="057CAF80" w14:textId="77777777" w:rsidTr="00692F5A">
        <w:tc>
          <w:tcPr>
            <w:tcW w:w="1300" w:type="dxa"/>
          </w:tcPr>
          <w:p w14:paraId="495BAE31" w14:textId="77777777" w:rsidR="008B47DA" w:rsidRPr="00692F5A" w:rsidRDefault="008B47DA" w:rsidP="00692F5A">
            <w:pPr>
              <w:jc w:val="center"/>
              <w:rPr>
                <w:rFonts w:ascii="Times New Roman" w:hAnsi="Times New Roman" w:cs="Times New Roman"/>
                <w:sz w:val="20"/>
                <w:szCs w:val="20"/>
              </w:rPr>
            </w:pPr>
          </w:p>
        </w:tc>
        <w:tc>
          <w:tcPr>
            <w:tcW w:w="1284" w:type="dxa"/>
          </w:tcPr>
          <w:p w14:paraId="5D3676D9" w14:textId="77777777" w:rsidR="008B47DA" w:rsidRPr="00692F5A" w:rsidRDefault="008B47DA" w:rsidP="00692F5A">
            <w:pPr>
              <w:jc w:val="center"/>
              <w:rPr>
                <w:rFonts w:ascii="Times New Roman" w:hAnsi="Times New Roman" w:cs="Times New Roman"/>
                <w:sz w:val="20"/>
                <w:szCs w:val="20"/>
              </w:rPr>
            </w:pPr>
          </w:p>
        </w:tc>
        <w:tc>
          <w:tcPr>
            <w:tcW w:w="2087" w:type="dxa"/>
          </w:tcPr>
          <w:p w14:paraId="0D7A5600" w14:textId="77777777" w:rsidR="008B47DA" w:rsidRPr="00692F5A" w:rsidRDefault="008B47DA" w:rsidP="00692F5A">
            <w:pPr>
              <w:jc w:val="center"/>
              <w:rPr>
                <w:rFonts w:ascii="Times New Roman" w:hAnsi="Times New Roman" w:cs="Times New Roman"/>
                <w:sz w:val="20"/>
                <w:szCs w:val="20"/>
              </w:rPr>
            </w:pPr>
          </w:p>
        </w:tc>
        <w:tc>
          <w:tcPr>
            <w:tcW w:w="2127" w:type="dxa"/>
          </w:tcPr>
          <w:p w14:paraId="2941F872" w14:textId="77777777" w:rsidR="008B47DA" w:rsidRPr="00692F5A" w:rsidRDefault="008B47DA" w:rsidP="00692F5A">
            <w:pPr>
              <w:jc w:val="center"/>
              <w:rPr>
                <w:rFonts w:ascii="Times New Roman" w:hAnsi="Times New Roman" w:cs="Times New Roman"/>
                <w:sz w:val="20"/>
                <w:szCs w:val="20"/>
              </w:rPr>
            </w:pPr>
          </w:p>
        </w:tc>
        <w:tc>
          <w:tcPr>
            <w:tcW w:w="2179" w:type="dxa"/>
          </w:tcPr>
          <w:p w14:paraId="62E4FAF7" w14:textId="77777777" w:rsidR="008B47DA" w:rsidRPr="00692F5A" w:rsidRDefault="008B47DA" w:rsidP="00692F5A">
            <w:pPr>
              <w:jc w:val="center"/>
              <w:rPr>
                <w:rFonts w:ascii="Times New Roman" w:hAnsi="Times New Roman" w:cs="Times New Roman"/>
                <w:sz w:val="20"/>
                <w:szCs w:val="20"/>
              </w:rPr>
            </w:pPr>
          </w:p>
        </w:tc>
      </w:tr>
      <w:tr w:rsidR="008B47DA" w:rsidRPr="00692F5A" w14:paraId="176C0D5A" w14:textId="77777777" w:rsidTr="00692F5A">
        <w:tc>
          <w:tcPr>
            <w:tcW w:w="1300" w:type="dxa"/>
          </w:tcPr>
          <w:p w14:paraId="1B6565D8" w14:textId="77777777" w:rsidR="008B47DA" w:rsidRPr="00692F5A" w:rsidRDefault="008B47DA" w:rsidP="00692F5A">
            <w:pPr>
              <w:jc w:val="center"/>
              <w:rPr>
                <w:rFonts w:ascii="Times New Roman" w:hAnsi="Times New Roman" w:cs="Times New Roman"/>
                <w:sz w:val="20"/>
                <w:szCs w:val="20"/>
              </w:rPr>
            </w:pPr>
          </w:p>
        </w:tc>
        <w:tc>
          <w:tcPr>
            <w:tcW w:w="1284" w:type="dxa"/>
          </w:tcPr>
          <w:p w14:paraId="1C00C69E"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A</w:t>
            </w:r>
          </w:p>
        </w:tc>
        <w:tc>
          <w:tcPr>
            <w:tcW w:w="2087" w:type="dxa"/>
          </w:tcPr>
          <w:p w14:paraId="64D0693F"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1.0 (referent)</w:t>
            </w:r>
          </w:p>
        </w:tc>
        <w:tc>
          <w:tcPr>
            <w:tcW w:w="2127" w:type="dxa"/>
          </w:tcPr>
          <w:p w14:paraId="2A628B87"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1.0 (referent)</w:t>
            </w:r>
          </w:p>
        </w:tc>
        <w:tc>
          <w:tcPr>
            <w:tcW w:w="2179" w:type="dxa"/>
          </w:tcPr>
          <w:p w14:paraId="218F7444"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1.0 (referent)</w:t>
            </w:r>
          </w:p>
        </w:tc>
      </w:tr>
      <w:tr w:rsidR="008B47DA" w:rsidRPr="00692F5A" w14:paraId="5082FF78" w14:textId="77777777" w:rsidTr="00692F5A">
        <w:tc>
          <w:tcPr>
            <w:tcW w:w="1300" w:type="dxa"/>
          </w:tcPr>
          <w:p w14:paraId="2748F576" w14:textId="6DD3D9BB"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12–36m</w:t>
            </w:r>
          </w:p>
        </w:tc>
        <w:tc>
          <w:tcPr>
            <w:tcW w:w="1284" w:type="dxa"/>
          </w:tcPr>
          <w:p w14:paraId="34FD7973"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B</w:t>
            </w:r>
          </w:p>
        </w:tc>
        <w:tc>
          <w:tcPr>
            <w:tcW w:w="2087" w:type="dxa"/>
          </w:tcPr>
          <w:p w14:paraId="7B28F27C"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4.0 (3.6, 4.6)</w:t>
            </w:r>
          </w:p>
        </w:tc>
        <w:tc>
          <w:tcPr>
            <w:tcW w:w="2127" w:type="dxa"/>
          </w:tcPr>
          <w:p w14:paraId="6CEB8AB6"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3.7 (3.2, 4.2)</w:t>
            </w:r>
          </w:p>
        </w:tc>
        <w:tc>
          <w:tcPr>
            <w:tcW w:w="2179" w:type="dxa"/>
          </w:tcPr>
          <w:p w14:paraId="23355823"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1.5 (1.4, 1.6)</w:t>
            </w:r>
          </w:p>
        </w:tc>
      </w:tr>
      <w:tr w:rsidR="008B47DA" w:rsidRPr="00692F5A" w14:paraId="295DE2E6" w14:textId="77777777" w:rsidTr="00692F5A">
        <w:tc>
          <w:tcPr>
            <w:tcW w:w="1300" w:type="dxa"/>
          </w:tcPr>
          <w:p w14:paraId="4C8F86BE" w14:textId="77777777" w:rsidR="008B47DA" w:rsidRPr="00692F5A" w:rsidRDefault="008B47DA" w:rsidP="00692F5A">
            <w:pPr>
              <w:jc w:val="center"/>
              <w:rPr>
                <w:rFonts w:ascii="Times New Roman" w:hAnsi="Times New Roman" w:cs="Times New Roman"/>
                <w:sz w:val="20"/>
                <w:szCs w:val="20"/>
              </w:rPr>
            </w:pPr>
          </w:p>
        </w:tc>
        <w:tc>
          <w:tcPr>
            <w:tcW w:w="1284" w:type="dxa"/>
          </w:tcPr>
          <w:p w14:paraId="3931134C"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C</w:t>
            </w:r>
          </w:p>
        </w:tc>
        <w:tc>
          <w:tcPr>
            <w:tcW w:w="2087" w:type="dxa"/>
          </w:tcPr>
          <w:p w14:paraId="2ABE1025"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8.8 (7.7, 10.0)</w:t>
            </w:r>
          </w:p>
        </w:tc>
        <w:tc>
          <w:tcPr>
            <w:tcW w:w="2127" w:type="dxa"/>
          </w:tcPr>
          <w:p w14:paraId="587E247F"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14.6 (12.9, 16.5)</w:t>
            </w:r>
          </w:p>
        </w:tc>
        <w:tc>
          <w:tcPr>
            <w:tcW w:w="2179" w:type="dxa"/>
          </w:tcPr>
          <w:p w14:paraId="7A4AF9CB"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2.4 (2.2, 2.6)</w:t>
            </w:r>
          </w:p>
        </w:tc>
      </w:tr>
      <w:tr w:rsidR="008B47DA" w:rsidRPr="00692F5A" w14:paraId="478436E6" w14:textId="77777777" w:rsidTr="00692F5A">
        <w:tc>
          <w:tcPr>
            <w:tcW w:w="1300" w:type="dxa"/>
          </w:tcPr>
          <w:p w14:paraId="11D658AA" w14:textId="77777777" w:rsidR="008B47DA" w:rsidRPr="00692F5A" w:rsidRDefault="008B47DA" w:rsidP="00692F5A">
            <w:pPr>
              <w:jc w:val="center"/>
              <w:rPr>
                <w:rFonts w:ascii="Times New Roman" w:hAnsi="Times New Roman" w:cs="Times New Roman"/>
                <w:sz w:val="20"/>
                <w:szCs w:val="20"/>
              </w:rPr>
            </w:pPr>
          </w:p>
        </w:tc>
        <w:tc>
          <w:tcPr>
            <w:tcW w:w="1284" w:type="dxa"/>
          </w:tcPr>
          <w:p w14:paraId="671433B1" w14:textId="77777777" w:rsidR="008B47DA" w:rsidRPr="00692F5A" w:rsidRDefault="008B47DA" w:rsidP="00692F5A">
            <w:pPr>
              <w:jc w:val="center"/>
              <w:rPr>
                <w:rFonts w:ascii="Times New Roman" w:hAnsi="Times New Roman" w:cs="Times New Roman"/>
                <w:sz w:val="20"/>
                <w:szCs w:val="20"/>
              </w:rPr>
            </w:pPr>
          </w:p>
        </w:tc>
        <w:tc>
          <w:tcPr>
            <w:tcW w:w="2087" w:type="dxa"/>
          </w:tcPr>
          <w:p w14:paraId="0D100783" w14:textId="77777777" w:rsidR="008B47DA" w:rsidRPr="00692F5A" w:rsidRDefault="008B47DA" w:rsidP="00692F5A">
            <w:pPr>
              <w:jc w:val="center"/>
              <w:rPr>
                <w:rFonts w:ascii="Times New Roman" w:hAnsi="Times New Roman" w:cs="Times New Roman"/>
                <w:sz w:val="20"/>
                <w:szCs w:val="20"/>
              </w:rPr>
            </w:pPr>
          </w:p>
        </w:tc>
        <w:tc>
          <w:tcPr>
            <w:tcW w:w="2127" w:type="dxa"/>
          </w:tcPr>
          <w:p w14:paraId="3AFCE9E2" w14:textId="77777777" w:rsidR="008B47DA" w:rsidRPr="00692F5A" w:rsidRDefault="008B47DA" w:rsidP="00692F5A">
            <w:pPr>
              <w:jc w:val="center"/>
              <w:rPr>
                <w:rFonts w:ascii="Times New Roman" w:hAnsi="Times New Roman" w:cs="Times New Roman"/>
                <w:sz w:val="20"/>
                <w:szCs w:val="20"/>
              </w:rPr>
            </w:pPr>
          </w:p>
        </w:tc>
        <w:tc>
          <w:tcPr>
            <w:tcW w:w="2179" w:type="dxa"/>
          </w:tcPr>
          <w:p w14:paraId="13A54CE9" w14:textId="77777777" w:rsidR="008B47DA" w:rsidRPr="00692F5A" w:rsidRDefault="008B47DA" w:rsidP="00692F5A">
            <w:pPr>
              <w:jc w:val="center"/>
              <w:rPr>
                <w:rFonts w:ascii="Times New Roman" w:hAnsi="Times New Roman" w:cs="Times New Roman"/>
                <w:sz w:val="20"/>
                <w:szCs w:val="20"/>
              </w:rPr>
            </w:pPr>
          </w:p>
        </w:tc>
      </w:tr>
      <w:tr w:rsidR="008B47DA" w:rsidRPr="00692F5A" w14:paraId="50949EA1" w14:textId="77777777" w:rsidTr="00692F5A">
        <w:tc>
          <w:tcPr>
            <w:tcW w:w="1300" w:type="dxa"/>
          </w:tcPr>
          <w:p w14:paraId="363AEE7F" w14:textId="77777777" w:rsidR="008B47DA" w:rsidRPr="00692F5A" w:rsidRDefault="008B47DA" w:rsidP="00692F5A">
            <w:pPr>
              <w:jc w:val="center"/>
              <w:rPr>
                <w:rFonts w:ascii="Times New Roman" w:hAnsi="Times New Roman" w:cs="Times New Roman"/>
                <w:sz w:val="20"/>
                <w:szCs w:val="20"/>
              </w:rPr>
            </w:pPr>
          </w:p>
        </w:tc>
        <w:tc>
          <w:tcPr>
            <w:tcW w:w="1284" w:type="dxa"/>
          </w:tcPr>
          <w:p w14:paraId="0DDC48EB"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A</w:t>
            </w:r>
          </w:p>
        </w:tc>
        <w:tc>
          <w:tcPr>
            <w:tcW w:w="2087" w:type="dxa"/>
          </w:tcPr>
          <w:p w14:paraId="56E61D7C"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1.0 (referent)</w:t>
            </w:r>
          </w:p>
        </w:tc>
        <w:tc>
          <w:tcPr>
            <w:tcW w:w="2127" w:type="dxa"/>
          </w:tcPr>
          <w:p w14:paraId="55060E23"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1.0 (referent)</w:t>
            </w:r>
          </w:p>
        </w:tc>
        <w:tc>
          <w:tcPr>
            <w:tcW w:w="2179" w:type="dxa"/>
          </w:tcPr>
          <w:p w14:paraId="64594ABA"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1.0 (referent)</w:t>
            </w:r>
          </w:p>
        </w:tc>
      </w:tr>
      <w:tr w:rsidR="008B47DA" w:rsidRPr="00692F5A" w14:paraId="5EA4CC24" w14:textId="77777777" w:rsidTr="00692F5A">
        <w:tc>
          <w:tcPr>
            <w:tcW w:w="1300" w:type="dxa"/>
          </w:tcPr>
          <w:p w14:paraId="70967741"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&gt;36m</w:t>
            </w:r>
          </w:p>
        </w:tc>
        <w:tc>
          <w:tcPr>
            <w:tcW w:w="1284" w:type="dxa"/>
          </w:tcPr>
          <w:p w14:paraId="5769E09D"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B</w:t>
            </w:r>
          </w:p>
        </w:tc>
        <w:tc>
          <w:tcPr>
            <w:tcW w:w="2087" w:type="dxa"/>
          </w:tcPr>
          <w:p w14:paraId="13DAC55F"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2.3 (2.1, 2.5)</w:t>
            </w:r>
          </w:p>
        </w:tc>
        <w:tc>
          <w:tcPr>
            <w:tcW w:w="2127" w:type="dxa"/>
          </w:tcPr>
          <w:p w14:paraId="4AD29B49"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3.0 (2.7, 3.2)</w:t>
            </w:r>
          </w:p>
        </w:tc>
        <w:tc>
          <w:tcPr>
            <w:tcW w:w="2179" w:type="dxa"/>
          </w:tcPr>
          <w:p w14:paraId="0C9C2E31"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1.4 (1.3, 1.4)</w:t>
            </w:r>
          </w:p>
        </w:tc>
      </w:tr>
      <w:tr w:rsidR="008B47DA" w:rsidRPr="00692F5A" w14:paraId="7B976E92" w14:textId="77777777" w:rsidTr="00692F5A">
        <w:tc>
          <w:tcPr>
            <w:tcW w:w="1300" w:type="dxa"/>
            <w:tcBorders>
              <w:bottom w:val="single" w:sz="4" w:space="0" w:color="auto"/>
            </w:tcBorders>
          </w:tcPr>
          <w:p w14:paraId="73385FB6" w14:textId="77777777" w:rsidR="008B47DA" w:rsidRPr="00692F5A" w:rsidRDefault="008B47DA" w:rsidP="00692F5A">
            <w:pPr>
              <w:jc w:val="center"/>
              <w:rPr>
                <w:rFonts w:ascii="Times New Roman" w:hAnsi="Times New Roman" w:cs="Times New Roman"/>
                <w:sz w:val="20"/>
                <w:szCs w:val="20"/>
              </w:rPr>
            </w:pPr>
          </w:p>
        </w:tc>
        <w:tc>
          <w:tcPr>
            <w:tcW w:w="1284" w:type="dxa"/>
            <w:tcBorders>
              <w:bottom w:val="single" w:sz="4" w:space="0" w:color="auto"/>
            </w:tcBorders>
          </w:tcPr>
          <w:p w14:paraId="54BCB2C4"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C</w:t>
            </w:r>
          </w:p>
        </w:tc>
        <w:tc>
          <w:tcPr>
            <w:tcW w:w="2087" w:type="dxa"/>
            <w:tcBorders>
              <w:bottom w:val="single" w:sz="4" w:space="0" w:color="auto"/>
            </w:tcBorders>
          </w:tcPr>
          <w:p w14:paraId="6622E763"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4.1 (3.8, 4.4)</w:t>
            </w:r>
          </w:p>
        </w:tc>
        <w:tc>
          <w:tcPr>
            <w:tcW w:w="2127" w:type="dxa"/>
            <w:tcBorders>
              <w:bottom w:val="single" w:sz="4" w:space="0" w:color="auto"/>
            </w:tcBorders>
          </w:tcPr>
          <w:p w14:paraId="6413A72A"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7.7 (7.1, 8.4)</w:t>
            </w:r>
          </w:p>
        </w:tc>
        <w:tc>
          <w:tcPr>
            <w:tcW w:w="2179" w:type="dxa"/>
            <w:tcBorders>
              <w:bottom w:val="single" w:sz="4" w:space="0" w:color="auto"/>
            </w:tcBorders>
          </w:tcPr>
          <w:p w14:paraId="6100ED2B" w14:textId="77777777" w:rsidR="008B47DA" w:rsidRPr="00692F5A" w:rsidRDefault="008B47DA" w:rsidP="00692F5A">
            <w:pPr>
              <w:jc w:val="center"/>
              <w:rPr>
                <w:rFonts w:ascii="Times New Roman" w:hAnsi="Times New Roman" w:cs="Times New Roman"/>
                <w:sz w:val="20"/>
                <w:szCs w:val="20"/>
              </w:rPr>
            </w:pPr>
            <w:r w:rsidRPr="00692F5A">
              <w:rPr>
                <w:rFonts w:ascii="Times New Roman" w:hAnsi="Times New Roman" w:cs="Times New Roman"/>
                <w:sz w:val="20"/>
                <w:szCs w:val="20"/>
              </w:rPr>
              <w:t>2.0 (1.9, 2.1)</w:t>
            </w:r>
          </w:p>
        </w:tc>
      </w:tr>
    </w:tbl>
    <w:p w14:paraId="7B79E314" w14:textId="35A27E5F" w:rsidR="008B47DA" w:rsidRPr="00692F5A" w:rsidRDefault="00692F5A" w:rsidP="004A6442">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8B47DA" w:rsidRPr="00692F5A">
        <w:rPr>
          <w:rFonts w:ascii="Times New Roman" w:hAnsi="Times New Roman" w:cs="Times New Roman"/>
          <w:sz w:val="20"/>
          <w:szCs w:val="20"/>
        </w:rPr>
        <w:t>Patient group: A – matched (</w:t>
      </w:r>
      <w:r w:rsidR="00405562" w:rsidRPr="00692F5A">
        <w:rPr>
          <w:rFonts w:ascii="Times New Roman" w:hAnsi="Times New Roman" w:cs="Times New Roman"/>
          <w:sz w:val="20"/>
          <w:szCs w:val="20"/>
        </w:rPr>
        <w:t>‘</w:t>
      </w:r>
      <w:r w:rsidR="008B47DA" w:rsidRPr="00692F5A">
        <w:rPr>
          <w:rFonts w:ascii="Times New Roman" w:hAnsi="Times New Roman" w:cs="Times New Roman"/>
          <w:sz w:val="20"/>
          <w:szCs w:val="20"/>
        </w:rPr>
        <w:t>unexposed</w:t>
      </w:r>
      <w:r w:rsidR="00405562" w:rsidRPr="00692F5A">
        <w:rPr>
          <w:rFonts w:ascii="Times New Roman" w:hAnsi="Times New Roman" w:cs="Times New Roman"/>
          <w:sz w:val="20"/>
          <w:szCs w:val="20"/>
        </w:rPr>
        <w:t>’</w:t>
      </w:r>
      <w:r w:rsidR="008B47DA" w:rsidRPr="00692F5A">
        <w:rPr>
          <w:rFonts w:ascii="Times New Roman" w:hAnsi="Times New Roman" w:cs="Times New Roman"/>
          <w:sz w:val="20"/>
          <w:szCs w:val="20"/>
        </w:rPr>
        <w:t>) participants; B - patients with a first coded record of breathlessness symptom and with no relevant prescribing in first six months after index date and before diagnosis (if any); C - patients with a first coded record of breathlessness symptom and with relevant prescribing in first six months after index date and before diagnosis (if any); Size of patient group: A (</w:t>
      </w:r>
      <w:r w:rsidR="008B47DA" w:rsidRPr="00BB7EA3">
        <w:rPr>
          <w:rFonts w:ascii="Times New Roman" w:hAnsi="Times New Roman" w:cs="Times New Roman"/>
          <w:i/>
          <w:sz w:val="20"/>
          <w:szCs w:val="20"/>
        </w:rPr>
        <w:t>n</w:t>
      </w:r>
      <w:r w:rsidR="008B47DA" w:rsidRPr="00692F5A">
        <w:rPr>
          <w:rFonts w:ascii="Times New Roman" w:hAnsi="Times New Roman" w:cs="Times New Roman"/>
          <w:sz w:val="20"/>
          <w:szCs w:val="20"/>
        </w:rPr>
        <w:t>=75,698); B (</w:t>
      </w:r>
      <w:r w:rsidR="008B47DA" w:rsidRPr="00BB7EA3">
        <w:rPr>
          <w:rFonts w:ascii="Times New Roman" w:hAnsi="Times New Roman" w:cs="Times New Roman"/>
          <w:i/>
          <w:sz w:val="20"/>
          <w:szCs w:val="20"/>
        </w:rPr>
        <w:t>n</w:t>
      </w:r>
      <w:r w:rsidR="008B47DA" w:rsidRPr="00692F5A">
        <w:rPr>
          <w:rFonts w:ascii="Times New Roman" w:hAnsi="Times New Roman" w:cs="Times New Roman"/>
          <w:sz w:val="20"/>
          <w:szCs w:val="20"/>
        </w:rPr>
        <w:t xml:space="preserve">=49,643 for COPD; </w:t>
      </w:r>
      <w:r w:rsidR="008B47DA" w:rsidRPr="00BB7EA3">
        <w:rPr>
          <w:rFonts w:ascii="Times New Roman" w:hAnsi="Times New Roman" w:cs="Times New Roman"/>
          <w:i/>
          <w:sz w:val="20"/>
          <w:szCs w:val="20"/>
        </w:rPr>
        <w:t>n</w:t>
      </w:r>
      <w:r w:rsidR="008B47DA" w:rsidRPr="00692F5A">
        <w:rPr>
          <w:rFonts w:ascii="Times New Roman" w:hAnsi="Times New Roman" w:cs="Times New Roman"/>
          <w:sz w:val="20"/>
          <w:szCs w:val="20"/>
        </w:rPr>
        <w:t xml:space="preserve">=49,385 for asthma; </w:t>
      </w:r>
      <w:r w:rsidR="008B47DA" w:rsidRPr="00BB7EA3">
        <w:rPr>
          <w:rFonts w:ascii="Times New Roman" w:hAnsi="Times New Roman" w:cs="Times New Roman"/>
          <w:i/>
          <w:sz w:val="20"/>
          <w:szCs w:val="20"/>
        </w:rPr>
        <w:t>n</w:t>
      </w:r>
      <w:r w:rsidR="008B47DA" w:rsidRPr="00692F5A">
        <w:rPr>
          <w:rFonts w:ascii="Times New Roman" w:hAnsi="Times New Roman" w:cs="Times New Roman"/>
          <w:sz w:val="20"/>
          <w:szCs w:val="20"/>
        </w:rPr>
        <w:t>=49,870 for IHD); C (</w:t>
      </w:r>
      <w:r w:rsidR="008B47DA" w:rsidRPr="00BB7EA3">
        <w:rPr>
          <w:rFonts w:ascii="Times New Roman" w:hAnsi="Times New Roman" w:cs="Times New Roman"/>
          <w:i/>
          <w:sz w:val="20"/>
          <w:szCs w:val="20"/>
        </w:rPr>
        <w:t>n</w:t>
      </w:r>
      <w:r w:rsidR="008B47DA" w:rsidRPr="00692F5A">
        <w:rPr>
          <w:rFonts w:ascii="Times New Roman" w:hAnsi="Times New Roman" w:cs="Times New Roman"/>
          <w:sz w:val="20"/>
          <w:szCs w:val="20"/>
        </w:rPr>
        <w:t xml:space="preserve">=26,055 for COPD; </w:t>
      </w:r>
      <w:r w:rsidR="008B47DA" w:rsidRPr="00BB7EA3">
        <w:rPr>
          <w:rFonts w:ascii="Times New Roman" w:hAnsi="Times New Roman" w:cs="Times New Roman"/>
          <w:i/>
          <w:sz w:val="20"/>
          <w:szCs w:val="20"/>
        </w:rPr>
        <w:t>n</w:t>
      </w:r>
      <w:r w:rsidR="008B47DA" w:rsidRPr="00692F5A">
        <w:rPr>
          <w:rFonts w:ascii="Times New Roman" w:hAnsi="Times New Roman" w:cs="Times New Roman"/>
          <w:sz w:val="20"/>
          <w:szCs w:val="20"/>
        </w:rPr>
        <w:t>=26,313 for asthma;</w:t>
      </w:r>
      <w:r w:rsidR="008B47DA" w:rsidRPr="00BB7EA3">
        <w:rPr>
          <w:rFonts w:ascii="Times New Roman" w:hAnsi="Times New Roman" w:cs="Times New Roman"/>
          <w:i/>
          <w:sz w:val="20"/>
          <w:szCs w:val="20"/>
        </w:rPr>
        <w:t xml:space="preserve"> n</w:t>
      </w:r>
      <w:r w:rsidR="008B47DA" w:rsidRPr="00692F5A">
        <w:rPr>
          <w:rFonts w:ascii="Times New Roman" w:hAnsi="Times New Roman" w:cs="Times New Roman"/>
          <w:sz w:val="20"/>
          <w:szCs w:val="20"/>
        </w:rPr>
        <w:t xml:space="preserve">=25,828 for IHD). </w:t>
      </w:r>
      <w:r>
        <w:rPr>
          <w:rFonts w:ascii="Times New Roman" w:hAnsi="Times New Roman" w:cs="Times New Roman"/>
          <w:sz w:val="20"/>
          <w:szCs w:val="20"/>
        </w:rPr>
        <w:t>†</w:t>
      </w:r>
      <w:r w:rsidR="008B47DA" w:rsidRPr="00692F5A">
        <w:rPr>
          <w:rFonts w:ascii="Times New Roman" w:hAnsi="Times New Roman" w:cs="Times New Roman"/>
          <w:sz w:val="20"/>
          <w:szCs w:val="20"/>
        </w:rPr>
        <w:t xml:space="preserve">Adjusted hazard ratio, adjusted for index year, age, gender, region, ever smoking, ever alcohol drinking, BMI, deprivation level, comorbidity, cough and sputum, inflammatory conditions, depression and anxiety, diabetes, non-specific chest pain, musculoskeletal pain. </w:t>
      </w:r>
    </w:p>
    <w:p w14:paraId="0E0962D7" w14:textId="77777777" w:rsidR="008B47DA" w:rsidRPr="00692F5A" w:rsidRDefault="008B47DA" w:rsidP="008B47DA">
      <w:pPr>
        <w:spacing w:after="160" w:line="360" w:lineRule="auto"/>
        <w:rPr>
          <w:rFonts w:ascii="Times New Roman" w:hAnsi="Times New Roman" w:cs="Times New Roman"/>
          <w:b/>
          <w:sz w:val="20"/>
          <w:szCs w:val="20"/>
        </w:rPr>
      </w:pPr>
    </w:p>
    <w:p w14:paraId="19218D3A" w14:textId="77777777" w:rsidR="008B47DA" w:rsidRDefault="008B47DA" w:rsidP="009A730E">
      <w:pPr>
        <w:spacing w:line="360" w:lineRule="auto"/>
        <w:rPr>
          <w:sz w:val="24"/>
          <w:szCs w:val="24"/>
        </w:rPr>
      </w:pPr>
    </w:p>
    <w:p w14:paraId="3733A99C" w14:textId="77777777" w:rsidR="008B47DA" w:rsidRDefault="008B47DA" w:rsidP="009A730E">
      <w:pPr>
        <w:spacing w:line="360" w:lineRule="auto"/>
        <w:rPr>
          <w:sz w:val="24"/>
          <w:szCs w:val="24"/>
        </w:rPr>
      </w:pPr>
    </w:p>
    <w:p w14:paraId="53FEA0B5" w14:textId="77777777" w:rsidR="008B47DA" w:rsidRDefault="008B47DA" w:rsidP="009A730E">
      <w:pPr>
        <w:spacing w:line="360" w:lineRule="auto"/>
        <w:rPr>
          <w:sz w:val="24"/>
          <w:szCs w:val="24"/>
        </w:rPr>
      </w:pPr>
    </w:p>
    <w:p w14:paraId="6A683431" w14:textId="77777777" w:rsidR="008B47DA" w:rsidRDefault="008B47DA" w:rsidP="009A730E">
      <w:pPr>
        <w:spacing w:line="360" w:lineRule="auto"/>
        <w:rPr>
          <w:sz w:val="24"/>
          <w:szCs w:val="24"/>
        </w:rPr>
      </w:pPr>
    </w:p>
    <w:p w14:paraId="3AA71FFB" w14:textId="77777777" w:rsidR="008B47DA" w:rsidRDefault="008B47DA" w:rsidP="009A730E">
      <w:pPr>
        <w:spacing w:line="360" w:lineRule="auto"/>
        <w:rPr>
          <w:sz w:val="24"/>
          <w:szCs w:val="24"/>
        </w:rPr>
      </w:pPr>
    </w:p>
    <w:p w14:paraId="3882B467" w14:textId="77777777" w:rsidR="008B47DA" w:rsidRDefault="008B47DA" w:rsidP="009A730E">
      <w:pPr>
        <w:spacing w:line="360" w:lineRule="auto"/>
        <w:rPr>
          <w:sz w:val="24"/>
          <w:szCs w:val="24"/>
        </w:rPr>
      </w:pPr>
    </w:p>
    <w:p w14:paraId="094FB38E" w14:textId="77777777" w:rsidR="008B47DA" w:rsidRDefault="008B47DA" w:rsidP="009A730E">
      <w:pPr>
        <w:spacing w:line="360" w:lineRule="auto"/>
        <w:rPr>
          <w:sz w:val="24"/>
          <w:szCs w:val="24"/>
        </w:rPr>
      </w:pPr>
    </w:p>
    <w:p w14:paraId="68160CB3" w14:textId="77777777" w:rsidR="008B47DA" w:rsidRDefault="008B47DA" w:rsidP="009A730E">
      <w:pPr>
        <w:spacing w:line="360" w:lineRule="auto"/>
        <w:rPr>
          <w:sz w:val="24"/>
          <w:szCs w:val="24"/>
        </w:rPr>
        <w:sectPr w:rsidR="008B47DA" w:rsidSect="008B47DA">
          <w:pgSz w:w="11906" w:h="16838"/>
          <w:pgMar w:top="1440" w:right="1440" w:bottom="1440" w:left="1440" w:header="709" w:footer="709" w:gutter="0"/>
          <w:cols w:space="708"/>
          <w:docGrid w:linePitch="360"/>
        </w:sectPr>
      </w:pPr>
    </w:p>
    <w:p w14:paraId="30F20CB0" w14:textId="4C479C2B" w:rsidR="008B47DA" w:rsidRPr="00692F5A" w:rsidRDefault="008B47DA" w:rsidP="004A6442">
      <w:pPr>
        <w:spacing w:after="0" w:line="240" w:lineRule="auto"/>
        <w:rPr>
          <w:rFonts w:ascii="Times New Roman" w:hAnsi="Times New Roman" w:cs="Times New Roman"/>
          <w:b/>
          <w:sz w:val="20"/>
          <w:szCs w:val="20"/>
        </w:rPr>
      </w:pPr>
      <w:r w:rsidRPr="00692F5A">
        <w:rPr>
          <w:rFonts w:ascii="Times New Roman" w:hAnsi="Times New Roman" w:cs="Times New Roman"/>
          <w:b/>
          <w:sz w:val="20"/>
          <w:szCs w:val="20"/>
        </w:rPr>
        <w:lastRenderedPageBreak/>
        <w:t>Table 5 Risk of mortality in patients with a first coded record of breathlessness symptom, compared to the matched participants</w:t>
      </w:r>
    </w:p>
    <w:tbl>
      <w:tblPr>
        <w:tblStyle w:val="TableGrid"/>
        <w:tblW w:w="12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1"/>
        <w:gridCol w:w="1238"/>
        <w:gridCol w:w="1346"/>
        <w:gridCol w:w="1417"/>
        <w:gridCol w:w="1134"/>
        <w:gridCol w:w="1276"/>
        <w:gridCol w:w="1276"/>
        <w:gridCol w:w="1134"/>
        <w:gridCol w:w="1984"/>
      </w:tblGrid>
      <w:tr w:rsidR="009376F3" w:rsidRPr="003423CA" w14:paraId="23228DCE" w14:textId="64393743" w:rsidTr="002E776A">
        <w:trPr>
          <w:trHeight w:val="406"/>
        </w:trPr>
        <w:tc>
          <w:tcPr>
            <w:tcW w:w="1461" w:type="dxa"/>
            <w:tcBorders>
              <w:top w:val="single" w:sz="4" w:space="0" w:color="auto"/>
            </w:tcBorders>
          </w:tcPr>
          <w:p w14:paraId="50DD97B9" w14:textId="723F0B03" w:rsidR="009376F3" w:rsidRPr="00692F5A" w:rsidRDefault="009376F3" w:rsidP="00692F5A">
            <w:pPr>
              <w:rPr>
                <w:rFonts w:ascii="Times New Roman" w:hAnsi="Times New Roman" w:cs="Times New Roman"/>
                <w:sz w:val="20"/>
                <w:szCs w:val="20"/>
              </w:rPr>
            </w:pPr>
          </w:p>
        </w:tc>
        <w:tc>
          <w:tcPr>
            <w:tcW w:w="1238" w:type="dxa"/>
            <w:tcBorders>
              <w:top w:val="single" w:sz="4" w:space="0" w:color="auto"/>
            </w:tcBorders>
          </w:tcPr>
          <w:p w14:paraId="6012819A" w14:textId="1DCEE5C6" w:rsidR="009376F3" w:rsidRPr="00692F5A" w:rsidRDefault="009376F3" w:rsidP="00692F5A">
            <w:pPr>
              <w:jc w:val="center"/>
              <w:rPr>
                <w:rFonts w:ascii="Times New Roman" w:hAnsi="Times New Roman" w:cs="Times New Roman"/>
                <w:sz w:val="20"/>
                <w:szCs w:val="20"/>
              </w:rPr>
            </w:pPr>
            <w:r w:rsidRPr="00692F5A">
              <w:rPr>
                <w:rFonts w:ascii="Times New Roman" w:hAnsi="Times New Roman" w:cs="Times New Roman"/>
                <w:sz w:val="20"/>
                <w:szCs w:val="20"/>
              </w:rPr>
              <w:t>Time period</w:t>
            </w:r>
          </w:p>
        </w:tc>
        <w:tc>
          <w:tcPr>
            <w:tcW w:w="3897" w:type="dxa"/>
            <w:gridSpan w:val="3"/>
            <w:tcBorders>
              <w:top w:val="single" w:sz="4" w:space="0" w:color="auto"/>
            </w:tcBorders>
          </w:tcPr>
          <w:p w14:paraId="4102D247" w14:textId="2551AD1B" w:rsidR="009376F3" w:rsidRPr="00692F5A" w:rsidRDefault="009376F3" w:rsidP="00692F5A">
            <w:pPr>
              <w:jc w:val="center"/>
              <w:rPr>
                <w:rFonts w:ascii="Times New Roman" w:hAnsi="Times New Roman" w:cs="Times New Roman"/>
                <w:sz w:val="20"/>
                <w:szCs w:val="20"/>
              </w:rPr>
            </w:pPr>
            <w:r w:rsidRPr="00692F5A">
              <w:rPr>
                <w:rFonts w:ascii="Times New Roman" w:hAnsi="Times New Roman" w:cs="Times New Roman"/>
                <w:sz w:val="20"/>
                <w:szCs w:val="20"/>
              </w:rPr>
              <w:t>Patients with a first coded record of breathlessness symptom</w:t>
            </w:r>
          </w:p>
        </w:tc>
        <w:tc>
          <w:tcPr>
            <w:tcW w:w="3686" w:type="dxa"/>
            <w:gridSpan w:val="3"/>
            <w:tcBorders>
              <w:top w:val="single" w:sz="4" w:space="0" w:color="auto"/>
            </w:tcBorders>
          </w:tcPr>
          <w:p w14:paraId="2449C5C3" w14:textId="77777777" w:rsidR="009376F3" w:rsidRPr="00692F5A" w:rsidRDefault="009376F3" w:rsidP="00692F5A">
            <w:pPr>
              <w:jc w:val="center"/>
              <w:rPr>
                <w:rFonts w:ascii="Times New Roman" w:hAnsi="Times New Roman" w:cs="Times New Roman"/>
                <w:sz w:val="20"/>
                <w:szCs w:val="20"/>
              </w:rPr>
            </w:pPr>
            <w:r w:rsidRPr="00692F5A">
              <w:rPr>
                <w:rFonts w:ascii="Times New Roman" w:hAnsi="Times New Roman" w:cs="Times New Roman"/>
                <w:sz w:val="20"/>
                <w:szCs w:val="20"/>
              </w:rPr>
              <w:t>Matched participants</w:t>
            </w:r>
          </w:p>
        </w:tc>
        <w:tc>
          <w:tcPr>
            <w:tcW w:w="1984" w:type="dxa"/>
            <w:tcBorders>
              <w:top w:val="single" w:sz="4" w:space="0" w:color="auto"/>
            </w:tcBorders>
          </w:tcPr>
          <w:p w14:paraId="75478E5B" w14:textId="77777777" w:rsidR="009376F3" w:rsidRPr="00ED2316" w:rsidRDefault="009376F3" w:rsidP="009376F3">
            <w:pPr>
              <w:jc w:val="center"/>
              <w:rPr>
                <w:rFonts w:ascii="Times New Roman" w:hAnsi="Times New Roman" w:cs="Times New Roman"/>
                <w:sz w:val="20"/>
                <w:szCs w:val="20"/>
              </w:rPr>
            </w:pPr>
            <w:proofErr w:type="gramStart"/>
            <w:r w:rsidRPr="00ED2316">
              <w:rPr>
                <w:rFonts w:ascii="Times New Roman" w:hAnsi="Times New Roman" w:cs="Times New Roman"/>
                <w:sz w:val="20"/>
                <w:szCs w:val="20"/>
              </w:rPr>
              <w:t>Patients</w:t>
            </w:r>
            <w:proofErr w:type="gramEnd"/>
            <w:r w:rsidRPr="00ED2316">
              <w:rPr>
                <w:rFonts w:ascii="Times New Roman" w:hAnsi="Times New Roman" w:cs="Times New Roman"/>
                <w:sz w:val="20"/>
                <w:szCs w:val="20"/>
              </w:rPr>
              <w:t xml:space="preserve"> vs. </w:t>
            </w:r>
          </w:p>
          <w:p w14:paraId="0209E21B" w14:textId="552D2674" w:rsidR="009376F3" w:rsidRPr="00692F5A" w:rsidRDefault="009376F3" w:rsidP="009376F3">
            <w:pPr>
              <w:jc w:val="center"/>
              <w:rPr>
                <w:rFonts w:ascii="Times New Roman" w:hAnsi="Times New Roman" w:cs="Times New Roman"/>
                <w:sz w:val="20"/>
                <w:szCs w:val="20"/>
              </w:rPr>
            </w:pPr>
            <w:r w:rsidRPr="00ED2316">
              <w:rPr>
                <w:rFonts w:ascii="Times New Roman" w:hAnsi="Times New Roman" w:cs="Times New Roman"/>
                <w:sz w:val="20"/>
                <w:szCs w:val="20"/>
              </w:rPr>
              <w:t>matched participants</w:t>
            </w:r>
          </w:p>
        </w:tc>
      </w:tr>
      <w:tr w:rsidR="009376F3" w:rsidRPr="003423CA" w14:paraId="41788AFB" w14:textId="5033D457" w:rsidTr="002E776A">
        <w:trPr>
          <w:trHeight w:val="828"/>
        </w:trPr>
        <w:tc>
          <w:tcPr>
            <w:tcW w:w="1461" w:type="dxa"/>
            <w:tcBorders>
              <w:bottom w:val="single" w:sz="4" w:space="0" w:color="auto"/>
            </w:tcBorders>
          </w:tcPr>
          <w:p w14:paraId="7FA6DCB1" w14:textId="77777777" w:rsidR="009376F3" w:rsidRPr="00692F5A" w:rsidRDefault="009376F3" w:rsidP="00692F5A">
            <w:pPr>
              <w:jc w:val="center"/>
              <w:rPr>
                <w:rFonts w:ascii="Times New Roman" w:hAnsi="Times New Roman" w:cs="Times New Roman"/>
                <w:sz w:val="20"/>
                <w:szCs w:val="20"/>
              </w:rPr>
            </w:pPr>
          </w:p>
        </w:tc>
        <w:tc>
          <w:tcPr>
            <w:tcW w:w="1238" w:type="dxa"/>
            <w:tcBorders>
              <w:bottom w:val="single" w:sz="4" w:space="0" w:color="auto"/>
            </w:tcBorders>
          </w:tcPr>
          <w:p w14:paraId="3F6D6FBB" w14:textId="77777777" w:rsidR="009376F3" w:rsidRPr="00692F5A" w:rsidRDefault="009376F3" w:rsidP="00692F5A">
            <w:pPr>
              <w:jc w:val="center"/>
              <w:rPr>
                <w:rFonts w:ascii="Times New Roman" w:hAnsi="Times New Roman" w:cs="Times New Roman"/>
                <w:sz w:val="20"/>
                <w:szCs w:val="20"/>
              </w:rPr>
            </w:pPr>
          </w:p>
        </w:tc>
        <w:tc>
          <w:tcPr>
            <w:tcW w:w="1346" w:type="dxa"/>
            <w:tcBorders>
              <w:bottom w:val="single" w:sz="4" w:space="0" w:color="auto"/>
            </w:tcBorders>
          </w:tcPr>
          <w:p w14:paraId="64643551" w14:textId="77777777" w:rsidR="009376F3" w:rsidRPr="00692F5A" w:rsidRDefault="009376F3" w:rsidP="00692F5A">
            <w:pPr>
              <w:jc w:val="center"/>
              <w:rPr>
                <w:rFonts w:ascii="Times New Roman" w:hAnsi="Times New Roman" w:cs="Times New Roman"/>
                <w:sz w:val="20"/>
                <w:szCs w:val="20"/>
              </w:rPr>
            </w:pPr>
            <w:r w:rsidRPr="00692F5A">
              <w:rPr>
                <w:rFonts w:ascii="Times New Roman" w:hAnsi="Times New Roman" w:cs="Times New Roman"/>
                <w:sz w:val="20"/>
                <w:szCs w:val="20"/>
              </w:rPr>
              <w:t>Number of events (%)</w:t>
            </w:r>
          </w:p>
        </w:tc>
        <w:tc>
          <w:tcPr>
            <w:tcW w:w="1417" w:type="dxa"/>
            <w:tcBorders>
              <w:bottom w:val="single" w:sz="4" w:space="0" w:color="auto"/>
            </w:tcBorders>
          </w:tcPr>
          <w:p w14:paraId="735E6334" w14:textId="77777777" w:rsidR="009376F3" w:rsidRPr="00692F5A" w:rsidRDefault="009376F3" w:rsidP="00692F5A">
            <w:pPr>
              <w:jc w:val="center"/>
              <w:rPr>
                <w:rFonts w:ascii="Times New Roman" w:hAnsi="Times New Roman" w:cs="Times New Roman"/>
                <w:sz w:val="20"/>
                <w:szCs w:val="20"/>
              </w:rPr>
            </w:pPr>
            <w:r w:rsidRPr="00692F5A">
              <w:rPr>
                <w:rFonts w:ascii="Times New Roman" w:hAnsi="Times New Roman" w:cs="Times New Roman"/>
                <w:sz w:val="20"/>
                <w:szCs w:val="20"/>
              </w:rPr>
              <w:t>Time at risk (person-years)</w:t>
            </w:r>
          </w:p>
        </w:tc>
        <w:tc>
          <w:tcPr>
            <w:tcW w:w="1134" w:type="dxa"/>
            <w:tcBorders>
              <w:bottom w:val="single" w:sz="4" w:space="0" w:color="auto"/>
            </w:tcBorders>
          </w:tcPr>
          <w:p w14:paraId="0710A89F" w14:textId="496AA5EC" w:rsidR="009376F3" w:rsidRPr="00692F5A" w:rsidRDefault="009376F3" w:rsidP="00692F5A">
            <w:pPr>
              <w:jc w:val="center"/>
              <w:rPr>
                <w:rFonts w:ascii="Times New Roman" w:hAnsi="Times New Roman" w:cs="Times New Roman"/>
                <w:sz w:val="20"/>
                <w:szCs w:val="20"/>
              </w:rPr>
            </w:pPr>
            <w:r w:rsidRPr="00ED2316">
              <w:rPr>
                <w:rFonts w:ascii="Times New Roman" w:hAnsi="Times New Roman" w:cs="Times New Roman"/>
                <w:sz w:val="20"/>
                <w:szCs w:val="20"/>
              </w:rPr>
              <w:t>Incidence</w:t>
            </w:r>
            <w:r w:rsidR="002E776A">
              <w:rPr>
                <w:rFonts w:ascii="Times New Roman" w:hAnsi="Times New Roman" w:cs="Times New Roman"/>
                <w:sz w:val="20"/>
                <w:szCs w:val="20"/>
              </w:rPr>
              <w:t>*</w:t>
            </w:r>
          </w:p>
        </w:tc>
        <w:tc>
          <w:tcPr>
            <w:tcW w:w="1276" w:type="dxa"/>
            <w:tcBorders>
              <w:bottom w:val="single" w:sz="4" w:space="0" w:color="auto"/>
            </w:tcBorders>
          </w:tcPr>
          <w:p w14:paraId="25219070" w14:textId="77777777" w:rsidR="009376F3" w:rsidRPr="00692F5A" w:rsidRDefault="009376F3" w:rsidP="00692F5A">
            <w:pPr>
              <w:jc w:val="center"/>
              <w:rPr>
                <w:rFonts w:ascii="Times New Roman" w:hAnsi="Times New Roman" w:cs="Times New Roman"/>
                <w:sz w:val="20"/>
                <w:szCs w:val="20"/>
              </w:rPr>
            </w:pPr>
            <w:r w:rsidRPr="00692F5A">
              <w:rPr>
                <w:rFonts w:ascii="Times New Roman" w:hAnsi="Times New Roman" w:cs="Times New Roman"/>
                <w:sz w:val="20"/>
                <w:szCs w:val="20"/>
              </w:rPr>
              <w:t>Number of events (%)</w:t>
            </w:r>
          </w:p>
        </w:tc>
        <w:tc>
          <w:tcPr>
            <w:tcW w:w="1276" w:type="dxa"/>
            <w:tcBorders>
              <w:bottom w:val="single" w:sz="4" w:space="0" w:color="auto"/>
            </w:tcBorders>
          </w:tcPr>
          <w:p w14:paraId="13AEE6C4" w14:textId="77777777" w:rsidR="009376F3" w:rsidRPr="00692F5A" w:rsidRDefault="009376F3" w:rsidP="00692F5A">
            <w:pPr>
              <w:jc w:val="center"/>
              <w:rPr>
                <w:rFonts w:ascii="Times New Roman" w:hAnsi="Times New Roman" w:cs="Times New Roman"/>
                <w:sz w:val="20"/>
                <w:szCs w:val="20"/>
              </w:rPr>
            </w:pPr>
            <w:r w:rsidRPr="00692F5A">
              <w:rPr>
                <w:rFonts w:ascii="Times New Roman" w:hAnsi="Times New Roman" w:cs="Times New Roman"/>
                <w:sz w:val="20"/>
                <w:szCs w:val="20"/>
              </w:rPr>
              <w:t>Time at risk (person-years)</w:t>
            </w:r>
          </w:p>
        </w:tc>
        <w:tc>
          <w:tcPr>
            <w:tcW w:w="1134" w:type="dxa"/>
            <w:tcBorders>
              <w:bottom w:val="single" w:sz="4" w:space="0" w:color="auto"/>
            </w:tcBorders>
          </w:tcPr>
          <w:p w14:paraId="37D7AB05" w14:textId="1B6C22A8" w:rsidR="009376F3" w:rsidRPr="00692F5A" w:rsidRDefault="009376F3" w:rsidP="00692F5A">
            <w:pPr>
              <w:jc w:val="center"/>
              <w:rPr>
                <w:rFonts w:ascii="Times New Roman" w:hAnsi="Times New Roman" w:cs="Times New Roman"/>
                <w:sz w:val="20"/>
                <w:szCs w:val="20"/>
              </w:rPr>
            </w:pPr>
            <w:r w:rsidRPr="00ED2316">
              <w:rPr>
                <w:rFonts w:ascii="Times New Roman" w:hAnsi="Times New Roman" w:cs="Times New Roman"/>
                <w:sz w:val="20"/>
                <w:szCs w:val="20"/>
              </w:rPr>
              <w:t>Incidence</w:t>
            </w:r>
            <w:r w:rsidR="002E776A">
              <w:rPr>
                <w:rFonts w:ascii="Times New Roman" w:hAnsi="Times New Roman" w:cs="Times New Roman"/>
                <w:sz w:val="20"/>
                <w:szCs w:val="20"/>
              </w:rPr>
              <w:t>*</w:t>
            </w:r>
          </w:p>
        </w:tc>
        <w:tc>
          <w:tcPr>
            <w:tcW w:w="1984" w:type="dxa"/>
            <w:tcBorders>
              <w:bottom w:val="single" w:sz="4" w:space="0" w:color="auto"/>
            </w:tcBorders>
          </w:tcPr>
          <w:p w14:paraId="6F65DFBA" w14:textId="70426089" w:rsidR="009376F3" w:rsidRPr="00692F5A" w:rsidRDefault="009376F3" w:rsidP="00692F5A">
            <w:pPr>
              <w:jc w:val="center"/>
              <w:rPr>
                <w:rFonts w:ascii="Times New Roman" w:hAnsi="Times New Roman" w:cs="Times New Roman"/>
                <w:sz w:val="20"/>
                <w:szCs w:val="20"/>
              </w:rPr>
            </w:pPr>
            <w:r>
              <w:rPr>
                <w:rFonts w:ascii="Times New Roman" w:hAnsi="Times New Roman" w:cs="Times New Roman"/>
                <w:sz w:val="20"/>
                <w:szCs w:val="20"/>
              </w:rPr>
              <w:t>Adjusted</w:t>
            </w:r>
            <w:r w:rsidR="002E776A">
              <w:rPr>
                <w:rFonts w:ascii="Times New Roman" w:hAnsi="Times New Roman" w:cs="Times New Roman"/>
                <w:sz w:val="20"/>
                <w:szCs w:val="20"/>
              </w:rPr>
              <w:t>†</w:t>
            </w:r>
            <w:r>
              <w:rPr>
                <w:rFonts w:ascii="Times New Roman" w:hAnsi="Times New Roman" w:cs="Times New Roman"/>
                <w:sz w:val="20"/>
                <w:szCs w:val="20"/>
              </w:rPr>
              <w:t xml:space="preserve"> h</w:t>
            </w:r>
            <w:r w:rsidR="002E776A">
              <w:rPr>
                <w:rFonts w:ascii="Times New Roman" w:hAnsi="Times New Roman" w:cs="Times New Roman"/>
                <w:sz w:val="20"/>
                <w:szCs w:val="20"/>
              </w:rPr>
              <w:t>azard ratio‡</w:t>
            </w:r>
            <w:r w:rsidRPr="00692F5A">
              <w:rPr>
                <w:rFonts w:ascii="Times New Roman" w:hAnsi="Times New Roman" w:cs="Times New Roman"/>
                <w:sz w:val="20"/>
                <w:szCs w:val="20"/>
              </w:rPr>
              <w:t xml:space="preserve"> (95% CI)</w:t>
            </w:r>
          </w:p>
        </w:tc>
      </w:tr>
      <w:tr w:rsidR="002E776A" w:rsidRPr="003423CA" w14:paraId="769ACE76" w14:textId="3244D669" w:rsidTr="002E776A">
        <w:trPr>
          <w:trHeight w:val="196"/>
        </w:trPr>
        <w:tc>
          <w:tcPr>
            <w:tcW w:w="1461" w:type="dxa"/>
            <w:vMerge w:val="restart"/>
            <w:tcBorders>
              <w:top w:val="single" w:sz="4" w:space="0" w:color="auto"/>
            </w:tcBorders>
          </w:tcPr>
          <w:p w14:paraId="487897AC" w14:textId="1E7A4B4B" w:rsidR="002E776A" w:rsidRPr="00692F5A" w:rsidRDefault="002E776A" w:rsidP="002E776A">
            <w:pPr>
              <w:rPr>
                <w:rFonts w:ascii="Times New Roman" w:hAnsi="Times New Roman" w:cs="Times New Roman"/>
                <w:sz w:val="20"/>
                <w:szCs w:val="20"/>
              </w:rPr>
            </w:pPr>
            <w:r w:rsidRPr="00692F5A">
              <w:rPr>
                <w:rFonts w:ascii="Times New Roman" w:hAnsi="Times New Roman" w:cs="Times New Roman"/>
                <w:sz w:val="20"/>
                <w:szCs w:val="20"/>
              </w:rPr>
              <w:t>All-cause</w:t>
            </w:r>
          </w:p>
        </w:tc>
        <w:tc>
          <w:tcPr>
            <w:tcW w:w="1238" w:type="dxa"/>
            <w:tcBorders>
              <w:top w:val="single" w:sz="4" w:space="0" w:color="auto"/>
            </w:tcBorders>
          </w:tcPr>
          <w:p w14:paraId="555F8F2E" w14:textId="2F991E74"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0–6m</w:t>
            </w:r>
          </w:p>
        </w:tc>
        <w:tc>
          <w:tcPr>
            <w:tcW w:w="1346" w:type="dxa"/>
            <w:tcBorders>
              <w:top w:val="single" w:sz="4" w:space="0" w:color="auto"/>
            </w:tcBorders>
          </w:tcPr>
          <w:p w14:paraId="4E04AE8D"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3,119 (4.1)</w:t>
            </w:r>
          </w:p>
        </w:tc>
        <w:tc>
          <w:tcPr>
            <w:tcW w:w="1417" w:type="dxa"/>
            <w:tcBorders>
              <w:top w:val="single" w:sz="4" w:space="0" w:color="auto"/>
            </w:tcBorders>
          </w:tcPr>
          <w:p w14:paraId="24A94512"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35,962.2</w:t>
            </w:r>
          </w:p>
        </w:tc>
        <w:tc>
          <w:tcPr>
            <w:tcW w:w="1134" w:type="dxa"/>
            <w:tcBorders>
              <w:top w:val="single" w:sz="4" w:space="0" w:color="auto"/>
            </w:tcBorders>
          </w:tcPr>
          <w:p w14:paraId="0CCB81F5"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867.3</w:t>
            </w:r>
          </w:p>
        </w:tc>
        <w:tc>
          <w:tcPr>
            <w:tcW w:w="1276" w:type="dxa"/>
            <w:tcBorders>
              <w:top w:val="single" w:sz="4" w:space="0" w:color="auto"/>
            </w:tcBorders>
          </w:tcPr>
          <w:p w14:paraId="7645533E"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423 (0.6)</w:t>
            </w:r>
          </w:p>
        </w:tc>
        <w:tc>
          <w:tcPr>
            <w:tcW w:w="1276" w:type="dxa"/>
            <w:tcBorders>
              <w:top w:val="single" w:sz="4" w:space="0" w:color="auto"/>
            </w:tcBorders>
          </w:tcPr>
          <w:p w14:paraId="5C97570D"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36,801.9</w:t>
            </w:r>
          </w:p>
        </w:tc>
        <w:tc>
          <w:tcPr>
            <w:tcW w:w="1134" w:type="dxa"/>
            <w:tcBorders>
              <w:top w:val="single" w:sz="4" w:space="0" w:color="auto"/>
            </w:tcBorders>
          </w:tcPr>
          <w:p w14:paraId="34F36C5C"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114.9</w:t>
            </w:r>
          </w:p>
        </w:tc>
        <w:tc>
          <w:tcPr>
            <w:tcW w:w="1984" w:type="dxa"/>
            <w:tcBorders>
              <w:top w:val="single" w:sz="4" w:space="0" w:color="auto"/>
            </w:tcBorders>
          </w:tcPr>
          <w:p w14:paraId="15E24D18" w14:textId="722D1BE1"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6.0 (5.4, 6.7)</w:t>
            </w:r>
          </w:p>
        </w:tc>
      </w:tr>
      <w:tr w:rsidR="002E776A" w:rsidRPr="003423CA" w14:paraId="28C50876" w14:textId="25B4481E" w:rsidTr="002E776A">
        <w:trPr>
          <w:trHeight w:val="196"/>
        </w:trPr>
        <w:tc>
          <w:tcPr>
            <w:tcW w:w="1461" w:type="dxa"/>
            <w:vMerge/>
          </w:tcPr>
          <w:p w14:paraId="2BEF82C0" w14:textId="77777777" w:rsidR="002E776A" w:rsidRPr="00692F5A" w:rsidRDefault="002E776A" w:rsidP="002E776A">
            <w:pPr>
              <w:rPr>
                <w:rFonts w:ascii="Times New Roman" w:hAnsi="Times New Roman" w:cs="Times New Roman"/>
                <w:sz w:val="20"/>
                <w:szCs w:val="20"/>
              </w:rPr>
            </w:pPr>
          </w:p>
        </w:tc>
        <w:tc>
          <w:tcPr>
            <w:tcW w:w="1238" w:type="dxa"/>
          </w:tcPr>
          <w:p w14:paraId="1E77B939" w14:textId="20321D90"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&gt;6m</w:t>
            </w:r>
          </w:p>
        </w:tc>
        <w:tc>
          <w:tcPr>
            <w:tcW w:w="1346" w:type="dxa"/>
          </w:tcPr>
          <w:p w14:paraId="72097F65"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11,251 (14.9)</w:t>
            </w:r>
          </w:p>
        </w:tc>
        <w:tc>
          <w:tcPr>
            <w:tcW w:w="1417" w:type="dxa"/>
          </w:tcPr>
          <w:p w14:paraId="71692EAA"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462,060.6</w:t>
            </w:r>
          </w:p>
        </w:tc>
        <w:tc>
          <w:tcPr>
            <w:tcW w:w="1134" w:type="dxa"/>
          </w:tcPr>
          <w:p w14:paraId="6B301C07"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243.5</w:t>
            </w:r>
          </w:p>
        </w:tc>
        <w:tc>
          <w:tcPr>
            <w:tcW w:w="1276" w:type="dxa"/>
          </w:tcPr>
          <w:p w14:paraId="2FB02484"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7,726 (10.2)</w:t>
            </w:r>
          </w:p>
        </w:tc>
        <w:tc>
          <w:tcPr>
            <w:tcW w:w="1276" w:type="dxa"/>
          </w:tcPr>
          <w:p w14:paraId="1375AC0E"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489,616.9</w:t>
            </w:r>
          </w:p>
        </w:tc>
        <w:tc>
          <w:tcPr>
            <w:tcW w:w="1134" w:type="dxa"/>
          </w:tcPr>
          <w:p w14:paraId="24564F3B"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157.8</w:t>
            </w:r>
          </w:p>
        </w:tc>
        <w:tc>
          <w:tcPr>
            <w:tcW w:w="1984" w:type="dxa"/>
          </w:tcPr>
          <w:p w14:paraId="103F7BCC" w14:textId="479377E1"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1.2 (1.1, 1.3)</w:t>
            </w:r>
          </w:p>
        </w:tc>
      </w:tr>
      <w:tr w:rsidR="002E776A" w:rsidRPr="003423CA" w14:paraId="2DCEB763" w14:textId="6E7CECDD" w:rsidTr="002E776A">
        <w:trPr>
          <w:trHeight w:val="196"/>
        </w:trPr>
        <w:tc>
          <w:tcPr>
            <w:tcW w:w="1461" w:type="dxa"/>
          </w:tcPr>
          <w:p w14:paraId="29E25C1A" w14:textId="77777777" w:rsidR="002E776A" w:rsidRPr="00692F5A" w:rsidRDefault="002E776A" w:rsidP="002E776A">
            <w:pPr>
              <w:rPr>
                <w:rFonts w:ascii="Times New Roman" w:hAnsi="Times New Roman" w:cs="Times New Roman"/>
                <w:sz w:val="20"/>
                <w:szCs w:val="20"/>
              </w:rPr>
            </w:pPr>
          </w:p>
        </w:tc>
        <w:tc>
          <w:tcPr>
            <w:tcW w:w="1238" w:type="dxa"/>
          </w:tcPr>
          <w:p w14:paraId="6BF424FD" w14:textId="77777777" w:rsidR="002E776A" w:rsidRPr="00692F5A" w:rsidRDefault="002E776A" w:rsidP="002E776A">
            <w:pPr>
              <w:jc w:val="center"/>
              <w:rPr>
                <w:rFonts w:ascii="Times New Roman" w:hAnsi="Times New Roman" w:cs="Times New Roman"/>
                <w:sz w:val="20"/>
                <w:szCs w:val="20"/>
              </w:rPr>
            </w:pPr>
          </w:p>
        </w:tc>
        <w:tc>
          <w:tcPr>
            <w:tcW w:w="1346" w:type="dxa"/>
          </w:tcPr>
          <w:p w14:paraId="103BEC0F" w14:textId="77777777" w:rsidR="002E776A" w:rsidRPr="00692F5A" w:rsidRDefault="002E776A" w:rsidP="002E776A">
            <w:pPr>
              <w:jc w:val="center"/>
              <w:rPr>
                <w:rFonts w:ascii="Times New Roman" w:hAnsi="Times New Roman" w:cs="Times New Roman"/>
                <w:sz w:val="20"/>
                <w:szCs w:val="20"/>
              </w:rPr>
            </w:pPr>
          </w:p>
        </w:tc>
        <w:tc>
          <w:tcPr>
            <w:tcW w:w="1417" w:type="dxa"/>
          </w:tcPr>
          <w:p w14:paraId="65DBAF5F" w14:textId="77777777" w:rsidR="002E776A" w:rsidRPr="00692F5A" w:rsidRDefault="002E776A" w:rsidP="002E776A">
            <w:pPr>
              <w:jc w:val="center"/>
              <w:rPr>
                <w:rFonts w:ascii="Times New Roman" w:hAnsi="Times New Roman" w:cs="Times New Roman"/>
                <w:sz w:val="20"/>
                <w:szCs w:val="20"/>
              </w:rPr>
            </w:pPr>
          </w:p>
        </w:tc>
        <w:tc>
          <w:tcPr>
            <w:tcW w:w="1134" w:type="dxa"/>
          </w:tcPr>
          <w:p w14:paraId="37E3CAFF" w14:textId="77777777" w:rsidR="002E776A" w:rsidRPr="00692F5A" w:rsidRDefault="002E776A" w:rsidP="002E776A">
            <w:pPr>
              <w:jc w:val="center"/>
              <w:rPr>
                <w:rFonts w:ascii="Times New Roman" w:hAnsi="Times New Roman" w:cs="Times New Roman"/>
                <w:sz w:val="20"/>
                <w:szCs w:val="20"/>
              </w:rPr>
            </w:pPr>
          </w:p>
        </w:tc>
        <w:tc>
          <w:tcPr>
            <w:tcW w:w="1276" w:type="dxa"/>
          </w:tcPr>
          <w:p w14:paraId="38EF594D" w14:textId="77777777" w:rsidR="002E776A" w:rsidRPr="00692F5A" w:rsidRDefault="002E776A" w:rsidP="002E776A">
            <w:pPr>
              <w:jc w:val="center"/>
              <w:rPr>
                <w:rFonts w:ascii="Times New Roman" w:hAnsi="Times New Roman" w:cs="Times New Roman"/>
                <w:sz w:val="20"/>
                <w:szCs w:val="20"/>
              </w:rPr>
            </w:pPr>
          </w:p>
        </w:tc>
        <w:tc>
          <w:tcPr>
            <w:tcW w:w="1276" w:type="dxa"/>
          </w:tcPr>
          <w:p w14:paraId="5141AF72" w14:textId="77777777" w:rsidR="002E776A" w:rsidRPr="00692F5A" w:rsidRDefault="002E776A" w:rsidP="002E776A">
            <w:pPr>
              <w:jc w:val="center"/>
              <w:rPr>
                <w:rFonts w:ascii="Times New Roman" w:hAnsi="Times New Roman" w:cs="Times New Roman"/>
                <w:sz w:val="20"/>
                <w:szCs w:val="20"/>
              </w:rPr>
            </w:pPr>
          </w:p>
        </w:tc>
        <w:tc>
          <w:tcPr>
            <w:tcW w:w="1134" w:type="dxa"/>
          </w:tcPr>
          <w:p w14:paraId="5FF48566" w14:textId="77777777" w:rsidR="002E776A" w:rsidRPr="00692F5A" w:rsidRDefault="002E776A" w:rsidP="002E776A">
            <w:pPr>
              <w:jc w:val="center"/>
              <w:rPr>
                <w:rFonts w:ascii="Times New Roman" w:hAnsi="Times New Roman" w:cs="Times New Roman"/>
                <w:sz w:val="20"/>
                <w:szCs w:val="20"/>
              </w:rPr>
            </w:pPr>
          </w:p>
        </w:tc>
        <w:tc>
          <w:tcPr>
            <w:tcW w:w="1984" w:type="dxa"/>
          </w:tcPr>
          <w:p w14:paraId="4997DD7C" w14:textId="77777777" w:rsidR="002E776A" w:rsidRPr="00692F5A" w:rsidRDefault="002E776A" w:rsidP="002E776A">
            <w:pPr>
              <w:jc w:val="center"/>
              <w:rPr>
                <w:rFonts w:ascii="Times New Roman" w:hAnsi="Times New Roman" w:cs="Times New Roman"/>
                <w:sz w:val="20"/>
                <w:szCs w:val="20"/>
              </w:rPr>
            </w:pPr>
          </w:p>
        </w:tc>
      </w:tr>
      <w:tr w:rsidR="002E776A" w:rsidRPr="003423CA" w14:paraId="76C72CEA" w14:textId="6218B9FB" w:rsidTr="002E776A">
        <w:trPr>
          <w:trHeight w:val="211"/>
        </w:trPr>
        <w:tc>
          <w:tcPr>
            <w:tcW w:w="1461" w:type="dxa"/>
            <w:vMerge w:val="restart"/>
          </w:tcPr>
          <w:p w14:paraId="47B82B55" w14:textId="3DA4D37C" w:rsidR="002E776A" w:rsidRPr="00692F5A" w:rsidRDefault="002E776A" w:rsidP="002E776A">
            <w:pPr>
              <w:rPr>
                <w:rFonts w:ascii="Times New Roman" w:hAnsi="Times New Roman" w:cs="Times New Roman"/>
                <w:sz w:val="20"/>
                <w:szCs w:val="20"/>
              </w:rPr>
            </w:pPr>
            <w:r w:rsidRPr="00692F5A">
              <w:rPr>
                <w:rFonts w:ascii="Times New Roman" w:hAnsi="Times New Roman" w:cs="Times New Roman"/>
                <w:sz w:val="20"/>
                <w:szCs w:val="20"/>
              </w:rPr>
              <w:t>COPD-relat</w:t>
            </w:r>
            <w:r>
              <w:rPr>
                <w:rFonts w:ascii="Times New Roman" w:hAnsi="Times New Roman" w:cs="Times New Roman"/>
                <w:sz w:val="20"/>
                <w:szCs w:val="20"/>
              </w:rPr>
              <w:t>ed</w:t>
            </w:r>
          </w:p>
        </w:tc>
        <w:tc>
          <w:tcPr>
            <w:tcW w:w="1238" w:type="dxa"/>
          </w:tcPr>
          <w:p w14:paraId="7F634812" w14:textId="24FE818B"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0–6m</w:t>
            </w:r>
          </w:p>
        </w:tc>
        <w:tc>
          <w:tcPr>
            <w:tcW w:w="1346" w:type="dxa"/>
          </w:tcPr>
          <w:p w14:paraId="1ED0E5D5"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78 (0.1)</w:t>
            </w:r>
          </w:p>
        </w:tc>
        <w:tc>
          <w:tcPr>
            <w:tcW w:w="1417" w:type="dxa"/>
          </w:tcPr>
          <w:p w14:paraId="4F0DE9A1"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35,962.2</w:t>
            </w:r>
          </w:p>
        </w:tc>
        <w:tc>
          <w:tcPr>
            <w:tcW w:w="1134" w:type="dxa"/>
          </w:tcPr>
          <w:p w14:paraId="63C8A9BE"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21.7</w:t>
            </w:r>
          </w:p>
        </w:tc>
        <w:tc>
          <w:tcPr>
            <w:tcW w:w="1276" w:type="dxa"/>
          </w:tcPr>
          <w:p w14:paraId="2424B937"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5 (0.0)</w:t>
            </w:r>
          </w:p>
        </w:tc>
        <w:tc>
          <w:tcPr>
            <w:tcW w:w="1276" w:type="dxa"/>
          </w:tcPr>
          <w:p w14:paraId="2FE228A1"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36,801.9</w:t>
            </w:r>
          </w:p>
        </w:tc>
        <w:tc>
          <w:tcPr>
            <w:tcW w:w="1134" w:type="dxa"/>
          </w:tcPr>
          <w:p w14:paraId="123D846E"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1.4</w:t>
            </w:r>
          </w:p>
        </w:tc>
        <w:tc>
          <w:tcPr>
            <w:tcW w:w="1984" w:type="dxa"/>
          </w:tcPr>
          <w:p w14:paraId="69A3CD83" w14:textId="64A38866"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11.5 (4.5, 28.9)</w:t>
            </w:r>
          </w:p>
        </w:tc>
      </w:tr>
      <w:tr w:rsidR="002E776A" w:rsidRPr="003423CA" w14:paraId="750F4E21" w14:textId="4C101A0B" w:rsidTr="002E776A">
        <w:trPr>
          <w:trHeight w:val="211"/>
        </w:trPr>
        <w:tc>
          <w:tcPr>
            <w:tcW w:w="1461" w:type="dxa"/>
            <w:vMerge/>
          </w:tcPr>
          <w:p w14:paraId="52130F9C" w14:textId="77777777" w:rsidR="002E776A" w:rsidRPr="00692F5A" w:rsidRDefault="002E776A" w:rsidP="002E776A">
            <w:pPr>
              <w:rPr>
                <w:rFonts w:ascii="Times New Roman" w:hAnsi="Times New Roman" w:cs="Times New Roman"/>
                <w:sz w:val="20"/>
                <w:szCs w:val="20"/>
              </w:rPr>
            </w:pPr>
          </w:p>
        </w:tc>
        <w:tc>
          <w:tcPr>
            <w:tcW w:w="1238" w:type="dxa"/>
          </w:tcPr>
          <w:p w14:paraId="404AB527" w14:textId="52BC66EB"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&gt;6m</w:t>
            </w:r>
          </w:p>
        </w:tc>
        <w:tc>
          <w:tcPr>
            <w:tcW w:w="1346" w:type="dxa"/>
          </w:tcPr>
          <w:p w14:paraId="0D147F13"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1,030 (1.4)</w:t>
            </w:r>
          </w:p>
        </w:tc>
        <w:tc>
          <w:tcPr>
            <w:tcW w:w="1417" w:type="dxa"/>
          </w:tcPr>
          <w:p w14:paraId="665BB093"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462,060.6</w:t>
            </w:r>
          </w:p>
        </w:tc>
        <w:tc>
          <w:tcPr>
            <w:tcW w:w="1134" w:type="dxa"/>
          </w:tcPr>
          <w:p w14:paraId="6691EBD7"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22.3</w:t>
            </w:r>
          </w:p>
        </w:tc>
        <w:tc>
          <w:tcPr>
            <w:tcW w:w="1276" w:type="dxa"/>
          </w:tcPr>
          <w:p w14:paraId="07117B4A"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198 (0.3)</w:t>
            </w:r>
          </w:p>
        </w:tc>
        <w:tc>
          <w:tcPr>
            <w:tcW w:w="1276" w:type="dxa"/>
          </w:tcPr>
          <w:p w14:paraId="44B373BD"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489,616.9</w:t>
            </w:r>
          </w:p>
        </w:tc>
        <w:tc>
          <w:tcPr>
            <w:tcW w:w="1134" w:type="dxa"/>
          </w:tcPr>
          <w:p w14:paraId="336BF9CB"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4.0</w:t>
            </w:r>
          </w:p>
        </w:tc>
        <w:tc>
          <w:tcPr>
            <w:tcW w:w="1984" w:type="dxa"/>
          </w:tcPr>
          <w:p w14:paraId="20C3F0B7" w14:textId="70B49096"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1.8 (1.5, 2.1)</w:t>
            </w:r>
          </w:p>
        </w:tc>
      </w:tr>
      <w:tr w:rsidR="002E776A" w:rsidRPr="003423CA" w14:paraId="46D4BD95" w14:textId="17F6525B" w:rsidTr="002E776A">
        <w:trPr>
          <w:trHeight w:val="211"/>
        </w:trPr>
        <w:tc>
          <w:tcPr>
            <w:tcW w:w="1461" w:type="dxa"/>
          </w:tcPr>
          <w:p w14:paraId="67354531" w14:textId="77777777" w:rsidR="002E776A" w:rsidRPr="00692F5A" w:rsidRDefault="002E776A" w:rsidP="002E776A">
            <w:pPr>
              <w:rPr>
                <w:rFonts w:ascii="Times New Roman" w:hAnsi="Times New Roman" w:cs="Times New Roman"/>
                <w:sz w:val="20"/>
                <w:szCs w:val="20"/>
              </w:rPr>
            </w:pPr>
          </w:p>
        </w:tc>
        <w:tc>
          <w:tcPr>
            <w:tcW w:w="1238" w:type="dxa"/>
          </w:tcPr>
          <w:p w14:paraId="01AC56BA" w14:textId="77777777" w:rsidR="002E776A" w:rsidRPr="00692F5A" w:rsidRDefault="002E776A" w:rsidP="002E776A">
            <w:pPr>
              <w:jc w:val="center"/>
              <w:rPr>
                <w:rFonts w:ascii="Times New Roman" w:hAnsi="Times New Roman" w:cs="Times New Roman"/>
                <w:sz w:val="20"/>
                <w:szCs w:val="20"/>
              </w:rPr>
            </w:pPr>
          </w:p>
        </w:tc>
        <w:tc>
          <w:tcPr>
            <w:tcW w:w="1346" w:type="dxa"/>
          </w:tcPr>
          <w:p w14:paraId="4B87BC97" w14:textId="77777777" w:rsidR="002E776A" w:rsidRPr="00692F5A" w:rsidRDefault="002E776A" w:rsidP="002E776A">
            <w:pPr>
              <w:jc w:val="center"/>
              <w:rPr>
                <w:rFonts w:ascii="Times New Roman" w:hAnsi="Times New Roman" w:cs="Times New Roman"/>
                <w:sz w:val="20"/>
                <w:szCs w:val="20"/>
              </w:rPr>
            </w:pPr>
          </w:p>
        </w:tc>
        <w:tc>
          <w:tcPr>
            <w:tcW w:w="1417" w:type="dxa"/>
          </w:tcPr>
          <w:p w14:paraId="315ACE57" w14:textId="77777777" w:rsidR="002E776A" w:rsidRPr="00692F5A" w:rsidRDefault="002E776A" w:rsidP="002E776A">
            <w:pPr>
              <w:jc w:val="center"/>
              <w:rPr>
                <w:rFonts w:ascii="Times New Roman" w:hAnsi="Times New Roman" w:cs="Times New Roman"/>
                <w:sz w:val="20"/>
                <w:szCs w:val="20"/>
              </w:rPr>
            </w:pPr>
          </w:p>
        </w:tc>
        <w:tc>
          <w:tcPr>
            <w:tcW w:w="1134" w:type="dxa"/>
          </w:tcPr>
          <w:p w14:paraId="03AAB627" w14:textId="77777777" w:rsidR="002E776A" w:rsidRPr="00692F5A" w:rsidRDefault="002E776A" w:rsidP="002E776A">
            <w:pPr>
              <w:jc w:val="center"/>
              <w:rPr>
                <w:rFonts w:ascii="Times New Roman" w:hAnsi="Times New Roman" w:cs="Times New Roman"/>
                <w:sz w:val="20"/>
                <w:szCs w:val="20"/>
              </w:rPr>
            </w:pPr>
          </w:p>
        </w:tc>
        <w:tc>
          <w:tcPr>
            <w:tcW w:w="1276" w:type="dxa"/>
          </w:tcPr>
          <w:p w14:paraId="471AA1C7" w14:textId="77777777" w:rsidR="002E776A" w:rsidRPr="00692F5A" w:rsidRDefault="002E776A" w:rsidP="002E776A">
            <w:pPr>
              <w:jc w:val="center"/>
              <w:rPr>
                <w:rFonts w:ascii="Times New Roman" w:hAnsi="Times New Roman" w:cs="Times New Roman"/>
                <w:sz w:val="20"/>
                <w:szCs w:val="20"/>
              </w:rPr>
            </w:pPr>
          </w:p>
        </w:tc>
        <w:tc>
          <w:tcPr>
            <w:tcW w:w="1276" w:type="dxa"/>
          </w:tcPr>
          <w:p w14:paraId="63BD1E31" w14:textId="77777777" w:rsidR="002E776A" w:rsidRPr="00692F5A" w:rsidRDefault="002E776A" w:rsidP="002E776A">
            <w:pPr>
              <w:jc w:val="center"/>
              <w:rPr>
                <w:rFonts w:ascii="Times New Roman" w:hAnsi="Times New Roman" w:cs="Times New Roman"/>
                <w:sz w:val="20"/>
                <w:szCs w:val="20"/>
              </w:rPr>
            </w:pPr>
          </w:p>
        </w:tc>
        <w:tc>
          <w:tcPr>
            <w:tcW w:w="1134" w:type="dxa"/>
          </w:tcPr>
          <w:p w14:paraId="693C21E7" w14:textId="77777777" w:rsidR="002E776A" w:rsidRPr="00692F5A" w:rsidRDefault="002E776A" w:rsidP="002E776A">
            <w:pPr>
              <w:jc w:val="center"/>
              <w:rPr>
                <w:rFonts w:ascii="Times New Roman" w:hAnsi="Times New Roman" w:cs="Times New Roman"/>
                <w:sz w:val="20"/>
                <w:szCs w:val="20"/>
              </w:rPr>
            </w:pPr>
          </w:p>
        </w:tc>
        <w:tc>
          <w:tcPr>
            <w:tcW w:w="1984" w:type="dxa"/>
          </w:tcPr>
          <w:p w14:paraId="5FC23789" w14:textId="77777777" w:rsidR="002E776A" w:rsidRPr="00692F5A" w:rsidRDefault="002E776A" w:rsidP="002E776A">
            <w:pPr>
              <w:jc w:val="center"/>
              <w:rPr>
                <w:rFonts w:ascii="Times New Roman" w:hAnsi="Times New Roman" w:cs="Times New Roman"/>
                <w:sz w:val="20"/>
                <w:szCs w:val="20"/>
              </w:rPr>
            </w:pPr>
          </w:p>
        </w:tc>
      </w:tr>
      <w:tr w:rsidR="002E776A" w:rsidRPr="003423CA" w14:paraId="792B9B41" w14:textId="38D971BD" w:rsidTr="002E776A">
        <w:trPr>
          <w:trHeight w:val="211"/>
        </w:trPr>
        <w:tc>
          <w:tcPr>
            <w:tcW w:w="1461" w:type="dxa"/>
            <w:vMerge w:val="restart"/>
          </w:tcPr>
          <w:p w14:paraId="62411C68" w14:textId="20C532C5" w:rsidR="002E776A" w:rsidRPr="00692F5A" w:rsidRDefault="002E776A" w:rsidP="002E776A">
            <w:pPr>
              <w:rPr>
                <w:rFonts w:ascii="Times New Roman" w:hAnsi="Times New Roman" w:cs="Times New Roman"/>
                <w:sz w:val="20"/>
                <w:szCs w:val="20"/>
              </w:rPr>
            </w:pPr>
            <w:r w:rsidRPr="00692F5A">
              <w:rPr>
                <w:rFonts w:ascii="Times New Roman" w:hAnsi="Times New Roman" w:cs="Times New Roman"/>
                <w:sz w:val="20"/>
                <w:szCs w:val="20"/>
              </w:rPr>
              <w:t>IHD-related</w:t>
            </w:r>
          </w:p>
        </w:tc>
        <w:tc>
          <w:tcPr>
            <w:tcW w:w="1238" w:type="dxa"/>
          </w:tcPr>
          <w:p w14:paraId="76EBAC54" w14:textId="5DB8E1BC"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0–6m</w:t>
            </w:r>
          </w:p>
        </w:tc>
        <w:tc>
          <w:tcPr>
            <w:tcW w:w="1346" w:type="dxa"/>
          </w:tcPr>
          <w:p w14:paraId="4A3EF798"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452 (0.6)</w:t>
            </w:r>
          </w:p>
        </w:tc>
        <w:tc>
          <w:tcPr>
            <w:tcW w:w="1417" w:type="dxa"/>
          </w:tcPr>
          <w:p w14:paraId="6CAD5D67"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35,962.2</w:t>
            </w:r>
          </w:p>
        </w:tc>
        <w:tc>
          <w:tcPr>
            <w:tcW w:w="1134" w:type="dxa"/>
          </w:tcPr>
          <w:p w14:paraId="51E53ACB"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125.7</w:t>
            </w:r>
          </w:p>
        </w:tc>
        <w:tc>
          <w:tcPr>
            <w:tcW w:w="1276" w:type="dxa"/>
          </w:tcPr>
          <w:p w14:paraId="620D59AE"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70 (0.1)</w:t>
            </w:r>
          </w:p>
        </w:tc>
        <w:tc>
          <w:tcPr>
            <w:tcW w:w="1276" w:type="dxa"/>
          </w:tcPr>
          <w:p w14:paraId="3536638B"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36,801.9</w:t>
            </w:r>
          </w:p>
        </w:tc>
        <w:tc>
          <w:tcPr>
            <w:tcW w:w="1134" w:type="dxa"/>
          </w:tcPr>
          <w:p w14:paraId="0295A497"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19.0</w:t>
            </w:r>
          </w:p>
        </w:tc>
        <w:tc>
          <w:tcPr>
            <w:tcW w:w="1984" w:type="dxa"/>
          </w:tcPr>
          <w:p w14:paraId="08ED39E1" w14:textId="16444E75"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4.7 (3.6, 6.2)</w:t>
            </w:r>
          </w:p>
        </w:tc>
      </w:tr>
      <w:tr w:rsidR="002E776A" w:rsidRPr="003423CA" w14:paraId="36F3E668" w14:textId="0FD21487" w:rsidTr="002E776A">
        <w:trPr>
          <w:trHeight w:val="211"/>
        </w:trPr>
        <w:tc>
          <w:tcPr>
            <w:tcW w:w="1461" w:type="dxa"/>
            <w:vMerge/>
            <w:tcBorders>
              <w:bottom w:val="single" w:sz="4" w:space="0" w:color="auto"/>
            </w:tcBorders>
          </w:tcPr>
          <w:p w14:paraId="18EFF285" w14:textId="77777777" w:rsidR="002E776A" w:rsidRPr="00692F5A" w:rsidRDefault="002E776A" w:rsidP="002E776A">
            <w:pPr>
              <w:jc w:val="center"/>
              <w:rPr>
                <w:rFonts w:ascii="Times New Roman" w:hAnsi="Times New Roman" w:cs="Times New Roman"/>
                <w:sz w:val="20"/>
                <w:szCs w:val="20"/>
              </w:rPr>
            </w:pPr>
          </w:p>
        </w:tc>
        <w:tc>
          <w:tcPr>
            <w:tcW w:w="1238" w:type="dxa"/>
            <w:tcBorders>
              <w:bottom w:val="single" w:sz="4" w:space="0" w:color="auto"/>
            </w:tcBorders>
          </w:tcPr>
          <w:p w14:paraId="48378CFE" w14:textId="18B8CC94"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&gt;6m</w:t>
            </w:r>
          </w:p>
        </w:tc>
        <w:tc>
          <w:tcPr>
            <w:tcW w:w="1346" w:type="dxa"/>
            <w:tcBorders>
              <w:bottom w:val="single" w:sz="4" w:space="0" w:color="auto"/>
            </w:tcBorders>
          </w:tcPr>
          <w:p w14:paraId="1628BA5A"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2,999 (4.0)</w:t>
            </w:r>
          </w:p>
        </w:tc>
        <w:tc>
          <w:tcPr>
            <w:tcW w:w="1417" w:type="dxa"/>
            <w:tcBorders>
              <w:bottom w:val="single" w:sz="4" w:space="0" w:color="auto"/>
            </w:tcBorders>
          </w:tcPr>
          <w:p w14:paraId="3381CC83"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462,060.6</w:t>
            </w:r>
          </w:p>
        </w:tc>
        <w:tc>
          <w:tcPr>
            <w:tcW w:w="1134" w:type="dxa"/>
            <w:tcBorders>
              <w:bottom w:val="single" w:sz="4" w:space="0" w:color="auto"/>
            </w:tcBorders>
          </w:tcPr>
          <w:p w14:paraId="158F91D0"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64.9</w:t>
            </w:r>
          </w:p>
        </w:tc>
        <w:tc>
          <w:tcPr>
            <w:tcW w:w="1276" w:type="dxa"/>
            <w:tcBorders>
              <w:bottom w:val="single" w:sz="4" w:space="0" w:color="auto"/>
            </w:tcBorders>
          </w:tcPr>
          <w:p w14:paraId="3FD99255"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1,625 (2.1)</w:t>
            </w:r>
          </w:p>
        </w:tc>
        <w:tc>
          <w:tcPr>
            <w:tcW w:w="1276" w:type="dxa"/>
            <w:tcBorders>
              <w:bottom w:val="single" w:sz="4" w:space="0" w:color="auto"/>
            </w:tcBorders>
          </w:tcPr>
          <w:p w14:paraId="18CFA272"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489,616.9</w:t>
            </w:r>
          </w:p>
        </w:tc>
        <w:tc>
          <w:tcPr>
            <w:tcW w:w="1134" w:type="dxa"/>
            <w:tcBorders>
              <w:bottom w:val="single" w:sz="4" w:space="0" w:color="auto"/>
            </w:tcBorders>
          </w:tcPr>
          <w:p w14:paraId="7097A18A" w14:textId="77777777"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33.2</w:t>
            </w:r>
          </w:p>
        </w:tc>
        <w:tc>
          <w:tcPr>
            <w:tcW w:w="1984" w:type="dxa"/>
            <w:tcBorders>
              <w:bottom w:val="single" w:sz="4" w:space="0" w:color="auto"/>
            </w:tcBorders>
          </w:tcPr>
          <w:p w14:paraId="096A43D5" w14:textId="55829533" w:rsidR="002E776A" w:rsidRPr="00692F5A" w:rsidRDefault="002E776A" w:rsidP="002E776A">
            <w:pPr>
              <w:jc w:val="center"/>
              <w:rPr>
                <w:rFonts w:ascii="Times New Roman" w:hAnsi="Times New Roman" w:cs="Times New Roman"/>
                <w:sz w:val="20"/>
                <w:szCs w:val="20"/>
              </w:rPr>
            </w:pPr>
            <w:r w:rsidRPr="00692F5A">
              <w:rPr>
                <w:rFonts w:ascii="Times New Roman" w:hAnsi="Times New Roman" w:cs="Times New Roman"/>
                <w:sz w:val="20"/>
                <w:szCs w:val="20"/>
              </w:rPr>
              <w:t>1.2 (1.1, 1.3)</w:t>
            </w:r>
          </w:p>
        </w:tc>
      </w:tr>
    </w:tbl>
    <w:p w14:paraId="3AFFD937" w14:textId="3E87FDC5" w:rsidR="002E776A" w:rsidRDefault="002E776A" w:rsidP="004A6442">
      <w:pPr>
        <w:spacing w:after="0" w:line="240" w:lineRule="auto"/>
        <w:rPr>
          <w:rFonts w:ascii="Times New Roman" w:hAnsi="Times New Roman" w:cs="Times New Roman"/>
          <w:sz w:val="20"/>
          <w:szCs w:val="20"/>
        </w:rPr>
      </w:pPr>
      <w:r>
        <w:rPr>
          <w:rFonts w:ascii="Times New Roman" w:hAnsi="Times New Roman" w:cs="Times New Roman"/>
          <w:sz w:val="20"/>
          <w:szCs w:val="20"/>
        </w:rPr>
        <w:t>*Per 10,000 person-years. †A</w:t>
      </w:r>
      <w:r w:rsidRPr="0090121C">
        <w:rPr>
          <w:rFonts w:ascii="Times New Roman" w:hAnsi="Times New Roman" w:cs="Times New Roman"/>
          <w:sz w:val="20"/>
          <w:szCs w:val="20"/>
        </w:rPr>
        <w:t>djusted for index year, age, gender, region, ever smoking, ever alcohol drinking, BMI,</w:t>
      </w:r>
      <w:r>
        <w:rPr>
          <w:rFonts w:ascii="Times New Roman" w:hAnsi="Times New Roman" w:cs="Times New Roman"/>
          <w:sz w:val="20"/>
          <w:szCs w:val="20"/>
        </w:rPr>
        <w:t xml:space="preserve"> deprivation level, comorbidity</w:t>
      </w:r>
      <w:r w:rsidRPr="0090121C">
        <w:rPr>
          <w:rFonts w:ascii="Times New Roman" w:hAnsi="Times New Roman" w:cs="Times New Roman"/>
          <w:sz w:val="20"/>
          <w:szCs w:val="20"/>
        </w:rPr>
        <w:t>, cough and sputum, inflammatory conditions, depression and anxiety, diabetes, non-specific chest pain, musculoskeletal pain</w:t>
      </w:r>
      <w:r w:rsidR="00D96224">
        <w:rPr>
          <w:rFonts w:ascii="Times New Roman" w:hAnsi="Times New Roman" w:cs="Times New Roman"/>
          <w:sz w:val="20"/>
          <w:szCs w:val="20"/>
        </w:rPr>
        <w:t xml:space="preserve"> and later diagnosis;</w:t>
      </w:r>
      <w:r>
        <w:rPr>
          <w:rFonts w:ascii="Times New Roman" w:hAnsi="Times New Roman" w:cs="Times New Roman"/>
          <w:sz w:val="20"/>
          <w:szCs w:val="20"/>
        </w:rPr>
        <w:t xml:space="preserve"> </w:t>
      </w:r>
      <w:r w:rsidRPr="005B40CD">
        <w:rPr>
          <w:rFonts w:ascii="Times New Roman" w:hAnsi="Times New Roman" w:cs="Times New Roman"/>
          <w:sz w:val="20"/>
          <w:szCs w:val="20"/>
        </w:rPr>
        <w:t>Later diagnosis as a time-varying covariate</w:t>
      </w:r>
      <w:r w:rsidR="00D96224">
        <w:rPr>
          <w:rFonts w:ascii="Times New Roman" w:hAnsi="Times New Roman" w:cs="Times New Roman"/>
          <w:sz w:val="20"/>
          <w:szCs w:val="20"/>
        </w:rPr>
        <w:t>;</w:t>
      </w:r>
      <w:r w:rsidRPr="005B40CD">
        <w:rPr>
          <w:rFonts w:ascii="Times New Roman" w:hAnsi="Times New Roman" w:cs="Times New Roman"/>
          <w:sz w:val="20"/>
          <w:szCs w:val="20"/>
        </w:rPr>
        <w:t xml:space="preserve"> For all-cause mortality, later diagnosis is </w:t>
      </w:r>
      <w:r>
        <w:rPr>
          <w:rFonts w:ascii="Times New Roman" w:hAnsi="Times New Roman" w:cs="Times New Roman"/>
          <w:sz w:val="20"/>
          <w:szCs w:val="20"/>
        </w:rPr>
        <w:t xml:space="preserve">the </w:t>
      </w:r>
      <w:r w:rsidRPr="005B40CD">
        <w:rPr>
          <w:rFonts w:ascii="Times New Roman" w:hAnsi="Times New Roman" w:cs="Times New Roman"/>
          <w:sz w:val="20"/>
          <w:szCs w:val="20"/>
        </w:rPr>
        <w:t>earliest diagnosis of asthma, COPD or IHD.</w:t>
      </w:r>
      <w:r>
        <w:rPr>
          <w:rFonts w:ascii="Times New Roman" w:hAnsi="Times New Roman" w:cs="Times New Roman"/>
          <w:sz w:val="20"/>
          <w:szCs w:val="20"/>
        </w:rPr>
        <w:t xml:space="preserve"> ‡</w:t>
      </w:r>
      <w:r w:rsidR="00730D6A" w:rsidRPr="005B40CD">
        <w:rPr>
          <w:rFonts w:ascii="Times New Roman" w:hAnsi="Times New Roman" w:cs="Times New Roman"/>
          <w:sz w:val="20"/>
          <w:szCs w:val="20"/>
        </w:rPr>
        <w:t>Sub-distribution hazard ratio was used in completing risk models for disease-specific mortality</w:t>
      </w:r>
      <w:r>
        <w:rPr>
          <w:rFonts w:ascii="Times New Roman" w:hAnsi="Times New Roman" w:cs="Times New Roman"/>
          <w:sz w:val="20"/>
          <w:szCs w:val="20"/>
        </w:rPr>
        <w:t xml:space="preserve"> (</w:t>
      </w:r>
      <w:r w:rsidRPr="005B40CD">
        <w:rPr>
          <w:rFonts w:ascii="Times New Roman" w:hAnsi="Times New Roman" w:cs="Times New Roman"/>
          <w:sz w:val="20"/>
          <w:szCs w:val="20"/>
        </w:rPr>
        <w:t>other death w</w:t>
      </w:r>
      <w:r>
        <w:rPr>
          <w:rFonts w:ascii="Times New Roman" w:hAnsi="Times New Roman" w:cs="Times New Roman"/>
          <w:sz w:val="20"/>
          <w:szCs w:val="20"/>
        </w:rPr>
        <w:t>as</w:t>
      </w:r>
      <w:r w:rsidRPr="005B40CD">
        <w:rPr>
          <w:rFonts w:ascii="Times New Roman" w:hAnsi="Times New Roman" w:cs="Times New Roman"/>
          <w:sz w:val="20"/>
          <w:szCs w:val="20"/>
        </w:rPr>
        <w:t xml:space="preserve"> treated as competing events</w:t>
      </w:r>
      <w:r>
        <w:rPr>
          <w:rFonts w:ascii="Times New Roman" w:hAnsi="Times New Roman" w:cs="Times New Roman"/>
          <w:sz w:val="20"/>
          <w:szCs w:val="20"/>
        </w:rPr>
        <w:t>)</w:t>
      </w:r>
      <w:r w:rsidR="00730D6A" w:rsidRPr="005B40CD">
        <w:rPr>
          <w:rFonts w:ascii="Times New Roman" w:hAnsi="Times New Roman" w:cs="Times New Roman"/>
          <w:sz w:val="20"/>
          <w:szCs w:val="20"/>
        </w:rPr>
        <w:t>; and hazard ratio in Cox models for all-cause mortality.</w:t>
      </w:r>
      <w:r w:rsidR="008B47DA" w:rsidRPr="005B40CD">
        <w:rPr>
          <w:rFonts w:ascii="Times New Roman" w:hAnsi="Times New Roman" w:cs="Times New Roman"/>
          <w:sz w:val="20"/>
          <w:szCs w:val="20"/>
        </w:rPr>
        <w:t xml:space="preserve"> </w:t>
      </w:r>
    </w:p>
    <w:p w14:paraId="16C1289E" w14:textId="77777777" w:rsidR="002E776A" w:rsidRDefault="002E776A" w:rsidP="008B47DA">
      <w:pPr>
        <w:spacing w:after="160" w:line="240" w:lineRule="auto"/>
        <w:rPr>
          <w:rFonts w:ascii="Times New Roman" w:hAnsi="Times New Roman" w:cs="Times New Roman"/>
          <w:sz w:val="20"/>
          <w:szCs w:val="20"/>
        </w:rPr>
      </w:pPr>
    </w:p>
    <w:p w14:paraId="1162DF14" w14:textId="26D711ED" w:rsidR="002E776A" w:rsidRDefault="002E776A" w:rsidP="008B47DA">
      <w:pPr>
        <w:spacing w:after="160" w:line="240" w:lineRule="auto"/>
        <w:rPr>
          <w:rFonts w:ascii="Times New Roman" w:hAnsi="Times New Roman" w:cs="Times New Roman"/>
          <w:sz w:val="20"/>
          <w:szCs w:val="20"/>
        </w:rPr>
      </w:pPr>
    </w:p>
    <w:p w14:paraId="39491DDC" w14:textId="77777777" w:rsidR="002E776A" w:rsidRDefault="002E776A" w:rsidP="008B47DA">
      <w:pPr>
        <w:spacing w:after="160" w:line="240" w:lineRule="auto"/>
        <w:rPr>
          <w:rFonts w:ascii="Times New Roman" w:hAnsi="Times New Roman" w:cs="Times New Roman"/>
          <w:sz w:val="20"/>
          <w:szCs w:val="20"/>
        </w:rPr>
      </w:pPr>
    </w:p>
    <w:p w14:paraId="108ABD92" w14:textId="326F4682" w:rsidR="008B47DA" w:rsidRDefault="008B47DA" w:rsidP="008B47DA">
      <w:pPr>
        <w:spacing w:after="160" w:line="240" w:lineRule="auto"/>
        <w:rPr>
          <w:rFonts w:ascii="Times New Roman" w:hAnsi="Times New Roman" w:cs="Times New Roman"/>
          <w:sz w:val="20"/>
          <w:szCs w:val="20"/>
        </w:rPr>
        <w:sectPr w:rsidR="008B47DA" w:rsidSect="008B47DA">
          <w:pgSz w:w="16838" w:h="11906" w:orient="landscape"/>
          <w:pgMar w:top="1440" w:right="1440" w:bottom="1440" w:left="1440" w:header="709" w:footer="709" w:gutter="0"/>
          <w:cols w:space="708"/>
          <w:docGrid w:linePitch="360"/>
        </w:sectPr>
      </w:pPr>
    </w:p>
    <w:p w14:paraId="29C6AE03" w14:textId="77777777" w:rsidR="008B47DA" w:rsidRPr="00491669" w:rsidRDefault="008B47DA" w:rsidP="004A6442">
      <w:pPr>
        <w:spacing w:after="0" w:line="259" w:lineRule="auto"/>
        <w:rPr>
          <w:rFonts w:ascii="Times New Roman" w:hAnsi="Times New Roman" w:cs="Times New Roman"/>
          <w:b/>
          <w:sz w:val="20"/>
          <w:szCs w:val="20"/>
        </w:rPr>
      </w:pPr>
      <w:r w:rsidRPr="00491669">
        <w:rPr>
          <w:rFonts w:ascii="Times New Roman" w:hAnsi="Times New Roman" w:cs="Times New Roman"/>
          <w:b/>
          <w:sz w:val="20"/>
          <w:szCs w:val="20"/>
        </w:rPr>
        <w:lastRenderedPageBreak/>
        <w:t>Supplementary Table 1 Other covariates (co-morbid conditions) measured at baseline</w:t>
      </w:r>
    </w:p>
    <w:tbl>
      <w:tblPr>
        <w:tblStyle w:val="TableGrid12"/>
        <w:tblW w:w="9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gridCol w:w="6"/>
        <w:gridCol w:w="2376"/>
        <w:gridCol w:w="2247"/>
        <w:gridCol w:w="2368"/>
        <w:gridCol w:w="1823"/>
      </w:tblGrid>
      <w:tr w:rsidR="008B47DA" w:rsidRPr="00BD6226" w14:paraId="4BD7C765" w14:textId="77777777" w:rsidTr="007B1A56">
        <w:tc>
          <w:tcPr>
            <w:tcW w:w="2961" w:type="dxa"/>
            <w:gridSpan w:val="3"/>
            <w:tcBorders>
              <w:top w:val="single" w:sz="4" w:space="0" w:color="auto"/>
              <w:bottom w:val="single" w:sz="4" w:space="0" w:color="auto"/>
            </w:tcBorders>
          </w:tcPr>
          <w:p w14:paraId="460E718C" w14:textId="77777777" w:rsidR="008B47DA" w:rsidRPr="00BA16CB" w:rsidRDefault="008B47DA" w:rsidP="002E776A">
            <w:pPr>
              <w:rPr>
                <w:rFonts w:asciiTheme="majorHAnsi" w:hAnsiTheme="majorHAnsi"/>
                <w:sz w:val="20"/>
                <w:szCs w:val="20"/>
              </w:rPr>
            </w:pPr>
          </w:p>
        </w:tc>
        <w:tc>
          <w:tcPr>
            <w:tcW w:w="2247" w:type="dxa"/>
            <w:tcBorders>
              <w:top w:val="single" w:sz="4" w:space="0" w:color="auto"/>
              <w:bottom w:val="single" w:sz="4" w:space="0" w:color="auto"/>
            </w:tcBorders>
          </w:tcPr>
          <w:p w14:paraId="3326D423" w14:textId="2630D0FF"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Patients with a first coded record of breathlessness</w:t>
            </w:r>
            <w:r w:rsidR="00BA16CB" w:rsidRPr="00BA16CB">
              <w:rPr>
                <w:rFonts w:ascii="Times New Roman" w:hAnsi="Times New Roman" w:cs="Times New Roman"/>
                <w:sz w:val="20"/>
                <w:szCs w:val="20"/>
              </w:rPr>
              <w:t xml:space="preserve"> </w:t>
            </w:r>
            <w:r w:rsidRPr="00BA16CB">
              <w:rPr>
                <w:rFonts w:ascii="Times New Roman" w:hAnsi="Times New Roman" w:cs="Times New Roman"/>
                <w:sz w:val="20"/>
                <w:szCs w:val="20"/>
              </w:rPr>
              <w:t>symptom</w:t>
            </w:r>
          </w:p>
        </w:tc>
        <w:tc>
          <w:tcPr>
            <w:tcW w:w="2368" w:type="dxa"/>
            <w:tcBorders>
              <w:top w:val="single" w:sz="4" w:space="0" w:color="auto"/>
              <w:bottom w:val="single" w:sz="4" w:space="0" w:color="auto"/>
            </w:tcBorders>
          </w:tcPr>
          <w:p w14:paraId="73A5191B"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Matched participants</w:t>
            </w:r>
          </w:p>
        </w:tc>
        <w:tc>
          <w:tcPr>
            <w:tcW w:w="1823" w:type="dxa"/>
            <w:tcBorders>
              <w:top w:val="single" w:sz="4" w:space="0" w:color="auto"/>
              <w:bottom w:val="single" w:sz="4" w:space="0" w:color="auto"/>
            </w:tcBorders>
          </w:tcPr>
          <w:p w14:paraId="1FC10B36" w14:textId="77777777" w:rsidR="008B47DA" w:rsidRPr="00BA16CB" w:rsidRDefault="008B47DA" w:rsidP="002E776A">
            <w:pPr>
              <w:jc w:val="center"/>
              <w:rPr>
                <w:rFonts w:asciiTheme="majorHAnsi" w:hAnsiTheme="majorHAnsi"/>
                <w:sz w:val="20"/>
                <w:szCs w:val="20"/>
              </w:rPr>
            </w:pPr>
          </w:p>
        </w:tc>
      </w:tr>
      <w:tr w:rsidR="008B47DA" w:rsidRPr="00BD6226" w14:paraId="527A4497" w14:textId="77777777" w:rsidTr="007B1A56">
        <w:tc>
          <w:tcPr>
            <w:tcW w:w="2961" w:type="dxa"/>
            <w:gridSpan w:val="3"/>
            <w:tcBorders>
              <w:top w:val="single" w:sz="4" w:space="0" w:color="auto"/>
            </w:tcBorders>
          </w:tcPr>
          <w:p w14:paraId="3009510C" w14:textId="77777777" w:rsidR="008B47DA" w:rsidRPr="00BA16CB" w:rsidRDefault="008B47DA" w:rsidP="002E776A">
            <w:pPr>
              <w:rPr>
                <w:rFonts w:ascii="Times New Roman" w:hAnsi="Times New Roman" w:cs="Times New Roman"/>
                <w:sz w:val="20"/>
                <w:szCs w:val="20"/>
              </w:rPr>
            </w:pPr>
            <w:r w:rsidRPr="00BA16CB">
              <w:rPr>
                <w:rFonts w:ascii="Times New Roman" w:hAnsi="Times New Roman" w:cs="Times New Roman"/>
                <w:sz w:val="20"/>
                <w:szCs w:val="20"/>
              </w:rPr>
              <w:t>Participants,</w:t>
            </w:r>
            <w:r w:rsidRPr="00BA16CB">
              <w:rPr>
                <w:rFonts w:ascii="Times New Roman" w:hAnsi="Times New Roman" w:cs="Times New Roman"/>
                <w:i/>
                <w:sz w:val="20"/>
                <w:szCs w:val="20"/>
              </w:rPr>
              <w:t xml:space="preserve"> n</w:t>
            </w:r>
          </w:p>
        </w:tc>
        <w:tc>
          <w:tcPr>
            <w:tcW w:w="2247" w:type="dxa"/>
            <w:tcBorders>
              <w:top w:val="single" w:sz="4" w:space="0" w:color="auto"/>
            </w:tcBorders>
          </w:tcPr>
          <w:p w14:paraId="70770DA7"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75,698</w:t>
            </w:r>
          </w:p>
        </w:tc>
        <w:tc>
          <w:tcPr>
            <w:tcW w:w="2368" w:type="dxa"/>
            <w:tcBorders>
              <w:top w:val="single" w:sz="4" w:space="0" w:color="auto"/>
            </w:tcBorders>
          </w:tcPr>
          <w:p w14:paraId="2253A6C5"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75,698</w:t>
            </w:r>
          </w:p>
        </w:tc>
        <w:tc>
          <w:tcPr>
            <w:tcW w:w="1823" w:type="dxa"/>
            <w:tcBorders>
              <w:top w:val="single" w:sz="4" w:space="0" w:color="auto"/>
            </w:tcBorders>
          </w:tcPr>
          <w:p w14:paraId="7E31AB01"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matched</w:t>
            </w:r>
          </w:p>
        </w:tc>
      </w:tr>
      <w:tr w:rsidR="008B47DA" w:rsidRPr="00BD6226" w14:paraId="70045267" w14:textId="77777777" w:rsidTr="007B1A56">
        <w:tc>
          <w:tcPr>
            <w:tcW w:w="2961" w:type="dxa"/>
            <w:gridSpan w:val="3"/>
          </w:tcPr>
          <w:p w14:paraId="37A63F08" w14:textId="77777777" w:rsidR="008B47DA" w:rsidRPr="00BA16CB" w:rsidRDefault="008B47DA" w:rsidP="002E776A">
            <w:pPr>
              <w:rPr>
                <w:rFonts w:ascii="Times New Roman" w:hAnsi="Times New Roman" w:cs="Times New Roman"/>
                <w:sz w:val="20"/>
                <w:szCs w:val="20"/>
              </w:rPr>
            </w:pPr>
            <w:r w:rsidRPr="00BA16CB">
              <w:rPr>
                <w:rFonts w:ascii="Times New Roman" w:hAnsi="Times New Roman" w:cs="Times New Roman"/>
                <w:sz w:val="20"/>
                <w:szCs w:val="20"/>
              </w:rPr>
              <w:t xml:space="preserve">Respiratory symptom, </w:t>
            </w:r>
            <w:r w:rsidRPr="00BA16CB">
              <w:rPr>
                <w:rFonts w:ascii="Times New Roman" w:hAnsi="Times New Roman" w:cs="Times New Roman"/>
                <w:i/>
                <w:sz w:val="20"/>
                <w:szCs w:val="20"/>
              </w:rPr>
              <w:t>n</w:t>
            </w:r>
            <w:r w:rsidRPr="00BA16CB">
              <w:rPr>
                <w:rFonts w:ascii="Times New Roman" w:hAnsi="Times New Roman" w:cs="Times New Roman"/>
                <w:sz w:val="20"/>
                <w:szCs w:val="20"/>
              </w:rPr>
              <w:t xml:space="preserve"> (%)</w:t>
            </w:r>
          </w:p>
        </w:tc>
        <w:tc>
          <w:tcPr>
            <w:tcW w:w="2247" w:type="dxa"/>
          </w:tcPr>
          <w:p w14:paraId="7FCCD824" w14:textId="77777777" w:rsidR="008B47DA" w:rsidRPr="00BA16CB" w:rsidRDefault="008B47DA" w:rsidP="002E776A">
            <w:pPr>
              <w:jc w:val="center"/>
              <w:rPr>
                <w:rFonts w:ascii="Times New Roman" w:hAnsi="Times New Roman" w:cs="Times New Roman"/>
                <w:sz w:val="20"/>
                <w:szCs w:val="20"/>
              </w:rPr>
            </w:pPr>
          </w:p>
        </w:tc>
        <w:tc>
          <w:tcPr>
            <w:tcW w:w="2368" w:type="dxa"/>
          </w:tcPr>
          <w:p w14:paraId="708CCCCB" w14:textId="77777777" w:rsidR="008B47DA" w:rsidRPr="00BA16CB" w:rsidRDefault="008B47DA" w:rsidP="002E776A">
            <w:pPr>
              <w:jc w:val="center"/>
              <w:rPr>
                <w:rFonts w:ascii="Times New Roman" w:hAnsi="Times New Roman" w:cs="Times New Roman"/>
                <w:sz w:val="20"/>
                <w:szCs w:val="20"/>
              </w:rPr>
            </w:pPr>
          </w:p>
        </w:tc>
        <w:tc>
          <w:tcPr>
            <w:tcW w:w="1823" w:type="dxa"/>
          </w:tcPr>
          <w:p w14:paraId="6499815A" w14:textId="77777777" w:rsidR="008B47DA" w:rsidRPr="00BA16CB" w:rsidRDefault="008B47DA" w:rsidP="002E776A">
            <w:pPr>
              <w:jc w:val="center"/>
              <w:rPr>
                <w:rFonts w:ascii="Times New Roman" w:hAnsi="Times New Roman" w:cs="Times New Roman"/>
                <w:sz w:val="20"/>
                <w:szCs w:val="20"/>
              </w:rPr>
            </w:pPr>
          </w:p>
        </w:tc>
      </w:tr>
      <w:tr w:rsidR="008B47DA" w:rsidRPr="00BD6226" w14:paraId="7F407147" w14:textId="77777777" w:rsidTr="007B1A56">
        <w:tc>
          <w:tcPr>
            <w:tcW w:w="585" w:type="dxa"/>
            <w:gridSpan w:val="2"/>
          </w:tcPr>
          <w:p w14:paraId="70DA2B28" w14:textId="77777777" w:rsidR="008B47DA" w:rsidRPr="00BA16CB" w:rsidRDefault="008B47DA" w:rsidP="002E776A">
            <w:pPr>
              <w:rPr>
                <w:rFonts w:ascii="Times New Roman" w:hAnsi="Times New Roman" w:cs="Times New Roman"/>
                <w:sz w:val="20"/>
                <w:szCs w:val="20"/>
              </w:rPr>
            </w:pPr>
          </w:p>
        </w:tc>
        <w:tc>
          <w:tcPr>
            <w:tcW w:w="2376" w:type="dxa"/>
          </w:tcPr>
          <w:p w14:paraId="7CB69364" w14:textId="77777777" w:rsidR="008B47DA" w:rsidRPr="00BA16CB" w:rsidRDefault="008B47DA" w:rsidP="002E776A">
            <w:pPr>
              <w:rPr>
                <w:rFonts w:ascii="Times New Roman" w:hAnsi="Times New Roman" w:cs="Times New Roman"/>
                <w:sz w:val="20"/>
                <w:szCs w:val="20"/>
              </w:rPr>
            </w:pPr>
            <w:r w:rsidRPr="00BA16CB">
              <w:rPr>
                <w:rFonts w:ascii="Times New Roman" w:hAnsi="Times New Roman" w:cs="Times New Roman"/>
                <w:sz w:val="20"/>
                <w:szCs w:val="20"/>
              </w:rPr>
              <w:t>Cough</w:t>
            </w:r>
          </w:p>
        </w:tc>
        <w:tc>
          <w:tcPr>
            <w:tcW w:w="2247" w:type="dxa"/>
          </w:tcPr>
          <w:p w14:paraId="034158E5"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18,099 (23.9)</w:t>
            </w:r>
          </w:p>
        </w:tc>
        <w:tc>
          <w:tcPr>
            <w:tcW w:w="2368" w:type="dxa"/>
          </w:tcPr>
          <w:p w14:paraId="7CFBFC84"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6,149 (8.1)</w:t>
            </w:r>
          </w:p>
        </w:tc>
        <w:tc>
          <w:tcPr>
            <w:tcW w:w="1823" w:type="dxa"/>
          </w:tcPr>
          <w:p w14:paraId="6A133E0D" w14:textId="39CE7B03"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i/>
                <w:sz w:val="20"/>
                <w:szCs w:val="20"/>
              </w:rPr>
              <w:t>p</w:t>
            </w:r>
            <w:r w:rsidRPr="00BA16CB">
              <w:rPr>
                <w:rFonts w:ascii="Times New Roman" w:hAnsi="Times New Roman" w:cs="Times New Roman"/>
                <w:sz w:val="20"/>
                <w:szCs w:val="20"/>
              </w:rPr>
              <w:t xml:space="preserve"> &lt; 0.0</w:t>
            </w:r>
            <w:r w:rsidR="00A23868" w:rsidRPr="00BA16CB">
              <w:rPr>
                <w:rFonts w:ascii="Times New Roman" w:hAnsi="Times New Roman" w:cs="Times New Roman"/>
                <w:sz w:val="20"/>
                <w:szCs w:val="20"/>
              </w:rPr>
              <w:t>0</w:t>
            </w:r>
            <w:r w:rsidRPr="00BA16CB">
              <w:rPr>
                <w:rFonts w:ascii="Times New Roman" w:hAnsi="Times New Roman" w:cs="Times New Roman"/>
                <w:sz w:val="20"/>
                <w:szCs w:val="20"/>
              </w:rPr>
              <w:t>1</w:t>
            </w:r>
          </w:p>
        </w:tc>
      </w:tr>
      <w:tr w:rsidR="008B47DA" w:rsidRPr="00BD6226" w14:paraId="203BD7A3" w14:textId="77777777" w:rsidTr="007B1A56">
        <w:tc>
          <w:tcPr>
            <w:tcW w:w="585" w:type="dxa"/>
            <w:gridSpan w:val="2"/>
          </w:tcPr>
          <w:p w14:paraId="6646BAF5" w14:textId="77777777" w:rsidR="008B47DA" w:rsidRPr="00BA16CB" w:rsidRDefault="008B47DA" w:rsidP="002E776A">
            <w:pPr>
              <w:rPr>
                <w:rFonts w:ascii="Times New Roman" w:hAnsi="Times New Roman" w:cs="Times New Roman"/>
                <w:sz w:val="20"/>
                <w:szCs w:val="20"/>
              </w:rPr>
            </w:pPr>
          </w:p>
        </w:tc>
        <w:tc>
          <w:tcPr>
            <w:tcW w:w="2376" w:type="dxa"/>
          </w:tcPr>
          <w:p w14:paraId="427F471C" w14:textId="77777777" w:rsidR="008B47DA" w:rsidRPr="00BA16CB" w:rsidRDefault="008B47DA" w:rsidP="002E776A">
            <w:pPr>
              <w:rPr>
                <w:rFonts w:ascii="Times New Roman" w:hAnsi="Times New Roman" w:cs="Times New Roman"/>
                <w:sz w:val="20"/>
                <w:szCs w:val="20"/>
              </w:rPr>
            </w:pPr>
            <w:r w:rsidRPr="00BA16CB">
              <w:rPr>
                <w:rFonts w:ascii="Times New Roman" w:hAnsi="Times New Roman" w:cs="Times New Roman"/>
                <w:sz w:val="20"/>
                <w:szCs w:val="20"/>
              </w:rPr>
              <w:t>Sputum</w:t>
            </w:r>
          </w:p>
        </w:tc>
        <w:tc>
          <w:tcPr>
            <w:tcW w:w="2247" w:type="dxa"/>
          </w:tcPr>
          <w:p w14:paraId="27D7CB8C"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1,206 (1.6)</w:t>
            </w:r>
          </w:p>
        </w:tc>
        <w:tc>
          <w:tcPr>
            <w:tcW w:w="2368" w:type="dxa"/>
          </w:tcPr>
          <w:p w14:paraId="1CA8938D"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305 (0.4)</w:t>
            </w:r>
          </w:p>
        </w:tc>
        <w:tc>
          <w:tcPr>
            <w:tcW w:w="1823" w:type="dxa"/>
          </w:tcPr>
          <w:p w14:paraId="0A314BF6" w14:textId="4151FAA8"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i/>
                <w:sz w:val="20"/>
                <w:szCs w:val="20"/>
              </w:rPr>
              <w:t>p</w:t>
            </w:r>
            <w:r w:rsidRPr="00BA16CB">
              <w:rPr>
                <w:rFonts w:ascii="Times New Roman" w:hAnsi="Times New Roman" w:cs="Times New Roman"/>
                <w:sz w:val="20"/>
                <w:szCs w:val="20"/>
              </w:rPr>
              <w:t xml:space="preserve"> &lt; 0.0</w:t>
            </w:r>
            <w:r w:rsidR="00D847E4" w:rsidRPr="00BA16CB">
              <w:rPr>
                <w:rFonts w:ascii="Times New Roman" w:hAnsi="Times New Roman" w:cs="Times New Roman"/>
                <w:sz w:val="20"/>
                <w:szCs w:val="20"/>
              </w:rPr>
              <w:t>0</w:t>
            </w:r>
            <w:r w:rsidRPr="00BA16CB">
              <w:rPr>
                <w:rFonts w:ascii="Times New Roman" w:hAnsi="Times New Roman" w:cs="Times New Roman"/>
                <w:sz w:val="20"/>
                <w:szCs w:val="20"/>
              </w:rPr>
              <w:t>1</w:t>
            </w:r>
          </w:p>
        </w:tc>
      </w:tr>
      <w:tr w:rsidR="008B47DA" w:rsidRPr="00BD6226" w14:paraId="27B92E52" w14:textId="77777777" w:rsidTr="007B1A56">
        <w:tc>
          <w:tcPr>
            <w:tcW w:w="2961" w:type="dxa"/>
            <w:gridSpan w:val="3"/>
          </w:tcPr>
          <w:p w14:paraId="32CC55B1" w14:textId="77777777" w:rsidR="008B47DA" w:rsidRPr="00BA16CB" w:rsidRDefault="008B47DA" w:rsidP="002E776A">
            <w:pPr>
              <w:rPr>
                <w:rFonts w:ascii="Times New Roman" w:hAnsi="Times New Roman" w:cs="Times New Roman"/>
                <w:sz w:val="20"/>
                <w:szCs w:val="20"/>
              </w:rPr>
            </w:pPr>
            <w:r w:rsidRPr="00BA16CB">
              <w:rPr>
                <w:rFonts w:ascii="Times New Roman" w:hAnsi="Times New Roman" w:cs="Times New Roman"/>
                <w:sz w:val="20"/>
                <w:szCs w:val="20"/>
              </w:rPr>
              <w:t xml:space="preserve">Inflammatory condition, </w:t>
            </w:r>
            <w:r w:rsidRPr="00BA16CB">
              <w:rPr>
                <w:rFonts w:ascii="Times New Roman" w:hAnsi="Times New Roman" w:cs="Times New Roman"/>
                <w:i/>
                <w:sz w:val="20"/>
                <w:szCs w:val="20"/>
              </w:rPr>
              <w:t>n</w:t>
            </w:r>
            <w:r w:rsidRPr="00BA16CB">
              <w:rPr>
                <w:rFonts w:ascii="Times New Roman" w:hAnsi="Times New Roman" w:cs="Times New Roman"/>
                <w:sz w:val="20"/>
                <w:szCs w:val="20"/>
              </w:rPr>
              <w:t xml:space="preserve"> (%)</w:t>
            </w:r>
          </w:p>
        </w:tc>
        <w:tc>
          <w:tcPr>
            <w:tcW w:w="2247" w:type="dxa"/>
          </w:tcPr>
          <w:p w14:paraId="64003A18" w14:textId="77777777" w:rsidR="008B47DA" w:rsidRPr="00BA16CB" w:rsidRDefault="008B47DA" w:rsidP="002E776A">
            <w:pPr>
              <w:jc w:val="center"/>
              <w:rPr>
                <w:rFonts w:ascii="Times New Roman" w:hAnsi="Times New Roman" w:cs="Times New Roman"/>
                <w:color w:val="FF0000"/>
                <w:sz w:val="20"/>
                <w:szCs w:val="20"/>
              </w:rPr>
            </w:pPr>
          </w:p>
        </w:tc>
        <w:tc>
          <w:tcPr>
            <w:tcW w:w="2368" w:type="dxa"/>
          </w:tcPr>
          <w:p w14:paraId="77C19FE7" w14:textId="77777777" w:rsidR="008B47DA" w:rsidRPr="00BA16CB" w:rsidRDefault="008B47DA" w:rsidP="002E776A">
            <w:pPr>
              <w:jc w:val="center"/>
              <w:rPr>
                <w:rFonts w:ascii="Times New Roman" w:hAnsi="Times New Roman" w:cs="Times New Roman"/>
                <w:color w:val="FF0000"/>
                <w:sz w:val="20"/>
                <w:szCs w:val="20"/>
              </w:rPr>
            </w:pPr>
          </w:p>
        </w:tc>
        <w:tc>
          <w:tcPr>
            <w:tcW w:w="1823" w:type="dxa"/>
          </w:tcPr>
          <w:p w14:paraId="5A20646A" w14:textId="77777777" w:rsidR="008B47DA" w:rsidRPr="00BA16CB" w:rsidRDefault="008B47DA" w:rsidP="002E776A">
            <w:pPr>
              <w:jc w:val="center"/>
              <w:rPr>
                <w:rFonts w:ascii="Times New Roman" w:hAnsi="Times New Roman" w:cs="Times New Roman"/>
                <w:sz w:val="20"/>
                <w:szCs w:val="20"/>
              </w:rPr>
            </w:pPr>
          </w:p>
        </w:tc>
      </w:tr>
      <w:tr w:rsidR="008B47DA" w:rsidRPr="00BD6226" w14:paraId="24DA0EAB" w14:textId="77777777" w:rsidTr="007B1A56">
        <w:tc>
          <w:tcPr>
            <w:tcW w:w="579" w:type="dxa"/>
          </w:tcPr>
          <w:p w14:paraId="0632C447" w14:textId="77777777" w:rsidR="008B47DA" w:rsidRPr="00BA16CB" w:rsidRDefault="008B47DA" w:rsidP="002E776A">
            <w:pPr>
              <w:rPr>
                <w:rFonts w:ascii="Times New Roman" w:hAnsi="Times New Roman" w:cs="Times New Roman"/>
                <w:sz w:val="20"/>
                <w:szCs w:val="20"/>
              </w:rPr>
            </w:pPr>
          </w:p>
        </w:tc>
        <w:tc>
          <w:tcPr>
            <w:tcW w:w="2382" w:type="dxa"/>
            <w:gridSpan w:val="2"/>
          </w:tcPr>
          <w:p w14:paraId="64A08C04" w14:textId="77777777" w:rsidR="008B47DA" w:rsidRPr="00BA16CB" w:rsidRDefault="008B47DA" w:rsidP="002E776A">
            <w:pPr>
              <w:rPr>
                <w:rFonts w:ascii="Times New Roman" w:hAnsi="Times New Roman" w:cs="Times New Roman"/>
                <w:sz w:val="20"/>
                <w:szCs w:val="20"/>
              </w:rPr>
            </w:pPr>
            <w:r w:rsidRPr="00BA16CB">
              <w:rPr>
                <w:rFonts w:ascii="Times New Roman" w:hAnsi="Times New Roman" w:cs="Times New Roman"/>
                <w:sz w:val="20"/>
                <w:szCs w:val="20"/>
              </w:rPr>
              <w:t>Rheumatoid arthritis</w:t>
            </w:r>
          </w:p>
        </w:tc>
        <w:tc>
          <w:tcPr>
            <w:tcW w:w="2247" w:type="dxa"/>
          </w:tcPr>
          <w:p w14:paraId="7E286671"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479 (0.6)</w:t>
            </w:r>
          </w:p>
        </w:tc>
        <w:tc>
          <w:tcPr>
            <w:tcW w:w="2368" w:type="dxa"/>
          </w:tcPr>
          <w:p w14:paraId="6EEEF9F4"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261 (0.3)</w:t>
            </w:r>
          </w:p>
        </w:tc>
        <w:tc>
          <w:tcPr>
            <w:tcW w:w="1823" w:type="dxa"/>
          </w:tcPr>
          <w:p w14:paraId="60F7FE0C" w14:textId="0109CD56"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i/>
                <w:sz w:val="20"/>
                <w:szCs w:val="20"/>
              </w:rPr>
              <w:t>p</w:t>
            </w:r>
            <w:r w:rsidRPr="00BA16CB">
              <w:rPr>
                <w:rFonts w:ascii="Times New Roman" w:hAnsi="Times New Roman" w:cs="Times New Roman"/>
                <w:sz w:val="20"/>
                <w:szCs w:val="20"/>
              </w:rPr>
              <w:t xml:space="preserve"> &lt; 0.0</w:t>
            </w:r>
            <w:r w:rsidR="00D847E4" w:rsidRPr="00BA16CB">
              <w:rPr>
                <w:rFonts w:ascii="Times New Roman" w:hAnsi="Times New Roman" w:cs="Times New Roman"/>
                <w:sz w:val="20"/>
                <w:szCs w:val="20"/>
              </w:rPr>
              <w:t>0</w:t>
            </w:r>
            <w:r w:rsidRPr="00BA16CB">
              <w:rPr>
                <w:rFonts w:ascii="Times New Roman" w:hAnsi="Times New Roman" w:cs="Times New Roman"/>
                <w:sz w:val="20"/>
                <w:szCs w:val="20"/>
              </w:rPr>
              <w:t>1</w:t>
            </w:r>
          </w:p>
        </w:tc>
      </w:tr>
      <w:tr w:rsidR="008B47DA" w:rsidRPr="00BD6226" w14:paraId="58CCD046" w14:textId="77777777" w:rsidTr="007B1A56">
        <w:tc>
          <w:tcPr>
            <w:tcW w:w="579" w:type="dxa"/>
          </w:tcPr>
          <w:p w14:paraId="5C7176B5" w14:textId="77777777" w:rsidR="008B47DA" w:rsidRPr="00BA16CB" w:rsidRDefault="008B47DA" w:rsidP="002E776A">
            <w:pPr>
              <w:rPr>
                <w:rFonts w:ascii="Times New Roman" w:hAnsi="Times New Roman" w:cs="Times New Roman"/>
                <w:sz w:val="20"/>
                <w:szCs w:val="20"/>
              </w:rPr>
            </w:pPr>
          </w:p>
        </w:tc>
        <w:tc>
          <w:tcPr>
            <w:tcW w:w="2382" w:type="dxa"/>
            <w:gridSpan w:val="2"/>
          </w:tcPr>
          <w:p w14:paraId="07E3EDA0" w14:textId="77777777" w:rsidR="008B47DA" w:rsidRPr="00BA16CB" w:rsidRDefault="008B47DA" w:rsidP="002E776A">
            <w:pPr>
              <w:rPr>
                <w:rFonts w:ascii="Times New Roman" w:hAnsi="Times New Roman" w:cs="Times New Roman"/>
                <w:sz w:val="20"/>
                <w:szCs w:val="20"/>
              </w:rPr>
            </w:pPr>
            <w:r w:rsidRPr="00BA16CB">
              <w:rPr>
                <w:rFonts w:ascii="Times New Roman" w:hAnsi="Times New Roman" w:cs="Times New Roman"/>
                <w:sz w:val="20"/>
                <w:szCs w:val="20"/>
              </w:rPr>
              <w:t>Gout</w:t>
            </w:r>
          </w:p>
        </w:tc>
        <w:tc>
          <w:tcPr>
            <w:tcW w:w="2247" w:type="dxa"/>
          </w:tcPr>
          <w:p w14:paraId="4E1FCDDE"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979 (1.3)</w:t>
            </w:r>
          </w:p>
        </w:tc>
        <w:tc>
          <w:tcPr>
            <w:tcW w:w="2368" w:type="dxa"/>
          </w:tcPr>
          <w:p w14:paraId="3529A713"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707 (0.9)</w:t>
            </w:r>
          </w:p>
        </w:tc>
        <w:tc>
          <w:tcPr>
            <w:tcW w:w="1823" w:type="dxa"/>
          </w:tcPr>
          <w:p w14:paraId="19FB4D2F" w14:textId="70170899"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i/>
                <w:sz w:val="20"/>
                <w:szCs w:val="20"/>
              </w:rPr>
              <w:t>p</w:t>
            </w:r>
            <w:r w:rsidRPr="00BA16CB">
              <w:rPr>
                <w:rFonts w:ascii="Times New Roman" w:hAnsi="Times New Roman" w:cs="Times New Roman"/>
                <w:sz w:val="20"/>
                <w:szCs w:val="20"/>
              </w:rPr>
              <w:t xml:space="preserve"> &lt; 0.0</w:t>
            </w:r>
            <w:r w:rsidR="00D847E4" w:rsidRPr="00BA16CB">
              <w:rPr>
                <w:rFonts w:ascii="Times New Roman" w:hAnsi="Times New Roman" w:cs="Times New Roman"/>
                <w:sz w:val="20"/>
                <w:szCs w:val="20"/>
              </w:rPr>
              <w:t>0</w:t>
            </w:r>
            <w:r w:rsidRPr="00BA16CB">
              <w:rPr>
                <w:rFonts w:ascii="Times New Roman" w:hAnsi="Times New Roman" w:cs="Times New Roman"/>
                <w:sz w:val="20"/>
                <w:szCs w:val="20"/>
              </w:rPr>
              <w:t>1</w:t>
            </w:r>
          </w:p>
        </w:tc>
      </w:tr>
      <w:tr w:rsidR="008B47DA" w:rsidRPr="00BD6226" w14:paraId="0DF437FD" w14:textId="77777777" w:rsidTr="007B1A56">
        <w:tc>
          <w:tcPr>
            <w:tcW w:w="579" w:type="dxa"/>
          </w:tcPr>
          <w:p w14:paraId="445F0338" w14:textId="77777777" w:rsidR="008B47DA" w:rsidRPr="00BA16CB" w:rsidRDefault="008B47DA" w:rsidP="002E776A">
            <w:pPr>
              <w:rPr>
                <w:rFonts w:ascii="Times New Roman" w:hAnsi="Times New Roman" w:cs="Times New Roman"/>
                <w:sz w:val="20"/>
                <w:szCs w:val="20"/>
              </w:rPr>
            </w:pPr>
          </w:p>
        </w:tc>
        <w:tc>
          <w:tcPr>
            <w:tcW w:w="2382" w:type="dxa"/>
            <w:gridSpan w:val="2"/>
          </w:tcPr>
          <w:p w14:paraId="0C0B4381" w14:textId="77777777" w:rsidR="008B47DA" w:rsidRPr="00BA16CB" w:rsidRDefault="008B47DA" w:rsidP="002E776A">
            <w:pPr>
              <w:rPr>
                <w:rFonts w:ascii="Times New Roman" w:hAnsi="Times New Roman" w:cs="Times New Roman"/>
                <w:sz w:val="20"/>
                <w:szCs w:val="20"/>
              </w:rPr>
            </w:pPr>
            <w:r w:rsidRPr="00BA16CB">
              <w:rPr>
                <w:rFonts w:ascii="Times New Roman" w:hAnsi="Times New Roman" w:cs="Times New Roman"/>
                <w:sz w:val="20"/>
                <w:szCs w:val="20"/>
              </w:rPr>
              <w:t>Polymyalgia rheumatic</w:t>
            </w:r>
          </w:p>
        </w:tc>
        <w:tc>
          <w:tcPr>
            <w:tcW w:w="2247" w:type="dxa"/>
          </w:tcPr>
          <w:p w14:paraId="27295C45"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544 (0.7)</w:t>
            </w:r>
          </w:p>
        </w:tc>
        <w:tc>
          <w:tcPr>
            <w:tcW w:w="2368" w:type="dxa"/>
          </w:tcPr>
          <w:p w14:paraId="78C58394"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298 (0.4)</w:t>
            </w:r>
          </w:p>
        </w:tc>
        <w:tc>
          <w:tcPr>
            <w:tcW w:w="1823" w:type="dxa"/>
          </w:tcPr>
          <w:p w14:paraId="4C55ADAA" w14:textId="3EB1C3CE"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i/>
                <w:sz w:val="20"/>
                <w:szCs w:val="20"/>
              </w:rPr>
              <w:t>p</w:t>
            </w:r>
            <w:r w:rsidRPr="00BA16CB">
              <w:rPr>
                <w:rFonts w:ascii="Times New Roman" w:hAnsi="Times New Roman" w:cs="Times New Roman"/>
                <w:sz w:val="20"/>
                <w:szCs w:val="20"/>
              </w:rPr>
              <w:t xml:space="preserve"> &lt; 0.0</w:t>
            </w:r>
            <w:r w:rsidR="00D847E4" w:rsidRPr="00BA16CB">
              <w:rPr>
                <w:rFonts w:ascii="Times New Roman" w:hAnsi="Times New Roman" w:cs="Times New Roman"/>
                <w:sz w:val="20"/>
                <w:szCs w:val="20"/>
              </w:rPr>
              <w:t>0</w:t>
            </w:r>
            <w:r w:rsidRPr="00BA16CB">
              <w:rPr>
                <w:rFonts w:ascii="Times New Roman" w:hAnsi="Times New Roman" w:cs="Times New Roman"/>
                <w:sz w:val="20"/>
                <w:szCs w:val="20"/>
              </w:rPr>
              <w:t>1</w:t>
            </w:r>
          </w:p>
        </w:tc>
      </w:tr>
      <w:tr w:rsidR="008B47DA" w:rsidRPr="00BD6226" w14:paraId="1C031ADF" w14:textId="77777777" w:rsidTr="007B1A56">
        <w:tc>
          <w:tcPr>
            <w:tcW w:w="579" w:type="dxa"/>
          </w:tcPr>
          <w:p w14:paraId="6D14A798" w14:textId="77777777" w:rsidR="008B47DA" w:rsidRPr="00BA16CB" w:rsidRDefault="008B47DA" w:rsidP="002E776A">
            <w:pPr>
              <w:rPr>
                <w:rFonts w:ascii="Times New Roman" w:hAnsi="Times New Roman" w:cs="Times New Roman"/>
                <w:sz w:val="20"/>
                <w:szCs w:val="20"/>
              </w:rPr>
            </w:pPr>
          </w:p>
        </w:tc>
        <w:tc>
          <w:tcPr>
            <w:tcW w:w="2382" w:type="dxa"/>
            <w:gridSpan w:val="2"/>
          </w:tcPr>
          <w:p w14:paraId="4C6E6562" w14:textId="77777777" w:rsidR="008B47DA" w:rsidRPr="00BA16CB" w:rsidRDefault="008B47DA" w:rsidP="002E776A">
            <w:pPr>
              <w:rPr>
                <w:rFonts w:ascii="Times New Roman" w:hAnsi="Times New Roman" w:cs="Times New Roman"/>
                <w:sz w:val="20"/>
                <w:szCs w:val="20"/>
              </w:rPr>
            </w:pPr>
            <w:r w:rsidRPr="00BA16CB">
              <w:rPr>
                <w:rFonts w:ascii="Times New Roman" w:hAnsi="Times New Roman" w:cs="Times New Roman"/>
                <w:sz w:val="20"/>
                <w:szCs w:val="20"/>
              </w:rPr>
              <w:t>Inflammatory bowel disease</w:t>
            </w:r>
          </w:p>
        </w:tc>
        <w:tc>
          <w:tcPr>
            <w:tcW w:w="2247" w:type="dxa"/>
          </w:tcPr>
          <w:p w14:paraId="4234417C"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294 (0.4)</w:t>
            </w:r>
          </w:p>
        </w:tc>
        <w:tc>
          <w:tcPr>
            <w:tcW w:w="2368" w:type="dxa"/>
          </w:tcPr>
          <w:p w14:paraId="69C10690"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183 (0.2)</w:t>
            </w:r>
          </w:p>
        </w:tc>
        <w:tc>
          <w:tcPr>
            <w:tcW w:w="1823" w:type="dxa"/>
          </w:tcPr>
          <w:p w14:paraId="2D25BE52" w14:textId="44B17C58"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i/>
                <w:sz w:val="20"/>
                <w:szCs w:val="20"/>
              </w:rPr>
              <w:t>p</w:t>
            </w:r>
            <w:r w:rsidRPr="00BA16CB">
              <w:rPr>
                <w:rFonts w:ascii="Times New Roman" w:hAnsi="Times New Roman" w:cs="Times New Roman"/>
                <w:sz w:val="20"/>
                <w:szCs w:val="20"/>
              </w:rPr>
              <w:t xml:space="preserve"> &lt; 0.0</w:t>
            </w:r>
            <w:r w:rsidR="00D847E4" w:rsidRPr="00BA16CB">
              <w:rPr>
                <w:rFonts w:ascii="Times New Roman" w:hAnsi="Times New Roman" w:cs="Times New Roman"/>
                <w:sz w:val="20"/>
                <w:szCs w:val="20"/>
              </w:rPr>
              <w:t>0</w:t>
            </w:r>
            <w:r w:rsidRPr="00BA16CB">
              <w:rPr>
                <w:rFonts w:ascii="Times New Roman" w:hAnsi="Times New Roman" w:cs="Times New Roman"/>
                <w:sz w:val="20"/>
                <w:szCs w:val="20"/>
              </w:rPr>
              <w:t>1</w:t>
            </w:r>
          </w:p>
        </w:tc>
      </w:tr>
      <w:tr w:rsidR="008B47DA" w:rsidRPr="00BD6226" w14:paraId="331482D7" w14:textId="77777777" w:rsidTr="007B1A56">
        <w:tc>
          <w:tcPr>
            <w:tcW w:w="579" w:type="dxa"/>
          </w:tcPr>
          <w:p w14:paraId="3E2A90A3" w14:textId="77777777" w:rsidR="008B47DA" w:rsidRPr="00BA16CB" w:rsidRDefault="008B47DA" w:rsidP="002E776A">
            <w:pPr>
              <w:rPr>
                <w:rFonts w:ascii="Times New Roman" w:hAnsi="Times New Roman" w:cs="Times New Roman"/>
                <w:sz w:val="20"/>
                <w:szCs w:val="20"/>
              </w:rPr>
            </w:pPr>
          </w:p>
        </w:tc>
        <w:tc>
          <w:tcPr>
            <w:tcW w:w="2382" w:type="dxa"/>
            <w:gridSpan w:val="2"/>
          </w:tcPr>
          <w:p w14:paraId="01FB9CD4" w14:textId="77777777" w:rsidR="008B47DA" w:rsidRPr="00BA16CB" w:rsidRDefault="008B47DA" w:rsidP="002E776A">
            <w:pPr>
              <w:rPr>
                <w:rFonts w:ascii="Times New Roman" w:hAnsi="Times New Roman" w:cs="Times New Roman"/>
                <w:sz w:val="20"/>
                <w:szCs w:val="20"/>
              </w:rPr>
            </w:pPr>
            <w:r w:rsidRPr="00BA16CB">
              <w:rPr>
                <w:rFonts w:ascii="Times New Roman" w:hAnsi="Times New Roman" w:cs="Times New Roman"/>
                <w:sz w:val="20"/>
                <w:szCs w:val="20"/>
              </w:rPr>
              <w:t>Systemic lupus erythematosus</w:t>
            </w:r>
          </w:p>
        </w:tc>
        <w:tc>
          <w:tcPr>
            <w:tcW w:w="2247" w:type="dxa"/>
          </w:tcPr>
          <w:p w14:paraId="2CBC1BCD"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24 (0.03)</w:t>
            </w:r>
          </w:p>
        </w:tc>
        <w:tc>
          <w:tcPr>
            <w:tcW w:w="2368" w:type="dxa"/>
          </w:tcPr>
          <w:p w14:paraId="47835673"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11 (0.01)</w:t>
            </w:r>
          </w:p>
        </w:tc>
        <w:tc>
          <w:tcPr>
            <w:tcW w:w="1823" w:type="dxa"/>
          </w:tcPr>
          <w:p w14:paraId="1498557E"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i/>
                <w:sz w:val="20"/>
                <w:szCs w:val="20"/>
              </w:rPr>
              <w:t>p</w:t>
            </w:r>
            <w:r w:rsidRPr="00BA16CB">
              <w:rPr>
                <w:rFonts w:ascii="Times New Roman" w:hAnsi="Times New Roman" w:cs="Times New Roman"/>
                <w:sz w:val="20"/>
                <w:szCs w:val="20"/>
              </w:rPr>
              <w:t xml:space="preserve"> = 0.028</w:t>
            </w:r>
          </w:p>
        </w:tc>
      </w:tr>
      <w:tr w:rsidR="008B47DA" w:rsidRPr="00BD6226" w14:paraId="7DC78E50" w14:textId="77777777" w:rsidTr="007B1A56">
        <w:tc>
          <w:tcPr>
            <w:tcW w:w="579" w:type="dxa"/>
          </w:tcPr>
          <w:p w14:paraId="34EC3132" w14:textId="77777777" w:rsidR="008B47DA" w:rsidRPr="00BA16CB" w:rsidRDefault="008B47DA" w:rsidP="002E776A">
            <w:pPr>
              <w:rPr>
                <w:rFonts w:ascii="Times New Roman" w:hAnsi="Times New Roman" w:cs="Times New Roman"/>
                <w:sz w:val="20"/>
                <w:szCs w:val="20"/>
              </w:rPr>
            </w:pPr>
          </w:p>
        </w:tc>
        <w:tc>
          <w:tcPr>
            <w:tcW w:w="2382" w:type="dxa"/>
            <w:gridSpan w:val="2"/>
          </w:tcPr>
          <w:p w14:paraId="642822C1" w14:textId="67FC12E2" w:rsidR="008B47DA" w:rsidRPr="00BA16CB" w:rsidRDefault="008B47DA" w:rsidP="002E776A">
            <w:pPr>
              <w:rPr>
                <w:rFonts w:ascii="Times New Roman" w:hAnsi="Times New Roman" w:cs="Times New Roman"/>
                <w:sz w:val="20"/>
                <w:szCs w:val="20"/>
              </w:rPr>
            </w:pPr>
            <w:proofErr w:type="spellStart"/>
            <w:r w:rsidRPr="00BA16CB">
              <w:rPr>
                <w:rFonts w:ascii="Times New Roman" w:hAnsi="Times New Roman" w:cs="Times New Roman"/>
                <w:sz w:val="20"/>
                <w:szCs w:val="20"/>
              </w:rPr>
              <w:t>Spondyloarthritis</w:t>
            </w:r>
            <w:proofErr w:type="spellEnd"/>
            <w:r w:rsidR="004A6442">
              <w:rPr>
                <w:rFonts w:ascii="Times New Roman" w:hAnsi="Times New Roman" w:cs="Times New Roman"/>
                <w:sz w:val="20"/>
                <w:szCs w:val="20"/>
              </w:rPr>
              <w:t>*</w:t>
            </w:r>
          </w:p>
        </w:tc>
        <w:tc>
          <w:tcPr>
            <w:tcW w:w="2247" w:type="dxa"/>
          </w:tcPr>
          <w:p w14:paraId="72CA2CEA"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153 (0.2)</w:t>
            </w:r>
          </w:p>
        </w:tc>
        <w:tc>
          <w:tcPr>
            <w:tcW w:w="2368" w:type="dxa"/>
          </w:tcPr>
          <w:p w14:paraId="5129EEF0"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79 (0.1)</w:t>
            </w:r>
          </w:p>
        </w:tc>
        <w:tc>
          <w:tcPr>
            <w:tcW w:w="1823" w:type="dxa"/>
          </w:tcPr>
          <w:p w14:paraId="50C0569C" w14:textId="4C6D5CEA"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i/>
                <w:sz w:val="20"/>
                <w:szCs w:val="20"/>
              </w:rPr>
              <w:t>p</w:t>
            </w:r>
            <w:r w:rsidRPr="00BA16CB">
              <w:rPr>
                <w:rFonts w:ascii="Times New Roman" w:hAnsi="Times New Roman" w:cs="Times New Roman"/>
                <w:sz w:val="20"/>
                <w:szCs w:val="20"/>
              </w:rPr>
              <w:t xml:space="preserve"> &lt; 0.0</w:t>
            </w:r>
            <w:r w:rsidR="00D847E4" w:rsidRPr="00BA16CB">
              <w:rPr>
                <w:rFonts w:ascii="Times New Roman" w:hAnsi="Times New Roman" w:cs="Times New Roman"/>
                <w:sz w:val="20"/>
                <w:szCs w:val="20"/>
              </w:rPr>
              <w:t>0</w:t>
            </w:r>
            <w:r w:rsidRPr="00BA16CB">
              <w:rPr>
                <w:rFonts w:ascii="Times New Roman" w:hAnsi="Times New Roman" w:cs="Times New Roman"/>
                <w:sz w:val="20"/>
                <w:szCs w:val="20"/>
              </w:rPr>
              <w:t>1</w:t>
            </w:r>
          </w:p>
        </w:tc>
      </w:tr>
      <w:tr w:rsidR="008B47DA" w:rsidRPr="00BD6226" w14:paraId="35618227" w14:textId="77777777" w:rsidTr="007B1A56">
        <w:tc>
          <w:tcPr>
            <w:tcW w:w="2961" w:type="dxa"/>
            <w:gridSpan w:val="3"/>
          </w:tcPr>
          <w:p w14:paraId="6BAB85A0" w14:textId="77777777" w:rsidR="008B47DA" w:rsidRPr="00BA16CB" w:rsidRDefault="008B47DA" w:rsidP="002E776A">
            <w:pPr>
              <w:rPr>
                <w:rFonts w:ascii="Times New Roman" w:hAnsi="Times New Roman" w:cs="Times New Roman"/>
                <w:sz w:val="20"/>
                <w:szCs w:val="20"/>
              </w:rPr>
            </w:pPr>
            <w:r w:rsidRPr="00BA16CB">
              <w:rPr>
                <w:rFonts w:ascii="Times New Roman" w:hAnsi="Times New Roman" w:cs="Times New Roman"/>
                <w:sz w:val="20"/>
                <w:szCs w:val="20"/>
              </w:rPr>
              <w:t xml:space="preserve">Mental condition, </w:t>
            </w:r>
            <w:r w:rsidRPr="00BA16CB">
              <w:rPr>
                <w:rFonts w:ascii="Times New Roman" w:hAnsi="Times New Roman" w:cs="Times New Roman"/>
                <w:i/>
                <w:sz w:val="20"/>
                <w:szCs w:val="20"/>
              </w:rPr>
              <w:t>n</w:t>
            </w:r>
            <w:r w:rsidRPr="00BA16CB">
              <w:rPr>
                <w:rFonts w:ascii="Times New Roman" w:hAnsi="Times New Roman" w:cs="Times New Roman"/>
                <w:sz w:val="20"/>
                <w:szCs w:val="20"/>
              </w:rPr>
              <w:t xml:space="preserve"> (%)</w:t>
            </w:r>
          </w:p>
        </w:tc>
        <w:tc>
          <w:tcPr>
            <w:tcW w:w="2247" w:type="dxa"/>
          </w:tcPr>
          <w:p w14:paraId="2E3240FD" w14:textId="77777777" w:rsidR="008B47DA" w:rsidRPr="00BA16CB" w:rsidRDefault="008B47DA" w:rsidP="002E776A">
            <w:pPr>
              <w:jc w:val="center"/>
              <w:rPr>
                <w:rFonts w:ascii="Times New Roman" w:hAnsi="Times New Roman" w:cs="Times New Roman"/>
                <w:color w:val="FF0000"/>
                <w:sz w:val="20"/>
                <w:szCs w:val="20"/>
              </w:rPr>
            </w:pPr>
          </w:p>
        </w:tc>
        <w:tc>
          <w:tcPr>
            <w:tcW w:w="2368" w:type="dxa"/>
          </w:tcPr>
          <w:p w14:paraId="58F3F91C" w14:textId="77777777" w:rsidR="008B47DA" w:rsidRPr="00BA16CB" w:rsidRDefault="008B47DA" w:rsidP="002E776A">
            <w:pPr>
              <w:jc w:val="center"/>
              <w:rPr>
                <w:rFonts w:ascii="Times New Roman" w:hAnsi="Times New Roman" w:cs="Times New Roman"/>
                <w:color w:val="FF0000"/>
                <w:sz w:val="20"/>
                <w:szCs w:val="20"/>
              </w:rPr>
            </w:pPr>
          </w:p>
        </w:tc>
        <w:tc>
          <w:tcPr>
            <w:tcW w:w="1823" w:type="dxa"/>
          </w:tcPr>
          <w:p w14:paraId="22A880CA" w14:textId="77777777" w:rsidR="008B47DA" w:rsidRPr="00BA16CB" w:rsidRDefault="008B47DA" w:rsidP="002E776A">
            <w:pPr>
              <w:jc w:val="center"/>
              <w:rPr>
                <w:rFonts w:ascii="Times New Roman" w:hAnsi="Times New Roman" w:cs="Times New Roman"/>
                <w:sz w:val="20"/>
                <w:szCs w:val="20"/>
              </w:rPr>
            </w:pPr>
          </w:p>
        </w:tc>
      </w:tr>
      <w:tr w:rsidR="008B47DA" w:rsidRPr="00BD6226" w14:paraId="502FF916" w14:textId="77777777" w:rsidTr="007B1A56">
        <w:tc>
          <w:tcPr>
            <w:tcW w:w="579" w:type="dxa"/>
          </w:tcPr>
          <w:p w14:paraId="78CAD18E" w14:textId="77777777" w:rsidR="008B47DA" w:rsidRPr="00BA16CB" w:rsidRDefault="008B47DA" w:rsidP="002E776A">
            <w:pPr>
              <w:rPr>
                <w:rFonts w:ascii="Times New Roman" w:hAnsi="Times New Roman" w:cs="Times New Roman"/>
                <w:sz w:val="20"/>
                <w:szCs w:val="20"/>
              </w:rPr>
            </w:pPr>
          </w:p>
        </w:tc>
        <w:tc>
          <w:tcPr>
            <w:tcW w:w="2382" w:type="dxa"/>
            <w:gridSpan w:val="2"/>
          </w:tcPr>
          <w:p w14:paraId="17D6280E" w14:textId="77777777" w:rsidR="008B47DA" w:rsidRPr="00BA16CB" w:rsidRDefault="008B47DA" w:rsidP="002E776A">
            <w:pPr>
              <w:rPr>
                <w:rFonts w:ascii="Times New Roman" w:hAnsi="Times New Roman" w:cs="Times New Roman"/>
                <w:sz w:val="20"/>
                <w:szCs w:val="20"/>
              </w:rPr>
            </w:pPr>
            <w:r w:rsidRPr="00BA16CB">
              <w:rPr>
                <w:rFonts w:ascii="Times New Roman" w:hAnsi="Times New Roman" w:cs="Times New Roman"/>
                <w:sz w:val="20"/>
                <w:szCs w:val="20"/>
              </w:rPr>
              <w:t>Depression</w:t>
            </w:r>
          </w:p>
        </w:tc>
        <w:tc>
          <w:tcPr>
            <w:tcW w:w="2247" w:type="dxa"/>
          </w:tcPr>
          <w:p w14:paraId="0DCB511E"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4,176 (5.5)</w:t>
            </w:r>
          </w:p>
        </w:tc>
        <w:tc>
          <w:tcPr>
            <w:tcW w:w="2368" w:type="dxa"/>
          </w:tcPr>
          <w:p w14:paraId="4BF3AFEF"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2,274 (3.0)</w:t>
            </w:r>
          </w:p>
        </w:tc>
        <w:tc>
          <w:tcPr>
            <w:tcW w:w="1823" w:type="dxa"/>
          </w:tcPr>
          <w:p w14:paraId="5EB13AF7" w14:textId="1A925DAB"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i/>
                <w:sz w:val="20"/>
                <w:szCs w:val="20"/>
              </w:rPr>
              <w:t>p</w:t>
            </w:r>
            <w:r w:rsidRPr="00BA16CB">
              <w:rPr>
                <w:rFonts w:ascii="Times New Roman" w:hAnsi="Times New Roman" w:cs="Times New Roman"/>
                <w:sz w:val="20"/>
                <w:szCs w:val="20"/>
              </w:rPr>
              <w:t xml:space="preserve"> &lt; 0.0</w:t>
            </w:r>
            <w:r w:rsidR="00D847E4" w:rsidRPr="00BA16CB">
              <w:rPr>
                <w:rFonts w:ascii="Times New Roman" w:hAnsi="Times New Roman" w:cs="Times New Roman"/>
                <w:sz w:val="20"/>
                <w:szCs w:val="20"/>
              </w:rPr>
              <w:t>0</w:t>
            </w:r>
            <w:r w:rsidRPr="00BA16CB">
              <w:rPr>
                <w:rFonts w:ascii="Times New Roman" w:hAnsi="Times New Roman" w:cs="Times New Roman"/>
                <w:sz w:val="20"/>
                <w:szCs w:val="20"/>
              </w:rPr>
              <w:t>1</w:t>
            </w:r>
          </w:p>
        </w:tc>
      </w:tr>
      <w:tr w:rsidR="008B47DA" w:rsidRPr="00BD6226" w14:paraId="3F93CB03" w14:textId="77777777" w:rsidTr="007B1A56">
        <w:tc>
          <w:tcPr>
            <w:tcW w:w="579" w:type="dxa"/>
          </w:tcPr>
          <w:p w14:paraId="5B739549" w14:textId="77777777" w:rsidR="008B47DA" w:rsidRPr="00BA16CB" w:rsidRDefault="008B47DA" w:rsidP="002E776A">
            <w:pPr>
              <w:rPr>
                <w:rFonts w:ascii="Times New Roman" w:hAnsi="Times New Roman" w:cs="Times New Roman"/>
                <w:sz w:val="20"/>
                <w:szCs w:val="20"/>
              </w:rPr>
            </w:pPr>
          </w:p>
        </w:tc>
        <w:tc>
          <w:tcPr>
            <w:tcW w:w="2382" w:type="dxa"/>
            <w:gridSpan w:val="2"/>
          </w:tcPr>
          <w:p w14:paraId="7C32F89E" w14:textId="77777777" w:rsidR="008B47DA" w:rsidRPr="00BA16CB" w:rsidRDefault="008B47DA" w:rsidP="002E776A">
            <w:pPr>
              <w:rPr>
                <w:rFonts w:ascii="Times New Roman" w:hAnsi="Times New Roman" w:cs="Times New Roman"/>
                <w:sz w:val="20"/>
                <w:szCs w:val="20"/>
              </w:rPr>
            </w:pPr>
            <w:r w:rsidRPr="00BA16CB">
              <w:rPr>
                <w:rFonts w:ascii="Times New Roman" w:hAnsi="Times New Roman" w:cs="Times New Roman"/>
                <w:sz w:val="20"/>
                <w:szCs w:val="20"/>
              </w:rPr>
              <w:t xml:space="preserve">Anxiety </w:t>
            </w:r>
          </w:p>
        </w:tc>
        <w:tc>
          <w:tcPr>
            <w:tcW w:w="2247" w:type="dxa"/>
          </w:tcPr>
          <w:p w14:paraId="4A78C334"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4,513 (6.0)</w:t>
            </w:r>
          </w:p>
        </w:tc>
        <w:tc>
          <w:tcPr>
            <w:tcW w:w="2368" w:type="dxa"/>
          </w:tcPr>
          <w:p w14:paraId="15E57AD5"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2,479 (3.3)</w:t>
            </w:r>
          </w:p>
        </w:tc>
        <w:tc>
          <w:tcPr>
            <w:tcW w:w="1823" w:type="dxa"/>
          </w:tcPr>
          <w:p w14:paraId="1FA60829" w14:textId="7C2028BB"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i/>
                <w:sz w:val="20"/>
                <w:szCs w:val="20"/>
              </w:rPr>
              <w:t>p</w:t>
            </w:r>
            <w:r w:rsidRPr="00BA16CB">
              <w:rPr>
                <w:rFonts w:ascii="Times New Roman" w:hAnsi="Times New Roman" w:cs="Times New Roman"/>
                <w:sz w:val="20"/>
                <w:szCs w:val="20"/>
              </w:rPr>
              <w:t xml:space="preserve"> &lt; 0.001</w:t>
            </w:r>
          </w:p>
        </w:tc>
      </w:tr>
      <w:tr w:rsidR="008B47DA" w:rsidRPr="00BD6226" w14:paraId="42B5EDAB" w14:textId="77777777" w:rsidTr="007B1A56">
        <w:tc>
          <w:tcPr>
            <w:tcW w:w="2961" w:type="dxa"/>
            <w:gridSpan w:val="3"/>
          </w:tcPr>
          <w:p w14:paraId="23DFFBD2" w14:textId="77777777" w:rsidR="008B47DA" w:rsidRPr="00BA16CB" w:rsidRDefault="008B47DA" w:rsidP="002E776A">
            <w:pPr>
              <w:rPr>
                <w:rFonts w:ascii="Times New Roman" w:hAnsi="Times New Roman" w:cs="Times New Roman"/>
                <w:sz w:val="20"/>
                <w:szCs w:val="20"/>
              </w:rPr>
            </w:pPr>
            <w:r w:rsidRPr="00BA16CB">
              <w:rPr>
                <w:rFonts w:ascii="Times New Roman" w:hAnsi="Times New Roman" w:cs="Times New Roman"/>
                <w:sz w:val="20"/>
                <w:szCs w:val="20"/>
              </w:rPr>
              <w:t xml:space="preserve">Diabetes, </w:t>
            </w:r>
            <w:r w:rsidRPr="00BA16CB">
              <w:rPr>
                <w:rFonts w:ascii="Times New Roman" w:hAnsi="Times New Roman" w:cs="Times New Roman"/>
                <w:i/>
                <w:sz w:val="20"/>
                <w:szCs w:val="20"/>
              </w:rPr>
              <w:t>n</w:t>
            </w:r>
            <w:r w:rsidRPr="00BA16CB">
              <w:rPr>
                <w:rFonts w:ascii="Times New Roman" w:hAnsi="Times New Roman" w:cs="Times New Roman"/>
                <w:sz w:val="20"/>
                <w:szCs w:val="20"/>
              </w:rPr>
              <w:t xml:space="preserve"> (%)</w:t>
            </w:r>
          </w:p>
        </w:tc>
        <w:tc>
          <w:tcPr>
            <w:tcW w:w="2247" w:type="dxa"/>
          </w:tcPr>
          <w:p w14:paraId="62CC76F0"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4,780 (6.3)</w:t>
            </w:r>
          </w:p>
        </w:tc>
        <w:tc>
          <w:tcPr>
            <w:tcW w:w="2368" w:type="dxa"/>
          </w:tcPr>
          <w:p w14:paraId="58FBB23F"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3,668 (4.9)</w:t>
            </w:r>
          </w:p>
        </w:tc>
        <w:tc>
          <w:tcPr>
            <w:tcW w:w="1823" w:type="dxa"/>
          </w:tcPr>
          <w:p w14:paraId="4AF20BA7" w14:textId="78C7964D"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i/>
                <w:sz w:val="20"/>
                <w:szCs w:val="20"/>
              </w:rPr>
              <w:t>p</w:t>
            </w:r>
            <w:r w:rsidRPr="00BA16CB">
              <w:rPr>
                <w:rFonts w:ascii="Times New Roman" w:hAnsi="Times New Roman" w:cs="Times New Roman"/>
                <w:sz w:val="20"/>
                <w:szCs w:val="20"/>
              </w:rPr>
              <w:t xml:space="preserve"> &lt; 0.0</w:t>
            </w:r>
            <w:r w:rsidR="00D847E4" w:rsidRPr="00BA16CB">
              <w:rPr>
                <w:rFonts w:ascii="Times New Roman" w:hAnsi="Times New Roman" w:cs="Times New Roman"/>
                <w:sz w:val="20"/>
                <w:szCs w:val="20"/>
              </w:rPr>
              <w:t>0</w:t>
            </w:r>
            <w:r w:rsidRPr="00BA16CB">
              <w:rPr>
                <w:rFonts w:ascii="Times New Roman" w:hAnsi="Times New Roman" w:cs="Times New Roman"/>
                <w:sz w:val="20"/>
                <w:szCs w:val="20"/>
              </w:rPr>
              <w:t>1</w:t>
            </w:r>
          </w:p>
        </w:tc>
      </w:tr>
      <w:tr w:rsidR="008B47DA" w:rsidRPr="00BD6226" w14:paraId="0FBABDAD" w14:textId="77777777" w:rsidTr="007B1A56">
        <w:tc>
          <w:tcPr>
            <w:tcW w:w="2961" w:type="dxa"/>
            <w:gridSpan w:val="3"/>
          </w:tcPr>
          <w:p w14:paraId="586B9774" w14:textId="77777777" w:rsidR="008B47DA" w:rsidRPr="00BA16CB" w:rsidRDefault="008B47DA" w:rsidP="002E776A">
            <w:pPr>
              <w:rPr>
                <w:rFonts w:ascii="Times New Roman" w:hAnsi="Times New Roman" w:cs="Times New Roman"/>
                <w:sz w:val="20"/>
                <w:szCs w:val="20"/>
              </w:rPr>
            </w:pPr>
            <w:r w:rsidRPr="00BA16CB">
              <w:rPr>
                <w:rFonts w:ascii="Times New Roman" w:hAnsi="Times New Roman" w:cs="Times New Roman"/>
                <w:sz w:val="20"/>
                <w:szCs w:val="20"/>
              </w:rPr>
              <w:t xml:space="preserve">Non-specific chest pain, </w:t>
            </w:r>
            <w:r w:rsidRPr="00BA16CB">
              <w:rPr>
                <w:rFonts w:ascii="Times New Roman" w:hAnsi="Times New Roman" w:cs="Times New Roman"/>
                <w:i/>
                <w:sz w:val="20"/>
                <w:szCs w:val="20"/>
              </w:rPr>
              <w:t>n</w:t>
            </w:r>
            <w:r w:rsidRPr="00BA16CB">
              <w:rPr>
                <w:rFonts w:ascii="Times New Roman" w:hAnsi="Times New Roman" w:cs="Times New Roman"/>
                <w:sz w:val="20"/>
                <w:szCs w:val="20"/>
              </w:rPr>
              <w:t xml:space="preserve"> (%)</w:t>
            </w:r>
          </w:p>
        </w:tc>
        <w:tc>
          <w:tcPr>
            <w:tcW w:w="2247" w:type="dxa"/>
          </w:tcPr>
          <w:p w14:paraId="329E3148"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6,335 (8.4)</w:t>
            </w:r>
          </w:p>
        </w:tc>
        <w:tc>
          <w:tcPr>
            <w:tcW w:w="2368" w:type="dxa"/>
          </w:tcPr>
          <w:p w14:paraId="79D55F75"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2,343 (3.1)</w:t>
            </w:r>
          </w:p>
        </w:tc>
        <w:tc>
          <w:tcPr>
            <w:tcW w:w="1823" w:type="dxa"/>
          </w:tcPr>
          <w:p w14:paraId="09BC1693" w14:textId="1BDDF84B"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i/>
                <w:sz w:val="20"/>
                <w:szCs w:val="20"/>
              </w:rPr>
              <w:t>p</w:t>
            </w:r>
            <w:r w:rsidRPr="00BA16CB">
              <w:rPr>
                <w:rFonts w:ascii="Times New Roman" w:hAnsi="Times New Roman" w:cs="Times New Roman"/>
                <w:sz w:val="20"/>
                <w:szCs w:val="20"/>
              </w:rPr>
              <w:t xml:space="preserve"> &lt; 0.0</w:t>
            </w:r>
            <w:r w:rsidR="00D847E4" w:rsidRPr="00BA16CB">
              <w:rPr>
                <w:rFonts w:ascii="Times New Roman" w:hAnsi="Times New Roman" w:cs="Times New Roman"/>
                <w:sz w:val="20"/>
                <w:szCs w:val="20"/>
              </w:rPr>
              <w:t>0</w:t>
            </w:r>
            <w:r w:rsidRPr="00BA16CB">
              <w:rPr>
                <w:rFonts w:ascii="Times New Roman" w:hAnsi="Times New Roman" w:cs="Times New Roman"/>
                <w:sz w:val="20"/>
                <w:szCs w:val="20"/>
              </w:rPr>
              <w:t>1</w:t>
            </w:r>
          </w:p>
        </w:tc>
      </w:tr>
      <w:tr w:rsidR="008B47DA" w:rsidRPr="00BD6226" w14:paraId="707D1351" w14:textId="77777777" w:rsidTr="007B1A56">
        <w:tc>
          <w:tcPr>
            <w:tcW w:w="2961" w:type="dxa"/>
            <w:gridSpan w:val="3"/>
            <w:tcBorders>
              <w:bottom w:val="single" w:sz="4" w:space="0" w:color="auto"/>
            </w:tcBorders>
          </w:tcPr>
          <w:p w14:paraId="0A0B5923" w14:textId="77777777" w:rsidR="008B47DA" w:rsidRPr="00BA16CB" w:rsidRDefault="008B47DA" w:rsidP="002E776A">
            <w:pPr>
              <w:rPr>
                <w:rFonts w:ascii="Times New Roman" w:hAnsi="Times New Roman" w:cs="Times New Roman"/>
                <w:sz w:val="20"/>
                <w:szCs w:val="20"/>
              </w:rPr>
            </w:pPr>
            <w:r w:rsidRPr="00BA16CB">
              <w:rPr>
                <w:rFonts w:ascii="Times New Roman" w:hAnsi="Times New Roman" w:cs="Times New Roman"/>
                <w:sz w:val="20"/>
                <w:szCs w:val="20"/>
              </w:rPr>
              <w:t xml:space="preserve">Musculoskeletal pain, </w:t>
            </w:r>
            <w:r w:rsidRPr="00BA16CB">
              <w:rPr>
                <w:rFonts w:ascii="Times New Roman" w:hAnsi="Times New Roman" w:cs="Times New Roman"/>
                <w:i/>
                <w:sz w:val="20"/>
                <w:szCs w:val="20"/>
              </w:rPr>
              <w:t>n</w:t>
            </w:r>
            <w:r w:rsidRPr="00BA16CB">
              <w:rPr>
                <w:rFonts w:ascii="Times New Roman" w:hAnsi="Times New Roman" w:cs="Times New Roman"/>
                <w:sz w:val="20"/>
                <w:szCs w:val="20"/>
              </w:rPr>
              <w:t xml:space="preserve"> (%)</w:t>
            </w:r>
          </w:p>
        </w:tc>
        <w:tc>
          <w:tcPr>
            <w:tcW w:w="2247" w:type="dxa"/>
            <w:tcBorders>
              <w:bottom w:val="single" w:sz="4" w:space="0" w:color="auto"/>
            </w:tcBorders>
          </w:tcPr>
          <w:p w14:paraId="70674B89"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23,020 (30.4)</w:t>
            </w:r>
          </w:p>
        </w:tc>
        <w:tc>
          <w:tcPr>
            <w:tcW w:w="2368" w:type="dxa"/>
            <w:tcBorders>
              <w:bottom w:val="single" w:sz="4" w:space="0" w:color="auto"/>
            </w:tcBorders>
          </w:tcPr>
          <w:p w14:paraId="45C9ACF9" w14:textId="77777777"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sz w:val="20"/>
                <w:szCs w:val="20"/>
              </w:rPr>
              <w:t>15,795 (20.9)</w:t>
            </w:r>
          </w:p>
        </w:tc>
        <w:tc>
          <w:tcPr>
            <w:tcW w:w="1823" w:type="dxa"/>
            <w:tcBorders>
              <w:bottom w:val="single" w:sz="4" w:space="0" w:color="auto"/>
            </w:tcBorders>
          </w:tcPr>
          <w:p w14:paraId="64FD9D01" w14:textId="2D8B1383" w:rsidR="008B47DA" w:rsidRPr="00BA16CB" w:rsidRDefault="008B47DA" w:rsidP="002E776A">
            <w:pPr>
              <w:jc w:val="center"/>
              <w:rPr>
                <w:rFonts w:ascii="Times New Roman" w:hAnsi="Times New Roman" w:cs="Times New Roman"/>
                <w:sz w:val="20"/>
                <w:szCs w:val="20"/>
              </w:rPr>
            </w:pPr>
            <w:r w:rsidRPr="00BA16CB">
              <w:rPr>
                <w:rFonts w:ascii="Times New Roman" w:hAnsi="Times New Roman" w:cs="Times New Roman"/>
                <w:i/>
                <w:sz w:val="20"/>
                <w:szCs w:val="20"/>
              </w:rPr>
              <w:t>p</w:t>
            </w:r>
            <w:r w:rsidRPr="00BA16CB">
              <w:rPr>
                <w:rFonts w:ascii="Times New Roman" w:hAnsi="Times New Roman" w:cs="Times New Roman"/>
                <w:sz w:val="20"/>
                <w:szCs w:val="20"/>
              </w:rPr>
              <w:t xml:space="preserve"> &lt; 0.001</w:t>
            </w:r>
          </w:p>
        </w:tc>
      </w:tr>
    </w:tbl>
    <w:p w14:paraId="095AF01B" w14:textId="64118B62" w:rsidR="008B47DA" w:rsidRPr="00491669" w:rsidRDefault="004A6442" w:rsidP="004A6442">
      <w:pPr>
        <w:spacing w:after="0" w:line="259" w:lineRule="auto"/>
        <w:rPr>
          <w:rFonts w:ascii="Times New Roman" w:hAnsi="Times New Roman" w:cs="Times New Roman"/>
          <w:sz w:val="20"/>
          <w:szCs w:val="20"/>
        </w:rPr>
      </w:pPr>
      <w:r>
        <w:rPr>
          <w:rFonts w:ascii="Times New Roman" w:hAnsi="Times New Roman" w:cs="Times New Roman"/>
          <w:sz w:val="20"/>
          <w:szCs w:val="20"/>
        </w:rPr>
        <w:t>*</w:t>
      </w:r>
      <w:r w:rsidR="008B47DA" w:rsidRPr="00491669">
        <w:rPr>
          <w:rFonts w:ascii="Times New Roman" w:hAnsi="Times New Roman" w:cs="Times New Roman"/>
          <w:sz w:val="20"/>
          <w:szCs w:val="20"/>
        </w:rPr>
        <w:t xml:space="preserve">Including ankylosing spondylitis and psoriatic arthritis. </w:t>
      </w:r>
      <w:proofErr w:type="gramStart"/>
      <w:r w:rsidR="008B47DA" w:rsidRPr="00491669">
        <w:rPr>
          <w:rFonts w:ascii="Times New Roman" w:hAnsi="Times New Roman" w:cs="Times New Roman"/>
          <w:i/>
          <w:sz w:val="20"/>
          <w:szCs w:val="20"/>
        </w:rPr>
        <w:t>p</w:t>
      </w:r>
      <w:proofErr w:type="gramEnd"/>
      <w:r w:rsidR="008B47DA" w:rsidRPr="00491669">
        <w:rPr>
          <w:rFonts w:ascii="Times New Roman" w:hAnsi="Times New Roman" w:cs="Times New Roman"/>
          <w:sz w:val="20"/>
          <w:szCs w:val="20"/>
        </w:rPr>
        <w:t xml:space="preserve"> value obtained from Chi-square.</w:t>
      </w:r>
    </w:p>
    <w:p w14:paraId="6E0A6A3C" w14:textId="209A60FB" w:rsidR="008B47DA" w:rsidRDefault="008B47DA" w:rsidP="008B47DA">
      <w:pPr>
        <w:spacing w:after="160" w:line="240" w:lineRule="auto"/>
        <w:rPr>
          <w:rFonts w:ascii="Times New Roman" w:hAnsi="Times New Roman" w:cs="Times New Roman"/>
          <w:sz w:val="20"/>
          <w:szCs w:val="20"/>
        </w:rPr>
        <w:sectPr w:rsidR="008B47DA" w:rsidSect="008B47DA">
          <w:pgSz w:w="11906" w:h="16838"/>
          <w:pgMar w:top="1440" w:right="1440" w:bottom="1440" w:left="1440" w:header="709" w:footer="709" w:gutter="0"/>
          <w:cols w:space="708"/>
          <w:docGrid w:linePitch="360"/>
        </w:sectPr>
      </w:pPr>
    </w:p>
    <w:p w14:paraId="18D7B8C2" w14:textId="4546488E" w:rsidR="008B47DA" w:rsidRPr="0090121C" w:rsidRDefault="008B47DA" w:rsidP="004A6442">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Supplementary </w:t>
      </w:r>
      <w:r w:rsidRPr="0090121C">
        <w:rPr>
          <w:rFonts w:ascii="Times New Roman" w:hAnsi="Times New Roman" w:cs="Times New Roman"/>
          <w:b/>
          <w:sz w:val="20"/>
          <w:szCs w:val="20"/>
        </w:rPr>
        <w:t>Table 2 Incidence o</w:t>
      </w:r>
      <w:r>
        <w:rPr>
          <w:rFonts w:ascii="Times New Roman" w:hAnsi="Times New Roman" w:cs="Times New Roman"/>
          <w:b/>
          <w:sz w:val="20"/>
          <w:szCs w:val="20"/>
        </w:rPr>
        <w:t>f future diagnosis of COPD, asthma</w:t>
      </w:r>
      <w:r w:rsidRPr="0090121C">
        <w:rPr>
          <w:rFonts w:ascii="Times New Roman" w:hAnsi="Times New Roman" w:cs="Times New Roman"/>
          <w:b/>
          <w:sz w:val="20"/>
          <w:szCs w:val="20"/>
        </w:rPr>
        <w:t xml:space="preserve"> or </w:t>
      </w:r>
      <w:r w:rsidRPr="004A6442">
        <w:rPr>
          <w:rFonts w:ascii="Times New Roman" w:hAnsi="Times New Roman" w:cs="Times New Roman"/>
          <w:b/>
          <w:sz w:val="20"/>
          <w:szCs w:val="20"/>
        </w:rPr>
        <w:t>IHD</w:t>
      </w:r>
      <w:r w:rsidR="004A6442">
        <w:rPr>
          <w:rFonts w:ascii="Times New Roman" w:hAnsi="Times New Roman" w:cs="Times New Roman"/>
          <w:b/>
          <w:sz w:val="20"/>
          <w:szCs w:val="20"/>
        </w:rPr>
        <w:t>*</w:t>
      </w:r>
      <w:r w:rsidRPr="0090121C">
        <w:rPr>
          <w:rFonts w:ascii="Times New Roman" w:hAnsi="Times New Roman" w:cs="Times New Roman"/>
          <w:b/>
          <w:sz w:val="20"/>
          <w:szCs w:val="20"/>
        </w:rPr>
        <w:t xml:space="preserve"> in patients with a first coded record of breathlessness</w:t>
      </w:r>
      <w:r w:rsidR="00BA16CB">
        <w:rPr>
          <w:rFonts w:ascii="Times New Roman" w:hAnsi="Times New Roman" w:cs="Times New Roman"/>
          <w:b/>
          <w:sz w:val="20"/>
          <w:szCs w:val="20"/>
        </w:rPr>
        <w:t xml:space="preserve"> </w:t>
      </w:r>
      <w:r w:rsidRPr="0090121C">
        <w:rPr>
          <w:rFonts w:ascii="Times New Roman" w:hAnsi="Times New Roman" w:cs="Times New Roman"/>
          <w:b/>
          <w:sz w:val="20"/>
          <w:szCs w:val="20"/>
        </w:rPr>
        <w:t xml:space="preserve">symptom and in the matched participants </w:t>
      </w:r>
    </w:p>
    <w:tbl>
      <w:tblPr>
        <w:tblStyle w:val="TableGrid7"/>
        <w:tblW w:w="12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1408"/>
        <w:gridCol w:w="1457"/>
        <w:gridCol w:w="1415"/>
        <w:gridCol w:w="1231"/>
        <w:gridCol w:w="1461"/>
        <w:gridCol w:w="1415"/>
        <w:gridCol w:w="1151"/>
        <w:gridCol w:w="2179"/>
      </w:tblGrid>
      <w:tr w:rsidR="004A6442" w:rsidRPr="006F4FDE" w14:paraId="4F75446F" w14:textId="77777777" w:rsidTr="00911AF0">
        <w:tc>
          <w:tcPr>
            <w:tcW w:w="2540" w:type="dxa"/>
            <w:gridSpan w:val="2"/>
            <w:tcBorders>
              <w:top w:val="single" w:sz="4" w:space="0" w:color="auto"/>
            </w:tcBorders>
          </w:tcPr>
          <w:p w14:paraId="26D7AB71" w14:textId="77777777" w:rsidR="004A6442" w:rsidRPr="00911AF0" w:rsidRDefault="004A6442" w:rsidP="004A6442">
            <w:pPr>
              <w:jc w:val="center"/>
              <w:rPr>
                <w:rFonts w:ascii="Times New Roman" w:hAnsi="Times New Roman" w:cs="Times New Roman"/>
                <w:sz w:val="20"/>
                <w:szCs w:val="20"/>
              </w:rPr>
            </w:pPr>
          </w:p>
        </w:tc>
        <w:tc>
          <w:tcPr>
            <w:tcW w:w="4103" w:type="dxa"/>
            <w:gridSpan w:val="3"/>
            <w:tcBorders>
              <w:top w:val="single" w:sz="4" w:space="0" w:color="auto"/>
            </w:tcBorders>
          </w:tcPr>
          <w:p w14:paraId="3AD8DF89" w14:textId="345A4082"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Patients with a first coded record of breathlessness symptom</w:t>
            </w:r>
          </w:p>
          <w:p w14:paraId="2D0465EC"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i/>
                <w:sz w:val="20"/>
                <w:szCs w:val="20"/>
              </w:rPr>
              <w:t>n</w:t>
            </w:r>
            <w:r w:rsidRPr="00911AF0">
              <w:rPr>
                <w:rFonts w:ascii="Times New Roman" w:hAnsi="Times New Roman" w:cs="Times New Roman"/>
                <w:sz w:val="20"/>
                <w:szCs w:val="20"/>
              </w:rPr>
              <w:t>=75,698</w:t>
            </w:r>
          </w:p>
        </w:tc>
        <w:tc>
          <w:tcPr>
            <w:tcW w:w="4027" w:type="dxa"/>
            <w:gridSpan w:val="3"/>
            <w:tcBorders>
              <w:top w:val="single" w:sz="4" w:space="0" w:color="auto"/>
            </w:tcBorders>
          </w:tcPr>
          <w:p w14:paraId="1CC6D41F"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Matched participants</w:t>
            </w:r>
          </w:p>
          <w:p w14:paraId="12C46462"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i/>
                <w:sz w:val="20"/>
                <w:szCs w:val="20"/>
              </w:rPr>
              <w:t>n</w:t>
            </w:r>
            <w:r w:rsidRPr="00911AF0">
              <w:rPr>
                <w:rFonts w:ascii="Times New Roman" w:hAnsi="Times New Roman" w:cs="Times New Roman"/>
                <w:sz w:val="20"/>
                <w:szCs w:val="20"/>
              </w:rPr>
              <w:t>=75,698</w:t>
            </w:r>
          </w:p>
        </w:tc>
        <w:tc>
          <w:tcPr>
            <w:tcW w:w="2179" w:type="dxa"/>
            <w:tcBorders>
              <w:top w:val="single" w:sz="4" w:space="0" w:color="auto"/>
            </w:tcBorders>
          </w:tcPr>
          <w:p w14:paraId="38A5A7F9" w14:textId="77777777" w:rsidR="004A6442" w:rsidRPr="00911AF0" w:rsidRDefault="004A6442" w:rsidP="004A6442">
            <w:pPr>
              <w:jc w:val="center"/>
              <w:rPr>
                <w:rFonts w:ascii="Times New Roman" w:hAnsi="Times New Roman" w:cs="Times New Roman"/>
                <w:sz w:val="20"/>
                <w:szCs w:val="20"/>
              </w:rPr>
            </w:pPr>
            <w:proofErr w:type="gramStart"/>
            <w:r w:rsidRPr="00911AF0">
              <w:rPr>
                <w:rFonts w:ascii="Times New Roman" w:hAnsi="Times New Roman" w:cs="Times New Roman"/>
                <w:sz w:val="20"/>
                <w:szCs w:val="20"/>
              </w:rPr>
              <w:t>Patients</w:t>
            </w:r>
            <w:proofErr w:type="gramEnd"/>
            <w:r w:rsidRPr="00911AF0">
              <w:rPr>
                <w:rFonts w:ascii="Times New Roman" w:hAnsi="Times New Roman" w:cs="Times New Roman"/>
                <w:sz w:val="20"/>
                <w:szCs w:val="20"/>
              </w:rPr>
              <w:t xml:space="preserve"> vs. </w:t>
            </w:r>
          </w:p>
          <w:p w14:paraId="4629DFA3"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matched participants</w:t>
            </w:r>
          </w:p>
        </w:tc>
      </w:tr>
      <w:tr w:rsidR="004A6442" w:rsidRPr="006F4FDE" w14:paraId="1CE4F613" w14:textId="77777777" w:rsidTr="00911AF0">
        <w:tc>
          <w:tcPr>
            <w:tcW w:w="2540" w:type="dxa"/>
            <w:gridSpan w:val="2"/>
          </w:tcPr>
          <w:p w14:paraId="60CF3675"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Time period</w:t>
            </w:r>
          </w:p>
        </w:tc>
        <w:tc>
          <w:tcPr>
            <w:tcW w:w="1457" w:type="dxa"/>
          </w:tcPr>
          <w:p w14:paraId="08690212" w14:textId="05699BAA"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Number with diagnosis (%†)</w:t>
            </w:r>
          </w:p>
        </w:tc>
        <w:tc>
          <w:tcPr>
            <w:tcW w:w="1415" w:type="dxa"/>
          </w:tcPr>
          <w:p w14:paraId="3F811EAB"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Time at risk (person-years)</w:t>
            </w:r>
          </w:p>
        </w:tc>
        <w:tc>
          <w:tcPr>
            <w:tcW w:w="1231" w:type="dxa"/>
          </w:tcPr>
          <w:p w14:paraId="57824D74" w14:textId="3F857378"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Incidence</w:t>
            </w:r>
            <w:r w:rsidR="00911AF0" w:rsidRPr="00911AF0">
              <w:rPr>
                <w:rFonts w:ascii="Times New Roman" w:hAnsi="Times New Roman" w:cs="Times New Roman"/>
                <w:sz w:val="20"/>
                <w:szCs w:val="20"/>
              </w:rPr>
              <w:t>‡</w:t>
            </w:r>
            <w:r w:rsidRPr="00911AF0">
              <w:rPr>
                <w:rFonts w:ascii="Times New Roman" w:hAnsi="Times New Roman" w:cs="Times New Roman"/>
                <w:sz w:val="20"/>
                <w:szCs w:val="20"/>
              </w:rPr>
              <w:t xml:space="preserve"> </w:t>
            </w:r>
          </w:p>
        </w:tc>
        <w:tc>
          <w:tcPr>
            <w:tcW w:w="1461" w:type="dxa"/>
          </w:tcPr>
          <w:p w14:paraId="3CE231FC" w14:textId="7DAB8A99"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Number with diagnosis (%†)</w:t>
            </w:r>
          </w:p>
        </w:tc>
        <w:tc>
          <w:tcPr>
            <w:tcW w:w="1415" w:type="dxa"/>
          </w:tcPr>
          <w:p w14:paraId="4CA45807"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Time at risk (person-years)</w:t>
            </w:r>
          </w:p>
        </w:tc>
        <w:tc>
          <w:tcPr>
            <w:tcW w:w="1151" w:type="dxa"/>
          </w:tcPr>
          <w:p w14:paraId="57D1E952" w14:textId="38F0FEC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Incidence</w:t>
            </w:r>
            <w:r w:rsidR="00911AF0" w:rsidRPr="00911AF0">
              <w:rPr>
                <w:rFonts w:ascii="Times New Roman" w:hAnsi="Times New Roman" w:cs="Times New Roman"/>
                <w:sz w:val="20"/>
                <w:szCs w:val="20"/>
              </w:rPr>
              <w:t>‡</w:t>
            </w:r>
          </w:p>
        </w:tc>
        <w:tc>
          <w:tcPr>
            <w:tcW w:w="2179" w:type="dxa"/>
          </w:tcPr>
          <w:p w14:paraId="474EE11E" w14:textId="106AE10D"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Adjusted</w:t>
            </w:r>
            <w:r w:rsidR="00911AF0" w:rsidRPr="00911AF0">
              <w:rPr>
                <w:rFonts w:ascii="Times New Roman" w:hAnsi="Times New Roman" w:cs="Times New Roman"/>
                <w:sz w:val="20"/>
                <w:szCs w:val="20"/>
              </w:rPr>
              <w:t>§</w:t>
            </w:r>
            <w:r w:rsidRPr="00911AF0">
              <w:rPr>
                <w:rFonts w:ascii="Times New Roman" w:hAnsi="Times New Roman" w:cs="Times New Roman"/>
                <w:sz w:val="20"/>
                <w:szCs w:val="20"/>
              </w:rPr>
              <w:t xml:space="preserve"> hazard ratio </w:t>
            </w:r>
          </w:p>
          <w:p w14:paraId="381F1E94"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(95% CI)</w:t>
            </w:r>
          </w:p>
        </w:tc>
      </w:tr>
      <w:tr w:rsidR="004A6442" w:rsidRPr="006F4FDE" w14:paraId="207D42D4" w14:textId="77777777" w:rsidTr="00911AF0">
        <w:tc>
          <w:tcPr>
            <w:tcW w:w="2540" w:type="dxa"/>
            <w:gridSpan w:val="2"/>
            <w:tcBorders>
              <w:top w:val="single" w:sz="4" w:space="0" w:color="auto"/>
            </w:tcBorders>
          </w:tcPr>
          <w:p w14:paraId="7270F2D1" w14:textId="52858145" w:rsidR="004A6442" w:rsidRPr="00911AF0" w:rsidRDefault="004A6442" w:rsidP="004A6442">
            <w:pPr>
              <w:rPr>
                <w:rFonts w:ascii="Times New Roman" w:hAnsi="Times New Roman" w:cs="Times New Roman"/>
                <w:sz w:val="20"/>
                <w:szCs w:val="20"/>
              </w:rPr>
            </w:pPr>
            <w:r w:rsidRPr="00911AF0">
              <w:rPr>
                <w:rFonts w:ascii="Times New Roman" w:hAnsi="Times New Roman" w:cs="Times New Roman"/>
                <w:sz w:val="20"/>
                <w:szCs w:val="20"/>
              </w:rPr>
              <w:t>Diagnostic window (0-6m)</w:t>
            </w:r>
          </w:p>
        </w:tc>
        <w:tc>
          <w:tcPr>
            <w:tcW w:w="1457" w:type="dxa"/>
            <w:tcBorders>
              <w:top w:val="single" w:sz="4" w:space="0" w:color="auto"/>
            </w:tcBorders>
          </w:tcPr>
          <w:p w14:paraId="72204172" w14:textId="36E6165B"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11,150 (14.7)</w:t>
            </w:r>
          </w:p>
        </w:tc>
        <w:tc>
          <w:tcPr>
            <w:tcW w:w="1415" w:type="dxa"/>
            <w:tcBorders>
              <w:top w:val="single" w:sz="4" w:space="0" w:color="auto"/>
            </w:tcBorders>
          </w:tcPr>
          <w:p w14:paraId="5A7BA6A0" w14:textId="33F47594"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32,558.2</w:t>
            </w:r>
          </w:p>
        </w:tc>
        <w:tc>
          <w:tcPr>
            <w:tcW w:w="1231" w:type="dxa"/>
            <w:tcBorders>
              <w:top w:val="single" w:sz="4" w:space="0" w:color="auto"/>
            </w:tcBorders>
          </w:tcPr>
          <w:p w14:paraId="54B43DD6" w14:textId="444F8469"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3,424.6</w:t>
            </w:r>
          </w:p>
        </w:tc>
        <w:tc>
          <w:tcPr>
            <w:tcW w:w="1461" w:type="dxa"/>
            <w:tcBorders>
              <w:top w:val="single" w:sz="4" w:space="0" w:color="auto"/>
            </w:tcBorders>
          </w:tcPr>
          <w:p w14:paraId="21B5224C" w14:textId="39977B39"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474 (0.6)</w:t>
            </w:r>
          </w:p>
        </w:tc>
        <w:tc>
          <w:tcPr>
            <w:tcW w:w="1415" w:type="dxa"/>
            <w:tcBorders>
              <w:top w:val="single" w:sz="4" w:space="0" w:color="auto"/>
            </w:tcBorders>
          </w:tcPr>
          <w:p w14:paraId="3CF17222" w14:textId="035F13B3"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37,100.0</w:t>
            </w:r>
          </w:p>
        </w:tc>
        <w:tc>
          <w:tcPr>
            <w:tcW w:w="1151" w:type="dxa"/>
            <w:tcBorders>
              <w:top w:val="single" w:sz="4" w:space="0" w:color="auto"/>
            </w:tcBorders>
          </w:tcPr>
          <w:p w14:paraId="15B468DB" w14:textId="71837345"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127.8</w:t>
            </w:r>
          </w:p>
        </w:tc>
        <w:tc>
          <w:tcPr>
            <w:tcW w:w="2179" w:type="dxa"/>
            <w:tcBorders>
              <w:top w:val="single" w:sz="4" w:space="0" w:color="auto"/>
            </w:tcBorders>
          </w:tcPr>
          <w:p w14:paraId="128C03DF" w14:textId="614A9DD0"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w:t>
            </w:r>
          </w:p>
        </w:tc>
      </w:tr>
      <w:tr w:rsidR="004A6442" w:rsidRPr="006F4FDE" w14:paraId="118973A9" w14:textId="77777777" w:rsidTr="00911AF0">
        <w:tc>
          <w:tcPr>
            <w:tcW w:w="2540" w:type="dxa"/>
            <w:gridSpan w:val="2"/>
          </w:tcPr>
          <w:p w14:paraId="6BE69E0C" w14:textId="104CE456" w:rsidR="004A6442" w:rsidRPr="00911AF0" w:rsidRDefault="004A6442" w:rsidP="004A6442">
            <w:pPr>
              <w:rPr>
                <w:rFonts w:ascii="Times New Roman" w:hAnsi="Times New Roman" w:cs="Times New Roman"/>
                <w:sz w:val="20"/>
                <w:szCs w:val="20"/>
              </w:rPr>
            </w:pPr>
            <w:r w:rsidRPr="00911AF0">
              <w:rPr>
                <w:rFonts w:ascii="Times New Roman" w:hAnsi="Times New Roman" w:cs="Times New Roman"/>
                <w:sz w:val="20"/>
                <w:szCs w:val="20"/>
              </w:rPr>
              <w:t>Long term follow-up (&gt;6m)</w:t>
            </w:r>
          </w:p>
        </w:tc>
        <w:tc>
          <w:tcPr>
            <w:tcW w:w="1457" w:type="dxa"/>
          </w:tcPr>
          <w:p w14:paraId="094A3231" w14:textId="746D5AF8"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15,669 (20.7)</w:t>
            </w:r>
          </w:p>
        </w:tc>
        <w:tc>
          <w:tcPr>
            <w:tcW w:w="1415" w:type="dxa"/>
          </w:tcPr>
          <w:p w14:paraId="7E7430C7" w14:textId="2247CAD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345,585.7</w:t>
            </w:r>
          </w:p>
        </w:tc>
        <w:tc>
          <w:tcPr>
            <w:tcW w:w="1231" w:type="dxa"/>
          </w:tcPr>
          <w:p w14:paraId="4A803E39" w14:textId="373D5F91"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453.4</w:t>
            </w:r>
          </w:p>
        </w:tc>
        <w:tc>
          <w:tcPr>
            <w:tcW w:w="1461" w:type="dxa"/>
          </w:tcPr>
          <w:p w14:paraId="34DFFB55" w14:textId="4887FFC3"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7,440 (9.8)</w:t>
            </w:r>
          </w:p>
        </w:tc>
        <w:tc>
          <w:tcPr>
            <w:tcW w:w="1415" w:type="dxa"/>
          </w:tcPr>
          <w:p w14:paraId="0FB9B191" w14:textId="246BBDA0"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479,856.2</w:t>
            </w:r>
          </w:p>
        </w:tc>
        <w:tc>
          <w:tcPr>
            <w:tcW w:w="1151" w:type="dxa"/>
          </w:tcPr>
          <w:p w14:paraId="61DDB84D" w14:textId="5456582C"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155.0</w:t>
            </w:r>
          </w:p>
        </w:tc>
        <w:tc>
          <w:tcPr>
            <w:tcW w:w="2179" w:type="dxa"/>
          </w:tcPr>
          <w:p w14:paraId="66BD91A6" w14:textId="763AED7D"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w:t>
            </w:r>
          </w:p>
        </w:tc>
      </w:tr>
      <w:tr w:rsidR="004A6442" w:rsidRPr="006F4FDE" w14:paraId="6B46E086" w14:textId="77777777" w:rsidTr="00911AF0">
        <w:tc>
          <w:tcPr>
            <w:tcW w:w="1132" w:type="dxa"/>
          </w:tcPr>
          <w:p w14:paraId="30EFFE04" w14:textId="77777777" w:rsidR="004A6442" w:rsidRPr="00911AF0" w:rsidRDefault="004A6442" w:rsidP="004A6442">
            <w:pPr>
              <w:rPr>
                <w:rFonts w:ascii="Times New Roman" w:hAnsi="Times New Roman" w:cs="Times New Roman"/>
                <w:sz w:val="20"/>
                <w:szCs w:val="20"/>
              </w:rPr>
            </w:pPr>
          </w:p>
        </w:tc>
        <w:tc>
          <w:tcPr>
            <w:tcW w:w="1408" w:type="dxa"/>
          </w:tcPr>
          <w:p w14:paraId="01F09EC6" w14:textId="4937747F" w:rsidR="004A6442" w:rsidRPr="00911AF0" w:rsidRDefault="004A6442" w:rsidP="004A6442">
            <w:pPr>
              <w:rPr>
                <w:rFonts w:ascii="Times New Roman" w:hAnsi="Times New Roman" w:cs="Times New Roman"/>
                <w:sz w:val="20"/>
                <w:szCs w:val="20"/>
              </w:rPr>
            </w:pPr>
            <w:r w:rsidRPr="00911AF0">
              <w:rPr>
                <w:rFonts w:ascii="Times New Roman" w:hAnsi="Times New Roman" w:cs="Times New Roman"/>
                <w:sz w:val="20"/>
                <w:szCs w:val="20"/>
              </w:rPr>
              <w:t>6–12m</w:t>
            </w:r>
          </w:p>
        </w:tc>
        <w:tc>
          <w:tcPr>
            <w:tcW w:w="1457" w:type="dxa"/>
          </w:tcPr>
          <w:p w14:paraId="0707B1B4"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2,411 (3.2)</w:t>
            </w:r>
          </w:p>
        </w:tc>
        <w:tc>
          <w:tcPr>
            <w:tcW w:w="1415" w:type="dxa"/>
          </w:tcPr>
          <w:p w14:paraId="4D38FA78"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29,367.1</w:t>
            </w:r>
          </w:p>
        </w:tc>
        <w:tc>
          <w:tcPr>
            <w:tcW w:w="1231" w:type="dxa"/>
          </w:tcPr>
          <w:p w14:paraId="1DEDA148"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821.0</w:t>
            </w:r>
          </w:p>
        </w:tc>
        <w:tc>
          <w:tcPr>
            <w:tcW w:w="1461" w:type="dxa"/>
          </w:tcPr>
          <w:p w14:paraId="40510D97"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532 (0.7)</w:t>
            </w:r>
          </w:p>
        </w:tc>
        <w:tc>
          <w:tcPr>
            <w:tcW w:w="1415" w:type="dxa"/>
          </w:tcPr>
          <w:p w14:paraId="008329CF"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35,971.7</w:t>
            </w:r>
          </w:p>
        </w:tc>
        <w:tc>
          <w:tcPr>
            <w:tcW w:w="1151" w:type="dxa"/>
          </w:tcPr>
          <w:p w14:paraId="42E79668"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147.9</w:t>
            </w:r>
          </w:p>
        </w:tc>
        <w:tc>
          <w:tcPr>
            <w:tcW w:w="2179" w:type="dxa"/>
          </w:tcPr>
          <w:p w14:paraId="197CFEC7"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5.1 (4.7, 5.7)</w:t>
            </w:r>
          </w:p>
        </w:tc>
      </w:tr>
      <w:tr w:rsidR="004A6442" w:rsidRPr="006F4FDE" w14:paraId="1CC25F57" w14:textId="77777777" w:rsidTr="00911AF0">
        <w:tc>
          <w:tcPr>
            <w:tcW w:w="1132" w:type="dxa"/>
          </w:tcPr>
          <w:p w14:paraId="1920526B" w14:textId="77777777" w:rsidR="004A6442" w:rsidRPr="00911AF0" w:rsidRDefault="004A6442" w:rsidP="004A6442">
            <w:pPr>
              <w:rPr>
                <w:rFonts w:ascii="Times New Roman" w:hAnsi="Times New Roman" w:cs="Times New Roman"/>
                <w:sz w:val="20"/>
                <w:szCs w:val="20"/>
              </w:rPr>
            </w:pPr>
          </w:p>
        </w:tc>
        <w:tc>
          <w:tcPr>
            <w:tcW w:w="1408" w:type="dxa"/>
          </w:tcPr>
          <w:p w14:paraId="08068F58" w14:textId="2D12BA32" w:rsidR="004A6442" w:rsidRPr="00911AF0" w:rsidRDefault="004A6442" w:rsidP="004A6442">
            <w:pPr>
              <w:rPr>
                <w:rFonts w:ascii="Times New Roman" w:hAnsi="Times New Roman" w:cs="Times New Roman"/>
                <w:sz w:val="20"/>
                <w:szCs w:val="20"/>
              </w:rPr>
            </w:pPr>
            <w:r w:rsidRPr="00911AF0">
              <w:rPr>
                <w:rFonts w:ascii="Times New Roman" w:hAnsi="Times New Roman" w:cs="Times New Roman"/>
                <w:sz w:val="20"/>
                <w:szCs w:val="20"/>
              </w:rPr>
              <w:t>12–36m</w:t>
            </w:r>
          </w:p>
        </w:tc>
        <w:tc>
          <w:tcPr>
            <w:tcW w:w="1457" w:type="dxa"/>
          </w:tcPr>
          <w:p w14:paraId="7EB5C67B"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5,212 (6.9)</w:t>
            </w:r>
          </w:p>
        </w:tc>
        <w:tc>
          <w:tcPr>
            <w:tcW w:w="1415" w:type="dxa"/>
          </w:tcPr>
          <w:p w14:paraId="1E8C60A2"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100,528.8</w:t>
            </w:r>
          </w:p>
        </w:tc>
        <w:tc>
          <w:tcPr>
            <w:tcW w:w="1231" w:type="dxa"/>
          </w:tcPr>
          <w:p w14:paraId="0A63FBC0"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518.5</w:t>
            </w:r>
          </w:p>
        </w:tc>
        <w:tc>
          <w:tcPr>
            <w:tcW w:w="1461" w:type="dxa"/>
          </w:tcPr>
          <w:p w14:paraId="38BDA082"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1,959 (2.6)</w:t>
            </w:r>
          </w:p>
        </w:tc>
        <w:tc>
          <w:tcPr>
            <w:tcW w:w="1415" w:type="dxa"/>
          </w:tcPr>
          <w:p w14:paraId="5DC37810"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130,733.8</w:t>
            </w:r>
          </w:p>
        </w:tc>
        <w:tc>
          <w:tcPr>
            <w:tcW w:w="1151" w:type="dxa"/>
          </w:tcPr>
          <w:p w14:paraId="2EE1D9AD"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149.8</w:t>
            </w:r>
          </w:p>
        </w:tc>
        <w:tc>
          <w:tcPr>
            <w:tcW w:w="2179" w:type="dxa"/>
          </w:tcPr>
          <w:p w14:paraId="2B63550B"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3.2 (3.0, 3.3)</w:t>
            </w:r>
          </w:p>
        </w:tc>
      </w:tr>
      <w:tr w:rsidR="004A6442" w:rsidRPr="006F4FDE" w14:paraId="4631F9EF" w14:textId="77777777" w:rsidTr="00911AF0">
        <w:tc>
          <w:tcPr>
            <w:tcW w:w="1132" w:type="dxa"/>
            <w:tcBorders>
              <w:bottom w:val="single" w:sz="4" w:space="0" w:color="auto"/>
            </w:tcBorders>
          </w:tcPr>
          <w:p w14:paraId="67D04600" w14:textId="77777777" w:rsidR="004A6442" w:rsidRPr="00911AF0" w:rsidRDefault="004A6442" w:rsidP="004A6442">
            <w:pPr>
              <w:rPr>
                <w:rFonts w:ascii="Times New Roman" w:hAnsi="Times New Roman" w:cs="Times New Roman"/>
                <w:sz w:val="20"/>
                <w:szCs w:val="20"/>
              </w:rPr>
            </w:pPr>
          </w:p>
        </w:tc>
        <w:tc>
          <w:tcPr>
            <w:tcW w:w="1408" w:type="dxa"/>
            <w:tcBorders>
              <w:bottom w:val="single" w:sz="4" w:space="0" w:color="auto"/>
            </w:tcBorders>
          </w:tcPr>
          <w:p w14:paraId="3C1A4D16" w14:textId="77777777" w:rsidR="004A6442" w:rsidRPr="00911AF0" w:rsidRDefault="004A6442" w:rsidP="004A6442">
            <w:pPr>
              <w:rPr>
                <w:rFonts w:ascii="Times New Roman" w:hAnsi="Times New Roman" w:cs="Times New Roman"/>
                <w:sz w:val="20"/>
                <w:szCs w:val="20"/>
              </w:rPr>
            </w:pPr>
            <w:r w:rsidRPr="00911AF0">
              <w:rPr>
                <w:rFonts w:ascii="Times New Roman" w:hAnsi="Times New Roman" w:cs="Times New Roman"/>
                <w:sz w:val="20"/>
                <w:szCs w:val="20"/>
              </w:rPr>
              <w:t>&gt;36m</w:t>
            </w:r>
          </w:p>
        </w:tc>
        <w:tc>
          <w:tcPr>
            <w:tcW w:w="1457" w:type="dxa"/>
            <w:tcBorders>
              <w:bottom w:val="single" w:sz="4" w:space="0" w:color="auto"/>
            </w:tcBorders>
          </w:tcPr>
          <w:p w14:paraId="580C0BB9"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8,046 (10.6)</w:t>
            </w:r>
          </w:p>
        </w:tc>
        <w:tc>
          <w:tcPr>
            <w:tcW w:w="1415" w:type="dxa"/>
            <w:tcBorders>
              <w:bottom w:val="single" w:sz="4" w:space="0" w:color="auto"/>
            </w:tcBorders>
          </w:tcPr>
          <w:p w14:paraId="612AA407"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215,689.8</w:t>
            </w:r>
          </w:p>
        </w:tc>
        <w:tc>
          <w:tcPr>
            <w:tcW w:w="1231" w:type="dxa"/>
            <w:tcBorders>
              <w:bottom w:val="single" w:sz="4" w:space="0" w:color="auto"/>
            </w:tcBorders>
          </w:tcPr>
          <w:p w14:paraId="3BE388FE"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373.0</w:t>
            </w:r>
          </w:p>
        </w:tc>
        <w:tc>
          <w:tcPr>
            <w:tcW w:w="1461" w:type="dxa"/>
            <w:tcBorders>
              <w:bottom w:val="single" w:sz="4" w:space="0" w:color="auto"/>
            </w:tcBorders>
          </w:tcPr>
          <w:p w14:paraId="230B5A0F"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4,949 (6.5)</w:t>
            </w:r>
          </w:p>
        </w:tc>
        <w:tc>
          <w:tcPr>
            <w:tcW w:w="1415" w:type="dxa"/>
            <w:tcBorders>
              <w:bottom w:val="single" w:sz="4" w:space="0" w:color="auto"/>
            </w:tcBorders>
          </w:tcPr>
          <w:p w14:paraId="058AA681"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313,150.7</w:t>
            </w:r>
          </w:p>
        </w:tc>
        <w:tc>
          <w:tcPr>
            <w:tcW w:w="1151" w:type="dxa"/>
            <w:tcBorders>
              <w:bottom w:val="single" w:sz="4" w:space="0" w:color="auto"/>
            </w:tcBorders>
          </w:tcPr>
          <w:p w14:paraId="3322470E"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158.0</w:t>
            </w:r>
          </w:p>
        </w:tc>
        <w:tc>
          <w:tcPr>
            <w:tcW w:w="2179" w:type="dxa"/>
            <w:tcBorders>
              <w:bottom w:val="single" w:sz="4" w:space="0" w:color="auto"/>
            </w:tcBorders>
          </w:tcPr>
          <w:p w14:paraId="1355307D" w14:textId="77777777" w:rsidR="004A6442" w:rsidRPr="00911AF0" w:rsidRDefault="004A6442" w:rsidP="004A6442">
            <w:pPr>
              <w:jc w:val="center"/>
              <w:rPr>
                <w:rFonts w:ascii="Times New Roman" w:hAnsi="Times New Roman" w:cs="Times New Roman"/>
                <w:sz w:val="20"/>
                <w:szCs w:val="20"/>
              </w:rPr>
            </w:pPr>
            <w:r w:rsidRPr="00911AF0">
              <w:rPr>
                <w:rFonts w:ascii="Times New Roman" w:hAnsi="Times New Roman" w:cs="Times New Roman"/>
                <w:sz w:val="20"/>
                <w:szCs w:val="20"/>
              </w:rPr>
              <w:t>2.2 (2.1, 2.3)</w:t>
            </w:r>
          </w:p>
        </w:tc>
      </w:tr>
    </w:tbl>
    <w:p w14:paraId="064E2D74" w14:textId="788A7111" w:rsidR="008B47DA" w:rsidRDefault="004A6442" w:rsidP="004A6442">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8B47DA">
        <w:rPr>
          <w:rFonts w:ascii="Times New Roman" w:hAnsi="Times New Roman" w:cs="Times New Roman"/>
          <w:sz w:val="20"/>
          <w:szCs w:val="20"/>
        </w:rPr>
        <w:t>F</w:t>
      </w:r>
      <w:r w:rsidR="008B47DA" w:rsidRPr="0090121C">
        <w:rPr>
          <w:rFonts w:ascii="Times New Roman" w:hAnsi="Times New Roman" w:cs="Times New Roman"/>
          <w:sz w:val="20"/>
          <w:szCs w:val="20"/>
        </w:rPr>
        <w:t>irst diagnosed condition if multiple conditions occurred.</w:t>
      </w:r>
      <w:r w:rsidR="00911AF0">
        <w:rPr>
          <w:rFonts w:ascii="Times New Roman" w:hAnsi="Times New Roman" w:cs="Times New Roman"/>
          <w:sz w:val="20"/>
          <w:szCs w:val="20"/>
        </w:rPr>
        <w:t xml:space="preserve"> †</w:t>
      </w:r>
      <w:r w:rsidR="008B47DA" w:rsidRPr="0090121C">
        <w:rPr>
          <w:rFonts w:ascii="Times New Roman" w:hAnsi="Times New Roman" w:cs="Times New Roman"/>
          <w:sz w:val="20"/>
          <w:szCs w:val="20"/>
        </w:rPr>
        <w:t>Percentage in the total number of patients with a first coded record of breathlessness symptom; or in the total number of the matched participants.</w:t>
      </w:r>
      <w:r w:rsidR="00911AF0">
        <w:rPr>
          <w:rFonts w:ascii="Times New Roman" w:hAnsi="Times New Roman" w:cs="Times New Roman"/>
          <w:sz w:val="20"/>
          <w:szCs w:val="20"/>
        </w:rPr>
        <w:t xml:space="preserve"> ‡</w:t>
      </w:r>
      <w:r w:rsidR="008B47DA">
        <w:rPr>
          <w:rFonts w:ascii="Times New Roman" w:hAnsi="Times New Roman" w:cs="Times New Roman"/>
          <w:sz w:val="20"/>
          <w:szCs w:val="20"/>
        </w:rPr>
        <w:t>P</w:t>
      </w:r>
      <w:r w:rsidR="008B47DA" w:rsidRPr="0090121C">
        <w:rPr>
          <w:rFonts w:ascii="Times New Roman" w:hAnsi="Times New Roman" w:cs="Times New Roman"/>
          <w:sz w:val="20"/>
          <w:szCs w:val="20"/>
        </w:rPr>
        <w:t xml:space="preserve">er 10,000 person-years. </w:t>
      </w:r>
      <w:r w:rsidR="00911AF0">
        <w:rPr>
          <w:rFonts w:ascii="Times New Roman" w:hAnsi="Times New Roman" w:cs="Times New Roman"/>
          <w:sz w:val="20"/>
          <w:szCs w:val="20"/>
        </w:rPr>
        <w:t>§</w:t>
      </w:r>
      <w:r w:rsidR="008B47DA" w:rsidRPr="0090121C">
        <w:rPr>
          <w:rFonts w:ascii="Times New Roman" w:hAnsi="Times New Roman" w:cs="Times New Roman"/>
          <w:sz w:val="20"/>
          <w:szCs w:val="20"/>
        </w:rPr>
        <w:t>Adjusted hazard ratio, adjusted for index year, age, gender, region, ever smoking, ever alcohol drinking, BMI,</w:t>
      </w:r>
      <w:r w:rsidR="008B47DA">
        <w:rPr>
          <w:rFonts w:ascii="Times New Roman" w:hAnsi="Times New Roman" w:cs="Times New Roman"/>
          <w:sz w:val="20"/>
          <w:szCs w:val="20"/>
        </w:rPr>
        <w:t xml:space="preserve"> deprivation level, comorbidity</w:t>
      </w:r>
      <w:r w:rsidR="008B47DA" w:rsidRPr="0090121C">
        <w:rPr>
          <w:rFonts w:ascii="Times New Roman" w:hAnsi="Times New Roman" w:cs="Times New Roman"/>
          <w:sz w:val="20"/>
          <w:szCs w:val="20"/>
        </w:rPr>
        <w:t>, cough and sputum, inflammatory conditions, depression and anxiety, diabetes, non-specific chest pain, musculoskeletal pain.</w:t>
      </w:r>
    </w:p>
    <w:p w14:paraId="088D9223" w14:textId="3A2C0D6D" w:rsidR="008B47DA" w:rsidRDefault="008B47DA" w:rsidP="008B47DA">
      <w:pPr>
        <w:spacing w:after="160" w:line="240" w:lineRule="auto"/>
        <w:rPr>
          <w:rFonts w:ascii="Times New Roman" w:hAnsi="Times New Roman" w:cs="Times New Roman"/>
          <w:sz w:val="20"/>
          <w:szCs w:val="20"/>
        </w:rPr>
      </w:pPr>
    </w:p>
    <w:p w14:paraId="003276A3" w14:textId="77777777" w:rsidR="008B47DA" w:rsidRDefault="008B47DA" w:rsidP="008B47DA">
      <w:pPr>
        <w:spacing w:after="160" w:line="240" w:lineRule="auto"/>
        <w:rPr>
          <w:rFonts w:ascii="Times New Roman" w:hAnsi="Times New Roman" w:cs="Times New Roman"/>
          <w:sz w:val="20"/>
          <w:szCs w:val="20"/>
        </w:rPr>
      </w:pPr>
    </w:p>
    <w:p w14:paraId="2AFE073C" w14:textId="77777777" w:rsidR="008B47DA" w:rsidRDefault="008B47DA" w:rsidP="008B47DA">
      <w:pPr>
        <w:spacing w:after="160" w:line="240" w:lineRule="auto"/>
        <w:rPr>
          <w:rFonts w:ascii="Times New Roman" w:hAnsi="Times New Roman" w:cs="Times New Roman"/>
          <w:sz w:val="20"/>
          <w:szCs w:val="20"/>
        </w:rPr>
      </w:pPr>
    </w:p>
    <w:p w14:paraId="6E684F3A" w14:textId="77777777" w:rsidR="008B47DA" w:rsidRDefault="008B47DA" w:rsidP="008B47DA">
      <w:pPr>
        <w:spacing w:after="160" w:line="240" w:lineRule="auto"/>
        <w:rPr>
          <w:rFonts w:ascii="Times New Roman" w:hAnsi="Times New Roman" w:cs="Times New Roman"/>
          <w:sz w:val="20"/>
          <w:szCs w:val="20"/>
        </w:rPr>
      </w:pPr>
    </w:p>
    <w:p w14:paraId="32B468C5" w14:textId="77777777" w:rsidR="008B47DA" w:rsidRDefault="008B47DA" w:rsidP="008B47DA">
      <w:pPr>
        <w:spacing w:after="160" w:line="240" w:lineRule="auto"/>
        <w:rPr>
          <w:rFonts w:ascii="Times New Roman" w:hAnsi="Times New Roman" w:cs="Times New Roman"/>
          <w:sz w:val="20"/>
          <w:szCs w:val="20"/>
        </w:rPr>
      </w:pPr>
    </w:p>
    <w:p w14:paraId="4E241B6B" w14:textId="77777777" w:rsidR="008B47DA" w:rsidRDefault="008B47DA" w:rsidP="008B47DA">
      <w:pPr>
        <w:spacing w:after="160" w:line="240" w:lineRule="auto"/>
        <w:rPr>
          <w:rFonts w:ascii="Times New Roman" w:hAnsi="Times New Roman" w:cs="Times New Roman"/>
          <w:sz w:val="20"/>
          <w:szCs w:val="20"/>
        </w:rPr>
      </w:pPr>
    </w:p>
    <w:p w14:paraId="5A3CA725" w14:textId="77777777" w:rsidR="008B47DA" w:rsidRDefault="008B47DA" w:rsidP="008B47DA">
      <w:pPr>
        <w:spacing w:after="160" w:line="240" w:lineRule="auto"/>
        <w:rPr>
          <w:rFonts w:ascii="Times New Roman" w:hAnsi="Times New Roman" w:cs="Times New Roman"/>
          <w:sz w:val="20"/>
          <w:szCs w:val="20"/>
        </w:rPr>
      </w:pPr>
    </w:p>
    <w:p w14:paraId="63E51706" w14:textId="3F9316C0" w:rsidR="008B47DA" w:rsidRDefault="008B47DA" w:rsidP="008B47DA">
      <w:pPr>
        <w:spacing w:after="160" w:line="240" w:lineRule="auto"/>
        <w:rPr>
          <w:rFonts w:ascii="Times New Roman" w:hAnsi="Times New Roman" w:cs="Times New Roman"/>
          <w:sz w:val="20"/>
          <w:szCs w:val="20"/>
        </w:rPr>
      </w:pPr>
    </w:p>
    <w:p w14:paraId="08DCA157" w14:textId="38926110" w:rsidR="004A6442" w:rsidRDefault="004A6442" w:rsidP="008B47DA">
      <w:pPr>
        <w:spacing w:after="160" w:line="240" w:lineRule="auto"/>
        <w:rPr>
          <w:rFonts w:ascii="Times New Roman" w:hAnsi="Times New Roman" w:cs="Times New Roman"/>
          <w:sz w:val="20"/>
          <w:szCs w:val="20"/>
        </w:rPr>
      </w:pPr>
    </w:p>
    <w:p w14:paraId="62A285F1" w14:textId="2D064170" w:rsidR="004A6442" w:rsidRDefault="004A6442" w:rsidP="008B47DA">
      <w:pPr>
        <w:spacing w:after="160" w:line="240" w:lineRule="auto"/>
        <w:rPr>
          <w:rFonts w:ascii="Times New Roman" w:hAnsi="Times New Roman" w:cs="Times New Roman"/>
          <w:sz w:val="20"/>
          <w:szCs w:val="20"/>
        </w:rPr>
      </w:pPr>
    </w:p>
    <w:p w14:paraId="640934E3" w14:textId="64678210" w:rsidR="004A6442" w:rsidRDefault="004A6442" w:rsidP="008B47DA">
      <w:pPr>
        <w:spacing w:after="160" w:line="240" w:lineRule="auto"/>
        <w:rPr>
          <w:rFonts w:ascii="Times New Roman" w:hAnsi="Times New Roman" w:cs="Times New Roman"/>
          <w:sz w:val="20"/>
          <w:szCs w:val="20"/>
        </w:rPr>
      </w:pPr>
    </w:p>
    <w:p w14:paraId="71F5790D" w14:textId="396CC22D" w:rsidR="00911AF0" w:rsidRDefault="00911AF0" w:rsidP="008B47DA">
      <w:pPr>
        <w:spacing w:after="160" w:line="240" w:lineRule="auto"/>
        <w:rPr>
          <w:rFonts w:ascii="Times New Roman" w:hAnsi="Times New Roman" w:cs="Times New Roman"/>
          <w:sz w:val="20"/>
          <w:szCs w:val="20"/>
        </w:rPr>
      </w:pPr>
    </w:p>
    <w:p w14:paraId="1C620B72" w14:textId="77777777" w:rsidR="00911AF0" w:rsidRDefault="00911AF0" w:rsidP="008B47DA">
      <w:pPr>
        <w:spacing w:after="160" w:line="240" w:lineRule="auto"/>
        <w:rPr>
          <w:rFonts w:ascii="Times New Roman" w:hAnsi="Times New Roman" w:cs="Times New Roman"/>
          <w:sz w:val="20"/>
          <w:szCs w:val="20"/>
        </w:rPr>
      </w:pPr>
    </w:p>
    <w:p w14:paraId="7611F8CB" w14:textId="77777777" w:rsidR="006B7992" w:rsidRDefault="006B7992" w:rsidP="00911AF0">
      <w:pPr>
        <w:spacing w:after="0" w:line="240" w:lineRule="auto"/>
        <w:rPr>
          <w:rFonts w:ascii="Times New Roman" w:hAnsi="Times New Roman" w:cs="Times New Roman"/>
          <w:sz w:val="20"/>
          <w:szCs w:val="20"/>
        </w:rPr>
      </w:pPr>
    </w:p>
    <w:p w14:paraId="3AED20AB" w14:textId="37E28751" w:rsidR="008B47DA" w:rsidRPr="00A60693" w:rsidRDefault="008B47DA" w:rsidP="00911AF0">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Supplementary Table 3 </w:t>
      </w:r>
      <w:r w:rsidRPr="0090121C">
        <w:rPr>
          <w:rFonts w:ascii="Times New Roman" w:hAnsi="Times New Roman" w:cs="Times New Roman"/>
          <w:b/>
          <w:sz w:val="20"/>
          <w:szCs w:val="20"/>
        </w:rPr>
        <w:t>Incidence o</w:t>
      </w:r>
      <w:r>
        <w:rPr>
          <w:rFonts w:ascii="Times New Roman" w:hAnsi="Times New Roman" w:cs="Times New Roman"/>
          <w:b/>
          <w:sz w:val="20"/>
          <w:szCs w:val="20"/>
        </w:rPr>
        <w:t>f future diagnosis of COPD, asthma</w:t>
      </w:r>
      <w:r w:rsidRPr="0090121C">
        <w:rPr>
          <w:rFonts w:ascii="Times New Roman" w:hAnsi="Times New Roman" w:cs="Times New Roman"/>
          <w:b/>
          <w:sz w:val="20"/>
          <w:szCs w:val="20"/>
        </w:rPr>
        <w:t xml:space="preserve"> or </w:t>
      </w:r>
      <w:r w:rsidRPr="00911AF0">
        <w:rPr>
          <w:rFonts w:ascii="Times New Roman" w:hAnsi="Times New Roman" w:cs="Times New Roman"/>
          <w:b/>
          <w:sz w:val="20"/>
          <w:szCs w:val="20"/>
        </w:rPr>
        <w:t>IHD</w:t>
      </w:r>
      <w:r w:rsidR="00911AF0">
        <w:rPr>
          <w:rFonts w:ascii="Times New Roman" w:hAnsi="Times New Roman" w:cs="Times New Roman"/>
          <w:b/>
          <w:sz w:val="20"/>
          <w:szCs w:val="20"/>
        </w:rPr>
        <w:t>*</w:t>
      </w:r>
      <w:r w:rsidRPr="0090121C">
        <w:rPr>
          <w:rFonts w:ascii="Times New Roman" w:hAnsi="Times New Roman" w:cs="Times New Roman"/>
          <w:b/>
          <w:sz w:val="20"/>
          <w:szCs w:val="20"/>
        </w:rPr>
        <w:t xml:space="preserve"> in patients with a first coded record of breathlessness symptom and in the matched participants</w:t>
      </w:r>
      <w:r>
        <w:rPr>
          <w:rFonts w:ascii="Times New Roman" w:hAnsi="Times New Roman" w:cs="Times New Roman"/>
          <w:b/>
          <w:sz w:val="20"/>
          <w:szCs w:val="20"/>
        </w:rPr>
        <w:t>, stratified by smoking status</w:t>
      </w:r>
    </w:p>
    <w:tbl>
      <w:tblPr>
        <w:tblStyle w:val="TableGrid7"/>
        <w:tblW w:w="12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436"/>
        <w:gridCol w:w="1459"/>
        <w:gridCol w:w="1417"/>
        <w:gridCol w:w="1231"/>
        <w:gridCol w:w="1463"/>
        <w:gridCol w:w="1417"/>
        <w:gridCol w:w="1134"/>
        <w:gridCol w:w="2144"/>
      </w:tblGrid>
      <w:tr w:rsidR="00911AF0" w:rsidRPr="006F4FDE" w14:paraId="6F348FA3" w14:textId="77777777" w:rsidTr="006B7992">
        <w:tc>
          <w:tcPr>
            <w:tcW w:w="2571" w:type="dxa"/>
            <w:gridSpan w:val="2"/>
            <w:tcBorders>
              <w:top w:val="single" w:sz="4" w:space="0" w:color="auto"/>
            </w:tcBorders>
          </w:tcPr>
          <w:p w14:paraId="360B1491" w14:textId="77777777" w:rsidR="00911AF0" w:rsidRPr="00911AF0" w:rsidRDefault="00911AF0" w:rsidP="00911AF0">
            <w:pPr>
              <w:jc w:val="center"/>
              <w:rPr>
                <w:rFonts w:ascii="Times New Roman" w:hAnsi="Times New Roman" w:cs="Times New Roman"/>
                <w:sz w:val="20"/>
                <w:szCs w:val="20"/>
              </w:rPr>
            </w:pPr>
          </w:p>
        </w:tc>
        <w:tc>
          <w:tcPr>
            <w:tcW w:w="4107" w:type="dxa"/>
            <w:gridSpan w:val="3"/>
            <w:tcBorders>
              <w:top w:val="single" w:sz="4" w:space="0" w:color="auto"/>
            </w:tcBorders>
          </w:tcPr>
          <w:p w14:paraId="6220CD59" w14:textId="7FFDCD59" w:rsidR="00911AF0" w:rsidRPr="00911AF0" w:rsidRDefault="00911AF0" w:rsidP="00911AF0">
            <w:pPr>
              <w:jc w:val="center"/>
              <w:rPr>
                <w:rFonts w:ascii="Times New Roman" w:hAnsi="Times New Roman" w:cs="Times New Roman"/>
                <w:sz w:val="20"/>
                <w:szCs w:val="20"/>
              </w:rPr>
            </w:pPr>
            <w:r w:rsidRPr="00911AF0">
              <w:rPr>
                <w:rFonts w:ascii="Times New Roman" w:hAnsi="Times New Roman" w:cs="Times New Roman"/>
                <w:sz w:val="20"/>
                <w:szCs w:val="20"/>
              </w:rPr>
              <w:t>Patients with a first coded record of breathlessness symptom</w:t>
            </w:r>
          </w:p>
          <w:p w14:paraId="1F72C4E6" w14:textId="77777777" w:rsidR="00911AF0" w:rsidRPr="00911AF0" w:rsidRDefault="00911AF0" w:rsidP="00911AF0">
            <w:pPr>
              <w:jc w:val="center"/>
              <w:rPr>
                <w:rFonts w:ascii="Times New Roman" w:hAnsi="Times New Roman" w:cs="Times New Roman"/>
                <w:sz w:val="20"/>
                <w:szCs w:val="20"/>
              </w:rPr>
            </w:pPr>
          </w:p>
        </w:tc>
        <w:tc>
          <w:tcPr>
            <w:tcW w:w="4014" w:type="dxa"/>
            <w:gridSpan w:val="3"/>
            <w:tcBorders>
              <w:top w:val="single" w:sz="4" w:space="0" w:color="auto"/>
            </w:tcBorders>
          </w:tcPr>
          <w:p w14:paraId="10F85ECF" w14:textId="77777777" w:rsidR="00911AF0" w:rsidRPr="00911AF0" w:rsidRDefault="00911AF0" w:rsidP="00911AF0">
            <w:pPr>
              <w:jc w:val="center"/>
              <w:rPr>
                <w:rFonts w:ascii="Times New Roman" w:hAnsi="Times New Roman" w:cs="Times New Roman"/>
                <w:sz w:val="20"/>
                <w:szCs w:val="20"/>
              </w:rPr>
            </w:pPr>
            <w:r w:rsidRPr="00911AF0">
              <w:rPr>
                <w:rFonts w:ascii="Times New Roman" w:hAnsi="Times New Roman" w:cs="Times New Roman"/>
                <w:sz w:val="20"/>
                <w:szCs w:val="20"/>
              </w:rPr>
              <w:t>Participants from the matched cohort</w:t>
            </w:r>
          </w:p>
          <w:p w14:paraId="2359E7F8" w14:textId="77777777" w:rsidR="00911AF0" w:rsidRPr="00911AF0" w:rsidRDefault="00911AF0" w:rsidP="00911AF0">
            <w:pPr>
              <w:jc w:val="center"/>
              <w:rPr>
                <w:rFonts w:ascii="Times New Roman" w:hAnsi="Times New Roman" w:cs="Times New Roman"/>
                <w:sz w:val="20"/>
                <w:szCs w:val="20"/>
              </w:rPr>
            </w:pPr>
          </w:p>
        </w:tc>
        <w:tc>
          <w:tcPr>
            <w:tcW w:w="2144" w:type="dxa"/>
            <w:tcBorders>
              <w:top w:val="single" w:sz="4" w:space="0" w:color="auto"/>
            </w:tcBorders>
          </w:tcPr>
          <w:p w14:paraId="7A73961E" w14:textId="77777777" w:rsidR="00911AF0" w:rsidRPr="00911AF0" w:rsidRDefault="00911AF0" w:rsidP="00911AF0">
            <w:pPr>
              <w:jc w:val="center"/>
              <w:rPr>
                <w:rFonts w:ascii="Times New Roman" w:hAnsi="Times New Roman" w:cs="Times New Roman"/>
                <w:sz w:val="20"/>
                <w:szCs w:val="20"/>
              </w:rPr>
            </w:pPr>
            <w:proofErr w:type="gramStart"/>
            <w:r w:rsidRPr="00911AF0">
              <w:rPr>
                <w:rFonts w:ascii="Times New Roman" w:hAnsi="Times New Roman" w:cs="Times New Roman"/>
                <w:sz w:val="20"/>
                <w:szCs w:val="20"/>
              </w:rPr>
              <w:t>Patients</w:t>
            </w:r>
            <w:proofErr w:type="gramEnd"/>
            <w:r w:rsidRPr="00911AF0">
              <w:rPr>
                <w:rFonts w:ascii="Times New Roman" w:hAnsi="Times New Roman" w:cs="Times New Roman"/>
                <w:sz w:val="20"/>
                <w:szCs w:val="20"/>
              </w:rPr>
              <w:t xml:space="preserve"> vs. </w:t>
            </w:r>
          </w:p>
          <w:p w14:paraId="3F5306B1" w14:textId="77777777" w:rsidR="00911AF0" w:rsidRPr="00911AF0" w:rsidRDefault="00911AF0" w:rsidP="00911AF0">
            <w:pPr>
              <w:jc w:val="center"/>
              <w:rPr>
                <w:rFonts w:ascii="Times New Roman" w:hAnsi="Times New Roman" w:cs="Times New Roman"/>
                <w:sz w:val="20"/>
                <w:szCs w:val="20"/>
              </w:rPr>
            </w:pPr>
            <w:r w:rsidRPr="00911AF0">
              <w:rPr>
                <w:rFonts w:ascii="Times New Roman" w:hAnsi="Times New Roman" w:cs="Times New Roman"/>
                <w:sz w:val="20"/>
                <w:szCs w:val="20"/>
              </w:rPr>
              <w:t>participants</w:t>
            </w:r>
          </w:p>
        </w:tc>
      </w:tr>
      <w:tr w:rsidR="00911AF0" w:rsidRPr="006F4FDE" w14:paraId="2C356C97" w14:textId="77777777" w:rsidTr="006B7992">
        <w:tc>
          <w:tcPr>
            <w:tcW w:w="2571" w:type="dxa"/>
            <w:gridSpan w:val="2"/>
          </w:tcPr>
          <w:p w14:paraId="4E774A2A" w14:textId="77777777" w:rsidR="00911AF0" w:rsidRPr="00911AF0" w:rsidRDefault="00911AF0" w:rsidP="00911AF0">
            <w:pPr>
              <w:jc w:val="center"/>
              <w:rPr>
                <w:rFonts w:ascii="Times New Roman" w:hAnsi="Times New Roman" w:cs="Times New Roman"/>
                <w:sz w:val="20"/>
                <w:szCs w:val="20"/>
              </w:rPr>
            </w:pPr>
            <w:r w:rsidRPr="00911AF0">
              <w:rPr>
                <w:rFonts w:ascii="Times New Roman" w:hAnsi="Times New Roman" w:cs="Times New Roman"/>
                <w:sz w:val="20"/>
                <w:szCs w:val="20"/>
              </w:rPr>
              <w:t>Time period</w:t>
            </w:r>
          </w:p>
        </w:tc>
        <w:tc>
          <w:tcPr>
            <w:tcW w:w="1459" w:type="dxa"/>
          </w:tcPr>
          <w:p w14:paraId="516500F4" w14:textId="46BBBAC7" w:rsidR="00911AF0" w:rsidRPr="00911AF0" w:rsidRDefault="00911AF0" w:rsidP="00911AF0">
            <w:pPr>
              <w:jc w:val="center"/>
              <w:rPr>
                <w:rFonts w:ascii="Times New Roman" w:hAnsi="Times New Roman" w:cs="Times New Roman"/>
                <w:sz w:val="20"/>
                <w:szCs w:val="20"/>
              </w:rPr>
            </w:pPr>
            <w:r w:rsidRPr="00911AF0">
              <w:rPr>
                <w:rFonts w:ascii="Times New Roman" w:hAnsi="Times New Roman" w:cs="Times New Roman"/>
                <w:sz w:val="20"/>
                <w:szCs w:val="20"/>
              </w:rPr>
              <w:t>Number with diagnosis (%</w:t>
            </w:r>
            <w:r w:rsidR="006B7992">
              <w:rPr>
                <w:rFonts w:ascii="Times New Roman" w:hAnsi="Times New Roman" w:cs="Times New Roman"/>
                <w:sz w:val="20"/>
                <w:szCs w:val="20"/>
              </w:rPr>
              <w:t>†</w:t>
            </w:r>
            <w:r w:rsidRPr="00911AF0">
              <w:rPr>
                <w:rFonts w:ascii="Times New Roman" w:hAnsi="Times New Roman" w:cs="Times New Roman"/>
                <w:sz w:val="20"/>
                <w:szCs w:val="20"/>
              </w:rPr>
              <w:t>)</w:t>
            </w:r>
          </w:p>
        </w:tc>
        <w:tc>
          <w:tcPr>
            <w:tcW w:w="1417" w:type="dxa"/>
          </w:tcPr>
          <w:p w14:paraId="2AE2665C" w14:textId="77777777" w:rsidR="00911AF0" w:rsidRPr="00911AF0" w:rsidRDefault="00911AF0" w:rsidP="00911AF0">
            <w:pPr>
              <w:jc w:val="center"/>
              <w:rPr>
                <w:rFonts w:ascii="Times New Roman" w:hAnsi="Times New Roman" w:cs="Times New Roman"/>
                <w:sz w:val="20"/>
                <w:szCs w:val="20"/>
              </w:rPr>
            </w:pPr>
            <w:r w:rsidRPr="00911AF0">
              <w:rPr>
                <w:rFonts w:ascii="Times New Roman" w:hAnsi="Times New Roman" w:cs="Times New Roman"/>
                <w:sz w:val="20"/>
                <w:szCs w:val="20"/>
              </w:rPr>
              <w:t>Time at risk (person-years)</w:t>
            </w:r>
          </w:p>
        </w:tc>
        <w:tc>
          <w:tcPr>
            <w:tcW w:w="1231" w:type="dxa"/>
          </w:tcPr>
          <w:p w14:paraId="4A7DA978" w14:textId="2AF9506B" w:rsidR="00911AF0" w:rsidRPr="00911AF0" w:rsidRDefault="00911AF0" w:rsidP="00911AF0">
            <w:pPr>
              <w:jc w:val="center"/>
              <w:rPr>
                <w:rFonts w:ascii="Times New Roman" w:hAnsi="Times New Roman" w:cs="Times New Roman"/>
                <w:sz w:val="20"/>
                <w:szCs w:val="20"/>
              </w:rPr>
            </w:pPr>
            <w:r w:rsidRPr="00911AF0">
              <w:rPr>
                <w:rFonts w:ascii="Times New Roman" w:hAnsi="Times New Roman" w:cs="Times New Roman"/>
                <w:sz w:val="20"/>
                <w:szCs w:val="20"/>
              </w:rPr>
              <w:t>Incidence</w:t>
            </w:r>
            <w:r w:rsidR="006B7992">
              <w:rPr>
                <w:rFonts w:ascii="Times New Roman" w:hAnsi="Times New Roman" w:cs="Times New Roman"/>
                <w:sz w:val="20"/>
                <w:szCs w:val="20"/>
              </w:rPr>
              <w:t>‡</w:t>
            </w:r>
            <w:r w:rsidRPr="00911AF0">
              <w:rPr>
                <w:rFonts w:ascii="Times New Roman" w:hAnsi="Times New Roman" w:cs="Times New Roman"/>
                <w:sz w:val="20"/>
                <w:szCs w:val="20"/>
              </w:rPr>
              <w:t xml:space="preserve"> </w:t>
            </w:r>
          </w:p>
        </w:tc>
        <w:tc>
          <w:tcPr>
            <w:tcW w:w="1463" w:type="dxa"/>
          </w:tcPr>
          <w:p w14:paraId="51DB3676" w14:textId="398ED078" w:rsidR="00911AF0" w:rsidRPr="00911AF0" w:rsidRDefault="00911AF0" w:rsidP="00911AF0">
            <w:pPr>
              <w:jc w:val="center"/>
              <w:rPr>
                <w:rFonts w:ascii="Times New Roman" w:hAnsi="Times New Roman" w:cs="Times New Roman"/>
                <w:sz w:val="20"/>
                <w:szCs w:val="20"/>
              </w:rPr>
            </w:pPr>
            <w:r w:rsidRPr="00911AF0">
              <w:rPr>
                <w:rFonts w:ascii="Times New Roman" w:hAnsi="Times New Roman" w:cs="Times New Roman"/>
                <w:sz w:val="20"/>
                <w:szCs w:val="20"/>
              </w:rPr>
              <w:t>Number with diagnosis (%</w:t>
            </w:r>
            <w:r w:rsidR="006B7992">
              <w:rPr>
                <w:rFonts w:ascii="Times New Roman" w:hAnsi="Times New Roman" w:cs="Times New Roman"/>
                <w:sz w:val="20"/>
                <w:szCs w:val="20"/>
              </w:rPr>
              <w:t>†</w:t>
            </w:r>
            <w:r w:rsidRPr="00911AF0">
              <w:rPr>
                <w:rFonts w:ascii="Times New Roman" w:hAnsi="Times New Roman" w:cs="Times New Roman"/>
                <w:sz w:val="20"/>
                <w:szCs w:val="20"/>
              </w:rPr>
              <w:t>)</w:t>
            </w:r>
          </w:p>
        </w:tc>
        <w:tc>
          <w:tcPr>
            <w:tcW w:w="1417" w:type="dxa"/>
          </w:tcPr>
          <w:p w14:paraId="61C52CD9" w14:textId="77777777" w:rsidR="00911AF0" w:rsidRPr="00911AF0" w:rsidRDefault="00911AF0" w:rsidP="00911AF0">
            <w:pPr>
              <w:jc w:val="center"/>
              <w:rPr>
                <w:rFonts w:ascii="Times New Roman" w:hAnsi="Times New Roman" w:cs="Times New Roman"/>
                <w:sz w:val="20"/>
                <w:szCs w:val="20"/>
              </w:rPr>
            </w:pPr>
            <w:r w:rsidRPr="00911AF0">
              <w:rPr>
                <w:rFonts w:ascii="Times New Roman" w:hAnsi="Times New Roman" w:cs="Times New Roman"/>
                <w:sz w:val="20"/>
                <w:szCs w:val="20"/>
              </w:rPr>
              <w:t>Time at risk (person-years)</w:t>
            </w:r>
          </w:p>
        </w:tc>
        <w:tc>
          <w:tcPr>
            <w:tcW w:w="1134" w:type="dxa"/>
          </w:tcPr>
          <w:p w14:paraId="645674D2" w14:textId="36E05CE4" w:rsidR="00911AF0" w:rsidRPr="00911AF0" w:rsidRDefault="00911AF0" w:rsidP="00911AF0">
            <w:pPr>
              <w:jc w:val="center"/>
              <w:rPr>
                <w:rFonts w:ascii="Times New Roman" w:hAnsi="Times New Roman" w:cs="Times New Roman"/>
                <w:sz w:val="20"/>
                <w:szCs w:val="20"/>
              </w:rPr>
            </w:pPr>
            <w:r w:rsidRPr="00911AF0">
              <w:rPr>
                <w:rFonts w:ascii="Times New Roman" w:hAnsi="Times New Roman" w:cs="Times New Roman"/>
                <w:sz w:val="20"/>
                <w:szCs w:val="20"/>
              </w:rPr>
              <w:t>Incidence</w:t>
            </w:r>
            <w:r w:rsidR="006B7992">
              <w:rPr>
                <w:rFonts w:ascii="Times New Roman" w:hAnsi="Times New Roman" w:cs="Times New Roman"/>
                <w:sz w:val="20"/>
                <w:szCs w:val="20"/>
              </w:rPr>
              <w:t>‡</w:t>
            </w:r>
          </w:p>
        </w:tc>
        <w:tc>
          <w:tcPr>
            <w:tcW w:w="2144" w:type="dxa"/>
          </w:tcPr>
          <w:p w14:paraId="0D80B7BA" w14:textId="585873BD" w:rsidR="00911AF0" w:rsidRPr="00911AF0" w:rsidRDefault="00911AF0" w:rsidP="00911AF0">
            <w:pPr>
              <w:jc w:val="center"/>
              <w:rPr>
                <w:rFonts w:ascii="Times New Roman" w:hAnsi="Times New Roman" w:cs="Times New Roman"/>
                <w:sz w:val="20"/>
                <w:szCs w:val="20"/>
              </w:rPr>
            </w:pPr>
            <w:r w:rsidRPr="00911AF0">
              <w:rPr>
                <w:rFonts w:ascii="Times New Roman" w:hAnsi="Times New Roman" w:cs="Times New Roman"/>
                <w:sz w:val="20"/>
                <w:szCs w:val="20"/>
              </w:rPr>
              <w:t>Adjusted</w:t>
            </w:r>
            <w:r w:rsidR="006B7992">
              <w:rPr>
                <w:rFonts w:ascii="Times New Roman" w:hAnsi="Times New Roman" w:cs="Times New Roman"/>
                <w:sz w:val="20"/>
                <w:szCs w:val="20"/>
              </w:rPr>
              <w:t>§</w:t>
            </w:r>
            <w:r w:rsidRPr="00911AF0">
              <w:rPr>
                <w:rFonts w:ascii="Times New Roman" w:hAnsi="Times New Roman" w:cs="Times New Roman"/>
                <w:sz w:val="20"/>
                <w:szCs w:val="20"/>
              </w:rPr>
              <w:t xml:space="preserve"> hazard ratio </w:t>
            </w:r>
          </w:p>
          <w:p w14:paraId="1E1524E7" w14:textId="77777777" w:rsidR="00911AF0" w:rsidRPr="00911AF0" w:rsidRDefault="00911AF0" w:rsidP="00911AF0">
            <w:pPr>
              <w:jc w:val="center"/>
              <w:rPr>
                <w:rFonts w:ascii="Times New Roman" w:hAnsi="Times New Roman" w:cs="Times New Roman"/>
                <w:sz w:val="20"/>
                <w:szCs w:val="20"/>
              </w:rPr>
            </w:pPr>
            <w:r w:rsidRPr="00911AF0">
              <w:rPr>
                <w:rFonts w:ascii="Times New Roman" w:hAnsi="Times New Roman" w:cs="Times New Roman"/>
                <w:sz w:val="20"/>
                <w:szCs w:val="20"/>
              </w:rPr>
              <w:t>(95% CI)</w:t>
            </w:r>
          </w:p>
        </w:tc>
      </w:tr>
      <w:tr w:rsidR="006B7992" w:rsidRPr="006F4FDE" w14:paraId="162278C1" w14:textId="77777777" w:rsidTr="006B7992">
        <w:tc>
          <w:tcPr>
            <w:tcW w:w="2571" w:type="dxa"/>
            <w:gridSpan w:val="2"/>
            <w:tcBorders>
              <w:top w:val="single" w:sz="4" w:space="0" w:color="auto"/>
            </w:tcBorders>
          </w:tcPr>
          <w:p w14:paraId="67D2B557" w14:textId="4057D84A" w:rsidR="006B7992" w:rsidRPr="00911AF0" w:rsidRDefault="006B7992" w:rsidP="006B7992">
            <w:pPr>
              <w:rPr>
                <w:rFonts w:ascii="Times New Roman" w:hAnsi="Times New Roman" w:cs="Times New Roman"/>
                <w:sz w:val="20"/>
                <w:szCs w:val="20"/>
              </w:rPr>
            </w:pPr>
            <w:r w:rsidRPr="00911AF0">
              <w:rPr>
                <w:rFonts w:ascii="Times New Roman" w:hAnsi="Times New Roman" w:cs="Times New Roman"/>
                <w:sz w:val="20"/>
                <w:szCs w:val="20"/>
              </w:rPr>
              <w:t>Ever-smoking subset</w:t>
            </w:r>
          </w:p>
        </w:tc>
        <w:tc>
          <w:tcPr>
            <w:tcW w:w="4107" w:type="dxa"/>
            <w:gridSpan w:val="3"/>
            <w:tcBorders>
              <w:top w:val="single" w:sz="4" w:space="0" w:color="auto"/>
            </w:tcBorders>
          </w:tcPr>
          <w:p w14:paraId="3A1DD1FD" w14:textId="0511570B"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i/>
                <w:sz w:val="20"/>
                <w:szCs w:val="20"/>
              </w:rPr>
              <w:t>n</w:t>
            </w:r>
            <w:r w:rsidRPr="00911AF0">
              <w:rPr>
                <w:rFonts w:ascii="Times New Roman" w:hAnsi="Times New Roman" w:cs="Times New Roman"/>
                <w:sz w:val="20"/>
                <w:szCs w:val="20"/>
              </w:rPr>
              <w:t>=24,740</w:t>
            </w:r>
          </w:p>
        </w:tc>
        <w:tc>
          <w:tcPr>
            <w:tcW w:w="4014" w:type="dxa"/>
            <w:gridSpan w:val="3"/>
            <w:tcBorders>
              <w:top w:val="single" w:sz="4" w:space="0" w:color="auto"/>
            </w:tcBorders>
          </w:tcPr>
          <w:p w14:paraId="6DCDFC6C" w14:textId="0544F16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i/>
                <w:sz w:val="20"/>
                <w:szCs w:val="20"/>
              </w:rPr>
              <w:t>n</w:t>
            </w:r>
            <w:r w:rsidRPr="00911AF0">
              <w:rPr>
                <w:rFonts w:ascii="Times New Roman" w:hAnsi="Times New Roman" w:cs="Times New Roman"/>
                <w:sz w:val="20"/>
                <w:szCs w:val="20"/>
              </w:rPr>
              <w:t>=19,143</w:t>
            </w:r>
          </w:p>
        </w:tc>
        <w:tc>
          <w:tcPr>
            <w:tcW w:w="2144" w:type="dxa"/>
            <w:tcBorders>
              <w:top w:val="single" w:sz="4" w:space="0" w:color="auto"/>
            </w:tcBorders>
          </w:tcPr>
          <w:p w14:paraId="1259B286" w14:textId="77777777" w:rsidR="006B7992" w:rsidRPr="00911AF0" w:rsidRDefault="006B7992" w:rsidP="006B7992">
            <w:pPr>
              <w:jc w:val="center"/>
              <w:rPr>
                <w:rFonts w:ascii="Times New Roman" w:hAnsi="Times New Roman" w:cs="Times New Roman"/>
                <w:sz w:val="20"/>
                <w:szCs w:val="20"/>
              </w:rPr>
            </w:pPr>
          </w:p>
        </w:tc>
      </w:tr>
      <w:tr w:rsidR="006B7992" w:rsidRPr="006F4FDE" w14:paraId="2263B362" w14:textId="77777777" w:rsidTr="006B7992">
        <w:tc>
          <w:tcPr>
            <w:tcW w:w="2571" w:type="dxa"/>
            <w:gridSpan w:val="2"/>
          </w:tcPr>
          <w:p w14:paraId="677148FB" w14:textId="38BE3E5E" w:rsidR="006B7992" w:rsidRPr="00911AF0" w:rsidRDefault="006B7992" w:rsidP="006B7992">
            <w:pPr>
              <w:rPr>
                <w:rFonts w:ascii="Times New Roman" w:hAnsi="Times New Roman" w:cs="Times New Roman"/>
                <w:sz w:val="20"/>
                <w:szCs w:val="20"/>
              </w:rPr>
            </w:pPr>
            <w:r>
              <w:rPr>
                <w:rFonts w:ascii="Times New Roman" w:hAnsi="Times New Roman" w:cs="Times New Roman"/>
                <w:sz w:val="20"/>
                <w:szCs w:val="20"/>
              </w:rPr>
              <w:t>Diagnostic window (0–</w:t>
            </w:r>
            <w:r w:rsidRPr="00911AF0">
              <w:rPr>
                <w:rFonts w:ascii="Times New Roman" w:hAnsi="Times New Roman" w:cs="Times New Roman"/>
                <w:sz w:val="20"/>
                <w:szCs w:val="20"/>
              </w:rPr>
              <w:t>6m)</w:t>
            </w:r>
          </w:p>
        </w:tc>
        <w:tc>
          <w:tcPr>
            <w:tcW w:w="1459" w:type="dxa"/>
          </w:tcPr>
          <w:p w14:paraId="0009AC70" w14:textId="1A46CE5A"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4,493 (18.2)</w:t>
            </w:r>
          </w:p>
        </w:tc>
        <w:tc>
          <w:tcPr>
            <w:tcW w:w="1417" w:type="dxa"/>
          </w:tcPr>
          <w:p w14:paraId="0E2903B5" w14:textId="296703B3"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10,284.6</w:t>
            </w:r>
          </w:p>
        </w:tc>
        <w:tc>
          <w:tcPr>
            <w:tcW w:w="1231" w:type="dxa"/>
          </w:tcPr>
          <w:p w14:paraId="567FE104" w14:textId="7005BBEC"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4368.7</w:t>
            </w:r>
          </w:p>
        </w:tc>
        <w:tc>
          <w:tcPr>
            <w:tcW w:w="1463" w:type="dxa"/>
          </w:tcPr>
          <w:p w14:paraId="02E828AC" w14:textId="27073B08"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154 (0.8)</w:t>
            </w:r>
          </w:p>
        </w:tc>
        <w:tc>
          <w:tcPr>
            <w:tcW w:w="1417" w:type="dxa"/>
          </w:tcPr>
          <w:p w14:paraId="1F6D040F" w14:textId="5B7063C4"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9,376.7</w:t>
            </w:r>
          </w:p>
        </w:tc>
        <w:tc>
          <w:tcPr>
            <w:tcW w:w="1134" w:type="dxa"/>
          </w:tcPr>
          <w:p w14:paraId="3441886C" w14:textId="01B04972"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164.2</w:t>
            </w:r>
          </w:p>
        </w:tc>
        <w:tc>
          <w:tcPr>
            <w:tcW w:w="2144" w:type="dxa"/>
          </w:tcPr>
          <w:p w14:paraId="511B60F7" w14:textId="62FE5BD3"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w:t>
            </w:r>
          </w:p>
        </w:tc>
      </w:tr>
      <w:tr w:rsidR="006B7992" w:rsidRPr="006F4FDE" w14:paraId="20981DE1" w14:textId="77777777" w:rsidTr="006B7992">
        <w:tc>
          <w:tcPr>
            <w:tcW w:w="2571" w:type="dxa"/>
            <w:gridSpan w:val="2"/>
          </w:tcPr>
          <w:p w14:paraId="1C6DAD05" w14:textId="70FD3D86" w:rsidR="006B7992" w:rsidRPr="00911AF0" w:rsidRDefault="006B7992" w:rsidP="006B7992">
            <w:pPr>
              <w:rPr>
                <w:rFonts w:ascii="Times New Roman" w:hAnsi="Times New Roman" w:cs="Times New Roman"/>
                <w:sz w:val="20"/>
                <w:szCs w:val="20"/>
              </w:rPr>
            </w:pPr>
            <w:r>
              <w:rPr>
                <w:rFonts w:ascii="Times New Roman" w:hAnsi="Times New Roman" w:cs="Times New Roman"/>
                <w:sz w:val="20"/>
                <w:szCs w:val="20"/>
              </w:rPr>
              <w:t>Long term follow-up (&gt;</w:t>
            </w:r>
            <w:r w:rsidRPr="00911AF0">
              <w:rPr>
                <w:rFonts w:ascii="Times New Roman" w:hAnsi="Times New Roman" w:cs="Times New Roman"/>
                <w:sz w:val="20"/>
                <w:szCs w:val="20"/>
              </w:rPr>
              <w:t>6m)</w:t>
            </w:r>
          </w:p>
        </w:tc>
        <w:tc>
          <w:tcPr>
            <w:tcW w:w="1459" w:type="dxa"/>
          </w:tcPr>
          <w:p w14:paraId="369349D2" w14:textId="7F460F8D"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5,821 (23.5)</w:t>
            </w:r>
          </w:p>
        </w:tc>
        <w:tc>
          <w:tcPr>
            <w:tcW w:w="1417" w:type="dxa"/>
          </w:tcPr>
          <w:p w14:paraId="4B83CF2F" w14:textId="3DCF9F11"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99,510.7</w:t>
            </w:r>
          </w:p>
        </w:tc>
        <w:tc>
          <w:tcPr>
            <w:tcW w:w="1231" w:type="dxa"/>
          </w:tcPr>
          <w:p w14:paraId="1AB02C5F" w14:textId="611618FA"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585.0</w:t>
            </w:r>
          </w:p>
        </w:tc>
        <w:tc>
          <w:tcPr>
            <w:tcW w:w="1463" w:type="dxa"/>
          </w:tcPr>
          <w:p w14:paraId="73A2FA5F" w14:textId="27C92BCD"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2,375</w:t>
            </w:r>
          </w:p>
        </w:tc>
        <w:tc>
          <w:tcPr>
            <w:tcW w:w="1417" w:type="dxa"/>
          </w:tcPr>
          <w:p w14:paraId="4E6C01C0" w14:textId="6BA23069"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116,093.4</w:t>
            </w:r>
          </w:p>
        </w:tc>
        <w:tc>
          <w:tcPr>
            <w:tcW w:w="1134" w:type="dxa"/>
          </w:tcPr>
          <w:p w14:paraId="208C0AAE" w14:textId="48281D49"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204.6</w:t>
            </w:r>
          </w:p>
        </w:tc>
        <w:tc>
          <w:tcPr>
            <w:tcW w:w="2144" w:type="dxa"/>
          </w:tcPr>
          <w:p w14:paraId="37826637" w14:textId="45F85E26"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w:t>
            </w:r>
          </w:p>
        </w:tc>
      </w:tr>
      <w:tr w:rsidR="006B7992" w:rsidRPr="006F4FDE" w14:paraId="22090EF5" w14:textId="77777777" w:rsidTr="006B7992">
        <w:tc>
          <w:tcPr>
            <w:tcW w:w="1135" w:type="dxa"/>
          </w:tcPr>
          <w:p w14:paraId="702FF55B" w14:textId="77777777" w:rsidR="006B7992" w:rsidRPr="00911AF0" w:rsidRDefault="006B7992" w:rsidP="006B7992">
            <w:pPr>
              <w:rPr>
                <w:rFonts w:ascii="Times New Roman" w:hAnsi="Times New Roman" w:cs="Times New Roman"/>
                <w:sz w:val="20"/>
                <w:szCs w:val="20"/>
              </w:rPr>
            </w:pPr>
          </w:p>
        </w:tc>
        <w:tc>
          <w:tcPr>
            <w:tcW w:w="1436" w:type="dxa"/>
          </w:tcPr>
          <w:p w14:paraId="7AE49499" w14:textId="0E4F37A8" w:rsidR="006B7992" w:rsidRPr="00911AF0" w:rsidRDefault="006B7992" w:rsidP="006B7992">
            <w:pPr>
              <w:rPr>
                <w:rFonts w:ascii="Times New Roman" w:hAnsi="Times New Roman" w:cs="Times New Roman"/>
                <w:sz w:val="20"/>
                <w:szCs w:val="20"/>
              </w:rPr>
            </w:pPr>
            <w:r w:rsidRPr="00911AF0">
              <w:rPr>
                <w:rFonts w:ascii="Times New Roman" w:hAnsi="Times New Roman" w:cs="Times New Roman"/>
                <w:sz w:val="20"/>
                <w:szCs w:val="20"/>
              </w:rPr>
              <w:t>6–12m</w:t>
            </w:r>
          </w:p>
        </w:tc>
        <w:tc>
          <w:tcPr>
            <w:tcW w:w="1459" w:type="dxa"/>
          </w:tcPr>
          <w:p w14:paraId="2E25AB0B"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955 (3.9)</w:t>
            </w:r>
          </w:p>
        </w:tc>
        <w:tc>
          <w:tcPr>
            <w:tcW w:w="1417" w:type="dxa"/>
          </w:tcPr>
          <w:p w14:paraId="761F8967"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9,090.2</w:t>
            </w:r>
          </w:p>
        </w:tc>
        <w:tc>
          <w:tcPr>
            <w:tcW w:w="1231" w:type="dxa"/>
          </w:tcPr>
          <w:p w14:paraId="32E72E67"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1050.6</w:t>
            </w:r>
          </w:p>
        </w:tc>
        <w:tc>
          <w:tcPr>
            <w:tcW w:w="1463" w:type="dxa"/>
          </w:tcPr>
          <w:p w14:paraId="69EBF42A"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167 (0.9)</w:t>
            </w:r>
          </w:p>
        </w:tc>
        <w:tc>
          <w:tcPr>
            <w:tcW w:w="1417" w:type="dxa"/>
          </w:tcPr>
          <w:p w14:paraId="1C02EBCB"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9,069.0</w:t>
            </w:r>
          </w:p>
        </w:tc>
        <w:tc>
          <w:tcPr>
            <w:tcW w:w="1134" w:type="dxa"/>
          </w:tcPr>
          <w:p w14:paraId="371C79E0"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184.1</w:t>
            </w:r>
          </w:p>
        </w:tc>
        <w:tc>
          <w:tcPr>
            <w:tcW w:w="2144" w:type="dxa"/>
          </w:tcPr>
          <w:p w14:paraId="71F6BEF7"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5.58 (4.71, 6.61)</w:t>
            </w:r>
          </w:p>
        </w:tc>
      </w:tr>
      <w:tr w:rsidR="006B7992" w:rsidRPr="006F4FDE" w14:paraId="76121826" w14:textId="77777777" w:rsidTr="006B7992">
        <w:tc>
          <w:tcPr>
            <w:tcW w:w="1135" w:type="dxa"/>
          </w:tcPr>
          <w:p w14:paraId="508F7ED5" w14:textId="77777777" w:rsidR="006B7992" w:rsidRPr="00911AF0" w:rsidRDefault="006B7992" w:rsidP="006B7992">
            <w:pPr>
              <w:rPr>
                <w:rFonts w:ascii="Times New Roman" w:hAnsi="Times New Roman" w:cs="Times New Roman"/>
                <w:sz w:val="20"/>
                <w:szCs w:val="20"/>
              </w:rPr>
            </w:pPr>
          </w:p>
        </w:tc>
        <w:tc>
          <w:tcPr>
            <w:tcW w:w="1436" w:type="dxa"/>
          </w:tcPr>
          <w:p w14:paraId="2C018334" w14:textId="587F956E" w:rsidR="006B7992" w:rsidRPr="00911AF0" w:rsidRDefault="006B7992" w:rsidP="006B7992">
            <w:pPr>
              <w:rPr>
                <w:rFonts w:ascii="Times New Roman" w:hAnsi="Times New Roman" w:cs="Times New Roman"/>
                <w:sz w:val="20"/>
                <w:szCs w:val="20"/>
              </w:rPr>
            </w:pPr>
            <w:r w:rsidRPr="00911AF0">
              <w:rPr>
                <w:rFonts w:ascii="Times New Roman" w:hAnsi="Times New Roman" w:cs="Times New Roman"/>
                <w:sz w:val="20"/>
                <w:szCs w:val="20"/>
              </w:rPr>
              <w:t>12–36m</w:t>
            </w:r>
          </w:p>
        </w:tc>
        <w:tc>
          <w:tcPr>
            <w:tcW w:w="1459" w:type="dxa"/>
          </w:tcPr>
          <w:p w14:paraId="511322DA"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2,003 (8.1)</w:t>
            </w:r>
          </w:p>
        </w:tc>
        <w:tc>
          <w:tcPr>
            <w:tcW w:w="1417" w:type="dxa"/>
          </w:tcPr>
          <w:p w14:paraId="662CF18A"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30,364.2</w:t>
            </w:r>
          </w:p>
        </w:tc>
        <w:tc>
          <w:tcPr>
            <w:tcW w:w="1231" w:type="dxa"/>
          </w:tcPr>
          <w:p w14:paraId="653B2DFF"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659.7</w:t>
            </w:r>
          </w:p>
        </w:tc>
        <w:tc>
          <w:tcPr>
            <w:tcW w:w="1463" w:type="dxa"/>
          </w:tcPr>
          <w:p w14:paraId="2A607AF0"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618 (3.2)</w:t>
            </w:r>
          </w:p>
        </w:tc>
        <w:tc>
          <w:tcPr>
            <w:tcW w:w="1417" w:type="dxa"/>
          </w:tcPr>
          <w:p w14:paraId="525900DC"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32,711.2</w:t>
            </w:r>
          </w:p>
        </w:tc>
        <w:tc>
          <w:tcPr>
            <w:tcW w:w="1134" w:type="dxa"/>
          </w:tcPr>
          <w:p w14:paraId="3B82D030"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188.9</w:t>
            </w:r>
          </w:p>
        </w:tc>
        <w:tc>
          <w:tcPr>
            <w:tcW w:w="2144" w:type="dxa"/>
          </w:tcPr>
          <w:p w14:paraId="681E8646"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3.41 (3.10, 3.74)</w:t>
            </w:r>
          </w:p>
        </w:tc>
      </w:tr>
      <w:tr w:rsidR="006B7992" w:rsidRPr="006F4FDE" w14:paraId="583A7146" w14:textId="77777777" w:rsidTr="006B7992">
        <w:tc>
          <w:tcPr>
            <w:tcW w:w="1135" w:type="dxa"/>
          </w:tcPr>
          <w:p w14:paraId="2F355926" w14:textId="77777777" w:rsidR="006B7992" w:rsidRPr="00911AF0" w:rsidRDefault="006B7992" w:rsidP="006B7992">
            <w:pPr>
              <w:rPr>
                <w:rFonts w:ascii="Times New Roman" w:hAnsi="Times New Roman" w:cs="Times New Roman"/>
                <w:sz w:val="20"/>
                <w:szCs w:val="20"/>
              </w:rPr>
            </w:pPr>
          </w:p>
        </w:tc>
        <w:tc>
          <w:tcPr>
            <w:tcW w:w="1436" w:type="dxa"/>
          </w:tcPr>
          <w:p w14:paraId="2CA9DD80" w14:textId="77777777" w:rsidR="006B7992" w:rsidRPr="00911AF0" w:rsidRDefault="006B7992" w:rsidP="006B7992">
            <w:pPr>
              <w:rPr>
                <w:rFonts w:ascii="Times New Roman" w:hAnsi="Times New Roman" w:cs="Times New Roman"/>
                <w:sz w:val="20"/>
                <w:szCs w:val="20"/>
              </w:rPr>
            </w:pPr>
            <w:r w:rsidRPr="00911AF0">
              <w:rPr>
                <w:rFonts w:ascii="Times New Roman" w:hAnsi="Times New Roman" w:cs="Times New Roman"/>
                <w:sz w:val="20"/>
                <w:szCs w:val="20"/>
              </w:rPr>
              <w:t>&gt;36m</w:t>
            </w:r>
          </w:p>
        </w:tc>
        <w:tc>
          <w:tcPr>
            <w:tcW w:w="1459" w:type="dxa"/>
          </w:tcPr>
          <w:p w14:paraId="0BA3310C"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2,863 (11.6)</w:t>
            </w:r>
          </w:p>
        </w:tc>
        <w:tc>
          <w:tcPr>
            <w:tcW w:w="1417" w:type="dxa"/>
          </w:tcPr>
          <w:p w14:paraId="0E9D6005"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60,056.3</w:t>
            </w:r>
          </w:p>
        </w:tc>
        <w:tc>
          <w:tcPr>
            <w:tcW w:w="1231" w:type="dxa"/>
          </w:tcPr>
          <w:p w14:paraId="46795E4E"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476.7</w:t>
            </w:r>
          </w:p>
        </w:tc>
        <w:tc>
          <w:tcPr>
            <w:tcW w:w="1463" w:type="dxa"/>
          </w:tcPr>
          <w:p w14:paraId="3923C2E8"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1,590 (8.3)</w:t>
            </w:r>
          </w:p>
        </w:tc>
        <w:tc>
          <w:tcPr>
            <w:tcW w:w="1417" w:type="dxa"/>
          </w:tcPr>
          <w:p w14:paraId="2BF91FB1"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74,313.2</w:t>
            </w:r>
          </w:p>
        </w:tc>
        <w:tc>
          <w:tcPr>
            <w:tcW w:w="1134" w:type="dxa"/>
          </w:tcPr>
          <w:p w14:paraId="0F4181E0"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214.0</w:t>
            </w:r>
          </w:p>
        </w:tc>
        <w:tc>
          <w:tcPr>
            <w:tcW w:w="2144" w:type="dxa"/>
          </w:tcPr>
          <w:p w14:paraId="6F8B90AF"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2.18 (2.0, 2.33)</w:t>
            </w:r>
          </w:p>
        </w:tc>
      </w:tr>
      <w:tr w:rsidR="006B7992" w:rsidRPr="006F4FDE" w14:paraId="59C9B9A5" w14:textId="77777777" w:rsidTr="006B7992">
        <w:tc>
          <w:tcPr>
            <w:tcW w:w="1135" w:type="dxa"/>
          </w:tcPr>
          <w:p w14:paraId="55187341" w14:textId="77777777" w:rsidR="006B7992" w:rsidRPr="00911AF0" w:rsidRDefault="006B7992" w:rsidP="006B7992">
            <w:pPr>
              <w:rPr>
                <w:rFonts w:ascii="Times New Roman" w:hAnsi="Times New Roman" w:cs="Times New Roman"/>
                <w:sz w:val="20"/>
                <w:szCs w:val="20"/>
              </w:rPr>
            </w:pPr>
          </w:p>
        </w:tc>
        <w:tc>
          <w:tcPr>
            <w:tcW w:w="1436" w:type="dxa"/>
          </w:tcPr>
          <w:p w14:paraId="260A62E0" w14:textId="77777777" w:rsidR="006B7992" w:rsidRPr="00911AF0" w:rsidRDefault="006B7992" w:rsidP="006B7992">
            <w:pPr>
              <w:rPr>
                <w:rFonts w:ascii="Times New Roman" w:hAnsi="Times New Roman" w:cs="Times New Roman"/>
                <w:sz w:val="20"/>
                <w:szCs w:val="20"/>
              </w:rPr>
            </w:pPr>
          </w:p>
        </w:tc>
        <w:tc>
          <w:tcPr>
            <w:tcW w:w="1459" w:type="dxa"/>
          </w:tcPr>
          <w:p w14:paraId="777FF22E" w14:textId="77777777" w:rsidR="006B7992" w:rsidRPr="00911AF0" w:rsidRDefault="006B7992" w:rsidP="006B7992">
            <w:pPr>
              <w:jc w:val="center"/>
              <w:rPr>
                <w:rFonts w:ascii="Times New Roman" w:hAnsi="Times New Roman" w:cs="Times New Roman"/>
                <w:sz w:val="20"/>
                <w:szCs w:val="20"/>
              </w:rPr>
            </w:pPr>
          </w:p>
        </w:tc>
        <w:tc>
          <w:tcPr>
            <w:tcW w:w="1417" w:type="dxa"/>
          </w:tcPr>
          <w:p w14:paraId="027AC181" w14:textId="77777777" w:rsidR="006B7992" w:rsidRPr="00911AF0" w:rsidRDefault="006B7992" w:rsidP="006B7992">
            <w:pPr>
              <w:jc w:val="center"/>
              <w:rPr>
                <w:rFonts w:ascii="Times New Roman" w:hAnsi="Times New Roman" w:cs="Times New Roman"/>
                <w:sz w:val="20"/>
                <w:szCs w:val="20"/>
              </w:rPr>
            </w:pPr>
          </w:p>
        </w:tc>
        <w:tc>
          <w:tcPr>
            <w:tcW w:w="1231" w:type="dxa"/>
          </w:tcPr>
          <w:p w14:paraId="3A5E2FD4" w14:textId="77777777" w:rsidR="006B7992" w:rsidRPr="00911AF0" w:rsidRDefault="006B7992" w:rsidP="006B7992">
            <w:pPr>
              <w:jc w:val="center"/>
              <w:rPr>
                <w:rFonts w:ascii="Times New Roman" w:hAnsi="Times New Roman" w:cs="Times New Roman"/>
                <w:sz w:val="20"/>
                <w:szCs w:val="20"/>
              </w:rPr>
            </w:pPr>
          </w:p>
        </w:tc>
        <w:tc>
          <w:tcPr>
            <w:tcW w:w="1463" w:type="dxa"/>
          </w:tcPr>
          <w:p w14:paraId="4A5DBA2C" w14:textId="77777777" w:rsidR="006B7992" w:rsidRPr="00911AF0" w:rsidRDefault="006B7992" w:rsidP="006B7992">
            <w:pPr>
              <w:jc w:val="center"/>
              <w:rPr>
                <w:rFonts w:ascii="Times New Roman" w:hAnsi="Times New Roman" w:cs="Times New Roman"/>
                <w:sz w:val="20"/>
                <w:szCs w:val="20"/>
              </w:rPr>
            </w:pPr>
          </w:p>
        </w:tc>
        <w:tc>
          <w:tcPr>
            <w:tcW w:w="1417" w:type="dxa"/>
          </w:tcPr>
          <w:p w14:paraId="08BC18E2" w14:textId="77777777" w:rsidR="006B7992" w:rsidRPr="00911AF0" w:rsidRDefault="006B7992" w:rsidP="006B7992">
            <w:pPr>
              <w:jc w:val="center"/>
              <w:rPr>
                <w:rFonts w:ascii="Times New Roman" w:hAnsi="Times New Roman" w:cs="Times New Roman"/>
                <w:sz w:val="20"/>
                <w:szCs w:val="20"/>
              </w:rPr>
            </w:pPr>
          </w:p>
        </w:tc>
        <w:tc>
          <w:tcPr>
            <w:tcW w:w="1134" w:type="dxa"/>
          </w:tcPr>
          <w:p w14:paraId="331342FC" w14:textId="77777777" w:rsidR="006B7992" w:rsidRPr="00911AF0" w:rsidRDefault="006B7992" w:rsidP="006B7992">
            <w:pPr>
              <w:jc w:val="center"/>
              <w:rPr>
                <w:rFonts w:ascii="Times New Roman" w:hAnsi="Times New Roman" w:cs="Times New Roman"/>
                <w:sz w:val="20"/>
                <w:szCs w:val="20"/>
              </w:rPr>
            </w:pPr>
          </w:p>
        </w:tc>
        <w:tc>
          <w:tcPr>
            <w:tcW w:w="2144" w:type="dxa"/>
          </w:tcPr>
          <w:p w14:paraId="0E832FB4" w14:textId="77777777" w:rsidR="006B7992" w:rsidRPr="00911AF0" w:rsidRDefault="006B7992" w:rsidP="006B7992">
            <w:pPr>
              <w:jc w:val="center"/>
              <w:rPr>
                <w:rFonts w:ascii="Times New Roman" w:hAnsi="Times New Roman" w:cs="Times New Roman"/>
                <w:sz w:val="20"/>
                <w:szCs w:val="20"/>
              </w:rPr>
            </w:pPr>
          </w:p>
        </w:tc>
      </w:tr>
      <w:tr w:rsidR="006B7992" w:rsidRPr="006F4FDE" w14:paraId="0B06D81C" w14:textId="77777777" w:rsidTr="006B7992">
        <w:tc>
          <w:tcPr>
            <w:tcW w:w="2571" w:type="dxa"/>
            <w:gridSpan w:val="2"/>
          </w:tcPr>
          <w:p w14:paraId="2AE3E40E" w14:textId="77777777" w:rsidR="006B7992" w:rsidRPr="00911AF0" w:rsidRDefault="006B7992" w:rsidP="006B7992">
            <w:pPr>
              <w:rPr>
                <w:rFonts w:ascii="Times New Roman" w:hAnsi="Times New Roman" w:cs="Times New Roman"/>
                <w:sz w:val="20"/>
                <w:szCs w:val="20"/>
              </w:rPr>
            </w:pPr>
            <w:r w:rsidRPr="00911AF0">
              <w:rPr>
                <w:rFonts w:ascii="Times New Roman" w:hAnsi="Times New Roman" w:cs="Times New Roman"/>
                <w:sz w:val="20"/>
                <w:szCs w:val="20"/>
              </w:rPr>
              <w:t>Never-smoking subset</w:t>
            </w:r>
          </w:p>
        </w:tc>
        <w:tc>
          <w:tcPr>
            <w:tcW w:w="4107" w:type="dxa"/>
            <w:gridSpan w:val="3"/>
          </w:tcPr>
          <w:p w14:paraId="03B0C342"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i/>
                <w:sz w:val="20"/>
                <w:szCs w:val="20"/>
              </w:rPr>
              <w:t>n</w:t>
            </w:r>
            <w:r w:rsidRPr="00911AF0">
              <w:rPr>
                <w:rFonts w:ascii="Times New Roman" w:hAnsi="Times New Roman" w:cs="Times New Roman"/>
                <w:sz w:val="20"/>
                <w:szCs w:val="20"/>
              </w:rPr>
              <w:t>=40,436</w:t>
            </w:r>
          </w:p>
        </w:tc>
        <w:tc>
          <w:tcPr>
            <w:tcW w:w="4014" w:type="dxa"/>
            <w:gridSpan w:val="3"/>
          </w:tcPr>
          <w:p w14:paraId="2F3F6A1C"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i/>
                <w:sz w:val="20"/>
                <w:szCs w:val="20"/>
              </w:rPr>
              <w:t>n</w:t>
            </w:r>
            <w:r w:rsidRPr="00911AF0">
              <w:rPr>
                <w:rFonts w:ascii="Times New Roman" w:hAnsi="Times New Roman" w:cs="Times New Roman"/>
                <w:sz w:val="20"/>
                <w:szCs w:val="20"/>
              </w:rPr>
              <w:t>=42,632</w:t>
            </w:r>
          </w:p>
        </w:tc>
        <w:tc>
          <w:tcPr>
            <w:tcW w:w="2144" w:type="dxa"/>
          </w:tcPr>
          <w:p w14:paraId="73C5EC4A" w14:textId="77777777" w:rsidR="006B7992" w:rsidRPr="00911AF0" w:rsidRDefault="006B7992" w:rsidP="006B7992">
            <w:pPr>
              <w:jc w:val="center"/>
              <w:rPr>
                <w:rFonts w:ascii="Times New Roman" w:hAnsi="Times New Roman" w:cs="Times New Roman"/>
                <w:sz w:val="20"/>
                <w:szCs w:val="20"/>
              </w:rPr>
            </w:pPr>
          </w:p>
        </w:tc>
      </w:tr>
      <w:tr w:rsidR="006B7992" w:rsidRPr="006F4FDE" w14:paraId="2E4E0C46" w14:textId="77777777" w:rsidTr="006B7992">
        <w:tc>
          <w:tcPr>
            <w:tcW w:w="2571" w:type="dxa"/>
            <w:gridSpan w:val="2"/>
          </w:tcPr>
          <w:p w14:paraId="209D5C00" w14:textId="2B2ABF47" w:rsidR="006B7992" w:rsidRPr="00911AF0" w:rsidRDefault="006B7992" w:rsidP="006B7992">
            <w:pPr>
              <w:rPr>
                <w:rFonts w:ascii="Times New Roman" w:hAnsi="Times New Roman" w:cs="Times New Roman"/>
                <w:sz w:val="20"/>
                <w:szCs w:val="20"/>
              </w:rPr>
            </w:pPr>
            <w:r w:rsidRPr="00911AF0">
              <w:rPr>
                <w:rFonts w:ascii="Times New Roman" w:hAnsi="Times New Roman" w:cs="Times New Roman"/>
                <w:sz w:val="20"/>
                <w:szCs w:val="20"/>
              </w:rPr>
              <w:t>Diagnostic window (0–6m)</w:t>
            </w:r>
          </w:p>
        </w:tc>
        <w:tc>
          <w:tcPr>
            <w:tcW w:w="1459" w:type="dxa"/>
          </w:tcPr>
          <w:p w14:paraId="4FDF3DD2"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4,995 (12.4)</w:t>
            </w:r>
          </w:p>
        </w:tc>
        <w:tc>
          <w:tcPr>
            <w:tcW w:w="1417" w:type="dxa"/>
          </w:tcPr>
          <w:p w14:paraId="4253889E"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17,820.8</w:t>
            </w:r>
          </w:p>
        </w:tc>
        <w:tc>
          <w:tcPr>
            <w:tcW w:w="1231" w:type="dxa"/>
          </w:tcPr>
          <w:p w14:paraId="19ACDB62"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2802.9</w:t>
            </w:r>
          </w:p>
        </w:tc>
        <w:tc>
          <w:tcPr>
            <w:tcW w:w="1463" w:type="dxa"/>
          </w:tcPr>
          <w:p w14:paraId="17690B1B"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227 (0.5)</w:t>
            </w:r>
          </w:p>
        </w:tc>
        <w:tc>
          <w:tcPr>
            <w:tcW w:w="1417" w:type="dxa"/>
          </w:tcPr>
          <w:p w14:paraId="33DBCFBE"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20,918.6</w:t>
            </w:r>
          </w:p>
        </w:tc>
        <w:tc>
          <w:tcPr>
            <w:tcW w:w="1134" w:type="dxa"/>
          </w:tcPr>
          <w:p w14:paraId="12BD8A10"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108.5</w:t>
            </w:r>
          </w:p>
        </w:tc>
        <w:tc>
          <w:tcPr>
            <w:tcW w:w="2144" w:type="dxa"/>
          </w:tcPr>
          <w:p w14:paraId="48C0FA45"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w:t>
            </w:r>
          </w:p>
        </w:tc>
      </w:tr>
      <w:tr w:rsidR="006B7992" w:rsidRPr="006F4FDE" w14:paraId="371C790D" w14:textId="77777777" w:rsidTr="006B7992">
        <w:tc>
          <w:tcPr>
            <w:tcW w:w="2571" w:type="dxa"/>
            <w:gridSpan w:val="2"/>
          </w:tcPr>
          <w:p w14:paraId="03399FCB" w14:textId="21F8E248" w:rsidR="006B7992" w:rsidRPr="00911AF0" w:rsidRDefault="006B7992" w:rsidP="006B7992">
            <w:pPr>
              <w:rPr>
                <w:rFonts w:ascii="Times New Roman" w:hAnsi="Times New Roman" w:cs="Times New Roman"/>
                <w:sz w:val="20"/>
                <w:szCs w:val="20"/>
              </w:rPr>
            </w:pPr>
            <w:r w:rsidRPr="00911AF0">
              <w:rPr>
                <w:rFonts w:ascii="Times New Roman" w:hAnsi="Times New Roman" w:cs="Times New Roman"/>
                <w:sz w:val="20"/>
                <w:szCs w:val="20"/>
              </w:rPr>
              <w:t>Long term follow-up (&gt;6m)</w:t>
            </w:r>
          </w:p>
        </w:tc>
        <w:tc>
          <w:tcPr>
            <w:tcW w:w="1459" w:type="dxa"/>
          </w:tcPr>
          <w:p w14:paraId="54B3D15D"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7,481 (18.5)</w:t>
            </w:r>
          </w:p>
        </w:tc>
        <w:tc>
          <w:tcPr>
            <w:tcW w:w="1417" w:type="dxa"/>
          </w:tcPr>
          <w:p w14:paraId="1173B37C"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197,099.7</w:t>
            </w:r>
          </w:p>
        </w:tc>
        <w:tc>
          <w:tcPr>
            <w:tcW w:w="1231" w:type="dxa"/>
          </w:tcPr>
          <w:p w14:paraId="1EB9463C"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379.6</w:t>
            </w:r>
          </w:p>
        </w:tc>
        <w:tc>
          <w:tcPr>
            <w:tcW w:w="1463" w:type="dxa"/>
          </w:tcPr>
          <w:p w14:paraId="44C82963"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3,695 (8.7)</w:t>
            </w:r>
          </w:p>
        </w:tc>
        <w:tc>
          <w:tcPr>
            <w:tcW w:w="1417" w:type="dxa"/>
          </w:tcPr>
          <w:p w14:paraId="4DE8A0A4"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272,711.4</w:t>
            </w:r>
          </w:p>
        </w:tc>
        <w:tc>
          <w:tcPr>
            <w:tcW w:w="1134" w:type="dxa"/>
          </w:tcPr>
          <w:p w14:paraId="7067A012"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135.5</w:t>
            </w:r>
          </w:p>
        </w:tc>
        <w:tc>
          <w:tcPr>
            <w:tcW w:w="2144" w:type="dxa"/>
          </w:tcPr>
          <w:p w14:paraId="66DC93BC"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w:t>
            </w:r>
          </w:p>
        </w:tc>
      </w:tr>
      <w:tr w:rsidR="006B7992" w:rsidRPr="006F4FDE" w14:paraId="4DD143DB" w14:textId="77777777" w:rsidTr="006B7992">
        <w:tc>
          <w:tcPr>
            <w:tcW w:w="1135" w:type="dxa"/>
          </w:tcPr>
          <w:p w14:paraId="5A5CB4D3" w14:textId="77777777" w:rsidR="006B7992" w:rsidRPr="00911AF0" w:rsidRDefault="006B7992" w:rsidP="006B7992">
            <w:pPr>
              <w:rPr>
                <w:rFonts w:ascii="Times New Roman" w:hAnsi="Times New Roman" w:cs="Times New Roman"/>
                <w:sz w:val="20"/>
                <w:szCs w:val="20"/>
              </w:rPr>
            </w:pPr>
          </w:p>
        </w:tc>
        <w:tc>
          <w:tcPr>
            <w:tcW w:w="1436" w:type="dxa"/>
          </w:tcPr>
          <w:p w14:paraId="3191D8F9" w14:textId="7CFF9FA9" w:rsidR="006B7992" w:rsidRPr="00911AF0" w:rsidRDefault="006B7992" w:rsidP="006B7992">
            <w:pPr>
              <w:rPr>
                <w:rFonts w:ascii="Times New Roman" w:hAnsi="Times New Roman" w:cs="Times New Roman"/>
                <w:sz w:val="20"/>
                <w:szCs w:val="20"/>
              </w:rPr>
            </w:pPr>
            <w:r w:rsidRPr="00911AF0">
              <w:rPr>
                <w:rFonts w:ascii="Times New Roman" w:hAnsi="Times New Roman" w:cs="Times New Roman"/>
                <w:sz w:val="20"/>
                <w:szCs w:val="20"/>
              </w:rPr>
              <w:t>6–12m</w:t>
            </w:r>
          </w:p>
        </w:tc>
        <w:tc>
          <w:tcPr>
            <w:tcW w:w="1459" w:type="dxa"/>
          </w:tcPr>
          <w:p w14:paraId="433D8586"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1,118 (2.8)</w:t>
            </w:r>
          </w:p>
        </w:tc>
        <w:tc>
          <w:tcPr>
            <w:tcW w:w="1417" w:type="dxa"/>
          </w:tcPr>
          <w:p w14:paraId="2A3840F2"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16,285.1</w:t>
            </w:r>
          </w:p>
        </w:tc>
        <w:tc>
          <w:tcPr>
            <w:tcW w:w="1231" w:type="dxa"/>
          </w:tcPr>
          <w:p w14:paraId="4B204088"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686.5</w:t>
            </w:r>
          </w:p>
        </w:tc>
        <w:tc>
          <w:tcPr>
            <w:tcW w:w="1463" w:type="dxa"/>
          </w:tcPr>
          <w:p w14:paraId="2F587939"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270 (0.6)</w:t>
            </w:r>
          </w:p>
        </w:tc>
        <w:tc>
          <w:tcPr>
            <w:tcW w:w="1417" w:type="dxa"/>
          </w:tcPr>
          <w:p w14:paraId="702F550C"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20,336.7</w:t>
            </w:r>
          </w:p>
        </w:tc>
        <w:tc>
          <w:tcPr>
            <w:tcW w:w="1134" w:type="dxa"/>
          </w:tcPr>
          <w:p w14:paraId="62DEA94A"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132.8</w:t>
            </w:r>
          </w:p>
        </w:tc>
        <w:tc>
          <w:tcPr>
            <w:tcW w:w="2144" w:type="dxa"/>
          </w:tcPr>
          <w:p w14:paraId="1D908F2C"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4.77 (4.16, 5.47)</w:t>
            </w:r>
          </w:p>
        </w:tc>
      </w:tr>
      <w:tr w:rsidR="006B7992" w:rsidRPr="006F4FDE" w14:paraId="5B2E010C" w14:textId="77777777" w:rsidTr="006B7992">
        <w:tc>
          <w:tcPr>
            <w:tcW w:w="1135" w:type="dxa"/>
          </w:tcPr>
          <w:p w14:paraId="7024FD3A" w14:textId="77777777" w:rsidR="006B7992" w:rsidRPr="00911AF0" w:rsidRDefault="006B7992" w:rsidP="006B7992">
            <w:pPr>
              <w:rPr>
                <w:rFonts w:ascii="Times New Roman" w:hAnsi="Times New Roman" w:cs="Times New Roman"/>
                <w:sz w:val="20"/>
                <w:szCs w:val="20"/>
              </w:rPr>
            </w:pPr>
          </w:p>
        </w:tc>
        <w:tc>
          <w:tcPr>
            <w:tcW w:w="1436" w:type="dxa"/>
          </w:tcPr>
          <w:p w14:paraId="56137DA6" w14:textId="25F7633A" w:rsidR="006B7992" w:rsidRPr="00911AF0" w:rsidRDefault="006B7992" w:rsidP="006B7992">
            <w:pPr>
              <w:rPr>
                <w:rFonts w:ascii="Times New Roman" w:hAnsi="Times New Roman" w:cs="Times New Roman"/>
                <w:sz w:val="20"/>
                <w:szCs w:val="20"/>
              </w:rPr>
            </w:pPr>
            <w:r w:rsidRPr="00911AF0">
              <w:rPr>
                <w:rFonts w:ascii="Times New Roman" w:hAnsi="Times New Roman" w:cs="Times New Roman"/>
                <w:sz w:val="20"/>
                <w:szCs w:val="20"/>
              </w:rPr>
              <w:t>12–36m</w:t>
            </w:r>
          </w:p>
        </w:tc>
        <w:tc>
          <w:tcPr>
            <w:tcW w:w="1459" w:type="dxa"/>
          </w:tcPr>
          <w:p w14:paraId="44C83294"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2,429 (6.0)</w:t>
            </w:r>
          </w:p>
        </w:tc>
        <w:tc>
          <w:tcPr>
            <w:tcW w:w="1417" w:type="dxa"/>
          </w:tcPr>
          <w:p w14:paraId="4F493979"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56,565.6</w:t>
            </w:r>
          </w:p>
        </w:tc>
        <w:tc>
          <w:tcPr>
            <w:tcW w:w="1231" w:type="dxa"/>
          </w:tcPr>
          <w:p w14:paraId="472EAB67"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429.4</w:t>
            </w:r>
          </w:p>
        </w:tc>
        <w:tc>
          <w:tcPr>
            <w:tcW w:w="1463" w:type="dxa"/>
          </w:tcPr>
          <w:p w14:paraId="64725D17"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1,012 (2.4)</w:t>
            </w:r>
          </w:p>
        </w:tc>
        <w:tc>
          <w:tcPr>
            <w:tcW w:w="1417" w:type="dxa"/>
          </w:tcPr>
          <w:p w14:paraId="126A30EC"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74,332.1</w:t>
            </w:r>
          </w:p>
        </w:tc>
        <w:tc>
          <w:tcPr>
            <w:tcW w:w="1134" w:type="dxa"/>
          </w:tcPr>
          <w:p w14:paraId="0EE380FD"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136.1</w:t>
            </w:r>
          </w:p>
        </w:tc>
        <w:tc>
          <w:tcPr>
            <w:tcW w:w="2144" w:type="dxa"/>
          </w:tcPr>
          <w:p w14:paraId="2750A09A"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2.84 (2.63, 3.07)</w:t>
            </w:r>
          </w:p>
        </w:tc>
      </w:tr>
      <w:tr w:rsidR="006B7992" w:rsidRPr="006F4FDE" w14:paraId="3E8C83D6" w14:textId="77777777" w:rsidTr="006B7992">
        <w:tc>
          <w:tcPr>
            <w:tcW w:w="1135" w:type="dxa"/>
            <w:tcBorders>
              <w:bottom w:val="single" w:sz="4" w:space="0" w:color="auto"/>
            </w:tcBorders>
          </w:tcPr>
          <w:p w14:paraId="0EEAFFAE" w14:textId="77777777" w:rsidR="006B7992" w:rsidRPr="00911AF0" w:rsidRDefault="006B7992" w:rsidP="006B7992">
            <w:pPr>
              <w:rPr>
                <w:rFonts w:ascii="Times New Roman" w:hAnsi="Times New Roman" w:cs="Times New Roman"/>
                <w:sz w:val="20"/>
                <w:szCs w:val="20"/>
              </w:rPr>
            </w:pPr>
          </w:p>
        </w:tc>
        <w:tc>
          <w:tcPr>
            <w:tcW w:w="1436" w:type="dxa"/>
            <w:tcBorders>
              <w:bottom w:val="single" w:sz="4" w:space="0" w:color="auto"/>
            </w:tcBorders>
          </w:tcPr>
          <w:p w14:paraId="685F7346" w14:textId="77777777" w:rsidR="006B7992" w:rsidRPr="00911AF0" w:rsidRDefault="006B7992" w:rsidP="006B7992">
            <w:pPr>
              <w:rPr>
                <w:rFonts w:ascii="Times New Roman" w:hAnsi="Times New Roman" w:cs="Times New Roman"/>
                <w:sz w:val="20"/>
                <w:szCs w:val="20"/>
              </w:rPr>
            </w:pPr>
            <w:r w:rsidRPr="00911AF0">
              <w:rPr>
                <w:rFonts w:ascii="Times New Roman" w:hAnsi="Times New Roman" w:cs="Times New Roman"/>
                <w:sz w:val="20"/>
                <w:szCs w:val="20"/>
              </w:rPr>
              <w:t>&gt;36m</w:t>
            </w:r>
          </w:p>
        </w:tc>
        <w:tc>
          <w:tcPr>
            <w:tcW w:w="1459" w:type="dxa"/>
            <w:tcBorders>
              <w:bottom w:val="single" w:sz="4" w:space="0" w:color="auto"/>
            </w:tcBorders>
          </w:tcPr>
          <w:p w14:paraId="30D6460F"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3,934 (9.7)</w:t>
            </w:r>
          </w:p>
        </w:tc>
        <w:tc>
          <w:tcPr>
            <w:tcW w:w="1417" w:type="dxa"/>
            <w:tcBorders>
              <w:bottom w:val="single" w:sz="4" w:space="0" w:color="auto"/>
            </w:tcBorders>
          </w:tcPr>
          <w:p w14:paraId="274A6A11"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124,249.0</w:t>
            </w:r>
          </w:p>
        </w:tc>
        <w:tc>
          <w:tcPr>
            <w:tcW w:w="1231" w:type="dxa"/>
            <w:tcBorders>
              <w:bottom w:val="single" w:sz="4" w:space="0" w:color="auto"/>
            </w:tcBorders>
          </w:tcPr>
          <w:p w14:paraId="6CD3E5FD"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316.6</w:t>
            </w:r>
          </w:p>
        </w:tc>
        <w:tc>
          <w:tcPr>
            <w:tcW w:w="1463" w:type="dxa"/>
            <w:tcBorders>
              <w:bottom w:val="single" w:sz="4" w:space="0" w:color="auto"/>
            </w:tcBorders>
          </w:tcPr>
          <w:p w14:paraId="182B169F"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2,413 (5.7)</w:t>
            </w:r>
          </w:p>
        </w:tc>
        <w:tc>
          <w:tcPr>
            <w:tcW w:w="1417" w:type="dxa"/>
            <w:tcBorders>
              <w:bottom w:val="single" w:sz="4" w:space="0" w:color="auto"/>
            </w:tcBorders>
          </w:tcPr>
          <w:p w14:paraId="480F810B"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178,042.6</w:t>
            </w:r>
          </w:p>
        </w:tc>
        <w:tc>
          <w:tcPr>
            <w:tcW w:w="1134" w:type="dxa"/>
            <w:tcBorders>
              <w:bottom w:val="single" w:sz="4" w:space="0" w:color="auto"/>
            </w:tcBorders>
          </w:tcPr>
          <w:p w14:paraId="15D64E14"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135.5</w:t>
            </w:r>
          </w:p>
        </w:tc>
        <w:tc>
          <w:tcPr>
            <w:tcW w:w="2144" w:type="dxa"/>
            <w:tcBorders>
              <w:bottom w:val="single" w:sz="4" w:space="0" w:color="auto"/>
            </w:tcBorders>
          </w:tcPr>
          <w:p w14:paraId="5327F270" w14:textId="77777777" w:rsidR="006B7992" w:rsidRPr="00911AF0" w:rsidRDefault="006B7992" w:rsidP="006B7992">
            <w:pPr>
              <w:jc w:val="center"/>
              <w:rPr>
                <w:rFonts w:ascii="Times New Roman" w:hAnsi="Times New Roman" w:cs="Times New Roman"/>
                <w:sz w:val="20"/>
                <w:szCs w:val="20"/>
              </w:rPr>
            </w:pPr>
            <w:r w:rsidRPr="00911AF0">
              <w:rPr>
                <w:rFonts w:ascii="Times New Roman" w:hAnsi="Times New Roman" w:cs="Times New Roman"/>
                <w:sz w:val="20"/>
                <w:szCs w:val="20"/>
              </w:rPr>
              <w:t>2.18 (2.07, 2.30)</w:t>
            </w:r>
          </w:p>
        </w:tc>
      </w:tr>
    </w:tbl>
    <w:p w14:paraId="2FAA77B8" w14:textId="4535C8C5" w:rsidR="008B47DA" w:rsidRDefault="00911AF0" w:rsidP="00911AF0">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8B47DA">
        <w:rPr>
          <w:rFonts w:ascii="Times New Roman" w:hAnsi="Times New Roman" w:cs="Times New Roman"/>
          <w:sz w:val="20"/>
          <w:szCs w:val="20"/>
        </w:rPr>
        <w:t>F</w:t>
      </w:r>
      <w:r w:rsidR="008B47DA" w:rsidRPr="0090121C">
        <w:rPr>
          <w:rFonts w:ascii="Times New Roman" w:hAnsi="Times New Roman" w:cs="Times New Roman"/>
          <w:sz w:val="20"/>
          <w:szCs w:val="20"/>
        </w:rPr>
        <w:t>irst diagnosed condition if multiple conditions occurred.</w:t>
      </w:r>
      <w:r w:rsidR="006B7992">
        <w:rPr>
          <w:rFonts w:ascii="Times New Roman" w:hAnsi="Times New Roman" w:cs="Times New Roman"/>
          <w:sz w:val="20"/>
          <w:szCs w:val="20"/>
        </w:rPr>
        <w:t xml:space="preserve"> †</w:t>
      </w:r>
      <w:r w:rsidR="008B47DA" w:rsidRPr="00030271">
        <w:rPr>
          <w:rFonts w:ascii="Times New Roman" w:hAnsi="Times New Roman" w:cs="Times New Roman"/>
          <w:sz w:val="20"/>
          <w:szCs w:val="20"/>
        </w:rPr>
        <w:t>Percentage in the total number of ever-smoking patients with a first coded record of breathlessness symptom; or in the total number of ever-smoking participants</w:t>
      </w:r>
      <w:r w:rsidR="008B47DA">
        <w:rPr>
          <w:rFonts w:ascii="Times New Roman" w:hAnsi="Times New Roman" w:cs="Times New Roman"/>
          <w:sz w:val="20"/>
          <w:szCs w:val="20"/>
        </w:rPr>
        <w:t xml:space="preserve"> from the matched cohort</w:t>
      </w:r>
      <w:r w:rsidR="008B47DA" w:rsidRPr="0090121C">
        <w:rPr>
          <w:rFonts w:ascii="Times New Roman" w:hAnsi="Times New Roman" w:cs="Times New Roman"/>
          <w:sz w:val="20"/>
          <w:szCs w:val="20"/>
        </w:rPr>
        <w:t>.</w:t>
      </w:r>
      <w:r w:rsidR="006B7992">
        <w:rPr>
          <w:rFonts w:ascii="Times New Roman" w:hAnsi="Times New Roman" w:cs="Times New Roman"/>
          <w:sz w:val="20"/>
          <w:szCs w:val="20"/>
        </w:rPr>
        <w:t xml:space="preserve"> ‡</w:t>
      </w:r>
      <w:r w:rsidR="008B47DA">
        <w:rPr>
          <w:rFonts w:ascii="Times New Roman" w:hAnsi="Times New Roman" w:cs="Times New Roman"/>
          <w:sz w:val="20"/>
          <w:szCs w:val="20"/>
        </w:rPr>
        <w:t>P</w:t>
      </w:r>
      <w:r w:rsidR="008B47DA" w:rsidRPr="0090121C">
        <w:rPr>
          <w:rFonts w:ascii="Times New Roman" w:hAnsi="Times New Roman" w:cs="Times New Roman"/>
          <w:sz w:val="20"/>
          <w:szCs w:val="20"/>
        </w:rPr>
        <w:t>er 10,000 person-years.</w:t>
      </w:r>
      <w:r w:rsidR="006B7992">
        <w:rPr>
          <w:rFonts w:ascii="Times New Roman" w:hAnsi="Times New Roman" w:cs="Times New Roman"/>
          <w:sz w:val="20"/>
          <w:szCs w:val="20"/>
        </w:rPr>
        <w:t xml:space="preserve"> §</w:t>
      </w:r>
      <w:r w:rsidR="008B47DA" w:rsidRPr="0090121C">
        <w:rPr>
          <w:rFonts w:ascii="Times New Roman" w:hAnsi="Times New Roman" w:cs="Times New Roman"/>
          <w:sz w:val="20"/>
          <w:szCs w:val="20"/>
        </w:rPr>
        <w:t xml:space="preserve">Adjusted hazard ratio, adjusted for </w:t>
      </w:r>
      <w:r w:rsidR="008B47DA">
        <w:rPr>
          <w:rFonts w:ascii="Times New Roman" w:hAnsi="Times New Roman" w:cs="Times New Roman"/>
          <w:sz w:val="20"/>
          <w:szCs w:val="20"/>
        </w:rPr>
        <w:t>index year, age, gender, region</w:t>
      </w:r>
      <w:r w:rsidR="008B47DA" w:rsidRPr="0090121C">
        <w:rPr>
          <w:rFonts w:ascii="Times New Roman" w:hAnsi="Times New Roman" w:cs="Times New Roman"/>
          <w:sz w:val="20"/>
          <w:szCs w:val="20"/>
        </w:rPr>
        <w:t>, ever alcohol drinking, BMI,</w:t>
      </w:r>
      <w:r w:rsidR="008B47DA">
        <w:rPr>
          <w:rFonts w:ascii="Times New Roman" w:hAnsi="Times New Roman" w:cs="Times New Roman"/>
          <w:sz w:val="20"/>
          <w:szCs w:val="20"/>
        </w:rPr>
        <w:t xml:space="preserve"> deprivation level, comorbidity</w:t>
      </w:r>
      <w:r w:rsidR="008B47DA" w:rsidRPr="0090121C">
        <w:rPr>
          <w:rFonts w:ascii="Times New Roman" w:hAnsi="Times New Roman" w:cs="Times New Roman"/>
          <w:sz w:val="20"/>
          <w:szCs w:val="20"/>
        </w:rPr>
        <w:t>, cough and sputum, inflammatory conditions, depression and anxiety, diabetes, non-specific chest pain, musculoskeletal pain.</w:t>
      </w:r>
      <w:r w:rsidR="008B47DA">
        <w:rPr>
          <w:rFonts w:ascii="Times New Roman" w:hAnsi="Times New Roman" w:cs="Times New Roman"/>
          <w:sz w:val="20"/>
          <w:szCs w:val="20"/>
        </w:rPr>
        <w:t xml:space="preserve"> Total number of patients different to 75,698 in each cohort was due to missing data in smoking status.</w:t>
      </w:r>
    </w:p>
    <w:p w14:paraId="2C3EABFD" w14:textId="05209336" w:rsidR="00911AF0" w:rsidRDefault="00911AF0" w:rsidP="00911AF0">
      <w:pPr>
        <w:spacing w:after="0" w:line="240" w:lineRule="auto"/>
        <w:rPr>
          <w:rFonts w:ascii="Times New Roman" w:hAnsi="Times New Roman" w:cs="Times New Roman"/>
          <w:sz w:val="20"/>
          <w:szCs w:val="20"/>
        </w:rPr>
      </w:pPr>
    </w:p>
    <w:p w14:paraId="4DBC3CCF" w14:textId="34B88531" w:rsidR="00911AF0" w:rsidRDefault="00911AF0" w:rsidP="00911AF0">
      <w:pPr>
        <w:spacing w:after="0" w:line="240" w:lineRule="auto"/>
        <w:rPr>
          <w:rFonts w:ascii="Times New Roman" w:hAnsi="Times New Roman" w:cs="Times New Roman"/>
          <w:sz w:val="20"/>
          <w:szCs w:val="20"/>
        </w:rPr>
      </w:pPr>
    </w:p>
    <w:p w14:paraId="25DA6917" w14:textId="3FA620CA" w:rsidR="00911AF0" w:rsidRDefault="00911AF0" w:rsidP="00911AF0">
      <w:pPr>
        <w:spacing w:after="0" w:line="240" w:lineRule="auto"/>
        <w:rPr>
          <w:rFonts w:ascii="Times New Roman" w:hAnsi="Times New Roman" w:cs="Times New Roman"/>
          <w:sz w:val="20"/>
          <w:szCs w:val="20"/>
        </w:rPr>
      </w:pPr>
    </w:p>
    <w:p w14:paraId="6344BCD3" w14:textId="3697F770" w:rsidR="00911AF0" w:rsidRDefault="00911AF0" w:rsidP="00911AF0">
      <w:pPr>
        <w:spacing w:after="0" w:line="240" w:lineRule="auto"/>
        <w:rPr>
          <w:rFonts w:ascii="Times New Roman" w:hAnsi="Times New Roman" w:cs="Times New Roman"/>
          <w:sz w:val="20"/>
          <w:szCs w:val="20"/>
        </w:rPr>
      </w:pPr>
    </w:p>
    <w:p w14:paraId="7EFC526F" w14:textId="24E772A7" w:rsidR="00911AF0" w:rsidRDefault="00911AF0" w:rsidP="00911AF0">
      <w:pPr>
        <w:spacing w:after="0" w:line="240" w:lineRule="auto"/>
        <w:rPr>
          <w:rFonts w:ascii="Times New Roman" w:hAnsi="Times New Roman" w:cs="Times New Roman"/>
          <w:sz w:val="20"/>
          <w:szCs w:val="20"/>
        </w:rPr>
      </w:pPr>
    </w:p>
    <w:p w14:paraId="5E263D2B" w14:textId="5638DD60" w:rsidR="00911AF0" w:rsidRDefault="00911AF0" w:rsidP="00911AF0">
      <w:pPr>
        <w:spacing w:after="0" w:line="240" w:lineRule="auto"/>
        <w:rPr>
          <w:rFonts w:ascii="Times New Roman" w:hAnsi="Times New Roman" w:cs="Times New Roman"/>
          <w:sz w:val="20"/>
          <w:szCs w:val="20"/>
        </w:rPr>
      </w:pPr>
    </w:p>
    <w:p w14:paraId="5E918424" w14:textId="18A6810D" w:rsidR="00911AF0" w:rsidRDefault="00911AF0" w:rsidP="00911AF0">
      <w:pPr>
        <w:spacing w:after="0" w:line="240" w:lineRule="auto"/>
        <w:rPr>
          <w:rFonts w:ascii="Times New Roman" w:hAnsi="Times New Roman" w:cs="Times New Roman"/>
          <w:sz w:val="20"/>
          <w:szCs w:val="20"/>
        </w:rPr>
      </w:pPr>
    </w:p>
    <w:p w14:paraId="46B18AC4" w14:textId="5C0E44C5" w:rsidR="00911AF0" w:rsidRDefault="00911AF0" w:rsidP="00911AF0">
      <w:pPr>
        <w:spacing w:after="0" w:line="240" w:lineRule="auto"/>
        <w:rPr>
          <w:rFonts w:ascii="Times New Roman" w:hAnsi="Times New Roman" w:cs="Times New Roman"/>
          <w:sz w:val="20"/>
          <w:szCs w:val="20"/>
        </w:rPr>
      </w:pPr>
    </w:p>
    <w:p w14:paraId="2A7117D4" w14:textId="7A8CB7C3" w:rsidR="00911AF0" w:rsidRDefault="00911AF0" w:rsidP="00911AF0">
      <w:pPr>
        <w:spacing w:after="0" w:line="240" w:lineRule="auto"/>
        <w:rPr>
          <w:rFonts w:ascii="Times New Roman" w:hAnsi="Times New Roman" w:cs="Times New Roman"/>
          <w:sz w:val="20"/>
          <w:szCs w:val="20"/>
        </w:rPr>
      </w:pPr>
    </w:p>
    <w:p w14:paraId="0372B685" w14:textId="4A7036F9" w:rsidR="00911AF0" w:rsidRDefault="00911AF0" w:rsidP="00911AF0">
      <w:pPr>
        <w:spacing w:after="0" w:line="240" w:lineRule="auto"/>
        <w:rPr>
          <w:rFonts w:ascii="Times New Roman" w:hAnsi="Times New Roman" w:cs="Times New Roman"/>
          <w:sz w:val="20"/>
          <w:szCs w:val="20"/>
        </w:rPr>
      </w:pPr>
    </w:p>
    <w:p w14:paraId="4DF9BC4F" w14:textId="77777777" w:rsidR="00911AF0" w:rsidRDefault="00911AF0" w:rsidP="00911AF0">
      <w:pPr>
        <w:spacing w:after="0" w:line="240" w:lineRule="auto"/>
        <w:rPr>
          <w:rFonts w:ascii="Times New Roman" w:hAnsi="Times New Roman" w:cs="Times New Roman"/>
          <w:sz w:val="20"/>
          <w:szCs w:val="20"/>
        </w:rPr>
      </w:pPr>
    </w:p>
    <w:p w14:paraId="4057659C" w14:textId="7CB38124" w:rsidR="006B7992" w:rsidRDefault="006B7992" w:rsidP="008B47DA">
      <w:pPr>
        <w:spacing w:after="160" w:line="240" w:lineRule="auto"/>
        <w:rPr>
          <w:rFonts w:ascii="Times New Roman" w:hAnsi="Times New Roman" w:cs="Times New Roman"/>
          <w:sz w:val="20"/>
          <w:szCs w:val="20"/>
        </w:rPr>
      </w:pPr>
    </w:p>
    <w:p w14:paraId="0D6E3C5D" w14:textId="77777777" w:rsidR="006B7992" w:rsidRDefault="006B7992" w:rsidP="008B47DA">
      <w:pPr>
        <w:spacing w:after="160" w:line="240" w:lineRule="auto"/>
        <w:rPr>
          <w:rFonts w:ascii="Times New Roman" w:hAnsi="Times New Roman" w:cs="Times New Roman"/>
          <w:sz w:val="20"/>
          <w:szCs w:val="20"/>
        </w:rPr>
      </w:pPr>
    </w:p>
    <w:p w14:paraId="7B8069A7" w14:textId="3B6416D7" w:rsidR="00D474F2" w:rsidRPr="00D474F2" w:rsidRDefault="00D474F2" w:rsidP="006B7992">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Supplementary</w:t>
      </w:r>
      <w:r w:rsidRPr="00D474F2">
        <w:rPr>
          <w:rFonts w:ascii="Times New Roman" w:hAnsi="Times New Roman" w:cs="Times New Roman"/>
          <w:b/>
          <w:sz w:val="20"/>
          <w:szCs w:val="20"/>
        </w:rPr>
        <w:t xml:space="preserve"> Table 4 Risk of mortality in patients with a first coded record of breathlessnes</w:t>
      </w:r>
      <w:r w:rsidR="00BA16CB">
        <w:rPr>
          <w:rFonts w:ascii="Times New Roman" w:hAnsi="Times New Roman" w:cs="Times New Roman"/>
          <w:b/>
          <w:sz w:val="20"/>
          <w:szCs w:val="20"/>
        </w:rPr>
        <w:t>s</w:t>
      </w:r>
      <w:r w:rsidRPr="00D474F2">
        <w:rPr>
          <w:rFonts w:ascii="Times New Roman" w:hAnsi="Times New Roman" w:cs="Times New Roman"/>
          <w:b/>
          <w:sz w:val="20"/>
          <w:szCs w:val="20"/>
        </w:rPr>
        <w:t xml:space="preserve"> symptom compared to the matched participants stratified by age</w:t>
      </w:r>
      <w:r w:rsidR="00995D3D">
        <w:rPr>
          <w:rFonts w:ascii="Times New Roman" w:hAnsi="Times New Roman" w:cs="Times New Roman"/>
          <w:b/>
          <w:sz w:val="20"/>
          <w:szCs w:val="20"/>
        </w:rPr>
        <w:t xml:space="preserve"> group</w:t>
      </w:r>
    </w:p>
    <w:tbl>
      <w:tblPr>
        <w:tblStyle w:val="TableGrid"/>
        <w:tblW w:w="13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8"/>
        <w:gridCol w:w="784"/>
        <w:gridCol w:w="1221"/>
        <w:gridCol w:w="1481"/>
        <w:gridCol w:w="1351"/>
        <w:gridCol w:w="1628"/>
        <w:gridCol w:w="1557"/>
        <w:gridCol w:w="1284"/>
        <w:gridCol w:w="1816"/>
      </w:tblGrid>
      <w:tr w:rsidR="00D96224" w:rsidRPr="003423CA" w14:paraId="04589405" w14:textId="30F37D44" w:rsidTr="00846A2A">
        <w:trPr>
          <w:trHeight w:val="406"/>
        </w:trPr>
        <w:tc>
          <w:tcPr>
            <w:tcW w:w="2338" w:type="dxa"/>
            <w:tcBorders>
              <w:top w:val="single" w:sz="4" w:space="0" w:color="auto"/>
            </w:tcBorders>
          </w:tcPr>
          <w:p w14:paraId="08622402" w14:textId="09CD17D1" w:rsidR="00D96224" w:rsidRPr="006B7992" w:rsidRDefault="00D96224" w:rsidP="006B7992">
            <w:pPr>
              <w:rPr>
                <w:rFonts w:ascii="Times New Roman" w:hAnsi="Times New Roman" w:cs="Times New Roman"/>
                <w:sz w:val="20"/>
                <w:szCs w:val="20"/>
              </w:rPr>
            </w:pPr>
          </w:p>
        </w:tc>
        <w:tc>
          <w:tcPr>
            <w:tcW w:w="784" w:type="dxa"/>
            <w:tcBorders>
              <w:top w:val="single" w:sz="4" w:space="0" w:color="auto"/>
            </w:tcBorders>
          </w:tcPr>
          <w:p w14:paraId="380C096A" w14:textId="77777777" w:rsidR="00D96224" w:rsidRPr="006B7992" w:rsidRDefault="00D96224" w:rsidP="006B7992">
            <w:pPr>
              <w:jc w:val="center"/>
              <w:rPr>
                <w:rFonts w:ascii="Times New Roman" w:hAnsi="Times New Roman" w:cs="Times New Roman"/>
                <w:sz w:val="20"/>
                <w:szCs w:val="20"/>
              </w:rPr>
            </w:pPr>
            <w:r w:rsidRPr="006B7992">
              <w:rPr>
                <w:rFonts w:ascii="Times New Roman" w:hAnsi="Times New Roman" w:cs="Times New Roman"/>
                <w:sz w:val="20"/>
                <w:szCs w:val="20"/>
              </w:rPr>
              <w:t>Time period</w:t>
            </w:r>
          </w:p>
        </w:tc>
        <w:tc>
          <w:tcPr>
            <w:tcW w:w="4053" w:type="dxa"/>
            <w:gridSpan w:val="3"/>
            <w:tcBorders>
              <w:top w:val="single" w:sz="4" w:space="0" w:color="auto"/>
            </w:tcBorders>
          </w:tcPr>
          <w:p w14:paraId="40D1F330" w14:textId="470B2A67" w:rsidR="00D96224" w:rsidRPr="006B7992" w:rsidRDefault="00D96224" w:rsidP="006B7992">
            <w:pPr>
              <w:jc w:val="center"/>
              <w:rPr>
                <w:rFonts w:ascii="Times New Roman" w:hAnsi="Times New Roman" w:cs="Times New Roman"/>
                <w:sz w:val="20"/>
                <w:szCs w:val="20"/>
              </w:rPr>
            </w:pPr>
            <w:r w:rsidRPr="006B7992">
              <w:rPr>
                <w:rFonts w:ascii="Times New Roman" w:hAnsi="Times New Roman" w:cs="Times New Roman"/>
                <w:sz w:val="20"/>
                <w:szCs w:val="20"/>
              </w:rPr>
              <w:t>Patients with a first coded record of breathlessness symptom</w:t>
            </w:r>
          </w:p>
        </w:tc>
        <w:tc>
          <w:tcPr>
            <w:tcW w:w="4469" w:type="dxa"/>
            <w:gridSpan w:val="3"/>
            <w:tcBorders>
              <w:top w:val="single" w:sz="4" w:space="0" w:color="auto"/>
            </w:tcBorders>
          </w:tcPr>
          <w:p w14:paraId="516B3D72" w14:textId="77777777" w:rsidR="00D96224" w:rsidRPr="006B7992" w:rsidRDefault="00D96224" w:rsidP="006B7992">
            <w:pPr>
              <w:jc w:val="center"/>
              <w:rPr>
                <w:rFonts w:ascii="Times New Roman" w:hAnsi="Times New Roman" w:cs="Times New Roman"/>
                <w:sz w:val="20"/>
                <w:szCs w:val="20"/>
              </w:rPr>
            </w:pPr>
            <w:r w:rsidRPr="006B7992">
              <w:rPr>
                <w:rFonts w:ascii="Times New Roman" w:hAnsi="Times New Roman" w:cs="Times New Roman"/>
                <w:sz w:val="20"/>
                <w:szCs w:val="20"/>
              </w:rPr>
              <w:t>Matched participants</w:t>
            </w:r>
          </w:p>
        </w:tc>
        <w:tc>
          <w:tcPr>
            <w:tcW w:w="1816" w:type="dxa"/>
            <w:tcBorders>
              <w:top w:val="single" w:sz="4" w:space="0" w:color="auto"/>
            </w:tcBorders>
          </w:tcPr>
          <w:p w14:paraId="5E12F4AE" w14:textId="77777777" w:rsidR="00D96224" w:rsidRPr="00ED2316" w:rsidRDefault="00D96224" w:rsidP="00D96224">
            <w:pPr>
              <w:jc w:val="center"/>
              <w:rPr>
                <w:rFonts w:ascii="Times New Roman" w:hAnsi="Times New Roman" w:cs="Times New Roman"/>
                <w:sz w:val="20"/>
                <w:szCs w:val="20"/>
              </w:rPr>
            </w:pPr>
            <w:proofErr w:type="gramStart"/>
            <w:r w:rsidRPr="00ED2316">
              <w:rPr>
                <w:rFonts w:ascii="Times New Roman" w:hAnsi="Times New Roman" w:cs="Times New Roman"/>
                <w:sz w:val="20"/>
                <w:szCs w:val="20"/>
              </w:rPr>
              <w:t>Patients</w:t>
            </w:r>
            <w:proofErr w:type="gramEnd"/>
            <w:r w:rsidRPr="00ED2316">
              <w:rPr>
                <w:rFonts w:ascii="Times New Roman" w:hAnsi="Times New Roman" w:cs="Times New Roman"/>
                <w:sz w:val="20"/>
                <w:szCs w:val="20"/>
              </w:rPr>
              <w:t xml:space="preserve"> vs. </w:t>
            </w:r>
          </w:p>
          <w:p w14:paraId="08197365" w14:textId="1841915A" w:rsidR="00D96224" w:rsidRPr="006B7992" w:rsidRDefault="00D96224" w:rsidP="00D96224">
            <w:pPr>
              <w:jc w:val="center"/>
              <w:rPr>
                <w:rFonts w:ascii="Times New Roman" w:hAnsi="Times New Roman" w:cs="Times New Roman"/>
                <w:sz w:val="20"/>
                <w:szCs w:val="20"/>
              </w:rPr>
            </w:pPr>
            <w:r w:rsidRPr="00ED2316">
              <w:rPr>
                <w:rFonts w:ascii="Times New Roman" w:hAnsi="Times New Roman" w:cs="Times New Roman"/>
                <w:sz w:val="20"/>
                <w:szCs w:val="20"/>
              </w:rPr>
              <w:t>matched participants</w:t>
            </w:r>
          </w:p>
        </w:tc>
      </w:tr>
      <w:tr w:rsidR="00D96224" w:rsidRPr="003423CA" w14:paraId="074683F6" w14:textId="77777777" w:rsidTr="00846A2A">
        <w:trPr>
          <w:trHeight w:val="196"/>
        </w:trPr>
        <w:tc>
          <w:tcPr>
            <w:tcW w:w="2338" w:type="dxa"/>
            <w:tcBorders>
              <w:bottom w:val="single" w:sz="4" w:space="0" w:color="auto"/>
            </w:tcBorders>
          </w:tcPr>
          <w:p w14:paraId="2372313B" w14:textId="77777777" w:rsidR="00D96224" w:rsidRPr="006B7992" w:rsidRDefault="00D96224" w:rsidP="00D96224">
            <w:pPr>
              <w:rPr>
                <w:rFonts w:ascii="Times New Roman" w:hAnsi="Times New Roman" w:cs="Times New Roman"/>
                <w:sz w:val="20"/>
                <w:szCs w:val="20"/>
              </w:rPr>
            </w:pPr>
          </w:p>
        </w:tc>
        <w:tc>
          <w:tcPr>
            <w:tcW w:w="784" w:type="dxa"/>
            <w:tcBorders>
              <w:bottom w:val="single" w:sz="4" w:space="0" w:color="auto"/>
            </w:tcBorders>
          </w:tcPr>
          <w:p w14:paraId="6ED76B9D" w14:textId="77777777" w:rsidR="00D96224" w:rsidRPr="006B7992" w:rsidRDefault="00D96224" w:rsidP="00D96224">
            <w:pPr>
              <w:jc w:val="center"/>
              <w:rPr>
                <w:rFonts w:ascii="Times New Roman" w:hAnsi="Times New Roman" w:cs="Times New Roman"/>
                <w:sz w:val="20"/>
                <w:szCs w:val="20"/>
              </w:rPr>
            </w:pPr>
          </w:p>
        </w:tc>
        <w:tc>
          <w:tcPr>
            <w:tcW w:w="1221" w:type="dxa"/>
            <w:tcBorders>
              <w:bottom w:val="single" w:sz="4" w:space="0" w:color="auto"/>
            </w:tcBorders>
          </w:tcPr>
          <w:p w14:paraId="5948554D" w14:textId="420FE1C1"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Number of events (%)</w:t>
            </w:r>
          </w:p>
        </w:tc>
        <w:tc>
          <w:tcPr>
            <w:tcW w:w="1481" w:type="dxa"/>
            <w:tcBorders>
              <w:bottom w:val="single" w:sz="4" w:space="0" w:color="auto"/>
            </w:tcBorders>
          </w:tcPr>
          <w:p w14:paraId="46FD6122" w14:textId="765477C9" w:rsidR="00D96224" w:rsidRPr="00D96224" w:rsidRDefault="00D96224" w:rsidP="00D96224">
            <w:pPr>
              <w:jc w:val="center"/>
              <w:rPr>
                <w:rFonts w:ascii="Times New Roman" w:hAnsi="Times New Roman" w:cs="Times New Roman"/>
                <w:i/>
                <w:sz w:val="20"/>
                <w:szCs w:val="20"/>
              </w:rPr>
            </w:pPr>
            <w:r w:rsidRPr="006B7992">
              <w:rPr>
                <w:rFonts w:ascii="Times New Roman" w:hAnsi="Times New Roman" w:cs="Times New Roman"/>
                <w:sz w:val="20"/>
                <w:szCs w:val="20"/>
              </w:rPr>
              <w:t>Time at risk (person-years)</w:t>
            </w:r>
          </w:p>
        </w:tc>
        <w:tc>
          <w:tcPr>
            <w:tcW w:w="1351" w:type="dxa"/>
            <w:tcBorders>
              <w:bottom w:val="single" w:sz="4" w:space="0" w:color="auto"/>
            </w:tcBorders>
          </w:tcPr>
          <w:p w14:paraId="0184405A" w14:textId="21844F96"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Incidence*</w:t>
            </w:r>
          </w:p>
        </w:tc>
        <w:tc>
          <w:tcPr>
            <w:tcW w:w="1628" w:type="dxa"/>
            <w:tcBorders>
              <w:bottom w:val="single" w:sz="4" w:space="0" w:color="auto"/>
            </w:tcBorders>
          </w:tcPr>
          <w:p w14:paraId="49A57EDB" w14:textId="6BEDE0D1"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Number of events (%)</w:t>
            </w:r>
          </w:p>
        </w:tc>
        <w:tc>
          <w:tcPr>
            <w:tcW w:w="1557" w:type="dxa"/>
            <w:tcBorders>
              <w:bottom w:val="single" w:sz="4" w:space="0" w:color="auto"/>
            </w:tcBorders>
          </w:tcPr>
          <w:p w14:paraId="6D00804F" w14:textId="1FD69C07" w:rsidR="00D96224" w:rsidRPr="00D96224" w:rsidRDefault="00D96224" w:rsidP="00D96224">
            <w:pPr>
              <w:jc w:val="center"/>
              <w:rPr>
                <w:rFonts w:ascii="Times New Roman" w:hAnsi="Times New Roman" w:cs="Times New Roman"/>
                <w:i/>
                <w:sz w:val="20"/>
                <w:szCs w:val="20"/>
              </w:rPr>
            </w:pPr>
            <w:r w:rsidRPr="006B7992">
              <w:rPr>
                <w:rFonts w:ascii="Times New Roman" w:hAnsi="Times New Roman" w:cs="Times New Roman"/>
                <w:sz w:val="20"/>
                <w:szCs w:val="20"/>
              </w:rPr>
              <w:t>Time at risk (person-years)</w:t>
            </w:r>
          </w:p>
        </w:tc>
        <w:tc>
          <w:tcPr>
            <w:tcW w:w="1284" w:type="dxa"/>
            <w:tcBorders>
              <w:bottom w:val="single" w:sz="4" w:space="0" w:color="auto"/>
            </w:tcBorders>
          </w:tcPr>
          <w:p w14:paraId="47473974" w14:textId="072C73D1"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Incidence*</w:t>
            </w:r>
          </w:p>
        </w:tc>
        <w:tc>
          <w:tcPr>
            <w:tcW w:w="1816" w:type="dxa"/>
            <w:tcBorders>
              <w:bottom w:val="single" w:sz="4" w:space="0" w:color="auto"/>
            </w:tcBorders>
          </w:tcPr>
          <w:p w14:paraId="12740091" w14:textId="4F63C00A" w:rsidR="00D96224" w:rsidRPr="00D96224" w:rsidRDefault="00D96224" w:rsidP="00D96224">
            <w:pPr>
              <w:jc w:val="center"/>
              <w:rPr>
                <w:rFonts w:ascii="Times New Roman" w:hAnsi="Times New Roman" w:cs="Times New Roman"/>
                <w:sz w:val="20"/>
                <w:szCs w:val="20"/>
              </w:rPr>
            </w:pPr>
            <w:r w:rsidRPr="00D96224">
              <w:rPr>
                <w:rFonts w:ascii="Times New Roman" w:hAnsi="Times New Roman" w:cs="Times New Roman"/>
                <w:sz w:val="20"/>
                <w:szCs w:val="20"/>
              </w:rPr>
              <w:t>Adjusted† hazard ratio‡ (95% CI)</w:t>
            </w:r>
          </w:p>
        </w:tc>
      </w:tr>
      <w:tr w:rsidR="00D96224" w:rsidRPr="003423CA" w14:paraId="07A74388" w14:textId="19E974E9" w:rsidTr="00846A2A">
        <w:trPr>
          <w:trHeight w:val="196"/>
        </w:trPr>
        <w:tc>
          <w:tcPr>
            <w:tcW w:w="2338" w:type="dxa"/>
            <w:tcBorders>
              <w:top w:val="single" w:sz="4" w:space="0" w:color="auto"/>
            </w:tcBorders>
          </w:tcPr>
          <w:p w14:paraId="7D4EC561" w14:textId="77777777" w:rsidR="00D96224" w:rsidRPr="006B7992" w:rsidRDefault="00D96224" w:rsidP="00D96224">
            <w:pPr>
              <w:rPr>
                <w:rFonts w:ascii="Times New Roman" w:hAnsi="Times New Roman" w:cs="Times New Roman"/>
                <w:sz w:val="20"/>
                <w:szCs w:val="20"/>
              </w:rPr>
            </w:pPr>
            <w:r w:rsidRPr="006B7992">
              <w:rPr>
                <w:rFonts w:ascii="Times New Roman" w:hAnsi="Times New Roman" w:cs="Times New Roman"/>
                <w:sz w:val="20"/>
                <w:szCs w:val="20"/>
              </w:rPr>
              <w:t>Aged 18-59 years</w:t>
            </w:r>
          </w:p>
        </w:tc>
        <w:tc>
          <w:tcPr>
            <w:tcW w:w="784" w:type="dxa"/>
            <w:tcBorders>
              <w:top w:val="single" w:sz="4" w:space="0" w:color="auto"/>
            </w:tcBorders>
          </w:tcPr>
          <w:p w14:paraId="51F71293" w14:textId="77777777" w:rsidR="00D96224" w:rsidRPr="006B7992" w:rsidRDefault="00D96224" w:rsidP="00D96224">
            <w:pPr>
              <w:jc w:val="center"/>
              <w:rPr>
                <w:rFonts w:ascii="Times New Roman" w:hAnsi="Times New Roman" w:cs="Times New Roman"/>
                <w:sz w:val="20"/>
                <w:szCs w:val="20"/>
              </w:rPr>
            </w:pPr>
          </w:p>
        </w:tc>
        <w:tc>
          <w:tcPr>
            <w:tcW w:w="1221" w:type="dxa"/>
            <w:tcBorders>
              <w:top w:val="single" w:sz="4" w:space="0" w:color="auto"/>
            </w:tcBorders>
          </w:tcPr>
          <w:p w14:paraId="0E906074" w14:textId="77777777" w:rsidR="00D96224" w:rsidRPr="006B7992" w:rsidRDefault="00D96224" w:rsidP="00D96224">
            <w:pPr>
              <w:jc w:val="center"/>
              <w:rPr>
                <w:rFonts w:ascii="Times New Roman" w:hAnsi="Times New Roman" w:cs="Times New Roman"/>
                <w:sz w:val="20"/>
                <w:szCs w:val="20"/>
              </w:rPr>
            </w:pPr>
          </w:p>
        </w:tc>
        <w:tc>
          <w:tcPr>
            <w:tcW w:w="1481" w:type="dxa"/>
            <w:tcBorders>
              <w:top w:val="single" w:sz="4" w:space="0" w:color="auto"/>
            </w:tcBorders>
          </w:tcPr>
          <w:p w14:paraId="53D10DD1" w14:textId="77777777" w:rsidR="00D96224" w:rsidRPr="006B7992" w:rsidRDefault="00D96224" w:rsidP="00D96224">
            <w:pPr>
              <w:jc w:val="center"/>
              <w:rPr>
                <w:rFonts w:ascii="Times New Roman" w:hAnsi="Times New Roman" w:cs="Times New Roman"/>
                <w:sz w:val="20"/>
                <w:szCs w:val="20"/>
              </w:rPr>
            </w:pPr>
            <w:r w:rsidRPr="00D96224">
              <w:rPr>
                <w:rFonts w:ascii="Times New Roman" w:hAnsi="Times New Roman" w:cs="Times New Roman"/>
                <w:i/>
                <w:sz w:val="20"/>
                <w:szCs w:val="20"/>
              </w:rPr>
              <w:t>n</w:t>
            </w:r>
            <w:r w:rsidRPr="006B7992">
              <w:rPr>
                <w:rFonts w:ascii="Times New Roman" w:hAnsi="Times New Roman" w:cs="Times New Roman"/>
                <w:sz w:val="20"/>
                <w:szCs w:val="20"/>
              </w:rPr>
              <w:t>=37,024</w:t>
            </w:r>
          </w:p>
        </w:tc>
        <w:tc>
          <w:tcPr>
            <w:tcW w:w="1351" w:type="dxa"/>
            <w:tcBorders>
              <w:top w:val="single" w:sz="4" w:space="0" w:color="auto"/>
            </w:tcBorders>
          </w:tcPr>
          <w:p w14:paraId="160BF64D" w14:textId="77777777" w:rsidR="00D96224" w:rsidRPr="006B7992" w:rsidRDefault="00D96224" w:rsidP="00D96224">
            <w:pPr>
              <w:jc w:val="center"/>
              <w:rPr>
                <w:rFonts w:ascii="Times New Roman" w:hAnsi="Times New Roman" w:cs="Times New Roman"/>
                <w:sz w:val="20"/>
                <w:szCs w:val="20"/>
              </w:rPr>
            </w:pPr>
          </w:p>
        </w:tc>
        <w:tc>
          <w:tcPr>
            <w:tcW w:w="1628" w:type="dxa"/>
            <w:tcBorders>
              <w:top w:val="single" w:sz="4" w:space="0" w:color="auto"/>
            </w:tcBorders>
          </w:tcPr>
          <w:p w14:paraId="63F4A69C" w14:textId="77777777" w:rsidR="00D96224" w:rsidRPr="006B7992" w:rsidRDefault="00D96224" w:rsidP="00D96224">
            <w:pPr>
              <w:jc w:val="center"/>
              <w:rPr>
                <w:rFonts w:ascii="Times New Roman" w:hAnsi="Times New Roman" w:cs="Times New Roman"/>
                <w:sz w:val="20"/>
                <w:szCs w:val="20"/>
              </w:rPr>
            </w:pPr>
          </w:p>
        </w:tc>
        <w:tc>
          <w:tcPr>
            <w:tcW w:w="1557" w:type="dxa"/>
            <w:tcBorders>
              <w:top w:val="single" w:sz="4" w:space="0" w:color="auto"/>
            </w:tcBorders>
          </w:tcPr>
          <w:p w14:paraId="3BA8A92E" w14:textId="77777777" w:rsidR="00D96224" w:rsidRPr="006B7992" w:rsidRDefault="00D96224" w:rsidP="00D96224">
            <w:pPr>
              <w:jc w:val="center"/>
              <w:rPr>
                <w:rFonts w:ascii="Times New Roman" w:hAnsi="Times New Roman" w:cs="Times New Roman"/>
                <w:sz w:val="20"/>
                <w:szCs w:val="20"/>
              </w:rPr>
            </w:pPr>
            <w:r w:rsidRPr="00D96224">
              <w:rPr>
                <w:rFonts w:ascii="Times New Roman" w:hAnsi="Times New Roman" w:cs="Times New Roman"/>
                <w:i/>
                <w:sz w:val="20"/>
                <w:szCs w:val="20"/>
              </w:rPr>
              <w:t>n</w:t>
            </w:r>
            <w:r w:rsidRPr="006B7992">
              <w:rPr>
                <w:rFonts w:ascii="Times New Roman" w:hAnsi="Times New Roman" w:cs="Times New Roman"/>
                <w:sz w:val="20"/>
                <w:szCs w:val="20"/>
              </w:rPr>
              <w:t>=37,024</w:t>
            </w:r>
          </w:p>
        </w:tc>
        <w:tc>
          <w:tcPr>
            <w:tcW w:w="1284" w:type="dxa"/>
            <w:tcBorders>
              <w:top w:val="single" w:sz="4" w:space="0" w:color="auto"/>
            </w:tcBorders>
          </w:tcPr>
          <w:p w14:paraId="506F22E0" w14:textId="77777777" w:rsidR="00D96224" w:rsidRPr="006B7992" w:rsidRDefault="00D96224" w:rsidP="00D96224">
            <w:pPr>
              <w:jc w:val="center"/>
              <w:rPr>
                <w:rFonts w:ascii="Times New Roman" w:hAnsi="Times New Roman" w:cs="Times New Roman"/>
                <w:sz w:val="20"/>
                <w:szCs w:val="20"/>
              </w:rPr>
            </w:pPr>
          </w:p>
        </w:tc>
        <w:tc>
          <w:tcPr>
            <w:tcW w:w="1816" w:type="dxa"/>
            <w:tcBorders>
              <w:top w:val="single" w:sz="4" w:space="0" w:color="auto"/>
            </w:tcBorders>
          </w:tcPr>
          <w:p w14:paraId="2C36E171" w14:textId="77777777" w:rsidR="00D96224" w:rsidRPr="00D96224" w:rsidRDefault="00D96224" w:rsidP="00D96224">
            <w:pPr>
              <w:jc w:val="center"/>
              <w:rPr>
                <w:rFonts w:ascii="Times New Roman" w:hAnsi="Times New Roman" w:cs="Times New Roman"/>
                <w:sz w:val="20"/>
                <w:szCs w:val="20"/>
              </w:rPr>
            </w:pPr>
          </w:p>
        </w:tc>
      </w:tr>
      <w:tr w:rsidR="00D96224" w:rsidRPr="003423CA" w14:paraId="6AE960E3" w14:textId="50737AE0" w:rsidTr="00846A2A">
        <w:trPr>
          <w:trHeight w:val="196"/>
        </w:trPr>
        <w:tc>
          <w:tcPr>
            <w:tcW w:w="2338" w:type="dxa"/>
            <w:vMerge w:val="restart"/>
          </w:tcPr>
          <w:p w14:paraId="36D67D91" w14:textId="1266809F" w:rsidR="00D96224" w:rsidRPr="006B7992" w:rsidRDefault="00D96224" w:rsidP="00D96224">
            <w:pPr>
              <w:rPr>
                <w:rFonts w:ascii="Times New Roman" w:hAnsi="Times New Roman" w:cs="Times New Roman"/>
                <w:sz w:val="20"/>
                <w:szCs w:val="20"/>
              </w:rPr>
            </w:pPr>
            <w:r w:rsidRPr="006B7992">
              <w:rPr>
                <w:rFonts w:ascii="Times New Roman" w:hAnsi="Times New Roman" w:cs="Times New Roman"/>
                <w:sz w:val="20"/>
                <w:szCs w:val="20"/>
              </w:rPr>
              <w:t>All-cause</w:t>
            </w:r>
          </w:p>
        </w:tc>
        <w:tc>
          <w:tcPr>
            <w:tcW w:w="784" w:type="dxa"/>
          </w:tcPr>
          <w:p w14:paraId="5D9BF040" w14:textId="0256E139"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0–6m</w:t>
            </w:r>
          </w:p>
        </w:tc>
        <w:tc>
          <w:tcPr>
            <w:tcW w:w="1221" w:type="dxa"/>
          </w:tcPr>
          <w:p w14:paraId="425CB984"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512 (1.4)</w:t>
            </w:r>
          </w:p>
        </w:tc>
        <w:tc>
          <w:tcPr>
            <w:tcW w:w="1481" w:type="dxa"/>
          </w:tcPr>
          <w:p w14:paraId="7A45D6DD"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17,896.9</w:t>
            </w:r>
          </w:p>
        </w:tc>
        <w:tc>
          <w:tcPr>
            <w:tcW w:w="1351" w:type="dxa"/>
          </w:tcPr>
          <w:p w14:paraId="6450DB49"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286.1</w:t>
            </w:r>
          </w:p>
        </w:tc>
        <w:tc>
          <w:tcPr>
            <w:tcW w:w="1628" w:type="dxa"/>
          </w:tcPr>
          <w:p w14:paraId="0CF97B3B"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30 (0.08)</w:t>
            </w:r>
          </w:p>
        </w:tc>
        <w:tc>
          <w:tcPr>
            <w:tcW w:w="1557" w:type="dxa"/>
          </w:tcPr>
          <w:p w14:paraId="59F935A3"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18,001.4</w:t>
            </w:r>
          </w:p>
        </w:tc>
        <w:tc>
          <w:tcPr>
            <w:tcW w:w="1284" w:type="dxa"/>
          </w:tcPr>
          <w:p w14:paraId="488B98B0"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16.7</w:t>
            </w:r>
          </w:p>
        </w:tc>
        <w:tc>
          <w:tcPr>
            <w:tcW w:w="1816" w:type="dxa"/>
          </w:tcPr>
          <w:p w14:paraId="793DC082" w14:textId="2C566554" w:rsidR="00D96224" w:rsidRPr="00D96224" w:rsidRDefault="00D96224" w:rsidP="00D96224">
            <w:pPr>
              <w:jc w:val="center"/>
              <w:rPr>
                <w:rFonts w:ascii="Times New Roman" w:hAnsi="Times New Roman" w:cs="Times New Roman"/>
                <w:sz w:val="20"/>
                <w:szCs w:val="20"/>
              </w:rPr>
            </w:pPr>
            <w:r w:rsidRPr="00D96224">
              <w:rPr>
                <w:rFonts w:ascii="Times New Roman" w:hAnsi="Times New Roman" w:cs="Times New Roman"/>
                <w:sz w:val="20"/>
                <w:szCs w:val="20"/>
              </w:rPr>
              <w:t>11.7 (8.1, 17.0)</w:t>
            </w:r>
          </w:p>
        </w:tc>
      </w:tr>
      <w:tr w:rsidR="00D96224" w:rsidRPr="003423CA" w14:paraId="429B3979" w14:textId="510F32F6" w:rsidTr="00846A2A">
        <w:trPr>
          <w:trHeight w:val="196"/>
        </w:trPr>
        <w:tc>
          <w:tcPr>
            <w:tcW w:w="2338" w:type="dxa"/>
            <w:vMerge/>
          </w:tcPr>
          <w:p w14:paraId="1636C80C" w14:textId="77777777" w:rsidR="00D96224" w:rsidRPr="006B7992" w:rsidRDefault="00D96224" w:rsidP="00D96224">
            <w:pPr>
              <w:rPr>
                <w:rFonts w:ascii="Times New Roman" w:hAnsi="Times New Roman" w:cs="Times New Roman"/>
                <w:sz w:val="20"/>
                <w:szCs w:val="20"/>
              </w:rPr>
            </w:pPr>
          </w:p>
        </w:tc>
        <w:tc>
          <w:tcPr>
            <w:tcW w:w="784" w:type="dxa"/>
          </w:tcPr>
          <w:p w14:paraId="4EA53745" w14:textId="5A0B0719"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&gt;6m</w:t>
            </w:r>
          </w:p>
        </w:tc>
        <w:tc>
          <w:tcPr>
            <w:tcW w:w="1221" w:type="dxa"/>
          </w:tcPr>
          <w:p w14:paraId="334633C6"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1,467 (4.0)</w:t>
            </w:r>
          </w:p>
        </w:tc>
        <w:tc>
          <w:tcPr>
            <w:tcW w:w="1481" w:type="dxa"/>
          </w:tcPr>
          <w:p w14:paraId="273D0760"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251,019.6</w:t>
            </w:r>
          </w:p>
        </w:tc>
        <w:tc>
          <w:tcPr>
            <w:tcW w:w="1351" w:type="dxa"/>
          </w:tcPr>
          <w:p w14:paraId="6B50BC8C"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58.4</w:t>
            </w:r>
          </w:p>
        </w:tc>
        <w:tc>
          <w:tcPr>
            <w:tcW w:w="1628" w:type="dxa"/>
          </w:tcPr>
          <w:p w14:paraId="135E3C6D"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685 (1.9)</w:t>
            </w:r>
          </w:p>
        </w:tc>
        <w:tc>
          <w:tcPr>
            <w:tcW w:w="1557" w:type="dxa"/>
          </w:tcPr>
          <w:p w14:paraId="2140D4ED"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253,278.6</w:t>
            </w:r>
          </w:p>
        </w:tc>
        <w:tc>
          <w:tcPr>
            <w:tcW w:w="1284" w:type="dxa"/>
          </w:tcPr>
          <w:p w14:paraId="4F354BD5"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27.0</w:t>
            </w:r>
          </w:p>
        </w:tc>
        <w:tc>
          <w:tcPr>
            <w:tcW w:w="1816" w:type="dxa"/>
          </w:tcPr>
          <w:p w14:paraId="4F22EB65" w14:textId="097A01F7" w:rsidR="00D96224" w:rsidRPr="00D96224" w:rsidRDefault="00D96224" w:rsidP="00D96224">
            <w:pPr>
              <w:jc w:val="center"/>
              <w:rPr>
                <w:rFonts w:ascii="Times New Roman" w:hAnsi="Times New Roman" w:cs="Times New Roman"/>
                <w:sz w:val="20"/>
                <w:szCs w:val="20"/>
              </w:rPr>
            </w:pPr>
            <w:r w:rsidRPr="00D96224">
              <w:rPr>
                <w:rFonts w:ascii="Times New Roman" w:hAnsi="Times New Roman" w:cs="Times New Roman"/>
                <w:sz w:val="20"/>
                <w:szCs w:val="20"/>
              </w:rPr>
              <w:t>1.4 (1.3, 1.6)</w:t>
            </w:r>
          </w:p>
        </w:tc>
      </w:tr>
      <w:tr w:rsidR="00D96224" w:rsidRPr="003423CA" w14:paraId="6238B073" w14:textId="09AD6E57" w:rsidTr="00846A2A">
        <w:trPr>
          <w:trHeight w:val="211"/>
        </w:trPr>
        <w:tc>
          <w:tcPr>
            <w:tcW w:w="2338" w:type="dxa"/>
            <w:vMerge w:val="restart"/>
          </w:tcPr>
          <w:p w14:paraId="57F8A5C8" w14:textId="741C22AE" w:rsidR="00D96224" w:rsidRPr="006B7992" w:rsidRDefault="00D96224" w:rsidP="00D96224">
            <w:pPr>
              <w:rPr>
                <w:rFonts w:ascii="Times New Roman" w:hAnsi="Times New Roman" w:cs="Times New Roman"/>
                <w:sz w:val="20"/>
                <w:szCs w:val="20"/>
              </w:rPr>
            </w:pPr>
            <w:r w:rsidRPr="006B7992">
              <w:rPr>
                <w:rFonts w:ascii="Times New Roman" w:hAnsi="Times New Roman" w:cs="Times New Roman"/>
                <w:sz w:val="20"/>
                <w:szCs w:val="20"/>
              </w:rPr>
              <w:t>COPD-related</w:t>
            </w:r>
          </w:p>
        </w:tc>
        <w:tc>
          <w:tcPr>
            <w:tcW w:w="784" w:type="dxa"/>
          </w:tcPr>
          <w:p w14:paraId="78FCC6CA" w14:textId="108B21B1"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0–6m</w:t>
            </w:r>
          </w:p>
        </w:tc>
        <w:tc>
          <w:tcPr>
            <w:tcW w:w="1221" w:type="dxa"/>
          </w:tcPr>
          <w:p w14:paraId="14632B1F"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4 (0.01)</w:t>
            </w:r>
          </w:p>
        </w:tc>
        <w:tc>
          <w:tcPr>
            <w:tcW w:w="1481" w:type="dxa"/>
          </w:tcPr>
          <w:p w14:paraId="3B7A01EE"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17,896.9</w:t>
            </w:r>
          </w:p>
        </w:tc>
        <w:tc>
          <w:tcPr>
            <w:tcW w:w="1351" w:type="dxa"/>
          </w:tcPr>
          <w:p w14:paraId="52A8CDBE"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2.2</w:t>
            </w:r>
          </w:p>
        </w:tc>
        <w:tc>
          <w:tcPr>
            <w:tcW w:w="1628" w:type="dxa"/>
          </w:tcPr>
          <w:p w14:paraId="30E9DA66"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0 (0.0)</w:t>
            </w:r>
          </w:p>
        </w:tc>
        <w:tc>
          <w:tcPr>
            <w:tcW w:w="1557" w:type="dxa"/>
          </w:tcPr>
          <w:p w14:paraId="166C55DF"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18,001.4</w:t>
            </w:r>
          </w:p>
        </w:tc>
        <w:tc>
          <w:tcPr>
            <w:tcW w:w="1284" w:type="dxa"/>
          </w:tcPr>
          <w:p w14:paraId="5527052E"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0.0</w:t>
            </w:r>
          </w:p>
        </w:tc>
        <w:tc>
          <w:tcPr>
            <w:tcW w:w="1816" w:type="dxa"/>
          </w:tcPr>
          <w:p w14:paraId="5D6EC19E" w14:textId="28AA07EB" w:rsidR="00D96224" w:rsidRPr="00D96224" w:rsidRDefault="00D96224" w:rsidP="00D96224">
            <w:pPr>
              <w:jc w:val="center"/>
              <w:rPr>
                <w:rFonts w:ascii="Times New Roman" w:hAnsi="Times New Roman" w:cs="Times New Roman"/>
                <w:sz w:val="20"/>
                <w:szCs w:val="20"/>
              </w:rPr>
            </w:pPr>
            <w:r w:rsidRPr="00D96224">
              <w:rPr>
                <w:rFonts w:ascii="Times New Roman" w:hAnsi="Times New Roman" w:cs="Times New Roman"/>
                <w:sz w:val="20"/>
                <w:szCs w:val="20"/>
              </w:rPr>
              <w:t>-</w:t>
            </w:r>
          </w:p>
        </w:tc>
      </w:tr>
      <w:tr w:rsidR="00D96224" w:rsidRPr="003423CA" w14:paraId="3F3AB1E8" w14:textId="7D06A535" w:rsidTr="00846A2A">
        <w:trPr>
          <w:trHeight w:val="211"/>
        </w:trPr>
        <w:tc>
          <w:tcPr>
            <w:tcW w:w="2338" w:type="dxa"/>
            <w:vMerge/>
          </w:tcPr>
          <w:p w14:paraId="33D61ECB" w14:textId="77777777" w:rsidR="00D96224" w:rsidRPr="006B7992" w:rsidRDefault="00D96224" w:rsidP="00D96224">
            <w:pPr>
              <w:rPr>
                <w:rFonts w:ascii="Times New Roman" w:hAnsi="Times New Roman" w:cs="Times New Roman"/>
                <w:sz w:val="20"/>
                <w:szCs w:val="20"/>
              </w:rPr>
            </w:pPr>
          </w:p>
        </w:tc>
        <w:tc>
          <w:tcPr>
            <w:tcW w:w="784" w:type="dxa"/>
          </w:tcPr>
          <w:p w14:paraId="3868249E" w14:textId="44983C52"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&gt;6m</w:t>
            </w:r>
          </w:p>
        </w:tc>
        <w:tc>
          <w:tcPr>
            <w:tcW w:w="1221" w:type="dxa"/>
          </w:tcPr>
          <w:p w14:paraId="0E519732"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117 (0.3)</w:t>
            </w:r>
          </w:p>
        </w:tc>
        <w:tc>
          <w:tcPr>
            <w:tcW w:w="1481" w:type="dxa"/>
          </w:tcPr>
          <w:p w14:paraId="6B220BD0"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251,019.6</w:t>
            </w:r>
          </w:p>
        </w:tc>
        <w:tc>
          <w:tcPr>
            <w:tcW w:w="1351" w:type="dxa"/>
          </w:tcPr>
          <w:p w14:paraId="142C22AD"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4.7</w:t>
            </w:r>
          </w:p>
        </w:tc>
        <w:tc>
          <w:tcPr>
            <w:tcW w:w="1628" w:type="dxa"/>
          </w:tcPr>
          <w:p w14:paraId="7C3B00EA"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11 (0.03)</w:t>
            </w:r>
          </w:p>
        </w:tc>
        <w:tc>
          <w:tcPr>
            <w:tcW w:w="1557" w:type="dxa"/>
          </w:tcPr>
          <w:p w14:paraId="7E9F0871"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253,278.6</w:t>
            </w:r>
          </w:p>
        </w:tc>
        <w:tc>
          <w:tcPr>
            <w:tcW w:w="1284" w:type="dxa"/>
          </w:tcPr>
          <w:p w14:paraId="3613C592"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0.4</w:t>
            </w:r>
          </w:p>
        </w:tc>
        <w:tc>
          <w:tcPr>
            <w:tcW w:w="1816" w:type="dxa"/>
          </w:tcPr>
          <w:p w14:paraId="02FCE828" w14:textId="1DFE9C23" w:rsidR="00D96224" w:rsidRPr="00D96224" w:rsidRDefault="00D96224" w:rsidP="00D96224">
            <w:pPr>
              <w:jc w:val="center"/>
              <w:rPr>
                <w:rFonts w:ascii="Times New Roman" w:hAnsi="Times New Roman" w:cs="Times New Roman"/>
                <w:sz w:val="20"/>
                <w:szCs w:val="20"/>
              </w:rPr>
            </w:pPr>
            <w:r w:rsidRPr="00D96224">
              <w:rPr>
                <w:rFonts w:ascii="Times New Roman" w:hAnsi="Times New Roman" w:cs="Times New Roman"/>
                <w:sz w:val="20"/>
                <w:szCs w:val="20"/>
              </w:rPr>
              <w:t>2.8 (1.4, 5.6)</w:t>
            </w:r>
          </w:p>
        </w:tc>
      </w:tr>
      <w:tr w:rsidR="00D96224" w:rsidRPr="003423CA" w14:paraId="31B6BD97" w14:textId="3B62EA6C" w:rsidTr="00846A2A">
        <w:trPr>
          <w:trHeight w:val="211"/>
        </w:trPr>
        <w:tc>
          <w:tcPr>
            <w:tcW w:w="2338" w:type="dxa"/>
            <w:vMerge w:val="restart"/>
          </w:tcPr>
          <w:p w14:paraId="49C7F6E2" w14:textId="1F4EF866" w:rsidR="00D96224" w:rsidRPr="006B7992" w:rsidRDefault="00D96224" w:rsidP="00D96224">
            <w:pPr>
              <w:rPr>
                <w:rFonts w:ascii="Times New Roman" w:hAnsi="Times New Roman" w:cs="Times New Roman"/>
                <w:sz w:val="20"/>
                <w:szCs w:val="20"/>
              </w:rPr>
            </w:pPr>
            <w:r w:rsidRPr="006B7992">
              <w:rPr>
                <w:rFonts w:ascii="Times New Roman" w:hAnsi="Times New Roman" w:cs="Times New Roman"/>
                <w:sz w:val="20"/>
                <w:szCs w:val="20"/>
              </w:rPr>
              <w:t>IHD-related</w:t>
            </w:r>
          </w:p>
        </w:tc>
        <w:tc>
          <w:tcPr>
            <w:tcW w:w="784" w:type="dxa"/>
          </w:tcPr>
          <w:p w14:paraId="175721A2" w14:textId="0605F47F"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0–6m</w:t>
            </w:r>
          </w:p>
        </w:tc>
        <w:tc>
          <w:tcPr>
            <w:tcW w:w="1221" w:type="dxa"/>
          </w:tcPr>
          <w:p w14:paraId="04B1FC0D"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37 (0.1)</w:t>
            </w:r>
          </w:p>
        </w:tc>
        <w:tc>
          <w:tcPr>
            <w:tcW w:w="1481" w:type="dxa"/>
          </w:tcPr>
          <w:p w14:paraId="3B1F3B0A"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17,896.9</w:t>
            </w:r>
          </w:p>
        </w:tc>
        <w:tc>
          <w:tcPr>
            <w:tcW w:w="1351" w:type="dxa"/>
          </w:tcPr>
          <w:p w14:paraId="3828D0F1"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20.7</w:t>
            </w:r>
          </w:p>
        </w:tc>
        <w:tc>
          <w:tcPr>
            <w:tcW w:w="1628" w:type="dxa"/>
          </w:tcPr>
          <w:p w14:paraId="10E46D05"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 (0.01)</w:t>
            </w:r>
          </w:p>
        </w:tc>
        <w:tc>
          <w:tcPr>
            <w:tcW w:w="1557" w:type="dxa"/>
          </w:tcPr>
          <w:p w14:paraId="26370686"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18,001.4</w:t>
            </w:r>
          </w:p>
        </w:tc>
        <w:tc>
          <w:tcPr>
            <w:tcW w:w="1284" w:type="dxa"/>
          </w:tcPr>
          <w:p w14:paraId="280214E1"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1.1</w:t>
            </w:r>
          </w:p>
        </w:tc>
        <w:tc>
          <w:tcPr>
            <w:tcW w:w="1816" w:type="dxa"/>
          </w:tcPr>
          <w:p w14:paraId="5CC80B4D" w14:textId="4BB8B56B" w:rsidR="00D96224" w:rsidRPr="00D96224" w:rsidRDefault="00D96224" w:rsidP="00D96224">
            <w:pPr>
              <w:jc w:val="center"/>
              <w:rPr>
                <w:rFonts w:ascii="Times New Roman" w:hAnsi="Times New Roman" w:cs="Times New Roman"/>
                <w:sz w:val="20"/>
                <w:szCs w:val="20"/>
              </w:rPr>
            </w:pPr>
            <w:r w:rsidRPr="00D96224">
              <w:rPr>
                <w:rFonts w:ascii="Times New Roman" w:hAnsi="Times New Roman" w:cs="Times New Roman"/>
                <w:sz w:val="20"/>
                <w:szCs w:val="20"/>
              </w:rPr>
              <w:t>14.7 (3.5, 61.7)</w:t>
            </w:r>
          </w:p>
        </w:tc>
      </w:tr>
      <w:tr w:rsidR="00D96224" w:rsidRPr="003423CA" w14:paraId="6432B95D" w14:textId="01666031" w:rsidTr="00846A2A">
        <w:trPr>
          <w:trHeight w:val="211"/>
        </w:trPr>
        <w:tc>
          <w:tcPr>
            <w:tcW w:w="2338" w:type="dxa"/>
            <w:vMerge/>
          </w:tcPr>
          <w:p w14:paraId="4A942A83" w14:textId="77777777" w:rsidR="00D96224" w:rsidRPr="006B7992" w:rsidRDefault="00D96224" w:rsidP="00D96224">
            <w:pPr>
              <w:rPr>
                <w:rFonts w:ascii="Times New Roman" w:hAnsi="Times New Roman" w:cs="Times New Roman"/>
                <w:sz w:val="20"/>
                <w:szCs w:val="20"/>
              </w:rPr>
            </w:pPr>
          </w:p>
        </w:tc>
        <w:tc>
          <w:tcPr>
            <w:tcW w:w="784" w:type="dxa"/>
          </w:tcPr>
          <w:p w14:paraId="312FC992" w14:textId="2D815978"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&gt;6m</w:t>
            </w:r>
          </w:p>
        </w:tc>
        <w:tc>
          <w:tcPr>
            <w:tcW w:w="1221" w:type="dxa"/>
          </w:tcPr>
          <w:p w14:paraId="1154A1AF"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239 (0.6)</w:t>
            </w:r>
          </w:p>
        </w:tc>
        <w:tc>
          <w:tcPr>
            <w:tcW w:w="1481" w:type="dxa"/>
          </w:tcPr>
          <w:p w14:paraId="76CB8087"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251,019.6</w:t>
            </w:r>
          </w:p>
        </w:tc>
        <w:tc>
          <w:tcPr>
            <w:tcW w:w="1351" w:type="dxa"/>
          </w:tcPr>
          <w:p w14:paraId="780E9F98"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9.5</w:t>
            </w:r>
          </w:p>
        </w:tc>
        <w:tc>
          <w:tcPr>
            <w:tcW w:w="1628" w:type="dxa"/>
          </w:tcPr>
          <w:p w14:paraId="640D816E"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105 (0.3)</w:t>
            </w:r>
          </w:p>
        </w:tc>
        <w:tc>
          <w:tcPr>
            <w:tcW w:w="1557" w:type="dxa"/>
          </w:tcPr>
          <w:p w14:paraId="752B327F"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253,278.6</w:t>
            </w:r>
          </w:p>
        </w:tc>
        <w:tc>
          <w:tcPr>
            <w:tcW w:w="1284" w:type="dxa"/>
          </w:tcPr>
          <w:p w14:paraId="153D34AA"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4.1</w:t>
            </w:r>
          </w:p>
        </w:tc>
        <w:tc>
          <w:tcPr>
            <w:tcW w:w="1816" w:type="dxa"/>
          </w:tcPr>
          <w:p w14:paraId="4F84FBC3" w14:textId="0814A763" w:rsidR="00D96224" w:rsidRPr="00D96224" w:rsidRDefault="00D96224" w:rsidP="00D96224">
            <w:pPr>
              <w:jc w:val="center"/>
              <w:rPr>
                <w:rFonts w:ascii="Times New Roman" w:hAnsi="Times New Roman" w:cs="Times New Roman"/>
                <w:sz w:val="20"/>
                <w:szCs w:val="20"/>
              </w:rPr>
            </w:pPr>
            <w:r w:rsidRPr="00D96224">
              <w:rPr>
                <w:rFonts w:ascii="Times New Roman" w:hAnsi="Times New Roman" w:cs="Times New Roman"/>
                <w:sz w:val="20"/>
                <w:szCs w:val="20"/>
              </w:rPr>
              <w:t>1.6 (1.3, 2.1)</w:t>
            </w:r>
          </w:p>
        </w:tc>
      </w:tr>
      <w:tr w:rsidR="00D96224" w:rsidRPr="003423CA" w14:paraId="5EE98D9E" w14:textId="3BBB3804" w:rsidTr="00846A2A">
        <w:trPr>
          <w:trHeight w:val="211"/>
        </w:trPr>
        <w:tc>
          <w:tcPr>
            <w:tcW w:w="2338" w:type="dxa"/>
          </w:tcPr>
          <w:p w14:paraId="7D1F706F" w14:textId="77777777" w:rsidR="00D96224" w:rsidRPr="006B7992" w:rsidRDefault="00D96224" w:rsidP="00D96224">
            <w:pPr>
              <w:rPr>
                <w:rFonts w:ascii="Times New Roman" w:hAnsi="Times New Roman" w:cs="Times New Roman"/>
                <w:sz w:val="20"/>
                <w:szCs w:val="20"/>
              </w:rPr>
            </w:pPr>
          </w:p>
        </w:tc>
        <w:tc>
          <w:tcPr>
            <w:tcW w:w="784" w:type="dxa"/>
          </w:tcPr>
          <w:p w14:paraId="3A295872" w14:textId="77777777" w:rsidR="00D96224" w:rsidRPr="006B7992" w:rsidRDefault="00D96224" w:rsidP="00D96224">
            <w:pPr>
              <w:jc w:val="center"/>
              <w:rPr>
                <w:rFonts w:ascii="Times New Roman" w:hAnsi="Times New Roman" w:cs="Times New Roman"/>
                <w:sz w:val="20"/>
                <w:szCs w:val="20"/>
              </w:rPr>
            </w:pPr>
          </w:p>
        </w:tc>
        <w:tc>
          <w:tcPr>
            <w:tcW w:w="1221" w:type="dxa"/>
          </w:tcPr>
          <w:p w14:paraId="5F32ECA5" w14:textId="77777777" w:rsidR="00D96224" w:rsidRPr="006B7992" w:rsidRDefault="00D96224" w:rsidP="00D96224">
            <w:pPr>
              <w:jc w:val="center"/>
              <w:rPr>
                <w:rFonts w:ascii="Times New Roman" w:hAnsi="Times New Roman" w:cs="Times New Roman"/>
                <w:sz w:val="20"/>
                <w:szCs w:val="20"/>
              </w:rPr>
            </w:pPr>
          </w:p>
        </w:tc>
        <w:tc>
          <w:tcPr>
            <w:tcW w:w="1481" w:type="dxa"/>
          </w:tcPr>
          <w:p w14:paraId="3FAD70F9" w14:textId="77777777" w:rsidR="00D96224" w:rsidRPr="006B7992" w:rsidRDefault="00D96224" w:rsidP="00D96224">
            <w:pPr>
              <w:jc w:val="center"/>
              <w:rPr>
                <w:rFonts w:ascii="Times New Roman" w:hAnsi="Times New Roman" w:cs="Times New Roman"/>
                <w:sz w:val="20"/>
                <w:szCs w:val="20"/>
              </w:rPr>
            </w:pPr>
          </w:p>
        </w:tc>
        <w:tc>
          <w:tcPr>
            <w:tcW w:w="1351" w:type="dxa"/>
          </w:tcPr>
          <w:p w14:paraId="7BD3E409" w14:textId="77777777" w:rsidR="00D96224" w:rsidRPr="006B7992" w:rsidRDefault="00D96224" w:rsidP="00D96224">
            <w:pPr>
              <w:jc w:val="center"/>
              <w:rPr>
                <w:rFonts w:ascii="Times New Roman" w:hAnsi="Times New Roman" w:cs="Times New Roman"/>
                <w:sz w:val="20"/>
                <w:szCs w:val="20"/>
              </w:rPr>
            </w:pPr>
          </w:p>
        </w:tc>
        <w:tc>
          <w:tcPr>
            <w:tcW w:w="1628" w:type="dxa"/>
          </w:tcPr>
          <w:p w14:paraId="0AE01679" w14:textId="77777777" w:rsidR="00D96224" w:rsidRPr="006B7992" w:rsidRDefault="00D96224" w:rsidP="00D96224">
            <w:pPr>
              <w:jc w:val="center"/>
              <w:rPr>
                <w:rFonts w:ascii="Times New Roman" w:hAnsi="Times New Roman" w:cs="Times New Roman"/>
                <w:sz w:val="20"/>
                <w:szCs w:val="20"/>
              </w:rPr>
            </w:pPr>
          </w:p>
        </w:tc>
        <w:tc>
          <w:tcPr>
            <w:tcW w:w="1557" w:type="dxa"/>
          </w:tcPr>
          <w:p w14:paraId="51CAD455" w14:textId="77777777" w:rsidR="00D96224" w:rsidRPr="006B7992" w:rsidRDefault="00D96224" w:rsidP="00D96224">
            <w:pPr>
              <w:jc w:val="center"/>
              <w:rPr>
                <w:rFonts w:ascii="Times New Roman" w:hAnsi="Times New Roman" w:cs="Times New Roman"/>
                <w:sz w:val="20"/>
                <w:szCs w:val="20"/>
              </w:rPr>
            </w:pPr>
          </w:p>
        </w:tc>
        <w:tc>
          <w:tcPr>
            <w:tcW w:w="1284" w:type="dxa"/>
          </w:tcPr>
          <w:p w14:paraId="6D409971" w14:textId="77777777" w:rsidR="00D96224" w:rsidRPr="006B7992" w:rsidRDefault="00D96224" w:rsidP="00D96224">
            <w:pPr>
              <w:jc w:val="center"/>
              <w:rPr>
                <w:rFonts w:ascii="Times New Roman" w:hAnsi="Times New Roman" w:cs="Times New Roman"/>
                <w:sz w:val="20"/>
                <w:szCs w:val="20"/>
              </w:rPr>
            </w:pPr>
          </w:p>
        </w:tc>
        <w:tc>
          <w:tcPr>
            <w:tcW w:w="1816" w:type="dxa"/>
          </w:tcPr>
          <w:p w14:paraId="1860BE08" w14:textId="77777777" w:rsidR="00D96224" w:rsidRPr="00D96224" w:rsidRDefault="00D96224" w:rsidP="00D96224">
            <w:pPr>
              <w:jc w:val="center"/>
              <w:rPr>
                <w:rFonts w:ascii="Times New Roman" w:hAnsi="Times New Roman" w:cs="Times New Roman"/>
                <w:sz w:val="20"/>
                <w:szCs w:val="20"/>
              </w:rPr>
            </w:pPr>
          </w:p>
        </w:tc>
      </w:tr>
      <w:tr w:rsidR="00D96224" w:rsidRPr="003423CA" w14:paraId="6D6DF226" w14:textId="526704CF" w:rsidTr="00846A2A">
        <w:trPr>
          <w:trHeight w:val="211"/>
        </w:trPr>
        <w:tc>
          <w:tcPr>
            <w:tcW w:w="2338" w:type="dxa"/>
          </w:tcPr>
          <w:p w14:paraId="08FE1D93" w14:textId="77777777" w:rsidR="00D96224" w:rsidRPr="006B7992" w:rsidRDefault="00D96224" w:rsidP="00D96224">
            <w:pPr>
              <w:rPr>
                <w:rFonts w:ascii="Times New Roman" w:hAnsi="Times New Roman" w:cs="Times New Roman"/>
                <w:sz w:val="20"/>
                <w:szCs w:val="20"/>
              </w:rPr>
            </w:pPr>
            <w:r w:rsidRPr="006B7992">
              <w:rPr>
                <w:rFonts w:ascii="Times New Roman" w:hAnsi="Times New Roman" w:cs="Times New Roman"/>
                <w:sz w:val="20"/>
                <w:szCs w:val="20"/>
              </w:rPr>
              <w:t>Aged 60 years and above</w:t>
            </w:r>
          </w:p>
        </w:tc>
        <w:tc>
          <w:tcPr>
            <w:tcW w:w="784" w:type="dxa"/>
          </w:tcPr>
          <w:p w14:paraId="17C13C63" w14:textId="77777777" w:rsidR="00D96224" w:rsidRPr="006B7992" w:rsidRDefault="00D96224" w:rsidP="00D96224">
            <w:pPr>
              <w:jc w:val="center"/>
              <w:rPr>
                <w:rFonts w:ascii="Times New Roman" w:hAnsi="Times New Roman" w:cs="Times New Roman"/>
                <w:sz w:val="20"/>
                <w:szCs w:val="20"/>
              </w:rPr>
            </w:pPr>
          </w:p>
        </w:tc>
        <w:tc>
          <w:tcPr>
            <w:tcW w:w="1221" w:type="dxa"/>
          </w:tcPr>
          <w:p w14:paraId="6B366D57" w14:textId="77777777" w:rsidR="00D96224" w:rsidRPr="006B7992" w:rsidRDefault="00D96224" w:rsidP="00D96224">
            <w:pPr>
              <w:jc w:val="center"/>
              <w:rPr>
                <w:rFonts w:ascii="Times New Roman" w:hAnsi="Times New Roman" w:cs="Times New Roman"/>
                <w:sz w:val="20"/>
                <w:szCs w:val="20"/>
              </w:rPr>
            </w:pPr>
          </w:p>
        </w:tc>
        <w:tc>
          <w:tcPr>
            <w:tcW w:w="1481" w:type="dxa"/>
          </w:tcPr>
          <w:p w14:paraId="220D9878" w14:textId="77777777" w:rsidR="00D96224" w:rsidRPr="006B7992" w:rsidRDefault="00D96224" w:rsidP="00D96224">
            <w:pPr>
              <w:jc w:val="center"/>
              <w:rPr>
                <w:rFonts w:ascii="Times New Roman" w:hAnsi="Times New Roman" w:cs="Times New Roman"/>
                <w:sz w:val="20"/>
                <w:szCs w:val="20"/>
              </w:rPr>
            </w:pPr>
            <w:r w:rsidRPr="00D96224">
              <w:rPr>
                <w:rFonts w:ascii="Times New Roman" w:hAnsi="Times New Roman" w:cs="Times New Roman"/>
                <w:i/>
                <w:sz w:val="20"/>
                <w:szCs w:val="20"/>
              </w:rPr>
              <w:t>n</w:t>
            </w:r>
            <w:r w:rsidRPr="006B7992">
              <w:rPr>
                <w:rFonts w:ascii="Times New Roman" w:hAnsi="Times New Roman" w:cs="Times New Roman"/>
                <w:sz w:val="20"/>
                <w:szCs w:val="20"/>
              </w:rPr>
              <w:t>=38,674</w:t>
            </w:r>
          </w:p>
        </w:tc>
        <w:tc>
          <w:tcPr>
            <w:tcW w:w="1351" w:type="dxa"/>
          </w:tcPr>
          <w:p w14:paraId="7E9F02CA" w14:textId="77777777" w:rsidR="00D96224" w:rsidRPr="006B7992" w:rsidRDefault="00D96224" w:rsidP="00D96224">
            <w:pPr>
              <w:jc w:val="center"/>
              <w:rPr>
                <w:rFonts w:ascii="Times New Roman" w:hAnsi="Times New Roman" w:cs="Times New Roman"/>
                <w:sz w:val="20"/>
                <w:szCs w:val="20"/>
              </w:rPr>
            </w:pPr>
          </w:p>
        </w:tc>
        <w:tc>
          <w:tcPr>
            <w:tcW w:w="1628" w:type="dxa"/>
          </w:tcPr>
          <w:p w14:paraId="353AFF5C" w14:textId="77777777" w:rsidR="00D96224" w:rsidRPr="006B7992" w:rsidRDefault="00D96224" w:rsidP="00D96224">
            <w:pPr>
              <w:jc w:val="center"/>
              <w:rPr>
                <w:rFonts w:ascii="Times New Roman" w:hAnsi="Times New Roman" w:cs="Times New Roman"/>
                <w:sz w:val="20"/>
                <w:szCs w:val="20"/>
              </w:rPr>
            </w:pPr>
          </w:p>
        </w:tc>
        <w:tc>
          <w:tcPr>
            <w:tcW w:w="1557" w:type="dxa"/>
          </w:tcPr>
          <w:p w14:paraId="33634F8E" w14:textId="77777777" w:rsidR="00D96224" w:rsidRPr="006B7992" w:rsidRDefault="00D96224" w:rsidP="00D96224">
            <w:pPr>
              <w:jc w:val="center"/>
              <w:rPr>
                <w:rFonts w:ascii="Times New Roman" w:hAnsi="Times New Roman" w:cs="Times New Roman"/>
                <w:sz w:val="20"/>
                <w:szCs w:val="20"/>
              </w:rPr>
            </w:pPr>
            <w:r w:rsidRPr="00D96224">
              <w:rPr>
                <w:rFonts w:ascii="Times New Roman" w:hAnsi="Times New Roman" w:cs="Times New Roman"/>
                <w:i/>
                <w:sz w:val="20"/>
                <w:szCs w:val="20"/>
              </w:rPr>
              <w:t>n</w:t>
            </w:r>
            <w:r w:rsidRPr="006B7992">
              <w:rPr>
                <w:rFonts w:ascii="Times New Roman" w:hAnsi="Times New Roman" w:cs="Times New Roman"/>
                <w:sz w:val="20"/>
                <w:szCs w:val="20"/>
              </w:rPr>
              <w:t>=38,674</w:t>
            </w:r>
          </w:p>
        </w:tc>
        <w:tc>
          <w:tcPr>
            <w:tcW w:w="1284" w:type="dxa"/>
          </w:tcPr>
          <w:p w14:paraId="03EFB9FB" w14:textId="77777777" w:rsidR="00D96224" w:rsidRPr="006B7992" w:rsidRDefault="00D96224" w:rsidP="00D96224">
            <w:pPr>
              <w:jc w:val="center"/>
              <w:rPr>
                <w:rFonts w:ascii="Times New Roman" w:hAnsi="Times New Roman" w:cs="Times New Roman"/>
                <w:sz w:val="20"/>
                <w:szCs w:val="20"/>
              </w:rPr>
            </w:pPr>
          </w:p>
        </w:tc>
        <w:tc>
          <w:tcPr>
            <w:tcW w:w="1816" w:type="dxa"/>
          </w:tcPr>
          <w:p w14:paraId="5530531D" w14:textId="77777777" w:rsidR="00D96224" w:rsidRPr="00D96224" w:rsidRDefault="00D96224" w:rsidP="00D96224">
            <w:pPr>
              <w:jc w:val="center"/>
              <w:rPr>
                <w:rFonts w:ascii="Times New Roman" w:hAnsi="Times New Roman" w:cs="Times New Roman"/>
                <w:sz w:val="20"/>
                <w:szCs w:val="20"/>
              </w:rPr>
            </w:pPr>
          </w:p>
        </w:tc>
      </w:tr>
      <w:tr w:rsidR="00D96224" w:rsidRPr="003423CA" w14:paraId="5FCF01BF" w14:textId="39F1582D" w:rsidTr="00846A2A">
        <w:trPr>
          <w:trHeight w:val="211"/>
        </w:trPr>
        <w:tc>
          <w:tcPr>
            <w:tcW w:w="2338" w:type="dxa"/>
            <w:vMerge w:val="restart"/>
          </w:tcPr>
          <w:p w14:paraId="2DEF9D6F" w14:textId="56522650" w:rsidR="00D96224" w:rsidRPr="006B7992" w:rsidRDefault="00D96224" w:rsidP="00D96224">
            <w:pPr>
              <w:rPr>
                <w:rFonts w:ascii="Times New Roman" w:hAnsi="Times New Roman" w:cs="Times New Roman"/>
                <w:sz w:val="20"/>
                <w:szCs w:val="20"/>
              </w:rPr>
            </w:pPr>
            <w:r w:rsidRPr="006B7992">
              <w:rPr>
                <w:rFonts w:ascii="Times New Roman" w:hAnsi="Times New Roman" w:cs="Times New Roman"/>
                <w:sz w:val="20"/>
                <w:szCs w:val="20"/>
              </w:rPr>
              <w:t>All-cause</w:t>
            </w:r>
          </w:p>
        </w:tc>
        <w:tc>
          <w:tcPr>
            <w:tcW w:w="784" w:type="dxa"/>
          </w:tcPr>
          <w:p w14:paraId="5C776817" w14:textId="685C110A"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0–6m</w:t>
            </w:r>
          </w:p>
        </w:tc>
        <w:tc>
          <w:tcPr>
            <w:tcW w:w="1221" w:type="dxa"/>
          </w:tcPr>
          <w:p w14:paraId="6BE1201B"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2,607 (6.7)</w:t>
            </w:r>
          </w:p>
        </w:tc>
        <w:tc>
          <w:tcPr>
            <w:tcW w:w="1481" w:type="dxa"/>
          </w:tcPr>
          <w:p w14:paraId="36999F46"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18,065.4</w:t>
            </w:r>
          </w:p>
        </w:tc>
        <w:tc>
          <w:tcPr>
            <w:tcW w:w="1351" w:type="dxa"/>
          </w:tcPr>
          <w:p w14:paraId="3E8016D3"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1,443.1</w:t>
            </w:r>
          </w:p>
        </w:tc>
        <w:tc>
          <w:tcPr>
            <w:tcW w:w="1628" w:type="dxa"/>
          </w:tcPr>
          <w:p w14:paraId="52F860B0"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393 (1.0)</w:t>
            </w:r>
          </w:p>
        </w:tc>
        <w:tc>
          <w:tcPr>
            <w:tcW w:w="1557" w:type="dxa"/>
          </w:tcPr>
          <w:p w14:paraId="1DA21715"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18,800.5</w:t>
            </w:r>
          </w:p>
        </w:tc>
        <w:tc>
          <w:tcPr>
            <w:tcW w:w="1284" w:type="dxa"/>
          </w:tcPr>
          <w:p w14:paraId="6E5C3D9E"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209.0</w:t>
            </w:r>
          </w:p>
        </w:tc>
        <w:tc>
          <w:tcPr>
            <w:tcW w:w="1816" w:type="dxa"/>
          </w:tcPr>
          <w:p w14:paraId="7AD08B9D" w14:textId="6AF41994" w:rsidR="00D96224" w:rsidRPr="00D96224" w:rsidRDefault="00D96224" w:rsidP="00D96224">
            <w:pPr>
              <w:jc w:val="center"/>
              <w:rPr>
                <w:rFonts w:ascii="Times New Roman" w:hAnsi="Times New Roman" w:cs="Times New Roman"/>
                <w:sz w:val="20"/>
                <w:szCs w:val="20"/>
              </w:rPr>
            </w:pPr>
            <w:r w:rsidRPr="00D96224">
              <w:rPr>
                <w:rFonts w:ascii="Times New Roman" w:hAnsi="Times New Roman" w:cs="Times New Roman"/>
                <w:sz w:val="20"/>
                <w:szCs w:val="20"/>
              </w:rPr>
              <w:t>5.6 (5.0, 6.2)</w:t>
            </w:r>
          </w:p>
        </w:tc>
      </w:tr>
      <w:tr w:rsidR="00D96224" w:rsidRPr="003423CA" w14:paraId="7D7AAC2A" w14:textId="2D88FB00" w:rsidTr="00846A2A">
        <w:trPr>
          <w:trHeight w:val="211"/>
        </w:trPr>
        <w:tc>
          <w:tcPr>
            <w:tcW w:w="2338" w:type="dxa"/>
            <w:vMerge/>
          </w:tcPr>
          <w:p w14:paraId="2382F77F" w14:textId="77777777" w:rsidR="00D96224" w:rsidRPr="006B7992" w:rsidRDefault="00D96224" w:rsidP="00D96224">
            <w:pPr>
              <w:rPr>
                <w:rFonts w:ascii="Times New Roman" w:hAnsi="Times New Roman" w:cs="Times New Roman"/>
                <w:sz w:val="20"/>
                <w:szCs w:val="20"/>
              </w:rPr>
            </w:pPr>
          </w:p>
        </w:tc>
        <w:tc>
          <w:tcPr>
            <w:tcW w:w="784" w:type="dxa"/>
          </w:tcPr>
          <w:p w14:paraId="725D8752" w14:textId="2F068C9E"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&gt;6m</w:t>
            </w:r>
          </w:p>
        </w:tc>
        <w:tc>
          <w:tcPr>
            <w:tcW w:w="1221" w:type="dxa"/>
          </w:tcPr>
          <w:p w14:paraId="091D39DF"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9,784 (25.3)</w:t>
            </w:r>
          </w:p>
        </w:tc>
        <w:tc>
          <w:tcPr>
            <w:tcW w:w="1481" w:type="dxa"/>
          </w:tcPr>
          <w:p w14:paraId="4141D4D6"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211,040.9</w:t>
            </w:r>
          </w:p>
        </w:tc>
        <w:tc>
          <w:tcPr>
            <w:tcW w:w="1351" w:type="dxa"/>
          </w:tcPr>
          <w:p w14:paraId="158EF1C2"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463.6</w:t>
            </w:r>
          </w:p>
        </w:tc>
        <w:tc>
          <w:tcPr>
            <w:tcW w:w="1628" w:type="dxa"/>
          </w:tcPr>
          <w:p w14:paraId="27DD550D"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7,041 (18.2)</w:t>
            </w:r>
          </w:p>
        </w:tc>
        <w:tc>
          <w:tcPr>
            <w:tcW w:w="1557" w:type="dxa"/>
          </w:tcPr>
          <w:p w14:paraId="7114A8B0"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236,338.3</w:t>
            </w:r>
          </w:p>
        </w:tc>
        <w:tc>
          <w:tcPr>
            <w:tcW w:w="1284" w:type="dxa"/>
          </w:tcPr>
          <w:p w14:paraId="40986764"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297.9</w:t>
            </w:r>
          </w:p>
        </w:tc>
        <w:tc>
          <w:tcPr>
            <w:tcW w:w="1816" w:type="dxa"/>
          </w:tcPr>
          <w:p w14:paraId="7B11F74D" w14:textId="31863ABA" w:rsidR="00D96224" w:rsidRPr="00D96224" w:rsidRDefault="00D96224" w:rsidP="00D96224">
            <w:pPr>
              <w:jc w:val="center"/>
              <w:rPr>
                <w:rFonts w:ascii="Times New Roman" w:hAnsi="Times New Roman" w:cs="Times New Roman"/>
                <w:sz w:val="20"/>
                <w:szCs w:val="20"/>
              </w:rPr>
            </w:pPr>
            <w:r w:rsidRPr="00D96224">
              <w:rPr>
                <w:rFonts w:ascii="Times New Roman" w:hAnsi="Times New Roman" w:cs="Times New Roman"/>
                <w:sz w:val="20"/>
                <w:szCs w:val="20"/>
              </w:rPr>
              <w:t>1.2 (1.1, 1.3)</w:t>
            </w:r>
          </w:p>
        </w:tc>
      </w:tr>
      <w:tr w:rsidR="00D96224" w:rsidRPr="003423CA" w14:paraId="6E937AE0" w14:textId="7B495009" w:rsidTr="00846A2A">
        <w:trPr>
          <w:trHeight w:val="211"/>
        </w:trPr>
        <w:tc>
          <w:tcPr>
            <w:tcW w:w="2338" w:type="dxa"/>
            <w:vMerge w:val="restart"/>
          </w:tcPr>
          <w:p w14:paraId="662BB699" w14:textId="294D5707" w:rsidR="00D96224" w:rsidRPr="006B7992" w:rsidRDefault="00D96224" w:rsidP="00D96224">
            <w:pPr>
              <w:rPr>
                <w:rFonts w:ascii="Times New Roman" w:hAnsi="Times New Roman" w:cs="Times New Roman"/>
                <w:sz w:val="20"/>
                <w:szCs w:val="20"/>
              </w:rPr>
            </w:pPr>
            <w:r w:rsidRPr="006B7992">
              <w:rPr>
                <w:rFonts w:ascii="Times New Roman" w:hAnsi="Times New Roman" w:cs="Times New Roman"/>
                <w:sz w:val="20"/>
                <w:szCs w:val="20"/>
              </w:rPr>
              <w:t>COPD-related</w:t>
            </w:r>
          </w:p>
        </w:tc>
        <w:tc>
          <w:tcPr>
            <w:tcW w:w="784" w:type="dxa"/>
          </w:tcPr>
          <w:p w14:paraId="360908CA" w14:textId="6A89149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0–6m</w:t>
            </w:r>
          </w:p>
        </w:tc>
        <w:tc>
          <w:tcPr>
            <w:tcW w:w="1221" w:type="dxa"/>
          </w:tcPr>
          <w:p w14:paraId="13A2F4DE"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74 (0.2)</w:t>
            </w:r>
          </w:p>
        </w:tc>
        <w:tc>
          <w:tcPr>
            <w:tcW w:w="1481" w:type="dxa"/>
          </w:tcPr>
          <w:p w14:paraId="6D98A710"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18,065.4</w:t>
            </w:r>
          </w:p>
        </w:tc>
        <w:tc>
          <w:tcPr>
            <w:tcW w:w="1351" w:type="dxa"/>
          </w:tcPr>
          <w:p w14:paraId="144DF66B"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41.0</w:t>
            </w:r>
          </w:p>
        </w:tc>
        <w:tc>
          <w:tcPr>
            <w:tcW w:w="1628" w:type="dxa"/>
          </w:tcPr>
          <w:p w14:paraId="0DF3260A"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5 (0.01)</w:t>
            </w:r>
          </w:p>
        </w:tc>
        <w:tc>
          <w:tcPr>
            <w:tcW w:w="1557" w:type="dxa"/>
          </w:tcPr>
          <w:p w14:paraId="440705D4"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18,800.5</w:t>
            </w:r>
          </w:p>
        </w:tc>
        <w:tc>
          <w:tcPr>
            <w:tcW w:w="1284" w:type="dxa"/>
          </w:tcPr>
          <w:p w14:paraId="5C7778B2"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2.7</w:t>
            </w:r>
          </w:p>
        </w:tc>
        <w:tc>
          <w:tcPr>
            <w:tcW w:w="1816" w:type="dxa"/>
          </w:tcPr>
          <w:p w14:paraId="46906E44" w14:textId="0587C412" w:rsidR="00D96224" w:rsidRPr="00D96224" w:rsidRDefault="00D96224" w:rsidP="00D96224">
            <w:pPr>
              <w:jc w:val="center"/>
              <w:rPr>
                <w:rFonts w:ascii="Times New Roman" w:hAnsi="Times New Roman" w:cs="Times New Roman"/>
                <w:sz w:val="20"/>
                <w:szCs w:val="20"/>
              </w:rPr>
            </w:pPr>
            <w:r w:rsidRPr="00D96224">
              <w:rPr>
                <w:rFonts w:ascii="Times New Roman" w:hAnsi="Times New Roman" w:cs="Times New Roman"/>
                <w:sz w:val="20"/>
                <w:szCs w:val="20"/>
              </w:rPr>
              <w:t>9.8 (3.9, 24.5)</w:t>
            </w:r>
          </w:p>
        </w:tc>
      </w:tr>
      <w:tr w:rsidR="00D96224" w:rsidRPr="003423CA" w14:paraId="6374966F" w14:textId="2DE3106E" w:rsidTr="00846A2A">
        <w:trPr>
          <w:trHeight w:val="211"/>
        </w:trPr>
        <w:tc>
          <w:tcPr>
            <w:tcW w:w="2338" w:type="dxa"/>
            <w:vMerge/>
          </w:tcPr>
          <w:p w14:paraId="2ADDE2E8" w14:textId="77777777" w:rsidR="00D96224" w:rsidRPr="006B7992" w:rsidRDefault="00D96224" w:rsidP="00D96224">
            <w:pPr>
              <w:rPr>
                <w:rFonts w:ascii="Times New Roman" w:hAnsi="Times New Roman" w:cs="Times New Roman"/>
                <w:sz w:val="20"/>
                <w:szCs w:val="20"/>
              </w:rPr>
            </w:pPr>
          </w:p>
        </w:tc>
        <w:tc>
          <w:tcPr>
            <w:tcW w:w="784" w:type="dxa"/>
          </w:tcPr>
          <w:p w14:paraId="1D5697C1" w14:textId="27E7C2BE"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&gt;6m</w:t>
            </w:r>
          </w:p>
        </w:tc>
        <w:tc>
          <w:tcPr>
            <w:tcW w:w="1221" w:type="dxa"/>
          </w:tcPr>
          <w:p w14:paraId="1E0886CE"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913 (2.4)</w:t>
            </w:r>
          </w:p>
        </w:tc>
        <w:tc>
          <w:tcPr>
            <w:tcW w:w="1481" w:type="dxa"/>
          </w:tcPr>
          <w:p w14:paraId="48284F72"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211,040.9</w:t>
            </w:r>
          </w:p>
        </w:tc>
        <w:tc>
          <w:tcPr>
            <w:tcW w:w="1351" w:type="dxa"/>
          </w:tcPr>
          <w:p w14:paraId="4D7CB49C"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43.3</w:t>
            </w:r>
          </w:p>
        </w:tc>
        <w:tc>
          <w:tcPr>
            <w:tcW w:w="1628" w:type="dxa"/>
          </w:tcPr>
          <w:p w14:paraId="4429A99A"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187 (0.5)</w:t>
            </w:r>
          </w:p>
        </w:tc>
        <w:tc>
          <w:tcPr>
            <w:tcW w:w="1557" w:type="dxa"/>
          </w:tcPr>
          <w:p w14:paraId="0D5C4620"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236,338.3</w:t>
            </w:r>
          </w:p>
        </w:tc>
        <w:tc>
          <w:tcPr>
            <w:tcW w:w="1284" w:type="dxa"/>
          </w:tcPr>
          <w:p w14:paraId="27FAF08D"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7.9</w:t>
            </w:r>
          </w:p>
        </w:tc>
        <w:tc>
          <w:tcPr>
            <w:tcW w:w="1816" w:type="dxa"/>
          </w:tcPr>
          <w:p w14:paraId="7AFA0ABF" w14:textId="4479997E" w:rsidR="00D96224" w:rsidRPr="00D96224" w:rsidRDefault="00D96224" w:rsidP="00D96224">
            <w:pPr>
              <w:jc w:val="center"/>
              <w:rPr>
                <w:rFonts w:ascii="Times New Roman" w:hAnsi="Times New Roman" w:cs="Times New Roman"/>
                <w:sz w:val="20"/>
                <w:szCs w:val="20"/>
              </w:rPr>
            </w:pPr>
            <w:r w:rsidRPr="00D96224">
              <w:rPr>
                <w:rFonts w:ascii="Times New Roman" w:hAnsi="Times New Roman" w:cs="Times New Roman"/>
                <w:sz w:val="20"/>
                <w:szCs w:val="20"/>
              </w:rPr>
              <w:t>1.6 (1.3, 1.9)</w:t>
            </w:r>
          </w:p>
        </w:tc>
      </w:tr>
      <w:tr w:rsidR="00D96224" w:rsidRPr="003423CA" w14:paraId="2F66346F" w14:textId="657B49D4" w:rsidTr="00846A2A">
        <w:trPr>
          <w:trHeight w:val="211"/>
        </w:trPr>
        <w:tc>
          <w:tcPr>
            <w:tcW w:w="2338" w:type="dxa"/>
            <w:vMerge w:val="restart"/>
          </w:tcPr>
          <w:p w14:paraId="0ABC09E7" w14:textId="0126BD5B" w:rsidR="00D96224" w:rsidRPr="006B7992" w:rsidRDefault="00D96224" w:rsidP="00D96224">
            <w:pPr>
              <w:rPr>
                <w:rFonts w:ascii="Times New Roman" w:hAnsi="Times New Roman" w:cs="Times New Roman"/>
                <w:sz w:val="20"/>
                <w:szCs w:val="20"/>
              </w:rPr>
            </w:pPr>
            <w:r w:rsidRPr="006B7992">
              <w:rPr>
                <w:rFonts w:ascii="Times New Roman" w:hAnsi="Times New Roman" w:cs="Times New Roman"/>
                <w:sz w:val="20"/>
                <w:szCs w:val="20"/>
              </w:rPr>
              <w:t>IHD-related</w:t>
            </w:r>
          </w:p>
        </w:tc>
        <w:tc>
          <w:tcPr>
            <w:tcW w:w="784" w:type="dxa"/>
          </w:tcPr>
          <w:p w14:paraId="6AD493C5" w14:textId="617DF00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0–6m</w:t>
            </w:r>
          </w:p>
        </w:tc>
        <w:tc>
          <w:tcPr>
            <w:tcW w:w="1221" w:type="dxa"/>
          </w:tcPr>
          <w:p w14:paraId="7835D6E3"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415 (1.1)</w:t>
            </w:r>
          </w:p>
        </w:tc>
        <w:tc>
          <w:tcPr>
            <w:tcW w:w="1481" w:type="dxa"/>
          </w:tcPr>
          <w:p w14:paraId="4481B914"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18,065.4</w:t>
            </w:r>
          </w:p>
        </w:tc>
        <w:tc>
          <w:tcPr>
            <w:tcW w:w="1351" w:type="dxa"/>
          </w:tcPr>
          <w:p w14:paraId="3FA5FC6C"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229.7</w:t>
            </w:r>
          </w:p>
        </w:tc>
        <w:tc>
          <w:tcPr>
            <w:tcW w:w="1628" w:type="dxa"/>
          </w:tcPr>
          <w:p w14:paraId="5DD19200"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68 (0.2)</w:t>
            </w:r>
          </w:p>
        </w:tc>
        <w:tc>
          <w:tcPr>
            <w:tcW w:w="1557" w:type="dxa"/>
          </w:tcPr>
          <w:p w14:paraId="4BDAF0E0"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18,800.5</w:t>
            </w:r>
          </w:p>
        </w:tc>
        <w:tc>
          <w:tcPr>
            <w:tcW w:w="1284" w:type="dxa"/>
          </w:tcPr>
          <w:p w14:paraId="2957AA47"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36.2</w:t>
            </w:r>
          </w:p>
        </w:tc>
        <w:tc>
          <w:tcPr>
            <w:tcW w:w="1816" w:type="dxa"/>
          </w:tcPr>
          <w:p w14:paraId="45CC4160" w14:textId="08023E09" w:rsidR="00D96224" w:rsidRPr="00D96224" w:rsidRDefault="00D96224" w:rsidP="00D96224">
            <w:pPr>
              <w:jc w:val="center"/>
              <w:rPr>
                <w:rFonts w:ascii="Times New Roman" w:hAnsi="Times New Roman" w:cs="Times New Roman"/>
                <w:sz w:val="20"/>
                <w:szCs w:val="20"/>
              </w:rPr>
            </w:pPr>
            <w:r w:rsidRPr="00D96224">
              <w:rPr>
                <w:rFonts w:ascii="Times New Roman" w:hAnsi="Times New Roman" w:cs="Times New Roman"/>
                <w:sz w:val="20"/>
                <w:szCs w:val="20"/>
              </w:rPr>
              <w:t>4.7 (3.6, 6.1)</w:t>
            </w:r>
          </w:p>
        </w:tc>
      </w:tr>
      <w:tr w:rsidR="00D96224" w:rsidRPr="003423CA" w14:paraId="603AC5F4" w14:textId="47F4E747" w:rsidTr="00846A2A">
        <w:trPr>
          <w:trHeight w:val="211"/>
        </w:trPr>
        <w:tc>
          <w:tcPr>
            <w:tcW w:w="2338" w:type="dxa"/>
            <w:vMerge/>
            <w:tcBorders>
              <w:bottom w:val="single" w:sz="4" w:space="0" w:color="auto"/>
            </w:tcBorders>
          </w:tcPr>
          <w:p w14:paraId="7EF640D7" w14:textId="77777777" w:rsidR="00D96224" w:rsidRPr="006B7992" w:rsidRDefault="00D96224" w:rsidP="00D96224">
            <w:pPr>
              <w:rPr>
                <w:rFonts w:ascii="Times New Roman" w:hAnsi="Times New Roman" w:cs="Times New Roman"/>
                <w:sz w:val="20"/>
                <w:szCs w:val="20"/>
              </w:rPr>
            </w:pPr>
          </w:p>
        </w:tc>
        <w:tc>
          <w:tcPr>
            <w:tcW w:w="784" w:type="dxa"/>
            <w:tcBorders>
              <w:bottom w:val="single" w:sz="4" w:space="0" w:color="auto"/>
            </w:tcBorders>
          </w:tcPr>
          <w:p w14:paraId="482272FD" w14:textId="376E1569"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&gt;6m</w:t>
            </w:r>
          </w:p>
        </w:tc>
        <w:tc>
          <w:tcPr>
            <w:tcW w:w="1221" w:type="dxa"/>
            <w:tcBorders>
              <w:bottom w:val="single" w:sz="4" w:space="0" w:color="auto"/>
            </w:tcBorders>
          </w:tcPr>
          <w:p w14:paraId="6CA2298D"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2,760 (7.1)</w:t>
            </w:r>
          </w:p>
        </w:tc>
        <w:tc>
          <w:tcPr>
            <w:tcW w:w="1481" w:type="dxa"/>
            <w:tcBorders>
              <w:bottom w:val="single" w:sz="4" w:space="0" w:color="auto"/>
            </w:tcBorders>
          </w:tcPr>
          <w:p w14:paraId="2420F7AB"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211,040.9</w:t>
            </w:r>
          </w:p>
        </w:tc>
        <w:tc>
          <w:tcPr>
            <w:tcW w:w="1351" w:type="dxa"/>
            <w:tcBorders>
              <w:bottom w:val="single" w:sz="4" w:space="0" w:color="auto"/>
            </w:tcBorders>
          </w:tcPr>
          <w:p w14:paraId="1FCA0EE6"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130.8</w:t>
            </w:r>
          </w:p>
        </w:tc>
        <w:tc>
          <w:tcPr>
            <w:tcW w:w="1628" w:type="dxa"/>
            <w:tcBorders>
              <w:bottom w:val="single" w:sz="4" w:space="0" w:color="auto"/>
            </w:tcBorders>
          </w:tcPr>
          <w:p w14:paraId="25AA54BD"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1,520 (3.9)</w:t>
            </w:r>
          </w:p>
        </w:tc>
        <w:tc>
          <w:tcPr>
            <w:tcW w:w="1557" w:type="dxa"/>
            <w:tcBorders>
              <w:bottom w:val="single" w:sz="4" w:space="0" w:color="auto"/>
            </w:tcBorders>
          </w:tcPr>
          <w:p w14:paraId="12819F92"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236,338.3</w:t>
            </w:r>
          </w:p>
        </w:tc>
        <w:tc>
          <w:tcPr>
            <w:tcW w:w="1284" w:type="dxa"/>
            <w:tcBorders>
              <w:bottom w:val="single" w:sz="4" w:space="0" w:color="auto"/>
            </w:tcBorders>
          </w:tcPr>
          <w:p w14:paraId="11D34D67" w14:textId="77777777" w:rsidR="00D96224" w:rsidRPr="006B7992" w:rsidRDefault="00D96224" w:rsidP="00D96224">
            <w:pPr>
              <w:jc w:val="center"/>
              <w:rPr>
                <w:rFonts w:ascii="Times New Roman" w:hAnsi="Times New Roman" w:cs="Times New Roman"/>
                <w:sz w:val="20"/>
                <w:szCs w:val="20"/>
              </w:rPr>
            </w:pPr>
            <w:r w:rsidRPr="006B7992">
              <w:rPr>
                <w:rFonts w:ascii="Times New Roman" w:hAnsi="Times New Roman" w:cs="Times New Roman"/>
                <w:sz w:val="20"/>
                <w:szCs w:val="20"/>
              </w:rPr>
              <w:t>64.3</w:t>
            </w:r>
          </w:p>
        </w:tc>
        <w:tc>
          <w:tcPr>
            <w:tcW w:w="1816" w:type="dxa"/>
            <w:tcBorders>
              <w:bottom w:val="single" w:sz="4" w:space="0" w:color="auto"/>
            </w:tcBorders>
          </w:tcPr>
          <w:p w14:paraId="19595BBF" w14:textId="591288C7" w:rsidR="00D96224" w:rsidRPr="00D96224" w:rsidRDefault="00D96224" w:rsidP="00D96224">
            <w:pPr>
              <w:jc w:val="center"/>
              <w:rPr>
                <w:rFonts w:ascii="Times New Roman" w:hAnsi="Times New Roman" w:cs="Times New Roman"/>
                <w:sz w:val="20"/>
                <w:szCs w:val="20"/>
              </w:rPr>
            </w:pPr>
            <w:r w:rsidRPr="00D96224">
              <w:rPr>
                <w:rFonts w:ascii="Times New Roman" w:hAnsi="Times New Roman" w:cs="Times New Roman"/>
                <w:sz w:val="20"/>
                <w:szCs w:val="20"/>
              </w:rPr>
              <w:t>1.2 (1.1, 1.3)</w:t>
            </w:r>
          </w:p>
        </w:tc>
      </w:tr>
    </w:tbl>
    <w:p w14:paraId="04E5C73C" w14:textId="7C216632" w:rsidR="00D96224" w:rsidRDefault="00D96224" w:rsidP="00D96224">
      <w:pPr>
        <w:spacing w:after="0" w:line="240" w:lineRule="auto"/>
        <w:rPr>
          <w:rFonts w:ascii="Times New Roman" w:hAnsi="Times New Roman" w:cs="Times New Roman"/>
          <w:sz w:val="20"/>
          <w:szCs w:val="20"/>
        </w:rPr>
      </w:pPr>
      <w:r>
        <w:rPr>
          <w:rFonts w:ascii="Times New Roman" w:hAnsi="Times New Roman" w:cs="Times New Roman"/>
          <w:sz w:val="20"/>
          <w:szCs w:val="20"/>
        </w:rPr>
        <w:t>*Per 10,000 person-years. †A</w:t>
      </w:r>
      <w:r w:rsidRPr="0090121C">
        <w:rPr>
          <w:rFonts w:ascii="Times New Roman" w:hAnsi="Times New Roman" w:cs="Times New Roman"/>
          <w:sz w:val="20"/>
          <w:szCs w:val="20"/>
        </w:rPr>
        <w:t>djusted for index year, age, gender, region, ever smoking, ever alcohol drinking, BMI,</w:t>
      </w:r>
      <w:r>
        <w:rPr>
          <w:rFonts w:ascii="Times New Roman" w:hAnsi="Times New Roman" w:cs="Times New Roman"/>
          <w:sz w:val="20"/>
          <w:szCs w:val="20"/>
        </w:rPr>
        <w:t xml:space="preserve"> deprivation level, comorbidity</w:t>
      </w:r>
      <w:r w:rsidRPr="0090121C">
        <w:rPr>
          <w:rFonts w:ascii="Times New Roman" w:hAnsi="Times New Roman" w:cs="Times New Roman"/>
          <w:sz w:val="20"/>
          <w:szCs w:val="20"/>
        </w:rPr>
        <w:t>, cough and sputum, inflammatory conditions, depression and anxiety, diabetes, non-specific chest pain, musculoskeletal pain</w:t>
      </w:r>
      <w:r>
        <w:rPr>
          <w:rFonts w:ascii="Times New Roman" w:hAnsi="Times New Roman" w:cs="Times New Roman"/>
          <w:sz w:val="20"/>
          <w:szCs w:val="20"/>
        </w:rPr>
        <w:t xml:space="preserve"> and later diagnosis; </w:t>
      </w:r>
      <w:r w:rsidRPr="005B40CD">
        <w:rPr>
          <w:rFonts w:ascii="Times New Roman" w:hAnsi="Times New Roman" w:cs="Times New Roman"/>
          <w:sz w:val="20"/>
          <w:szCs w:val="20"/>
        </w:rPr>
        <w:t>Later diagno</w:t>
      </w:r>
      <w:r>
        <w:rPr>
          <w:rFonts w:ascii="Times New Roman" w:hAnsi="Times New Roman" w:cs="Times New Roman"/>
          <w:sz w:val="20"/>
          <w:szCs w:val="20"/>
        </w:rPr>
        <w:t>sis as a time-varying covariate;</w:t>
      </w:r>
      <w:r w:rsidRPr="005B40CD">
        <w:rPr>
          <w:rFonts w:ascii="Times New Roman" w:hAnsi="Times New Roman" w:cs="Times New Roman"/>
          <w:sz w:val="20"/>
          <w:szCs w:val="20"/>
        </w:rPr>
        <w:t xml:space="preserve"> For all-cause mortality, later diagnosis is </w:t>
      </w:r>
      <w:r>
        <w:rPr>
          <w:rFonts w:ascii="Times New Roman" w:hAnsi="Times New Roman" w:cs="Times New Roman"/>
          <w:sz w:val="20"/>
          <w:szCs w:val="20"/>
        </w:rPr>
        <w:t xml:space="preserve">the </w:t>
      </w:r>
      <w:r w:rsidRPr="005B40CD">
        <w:rPr>
          <w:rFonts w:ascii="Times New Roman" w:hAnsi="Times New Roman" w:cs="Times New Roman"/>
          <w:sz w:val="20"/>
          <w:szCs w:val="20"/>
        </w:rPr>
        <w:t>earliest diagnosis of asthma, COPD or IHD.</w:t>
      </w:r>
      <w:r>
        <w:rPr>
          <w:rFonts w:ascii="Times New Roman" w:hAnsi="Times New Roman" w:cs="Times New Roman"/>
          <w:sz w:val="20"/>
          <w:szCs w:val="20"/>
        </w:rPr>
        <w:t xml:space="preserve"> ‡</w:t>
      </w:r>
      <w:r w:rsidRPr="005B40CD">
        <w:rPr>
          <w:rFonts w:ascii="Times New Roman" w:hAnsi="Times New Roman" w:cs="Times New Roman"/>
          <w:sz w:val="20"/>
          <w:szCs w:val="20"/>
        </w:rPr>
        <w:t>Sub-distribution hazard ratio was used in completing risk models for disease-specific mortality</w:t>
      </w:r>
      <w:r>
        <w:rPr>
          <w:rFonts w:ascii="Times New Roman" w:hAnsi="Times New Roman" w:cs="Times New Roman"/>
          <w:sz w:val="20"/>
          <w:szCs w:val="20"/>
        </w:rPr>
        <w:t xml:space="preserve"> (</w:t>
      </w:r>
      <w:r w:rsidRPr="005B40CD">
        <w:rPr>
          <w:rFonts w:ascii="Times New Roman" w:hAnsi="Times New Roman" w:cs="Times New Roman"/>
          <w:sz w:val="20"/>
          <w:szCs w:val="20"/>
        </w:rPr>
        <w:t>other death w</w:t>
      </w:r>
      <w:r>
        <w:rPr>
          <w:rFonts w:ascii="Times New Roman" w:hAnsi="Times New Roman" w:cs="Times New Roman"/>
          <w:sz w:val="20"/>
          <w:szCs w:val="20"/>
        </w:rPr>
        <w:t>as</w:t>
      </w:r>
      <w:r w:rsidRPr="005B40CD">
        <w:rPr>
          <w:rFonts w:ascii="Times New Roman" w:hAnsi="Times New Roman" w:cs="Times New Roman"/>
          <w:sz w:val="20"/>
          <w:szCs w:val="20"/>
        </w:rPr>
        <w:t xml:space="preserve"> treated as competing events</w:t>
      </w:r>
      <w:r>
        <w:rPr>
          <w:rFonts w:ascii="Times New Roman" w:hAnsi="Times New Roman" w:cs="Times New Roman"/>
          <w:sz w:val="20"/>
          <w:szCs w:val="20"/>
        </w:rPr>
        <w:t>)</w:t>
      </w:r>
      <w:r w:rsidRPr="005B40CD">
        <w:rPr>
          <w:rFonts w:ascii="Times New Roman" w:hAnsi="Times New Roman" w:cs="Times New Roman"/>
          <w:sz w:val="20"/>
          <w:szCs w:val="20"/>
        </w:rPr>
        <w:t xml:space="preserve">; and hazard ratio in Cox models for all-cause mortality. </w:t>
      </w:r>
    </w:p>
    <w:p w14:paraId="3B178D46" w14:textId="395EC5A7" w:rsidR="006B7992" w:rsidRDefault="006B7992" w:rsidP="006B7992">
      <w:pPr>
        <w:spacing w:after="0" w:line="240" w:lineRule="auto"/>
        <w:rPr>
          <w:rFonts w:ascii="Times New Roman" w:hAnsi="Times New Roman" w:cs="Times New Roman"/>
          <w:sz w:val="20"/>
          <w:szCs w:val="20"/>
        </w:rPr>
      </w:pPr>
    </w:p>
    <w:p w14:paraId="0B8D9B42" w14:textId="77777777" w:rsidR="00D474F2" w:rsidRPr="008B47DA" w:rsidRDefault="00D474F2" w:rsidP="006B7992">
      <w:pPr>
        <w:spacing w:after="0" w:line="240" w:lineRule="auto"/>
        <w:rPr>
          <w:rFonts w:ascii="Times New Roman" w:hAnsi="Times New Roman" w:cs="Times New Roman"/>
          <w:sz w:val="20"/>
          <w:szCs w:val="20"/>
        </w:rPr>
      </w:pPr>
    </w:p>
    <w:sectPr w:rsidR="00D474F2" w:rsidRPr="008B47DA" w:rsidSect="008B47D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3AD34" w14:textId="77777777" w:rsidR="00B81034" w:rsidRDefault="00B81034">
      <w:pPr>
        <w:spacing w:after="0" w:line="240" w:lineRule="auto"/>
      </w:pPr>
      <w:r>
        <w:separator/>
      </w:r>
    </w:p>
  </w:endnote>
  <w:endnote w:type="continuationSeparator" w:id="0">
    <w:p w14:paraId="7D46A1F8" w14:textId="77777777" w:rsidR="00B81034" w:rsidRDefault="00B8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449689"/>
      <w:docPartObj>
        <w:docPartGallery w:val="Page Numbers (Bottom of Page)"/>
        <w:docPartUnique/>
      </w:docPartObj>
    </w:sdtPr>
    <w:sdtEndPr>
      <w:rPr>
        <w:noProof/>
      </w:rPr>
    </w:sdtEndPr>
    <w:sdtContent>
      <w:p w14:paraId="52F96511" w14:textId="1C76722B" w:rsidR="00B81034" w:rsidRDefault="00B81034" w:rsidP="00D474F2">
        <w:pPr>
          <w:pStyle w:val="Footer"/>
          <w:jc w:val="right"/>
        </w:pPr>
        <w:r>
          <w:fldChar w:fldCharType="begin"/>
        </w:r>
        <w:r>
          <w:instrText xml:space="preserve"> PAGE   \* MERGEFORMAT </w:instrText>
        </w:r>
        <w:r>
          <w:fldChar w:fldCharType="separate"/>
        </w:r>
        <w:r w:rsidR="00067E86">
          <w:rPr>
            <w:noProof/>
          </w:rPr>
          <w:t>14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277359"/>
      <w:docPartObj>
        <w:docPartGallery w:val="Page Numbers (Bottom of Page)"/>
        <w:docPartUnique/>
      </w:docPartObj>
    </w:sdtPr>
    <w:sdtEndPr>
      <w:rPr>
        <w:noProof/>
      </w:rPr>
    </w:sdtEndPr>
    <w:sdtContent>
      <w:p w14:paraId="5E6EA1DD" w14:textId="556AA232" w:rsidR="00B81034" w:rsidRDefault="00B81034" w:rsidP="00D474F2">
        <w:pPr>
          <w:pStyle w:val="Footer"/>
          <w:jc w:val="right"/>
        </w:pPr>
        <w:r>
          <w:fldChar w:fldCharType="begin"/>
        </w:r>
        <w:r>
          <w:instrText xml:space="preserve"> PAGE   \* MERGEFORMAT </w:instrText>
        </w:r>
        <w:r>
          <w:fldChar w:fldCharType="separate"/>
        </w:r>
        <w:r w:rsidR="00067E86">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5EE9E" w14:textId="77777777" w:rsidR="00B81034" w:rsidRDefault="00B81034">
      <w:pPr>
        <w:spacing w:after="0" w:line="240" w:lineRule="auto"/>
      </w:pPr>
      <w:r>
        <w:separator/>
      </w:r>
    </w:p>
  </w:footnote>
  <w:footnote w:type="continuationSeparator" w:id="0">
    <w:p w14:paraId="331DCD22" w14:textId="77777777" w:rsidR="00B81034" w:rsidRDefault="00B8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D71F3"/>
    <w:multiLevelType w:val="hybridMultilevel"/>
    <w:tmpl w:val="DCCAAE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C55E47"/>
    <w:multiLevelType w:val="multilevel"/>
    <w:tmpl w:val="4808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23"/>
    <w:rsid w:val="00000667"/>
    <w:rsid w:val="000038DE"/>
    <w:rsid w:val="000045A4"/>
    <w:rsid w:val="00005AB5"/>
    <w:rsid w:val="00006EA0"/>
    <w:rsid w:val="0000727F"/>
    <w:rsid w:val="00007844"/>
    <w:rsid w:val="000102D2"/>
    <w:rsid w:val="0001115A"/>
    <w:rsid w:val="00012648"/>
    <w:rsid w:val="000138F3"/>
    <w:rsid w:val="000140A0"/>
    <w:rsid w:val="00015C74"/>
    <w:rsid w:val="000167D2"/>
    <w:rsid w:val="0001706F"/>
    <w:rsid w:val="0001731C"/>
    <w:rsid w:val="00017AF6"/>
    <w:rsid w:val="000228ED"/>
    <w:rsid w:val="00025DF4"/>
    <w:rsid w:val="000260B7"/>
    <w:rsid w:val="00027038"/>
    <w:rsid w:val="000278B9"/>
    <w:rsid w:val="000310AA"/>
    <w:rsid w:val="00034AAA"/>
    <w:rsid w:val="00035298"/>
    <w:rsid w:val="00037B73"/>
    <w:rsid w:val="00047AA1"/>
    <w:rsid w:val="00047B9E"/>
    <w:rsid w:val="00047F68"/>
    <w:rsid w:val="00050925"/>
    <w:rsid w:val="00053EB8"/>
    <w:rsid w:val="000567F1"/>
    <w:rsid w:val="0005686F"/>
    <w:rsid w:val="00056FF7"/>
    <w:rsid w:val="00062D49"/>
    <w:rsid w:val="00062E51"/>
    <w:rsid w:val="00064A26"/>
    <w:rsid w:val="0006573C"/>
    <w:rsid w:val="00067E86"/>
    <w:rsid w:val="0007009A"/>
    <w:rsid w:val="000703DC"/>
    <w:rsid w:val="00072368"/>
    <w:rsid w:val="00072C3D"/>
    <w:rsid w:val="00073FF1"/>
    <w:rsid w:val="000748D0"/>
    <w:rsid w:val="000817C4"/>
    <w:rsid w:val="00081E4C"/>
    <w:rsid w:val="00081E61"/>
    <w:rsid w:val="00085EAF"/>
    <w:rsid w:val="0009162B"/>
    <w:rsid w:val="00092B39"/>
    <w:rsid w:val="0009391A"/>
    <w:rsid w:val="0009587C"/>
    <w:rsid w:val="00095C40"/>
    <w:rsid w:val="00096042"/>
    <w:rsid w:val="000A06A3"/>
    <w:rsid w:val="000A37E2"/>
    <w:rsid w:val="000A5F9E"/>
    <w:rsid w:val="000A69BC"/>
    <w:rsid w:val="000A75F3"/>
    <w:rsid w:val="000A7BC5"/>
    <w:rsid w:val="000A7CB4"/>
    <w:rsid w:val="000B0087"/>
    <w:rsid w:val="000B2793"/>
    <w:rsid w:val="000B3956"/>
    <w:rsid w:val="000B4B42"/>
    <w:rsid w:val="000B6619"/>
    <w:rsid w:val="000C1F35"/>
    <w:rsid w:val="000C2A58"/>
    <w:rsid w:val="000C4F6E"/>
    <w:rsid w:val="000C53A9"/>
    <w:rsid w:val="000C56DD"/>
    <w:rsid w:val="000C60C5"/>
    <w:rsid w:val="000C76DC"/>
    <w:rsid w:val="000D1C7B"/>
    <w:rsid w:val="000D2255"/>
    <w:rsid w:val="000D2BFE"/>
    <w:rsid w:val="000D461C"/>
    <w:rsid w:val="000D5A62"/>
    <w:rsid w:val="000E0494"/>
    <w:rsid w:val="000E215E"/>
    <w:rsid w:val="000E2D26"/>
    <w:rsid w:val="000E3BE6"/>
    <w:rsid w:val="000E467A"/>
    <w:rsid w:val="000E547B"/>
    <w:rsid w:val="000E6CCE"/>
    <w:rsid w:val="000F25F8"/>
    <w:rsid w:val="000F30ED"/>
    <w:rsid w:val="000F3ABE"/>
    <w:rsid w:val="000F4679"/>
    <w:rsid w:val="0010118F"/>
    <w:rsid w:val="00103931"/>
    <w:rsid w:val="00104F40"/>
    <w:rsid w:val="00105342"/>
    <w:rsid w:val="00107312"/>
    <w:rsid w:val="0010787B"/>
    <w:rsid w:val="0011181E"/>
    <w:rsid w:val="0011563D"/>
    <w:rsid w:val="00117695"/>
    <w:rsid w:val="00122163"/>
    <w:rsid w:val="001276B1"/>
    <w:rsid w:val="00130503"/>
    <w:rsid w:val="001319B6"/>
    <w:rsid w:val="0013200E"/>
    <w:rsid w:val="00132145"/>
    <w:rsid w:val="00133947"/>
    <w:rsid w:val="00140493"/>
    <w:rsid w:val="00140740"/>
    <w:rsid w:val="0014098D"/>
    <w:rsid w:val="00142AFB"/>
    <w:rsid w:val="001445C4"/>
    <w:rsid w:val="00144645"/>
    <w:rsid w:val="00145854"/>
    <w:rsid w:val="00145E1F"/>
    <w:rsid w:val="00152BC3"/>
    <w:rsid w:val="00154638"/>
    <w:rsid w:val="00154B18"/>
    <w:rsid w:val="00155127"/>
    <w:rsid w:val="00155947"/>
    <w:rsid w:val="001561DC"/>
    <w:rsid w:val="00162893"/>
    <w:rsid w:val="00163B0B"/>
    <w:rsid w:val="00164592"/>
    <w:rsid w:val="00166E8E"/>
    <w:rsid w:val="001677B4"/>
    <w:rsid w:val="0017268A"/>
    <w:rsid w:val="001734C0"/>
    <w:rsid w:val="001770B9"/>
    <w:rsid w:val="00177FA7"/>
    <w:rsid w:val="00192E66"/>
    <w:rsid w:val="001940DF"/>
    <w:rsid w:val="00197EEF"/>
    <w:rsid w:val="001A0186"/>
    <w:rsid w:val="001A1F8B"/>
    <w:rsid w:val="001A3083"/>
    <w:rsid w:val="001A5276"/>
    <w:rsid w:val="001A72EB"/>
    <w:rsid w:val="001B0556"/>
    <w:rsid w:val="001B1115"/>
    <w:rsid w:val="001B1F34"/>
    <w:rsid w:val="001B31E2"/>
    <w:rsid w:val="001B5E64"/>
    <w:rsid w:val="001B6832"/>
    <w:rsid w:val="001C1109"/>
    <w:rsid w:val="001C27CA"/>
    <w:rsid w:val="001D173C"/>
    <w:rsid w:val="001D3891"/>
    <w:rsid w:val="001D5827"/>
    <w:rsid w:val="001D5C19"/>
    <w:rsid w:val="001D5FEF"/>
    <w:rsid w:val="001E1E96"/>
    <w:rsid w:val="001E2C77"/>
    <w:rsid w:val="001E32FB"/>
    <w:rsid w:val="001E3547"/>
    <w:rsid w:val="001E6D8E"/>
    <w:rsid w:val="001E71BE"/>
    <w:rsid w:val="001E7ABB"/>
    <w:rsid w:val="001F0754"/>
    <w:rsid w:val="001F2040"/>
    <w:rsid w:val="001F3A37"/>
    <w:rsid w:val="001F554C"/>
    <w:rsid w:val="001F6108"/>
    <w:rsid w:val="001F6877"/>
    <w:rsid w:val="001F6D70"/>
    <w:rsid w:val="001F7759"/>
    <w:rsid w:val="001F7E36"/>
    <w:rsid w:val="00203102"/>
    <w:rsid w:val="00203158"/>
    <w:rsid w:val="00204E7D"/>
    <w:rsid w:val="00205A45"/>
    <w:rsid w:val="0020643E"/>
    <w:rsid w:val="00210DCF"/>
    <w:rsid w:val="002117C3"/>
    <w:rsid w:val="00212837"/>
    <w:rsid w:val="00213476"/>
    <w:rsid w:val="00213846"/>
    <w:rsid w:val="00216D8B"/>
    <w:rsid w:val="00217AFC"/>
    <w:rsid w:val="002210A3"/>
    <w:rsid w:val="0022421D"/>
    <w:rsid w:val="0022550D"/>
    <w:rsid w:val="0022560B"/>
    <w:rsid w:val="0023163B"/>
    <w:rsid w:val="0023460C"/>
    <w:rsid w:val="0023543E"/>
    <w:rsid w:val="002358C7"/>
    <w:rsid w:val="002363E1"/>
    <w:rsid w:val="00236C27"/>
    <w:rsid w:val="00236D39"/>
    <w:rsid w:val="00240D89"/>
    <w:rsid w:val="00240EAE"/>
    <w:rsid w:val="00241AA9"/>
    <w:rsid w:val="00243703"/>
    <w:rsid w:val="00243807"/>
    <w:rsid w:val="002447D4"/>
    <w:rsid w:val="00250B02"/>
    <w:rsid w:val="00251C7F"/>
    <w:rsid w:val="002531F5"/>
    <w:rsid w:val="00255CE7"/>
    <w:rsid w:val="00260B2E"/>
    <w:rsid w:val="0026113D"/>
    <w:rsid w:val="00264097"/>
    <w:rsid w:val="002675D1"/>
    <w:rsid w:val="00270868"/>
    <w:rsid w:val="002708DF"/>
    <w:rsid w:val="00270937"/>
    <w:rsid w:val="00270EF5"/>
    <w:rsid w:val="00271771"/>
    <w:rsid w:val="002732CD"/>
    <w:rsid w:val="002746BE"/>
    <w:rsid w:val="00277A6E"/>
    <w:rsid w:val="00281CE4"/>
    <w:rsid w:val="00284D14"/>
    <w:rsid w:val="002857C4"/>
    <w:rsid w:val="00285B4A"/>
    <w:rsid w:val="00285DE6"/>
    <w:rsid w:val="00286C0A"/>
    <w:rsid w:val="00287191"/>
    <w:rsid w:val="00287A7C"/>
    <w:rsid w:val="00287F8D"/>
    <w:rsid w:val="00292ABC"/>
    <w:rsid w:val="00293BDD"/>
    <w:rsid w:val="00293C47"/>
    <w:rsid w:val="002945E1"/>
    <w:rsid w:val="002946A8"/>
    <w:rsid w:val="00295820"/>
    <w:rsid w:val="00297CCD"/>
    <w:rsid w:val="002A100D"/>
    <w:rsid w:val="002A1EEA"/>
    <w:rsid w:val="002A33BF"/>
    <w:rsid w:val="002A47F6"/>
    <w:rsid w:val="002A4909"/>
    <w:rsid w:val="002A5925"/>
    <w:rsid w:val="002A5FAC"/>
    <w:rsid w:val="002A6A3C"/>
    <w:rsid w:val="002A6E2C"/>
    <w:rsid w:val="002A7F71"/>
    <w:rsid w:val="002B0951"/>
    <w:rsid w:val="002B30D3"/>
    <w:rsid w:val="002B3BFC"/>
    <w:rsid w:val="002B51C9"/>
    <w:rsid w:val="002B6050"/>
    <w:rsid w:val="002B6605"/>
    <w:rsid w:val="002C0193"/>
    <w:rsid w:val="002C09B8"/>
    <w:rsid w:val="002C364B"/>
    <w:rsid w:val="002C6C43"/>
    <w:rsid w:val="002C7D65"/>
    <w:rsid w:val="002C7F8F"/>
    <w:rsid w:val="002D16CA"/>
    <w:rsid w:val="002D1700"/>
    <w:rsid w:val="002D2112"/>
    <w:rsid w:val="002D2B57"/>
    <w:rsid w:val="002D2E05"/>
    <w:rsid w:val="002D6543"/>
    <w:rsid w:val="002E1187"/>
    <w:rsid w:val="002E35A8"/>
    <w:rsid w:val="002E4D9F"/>
    <w:rsid w:val="002E5E7F"/>
    <w:rsid w:val="002E6BCF"/>
    <w:rsid w:val="002E72D5"/>
    <w:rsid w:val="002E776A"/>
    <w:rsid w:val="002F1940"/>
    <w:rsid w:val="002F712E"/>
    <w:rsid w:val="002F7909"/>
    <w:rsid w:val="003000AC"/>
    <w:rsid w:val="00300D7F"/>
    <w:rsid w:val="00304FE0"/>
    <w:rsid w:val="00305081"/>
    <w:rsid w:val="003053AD"/>
    <w:rsid w:val="00305E1E"/>
    <w:rsid w:val="00306EA6"/>
    <w:rsid w:val="0031243B"/>
    <w:rsid w:val="00312CF3"/>
    <w:rsid w:val="00313278"/>
    <w:rsid w:val="00313DDD"/>
    <w:rsid w:val="00314FD1"/>
    <w:rsid w:val="00320254"/>
    <w:rsid w:val="00324849"/>
    <w:rsid w:val="003278E1"/>
    <w:rsid w:val="003305C2"/>
    <w:rsid w:val="00330CA4"/>
    <w:rsid w:val="003317D1"/>
    <w:rsid w:val="003343F1"/>
    <w:rsid w:val="003349D9"/>
    <w:rsid w:val="00334FDE"/>
    <w:rsid w:val="00335848"/>
    <w:rsid w:val="003412A7"/>
    <w:rsid w:val="00343CE5"/>
    <w:rsid w:val="00344DF0"/>
    <w:rsid w:val="00344F1F"/>
    <w:rsid w:val="00345FA2"/>
    <w:rsid w:val="0034669C"/>
    <w:rsid w:val="00347144"/>
    <w:rsid w:val="0034769E"/>
    <w:rsid w:val="00351F27"/>
    <w:rsid w:val="00352FFD"/>
    <w:rsid w:val="003546B6"/>
    <w:rsid w:val="00355FB2"/>
    <w:rsid w:val="0035673D"/>
    <w:rsid w:val="00360D45"/>
    <w:rsid w:val="00361D78"/>
    <w:rsid w:val="00362396"/>
    <w:rsid w:val="00365EA3"/>
    <w:rsid w:val="00366E20"/>
    <w:rsid w:val="00371767"/>
    <w:rsid w:val="00375697"/>
    <w:rsid w:val="00380180"/>
    <w:rsid w:val="00382F0C"/>
    <w:rsid w:val="003830E3"/>
    <w:rsid w:val="00385CFF"/>
    <w:rsid w:val="00387C53"/>
    <w:rsid w:val="00390540"/>
    <w:rsid w:val="00391497"/>
    <w:rsid w:val="003927EE"/>
    <w:rsid w:val="00397348"/>
    <w:rsid w:val="00397C63"/>
    <w:rsid w:val="003A1146"/>
    <w:rsid w:val="003B25BC"/>
    <w:rsid w:val="003B42F2"/>
    <w:rsid w:val="003B6FB8"/>
    <w:rsid w:val="003C0297"/>
    <w:rsid w:val="003C0324"/>
    <w:rsid w:val="003C0AF1"/>
    <w:rsid w:val="003C211C"/>
    <w:rsid w:val="003C33D1"/>
    <w:rsid w:val="003C3B34"/>
    <w:rsid w:val="003C3B6A"/>
    <w:rsid w:val="003C6837"/>
    <w:rsid w:val="003C7B99"/>
    <w:rsid w:val="003D0809"/>
    <w:rsid w:val="003D1511"/>
    <w:rsid w:val="003D3D5A"/>
    <w:rsid w:val="003D3F7B"/>
    <w:rsid w:val="003D5A8A"/>
    <w:rsid w:val="003D79DE"/>
    <w:rsid w:val="003E132F"/>
    <w:rsid w:val="003E155C"/>
    <w:rsid w:val="003E1A45"/>
    <w:rsid w:val="003E1FC1"/>
    <w:rsid w:val="003E2CF6"/>
    <w:rsid w:val="003E3630"/>
    <w:rsid w:val="003E3CCC"/>
    <w:rsid w:val="003E535C"/>
    <w:rsid w:val="003E549D"/>
    <w:rsid w:val="003E5FCB"/>
    <w:rsid w:val="003E6555"/>
    <w:rsid w:val="003F1CC4"/>
    <w:rsid w:val="003F37F2"/>
    <w:rsid w:val="003F4DA2"/>
    <w:rsid w:val="00401388"/>
    <w:rsid w:val="00405562"/>
    <w:rsid w:val="004056E9"/>
    <w:rsid w:val="0040592D"/>
    <w:rsid w:val="0040594F"/>
    <w:rsid w:val="00407087"/>
    <w:rsid w:val="00407687"/>
    <w:rsid w:val="00410CD2"/>
    <w:rsid w:val="0041332C"/>
    <w:rsid w:val="00414BE5"/>
    <w:rsid w:val="00417544"/>
    <w:rsid w:val="0042105D"/>
    <w:rsid w:val="0042293F"/>
    <w:rsid w:val="0042302E"/>
    <w:rsid w:val="00423105"/>
    <w:rsid w:val="004236B3"/>
    <w:rsid w:val="0043061F"/>
    <w:rsid w:val="0043353F"/>
    <w:rsid w:val="00435A27"/>
    <w:rsid w:val="004404CD"/>
    <w:rsid w:val="0044055D"/>
    <w:rsid w:val="0044149F"/>
    <w:rsid w:val="00441610"/>
    <w:rsid w:val="00443D3E"/>
    <w:rsid w:val="004440BB"/>
    <w:rsid w:val="00446597"/>
    <w:rsid w:val="00446C6F"/>
    <w:rsid w:val="0044797E"/>
    <w:rsid w:val="00447F41"/>
    <w:rsid w:val="00451A9C"/>
    <w:rsid w:val="00452549"/>
    <w:rsid w:val="004530B7"/>
    <w:rsid w:val="004540C8"/>
    <w:rsid w:val="0045502C"/>
    <w:rsid w:val="00457DC2"/>
    <w:rsid w:val="00461265"/>
    <w:rsid w:val="004621DD"/>
    <w:rsid w:val="0046289C"/>
    <w:rsid w:val="00463167"/>
    <w:rsid w:val="00463417"/>
    <w:rsid w:val="004650D2"/>
    <w:rsid w:val="00465EAD"/>
    <w:rsid w:val="004668D7"/>
    <w:rsid w:val="00467F5C"/>
    <w:rsid w:val="00470200"/>
    <w:rsid w:val="0047235B"/>
    <w:rsid w:val="004730F5"/>
    <w:rsid w:val="00473E46"/>
    <w:rsid w:val="00474D64"/>
    <w:rsid w:val="00475BCC"/>
    <w:rsid w:val="0047666D"/>
    <w:rsid w:val="00477023"/>
    <w:rsid w:val="00477113"/>
    <w:rsid w:val="0047787B"/>
    <w:rsid w:val="00477B42"/>
    <w:rsid w:val="00477E42"/>
    <w:rsid w:val="00480552"/>
    <w:rsid w:val="00481CA4"/>
    <w:rsid w:val="00483465"/>
    <w:rsid w:val="00484146"/>
    <w:rsid w:val="004866EA"/>
    <w:rsid w:val="004910D3"/>
    <w:rsid w:val="004912ED"/>
    <w:rsid w:val="004920A2"/>
    <w:rsid w:val="004963D1"/>
    <w:rsid w:val="00497376"/>
    <w:rsid w:val="00497ED5"/>
    <w:rsid w:val="004A1104"/>
    <w:rsid w:val="004A1290"/>
    <w:rsid w:val="004A12EE"/>
    <w:rsid w:val="004A36C0"/>
    <w:rsid w:val="004A557F"/>
    <w:rsid w:val="004A6442"/>
    <w:rsid w:val="004A6FF4"/>
    <w:rsid w:val="004B19B1"/>
    <w:rsid w:val="004B28D4"/>
    <w:rsid w:val="004B2E92"/>
    <w:rsid w:val="004B3453"/>
    <w:rsid w:val="004B38DB"/>
    <w:rsid w:val="004B6E9C"/>
    <w:rsid w:val="004B73CA"/>
    <w:rsid w:val="004C2111"/>
    <w:rsid w:val="004C3C3A"/>
    <w:rsid w:val="004C54B6"/>
    <w:rsid w:val="004C6092"/>
    <w:rsid w:val="004C6306"/>
    <w:rsid w:val="004C6989"/>
    <w:rsid w:val="004D64B4"/>
    <w:rsid w:val="004D73AD"/>
    <w:rsid w:val="004D74DC"/>
    <w:rsid w:val="004E1360"/>
    <w:rsid w:val="004E5DA3"/>
    <w:rsid w:val="004E622D"/>
    <w:rsid w:val="004E6FB5"/>
    <w:rsid w:val="004F0339"/>
    <w:rsid w:val="004F1DC0"/>
    <w:rsid w:val="004F28A5"/>
    <w:rsid w:val="004F4BA6"/>
    <w:rsid w:val="004F4F2B"/>
    <w:rsid w:val="004F62AF"/>
    <w:rsid w:val="00502F4D"/>
    <w:rsid w:val="00503F71"/>
    <w:rsid w:val="0050466A"/>
    <w:rsid w:val="005049C6"/>
    <w:rsid w:val="00504D74"/>
    <w:rsid w:val="00505D43"/>
    <w:rsid w:val="00517D97"/>
    <w:rsid w:val="00522A77"/>
    <w:rsid w:val="00522CD0"/>
    <w:rsid w:val="00523516"/>
    <w:rsid w:val="00523C5A"/>
    <w:rsid w:val="00524800"/>
    <w:rsid w:val="005265FF"/>
    <w:rsid w:val="00527706"/>
    <w:rsid w:val="005312FB"/>
    <w:rsid w:val="00531FCD"/>
    <w:rsid w:val="00535BA7"/>
    <w:rsid w:val="00535F09"/>
    <w:rsid w:val="005412CB"/>
    <w:rsid w:val="00541B10"/>
    <w:rsid w:val="0054224E"/>
    <w:rsid w:val="0054308C"/>
    <w:rsid w:val="00543D1A"/>
    <w:rsid w:val="005507C2"/>
    <w:rsid w:val="005516AD"/>
    <w:rsid w:val="005520A6"/>
    <w:rsid w:val="00555510"/>
    <w:rsid w:val="00560129"/>
    <w:rsid w:val="005611EB"/>
    <w:rsid w:val="00563E9E"/>
    <w:rsid w:val="00565354"/>
    <w:rsid w:val="0056625E"/>
    <w:rsid w:val="0056730F"/>
    <w:rsid w:val="00573820"/>
    <w:rsid w:val="005750E2"/>
    <w:rsid w:val="00575EE3"/>
    <w:rsid w:val="00577587"/>
    <w:rsid w:val="00580F42"/>
    <w:rsid w:val="005812D9"/>
    <w:rsid w:val="005813C2"/>
    <w:rsid w:val="00581EF4"/>
    <w:rsid w:val="0058208C"/>
    <w:rsid w:val="0058322D"/>
    <w:rsid w:val="00583424"/>
    <w:rsid w:val="005842DF"/>
    <w:rsid w:val="00584B68"/>
    <w:rsid w:val="00585C41"/>
    <w:rsid w:val="0059033C"/>
    <w:rsid w:val="00590D92"/>
    <w:rsid w:val="0059141A"/>
    <w:rsid w:val="00591FBA"/>
    <w:rsid w:val="00597366"/>
    <w:rsid w:val="005A2030"/>
    <w:rsid w:val="005A2BEC"/>
    <w:rsid w:val="005A3C99"/>
    <w:rsid w:val="005A41C4"/>
    <w:rsid w:val="005A6F6E"/>
    <w:rsid w:val="005B5324"/>
    <w:rsid w:val="005B719C"/>
    <w:rsid w:val="005C0F6D"/>
    <w:rsid w:val="005C334A"/>
    <w:rsid w:val="005C3F3F"/>
    <w:rsid w:val="005C410D"/>
    <w:rsid w:val="005C51D8"/>
    <w:rsid w:val="005C5717"/>
    <w:rsid w:val="005C594A"/>
    <w:rsid w:val="005C7787"/>
    <w:rsid w:val="005D1D61"/>
    <w:rsid w:val="005D22D9"/>
    <w:rsid w:val="005D2C5F"/>
    <w:rsid w:val="005D32BF"/>
    <w:rsid w:val="005D69F4"/>
    <w:rsid w:val="005D7C57"/>
    <w:rsid w:val="005E4AAF"/>
    <w:rsid w:val="005E4FFE"/>
    <w:rsid w:val="005E5143"/>
    <w:rsid w:val="005E56B5"/>
    <w:rsid w:val="005E7276"/>
    <w:rsid w:val="005E7382"/>
    <w:rsid w:val="005F483D"/>
    <w:rsid w:val="0060051F"/>
    <w:rsid w:val="006015A4"/>
    <w:rsid w:val="00602526"/>
    <w:rsid w:val="006036C7"/>
    <w:rsid w:val="00603923"/>
    <w:rsid w:val="00605737"/>
    <w:rsid w:val="0060764B"/>
    <w:rsid w:val="00610229"/>
    <w:rsid w:val="00610952"/>
    <w:rsid w:val="00613D87"/>
    <w:rsid w:val="0061560B"/>
    <w:rsid w:val="00615881"/>
    <w:rsid w:val="00617BD7"/>
    <w:rsid w:val="006211C1"/>
    <w:rsid w:val="00622334"/>
    <w:rsid w:val="00624328"/>
    <w:rsid w:val="006260D5"/>
    <w:rsid w:val="00626CC6"/>
    <w:rsid w:val="00631582"/>
    <w:rsid w:val="00632A03"/>
    <w:rsid w:val="00632E20"/>
    <w:rsid w:val="0063592C"/>
    <w:rsid w:val="00635A05"/>
    <w:rsid w:val="00636004"/>
    <w:rsid w:val="00643379"/>
    <w:rsid w:val="00644327"/>
    <w:rsid w:val="00644428"/>
    <w:rsid w:val="00644C06"/>
    <w:rsid w:val="00645100"/>
    <w:rsid w:val="00645411"/>
    <w:rsid w:val="00650306"/>
    <w:rsid w:val="00655848"/>
    <w:rsid w:val="00656B43"/>
    <w:rsid w:val="00656CE1"/>
    <w:rsid w:val="00656E47"/>
    <w:rsid w:val="00661917"/>
    <w:rsid w:val="00664D86"/>
    <w:rsid w:val="00665F3F"/>
    <w:rsid w:val="00667A2A"/>
    <w:rsid w:val="0067018A"/>
    <w:rsid w:val="00670922"/>
    <w:rsid w:val="006715A8"/>
    <w:rsid w:val="00671ADE"/>
    <w:rsid w:val="00671E6B"/>
    <w:rsid w:val="00671EAE"/>
    <w:rsid w:val="00672F14"/>
    <w:rsid w:val="006739BB"/>
    <w:rsid w:val="00674260"/>
    <w:rsid w:val="00674C1A"/>
    <w:rsid w:val="006754B3"/>
    <w:rsid w:val="006900F6"/>
    <w:rsid w:val="00690BBA"/>
    <w:rsid w:val="0069187B"/>
    <w:rsid w:val="0069282F"/>
    <w:rsid w:val="00692F5A"/>
    <w:rsid w:val="00694294"/>
    <w:rsid w:val="006943E8"/>
    <w:rsid w:val="0069563C"/>
    <w:rsid w:val="006963C4"/>
    <w:rsid w:val="006964C3"/>
    <w:rsid w:val="006A35D5"/>
    <w:rsid w:val="006A4005"/>
    <w:rsid w:val="006A552B"/>
    <w:rsid w:val="006B1088"/>
    <w:rsid w:val="006B168A"/>
    <w:rsid w:val="006B6A84"/>
    <w:rsid w:val="006B75AB"/>
    <w:rsid w:val="006B7992"/>
    <w:rsid w:val="006C05DA"/>
    <w:rsid w:val="006C2469"/>
    <w:rsid w:val="006C2899"/>
    <w:rsid w:val="006D1EDB"/>
    <w:rsid w:val="006D2DDA"/>
    <w:rsid w:val="006D2F50"/>
    <w:rsid w:val="006D34F9"/>
    <w:rsid w:val="006E09A5"/>
    <w:rsid w:val="006E2250"/>
    <w:rsid w:val="006E2E2A"/>
    <w:rsid w:val="006E4CA0"/>
    <w:rsid w:val="006E5014"/>
    <w:rsid w:val="006E7DAD"/>
    <w:rsid w:val="006F0E6C"/>
    <w:rsid w:val="006F28A5"/>
    <w:rsid w:val="006F2A72"/>
    <w:rsid w:val="006F2FCC"/>
    <w:rsid w:val="006F3E26"/>
    <w:rsid w:val="006F6915"/>
    <w:rsid w:val="006F70F0"/>
    <w:rsid w:val="00700D2A"/>
    <w:rsid w:val="00701074"/>
    <w:rsid w:val="00701B58"/>
    <w:rsid w:val="0070218C"/>
    <w:rsid w:val="007049A8"/>
    <w:rsid w:val="0070613C"/>
    <w:rsid w:val="007078D3"/>
    <w:rsid w:val="00713324"/>
    <w:rsid w:val="007137A0"/>
    <w:rsid w:val="00717D1A"/>
    <w:rsid w:val="0072061E"/>
    <w:rsid w:val="00720D8D"/>
    <w:rsid w:val="00730714"/>
    <w:rsid w:val="007307B5"/>
    <w:rsid w:val="00730D6A"/>
    <w:rsid w:val="007315AA"/>
    <w:rsid w:val="00731C68"/>
    <w:rsid w:val="00731E81"/>
    <w:rsid w:val="00732EDE"/>
    <w:rsid w:val="007349CC"/>
    <w:rsid w:val="00734E0D"/>
    <w:rsid w:val="00736321"/>
    <w:rsid w:val="00737C03"/>
    <w:rsid w:val="007421CD"/>
    <w:rsid w:val="00743566"/>
    <w:rsid w:val="00746A0F"/>
    <w:rsid w:val="00746EE4"/>
    <w:rsid w:val="00750904"/>
    <w:rsid w:val="007526C3"/>
    <w:rsid w:val="00753B41"/>
    <w:rsid w:val="00756CAE"/>
    <w:rsid w:val="0076035E"/>
    <w:rsid w:val="007619EE"/>
    <w:rsid w:val="00764D99"/>
    <w:rsid w:val="00767563"/>
    <w:rsid w:val="00771150"/>
    <w:rsid w:val="00774CFB"/>
    <w:rsid w:val="007759DC"/>
    <w:rsid w:val="00776B58"/>
    <w:rsid w:val="007775B4"/>
    <w:rsid w:val="007779BB"/>
    <w:rsid w:val="00781E5F"/>
    <w:rsid w:val="007828C5"/>
    <w:rsid w:val="00782E9A"/>
    <w:rsid w:val="00783434"/>
    <w:rsid w:val="00790050"/>
    <w:rsid w:val="00792113"/>
    <w:rsid w:val="007925F6"/>
    <w:rsid w:val="00793008"/>
    <w:rsid w:val="007934A1"/>
    <w:rsid w:val="00794488"/>
    <w:rsid w:val="00795726"/>
    <w:rsid w:val="00795B81"/>
    <w:rsid w:val="007A08F5"/>
    <w:rsid w:val="007A135F"/>
    <w:rsid w:val="007A14E5"/>
    <w:rsid w:val="007A7C10"/>
    <w:rsid w:val="007A7C96"/>
    <w:rsid w:val="007B00B2"/>
    <w:rsid w:val="007B1A56"/>
    <w:rsid w:val="007B2761"/>
    <w:rsid w:val="007B2983"/>
    <w:rsid w:val="007B39D6"/>
    <w:rsid w:val="007B4CEB"/>
    <w:rsid w:val="007B5FD8"/>
    <w:rsid w:val="007B5FFE"/>
    <w:rsid w:val="007B7662"/>
    <w:rsid w:val="007C0522"/>
    <w:rsid w:val="007C1161"/>
    <w:rsid w:val="007C60CF"/>
    <w:rsid w:val="007D1C40"/>
    <w:rsid w:val="007D2702"/>
    <w:rsid w:val="007D3311"/>
    <w:rsid w:val="007D3961"/>
    <w:rsid w:val="007D5515"/>
    <w:rsid w:val="007D6078"/>
    <w:rsid w:val="007D7BCC"/>
    <w:rsid w:val="007E0D68"/>
    <w:rsid w:val="007E409B"/>
    <w:rsid w:val="007E4BE9"/>
    <w:rsid w:val="007E5C65"/>
    <w:rsid w:val="007F2A06"/>
    <w:rsid w:val="007F407E"/>
    <w:rsid w:val="007F4A13"/>
    <w:rsid w:val="008002C6"/>
    <w:rsid w:val="008009DD"/>
    <w:rsid w:val="00800A00"/>
    <w:rsid w:val="00801EEA"/>
    <w:rsid w:val="00804F22"/>
    <w:rsid w:val="0081076B"/>
    <w:rsid w:val="00812315"/>
    <w:rsid w:val="0081232E"/>
    <w:rsid w:val="008129F3"/>
    <w:rsid w:val="00812AD7"/>
    <w:rsid w:val="00813750"/>
    <w:rsid w:val="00814154"/>
    <w:rsid w:val="008141EF"/>
    <w:rsid w:val="0081619E"/>
    <w:rsid w:val="00816491"/>
    <w:rsid w:val="0081755F"/>
    <w:rsid w:val="00817B8A"/>
    <w:rsid w:val="00817E1B"/>
    <w:rsid w:val="00820213"/>
    <w:rsid w:val="008203C6"/>
    <w:rsid w:val="00820667"/>
    <w:rsid w:val="00820F97"/>
    <w:rsid w:val="0082168B"/>
    <w:rsid w:val="0082732A"/>
    <w:rsid w:val="008273D8"/>
    <w:rsid w:val="00827FEF"/>
    <w:rsid w:val="008306BB"/>
    <w:rsid w:val="008310A7"/>
    <w:rsid w:val="00832315"/>
    <w:rsid w:val="00832BF8"/>
    <w:rsid w:val="00835E57"/>
    <w:rsid w:val="008369CB"/>
    <w:rsid w:val="00836B7C"/>
    <w:rsid w:val="00841AC6"/>
    <w:rsid w:val="00842D7D"/>
    <w:rsid w:val="00842DDD"/>
    <w:rsid w:val="00843393"/>
    <w:rsid w:val="00846A2A"/>
    <w:rsid w:val="00850CA4"/>
    <w:rsid w:val="008514CC"/>
    <w:rsid w:val="008534D3"/>
    <w:rsid w:val="00853814"/>
    <w:rsid w:val="00853FA3"/>
    <w:rsid w:val="00854126"/>
    <w:rsid w:val="00854B86"/>
    <w:rsid w:val="00854E3F"/>
    <w:rsid w:val="008572D7"/>
    <w:rsid w:val="008600BD"/>
    <w:rsid w:val="00860C87"/>
    <w:rsid w:val="0086346E"/>
    <w:rsid w:val="00865187"/>
    <w:rsid w:val="00866DEA"/>
    <w:rsid w:val="0086752D"/>
    <w:rsid w:val="00876A87"/>
    <w:rsid w:val="0087783D"/>
    <w:rsid w:val="00881E61"/>
    <w:rsid w:val="00883A2D"/>
    <w:rsid w:val="00883D11"/>
    <w:rsid w:val="00884AF1"/>
    <w:rsid w:val="0088507D"/>
    <w:rsid w:val="0088512F"/>
    <w:rsid w:val="00887686"/>
    <w:rsid w:val="00890006"/>
    <w:rsid w:val="00891C78"/>
    <w:rsid w:val="00895366"/>
    <w:rsid w:val="008969B2"/>
    <w:rsid w:val="00896A37"/>
    <w:rsid w:val="0089704A"/>
    <w:rsid w:val="008974EF"/>
    <w:rsid w:val="00897895"/>
    <w:rsid w:val="00897D8A"/>
    <w:rsid w:val="008A0732"/>
    <w:rsid w:val="008A098B"/>
    <w:rsid w:val="008A17E5"/>
    <w:rsid w:val="008A26FF"/>
    <w:rsid w:val="008A3F3F"/>
    <w:rsid w:val="008A768B"/>
    <w:rsid w:val="008B1F7F"/>
    <w:rsid w:val="008B3AD5"/>
    <w:rsid w:val="008B47DA"/>
    <w:rsid w:val="008B6061"/>
    <w:rsid w:val="008C06C5"/>
    <w:rsid w:val="008C11EC"/>
    <w:rsid w:val="008C13DC"/>
    <w:rsid w:val="008C16CC"/>
    <w:rsid w:val="008C4757"/>
    <w:rsid w:val="008C78C0"/>
    <w:rsid w:val="008C7B39"/>
    <w:rsid w:val="008C7F28"/>
    <w:rsid w:val="008D12E1"/>
    <w:rsid w:val="008D1F2F"/>
    <w:rsid w:val="008D2F7C"/>
    <w:rsid w:val="008D36C9"/>
    <w:rsid w:val="008D7560"/>
    <w:rsid w:val="008E10EC"/>
    <w:rsid w:val="008E253B"/>
    <w:rsid w:val="008E2B0E"/>
    <w:rsid w:val="008E3738"/>
    <w:rsid w:val="008E3F7B"/>
    <w:rsid w:val="008E40E7"/>
    <w:rsid w:val="008E61C3"/>
    <w:rsid w:val="008E6780"/>
    <w:rsid w:val="008E6B94"/>
    <w:rsid w:val="008E7430"/>
    <w:rsid w:val="008F08BB"/>
    <w:rsid w:val="008F2AB7"/>
    <w:rsid w:val="008F3467"/>
    <w:rsid w:val="008F35C6"/>
    <w:rsid w:val="008F749E"/>
    <w:rsid w:val="009025A2"/>
    <w:rsid w:val="00903A1B"/>
    <w:rsid w:val="00907343"/>
    <w:rsid w:val="00911AF0"/>
    <w:rsid w:val="00911DE8"/>
    <w:rsid w:val="00912576"/>
    <w:rsid w:val="00913683"/>
    <w:rsid w:val="00913A59"/>
    <w:rsid w:val="00915577"/>
    <w:rsid w:val="00917122"/>
    <w:rsid w:val="00917CB5"/>
    <w:rsid w:val="009210F6"/>
    <w:rsid w:val="0092254B"/>
    <w:rsid w:val="00922D46"/>
    <w:rsid w:val="00922F8E"/>
    <w:rsid w:val="0092495F"/>
    <w:rsid w:val="00925961"/>
    <w:rsid w:val="00925B3A"/>
    <w:rsid w:val="00926122"/>
    <w:rsid w:val="00930646"/>
    <w:rsid w:val="0093483C"/>
    <w:rsid w:val="009362B4"/>
    <w:rsid w:val="009375D5"/>
    <w:rsid w:val="009376F3"/>
    <w:rsid w:val="00937E30"/>
    <w:rsid w:val="009430BD"/>
    <w:rsid w:val="009434A1"/>
    <w:rsid w:val="0094468E"/>
    <w:rsid w:val="009465A6"/>
    <w:rsid w:val="0094772C"/>
    <w:rsid w:val="009477F0"/>
    <w:rsid w:val="009528D9"/>
    <w:rsid w:val="00954A24"/>
    <w:rsid w:val="00960332"/>
    <w:rsid w:val="00971EBA"/>
    <w:rsid w:val="00976132"/>
    <w:rsid w:val="009772B2"/>
    <w:rsid w:val="00977DD1"/>
    <w:rsid w:val="00977F7E"/>
    <w:rsid w:val="009808C3"/>
    <w:rsid w:val="00981B8B"/>
    <w:rsid w:val="00983B7A"/>
    <w:rsid w:val="0098750C"/>
    <w:rsid w:val="00987553"/>
    <w:rsid w:val="009915EC"/>
    <w:rsid w:val="00991D5B"/>
    <w:rsid w:val="0099310F"/>
    <w:rsid w:val="00994597"/>
    <w:rsid w:val="009957CB"/>
    <w:rsid w:val="00995D3D"/>
    <w:rsid w:val="00996F78"/>
    <w:rsid w:val="009A0A60"/>
    <w:rsid w:val="009A603F"/>
    <w:rsid w:val="009A6EC7"/>
    <w:rsid w:val="009A730E"/>
    <w:rsid w:val="009A78A2"/>
    <w:rsid w:val="009A7FF1"/>
    <w:rsid w:val="009B026A"/>
    <w:rsid w:val="009B2F4A"/>
    <w:rsid w:val="009B5291"/>
    <w:rsid w:val="009B657E"/>
    <w:rsid w:val="009B7C42"/>
    <w:rsid w:val="009C0335"/>
    <w:rsid w:val="009C16FE"/>
    <w:rsid w:val="009C2FDD"/>
    <w:rsid w:val="009D2E84"/>
    <w:rsid w:val="009D3E68"/>
    <w:rsid w:val="009D50FF"/>
    <w:rsid w:val="009D55DC"/>
    <w:rsid w:val="009D6497"/>
    <w:rsid w:val="009E114B"/>
    <w:rsid w:val="009E3F1F"/>
    <w:rsid w:val="009E568C"/>
    <w:rsid w:val="009E6406"/>
    <w:rsid w:val="009E78DE"/>
    <w:rsid w:val="009F0664"/>
    <w:rsid w:val="009F0B38"/>
    <w:rsid w:val="009F0E61"/>
    <w:rsid w:val="009F20A5"/>
    <w:rsid w:val="009F26CA"/>
    <w:rsid w:val="009F3204"/>
    <w:rsid w:val="009F376D"/>
    <w:rsid w:val="009F4624"/>
    <w:rsid w:val="009F57FA"/>
    <w:rsid w:val="009F72B0"/>
    <w:rsid w:val="009F762C"/>
    <w:rsid w:val="00A024CA"/>
    <w:rsid w:val="00A037F5"/>
    <w:rsid w:val="00A04BF1"/>
    <w:rsid w:val="00A102EF"/>
    <w:rsid w:val="00A12BA9"/>
    <w:rsid w:val="00A12D35"/>
    <w:rsid w:val="00A132BA"/>
    <w:rsid w:val="00A15416"/>
    <w:rsid w:val="00A164F6"/>
    <w:rsid w:val="00A174E4"/>
    <w:rsid w:val="00A23868"/>
    <w:rsid w:val="00A23F7E"/>
    <w:rsid w:val="00A24D10"/>
    <w:rsid w:val="00A2760E"/>
    <w:rsid w:val="00A35D4B"/>
    <w:rsid w:val="00A3642C"/>
    <w:rsid w:val="00A36637"/>
    <w:rsid w:val="00A37A92"/>
    <w:rsid w:val="00A40506"/>
    <w:rsid w:val="00A4153F"/>
    <w:rsid w:val="00A42C4E"/>
    <w:rsid w:val="00A43F5A"/>
    <w:rsid w:val="00A44DE6"/>
    <w:rsid w:val="00A51D05"/>
    <w:rsid w:val="00A51F68"/>
    <w:rsid w:val="00A54317"/>
    <w:rsid w:val="00A57F5A"/>
    <w:rsid w:val="00A60F79"/>
    <w:rsid w:val="00A625D5"/>
    <w:rsid w:val="00A63F0C"/>
    <w:rsid w:val="00A66FA5"/>
    <w:rsid w:val="00A708F2"/>
    <w:rsid w:val="00A70FE0"/>
    <w:rsid w:val="00A72CEC"/>
    <w:rsid w:val="00A74131"/>
    <w:rsid w:val="00A7650D"/>
    <w:rsid w:val="00A76BE3"/>
    <w:rsid w:val="00A76FA7"/>
    <w:rsid w:val="00A815C5"/>
    <w:rsid w:val="00A81EE3"/>
    <w:rsid w:val="00A83DCF"/>
    <w:rsid w:val="00A84BC9"/>
    <w:rsid w:val="00A85609"/>
    <w:rsid w:val="00A87886"/>
    <w:rsid w:val="00A92206"/>
    <w:rsid w:val="00A92B94"/>
    <w:rsid w:val="00A92ED4"/>
    <w:rsid w:val="00A961EA"/>
    <w:rsid w:val="00A96CBC"/>
    <w:rsid w:val="00A97BF2"/>
    <w:rsid w:val="00AA01D2"/>
    <w:rsid w:val="00AA209C"/>
    <w:rsid w:val="00AA265A"/>
    <w:rsid w:val="00AA26A9"/>
    <w:rsid w:val="00AA2E07"/>
    <w:rsid w:val="00AA334E"/>
    <w:rsid w:val="00AA3E06"/>
    <w:rsid w:val="00AA6D88"/>
    <w:rsid w:val="00AA6DD2"/>
    <w:rsid w:val="00AA71CE"/>
    <w:rsid w:val="00AB0896"/>
    <w:rsid w:val="00AB2005"/>
    <w:rsid w:val="00AB278B"/>
    <w:rsid w:val="00AB496B"/>
    <w:rsid w:val="00AB4BCB"/>
    <w:rsid w:val="00AB7455"/>
    <w:rsid w:val="00AB7B26"/>
    <w:rsid w:val="00AC51DB"/>
    <w:rsid w:val="00AC6352"/>
    <w:rsid w:val="00AC7D46"/>
    <w:rsid w:val="00AC7F1A"/>
    <w:rsid w:val="00AD1AC5"/>
    <w:rsid w:val="00AD344F"/>
    <w:rsid w:val="00AD3BFC"/>
    <w:rsid w:val="00AD4527"/>
    <w:rsid w:val="00AD5855"/>
    <w:rsid w:val="00AD6809"/>
    <w:rsid w:val="00AD6E73"/>
    <w:rsid w:val="00AD6ECD"/>
    <w:rsid w:val="00AD703A"/>
    <w:rsid w:val="00AE0C4B"/>
    <w:rsid w:val="00AE11BB"/>
    <w:rsid w:val="00AE25AE"/>
    <w:rsid w:val="00AE2834"/>
    <w:rsid w:val="00AE5BC3"/>
    <w:rsid w:val="00AF1BF4"/>
    <w:rsid w:val="00AF3A84"/>
    <w:rsid w:val="00AF4BAA"/>
    <w:rsid w:val="00AF526B"/>
    <w:rsid w:val="00B02C25"/>
    <w:rsid w:val="00B03E1B"/>
    <w:rsid w:val="00B048C4"/>
    <w:rsid w:val="00B067F4"/>
    <w:rsid w:val="00B07A0F"/>
    <w:rsid w:val="00B13B13"/>
    <w:rsid w:val="00B16A7D"/>
    <w:rsid w:val="00B2365B"/>
    <w:rsid w:val="00B27EC6"/>
    <w:rsid w:val="00B3120A"/>
    <w:rsid w:val="00B317BF"/>
    <w:rsid w:val="00B33362"/>
    <w:rsid w:val="00B3347A"/>
    <w:rsid w:val="00B34515"/>
    <w:rsid w:val="00B35AF1"/>
    <w:rsid w:val="00B37D25"/>
    <w:rsid w:val="00B40265"/>
    <w:rsid w:val="00B4153F"/>
    <w:rsid w:val="00B43379"/>
    <w:rsid w:val="00B50C63"/>
    <w:rsid w:val="00B50E7F"/>
    <w:rsid w:val="00B50F45"/>
    <w:rsid w:val="00B53BC4"/>
    <w:rsid w:val="00B5792D"/>
    <w:rsid w:val="00B613D7"/>
    <w:rsid w:val="00B633D5"/>
    <w:rsid w:val="00B63543"/>
    <w:rsid w:val="00B6399F"/>
    <w:rsid w:val="00B641C4"/>
    <w:rsid w:val="00B64DDB"/>
    <w:rsid w:val="00B66C73"/>
    <w:rsid w:val="00B6705A"/>
    <w:rsid w:val="00B67B05"/>
    <w:rsid w:val="00B729A3"/>
    <w:rsid w:val="00B73B6C"/>
    <w:rsid w:val="00B774DC"/>
    <w:rsid w:val="00B80289"/>
    <w:rsid w:val="00B81034"/>
    <w:rsid w:val="00B82B77"/>
    <w:rsid w:val="00B8316E"/>
    <w:rsid w:val="00B83D26"/>
    <w:rsid w:val="00B841CA"/>
    <w:rsid w:val="00B8573E"/>
    <w:rsid w:val="00B91223"/>
    <w:rsid w:val="00B925B7"/>
    <w:rsid w:val="00B940E3"/>
    <w:rsid w:val="00B9465A"/>
    <w:rsid w:val="00B957C8"/>
    <w:rsid w:val="00B95F50"/>
    <w:rsid w:val="00BA16CB"/>
    <w:rsid w:val="00BA1873"/>
    <w:rsid w:val="00BA2D65"/>
    <w:rsid w:val="00BA5997"/>
    <w:rsid w:val="00BA5FD3"/>
    <w:rsid w:val="00BB470A"/>
    <w:rsid w:val="00BB4FBD"/>
    <w:rsid w:val="00BB62A1"/>
    <w:rsid w:val="00BB7EA3"/>
    <w:rsid w:val="00BC18B0"/>
    <w:rsid w:val="00BC1BF2"/>
    <w:rsid w:val="00BC27FE"/>
    <w:rsid w:val="00BC4350"/>
    <w:rsid w:val="00BC4650"/>
    <w:rsid w:val="00BC46DC"/>
    <w:rsid w:val="00BC6820"/>
    <w:rsid w:val="00BD2E1F"/>
    <w:rsid w:val="00BD448E"/>
    <w:rsid w:val="00BD6226"/>
    <w:rsid w:val="00BD7EBB"/>
    <w:rsid w:val="00BE2CAD"/>
    <w:rsid w:val="00BE51BC"/>
    <w:rsid w:val="00BE7294"/>
    <w:rsid w:val="00BE7485"/>
    <w:rsid w:val="00BE77D1"/>
    <w:rsid w:val="00BF0367"/>
    <w:rsid w:val="00BF0F9B"/>
    <w:rsid w:val="00BF173F"/>
    <w:rsid w:val="00BF29E3"/>
    <w:rsid w:val="00BF5D6C"/>
    <w:rsid w:val="00BF617F"/>
    <w:rsid w:val="00BF7FC9"/>
    <w:rsid w:val="00C0297E"/>
    <w:rsid w:val="00C0386A"/>
    <w:rsid w:val="00C06E42"/>
    <w:rsid w:val="00C10022"/>
    <w:rsid w:val="00C11C94"/>
    <w:rsid w:val="00C11D65"/>
    <w:rsid w:val="00C17595"/>
    <w:rsid w:val="00C23A50"/>
    <w:rsid w:val="00C24444"/>
    <w:rsid w:val="00C255A1"/>
    <w:rsid w:val="00C25B78"/>
    <w:rsid w:val="00C3201D"/>
    <w:rsid w:val="00C32D4B"/>
    <w:rsid w:val="00C338D4"/>
    <w:rsid w:val="00C3565E"/>
    <w:rsid w:val="00C3714E"/>
    <w:rsid w:val="00C41579"/>
    <w:rsid w:val="00C432A0"/>
    <w:rsid w:val="00C43653"/>
    <w:rsid w:val="00C4367A"/>
    <w:rsid w:val="00C4396D"/>
    <w:rsid w:val="00C43F4B"/>
    <w:rsid w:val="00C4482B"/>
    <w:rsid w:val="00C452A3"/>
    <w:rsid w:val="00C45E44"/>
    <w:rsid w:val="00C50953"/>
    <w:rsid w:val="00C5118A"/>
    <w:rsid w:val="00C519BB"/>
    <w:rsid w:val="00C51C2E"/>
    <w:rsid w:val="00C54575"/>
    <w:rsid w:val="00C5577F"/>
    <w:rsid w:val="00C634D1"/>
    <w:rsid w:val="00C641D9"/>
    <w:rsid w:val="00C64A06"/>
    <w:rsid w:val="00C67701"/>
    <w:rsid w:val="00C705FD"/>
    <w:rsid w:val="00C740BE"/>
    <w:rsid w:val="00C758FC"/>
    <w:rsid w:val="00C77610"/>
    <w:rsid w:val="00C8071B"/>
    <w:rsid w:val="00C81AFA"/>
    <w:rsid w:val="00C82C30"/>
    <w:rsid w:val="00C832FC"/>
    <w:rsid w:val="00C844A5"/>
    <w:rsid w:val="00C844BF"/>
    <w:rsid w:val="00C846F8"/>
    <w:rsid w:val="00C863E8"/>
    <w:rsid w:val="00C8682D"/>
    <w:rsid w:val="00C8684F"/>
    <w:rsid w:val="00C9207A"/>
    <w:rsid w:val="00C9209F"/>
    <w:rsid w:val="00C92728"/>
    <w:rsid w:val="00C95997"/>
    <w:rsid w:val="00C96093"/>
    <w:rsid w:val="00C973AB"/>
    <w:rsid w:val="00CA1229"/>
    <w:rsid w:val="00CB178A"/>
    <w:rsid w:val="00CB270A"/>
    <w:rsid w:val="00CB692F"/>
    <w:rsid w:val="00CC1553"/>
    <w:rsid w:val="00CC46C0"/>
    <w:rsid w:val="00CC4F19"/>
    <w:rsid w:val="00CC6C4A"/>
    <w:rsid w:val="00CC7093"/>
    <w:rsid w:val="00CD0106"/>
    <w:rsid w:val="00CD171E"/>
    <w:rsid w:val="00CD1A08"/>
    <w:rsid w:val="00CD214A"/>
    <w:rsid w:val="00CD2512"/>
    <w:rsid w:val="00CD4711"/>
    <w:rsid w:val="00CD5BA7"/>
    <w:rsid w:val="00CD5BDC"/>
    <w:rsid w:val="00CD66BF"/>
    <w:rsid w:val="00CE15CE"/>
    <w:rsid w:val="00CE5581"/>
    <w:rsid w:val="00CE5B7A"/>
    <w:rsid w:val="00CE765C"/>
    <w:rsid w:val="00CF1133"/>
    <w:rsid w:val="00CF1588"/>
    <w:rsid w:val="00D01745"/>
    <w:rsid w:val="00D01A66"/>
    <w:rsid w:val="00D02313"/>
    <w:rsid w:val="00D0326B"/>
    <w:rsid w:val="00D04366"/>
    <w:rsid w:val="00D0598B"/>
    <w:rsid w:val="00D07620"/>
    <w:rsid w:val="00D079DD"/>
    <w:rsid w:val="00D11FFB"/>
    <w:rsid w:val="00D13DD3"/>
    <w:rsid w:val="00D164A7"/>
    <w:rsid w:val="00D20485"/>
    <w:rsid w:val="00D2080A"/>
    <w:rsid w:val="00D24D59"/>
    <w:rsid w:val="00D26FCE"/>
    <w:rsid w:val="00D27C88"/>
    <w:rsid w:val="00D334BC"/>
    <w:rsid w:val="00D33B61"/>
    <w:rsid w:val="00D34C4F"/>
    <w:rsid w:val="00D351BF"/>
    <w:rsid w:val="00D368AA"/>
    <w:rsid w:val="00D3721B"/>
    <w:rsid w:val="00D375EC"/>
    <w:rsid w:val="00D377EC"/>
    <w:rsid w:val="00D425FE"/>
    <w:rsid w:val="00D42ABC"/>
    <w:rsid w:val="00D42F4A"/>
    <w:rsid w:val="00D442BE"/>
    <w:rsid w:val="00D45940"/>
    <w:rsid w:val="00D46CF6"/>
    <w:rsid w:val="00D474F2"/>
    <w:rsid w:val="00D50104"/>
    <w:rsid w:val="00D50759"/>
    <w:rsid w:val="00D53C2D"/>
    <w:rsid w:val="00D544ED"/>
    <w:rsid w:val="00D55639"/>
    <w:rsid w:val="00D56811"/>
    <w:rsid w:val="00D62F6B"/>
    <w:rsid w:val="00D65D38"/>
    <w:rsid w:val="00D66E5E"/>
    <w:rsid w:val="00D67301"/>
    <w:rsid w:val="00D67AC5"/>
    <w:rsid w:val="00D67CF2"/>
    <w:rsid w:val="00D703D2"/>
    <w:rsid w:val="00D70C5A"/>
    <w:rsid w:val="00D71283"/>
    <w:rsid w:val="00D80986"/>
    <w:rsid w:val="00D80F5F"/>
    <w:rsid w:val="00D8154A"/>
    <w:rsid w:val="00D82B02"/>
    <w:rsid w:val="00D83510"/>
    <w:rsid w:val="00D847E4"/>
    <w:rsid w:val="00D84DC4"/>
    <w:rsid w:val="00D853AE"/>
    <w:rsid w:val="00D86A74"/>
    <w:rsid w:val="00D86BBE"/>
    <w:rsid w:val="00D90344"/>
    <w:rsid w:val="00D908AC"/>
    <w:rsid w:val="00D922BD"/>
    <w:rsid w:val="00D92B37"/>
    <w:rsid w:val="00D934FE"/>
    <w:rsid w:val="00D937EF"/>
    <w:rsid w:val="00D93B08"/>
    <w:rsid w:val="00D95BAA"/>
    <w:rsid w:val="00D96224"/>
    <w:rsid w:val="00DA03DA"/>
    <w:rsid w:val="00DA069C"/>
    <w:rsid w:val="00DA2723"/>
    <w:rsid w:val="00DA53DD"/>
    <w:rsid w:val="00DA67F1"/>
    <w:rsid w:val="00DA7197"/>
    <w:rsid w:val="00DA7BC0"/>
    <w:rsid w:val="00DA7CB8"/>
    <w:rsid w:val="00DB02CA"/>
    <w:rsid w:val="00DB0BB6"/>
    <w:rsid w:val="00DB2AFE"/>
    <w:rsid w:val="00DB30FD"/>
    <w:rsid w:val="00DB4EDD"/>
    <w:rsid w:val="00DB54BE"/>
    <w:rsid w:val="00DB5E1D"/>
    <w:rsid w:val="00DB5F03"/>
    <w:rsid w:val="00DB76AE"/>
    <w:rsid w:val="00DC1330"/>
    <w:rsid w:val="00DC1C1C"/>
    <w:rsid w:val="00DC2D4E"/>
    <w:rsid w:val="00DC3490"/>
    <w:rsid w:val="00DC4A74"/>
    <w:rsid w:val="00DC599C"/>
    <w:rsid w:val="00DC7A33"/>
    <w:rsid w:val="00DD1355"/>
    <w:rsid w:val="00DD1841"/>
    <w:rsid w:val="00DD1AAE"/>
    <w:rsid w:val="00DD4CC7"/>
    <w:rsid w:val="00DE2727"/>
    <w:rsid w:val="00DE45CF"/>
    <w:rsid w:val="00DE5441"/>
    <w:rsid w:val="00DE6679"/>
    <w:rsid w:val="00DF26F5"/>
    <w:rsid w:val="00DF3A14"/>
    <w:rsid w:val="00DF5305"/>
    <w:rsid w:val="00DF5A59"/>
    <w:rsid w:val="00DF7A6D"/>
    <w:rsid w:val="00E01053"/>
    <w:rsid w:val="00E03E21"/>
    <w:rsid w:val="00E05C6D"/>
    <w:rsid w:val="00E06705"/>
    <w:rsid w:val="00E079EA"/>
    <w:rsid w:val="00E117C2"/>
    <w:rsid w:val="00E12D3B"/>
    <w:rsid w:val="00E13D07"/>
    <w:rsid w:val="00E1574C"/>
    <w:rsid w:val="00E167FC"/>
    <w:rsid w:val="00E17C11"/>
    <w:rsid w:val="00E20A35"/>
    <w:rsid w:val="00E2250A"/>
    <w:rsid w:val="00E2375B"/>
    <w:rsid w:val="00E321C9"/>
    <w:rsid w:val="00E32357"/>
    <w:rsid w:val="00E360F1"/>
    <w:rsid w:val="00E3665B"/>
    <w:rsid w:val="00E377FE"/>
    <w:rsid w:val="00E37A79"/>
    <w:rsid w:val="00E425C5"/>
    <w:rsid w:val="00E44D17"/>
    <w:rsid w:val="00E4500D"/>
    <w:rsid w:val="00E451FF"/>
    <w:rsid w:val="00E46474"/>
    <w:rsid w:val="00E475AE"/>
    <w:rsid w:val="00E53ADB"/>
    <w:rsid w:val="00E557FF"/>
    <w:rsid w:val="00E56BC9"/>
    <w:rsid w:val="00E56DE4"/>
    <w:rsid w:val="00E57B2C"/>
    <w:rsid w:val="00E61466"/>
    <w:rsid w:val="00E62A0E"/>
    <w:rsid w:val="00E63DEF"/>
    <w:rsid w:val="00E6642C"/>
    <w:rsid w:val="00E66471"/>
    <w:rsid w:val="00E664E9"/>
    <w:rsid w:val="00E66C61"/>
    <w:rsid w:val="00E70039"/>
    <w:rsid w:val="00E71020"/>
    <w:rsid w:val="00E716D8"/>
    <w:rsid w:val="00E75C31"/>
    <w:rsid w:val="00E804D7"/>
    <w:rsid w:val="00E82904"/>
    <w:rsid w:val="00E829DD"/>
    <w:rsid w:val="00E83A02"/>
    <w:rsid w:val="00E83E66"/>
    <w:rsid w:val="00E843C8"/>
    <w:rsid w:val="00E854C9"/>
    <w:rsid w:val="00E86406"/>
    <w:rsid w:val="00E93039"/>
    <w:rsid w:val="00E95065"/>
    <w:rsid w:val="00E95D34"/>
    <w:rsid w:val="00E96254"/>
    <w:rsid w:val="00E96DB8"/>
    <w:rsid w:val="00EA0F3C"/>
    <w:rsid w:val="00EA118E"/>
    <w:rsid w:val="00EA3A57"/>
    <w:rsid w:val="00EA576A"/>
    <w:rsid w:val="00EA76E9"/>
    <w:rsid w:val="00EA78DD"/>
    <w:rsid w:val="00EA7DD1"/>
    <w:rsid w:val="00EB137B"/>
    <w:rsid w:val="00EB3480"/>
    <w:rsid w:val="00EB3A57"/>
    <w:rsid w:val="00EB3D65"/>
    <w:rsid w:val="00EB4831"/>
    <w:rsid w:val="00EB4973"/>
    <w:rsid w:val="00EB6FC8"/>
    <w:rsid w:val="00EC04D2"/>
    <w:rsid w:val="00EC0BCF"/>
    <w:rsid w:val="00EC0EA1"/>
    <w:rsid w:val="00EC1104"/>
    <w:rsid w:val="00EC3436"/>
    <w:rsid w:val="00EC39F0"/>
    <w:rsid w:val="00EC4B2D"/>
    <w:rsid w:val="00EC5D08"/>
    <w:rsid w:val="00ED0828"/>
    <w:rsid w:val="00ED1F52"/>
    <w:rsid w:val="00ED2316"/>
    <w:rsid w:val="00ED3888"/>
    <w:rsid w:val="00ED5AC9"/>
    <w:rsid w:val="00ED6274"/>
    <w:rsid w:val="00ED70A5"/>
    <w:rsid w:val="00EE0A17"/>
    <w:rsid w:val="00EE1449"/>
    <w:rsid w:val="00EE1600"/>
    <w:rsid w:val="00EE3122"/>
    <w:rsid w:val="00EE5ECF"/>
    <w:rsid w:val="00EF2429"/>
    <w:rsid w:val="00EF4E71"/>
    <w:rsid w:val="00EF575B"/>
    <w:rsid w:val="00EF683D"/>
    <w:rsid w:val="00EF6CEB"/>
    <w:rsid w:val="00F0140C"/>
    <w:rsid w:val="00F02F7D"/>
    <w:rsid w:val="00F04435"/>
    <w:rsid w:val="00F05BB9"/>
    <w:rsid w:val="00F06AB8"/>
    <w:rsid w:val="00F15DF7"/>
    <w:rsid w:val="00F1721D"/>
    <w:rsid w:val="00F17CBC"/>
    <w:rsid w:val="00F22B5F"/>
    <w:rsid w:val="00F24B55"/>
    <w:rsid w:val="00F25D2E"/>
    <w:rsid w:val="00F26CEB"/>
    <w:rsid w:val="00F26F2A"/>
    <w:rsid w:val="00F27E6A"/>
    <w:rsid w:val="00F32D73"/>
    <w:rsid w:val="00F331AB"/>
    <w:rsid w:val="00F37BF1"/>
    <w:rsid w:val="00F413C2"/>
    <w:rsid w:val="00F47175"/>
    <w:rsid w:val="00F47C62"/>
    <w:rsid w:val="00F47CDA"/>
    <w:rsid w:val="00F57C5E"/>
    <w:rsid w:val="00F605A3"/>
    <w:rsid w:val="00F63B87"/>
    <w:rsid w:val="00F64915"/>
    <w:rsid w:val="00F64AFE"/>
    <w:rsid w:val="00F65B55"/>
    <w:rsid w:val="00F661AA"/>
    <w:rsid w:val="00F66774"/>
    <w:rsid w:val="00F71144"/>
    <w:rsid w:val="00F71A16"/>
    <w:rsid w:val="00F7618A"/>
    <w:rsid w:val="00F820C7"/>
    <w:rsid w:val="00F84271"/>
    <w:rsid w:val="00F85427"/>
    <w:rsid w:val="00F871A1"/>
    <w:rsid w:val="00F937A4"/>
    <w:rsid w:val="00F9736B"/>
    <w:rsid w:val="00F977CE"/>
    <w:rsid w:val="00FA023F"/>
    <w:rsid w:val="00FA30A7"/>
    <w:rsid w:val="00FA334E"/>
    <w:rsid w:val="00FA3602"/>
    <w:rsid w:val="00FA57D7"/>
    <w:rsid w:val="00FA7BFC"/>
    <w:rsid w:val="00FB0326"/>
    <w:rsid w:val="00FB2149"/>
    <w:rsid w:val="00FB3142"/>
    <w:rsid w:val="00FB6197"/>
    <w:rsid w:val="00FB70B9"/>
    <w:rsid w:val="00FC02CC"/>
    <w:rsid w:val="00FC1164"/>
    <w:rsid w:val="00FC39EA"/>
    <w:rsid w:val="00FC4CF9"/>
    <w:rsid w:val="00FC5FE1"/>
    <w:rsid w:val="00FC7602"/>
    <w:rsid w:val="00FD04D1"/>
    <w:rsid w:val="00FD2FC8"/>
    <w:rsid w:val="00FD3FAD"/>
    <w:rsid w:val="00FD52C6"/>
    <w:rsid w:val="00FE1748"/>
    <w:rsid w:val="00FE5F20"/>
    <w:rsid w:val="00FE6818"/>
    <w:rsid w:val="00FE68D2"/>
    <w:rsid w:val="00FE6914"/>
    <w:rsid w:val="00FF156E"/>
    <w:rsid w:val="00FF45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5131"/>
  <w15:docId w15:val="{D3BD541F-1736-4146-A5A9-548CF6F1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70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477023"/>
    <w:pPr>
      <w:keepNext/>
      <w:keepLines/>
      <w:spacing w:before="200" w:after="0"/>
      <w:outlineLvl w:val="2"/>
    </w:pPr>
    <w:rPr>
      <w:rFonts w:asciiTheme="majorHAnsi" w:eastAsiaTheme="majorEastAsia" w:hAnsiTheme="majorHAnsi" w:cstheme="majorBidi"/>
      <w:b/>
      <w:bCs/>
      <w:color w:val="4F81BD" w:themeColor="accent1"/>
      <w:sz w:val="24"/>
      <w:lang w:eastAsia="zh-CN"/>
    </w:rPr>
  </w:style>
  <w:style w:type="paragraph" w:styleId="Heading4">
    <w:name w:val="heading 4"/>
    <w:basedOn w:val="Normal"/>
    <w:next w:val="Normal"/>
    <w:link w:val="Heading4Char"/>
    <w:uiPriority w:val="9"/>
    <w:semiHidden/>
    <w:unhideWhenUsed/>
    <w:qFormat/>
    <w:rsid w:val="00477023"/>
    <w:pPr>
      <w:keepNext/>
      <w:keepLines/>
      <w:spacing w:before="200" w:after="0"/>
      <w:outlineLvl w:val="3"/>
    </w:pPr>
    <w:rPr>
      <w:rFonts w:asciiTheme="majorHAnsi" w:eastAsiaTheme="majorEastAsia" w:hAnsiTheme="majorHAnsi" w:cstheme="majorBidi"/>
      <w:b/>
      <w:bCs/>
      <w:i/>
      <w:iCs/>
      <w:color w:val="4F81BD" w:themeColor="accent1"/>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02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77023"/>
    <w:rPr>
      <w:rFonts w:asciiTheme="majorHAnsi" w:eastAsiaTheme="majorEastAsia" w:hAnsiTheme="majorHAnsi" w:cstheme="majorBidi"/>
      <w:b/>
      <w:bCs/>
      <w:color w:val="4F81BD" w:themeColor="accent1"/>
      <w:sz w:val="24"/>
      <w:lang w:eastAsia="zh-CN"/>
    </w:rPr>
  </w:style>
  <w:style w:type="character" w:customStyle="1" w:styleId="Heading4Char">
    <w:name w:val="Heading 4 Char"/>
    <w:basedOn w:val="DefaultParagraphFont"/>
    <w:link w:val="Heading4"/>
    <w:uiPriority w:val="9"/>
    <w:semiHidden/>
    <w:rsid w:val="00477023"/>
    <w:rPr>
      <w:rFonts w:asciiTheme="majorHAnsi" w:eastAsiaTheme="majorEastAsia" w:hAnsiTheme="majorHAnsi" w:cstheme="majorBidi"/>
      <w:b/>
      <w:bCs/>
      <w:i/>
      <w:iCs/>
      <w:color w:val="4F81BD" w:themeColor="accent1"/>
      <w:sz w:val="24"/>
      <w:lang w:eastAsia="zh-CN"/>
    </w:rPr>
  </w:style>
  <w:style w:type="numbering" w:customStyle="1" w:styleId="NoList1">
    <w:name w:val="No List1"/>
    <w:next w:val="NoList"/>
    <w:uiPriority w:val="99"/>
    <w:semiHidden/>
    <w:unhideWhenUsed/>
    <w:rsid w:val="00477023"/>
  </w:style>
  <w:style w:type="character" w:styleId="Hyperlink">
    <w:name w:val="Hyperlink"/>
    <w:basedOn w:val="DefaultParagraphFont"/>
    <w:uiPriority w:val="99"/>
    <w:unhideWhenUsed/>
    <w:rsid w:val="00477023"/>
    <w:rPr>
      <w:color w:val="0000FF"/>
      <w:u w:val="single"/>
    </w:rPr>
  </w:style>
  <w:style w:type="character" w:styleId="CommentReference">
    <w:name w:val="annotation reference"/>
    <w:basedOn w:val="DefaultParagraphFont"/>
    <w:unhideWhenUsed/>
    <w:rsid w:val="00477023"/>
    <w:rPr>
      <w:sz w:val="16"/>
      <w:szCs w:val="16"/>
    </w:rPr>
  </w:style>
  <w:style w:type="paragraph" w:styleId="CommentText">
    <w:name w:val="annotation text"/>
    <w:basedOn w:val="Normal"/>
    <w:link w:val="CommentTextChar"/>
    <w:unhideWhenUsed/>
    <w:rsid w:val="00477023"/>
    <w:pPr>
      <w:spacing w:line="240" w:lineRule="auto"/>
    </w:pPr>
    <w:rPr>
      <w:rFonts w:ascii="Arial" w:eastAsiaTheme="minorEastAsia" w:hAnsi="Arial"/>
      <w:sz w:val="20"/>
      <w:szCs w:val="20"/>
      <w:lang w:eastAsia="zh-CN"/>
    </w:rPr>
  </w:style>
  <w:style w:type="character" w:customStyle="1" w:styleId="CommentTextChar">
    <w:name w:val="Comment Text Char"/>
    <w:basedOn w:val="DefaultParagraphFont"/>
    <w:link w:val="CommentText"/>
    <w:rsid w:val="00477023"/>
    <w:rPr>
      <w:rFonts w:ascii="Arial" w:eastAsiaTheme="minorEastAsia" w:hAnsi="Arial"/>
      <w:sz w:val="20"/>
      <w:szCs w:val="20"/>
      <w:lang w:eastAsia="zh-CN"/>
    </w:rPr>
  </w:style>
  <w:style w:type="paragraph" w:styleId="CommentSubject">
    <w:name w:val="annotation subject"/>
    <w:basedOn w:val="CommentText"/>
    <w:next w:val="CommentText"/>
    <w:link w:val="CommentSubjectChar"/>
    <w:uiPriority w:val="99"/>
    <w:semiHidden/>
    <w:unhideWhenUsed/>
    <w:rsid w:val="00477023"/>
    <w:rPr>
      <w:b/>
      <w:bCs/>
    </w:rPr>
  </w:style>
  <w:style w:type="character" w:customStyle="1" w:styleId="CommentSubjectChar">
    <w:name w:val="Comment Subject Char"/>
    <w:basedOn w:val="CommentTextChar"/>
    <w:link w:val="CommentSubject"/>
    <w:uiPriority w:val="99"/>
    <w:semiHidden/>
    <w:rsid w:val="00477023"/>
    <w:rPr>
      <w:rFonts w:ascii="Arial" w:eastAsiaTheme="minorEastAsia" w:hAnsi="Arial"/>
      <w:b/>
      <w:bCs/>
      <w:sz w:val="20"/>
      <w:szCs w:val="20"/>
      <w:lang w:eastAsia="zh-CN"/>
    </w:rPr>
  </w:style>
  <w:style w:type="paragraph" w:styleId="BalloonText">
    <w:name w:val="Balloon Text"/>
    <w:basedOn w:val="Normal"/>
    <w:link w:val="BalloonTextChar"/>
    <w:uiPriority w:val="99"/>
    <w:semiHidden/>
    <w:unhideWhenUsed/>
    <w:rsid w:val="00477023"/>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477023"/>
    <w:rPr>
      <w:rFonts w:ascii="Tahoma" w:eastAsiaTheme="minorEastAsia" w:hAnsi="Tahoma" w:cs="Tahoma"/>
      <w:sz w:val="16"/>
      <w:szCs w:val="16"/>
      <w:lang w:eastAsia="zh-CN"/>
    </w:rPr>
  </w:style>
  <w:style w:type="character" w:customStyle="1" w:styleId="CommentTextChar1">
    <w:name w:val="Comment Text Char1"/>
    <w:rsid w:val="00477023"/>
    <w:rPr>
      <w:lang w:val="en-GB" w:eastAsia="x-none" w:bidi="ar-SA"/>
    </w:rPr>
  </w:style>
  <w:style w:type="table" w:styleId="TableGrid">
    <w:name w:val="Table Grid"/>
    <w:basedOn w:val="TableNormal"/>
    <w:uiPriority w:val="59"/>
    <w:rsid w:val="0047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7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7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7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7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7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77023"/>
  </w:style>
  <w:style w:type="character" w:customStyle="1" w:styleId="highlight">
    <w:name w:val="highlight"/>
    <w:basedOn w:val="DefaultParagraphFont"/>
    <w:rsid w:val="00477023"/>
  </w:style>
  <w:style w:type="paragraph" w:styleId="NoSpacing">
    <w:name w:val="No Spacing"/>
    <w:uiPriority w:val="1"/>
    <w:qFormat/>
    <w:rsid w:val="00477023"/>
    <w:pPr>
      <w:spacing w:after="0" w:line="240" w:lineRule="auto"/>
    </w:pPr>
    <w:rPr>
      <w:rFonts w:ascii="Arial" w:eastAsiaTheme="minorEastAsia" w:hAnsi="Arial"/>
      <w:sz w:val="24"/>
      <w:lang w:eastAsia="zh-CN"/>
    </w:rPr>
  </w:style>
  <w:style w:type="paragraph" w:styleId="Header">
    <w:name w:val="header"/>
    <w:basedOn w:val="Normal"/>
    <w:link w:val="HeaderChar"/>
    <w:uiPriority w:val="99"/>
    <w:unhideWhenUsed/>
    <w:rsid w:val="00477023"/>
    <w:pPr>
      <w:tabs>
        <w:tab w:val="center" w:pos="4513"/>
        <w:tab w:val="right" w:pos="9026"/>
      </w:tabs>
      <w:spacing w:after="0" w:line="240" w:lineRule="auto"/>
    </w:pPr>
    <w:rPr>
      <w:rFonts w:ascii="Arial" w:eastAsiaTheme="minorEastAsia" w:hAnsi="Arial"/>
      <w:sz w:val="24"/>
      <w:lang w:eastAsia="zh-CN"/>
    </w:rPr>
  </w:style>
  <w:style w:type="character" w:customStyle="1" w:styleId="HeaderChar">
    <w:name w:val="Header Char"/>
    <w:basedOn w:val="DefaultParagraphFont"/>
    <w:link w:val="Header"/>
    <w:uiPriority w:val="99"/>
    <w:rsid w:val="00477023"/>
    <w:rPr>
      <w:rFonts w:ascii="Arial" w:eastAsiaTheme="minorEastAsia" w:hAnsi="Arial"/>
      <w:sz w:val="24"/>
      <w:lang w:eastAsia="zh-CN"/>
    </w:rPr>
  </w:style>
  <w:style w:type="paragraph" w:styleId="Footer">
    <w:name w:val="footer"/>
    <w:basedOn w:val="Normal"/>
    <w:link w:val="FooterChar"/>
    <w:uiPriority w:val="99"/>
    <w:unhideWhenUsed/>
    <w:rsid w:val="00477023"/>
    <w:pPr>
      <w:tabs>
        <w:tab w:val="center" w:pos="4513"/>
        <w:tab w:val="right" w:pos="9026"/>
      </w:tabs>
      <w:spacing w:after="0" w:line="240" w:lineRule="auto"/>
    </w:pPr>
    <w:rPr>
      <w:rFonts w:ascii="Arial" w:eastAsiaTheme="minorEastAsia" w:hAnsi="Arial"/>
      <w:sz w:val="24"/>
      <w:lang w:eastAsia="zh-CN"/>
    </w:rPr>
  </w:style>
  <w:style w:type="character" w:customStyle="1" w:styleId="FooterChar">
    <w:name w:val="Footer Char"/>
    <w:basedOn w:val="DefaultParagraphFont"/>
    <w:link w:val="Footer"/>
    <w:uiPriority w:val="99"/>
    <w:rsid w:val="00477023"/>
    <w:rPr>
      <w:rFonts w:ascii="Arial" w:eastAsiaTheme="minorEastAsia" w:hAnsi="Arial"/>
      <w:sz w:val="24"/>
      <w:lang w:eastAsia="zh-CN"/>
    </w:rPr>
  </w:style>
  <w:style w:type="character" w:customStyle="1" w:styleId="published-date">
    <w:name w:val="published-date"/>
    <w:basedOn w:val="DefaultParagraphFont"/>
    <w:rsid w:val="00477023"/>
  </w:style>
  <w:style w:type="character" w:styleId="Strong">
    <w:name w:val="Strong"/>
    <w:basedOn w:val="DefaultParagraphFont"/>
    <w:uiPriority w:val="22"/>
    <w:qFormat/>
    <w:rsid w:val="00477023"/>
    <w:rPr>
      <w:b/>
      <w:bCs/>
    </w:rPr>
  </w:style>
  <w:style w:type="character" w:customStyle="1" w:styleId="prod-title">
    <w:name w:val="prod-title"/>
    <w:basedOn w:val="DefaultParagraphFont"/>
    <w:rsid w:val="00477023"/>
  </w:style>
  <w:style w:type="character" w:customStyle="1" w:styleId="journaltitle">
    <w:name w:val="journaltitle"/>
    <w:basedOn w:val="DefaultParagraphFont"/>
    <w:rsid w:val="00477023"/>
  </w:style>
  <w:style w:type="character" w:customStyle="1" w:styleId="articlecitationyear">
    <w:name w:val="articlecitation_year"/>
    <w:basedOn w:val="DefaultParagraphFont"/>
    <w:rsid w:val="00477023"/>
  </w:style>
  <w:style w:type="character" w:customStyle="1" w:styleId="articlecitationvolume">
    <w:name w:val="articlecitation_volume"/>
    <w:basedOn w:val="DefaultParagraphFont"/>
    <w:rsid w:val="00477023"/>
  </w:style>
  <w:style w:type="paragraph" w:customStyle="1" w:styleId="articledoi">
    <w:name w:val="articledoi"/>
    <w:basedOn w:val="Normal"/>
    <w:rsid w:val="004770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pyright">
    <w:name w:val="copyright"/>
    <w:basedOn w:val="Normal"/>
    <w:rsid w:val="004770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770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rent-selection">
    <w:name w:val="current-selection"/>
    <w:basedOn w:val="DefaultParagraphFont"/>
    <w:rsid w:val="00477023"/>
  </w:style>
  <w:style w:type="character" w:customStyle="1" w:styleId="fc1">
    <w:name w:val="fc1"/>
    <w:basedOn w:val="DefaultParagraphFont"/>
    <w:rsid w:val="00477023"/>
  </w:style>
  <w:style w:type="character" w:customStyle="1" w:styleId="enhanced-author">
    <w:name w:val="enhanced-author"/>
    <w:basedOn w:val="DefaultParagraphFont"/>
    <w:rsid w:val="00477023"/>
  </w:style>
  <w:style w:type="character" w:customStyle="1" w:styleId="a">
    <w:name w:val="_"/>
    <w:basedOn w:val="DefaultParagraphFont"/>
    <w:rsid w:val="00477023"/>
  </w:style>
  <w:style w:type="character" w:customStyle="1" w:styleId="cit">
    <w:name w:val="cit"/>
    <w:basedOn w:val="DefaultParagraphFont"/>
    <w:rsid w:val="00477023"/>
  </w:style>
  <w:style w:type="character" w:customStyle="1" w:styleId="doi">
    <w:name w:val="doi"/>
    <w:basedOn w:val="DefaultParagraphFont"/>
    <w:rsid w:val="00477023"/>
  </w:style>
  <w:style w:type="character" w:customStyle="1" w:styleId="fm-citation-ids-label">
    <w:name w:val="fm-citation-ids-label"/>
    <w:basedOn w:val="DefaultParagraphFont"/>
    <w:rsid w:val="00477023"/>
  </w:style>
  <w:style w:type="table" w:customStyle="1" w:styleId="TableGrid6">
    <w:name w:val="Table Grid6"/>
    <w:basedOn w:val="TableNormal"/>
    <w:next w:val="TableGrid"/>
    <w:uiPriority w:val="59"/>
    <w:rsid w:val="0047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7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7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7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7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12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D6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DefaultParagraphFont"/>
    <w:rsid w:val="00A037F5"/>
  </w:style>
  <w:style w:type="paragraph" w:customStyle="1" w:styleId="Title1">
    <w:name w:val="Title1"/>
    <w:basedOn w:val="Normal"/>
    <w:rsid w:val="008129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8129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8129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81EE3"/>
    <w:pPr>
      <w:spacing w:after="0" w:line="240" w:lineRule="auto"/>
    </w:pPr>
  </w:style>
  <w:style w:type="character" w:styleId="FollowedHyperlink">
    <w:name w:val="FollowedHyperlink"/>
    <w:basedOn w:val="DefaultParagraphFont"/>
    <w:uiPriority w:val="99"/>
    <w:semiHidden/>
    <w:unhideWhenUsed/>
    <w:rsid w:val="00255CE7"/>
    <w:rPr>
      <w:color w:val="800080" w:themeColor="followedHyperlink"/>
      <w:u w:val="single"/>
    </w:rPr>
  </w:style>
  <w:style w:type="character" w:customStyle="1" w:styleId="id7-current-site-link">
    <w:name w:val="id7-current-site-link"/>
    <w:basedOn w:val="DefaultParagraphFont"/>
    <w:rsid w:val="00C973AB"/>
  </w:style>
  <w:style w:type="character" w:customStyle="1" w:styleId="ref-title">
    <w:name w:val="ref-title"/>
    <w:basedOn w:val="DefaultParagraphFont"/>
    <w:rsid w:val="00A961EA"/>
  </w:style>
  <w:style w:type="character" w:customStyle="1" w:styleId="ref-journal">
    <w:name w:val="ref-journal"/>
    <w:basedOn w:val="DefaultParagraphFont"/>
    <w:rsid w:val="00A961EA"/>
  </w:style>
  <w:style w:type="character" w:customStyle="1" w:styleId="ref-vol">
    <w:name w:val="ref-vol"/>
    <w:basedOn w:val="DefaultParagraphFont"/>
    <w:rsid w:val="00A961EA"/>
  </w:style>
  <w:style w:type="character" w:styleId="Emphasis">
    <w:name w:val="Emphasis"/>
    <w:basedOn w:val="DefaultParagraphFont"/>
    <w:uiPriority w:val="20"/>
    <w:qFormat/>
    <w:rsid w:val="003E535C"/>
    <w:rPr>
      <w:i/>
      <w:iCs/>
    </w:rPr>
  </w:style>
  <w:style w:type="paragraph" w:styleId="ListParagraph">
    <w:name w:val="List Paragraph"/>
    <w:basedOn w:val="Normal"/>
    <w:uiPriority w:val="34"/>
    <w:qFormat/>
    <w:rsid w:val="00392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2374">
      <w:bodyDiv w:val="1"/>
      <w:marLeft w:val="0"/>
      <w:marRight w:val="0"/>
      <w:marTop w:val="0"/>
      <w:marBottom w:val="0"/>
      <w:divBdr>
        <w:top w:val="none" w:sz="0" w:space="0" w:color="auto"/>
        <w:left w:val="none" w:sz="0" w:space="0" w:color="auto"/>
        <w:bottom w:val="none" w:sz="0" w:space="0" w:color="auto"/>
        <w:right w:val="none" w:sz="0" w:space="0" w:color="auto"/>
      </w:divBdr>
    </w:div>
    <w:div w:id="92630642">
      <w:bodyDiv w:val="1"/>
      <w:marLeft w:val="0"/>
      <w:marRight w:val="0"/>
      <w:marTop w:val="0"/>
      <w:marBottom w:val="0"/>
      <w:divBdr>
        <w:top w:val="none" w:sz="0" w:space="0" w:color="auto"/>
        <w:left w:val="none" w:sz="0" w:space="0" w:color="auto"/>
        <w:bottom w:val="none" w:sz="0" w:space="0" w:color="auto"/>
        <w:right w:val="none" w:sz="0" w:space="0" w:color="auto"/>
      </w:divBdr>
      <w:divsChild>
        <w:div w:id="1399746131">
          <w:marLeft w:val="0"/>
          <w:marRight w:val="0"/>
          <w:marTop w:val="34"/>
          <w:marBottom w:val="34"/>
          <w:divBdr>
            <w:top w:val="none" w:sz="0" w:space="0" w:color="auto"/>
            <w:left w:val="none" w:sz="0" w:space="0" w:color="auto"/>
            <w:bottom w:val="none" w:sz="0" w:space="0" w:color="auto"/>
            <w:right w:val="none" w:sz="0" w:space="0" w:color="auto"/>
          </w:divBdr>
        </w:div>
      </w:divsChild>
    </w:div>
    <w:div w:id="475757352">
      <w:bodyDiv w:val="1"/>
      <w:marLeft w:val="0"/>
      <w:marRight w:val="0"/>
      <w:marTop w:val="0"/>
      <w:marBottom w:val="0"/>
      <w:divBdr>
        <w:top w:val="none" w:sz="0" w:space="0" w:color="auto"/>
        <w:left w:val="none" w:sz="0" w:space="0" w:color="auto"/>
        <w:bottom w:val="none" w:sz="0" w:space="0" w:color="auto"/>
        <w:right w:val="none" w:sz="0" w:space="0" w:color="auto"/>
      </w:divBdr>
    </w:div>
    <w:div w:id="168462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ele.ac.uk/mrr" TargetMode="External"/><Relationship Id="rId13" Type="http://schemas.openxmlformats.org/officeDocument/2006/relationships/hyperlink" Target="https://www.ncbi.nlm.nih.gov/pubmed/?term=Larsson%20LG%5BAuthor%5D&amp;cauthor=true&amp;cauthor_uid=15888826" TargetMode="External"/><Relationship Id="rId18" Type="http://schemas.openxmlformats.org/officeDocument/2006/relationships/hyperlink" Target="http://content.digital.nhs.uk/qo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statistics/english-indices-of-deprivation-2010" TargetMode="External"/><Relationship Id="rId7" Type="http://schemas.openxmlformats.org/officeDocument/2006/relationships/endnotes" Target="endnotes.xml"/><Relationship Id="rId12" Type="http://schemas.openxmlformats.org/officeDocument/2006/relationships/hyperlink" Target="https://www.ncbi.nlm.nih.gov/pubmed/?term=Lundgren%20R%5BAuthor%5D&amp;cauthor=true&amp;cauthor_uid=15888826" TargetMode="External"/><Relationship Id="rId17" Type="http://schemas.openxmlformats.org/officeDocument/2006/relationships/hyperlink" Target="https://www.ncbi.nlm.nih.gov/pubmed/?term=Million%20Women%20Study%20Collaborators%5BCorporate%20Author%5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cbi.nlm.nih.gov/pubmed/?term=Green%20J%5BAuthor%5D&amp;cauthor=true&amp;cauthor_uid=23107252" TargetMode="External"/><Relationship Id="rId20" Type="http://schemas.openxmlformats.org/officeDocument/2006/relationships/hyperlink" Target="https://www.ncbi.nlm.nih.gov/pubmed/?term=Gallagher%20AM%5BAuthor%5D&amp;cauthor=true&amp;cauthor_uid=26050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Lindberg%20A%5BAuthor%5D&amp;cauthor=true&amp;cauthor_uid=15888826"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ncbi.nlm.nih.gov/pubmed/?term=Reeves%20GK%5BAuthor%5D&amp;cauthor=true&amp;cauthor_uid=23107252" TargetMode="External"/><Relationship Id="rId23" Type="http://schemas.openxmlformats.org/officeDocument/2006/relationships/hyperlink" Target="https://www.ncbi.nlm.nih.gov/pubmed/?term=van%20Zyl-Smit%20RN%5BAuthor%5D&amp;cauthor=true&amp;cauthor_uid=26255108" TargetMode="External"/><Relationship Id="rId10" Type="http://schemas.openxmlformats.org/officeDocument/2006/relationships/footer" Target="footer1.xml"/><Relationship Id="rId19" Type="http://schemas.openxmlformats.org/officeDocument/2006/relationships/hyperlink" Target="https://www.ncbi.nlm.nih.gov/pubmed/?term=Herrett%20E%5BAuthor%5D&amp;cauthor=true&amp;cauthor_uid=26050254" TargetMode="External"/><Relationship Id="rId4" Type="http://schemas.openxmlformats.org/officeDocument/2006/relationships/settings" Target="settings.xml"/><Relationship Id="rId9" Type="http://schemas.openxmlformats.org/officeDocument/2006/relationships/hyperlink" Target="http://www.keele.ac.uk/mrr" TargetMode="External"/><Relationship Id="rId14" Type="http://schemas.openxmlformats.org/officeDocument/2006/relationships/hyperlink" Target="https://www.ncbi.nlm.nih.gov/pubmed/?term=Pirie%20K%5BAuthor%5D&amp;cauthor=true&amp;cauthor_uid=23107252" TargetMode="External"/><Relationship Id="rId22" Type="http://schemas.openxmlformats.org/officeDocument/2006/relationships/hyperlink" Target="https://www.ncbi.nlm.nih.gov/pubmed/?term=Bateman%20ED%5BAuthor%5D&amp;cauthor=true&amp;cauthor_uid=2625510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036C-F633-47CD-B72D-246D4283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BB987427</Template>
  <TotalTime>13</TotalTime>
  <Pages>30</Pages>
  <Words>7013</Words>
  <Characters>39978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46898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pra91</dc:creator>
  <cp:lastModifiedBy>Ying Chen</cp:lastModifiedBy>
  <cp:revision>6</cp:revision>
  <cp:lastPrinted>2019-04-16T11:22:00Z</cp:lastPrinted>
  <dcterms:created xsi:type="dcterms:W3CDTF">2019-04-17T13:16:00Z</dcterms:created>
  <dcterms:modified xsi:type="dcterms:W3CDTF">2019-04-18T08:44:00Z</dcterms:modified>
</cp:coreProperties>
</file>