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6BBA3" w14:textId="77777777" w:rsidR="007E2B22" w:rsidRPr="004C4A67" w:rsidRDefault="007E2B22" w:rsidP="007E2B22">
      <w:pPr>
        <w:pStyle w:val="JCEAuNames"/>
        <w:spacing w:line="360" w:lineRule="auto"/>
        <w:rPr>
          <w:rFonts w:ascii="Helvetica" w:hAnsi="Helvetica"/>
          <w:b/>
          <w:sz w:val="32"/>
          <w:lang w:val="en-GB"/>
        </w:rPr>
      </w:pPr>
      <w:r w:rsidRPr="004C4A67">
        <w:rPr>
          <w:rFonts w:ascii="Helvetica" w:hAnsi="Helvetica"/>
          <w:b/>
          <w:sz w:val="32"/>
          <w:lang w:val="en-GB"/>
        </w:rPr>
        <w:t>Assessing the practical skills of undergradua</w:t>
      </w:r>
      <w:r w:rsidR="007F60F3" w:rsidRPr="004C4A67">
        <w:rPr>
          <w:rFonts w:ascii="Helvetica" w:hAnsi="Helvetica"/>
          <w:b/>
          <w:sz w:val="32"/>
          <w:lang w:val="en-GB"/>
        </w:rPr>
        <w:t>tes: The evolution of a station-</w:t>
      </w:r>
      <w:r w:rsidRPr="004C4A67">
        <w:rPr>
          <w:rFonts w:ascii="Helvetica" w:hAnsi="Helvetica"/>
          <w:b/>
          <w:sz w:val="32"/>
          <w:lang w:val="en-GB"/>
        </w:rPr>
        <w:t>based practical exam</w:t>
      </w:r>
    </w:p>
    <w:p w14:paraId="78E94111" w14:textId="77777777" w:rsidR="002617AE" w:rsidRPr="004C4A67" w:rsidRDefault="007E2B22" w:rsidP="00233655">
      <w:pPr>
        <w:pStyle w:val="JCEAuNames"/>
        <w:spacing w:line="360" w:lineRule="auto"/>
        <w:rPr>
          <w:spacing w:val="-2"/>
        </w:rPr>
      </w:pPr>
      <w:r w:rsidRPr="004C4A67">
        <w:rPr>
          <w:spacing w:val="-2"/>
        </w:rPr>
        <w:t>Laura M. Hancock* and Martin J. Hollamby</w:t>
      </w:r>
    </w:p>
    <w:p w14:paraId="277215E6" w14:textId="77777777" w:rsidR="002617AE" w:rsidRPr="004C4A67" w:rsidRDefault="007E2B22" w:rsidP="00233655">
      <w:pPr>
        <w:pStyle w:val="JCEAuAttribution"/>
        <w:spacing w:before="180" w:after="0" w:line="360" w:lineRule="auto"/>
        <w:rPr>
          <w:i/>
        </w:rPr>
      </w:pPr>
      <w:r w:rsidRPr="004C4A67">
        <w:t>Keele University, Keele, Staffordshire, ST5 5BG, UK</w:t>
      </w:r>
    </w:p>
    <w:p w14:paraId="5EBEE19C" w14:textId="77777777" w:rsidR="002617AE" w:rsidRPr="004C4A67" w:rsidRDefault="002617AE" w:rsidP="00935C4F">
      <w:pPr>
        <w:pStyle w:val="JCEH1"/>
      </w:pPr>
      <w:r w:rsidRPr="004C4A67">
        <w:t>Abstract</w:t>
      </w:r>
    </w:p>
    <w:p w14:paraId="5BE1FB55" w14:textId="77777777" w:rsidR="00A142C5" w:rsidRPr="004C4A67" w:rsidRDefault="00A142C5" w:rsidP="002B21EE">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 xml:space="preserve">Laboratory education is a defining feature of chemistry degree courses, with one of the fundamental aims being acquiring competency in a range of chemistry-specific practical skills, yet there are still limited reports of direct assessment of these skills. Here, we present the development, implementation and evaluation of a station-based practical chemistry exam for first year undergraduate students. We have designed the exam to explicitly assess a range of practical chemistry skills, that we highlighted as being essential for subsequent chemistry laboratory work in our degree programme, including many final year independent research projects.  Details are provided on the logistics of implementing this exam, which </w:t>
      </w:r>
      <w:r w:rsidR="004D0ED8" w:rsidRPr="004C4A67">
        <w:rPr>
          <w:rFonts w:ascii="Bookman Old Style" w:hAnsi="Bookman Old Style" w:cstheme="minorHAnsi"/>
          <w:sz w:val="20"/>
          <w:szCs w:val="20"/>
        </w:rPr>
        <w:t>has run for cohorts of 50-120, and is suitable for cohorts of up to 200 students</w:t>
      </w:r>
      <w:r w:rsidRPr="004C4A67">
        <w:rPr>
          <w:rFonts w:ascii="Bookman Old Style" w:hAnsi="Bookman Old Style" w:cstheme="minorHAnsi"/>
          <w:sz w:val="20"/>
          <w:szCs w:val="20"/>
        </w:rPr>
        <w:t>. Introducing the practical exam into our course has received positive feedback from both staff and students, and has contributed to increased motivation to learn and retain practical chemistry skills.</w:t>
      </w:r>
    </w:p>
    <w:p w14:paraId="0773C7AB" w14:textId="77777777" w:rsidR="00BF22D1" w:rsidRPr="004C4A67" w:rsidRDefault="00C01A79" w:rsidP="00935C4F">
      <w:pPr>
        <w:pStyle w:val="JCEH1"/>
      </w:pPr>
      <w:r w:rsidRPr="004C4A67">
        <w:t>Graphical Abstract</w:t>
      </w:r>
    </w:p>
    <w:p w14:paraId="7FBFB226" w14:textId="77777777" w:rsidR="00BF22D1" w:rsidRPr="004C4A67" w:rsidRDefault="00F8134B" w:rsidP="00935C4F">
      <w:pPr>
        <w:pStyle w:val="JCEcaption"/>
      </w:pPr>
      <w:r w:rsidRPr="004C4A67">
        <w:rPr>
          <w:noProof/>
          <w:lang w:val="en-GB" w:eastAsia="en-GB"/>
        </w:rPr>
        <w:drawing>
          <wp:inline distT="0" distB="0" distL="0" distR="0" wp14:anchorId="24AD1801" wp14:editId="1F7EB728">
            <wp:extent cx="2583136" cy="24155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C tiff.tif"/>
                    <pic:cNvPicPr/>
                  </pic:nvPicPr>
                  <pic:blipFill>
                    <a:blip r:embed="rId7"/>
                    <a:stretch>
                      <a:fillRect/>
                    </a:stretch>
                  </pic:blipFill>
                  <pic:spPr>
                    <a:xfrm>
                      <a:off x="0" y="0"/>
                      <a:ext cx="2592484" cy="2424282"/>
                    </a:xfrm>
                    <a:prstGeom prst="rect">
                      <a:avLst/>
                    </a:prstGeom>
                  </pic:spPr>
                </pic:pic>
              </a:graphicData>
            </a:graphic>
          </wp:inline>
        </w:drawing>
      </w:r>
    </w:p>
    <w:p w14:paraId="7822637F" w14:textId="77777777" w:rsidR="002617AE" w:rsidRPr="004C4A67" w:rsidRDefault="002617AE" w:rsidP="00B66764">
      <w:pPr>
        <w:pStyle w:val="JCEH1"/>
      </w:pPr>
      <w:r w:rsidRPr="004C4A67">
        <w:t>Keywords</w:t>
      </w:r>
    </w:p>
    <w:p w14:paraId="5A4FFD8A" w14:textId="77777777" w:rsidR="00CB51C0" w:rsidRPr="004C4A67" w:rsidRDefault="007F60F3" w:rsidP="00CB51C0">
      <w:pPr>
        <w:pStyle w:val="JCEbodytext"/>
      </w:pPr>
      <w:r w:rsidRPr="004C4A67">
        <w:t xml:space="preserve">Audience: </w:t>
      </w:r>
      <w:r w:rsidR="00CB51C0" w:rsidRPr="004C4A67">
        <w:t>First Year Undergraduate</w:t>
      </w:r>
      <w:r w:rsidR="00BF39D7" w:rsidRPr="004C4A67">
        <w:t>/General</w:t>
      </w:r>
      <w:r w:rsidR="00CB51C0" w:rsidRPr="004C4A67">
        <w:t xml:space="preserve"> </w:t>
      </w:r>
    </w:p>
    <w:p w14:paraId="49BE8175" w14:textId="77777777" w:rsidR="00CB51C0" w:rsidRPr="004C4A67" w:rsidRDefault="007F60F3" w:rsidP="00CB51C0">
      <w:pPr>
        <w:pStyle w:val="JCEbodytext"/>
      </w:pPr>
      <w:r w:rsidRPr="004C4A67">
        <w:lastRenderedPageBreak/>
        <w:t xml:space="preserve">Domain: </w:t>
      </w:r>
      <w:r w:rsidR="00CB51C0" w:rsidRPr="004C4A67">
        <w:t xml:space="preserve">Curriculum, Interdisciplinary/Multidisciplinary </w:t>
      </w:r>
    </w:p>
    <w:p w14:paraId="2C7935AE" w14:textId="77777777" w:rsidR="00CB51C0" w:rsidRPr="004C4A67" w:rsidRDefault="007F60F3" w:rsidP="00CB51C0">
      <w:pPr>
        <w:pStyle w:val="JCEbodytext"/>
      </w:pPr>
      <w:r w:rsidRPr="004C4A67">
        <w:t xml:space="preserve">Pedagogy: </w:t>
      </w:r>
      <w:r w:rsidR="002229B5" w:rsidRPr="004C4A67">
        <w:t xml:space="preserve">Hands-on learning/Manipulatives, </w:t>
      </w:r>
      <w:r w:rsidR="00CB51C0" w:rsidRPr="004C4A67">
        <w:t>Testing/ Assessment</w:t>
      </w:r>
      <w:r w:rsidR="002229B5" w:rsidRPr="004C4A67">
        <w:t xml:space="preserve"> </w:t>
      </w:r>
    </w:p>
    <w:p w14:paraId="410D1553" w14:textId="77777777" w:rsidR="002617AE" w:rsidRPr="004C4A67" w:rsidRDefault="007F60F3" w:rsidP="007F60F3">
      <w:pPr>
        <w:pStyle w:val="JCEbodytext"/>
        <w:ind w:left="360" w:firstLine="0"/>
      </w:pPr>
      <w:r w:rsidRPr="004C4A67">
        <w:t xml:space="preserve">Topic: IR Spectroscopy, Quantitative Analysis, Thin Layer Chromatography, UV-Vis Spectroscopy </w:t>
      </w:r>
    </w:p>
    <w:p w14:paraId="2DF7E513" w14:textId="77777777" w:rsidR="002617AE" w:rsidRPr="004C4A67" w:rsidRDefault="000674A1" w:rsidP="00545821">
      <w:pPr>
        <w:pStyle w:val="JCEH1"/>
        <w:spacing w:before="180"/>
      </w:pPr>
      <w:r w:rsidRPr="004C4A67">
        <w:t>INTRODUCTION</w:t>
      </w:r>
    </w:p>
    <w:p w14:paraId="1A1BCE2A" w14:textId="77777777" w:rsidR="00A142C5" w:rsidRPr="004C4A67" w:rsidRDefault="00A142C5" w:rsidP="002B21EE">
      <w:pPr>
        <w:pStyle w:val="JCEbodytext"/>
        <w:rPr>
          <w:rFonts w:cstheme="minorHAnsi"/>
        </w:rPr>
      </w:pPr>
      <w:r w:rsidRPr="004C4A67">
        <w:rPr>
          <w:rFonts w:cstheme="minorHAnsi"/>
        </w:rPr>
        <w:t>The purpose and effectiveness of laboratory education in chemistry degree courses has long been the subject of scrutiny.</w:t>
      </w:r>
      <w:r w:rsidR="003E3357" w:rsidRPr="004C4A67">
        <w:rPr>
          <w:rFonts w:cstheme="minorHAnsi"/>
          <w:vertAlign w:val="superscript"/>
        </w:rPr>
        <w:t>1-</w:t>
      </w:r>
      <w:r w:rsidR="006D4DD5" w:rsidRPr="004C4A67">
        <w:rPr>
          <w:rFonts w:cstheme="minorHAnsi"/>
          <w:vertAlign w:val="superscript"/>
        </w:rPr>
        <w:t>4</w:t>
      </w:r>
      <w:r w:rsidRPr="004C4A67">
        <w:rPr>
          <w:rFonts w:cstheme="minorHAnsi"/>
        </w:rPr>
        <w:t xml:space="preserve"> The aims of laboratory work can be broadly split into three areas: practical skills; transferable skills; and intellectual stimulation.</w:t>
      </w:r>
      <w:r w:rsidR="006D4DD5" w:rsidRPr="004C4A67">
        <w:rPr>
          <w:rFonts w:cstheme="minorHAnsi"/>
          <w:vertAlign w:val="superscript"/>
        </w:rPr>
        <w:t>5</w:t>
      </w:r>
      <w:r w:rsidR="00C90F81" w:rsidRPr="004C4A67">
        <w:rPr>
          <w:rFonts w:cstheme="minorHAnsi"/>
        </w:rPr>
        <w:t xml:space="preserve"> </w:t>
      </w:r>
      <w:r w:rsidRPr="004C4A67">
        <w:rPr>
          <w:rFonts w:cstheme="minorHAnsi"/>
        </w:rPr>
        <w:t xml:space="preserve">The term ‘practical skills’ may itself be wide-ranging incorporating </w:t>
      </w:r>
      <w:r w:rsidR="00EC2311">
        <w:rPr>
          <w:rFonts w:cstheme="minorHAnsi"/>
        </w:rPr>
        <w:t>operation of specific equipment</w:t>
      </w:r>
      <w:r w:rsidRPr="004C4A67">
        <w:rPr>
          <w:rFonts w:cstheme="minorHAnsi"/>
        </w:rPr>
        <w:t xml:space="preserve"> and instrumentation, observation and interpretation of methods, and adherence to safety procedures. In the context of this article, we assign ‘practical skills’ to the specific techniques commonly found in chemistry laboratories including operation and manipulation of equipment and instrumentatio</w:t>
      </w:r>
      <w:r w:rsidR="00EC2311">
        <w:rPr>
          <w:rFonts w:cstheme="minorHAnsi"/>
        </w:rPr>
        <w:t>n.</w:t>
      </w:r>
      <w:r w:rsidRPr="004C4A67">
        <w:rPr>
          <w:rFonts w:cstheme="minorHAnsi"/>
        </w:rPr>
        <w:t xml:space="preserve"> </w:t>
      </w:r>
    </w:p>
    <w:p w14:paraId="37C0E6F1" w14:textId="77777777" w:rsidR="00A142C5" w:rsidRPr="004C4A67" w:rsidRDefault="00A142C5" w:rsidP="002B21EE">
      <w:pPr>
        <w:spacing w:line="480" w:lineRule="auto"/>
        <w:ind w:firstLine="360"/>
        <w:rPr>
          <w:rFonts w:ascii="Bookman Old Style" w:hAnsi="Bookman Old Style" w:cstheme="minorHAnsi"/>
          <w:sz w:val="20"/>
          <w:szCs w:val="20"/>
        </w:rPr>
      </w:pPr>
      <w:r w:rsidRPr="004C4A67">
        <w:rPr>
          <w:rFonts w:ascii="Bookman Old Style" w:hAnsi="Bookman Old Style" w:cstheme="minorHAnsi"/>
          <w:sz w:val="20"/>
          <w:szCs w:val="20"/>
        </w:rPr>
        <w:t>Poor engagement with chemistry laboratory classes in higher education is a common complaint; there are many reports of students merely aiming to finish their laboratory class as quickly as possible with little regard for the skills they might be acquiring.</w:t>
      </w:r>
      <w:r w:rsidR="006D4DD5" w:rsidRPr="004C4A67">
        <w:rPr>
          <w:rFonts w:ascii="Bookman Old Style" w:hAnsi="Bookman Old Style" w:cstheme="minorHAnsi"/>
          <w:sz w:val="20"/>
          <w:szCs w:val="20"/>
          <w:vertAlign w:val="superscript"/>
        </w:rPr>
        <w:t>6,7</w:t>
      </w:r>
      <w:r w:rsidRPr="004C4A67">
        <w:rPr>
          <w:rFonts w:ascii="Bookman Old Style" w:hAnsi="Bookman Old Style" w:cstheme="minorHAnsi"/>
          <w:sz w:val="20"/>
          <w:szCs w:val="20"/>
          <w:vertAlign w:val="superscript"/>
        </w:rPr>
        <w:t xml:space="preserve"> </w:t>
      </w:r>
      <w:r w:rsidRPr="004C4A67">
        <w:rPr>
          <w:rFonts w:ascii="Bookman Old Style" w:hAnsi="Bookman Old Style" w:cstheme="minorHAnsi"/>
          <w:sz w:val="20"/>
          <w:szCs w:val="20"/>
        </w:rPr>
        <w:t>Failing to effectively learn practical chemistry skills at lower levels of a degree course may hinder performance in subsequent modules (where proficiency in such skills might be "expected"), including final year research projects, and potentially hinder future employment as laboratory chemists.</w:t>
      </w:r>
      <w:r w:rsidR="006D4DD5" w:rsidRPr="004C4A67">
        <w:rPr>
          <w:rFonts w:ascii="Bookman Old Style" w:hAnsi="Bookman Old Style" w:cstheme="minorHAnsi"/>
          <w:sz w:val="20"/>
          <w:szCs w:val="20"/>
          <w:vertAlign w:val="superscript"/>
        </w:rPr>
        <w:t>8</w:t>
      </w:r>
      <w:r w:rsidRPr="004C4A67">
        <w:rPr>
          <w:rFonts w:ascii="Bookman Old Style" w:hAnsi="Bookman Old Style" w:cstheme="minorHAnsi"/>
          <w:sz w:val="20"/>
          <w:szCs w:val="20"/>
          <w:vertAlign w:val="superscript"/>
        </w:rPr>
        <w:t xml:space="preserve"> </w:t>
      </w:r>
      <w:r w:rsidRPr="004C4A67">
        <w:rPr>
          <w:rFonts w:ascii="Bookman Old Style" w:hAnsi="Bookman Old Style" w:cstheme="minorHAnsi"/>
          <w:sz w:val="20"/>
          <w:szCs w:val="20"/>
        </w:rPr>
        <w:t>Another consequence of lacking basic practical skills at higher levels of a degree course is reduced opportunity to develop the plethora of important scientific and transferable skills that a practical chemistry course should provide, if the focus remains on explicit procedures, glassware handling and instrumentation operation. Furthermore, in the UK, one of the key requirements of Royal Society of Chemistry accredited degree courses is ‘</w:t>
      </w:r>
      <w:r w:rsidRPr="004C4A67">
        <w:rPr>
          <w:rFonts w:ascii="Bookman Old Style" w:hAnsi="Bookman Old Style" w:cstheme="minorHAnsi"/>
          <w:i/>
          <w:sz w:val="20"/>
          <w:szCs w:val="20"/>
        </w:rPr>
        <w:t>students must develop a range of practical skills’</w:t>
      </w:r>
      <w:r w:rsidRPr="004C4A67">
        <w:rPr>
          <w:rFonts w:ascii="Bookman Old Style" w:hAnsi="Bookman Old Style" w:cstheme="minorHAnsi"/>
          <w:sz w:val="20"/>
          <w:szCs w:val="20"/>
        </w:rPr>
        <w:t>.</w:t>
      </w:r>
      <w:r w:rsidR="006D4DD5" w:rsidRPr="004C4A67">
        <w:rPr>
          <w:rFonts w:ascii="Bookman Old Style" w:hAnsi="Bookman Old Style" w:cstheme="minorHAnsi"/>
          <w:sz w:val="20"/>
          <w:szCs w:val="20"/>
          <w:vertAlign w:val="superscript"/>
        </w:rPr>
        <w:t>9</w:t>
      </w:r>
    </w:p>
    <w:p w14:paraId="7E68828A" w14:textId="469F181D" w:rsidR="00A142C5" w:rsidRPr="004C4A67" w:rsidRDefault="00A142C5" w:rsidP="002B21EE">
      <w:pPr>
        <w:pStyle w:val="JCEbodytext"/>
        <w:rPr>
          <w:rFonts w:cstheme="minorHAnsi"/>
        </w:rPr>
      </w:pPr>
      <w:r w:rsidRPr="004C4A67">
        <w:rPr>
          <w:rFonts w:cstheme="minorHAnsi"/>
          <w:vertAlign w:val="superscript"/>
        </w:rPr>
        <w:t xml:space="preserve"> </w:t>
      </w:r>
      <w:r w:rsidRPr="004C4A67">
        <w:rPr>
          <w:rFonts w:cstheme="minorHAnsi"/>
        </w:rPr>
        <w:t>In recent years there has been significant focus on improving the effectiveness of chemistry laboratory classes</w:t>
      </w:r>
      <w:r w:rsidR="00291C93">
        <w:rPr>
          <w:rFonts w:cstheme="minorHAnsi"/>
        </w:rPr>
        <w:t>,</w:t>
      </w:r>
      <w:r w:rsidRPr="004C4A67">
        <w:rPr>
          <w:rFonts w:cstheme="minorHAnsi"/>
        </w:rPr>
        <w:t xml:space="preserve"> </w:t>
      </w:r>
      <w:r w:rsidR="00B07F5D" w:rsidRPr="004C4A67">
        <w:rPr>
          <w:rFonts w:cstheme="minorHAnsi"/>
        </w:rPr>
        <w:t xml:space="preserve">partly </w:t>
      </w:r>
      <w:r w:rsidRPr="004C4A67">
        <w:rPr>
          <w:rFonts w:cstheme="minorHAnsi"/>
        </w:rPr>
        <w:t>with the aim of enhanced learning and retention of practical skills.</w:t>
      </w:r>
      <w:r w:rsidR="003E3357" w:rsidRPr="004C4A67">
        <w:rPr>
          <w:rFonts w:cstheme="minorHAnsi"/>
          <w:vertAlign w:val="superscript"/>
        </w:rPr>
        <w:t>1-3</w:t>
      </w:r>
      <w:r w:rsidRPr="004C4A67">
        <w:rPr>
          <w:rFonts w:cstheme="minorHAnsi"/>
        </w:rPr>
        <w:t xml:space="preserve"> The key factor that has been identified as a barrier to learning in the laboratory, especially for students in the early years of their degree, is cognitive load.</w:t>
      </w:r>
      <w:r w:rsidR="00B81B9D" w:rsidRPr="004C4A67">
        <w:rPr>
          <w:rFonts w:cstheme="minorHAnsi"/>
          <w:vertAlign w:val="superscript"/>
        </w:rPr>
        <w:t>10</w:t>
      </w:r>
      <w:r w:rsidR="006A1F0E">
        <w:rPr>
          <w:rFonts w:cstheme="minorHAnsi"/>
          <w:vertAlign w:val="superscript"/>
        </w:rPr>
        <w:t>,11</w:t>
      </w:r>
      <w:r w:rsidRPr="004C4A67">
        <w:rPr>
          <w:rFonts w:cstheme="minorHAnsi"/>
        </w:rPr>
        <w:t xml:space="preserve"> Learning any underpinning theory is significantly more challenging in an unfamiliar environment, for example where competence in new or unlearned practical skills is also required.</w:t>
      </w:r>
      <w:r w:rsidR="003E3357" w:rsidRPr="004C4A67">
        <w:rPr>
          <w:rFonts w:cstheme="minorHAnsi"/>
          <w:vertAlign w:val="superscript"/>
        </w:rPr>
        <w:t>9</w:t>
      </w:r>
      <w:r w:rsidR="003E3357" w:rsidRPr="004C4A67">
        <w:rPr>
          <w:rFonts w:cstheme="minorHAnsi"/>
        </w:rPr>
        <w:t xml:space="preserve"> </w:t>
      </w:r>
      <w:r w:rsidRPr="004C4A67">
        <w:rPr>
          <w:rFonts w:cstheme="minorHAnsi"/>
        </w:rPr>
        <w:t xml:space="preserve">At Keele and elsewhere, pre-laboratory exercises have been widely </w:t>
      </w:r>
      <w:r w:rsidRPr="004C4A67">
        <w:rPr>
          <w:rFonts w:cstheme="minorHAnsi"/>
        </w:rPr>
        <w:lastRenderedPageBreak/>
        <w:t xml:space="preserve">used in an attempt to reduce cognitive load and </w:t>
      </w:r>
      <w:r w:rsidR="00B81B9D" w:rsidRPr="004C4A67">
        <w:rPr>
          <w:rFonts w:cstheme="minorHAnsi"/>
        </w:rPr>
        <w:t>increase students’ preparedness.</w:t>
      </w:r>
      <w:r w:rsidR="00B81B9D" w:rsidRPr="004C4A67">
        <w:rPr>
          <w:rFonts w:cstheme="minorHAnsi"/>
          <w:vertAlign w:val="superscript"/>
        </w:rPr>
        <w:t>12-14</w:t>
      </w:r>
      <w:r w:rsidRPr="004C4A67">
        <w:rPr>
          <w:rFonts w:cstheme="minorHAnsi"/>
        </w:rPr>
        <w:t xml:space="preserve"> For example, pre-laboratory video demonstrations, often coupled with a short related quiz have been used to prepare students for new practical techniques they will meet in the lab.</w:t>
      </w:r>
      <w:r w:rsidR="00B81B9D" w:rsidRPr="004C4A67">
        <w:rPr>
          <w:rFonts w:cstheme="minorHAnsi"/>
          <w:vertAlign w:val="superscript"/>
        </w:rPr>
        <w:t>13</w:t>
      </w:r>
      <w:r w:rsidR="00B81B9D" w:rsidRPr="004C4A67">
        <w:rPr>
          <w:rFonts w:cstheme="minorHAnsi"/>
        </w:rPr>
        <w:t xml:space="preserve"> In a related approach, Fung has used ‘first person’ videos created through the student wearing a camera when carrying out a technique.</w:t>
      </w:r>
      <w:r w:rsidR="00B81B9D" w:rsidRPr="004C4A67">
        <w:rPr>
          <w:rFonts w:cstheme="minorHAnsi"/>
          <w:vertAlign w:val="superscript"/>
        </w:rPr>
        <w:t>15</w:t>
      </w:r>
      <w:r w:rsidRPr="004C4A67">
        <w:rPr>
          <w:rFonts w:cstheme="minorHAnsi"/>
        </w:rPr>
        <w:t xml:space="preserve"> </w:t>
      </w:r>
      <w:r w:rsidR="00B81B9D" w:rsidRPr="004C4A67">
        <w:rPr>
          <w:rFonts w:cstheme="minorHAnsi"/>
        </w:rPr>
        <w:t>Pre-laboratory exercises involving videos of specific techniques</w:t>
      </w:r>
      <w:r w:rsidRPr="004C4A67">
        <w:rPr>
          <w:rFonts w:cstheme="minorHAnsi"/>
        </w:rPr>
        <w:t xml:space="preserve"> have been popular with students, shown to be effective at increasing students’ understanding </w:t>
      </w:r>
      <w:r w:rsidR="00C127A7" w:rsidRPr="004C4A67">
        <w:rPr>
          <w:rFonts w:cstheme="minorHAnsi"/>
        </w:rPr>
        <w:t>of the purpose of the technique</w:t>
      </w:r>
      <w:r w:rsidR="00291C93">
        <w:rPr>
          <w:rFonts w:cstheme="minorHAnsi"/>
        </w:rPr>
        <w:t>,</w:t>
      </w:r>
      <w:r w:rsidR="00D57DC2" w:rsidRPr="004C4A67">
        <w:rPr>
          <w:rFonts w:cstheme="minorHAnsi"/>
          <w:vertAlign w:val="superscript"/>
        </w:rPr>
        <w:t>14</w:t>
      </w:r>
      <w:r w:rsidRPr="004C4A67">
        <w:rPr>
          <w:rFonts w:cstheme="minorHAnsi"/>
        </w:rPr>
        <w:t xml:space="preserve"> but do not necessarily lead t</w:t>
      </w:r>
      <w:r w:rsidR="006D4DD5" w:rsidRPr="004C4A67">
        <w:rPr>
          <w:rFonts w:cstheme="minorHAnsi"/>
        </w:rPr>
        <w:t>o enhanced academic performance</w:t>
      </w:r>
      <w:r w:rsidR="00EC2311">
        <w:rPr>
          <w:rFonts w:cstheme="minorHAnsi"/>
        </w:rPr>
        <w:t>.</w:t>
      </w:r>
      <w:r w:rsidR="00D57DC2" w:rsidRPr="004C4A67">
        <w:rPr>
          <w:rFonts w:cstheme="minorHAnsi"/>
          <w:vertAlign w:val="superscript"/>
        </w:rPr>
        <w:t>13</w:t>
      </w:r>
      <w:r w:rsidRPr="004C4A67">
        <w:rPr>
          <w:rFonts w:cstheme="minorHAnsi"/>
        </w:rPr>
        <w:t xml:space="preserve"> More recently,</w:t>
      </w:r>
      <w:r w:rsidR="006D396C">
        <w:rPr>
          <w:rFonts w:cstheme="minorHAnsi"/>
        </w:rPr>
        <w:t xml:space="preserve"> Blackburn </w:t>
      </w:r>
      <w:r w:rsidR="006D396C" w:rsidRPr="006D396C">
        <w:rPr>
          <w:rFonts w:cstheme="minorHAnsi"/>
          <w:i/>
        </w:rPr>
        <w:t>et al</w:t>
      </w:r>
      <w:r w:rsidR="006D396C">
        <w:rPr>
          <w:rFonts w:cstheme="minorHAnsi"/>
        </w:rPr>
        <w:t>.</w:t>
      </w:r>
      <w:r w:rsidRPr="004C4A67">
        <w:rPr>
          <w:rFonts w:cstheme="minorHAnsi"/>
        </w:rPr>
        <w:t xml:space="preserve"> </w:t>
      </w:r>
      <w:r w:rsidR="006D396C">
        <w:rPr>
          <w:rFonts w:cstheme="minorHAnsi"/>
        </w:rPr>
        <w:t>have integrated laboratory themed simulations allowing students experience of experiments without the associated risk of a laboratory setting.</w:t>
      </w:r>
      <w:r w:rsidR="006D396C" w:rsidRPr="006D396C">
        <w:rPr>
          <w:rFonts w:cstheme="minorHAnsi"/>
          <w:vertAlign w:val="superscript"/>
        </w:rPr>
        <w:t>16</w:t>
      </w:r>
      <w:r w:rsidR="006D396C">
        <w:rPr>
          <w:rFonts w:cstheme="minorHAnsi"/>
        </w:rPr>
        <w:t xml:space="preserve"> </w:t>
      </w:r>
      <w:r w:rsidRPr="004C4A67">
        <w:rPr>
          <w:rFonts w:cstheme="minorHAnsi"/>
        </w:rPr>
        <w:t xml:space="preserve">Zeiner </w:t>
      </w:r>
      <w:r w:rsidRPr="004C4A67">
        <w:rPr>
          <w:rFonts w:cstheme="minorHAnsi"/>
          <w:i/>
        </w:rPr>
        <w:t>et al</w:t>
      </w:r>
      <w:r w:rsidR="00D57DC2" w:rsidRPr="004C4A67">
        <w:rPr>
          <w:rFonts w:cstheme="minorHAnsi"/>
        </w:rPr>
        <w:t>.</w:t>
      </w:r>
      <w:r w:rsidRPr="004C4A67">
        <w:rPr>
          <w:rFonts w:cstheme="minorHAnsi"/>
        </w:rPr>
        <w:t xml:space="preserve"> have replaced standard laboratory instructions with photocomics, combining photographs of the steps of laboratory procedure with short sentences.</w:t>
      </w:r>
      <w:r w:rsidR="00D57DC2" w:rsidRPr="004C4A67">
        <w:rPr>
          <w:rFonts w:cstheme="minorHAnsi"/>
          <w:vertAlign w:val="superscript"/>
        </w:rPr>
        <w:t>1</w:t>
      </w:r>
      <w:r w:rsidR="006D396C">
        <w:rPr>
          <w:rFonts w:cstheme="minorHAnsi"/>
          <w:vertAlign w:val="superscript"/>
        </w:rPr>
        <w:t>7</w:t>
      </w:r>
      <w:r w:rsidRPr="004C4A67">
        <w:rPr>
          <w:rFonts w:cstheme="minorHAnsi"/>
        </w:rPr>
        <w:t xml:space="preserve"> The photocomic lab manuals were found to promote greater student independence and efficiency in laboratory classes.</w:t>
      </w:r>
    </w:p>
    <w:p w14:paraId="0A64E3EB" w14:textId="57F85CAF" w:rsidR="00A142C5" w:rsidRPr="004C4A67" w:rsidRDefault="00A142C5" w:rsidP="002B21EE">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All attempts to enhance practical chemistry skills may be futile if the students do not perceive their efforts to be rewarded</w:t>
      </w:r>
      <w:r w:rsidR="00B57372"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i.e. practical skills must be assessed.</w:t>
      </w:r>
      <w:r w:rsidR="00B57372" w:rsidRPr="004C4A67">
        <w:rPr>
          <w:rFonts w:ascii="Bookman Old Style" w:hAnsi="Bookman Old Style" w:cstheme="minorHAnsi"/>
          <w:sz w:val="20"/>
          <w:szCs w:val="20"/>
          <w:vertAlign w:val="superscript"/>
        </w:rPr>
        <w:t>1</w:t>
      </w:r>
      <w:r w:rsidR="006D396C">
        <w:rPr>
          <w:rFonts w:ascii="Bookman Old Style" w:hAnsi="Bookman Old Style" w:cstheme="minorHAnsi"/>
          <w:sz w:val="20"/>
          <w:szCs w:val="20"/>
          <w:vertAlign w:val="superscript"/>
        </w:rPr>
        <w:t>8</w:t>
      </w:r>
      <w:r w:rsidRPr="004C4A67">
        <w:rPr>
          <w:rFonts w:ascii="Bookman Old Style" w:hAnsi="Bookman Old Style" w:cstheme="minorHAnsi"/>
          <w:sz w:val="20"/>
          <w:szCs w:val="20"/>
        </w:rPr>
        <w:t xml:space="preserve"> The assessment associated with practical courses in chemistry degrees is commonly related to the experiment write-up, or the final result (for example, quality of data analysis</w:t>
      </w:r>
      <w:r w:rsidR="00291C93">
        <w:rPr>
          <w:rFonts w:ascii="Bookman Old Style" w:hAnsi="Bookman Old Style" w:cstheme="minorHAnsi"/>
          <w:sz w:val="20"/>
          <w:szCs w:val="20"/>
        </w:rPr>
        <w:t>,</w:t>
      </w:r>
      <w:r w:rsidRPr="004C4A67">
        <w:rPr>
          <w:rFonts w:ascii="Bookman Old Style" w:hAnsi="Bookman Old Style" w:cstheme="minorHAnsi"/>
          <w:sz w:val="20"/>
          <w:szCs w:val="20"/>
        </w:rPr>
        <w:t xml:space="preserve"> product appearance and/or yield)</w:t>
      </w:r>
      <w:r w:rsidR="00B57372" w:rsidRPr="004C4A67">
        <w:rPr>
          <w:rFonts w:ascii="Bookman Old Style" w:hAnsi="Bookman Old Style" w:cstheme="minorHAnsi"/>
          <w:sz w:val="20"/>
          <w:szCs w:val="20"/>
          <w:vertAlign w:val="superscript"/>
        </w:rPr>
        <w:t>1</w:t>
      </w:r>
      <w:r w:rsidR="006D396C">
        <w:rPr>
          <w:rFonts w:ascii="Bookman Old Style" w:hAnsi="Bookman Old Style" w:cstheme="minorHAnsi"/>
          <w:sz w:val="20"/>
          <w:szCs w:val="20"/>
          <w:vertAlign w:val="superscript"/>
        </w:rPr>
        <w:t>9</w:t>
      </w:r>
      <w:r w:rsidRPr="004C4A67">
        <w:rPr>
          <w:rFonts w:ascii="Bookman Old Style" w:hAnsi="Bookman Old Style" w:cstheme="minorHAnsi"/>
          <w:sz w:val="20"/>
          <w:szCs w:val="20"/>
        </w:rPr>
        <w:t xml:space="preserve"> rather than proficiency in the skills developed during practical sessions. While analytical and reporting skills are of great importance for chemistry graduates, this type of assessment only indirectly assesses practical skills.</w:t>
      </w:r>
      <w:r w:rsidR="00E03AF6">
        <w:rPr>
          <w:rFonts w:ascii="Bookman Old Style" w:hAnsi="Bookman Old Style" w:cstheme="minorHAnsi"/>
          <w:sz w:val="20"/>
          <w:szCs w:val="20"/>
          <w:vertAlign w:val="superscript"/>
        </w:rPr>
        <w:t>20-24</w:t>
      </w:r>
    </w:p>
    <w:p w14:paraId="5B88648B" w14:textId="68928824" w:rsidR="00A142C5" w:rsidRPr="004C4A67" w:rsidRDefault="00A142C5" w:rsidP="002B21EE">
      <w:pPr>
        <w:spacing w:line="480" w:lineRule="auto"/>
        <w:ind w:firstLine="284"/>
        <w:rPr>
          <w:rFonts w:ascii="Bookman Old Style" w:hAnsi="Bookman Old Style" w:cstheme="minorHAnsi"/>
          <w:sz w:val="20"/>
          <w:szCs w:val="20"/>
        </w:rPr>
      </w:pPr>
      <w:r w:rsidRPr="004C4A67">
        <w:rPr>
          <w:rFonts w:ascii="Bookman Old Style" w:hAnsi="Bookman Old Style" w:cstheme="minorHAnsi"/>
          <w:sz w:val="20"/>
          <w:szCs w:val="20"/>
        </w:rPr>
        <w:t xml:space="preserve">The direct in-course assessment of practical chemistry skills is still not commonplace in higher education, but there are some examples. Hyde </w:t>
      </w:r>
      <w:r w:rsidRPr="004C4A67">
        <w:rPr>
          <w:rFonts w:ascii="Bookman Old Style" w:hAnsi="Bookman Old Style" w:cstheme="minorHAnsi"/>
          <w:i/>
          <w:sz w:val="20"/>
          <w:szCs w:val="20"/>
        </w:rPr>
        <w:t>et al</w:t>
      </w:r>
      <w:r w:rsidRPr="004C4A67">
        <w:rPr>
          <w:rFonts w:ascii="Bookman Old Style" w:hAnsi="Bookman Old Style" w:cstheme="minorHAnsi"/>
          <w:sz w:val="20"/>
          <w:szCs w:val="20"/>
        </w:rPr>
        <w:t>. have introduced practical skills portfolios as a means to record and reflect upon techniques learnt in the laboratory, however there does not appear to be direct observation of students completing the techniques.</w:t>
      </w:r>
      <w:r w:rsidR="00B57372" w:rsidRPr="004C4A67">
        <w:rPr>
          <w:rFonts w:ascii="Bookman Old Style" w:hAnsi="Bookman Old Style" w:cstheme="minorHAnsi"/>
          <w:sz w:val="20"/>
          <w:szCs w:val="20"/>
          <w:vertAlign w:val="superscript"/>
        </w:rPr>
        <w:t>2</w:t>
      </w:r>
      <w:r w:rsidR="00E03AF6">
        <w:rPr>
          <w:rFonts w:ascii="Bookman Old Style" w:hAnsi="Bookman Old Style" w:cstheme="minorHAnsi"/>
          <w:sz w:val="20"/>
          <w:szCs w:val="20"/>
          <w:vertAlign w:val="superscript"/>
        </w:rPr>
        <w:t>5</w:t>
      </w:r>
      <w:r w:rsidRPr="004C4A67">
        <w:rPr>
          <w:rFonts w:ascii="Bookman Old Style" w:hAnsi="Bookman Old Style" w:cstheme="minorHAnsi"/>
          <w:sz w:val="20"/>
          <w:szCs w:val="20"/>
        </w:rPr>
        <w:t xml:space="preserve"> Chen </w:t>
      </w:r>
      <w:r w:rsidRPr="004C4A67">
        <w:rPr>
          <w:rFonts w:ascii="Bookman Old Style" w:hAnsi="Bookman Old Style" w:cstheme="minorHAnsi"/>
          <w:i/>
          <w:sz w:val="20"/>
          <w:szCs w:val="20"/>
        </w:rPr>
        <w:t>et al</w:t>
      </w:r>
      <w:r w:rsidRPr="004C4A67">
        <w:rPr>
          <w:rFonts w:ascii="Bookman Old Style" w:hAnsi="Bookman Old Style" w:cstheme="minorHAnsi"/>
          <w:sz w:val="20"/>
          <w:szCs w:val="20"/>
        </w:rPr>
        <w:t xml:space="preserve">. have used a skills based scoring rubric for an organic chemistry experiment that comprised demonstration </w:t>
      </w:r>
      <w:r w:rsidR="00582C95" w:rsidRPr="004C4A67">
        <w:rPr>
          <w:rFonts w:ascii="Bookman Old Style" w:hAnsi="Bookman Old Style" w:cstheme="minorHAnsi"/>
          <w:sz w:val="20"/>
          <w:szCs w:val="20"/>
        </w:rPr>
        <w:t>of various practical skills</w:t>
      </w:r>
      <w:r w:rsidRPr="004C4A67">
        <w:rPr>
          <w:rFonts w:ascii="Bookman Old Style" w:hAnsi="Bookman Old Style" w:cstheme="minorHAnsi"/>
          <w:sz w:val="20"/>
          <w:szCs w:val="20"/>
        </w:rPr>
        <w:t xml:space="preserve">, for example ‘heating a reaction at </w:t>
      </w:r>
      <w:r w:rsidR="00225618" w:rsidRPr="004C4A67">
        <w:rPr>
          <w:rFonts w:ascii="Bookman Old Style" w:hAnsi="Bookman Old Style" w:cstheme="minorHAnsi"/>
          <w:sz w:val="20"/>
          <w:szCs w:val="20"/>
        </w:rPr>
        <w:t>reflux</w:t>
      </w:r>
      <w:r w:rsidRPr="004C4A67">
        <w:rPr>
          <w:rFonts w:ascii="Bookman Old Style" w:hAnsi="Bookman Old Style" w:cstheme="minorHAnsi"/>
          <w:sz w:val="20"/>
          <w:szCs w:val="20"/>
        </w:rPr>
        <w:t>’.</w:t>
      </w:r>
      <w:r w:rsidR="00582C95" w:rsidRPr="004C4A67">
        <w:rPr>
          <w:rFonts w:ascii="Bookman Old Style" w:hAnsi="Bookman Old Style" w:cstheme="minorHAnsi"/>
          <w:sz w:val="20"/>
          <w:szCs w:val="20"/>
          <w:vertAlign w:val="superscript"/>
        </w:rPr>
        <w:t>2</w:t>
      </w:r>
      <w:r w:rsidR="00E03AF6">
        <w:rPr>
          <w:rFonts w:ascii="Bookman Old Style" w:hAnsi="Bookman Old Style" w:cstheme="minorHAnsi"/>
          <w:sz w:val="20"/>
          <w:szCs w:val="20"/>
          <w:vertAlign w:val="superscript"/>
        </w:rPr>
        <w:t>6</w:t>
      </w:r>
      <w:r w:rsidRPr="004C4A67">
        <w:rPr>
          <w:rFonts w:ascii="Bookman Old Style" w:hAnsi="Bookman Old Style" w:cstheme="minorHAnsi"/>
          <w:sz w:val="20"/>
          <w:szCs w:val="20"/>
        </w:rPr>
        <w:t xml:space="preserve"> In order to ensure consistency in marking by teaching assistants, each skill comprised a series of subskills (e.g. selecting clean and dry glassware to use). </w:t>
      </w:r>
      <w:r w:rsidR="001E5108" w:rsidRPr="004C4A67">
        <w:rPr>
          <w:rFonts w:ascii="Bookman Old Style" w:hAnsi="Bookman Old Style" w:cstheme="minorHAnsi"/>
          <w:sz w:val="20"/>
          <w:szCs w:val="20"/>
        </w:rPr>
        <w:t xml:space="preserve">In the work of Graham </w:t>
      </w:r>
      <w:r w:rsidR="001E5108" w:rsidRPr="004C4A67">
        <w:rPr>
          <w:rFonts w:ascii="Bookman Old Style" w:hAnsi="Bookman Old Style" w:cstheme="minorHAnsi"/>
          <w:i/>
          <w:sz w:val="20"/>
          <w:szCs w:val="20"/>
        </w:rPr>
        <w:t>et al</w:t>
      </w:r>
      <w:r w:rsidR="001E5108" w:rsidRPr="004C4A67">
        <w:rPr>
          <w:rFonts w:ascii="Bookman Old Style" w:hAnsi="Bookman Old Style" w:cstheme="minorHAnsi"/>
          <w:sz w:val="20"/>
          <w:szCs w:val="20"/>
        </w:rPr>
        <w:t>. the ability of students to successfully carry out a purification technique was assessed through the purity of the product, as determined by the spectral analysis obtained.</w:t>
      </w:r>
      <w:r w:rsidR="001E5108" w:rsidRPr="004C4A67">
        <w:rPr>
          <w:rFonts w:ascii="Bookman Old Style" w:hAnsi="Bookman Old Style" w:cstheme="minorHAnsi"/>
          <w:sz w:val="20"/>
          <w:szCs w:val="20"/>
          <w:vertAlign w:val="superscript"/>
        </w:rPr>
        <w:t>2</w:t>
      </w:r>
      <w:r w:rsidR="00E03AF6">
        <w:rPr>
          <w:rFonts w:ascii="Bookman Old Style" w:hAnsi="Bookman Old Style" w:cstheme="minorHAnsi"/>
          <w:sz w:val="20"/>
          <w:szCs w:val="20"/>
          <w:vertAlign w:val="superscript"/>
        </w:rPr>
        <w:t>7</w:t>
      </w:r>
      <w:r w:rsidR="001E5108"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Elsewhere, there have been reports whereby students are asked to create video recordings of basic skills (e.g. pipetting) that lead to the award of digital badges</w:t>
      </w:r>
      <w:r w:rsidR="00291C93">
        <w:rPr>
          <w:rFonts w:ascii="Bookman Old Style" w:hAnsi="Bookman Old Style" w:cstheme="minorHAnsi"/>
          <w:sz w:val="20"/>
          <w:szCs w:val="20"/>
        </w:rPr>
        <w:t>.</w:t>
      </w:r>
      <w:r w:rsidR="00E03AF6">
        <w:rPr>
          <w:rFonts w:ascii="Bookman Old Style" w:hAnsi="Bookman Old Style" w:cstheme="minorHAnsi"/>
          <w:sz w:val="20"/>
          <w:szCs w:val="20"/>
          <w:vertAlign w:val="superscript"/>
        </w:rPr>
        <w:t>28-30</w:t>
      </w:r>
      <w:r w:rsidRPr="004C4A67">
        <w:rPr>
          <w:rFonts w:ascii="Bookman Old Style" w:hAnsi="Bookman Old Style" w:cstheme="minorHAnsi"/>
          <w:sz w:val="20"/>
          <w:szCs w:val="20"/>
        </w:rPr>
        <w:t xml:space="preserve"> In the example of Seery </w:t>
      </w:r>
      <w:r w:rsidRPr="004C4A67">
        <w:rPr>
          <w:rFonts w:ascii="Bookman Old Style" w:hAnsi="Bookman Old Style" w:cstheme="minorHAnsi"/>
          <w:i/>
          <w:sz w:val="20"/>
          <w:szCs w:val="20"/>
        </w:rPr>
        <w:t>et al</w:t>
      </w:r>
      <w:r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lastRenderedPageBreak/>
        <w:t>each student-produced video is reviewed and feedback provided. However, the range of techniques is presently limited. If it were to be expanded to include a wide range of skills</w:t>
      </w:r>
      <w:r w:rsidR="00453639" w:rsidRPr="004C4A67">
        <w:rPr>
          <w:rFonts w:ascii="Bookman Old Style" w:hAnsi="Bookman Old Style" w:cstheme="minorHAnsi"/>
          <w:sz w:val="20"/>
          <w:szCs w:val="20"/>
        </w:rPr>
        <w:t>,</w:t>
      </w:r>
      <w:r w:rsidRPr="004C4A67">
        <w:rPr>
          <w:rFonts w:ascii="Bookman Old Style" w:hAnsi="Bookman Old Style" w:cstheme="minorHAnsi"/>
          <w:sz w:val="20"/>
          <w:szCs w:val="20"/>
        </w:rPr>
        <w:t xml:space="preserve"> marking and feedback provision may become unfeasible. </w:t>
      </w:r>
    </w:p>
    <w:p w14:paraId="1A860EDA" w14:textId="47C63F2E" w:rsidR="00A142C5" w:rsidRPr="004C4A67" w:rsidRDefault="00A142C5" w:rsidP="002B21EE">
      <w:pPr>
        <w:spacing w:line="480" w:lineRule="auto"/>
        <w:ind w:firstLine="284"/>
        <w:rPr>
          <w:rFonts w:ascii="Bookman Old Style" w:hAnsi="Bookman Old Style" w:cstheme="minorHAnsi"/>
          <w:sz w:val="20"/>
          <w:szCs w:val="20"/>
        </w:rPr>
      </w:pPr>
      <w:r w:rsidRPr="004C4A67">
        <w:rPr>
          <w:rFonts w:ascii="Bookman Old Style" w:hAnsi="Bookman Old Style" w:cstheme="minorHAnsi"/>
          <w:sz w:val="20"/>
          <w:szCs w:val="20"/>
        </w:rPr>
        <w:t>Specific examinations to assess practical skills remain rare, although there are examples at high school level</w:t>
      </w:r>
      <w:r w:rsidR="00291C93">
        <w:rPr>
          <w:rFonts w:ascii="Bookman Old Style" w:hAnsi="Bookman Old Style" w:cstheme="minorHAnsi"/>
          <w:sz w:val="20"/>
          <w:szCs w:val="20"/>
        </w:rPr>
        <w:t>,</w:t>
      </w:r>
      <w:r w:rsidR="001E5108" w:rsidRPr="004C4A67">
        <w:rPr>
          <w:rFonts w:ascii="Bookman Old Style" w:hAnsi="Bookman Old Style" w:cstheme="minorHAnsi"/>
          <w:sz w:val="20"/>
          <w:szCs w:val="20"/>
          <w:vertAlign w:val="superscript"/>
        </w:rPr>
        <w:t>3</w:t>
      </w:r>
      <w:r w:rsidR="00E03AF6">
        <w:rPr>
          <w:rFonts w:ascii="Bookman Old Style" w:hAnsi="Bookman Old Style" w:cstheme="minorHAnsi"/>
          <w:sz w:val="20"/>
          <w:szCs w:val="20"/>
          <w:vertAlign w:val="superscript"/>
        </w:rPr>
        <w:t>1</w:t>
      </w:r>
      <w:r w:rsidRPr="004C4A67">
        <w:rPr>
          <w:rFonts w:ascii="Bookman Old Style" w:hAnsi="Bookman Old Style" w:cstheme="minorHAnsi"/>
          <w:sz w:val="20"/>
          <w:szCs w:val="20"/>
        </w:rPr>
        <w:t xml:space="preserve"> testing proficiency in one particular technique (for example use of a burette). Fergus </w:t>
      </w:r>
      <w:r w:rsidR="002F4ECF" w:rsidRPr="004C4A67">
        <w:rPr>
          <w:rFonts w:ascii="Bookman Old Style" w:hAnsi="Bookman Old Style" w:cstheme="minorHAnsi"/>
          <w:i/>
          <w:sz w:val="20"/>
          <w:szCs w:val="20"/>
        </w:rPr>
        <w:t>e</w:t>
      </w:r>
      <w:r w:rsidRPr="004C4A67">
        <w:rPr>
          <w:rFonts w:ascii="Bookman Old Style" w:hAnsi="Bookman Old Style" w:cstheme="minorHAnsi"/>
          <w:i/>
          <w:sz w:val="20"/>
          <w:szCs w:val="20"/>
        </w:rPr>
        <w:t>t el</w:t>
      </w:r>
      <w:r w:rsidRPr="004C4A67">
        <w:rPr>
          <w:rFonts w:ascii="Bookman Old Style" w:hAnsi="Bookman Old Style" w:cstheme="minorHAnsi"/>
          <w:sz w:val="20"/>
          <w:szCs w:val="20"/>
        </w:rPr>
        <w:t xml:space="preserve"> have reported a structured chemistry examination (Schems)</w:t>
      </w:r>
      <w:r w:rsidR="004C4A67">
        <w:rPr>
          <w:rFonts w:ascii="Bookman Old Style" w:hAnsi="Bookman Old Style" w:cstheme="minorHAnsi"/>
          <w:sz w:val="20"/>
          <w:szCs w:val="20"/>
        </w:rPr>
        <w:t xml:space="preserve"> for first year pharmacy and life sciences students, </w:t>
      </w:r>
      <w:r w:rsidRPr="004C4A67">
        <w:rPr>
          <w:rFonts w:ascii="Bookman Old Style" w:hAnsi="Bookman Old Style" w:cstheme="minorHAnsi"/>
          <w:sz w:val="20"/>
          <w:szCs w:val="20"/>
        </w:rPr>
        <w:t xml:space="preserve"> incorporating the testing of competency in a range of techniques alongside important graduate skills.</w:t>
      </w:r>
      <w:r w:rsidR="00582C95" w:rsidRPr="004C4A67">
        <w:rPr>
          <w:rFonts w:ascii="Bookman Old Style" w:hAnsi="Bookman Old Style" w:cstheme="minorHAnsi"/>
          <w:sz w:val="20"/>
          <w:szCs w:val="20"/>
          <w:vertAlign w:val="superscript"/>
        </w:rPr>
        <w:t>8</w:t>
      </w:r>
      <w:r w:rsidRPr="004C4A67">
        <w:rPr>
          <w:rFonts w:ascii="Bookman Old Style" w:hAnsi="Bookman Old Style" w:cstheme="minorHAnsi"/>
          <w:sz w:val="20"/>
          <w:szCs w:val="20"/>
        </w:rPr>
        <w:t xml:space="preserve"> Neeland has developed a</w:t>
      </w:r>
      <w:r w:rsidR="004C4A67">
        <w:rPr>
          <w:rFonts w:ascii="Bookman Old Style" w:hAnsi="Bookman Old Style" w:cstheme="minorHAnsi"/>
          <w:sz w:val="20"/>
          <w:szCs w:val="20"/>
        </w:rPr>
        <w:t xml:space="preserve"> 2</w:t>
      </w:r>
      <w:r w:rsidR="004C4A67" w:rsidRPr="004C4A67">
        <w:rPr>
          <w:rFonts w:ascii="Bookman Old Style" w:hAnsi="Bookman Old Style" w:cstheme="minorHAnsi"/>
          <w:sz w:val="20"/>
          <w:szCs w:val="20"/>
          <w:vertAlign w:val="superscript"/>
        </w:rPr>
        <w:t>nd</w:t>
      </w:r>
      <w:r w:rsidR="004C4A67">
        <w:rPr>
          <w:rFonts w:ascii="Bookman Old Style" w:hAnsi="Bookman Old Style" w:cstheme="minorHAnsi"/>
          <w:sz w:val="20"/>
          <w:szCs w:val="20"/>
        </w:rPr>
        <w:t xml:space="preserve"> year</w:t>
      </w:r>
      <w:r w:rsidRPr="004C4A67">
        <w:rPr>
          <w:rFonts w:ascii="Bookman Old Style" w:hAnsi="Bookman Old Style" w:cstheme="minorHAnsi"/>
          <w:sz w:val="20"/>
          <w:szCs w:val="20"/>
        </w:rPr>
        <w:t xml:space="preserve"> organic chemistry practical exam comprising a series of very short (~4 min) stations where students are required to demonstrate various competencies.</w:t>
      </w:r>
      <w:r w:rsidR="00582C95" w:rsidRPr="004C4A67">
        <w:rPr>
          <w:rFonts w:ascii="Bookman Old Style" w:hAnsi="Bookman Old Style" w:cstheme="minorHAnsi"/>
          <w:sz w:val="20"/>
          <w:szCs w:val="20"/>
          <w:vertAlign w:val="superscript"/>
        </w:rPr>
        <w:t>3</w:t>
      </w:r>
      <w:r w:rsidR="00E03AF6">
        <w:rPr>
          <w:rFonts w:ascii="Bookman Old Style" w:hAnsi="Bookman Old Style" w:cstheme="minorHAnsi"/>
          <w:sz w:val="20"/>
          <w:szCs w:val="20"/>
          <w:vertAlign w:val="superscript"/>
        </w:rPr>
        <w:t>2</w:t>
      </w:r>
      <w:r w:rsidRPr="004C4A67">
        <w:rPr>
          <w:rFonts w:ascii="Bookman Old Style" w:hAnsi="Bookman Old Style" w:cstheme="minorHAnsi"/>
          <w:i/>
          <w:sz w:val="20"/>
          <w:szCs w:val="20"/>
        </w:rPr>
        <w:t xml:space="preserve">  </w:t>
      </w:r>
      <w:r w:rsidRPr="004C4A67">
        <w:rPr>
          <w:rFonts w:ascii="Bookman Old Style" w:hAnsi="Bookman Old Style" w:cstheme="minorHAnsi"/>
          <w:sz w:val="20"/>
          <w:szCs w:val="20"/>
        </w:rPr>
        <w:t>However, th</w:t>
      </w:r>
      <w:r w:rsidR="00225618" w:rsidRPr="004C4A67">
        <w:rPr>
          <w:rFonts w:ascii="Bookman Old Style" w:hAnsi="Bookman Old Style" w:cstheme="minorHAnsi"/>
          <w:sz w:val="20"/>
          <w:szCs w:val="20"/>
        </w:rPr>
        <w:t>e</w:t>
      </w:r>
      <w:r w:rsidRPr="004C4A67">
        <w:rPr>
          <w:rFonts w:ascii="Bookman Old Style" w:hAnsi="Bookman Old Style" w:cstheme="minorHAnsi"/>
          <w:sz w:val="20"/>
          <w:szCs w:val="20"/>
        </w:rPr>
        <w:t xml:space="preserve"> short timescale for each station precludes the examination of techniques that </w:t>
      </w:r>
      <w:r w:rsidR="00225618" w:rsidRPr="004C4A67">
        <w:rPr>
          <w:rFonts w:ascii="Bookman Old Style" w:hAnsi="Bookman Old Style" w:cstheme="minorHAnsi"/>
          <w:sz w:val="20"/>
          <w:szCs w:val="20"/>
        </w:rPr>
        <w:t xml:space="preserve">may </w:t>
      </w:r>
      <w:r w:rsidRPr="004C4A67">
        <w:rPr>
          <w:rFonts w:ascii="Bookman Old Style" w:hAnsi="Bookman Old Style" w:cstheme="minorHAnsi"/>
          <w:sz w:val="20"/>
          <w:szCs w:val="20"/>
        </w:rPr>
        <w:t>require longer to demonstrate</w:t>
      </w:r>
      <w:r w:rsidR="00225618" w:rsidRPr="004C4A67">
        <w:rPr>
          <w:rFonts w:ascii="Bookman Old Style" w:hAnsi="Bookman Old Style" w:cstheme="minorHAnsi"/>
          <w:sz w:val="20"/>
          <w:szCs w:val="20"/>
        </w:rPr>
        <w:t xml:space="preserve"> (for example, </w:t>
      </w:r>
      <w:r w:rsidR="009C343E" w:rsidRPr="004C4A67">
        <w:rPr>
          <w:rFonts w:ascii="Bookman Old Style" w:hAnsi="Bookman Old Style" w:cstheme="minorHAnsi"/>
          <w:sz w:val="20"/>
          <w:szCs w:val="20"/>
        </w:rPr>
        <w:t>recrystallization</w:t>
      </w:r>
      <w:r w:rsidR="00225618" w:rsidRPr="004C4A67">
        <w:rPr>
          <w:rFonts w:ascii="Bookman Old Style" w:hAnsi="Bookman Old Style" w:cstheme="minorHAnsi"/>
          <w:sz w:val="20"/>
          <w:szCs w:val="20"/>
        </w:rPr>
        <w:t>)</w:t>
      </w:r>
      <w:r w:rsidRPr="004C4A67">
        <w:rPr>
          <w:rFonts w:ascii="Bookman Old Style" w:hAnsi="Bookman Old Style" w:cstheme="minorHAnsi"/>
          <w:sz w:val="20"/>
          <w:szCs w:val="20"/>
        </w:rPr>
        <w:t>.</w:t>
      </w:r>
    </w:p>
    <w:p w14:paraId="23F47952" w14:textId="77777777" w:rsidR="006A1F0E" w:rsidRDefault="00A142C5" w:rsidP="006A1F0E">
      <w:pPr>
        <w:pStyle w:val="JCEbodytext"/>
      </w:pPr>
      <w:r w:rsidRPr="004C4A67">
        <w:rPr>
          <w:rFonts w:cstheme="minorHAnsi"/>
        </w:rPr>
        <w:t>Herein</w:t>
      </w:r>
      <w:r w:rsidR="00291C93">
        <w:rPr>
          <w:rFonts w:cstheme="minorHAnsi"/>
        </w:rPr>
        <w:t>,</w:t>
      </w:r>
      <w:r w:rsidRPr="004C4A67">
        <w:rPr>
          <w:rFonts w:cstheme="minorHAnsi"/>
        </w:rPr>
        <w:t xml:space="preserve"> we report the design and evolution, over 7 years and 2 distinct versions, of a station-based practical exam to exclusively assess a range of practical skills of first year undergraduates, for a cohort that has ranged from 50 - 120 students. </w:t>
      </w:r>
      <w:r w:rsidR="00B07F5D" w:rsidRPr="004C4A67">
        <w:rPr>
          <w:rFonts w:cstheme="minorHAnsi"/>
        </w:rPr>
        <w:t xml:space="preserve">Introducing the practical exam coincided with major curriculum redevelopment in the chemistry department at Keele, including the formation of a distinct practical chemistry module. </w:t>
      </w:r>
      <w:r w:rsidR="006A1F0E" w:rsidRPr="004C4A67">
        <w:t>The</w:t>
      </w:r>
      <w:r w:rsidR="006A1F0E">
        <w:t xml:space="preserve"> four</w:t>
      </w:r>
      <w:r w:rsidR="006A1F0E" w:rsidRPr="004C4A67">
        <w:t xml:space="preserve"> intended learning outcomes</w:t>
      </w:r>
      <w:r w:rsidR="006A1F0E">
        <w:t xml:space="preserve"> (ILOs)</w:t>
      </w:r>
      <w:r w:rsidR="006A1F0E" w:rsidRPr="004C4A67">
        <w:t xml:space="preserve"> assessed through the practical exam for the practical module (See Table S1 </w:t>
      </w:r>
      <w:r w:rsidR="006A1F0E">
        <w:t xml:space="preserve">in the </w:t>
      </w:r>
      <w:r w:rsidR="006A1F0E" w:rsidRPr="004C4A67">
        <w:t xml:space="preserve">Supporting Information for further module details) are </w:t>
      </w:r>
      <w:r w:rsidR="006A1F0E">
        <w:t>listed below:</w:t>
      </w:r>
    </w:p>
    <w:p w14:paraId="74DEF423" w14:textId="77777777" w:rsidR="006A1F0E" w:rsidRPr="00330DAB" w:rsidRDefault="006A1F0E" w:rsidP="005D3E05">
      <w:pPr>
        <w:pStyle w:val="JCEbulletlist"/>
        <w:numPr>
          <w:ilvl w:val="0"/>
          <w:numId w:val="14"/>
        </w:numPr>
        <w:spacing w:before="60" w:after="60" w:line="240" w:lineRule="atLeast"/>
      </w:pPr>
      <w:r w:rsidRPr="00330DAB">
        <w:t>Identify, assemble, and select appropriate standard chemical apparatus for chemical procedures</w:t>
      </w:r>
      <w:r w:rsidR="00291C93">
        <w:t>.</w:t>
      </w:r>
    </w:p>
    <w:p w14:paraId="2848C925" w14:textId="77777777" w:rsidR="006A1F0E" w:rsidRPr="00330DAB" w:rsidRDefault="006A1F0E" w:rsidP="005D3E05">
      <w:pPr>
        <w:pStyle w:val="JCEbulletlist"/>
        <w:numPr>
          <w:ilvl w:val="0"/>
          <w:numId w:val="14"/>
        </w:numPr>
        <w:spacing w:before="60" w:after="60" w:line="240" w:lineRule="atLeast"/>
      </w:pPr>
      <w:r w:rsidRPr="00330DAB">
        <w:t>Demonstrate competence in the use of standard chemical apparatus, procedures, and instrumentation</w:t>
      </w:r>
      <w:r w:rsidR="00291C93">
        <w:t>.</w:t>
      </w:r>
    </w:p>
    <w:p w14:paraId="0B594F9C" w14:textId="77777777" w:rsidR="006A1F0E" w:rsidRPr="00330DAB" w:rsidRDefault="006A1F0E" w:rsidP="005D3E05">
      <w:pPr>
        <w:pStyle w:val="JCEbulletlist"/>
        <w:numPr>
          <w:ilvl w:val="0"/>
          <w:numId w:val="14"/>
        </w:numPr>
        <w:spacing w:before="60" w:after="60" w:line="240" w:lineRule="atLeast"/>
      </w:pPr>
      <w:r w:rsidRPr="00330DAB">
        <w:t xml:space="preserve">Analyze and interpret </w:t>
      </w:r>
      <w:r w:rsidRPr="00330DAB">
        <w:rPr>
          <w:vertAlign w:val="superscript"/>
        </w:rPr>
        <w:t>1</w:t>
      </w:r>
      <w:r w:rsidRPr="00330DAB">
        <w:t xml:space="preserve">H and </w:t>
      </w:r>
      <w:r w:rsidRPr="00330DAB">
        <w:rPr>
          <w:vertAlign w:val="superscript"/>
        </w:rPr>
        <w:t>13</w:t>
      </w:r>
      <w:r w:rsidRPr="00330DAB">
        <w:t>C NMR, IR, and UV–vis spectra to evaluate the outcome of experimental investigations</w:t>
      </w:r>
      <w:r w:rsidR="00291C93">
        <w:t>.</w:t>
      </w:r>
    </w:p>
    <w:p w14:paraId="7C4FCBDD" w14:textId="77777777" w:rsidR="006A1F0E" w:rsidRPr="00330DAB" w:rsidRDefault="006A1F0E" w:rsidP="005D3E05">
      <w:pPr>
        <w:pStyle w:val="JCEbulletlist"/>
        <w:numPr>
          <w:ilvl w:val="0"/>
          <w:numId w:val="14"/>
        </w:numPr>
        <w:spacing w:before="60" w:after="60" w:line="240" w:lineRule="atLeast"/>
      </w:pPr>
      <w:r w:rsidRPr="00330DAB">
        <w:t>Manipulate and analyze experimental data, using spreadsheets, to create appropriate graphs and extract scientific parameters</w:t>
      </w:r>
      <w:r w:rsidR="00291C93">
        <w:t>.</w:t>
      </w:r>
    </w:p>
    <w:p w14:paraId="1C4CE655" w14:textId="77777777" w:rsidR="006A1F0E" w:rsidRDefault="006A1F0E" w:rsidP="006A1F0E">
      <w:pPr>
        <w:pStyle w:val="JCEFlushBody"/>
      </w:pPr>
      <w:r w:rsidRPr="004C4A67">
        <w:t>The practical exam comprises the principal assessment for ILO 1 and 2, whil</w:t>
      </w:r>
      <w:r>
        <w:t>e</w:t>
      </w:r>
      <w:r w:rsidRPr="004C4A67">
        <w:t xml:space="preserve"> ILO 3 and 4 are also assessed through additional assessment items.</w:t>
      </w:r>
    </w:p>
    <w:p w14:paraId="536E6BFD" w14:textId="12029CE4" w:rsidR="000A26D5" w:rsidRPr="004C4A67" w:rsidRDefault="000A26D5" w:rsidP="00105054">
      <w:pPr>
        <w:spacing w:line="240" w:lineRule="auto"/>
        <w:ind w:firstLine="0"/>
        <w:rPr>
          <w:rFonts w:ascii="Bookman Old Style" w:hAnsi="Bookman Old Style" w:cstheme="minorHAnsi"/>
          <w:b/>
          <w:sz w:val="20"/>
          <w:szCs w:val="20"/>
        </w:rPr>
      </w:pPr>
    </w:p>
    <w:p w14:paraId="4E3198DC" w14:textId="77777777" w:rsidR="002A70A9" w:rsidRDefault="002A70A9" w:rsidP="00B07F5D">
      <w:pPr>
        <w:spacing w:line="240" w:lineRule="auto"/>
        <w:ind w:firstLine="284"/>
        <w:rPr>
          <w:rFonts w:ascii="Bookman Old Style" w:hAnsi="Bookman Old Style" w:cstheme="minorHAnsi"/>
          <w:b/>
          <w:sz w:val="20"/>
          <w:szCs w:val="20"/>
        </w:rPr>
        <w:sectPr w:rsidR="002A70A9" w:rsidSect="009C78EE">
          <w:headerReference w:type="default" r:id="rId8"/>
          <w:footerReference w:type="default" r:id="rId9"/>
          <w:pgSz w:w="12240" w:h="15840"/>
          <w:pgMar w:top="1440" w:right="1080" w:bottom="1440" w:left="1080" w:header="720" w:footer="720" w:gutter="0"/>
          <w:lnNumType w:countBy="5" w:restart="continuous"/>
          <w:cols w:space="720"/>
          <w:docGrid w:linePitch="326"/>
        </w:sectPr>
      </w:pPr>
    </w:p>
    <w:tbl>
      <w:tblPr>
        <w:tblStyle w:val="TableGrid"/>
        <w:tblW w:w="1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68"/>
        <w:gridCol w:w="1134"/>
        <w:gridCol w:w="851"/>
        <w:gridCol w:w="1134"/>
        <w:gridCol w:w="1134"/>
        <w:gridCol w:w="709"/>
        <w:gridCol w:w="850"/>
        <w:gridCol w:w="920"/>
        <w:gridCol w:w="720"/>
        <w:gridCol w:w="900"/>
        <w:gridCol w:w="1080"/>
        <w:gridCol w:w="540"/>
        <w:gridCol w:w="630"/>
        <w:gridCol w:w="810"/>
      </w:tblGrid>
      <w:tr w:rsidR="00CA345A" w:rsidRPr="00CA345A" w14:paraId="30E67C0F" w14:textId="77777777" w:rsidTr="00D31DFD">
        <w:tc>
          <w:tcPr>
            <w:tcW w:w="13680" w:type="dxa"/>
            <w:gridSpan w:val="14"/>
            <w:tcMar>
              <w:right w:w="29" w:type="dxa"/>
            </w:tcMar>
          </w:tcPr>
          <w:p w14:paraId="5FC2027E" w14:textId="77777777" w:rsidR="002A70A9" w:rsidRPr="00CA345A" w:rsidRDefault="002A70A9" w:rsidP="00D31DFD">
            <w:pPr>
              <w:pStyle w:val="JCETabletitle"/>
              <w:rPr>
                <w:szCs w:val="20"/>
              </w:rPr>
            </w:pPr>
            <w:r w:rsidRPr="00CA345A">
              <w:rPr>
                <w:szCs w:val="20"/>
              </w:rPr>
              <w:lastRenderedPageBreak/>
              <w:t>Table 1. “Desirable” Practical Skills for 1st-Year Chemistry Undergraduates and the Station in the Practical Exam Where They Are Assessed</w:t>
            </w:r>
          </w:p>
        </w:tc>
      </w:tr>
      <w:tr w:rsidR="00CA345A" w:rsidRPr="00CA345A" w14:paraId="3E9A211B" w14:textId="77777777" w:rsidTr="00CA345A">
        <w:tc>
          <w:tcPr>
            <w:tcW w:w="2268" w:type="dxa"/>
            <w:vMerge w:val="restart"/>
            <w:shd w:val="clear" w:color="auto" w:fill="D9D9D9" w:themeFill="background1" w:themeFillShade="D9"/>
            <w:tcMar>
              <w:right w:w="29" w:type="dxa"/>
            </w:tcMar>
          </w:tcPr>
          <w:p w14:paraId="15320E97" w14:textId="77777777" w:rsidR="002A70A9" w:rsidRPr="00CA345A" w:rsidRDefault="002A70A9" w:rsidP="00D31DFD">
            <w:pPr>
              <w:pStyle w:val="JCETabletext"/>
              <w:rPr>
                <w:sz w:val="16"/>
                <w:szCs w:val="16"/>
              </w:rPr>
            </w:pPr>
            <w:r w:rsidRPr="00CA345A">
              <w:rPr>
                <w:sz w:val="16"/>
                <w:szCs w:val="16"/>
              </w:rPr>
              <w:t>Practical Skills</w:t>
            </w:r>
          </w:p>
        </w:tc>
        <w:tc>
          <w:tcPr>
            <w:tcW w:w="11412" w:type="dxa"/>
            <w:gridSpan w:val="13"/>
            <w:shd w:val="clear" w:color="auto" w:fill="D9D9D9" w:themeFill="background1" w:themeFillShade="D9"/>
            <w:tcMar>
              <w:left w:w="29" w:type="dxa"/>
              <w:right w:w="29" w:type="dxa"/>
            </w:tcMar>
          </w:tcPr>
          <w:p w14:paraId="3C6660BE" w14:textId="77777777" w:rsidR="002A70A9" w:rsidRPr="00CA345A" w:rsidRDefault="002A70A9" w:rsidP="00D31DFD">
            <w:pPr>
              <w:pStyle w:val="JCETabletext"/>
              <w:jc w:val="center"/>
              <w:rPr>
                <w:sz w:val="16"/>
                <w:szCs w:val="16"/>
              </w:rPr>
            </w:pPr>
            <w:r w:rsidRPr="00CA345A">
              <w:rPr>
                <w:sz w:val="16"/>
                <w:szCs w:val="16"/>
              </w:rPr>
              <w:t>Practical Examination Stations</w:t>
            </w:r>
            <w:r w:rsidRPr="00CA345A">
              <w:rPr>
                <w:i/>
                <w:iCs/>
                <w:sz w:val="16"/>
                <w:szCs w:val="16"/>
                <w:vertAlign w:val="superscript"/>
              </w:rPr>
              <w:t>a</w:t>
            </w:r>
          </w:p>
        </w:tc>
      </w:tr>
      <w:tr w:rsidR="00CA345A" w:rsidRPr="00CA345A" w14:paraId="149F921B" w14:textId="77777777" w:rsidTr="00CA345A">
        <w:tc>
          <w:tcPr>
            <w:tcW w:w="2268" w:type="dxa"/>
            <w:vMerge/>
            <w:shd w:val="clear" w:color="auto" w:fill="D9D9D9" w:themeFill="background1" w:themeFillShade="D9"/>
            <w:tcMar>
              <w:right w:w="29" w:type="dxa"/>
            </w:tcMar>
          </w:tcPr>
          <w:p w14:paraId="39F4D89C" w14:textId="77777777" w:rsidR="002A70A9" w:rsidRPr="00CA345A" w:rsidRDefault="002A70A9" w:rsidP="00D31DFD">
            <w:pPr>
              <w:pStyle w:val="JCETabletext"/>
              <w:rPr>
                <w:sz w:val="16"/>
                <w:szCs w:val="16"/>
              </w:rPr>
            </w:pPr>
          </w:p>
        </w:tc>
        <w:tc>
          <w:tcPr>
            <w:tcW w:w="1134" w:type="dxa"/>
            <w:shd w:val="clear" w:color="auto" w:fill="D9D9D9" w:themeFill="background1" w:themeFillShade="D9"/>
            <w:tcMar>
              <w:left w:w="29" w:type="dxa"/>
              <w:right w:w="29" w:type="dxa"/>
            </w:tcMar>
          </w:tcPr>
          <w:p w14:paraId="01269D4F" w14:textId="77777777" w:rsidR="002A70A9" w:rsidRPr="00CA345A" w:rsidRDefault="002A70A9" w:rsidP="00D31DFD">
            <w:pPr>
              <w:pStyle w:val="JCETabletext"/>
              <w:jc w:val="center"/>
              <w:rPr>
                <w:sz w:val="16"/>
                <w:szCs w:val="16"/>
              </w:rPr>
            </w:pPr>
            <w:r w:rsidRPr="00CA345A">
              <w:rPr>
                <w:sz w:val="16"/>
                <w:szCs w:val="16"/>
              </w:rPr>
              <w:t>Liquid–Liquid Extraction</w:t>
            </w:r>
          </w:p>
        </w:tc>
        <w:tc>
          <w:tcPr>
            <w:tcW w:w="851" w:type="dxa"/>
            <w:shd w:val="clear" w:color="auto" w:fill="D9D9D9" w:themeFill="background1" w:themeFillShade="D9"/>
            <w:tcMar>
              <w:left w:w="29" w:type="dxa"/>
              <w:right w:w="29" w:type="dxa"/>
            </w:tcMar>
          </w:tcPr>
          <w:p w14:paraId="416DA1DC" w14:textId="77777777" w:rsidR="002A70A9" w:rsidRPr="00CA345A" w:rsidRDefault="002A70A9" w:rsidP="00D31DFD">
            <w:pPr>
              <w:pStyle w:val="JCETabletext"/>
              <w:jc w:val="center"/>
              <w:rPr>
                <w:sz w:val="16"/>
                <w:szCs w:val="16"/>
              </w:rPr>
            </w:pPr>
            <w:r w:rsidRPr="00CA345A">
              <w:rPr>
                <w:sz w:val="16"/>
                <w:szCs w:val="16"/>
              </w:rPr>
              <w:t>Recrystal</w:t>
            </w:r>
            <w:r w:rsidR="00CA345A">
              <w:rPr>
                <w:sz w:val="16"/>
                <w:szCs w:val="16"/>
              </w:rPr>
              <w:t>-</w:t>
            </w:r>
            <w:r w:rsidRPr="00CA345A">
              <w:rPr>
                <w:sz w:val="16"/>
                <w:szCs w:val="16"/>
              </w:rPr>
              <w:t>lization</w:t>
            </w:r>
          </w:p>
        </w:tc>
        <w:tc>
          <w:tcPr>
            <w:tcW w:w="1134" w:type="dxa"/>
            <w:shd w:val="clear" w:color="auto" w:fill="D9D9D9" w:themeFill="background1" w:themeFillShade="D9"/>
            <w:tcMar>
              <w:left w:w="29" w:type="dxa"/>
              <w:right w:w="29" w:type="dxa"/>
            </w:tcMar>
          </w:tcPr>
          <w:p w14:paraId="25E75DAD" w14:textId="77777777" w:rsidR="002A70A9" w:rsidRPr="00CA345A" w:rsidRDefault="002A70A9" w:rsidP="00D31DFD">
            <w:pPr>
              <w:pStyle w:val="JCETabletext"/>
              <w:jc w:val="center"/>
              <w:rPr>
                <w:sz w:val="16"/>
                <w:szCs w:val="16"/>
              </w:rPr>
            </w:pPr>
            <w:r w:rsidRPr="00CA345A">
              <w:rPr>
                <w:sz w:val="16"/>
                <w:szCs w:val="16"/>
              </w:rPr>
              <w:t>UV–Vis Spectroscopy</w:t>
            </w:r>
            <w:r w:rsidRPr="00CA345A">
              <w:rPr>
                <w:i/>
                <w:iCs/>
                <w:sz w:val="16"/>
                <w:szCs w:val="16"/>
                <w:vertAlign w:val="superscript"/>
              </w:rPr>
              <w:t>b</w:t>
            </w:r>
          </w:p>
        </w:tc>
        <w:tc>
          <w:tcPr>
            <w:tcW w:w="1134" w:type="dxa"/>
            <w:shd w:val="clear" w:color="auto" w:fill="D9D9D9" w:themeFill="background1" w:themeFillShade="D9"/>
            <w:tcMar>
              <w:left w:w="29" w:type="dxa"/>
              <w:right w:w="29" w:type="dxa"/>
            </w:tcMar>
          </w:tcPr>
          <w:p w14:paraId="3801723E" w14:textId="77777777" w:rsidR="00CA345A" w:rsidRDefault="002A70A9" w:rsidP="00D31DFD">
            <w:pPr>
              <w:pStyle w:val="JCETabletext"/>
              <w:jc w:val="center"/>
              <w:rPr>
                <w:sz w:val="16"/>
                <w:szCs w:val="16"/>
              </w:rPr>
            </w:pPr>
            <w:r w:rsidRPr="00CA345A">
              <w:rPr>
                <w:sz w:val="16"/>
                <w:szCs w:val="16"/>
              </w:rPr>
              <w:t xml:space="preserve">IR </w:t>
            </w:r>
          </w:p>
          <w:p w14:paraId="2A887770" w14:textId="77777777" w:rsidR="002A70A9" w:rsidRPr="00CA345A" w:rsidRDefault="002A70A9" w:rsidP="00CA345A">
            <w:pPr>
              <w:pStyle w:val="JCETabletext"/>
              <w:jc w:val="center"/>
              <w:rPr>
                <w:sz w:val="16"/>
                <w:szCs w:val="16"/>
              </w:rPr>
            </w:pPr>
            <w:r w:rsidRPr="00CA345A">
              <w:rPr>
                <w:sz w:val="16"/>
                <w:szCs w:val="16"/>
              </w:rPr>
              <w:t>Spectroscopy</w:t>
            </w:r>
            <w:r w:rsidRPr="00CA345A">
              <w:rPr>
                <w:i/>
                <w:iCs/>
                <w:sz w:val="16"/>
                <w:szCs w:val="16"/>
                <w:vertAlign w:val="superscript"/>
              </w:rPr>
              <w:t>c</w:t>
            </w:r>
          </w:p>
        </w:tc>
        <w:tc>
          <w:tcPr>
            <w:tcW w:w="709" w:type="dxa"/>
            <w:shd w:val="clear" w:color="auto" w:fill="D9D9D9" w:themeFill="background1" w:themeFillShade="D9"/>
            <w:tcMar>
              <w:left w:w="29" w:type="dxa"/>
              <w:right w:w="29" w:type="dxa"/>
            </w:tcMar>
          </w:tcPr>
          <w:p w14:paraId="505ABF08" w14:textId="77777777" w:rsidR="002A70A9" w:rsidRPr="00CA345A" w:rsidRDefault="002A70A9" w:rsidP="00D31DFD">
            <w:pPr>
              <w:pStyle w:val="JCETabletext"/>
              <w:jc w:val="center"/>
              <w:rPr>
                <w:sz w:val="16"/>
                <w:szCs w:val="16"/>
              </w:rPr>
            </w:pPr>
            <w:r w:rsidRPr="00CA345A">
              <w:rPr>
                <w:sz w:val="16"/>
                <w:szCs w:val="16"/>
              </w:rPr>
              <w:t>COSHH</w:t>
            </w:r>
            <w:r w:rsidRPr="00CA345A">
              <w:rPr>
                <w:i/>
                <w:iCs/>
                <w:sz w:val="16"/>
                <w:szCs w:val="16"/>
                <w:vertAlign w:val="superscript"/>
              </w:rPr>
              <w:t>d</w:t>
            </w:r>
          </w:p>
        </w:tc>
        <w:tc>
          <w:tcPr>
            <w:tcW w:w="850" w:type="dxa"/>
            <w:shd w:val="clear" w:color="auto" w:fill="D9D9D9" w:themeFill="background1" w:themeFillShade="D9"/>
            <w:tcMar>
              <w:left w:w="29" w:type="dxa"/>
              <w:right w:w="29" w:type="dxa"/>
            </w:tcMar>
          </w:tcPr>
          <w:p w14:paraId="445F6A5A" w14:textId="77777777" w:rsidR="002A70A9" w:rsidRPr="00CA345A" w:rsidRDefault="002A70A9" w:rsidP="00D31DFD">
            <w:pPr>
              <w:pStyle w:val="JCETabletext"/>
              <w:jc w:val="center"/>
              <w:rPr>
                <w:sz w:val="16"/>
                <w:szCs w:val="16"/>
              </w:rPr>
            </w:pPr>
            <w:r w:rsidRPr="00CA345A">
              <w:rPr>
                <w:sz w:val="16"/>
                <w:szCs w:val="16"/>
              </w:rPr>
              <w:t>NMR &amp; Yield Calc.</w:t>
            </w:r>
            <w:r w:rsidRPr="00CA345A">
              <w:rPr>
                <w:i/>
                <w:iCs/>
                <w:sz w:val="16"/>
                <w:szCs w:val="16"/>
                <w:vertAlign w:val="superscript"/>
              </w:rPr>
              <w:t>e</w:t>
            </w:r>
          </w:p>
        </w:tc>
        <w:tc>
          <w:tcPr>
            <w:tcW w:w="920" w:type="dxa"/>
            <w:shd w:val="clear" w:color="auto" w:fill="D9D9D9" w:themeFill="background1" w:themeFillShade="D9"/>
            <w:tcMar>
              <w:left w:w="29" w:type="dxa"/>
              <w:right w:w="29" w:type="dxa"/>
            </w:tcMar>
          </w:tcPr>
          <w:p w14:paraId="1B7FCD5F" w14:textId="77777777" w:rsidR="002A70A9" w:rsidRPr="00CA345A" w:rsidRDefault="002A70A9" w:rsidP="00D31DFD">
            <w:pPr>
              <w:pStyle w:val="JCETabletext"/>
              <w:jc w:val="center"/>
              <w:rPr>
                <w:sz w:val="16"/>
                <w:szCs w:val="16"/>
              </w:rPr>
            </w:pPr>
            <w:r w:rsidRPr="00CA345A">
              <w:rPr>
                <w:sz w:val="16"/>
                <w:szCs w:val="16"/>
              </w:rPr>
              <w:t>NMR</w:t>
            </w:r>
            <w:r w:rsidR="00CA345A">
              <w:rPr>
                <w:sz w:val="16"/>
                <w:szCs w:val="16"/>
              </w:rPr>
              <w:t xml:space="preserve"> Prep. </w:t>
            </w:r>
            <w:r w:rsidRPr="00CA345A">
              <w:rPr>
                <w:sz w:val="16"/>
                <w:szCs w:val="16"/>
              </w:rPr>
              <w:t>&amp; Analysis</w:t>
            </w:r>
            <w:r w:rsidRPr="00CA345A">
              <w:rPr>
                <w:i/>
                <w:iCs/>
                <w:sz w:val="16"/>
                <w:szCs w:val="16"/>
                <w:vertAlign w:val="superscript"/>
              </w:rPr>
              <w:t>e</w:t>
            </w:r>
          </w:p>
        </w:tc>
        <w:tc>
          <w:tcPr>
            <w:tcW w:w="720" w:type="dxa"/>
            <w:shd w:val="clear" w:color="auto" w:fill="D9D9D9" w:themeFill="background1" w:themeFillShade="D9"/>
            <w:tcMar>
              <w:left w:w="29" w:type="dxa"/>
              <w:right w:w="29" w:type="dxa"/>
            </w:tcMar>
          </w:tcPr>
          <w:p w14:paraId="10F684B7" w14:textId="77777777" w:rsidR="002A70A9" w:rsidRPr="00CA345A" w:rsidRDefault="002A70A9" w:rsidP="00D31DFD">
            <w:pPr>
              <w:pStyle w:val="JCETabletext"/>
              <w:jc w:val="center"/>
              <w:rPr>
                <w:sz w:val="16"/>
                <w:szCs w:val="16"/>
              </w:rPr>
            </w:pPr>
            <w:r w:rsidRPr="00CA345A">
              <w:rPr>
                <w:sz w:val="16"/>
                <w:szCs w:val="16"/>
              </w:rPr>
              <w:t>Melting Point</w:t>
            </w:r>
          </w:p>
        </w:tc>
        <w:tc>
          <w:tcPr>
            <w:tcW w:w="900" w:type="dxa"/>
            <w:shd w:val="clear" w:color="auto" w:fill="D9D9D9" w:themeFill="background1" w:themeFillShade="D9"/>
            <w:tcMar>
              <w:left w:w="29" w:type="dxa"/>
              <w:right w:w="29" w:type="dxa"/>
            </w:tcMar>
          </w:tcPr>
          <w:p w14:paraId="5C4E13BB" w14:textId="77777777" w:rsidR="002A70A9" w:rsidRPr="00CA345A" w:rsidRDefault="002A70A9" w:rsidP="00D31DFD">
            <w:pPr>
              <w:pStyle w:val="JCETabletext"/>
              <w:jc w:val="center"/>
              <w:rPr>
                <w:sz w:val="16"/>
                <w:szCs w:val="16"/>
              </w:rPr>
            </w:pPr>
            <w:r w:rsidRPr="00CA345A">
              <w:rPr>
                <w:sz w:val="16"/>
                <w:szCs w:val="16"/>
              </w:rPr>
              <w:t>Acid–Base Titration</w:t>
            </w:r>
          </w:p>
        </w:tc>
        <w:tc>
          <w:tcPr>
            <w:tcW w:w="1080" w:type="dxa"/>
            <w:shd w:val="clear" w:color="auto" w:fill="D9D9D9" w:themeFill="background1" w:themeFillShade="D9"/>
            <w:tcMar>
              <w:left w:w="29" w:type="dxa"/>
              <w:right w:w="29" w:type="dxa"/>
            </w:tcMar>
          </w:tcPr>
          <w:p w14:paraId="3A57D010" w14:textId="77777777" w:rsidR="002A70A9" w:rsidRPr="00CA345A" w:rsidRDefault="002A70A9" w:rsidP="00D31DFD">
            <w:pPr>
              <w:pStyle w:val="JCETabletext"/>
              <w:jc w:val="center"/>
              <w:rPr>
                <w:sz w:val="16"/>
                <w:szCs w:val="16"/>
              </w:rPr>
            </w:pPr>
            <w:r w:rsidRPr="00CA345A">
              <w:rPr>
                <w:sz w:val="16"/>
                <w:szCs w:val="16"/>
              </w:rPr>
              <w:t>Rotary Evaporation</w:t>
            </w:r>
          </w:p>
        </w:tc>
        <w:tc>
          <w:tcPr>
            <w:tcW w:w="540" w:type="dxa"/>
            <w:shd w:val="clear" w:color="auto" w:fill="D9D9D9" w:themeFill="background1" w:themeFillShade="D9"/>
            <w:tcMar>
              <w:left w:w="29" w:type="dxa"/>
              <w:right w:w="29" w:type="dxa"/>
            </w:tcMar>
          </w:tcPr>
          <w:p w14:paraId="55D5DB90" w14:textId="77777777" w:rsidR="002A70A9" w:rsidRPr="00CA345A" w:rsidRDefault="002A70A9" w:rsidP="00D31DFD">
            <w:pPr>
              <w:pStyle w:val="JCETabletext"/>
              <w:jc w:val="center"/>
              <w:rPr>
                <w:sz w:val="16"/>
                <w:szCs w:val="16"/>
              </w:rPr>
            </w:pPr>
            <w:r w:rsidRPr="00CA345A">
              <w:rPr>
                <w:sz w:val="16"/>
                <w:szCs w:val="16"/>
              </w:rPr>
              <w:t>TLC</w:t>
            </w:r>
            <w:r w:rsidRPr="00CA345A">
              <w:rPr>
                <w:i/>
                <w:iCs/>
                <w:sz w:val="16"/>
                <w:szCs w:val="16"/>
                <w:vertAlign w:val="superscript"/>
              </w:rPr>
              <w:t>f</w:t>
            </w:r>
          </w:p>
        </w:tc>
        <w:tc>
          <w:tcPr>
            <w:tcW w:w="630" w:type="dxa"/>
            <w:shd w:val="clear" w:color="auto" w:fill="D9D9D9" w:themeFill="background1" w:themeFillShade="D9"/>
            <w:tcMar>
              <w:left w:w="29" w:type="dxa"/>
              <w:right w:w="29" w:type="dxa"/>
            </w:tcMar>
          </w:tcPr>
          <w:p w14:paraId="085516C8" w14:textId="77777777" w:rsidR="002A70A9" w:rsidRPr="00CA345A" w:rsidRDefault="002A70A9" w:rsidP="00D31DFD">
            <w:pPr>
              <w:pStyle w:val="JCETabletext"/>
              <w:jc w:val="center"/>
              <w:rPr>
                <w:sz w:val="16"/>
                <w:szCs w:val="16"/>
              </w:rPr>
            </w:pPr>
            <w:r w:rsidRPr="00CA345A">
              <w:rPr>
                <w:sz w:val="16"/>
                <w:szCs w:val="16"/>
              </w:rPr>
              <w:t>Reflux</w:t>
            </w:r>
          </w:p>
        </w:tc>
        <w:tc>
          <w:tcPr>
            <w:tcW w:w="810" w:type="dxa"/>
            <w:shd w:val="clear" w:color="auto" w:fill="D9D9D9" w:themeFill="background1" w:themeFillShade="D9"/>
            <w:tcMar>
              <w:left w:w="29" w:type="dxa"/>
              <w:right w:w="29" w:type="dxa"/>
            </w:tcMar>
          </w:tcPr>
          <w:p w14:paraId="4357A69C" w14:textId="77777777" w:rsidR="002A70A9" w:rsidRPr="00CA345A" w:rsidRDefault="002A70A9" w:rsidP="00D31DFD">
            <w:pPr>
              <w:pStyle w:val="JCETabletext"/>
              <w:jc w:val="center"/>
              <w:rPr>
                <w:sz w:val="16"/>
                <w:szCs w:val="16"/>
              </w:rPr>
            </w:pPr>
            <w:r w:rsidRPr="00CA345A">
              <w:rPr>
                <w:sz w:val="16"/>
                <w:szCs w:val="16"/>
              </w:rPr>
              <w:t>Standard Solutions</w:t>
            </w:r>
          </w:p>
        </w:tc>
      </w:tr>
      <w:tr w:rsidR="00CA345A" w:rsidRPr="00CA345A" w14:paraId="340B4A79" w14:textId="77777777" w:rsidTr="00CA345A">
        <w:tc>
          <w:tcPr>
            <w:tcW w:w="2268" w:type="dxa"/>
            <w:tcMar>
              <w:right w:w="29" w:type="dxa"/>
            </w:tcMar>
          </w:tcPr>
          <w:p w14:paraId="48B4CAB5" w14:textId="77777777" w:rsidR="002A70A9" w:rsidRPr="00CA345A" w:rsidRDefault="002A70A9" w:rsidP="00D31DFD">
            <w:pPr>
              <w:pStyle w:val="JCETabletext"/>
              <w:rPr>
                <w:sz w:val="16"/>
                <w:szCs w:val="16"/>
              </w:rPr>
            </w:pPr>
            <w:r w:rsidRPr="00CA345A">
              <w:rPr>
                <w:sz w:val="16"/>
                <w:szCs w:val="16"/>
              </w:rPr>
              <w:t>Clamping QuickFit glassware</w:t>
            </w:r>
          </w:p>
        </w:tc>
        <w:tc>
          <w:tcPr>
            <w:tcW w:w="1134" w:type="dxa"/>
            <w:tcMar>
              <w:left w:w="29" w:type="dxa"/>
              <w:right w:w="29" w:type="dxa"/>
            </w:tcMar>
            <w:vAlign w:val="center"/>
          </w:tcPr>
          <w:p w14:paraId="5AD164BC" w14:textId="77777777" w:rsidR="002A70A9" w:rsidRPr="00CA345A" w:rsidRDefault="002A70A9" w:rsidP="00D31DFD">
            <w:pPr>
              <w:pStyle w:val="JCETabletext"/>
              <w:jc w:val="center"/>
              <w:rPr>
                <w:sz w:val="16"/>
                <w:szCs w:val="16"/>
              </w:rPr>
            </w:pPr>
            <w:r w:rsidRPr="00CA345A">
              <w:rPr>
                <w:sz w:val="16"/>
                <w:szCs w:val="16"/>
              </w:rPr>
              <w:t>X</w:t>
            </w:r>
          </w:p>
        </w:tc>
        <w:tc>
          <w:tcPr>
            <w:tcW w:w="851" w:type="dxa"/>
            <w:tcMar>
              <w:left w:w="29" w:type="dxa"/>
              <w:right w:w="29" w:type="dxa"/>
            </w:tcMar>
            <w:vAlign w:val="center"/>
          </w:tcPr>
          <w:p w14:paraId="2E12581D"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10CB25E2"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5C78FE4E"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28C0E0D0"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0A7D4350"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028C0CF0"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51D9017E"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0D1B225C"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6501D6E5"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129E073B"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53881575" w14:textId="77777777" w:rsidR="002A70A9" w:rsidRPr="00CA345A" w:rsidRDefault="002A70A9" w:rsidP="00D31DFD">
            <w:pPr>
              <w:pStyle w:val="JCETabletext"/>
              <w:jc w:val="center"/>
              <w:rPr>
                <w:sz w:val="16"/>
                <w:szCs w:val="16"/>
              </w:rPr>
            </w:pPr>
            <w:r w:rsidRPr="00CA345A">
              <w:rPr>
                <w:sz w:val="16"/>
                <w:szCs w:val="16"/>
              </w:rPr>
              <w:t>X</w:t>
            </w:r>
          </w:p>
        </w:tc>
        <w:tc>
          <w:tcPr>
            <w:tcW w:w="810" w:type="dxa"/>
            <w:tcMar>
              <w:left w:w="29" w:type="dxa"/>
              <w:right w:w="29" w:type="dxa"/>
            </w:tcMar>
            <w:vAlign w:val="center"/>
          </w:tcPr>
          <w:p w14:paraId="26AC1E18" w14:textId="77777777" w:rsidR="002A70A9" w:rsidRPr="00CA345A" w:rsidRDefault="002A70A9" w:rsidP="00D31DFD">
            <w:pPr>
              <w:pStyle w:val="JCETabletext"/>
              <w:jc w:val="center"/>
              <w:rPr>
                <w:sz w:val="16"/>
                <w:szCs w:val="16"/>
              </w:rPr>
            </w:pPr>
          </w:p>
        </w:tc>
      </w:tr>
      <w:tr w:rsidR="00CA345A" w:rsidRPr="00CA345A" w14:paraId="00A1C35D" w14:textId="77777777" w:rsidTr="00CA345A">
        <w:tc>
          <w:tcPr>
            <w:tcW w:w="2268" w:type="dxa"/>
            <w:tcMar>
              <w:right w:w="29" w:type="dxa"/>
            </w:tcMar>
          </w:tcPr>
          <w:p w14:paraId="3034CFF0" w14:textId="77777777" w:rsidR="002A70A9" w:rsidRPr="00CA345A" w:rsidRDefault="002A70A9" w:rsidP="00D31DFD">
            <w:pPr>
              <w:pStyle w:val="JCETabletext"/>
              <w:rPr>
                <w:sz w:val="16"/>
                <w:szCs w:val="16"/>
              </w:rPr>
            </w:pPr>
            <w:r w:rsidRPr="00CA345A">
              <w:rPr>
                <w:sz w:val="16"/>
                <w:szCs w:val="16"/>
              </w:rPr>
              <w:t>Accurate weighing</w:t>
            </w:r>
          </w:p>
        </w:tc>
        <w:tc>
          <w:tcPr>
            <w:tcW w:w="1134" w:type="dxa"/>
            <w:tcMar>
              <w:left w:w="29" w:type="dxa"/>
              <w:right w:w="29" w:type="dxa"/>
            </w:tcMar>
            <w:vAlign w:val="center"/>
          </w:tcPr>
          <w:p w14:paraId="7519E4B4"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7D67C845"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117AFB13"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35FED30E"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0BF3A10C"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1C75FE7C" w14:textId="77777777" w:rsidR="002A70A9" w:rsidRPr="00CA345A" w:rsidRDefault="002A70A9" w:rsidP="00D31DFD">
            <w:pPr>
              <w:pStyle w:val="JCETabletext"/>
              <w:jc w:val="center"/>
              <w:rPr>
                <w:sz w:val="16"/>
                <w:szCs w:val="16"/>
              </w:rPr>
            </w:pPr>
            <w:r w:rsidRPr="00CA345A">
              <w:rPr>
                <w:sz w:val="16"/>
                <w:szCs w:val="16"/>
              </w:rPr>
              <w:t>X</w:t>
            </w:r>
          </w:p>
        </w:tc>
        <w:tc>
          <w:tcPr>
            <w:tcW w:w="920" w:type="dxa"/>
            <w:tcMar>
              <w:left w:w="29" w:type="dxa"/>
              <w:right w:w="29" w:type="dxa"/>
            </w:tcMar>
            <w:vAlign w:val="center"/>
          </w:tcPr>
          <w:p w14:paraId="75B0AC91"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15D9287F"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46F34051"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7CF73565"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32C858F5"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4B096CD2"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43A08882" w14:textId="77777777" w:rsidR="002A70A9" w:rsidRPr="00CA345A" w:rsidRDefault="002A70A9" w:rsidP="00D31DFD">
            <w:pPr>
              <w:pStyle w:val="JCETabletext"/>
              <w:jc w:val="center"/>
              <w:rPr>
                <w:sz w:val="16"/>
                <w:szCs w:val="16"/>
              </w:rPr>
            </w:pPr>
            <w:r w:rsidRPr="00CA345A">
              <w:rPr>
                <w:sz w:val="16"/>
                <w:szCs w:val="16"/>
              </w:rPr>
              <w:t>X</w:t>
            </w:r>
          </w:p>
        </w:tc>
      </w:tr>
      <w:tr w:rsidR="00CA345A" w:rsidRPr="00CA345A" w14:paraId="59A33057" w14:textId="77777777" w:rsidTr="00CA345A">
        <w:tc>
          <w:tcPr>
            <w:tcW w:w="2268" w:type="dxa"/>
            <w:tcMar>
              <w:right w:w="29" w:type="dxa"/>
            </w:tcMar>
          </w:tcPr>
          <w:p w14:paraId="58D07BFC" w14:textId="77777777" w:rsidR="002A70A9" w:rsidRPr="00CA345A" w:rsidRDefault="002A70A9" w:rsidP="00D31DFD">
            <w:pPr>
              <w:pStyle w:val="JCETabletext"/>
              <w:rPr>
                <w:sz w:val="16"/>
                <w:szCs w:val="16"/>
              </w:rPr>
            </w:pPr>
            <w:r w:rsidRPr="00CA345A">
              <w:rPr>
                <w:sz w:val="16"/>
                <w:szCs w:val="16"/>
              </w:rPr>
              <w:t>Mass/mole/concentration/ yield calculations</w:t>
            </w:r>
          </w:p>
        </w:tc>
        <w:tc>
          <w:tcPr>
            <w:tcW w:w="1134" w:type="dxa"/>
            <w:tcMar>
              <w:left w:w="29" w:type="dxa"/>
              <w:right w:w="29" w:type="dxa"/>
            </w:tcMar>
            <w:vAlign w:val="center"/>
          </w:tcPr>
          <w:p w14:paraId="51314B0A"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6B18916D"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288FF7CA"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3621B728"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467C4AE7"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295263CD" w14:textId="77777777" w:rsidR="002A70A9" w:rsidRPr="00CA345A" w:rsidRDefault="002A70A9" w:rsidP="00D31DFD">
            <w:pPr>
              <w:pStyle w:val="JCETabletext"/>
              <w:jc w:val="center"/>
              <w:rPr>
                <w:sz w:val="16"/>
                <w:szCs w:val="16"/>
              </w:rPr>
            </w:pPr>
            <w:r w:rsidRPr="00CA345A">
              <w:rPr>
                <w:sz w:val="16"/>
                <w:szCs w:val="16"/>
              </w:rPr>
              <w:t>X</w:t>
            </w:r>
          </w:p>
        </w:tc>
        <w:tc>
          <w:tcPr>
            <w:tcW w:w="920" w:type="dxa"/>
            <w:tcMar>
              <w:left w:w="29" w:type="dxa"/>
              <w:right w:w="29" w:type="dxa"/>
            </w:tcMar>
            <w:vAlign w:val="center"/>
          </w:tcPr>
          <w:p w14:paraId="58CB67D1"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0E5AAD8C"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47C0878F"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401D5F87"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41E68B12"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447200E3"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6498EC04" w14:textId="77777777" w:rsidR="002A70A9" w:rsidRPr="00CA345A" w:rsidRDefault="002A70A9" w:rsidP="00D31DFD">
            <w:pPr>
              <w:pStyle w:val="JCETabletext"/>
              <w:jc w:val="center"/>
              <w:rPr>
                <w:sz w:val="16"/>
                <w:szCs w:val="16"/>
              </w:rPr>
            </w:pPr>
            <w:r w:rsidRPr="00CA345A">
              <w:rPr>
                <w:sz w:val="16"/>
                <w:szCs w:val="16"/>
              </w:rPr>
              <w:t>X</w:t>
            </w:r>
          </w:p>
        </w:tc>
      </w:tr>
      <w:tr w:rsidR="00CA345A" w:rsidRPr="00CA345A" w14:paraId="0E02573E" w14:textId="77777777" w:rsidTr="00CA345A">
        <w:tc>
          <w:tcPr>
            <w:tcW w:w="2268" w:type="dxa"/>
            <w:tcMar>
              <w:right w:w="29" w:type="dxa"/>
            </w:tcMar>
          </w:tcPr>
          <w:p w14:paraId="6482601B" w14:textId="77777777" w:rsidR="002A70A9" w:rsidRPr="00CA345A" w:rsidRDefault="002A70A9" w:rsidP="00D31DFD">
            <w:pPr>
              <w:pStyle w:val="JCETabletext"/>
              <w:rPr>
                <w:sz w:val="16"/>
                <w:szCs w:val="16"/>
              </w:rPr>
            </w:pPr>
            <w:r w:rsidRPr="00CA345A">
              <w:rPr>
                <w:sz w:val="16"/>
                <w:szCs w:val="16"/>
              </w:rPr>
              <w:t>Use of micropipettes</w:t>
            </w:r>
          </w:p>
        </w:tc>
        <w:tc>
          <w:tcPr>
            <w:tcW w:w="1134" w:type="dxa"/>
            <w:tcMar>
              <w:left w:w="29" w:type="dxa"/>
              <w:right w:w="29" w:type="dxa"/>
            </w:tcMar>
            <w:vAlign w:val="center"/>
          </w:tcPr>
          <w:p w14:paraId="78ADD83A"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404D22E7"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6A40DF3E" w14:textId="77777777" w:rsidR="002A70A9" w:rsidRPr="00CA345A" w:rsidRDefault="002A70A9" w:rsidP="00D31DFD">
            <w:pPr>
              <w:pStyle w:val="JCETabletext"/>
              <w:jc w:val="center"/>
              <w:rPr>
                <w:sz w:val="16"/>
                <w:szCs w:val="16"/>
              </w:rPr>
            </w:pPr>
            <w:r w:rsidRPr="00CA345A">
              <w:rPr>
                <w:sz w:val="16"/>
                <w:szCs w:val="16"/>
              </w:rPr>
              <w:t>X</w:t>
            </w:r>
          </w:p>
        </w:tc>
        <w:tc>
          <w:tcPr>
            <w:tcW w:w="1134" w:type="dxa"/>
            <w:tcMar>
              <w:left w:w="29" w:type="dxa"/>
              <w:right w:w="29" w:type="dxa"/>
            </w:tcMar>
            <w:vAlign w:val="center"/>
          </w:tcPr>
          <w:p w14:paraId="55C139DE"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70D5EC83"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59DF48E3"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65FC0A7F"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112BA8C5"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52F63FFE"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4C01D67A"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7D8DF30A"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49B1B5FA"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419F0EAA" w14:textId="77777777" w:rsidR="002A70A9" w:rsidRPr="00CA345A" w:rsidRDefault="002A70A9" w:rsidP="00D31DFD">
            <w:pPr>
              <w:pStyle w:val="JCETabletext"/>
              <w:jc w:val="center"/>
              <w:rPr>
                <w:sz w:val="16"/>
                <w:szCs w:val="16"/>
              </w:rPr>
            </w:pPr>
          </w:p>
        </w:tc>
      </w:tr>
      <w:tr w:rsidR="00CA345A" w:rsidRPr="00CA345A" w14:paraId="26865580" w14:textId="77777777" w:rsidTr="00CA345A">
        <w:tc>
          <w:tcPr>
            <w:tcW w:w="2268" w:type="dxa"/>
            <w:tcMar>
              <w:right w:w="29" w:type="dxa"/>
            </w:tcMar>
          </w:tcPr>
          <w:p w14:paraId="0AD9A3F1" w14:textId="77777777" w:rsidR="002A70A9" w:rsidRPr="00CA345A" w:rsidRDefault="002A70A9" w:rsidP="00D31DFD">
            <w:pPr>
              <w:pStyle w:val="JCETabletext"/>
              <w:rPr>
                <w:spacing w:val="-2"/>
                <w:sz w:val="16"/>
                <w:szCs w:val="16"/>
              </w:rPr>
            </w:pPr>
            <w:r w:rsidRPr="00CA345A">
              <w:rPr>
                <w:spacing w:val="-2"/>
                <w:sz w:val="16"/>
                <w:szCs w:val="16"/>
              </w:rPr>
              <w:t>Use of volumetric glassware (burettes, volumetric flasks, etc.)</w:t>
            </w:r>
          </w:p>
        </w:tc>
        <w:tc>
          <w:tcPr>
            <w:tcW w:w="1134" w:type="dxa"/>
            <w:tcMar>
              <w:left w:w="29" w:type="dxa"/>
              <w:right w:w="29" w:type="dxa"/>
            </w:tcMar>
            <w:vAlign w:val="center"/>
          </w:tcPr>
          <w:p w14:paraId="5A7313CA"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0BCB11EA"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087AF635" w14:textId="77777777" w:rsidR="002A70A9" w:rsidRPr="00CA345A" w:rsidRDefault="002A70A9" w:rsidP="00D31DFD">
            <w:pPr>
              <w:pStyle w:val="JCETabletext"/>
              <w:jc w:val="center"/>
              <w:rPr>
                <w:sz w:val="16"/>
                <w:szCs w:val="16"/>
              </w:rPr>
            </w:pPr>
            <w:r w:rsidRPr="00CA345A">
              <w:rPr>
                <w:sz w:val="16"/>
                <w:szCs w:val="16"/>
              </w:rPr>
              <w:t>X</w:t>
            </w:r>
          </w:p>
        </w:tc>
        <w:tc>
          <w:tcPr>
            <w:tcW w:w="1134" w:type="dxa"/>
            <w:tcMar>
              <w:left w:w="29" w:type="dxa"/>
              <w:right w:w="29" w:type="dxa"/>
            </w:tcMar>
            <w:vAlign w:val="center"/>
          </w:tcPr>
          <w:p w14:paraId="70440B92"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7D7CC257"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36388FCC"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32F15941"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6FF9EBC6"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61D710FA" w14:textId="77777777" w:rsidR="002A70A9" w:rsidRPr="00CA345A" w:rsidRDefault="002A70A9" w:rsidP="00D31DFD">
            <w:pPr>
              <w:pStyle w:val="JCETabletext"/>
              <w:jc w:val="center"/>
              <w:rPr>
                <w:sz w:val="16"/>
                <w:szCs w:val="16"/>
              </w:rPr>
            </w:pPr>
            <w:r w:rsidRPr="00CA345A">
              <w:rPr>
                <w:sz w:val="16"/>
                <w:szCs w:val="16"/>
              </w:rPr>
              <w:t>X</w:t>
            </w:r>
          </w:p>
        </w:tc>
        <w:tc>
          <w:tcPr>
            <w:tcW w:w="1080" w:type="dxa"/>
            <w:tcMar>
              <w:left w:w="29" w:type="dxa"/>
              <w:right w:w="29" w:type="dxa"/>
            </w:tcMar>
            <w:vAlign w:val="center"/>
          </w:tcPr>
          <w:p w14:paraId="12B31F04"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7CB987E8"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749FDCF8"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33ED0284" w14:textId="77777777" w:rsidR="002A70A9" w:rsidRPr="00CA345A" w:rsidRDefault="002A70A9" w:rsidP="00D31DFD">
            <w:pPr>
              <w:pStyle w:val="JCETabletext"/>
              <w:jc w:val="center"/>
              <w:rPr>
                <w:sz w:val="16"/>
                <w:szCs w:val="16"/>
              </w:rPr>
            </w:pPr>
            <w:r w:rsidRPr="00CA345A">
              <w:rPr>
                <w:sz w:val="16"/>
                <w:szCs w:val="16"/>
              </w:rPr>
              <w:t>X</w:t>
            </w:r>
          </w:p>
        </w:tc>
      </w:tr>
      <w:tr w:rsidR="00CA345A" w:rsidRPr="00CA345A" w14:paraId="6A0F2CF1" w14:textId="77777777" w:rsidTr="00CA345A">
        <w:tc>
          <w:tcPr>
            <w:tcW w:w="2268" w:type="dxa"/>
            <w:tcMar>
              <w:right w:w="29" w:type="dxa"/>
            </w:tcMar>
          </w:tcPr>
          <w:p w14:paraId="0A8AD749" w14:textId="77777777" w:rsidR="002A70A9" w:rsidRPr="00CA345A" w:rsidRDefault="002A70A9" w:rsidP="00D31DFD">
            <w:pPr>
              <w:pStyle w:val="JCETabletext"/>
              <w:rPr>
                <w:sz w:val="16"/>
                <w:szCs w:val="16"/>
              </w:rPr>
            </w:pPr>
            <w:r w:rsidRPr="00CA345A">
              <w:rPr>
                <w:sz w:val="16"/>
                <w:szCs w:val="16"/>
              </w:rPr>
              <w:t>Use of a separating funnel for liquid–liquid extraction</w:t>
            </w:r>
          </w:p>
        </w:tc>
        <w:tc>
          <w:tcPr>
            <w:tcW w:w="1134" w:type="dxa"/>
            <w:tcMar>
              <w:left w:w="29" w:type="dxa"/>
              <w:right w:w="29" w:type="dxa"/>
            </w:tcMar>
            <w:vAlign w:val="center"/>
          </w:tcPr>
          <w:p w14:paraId="0B71BF73" w14:textId="77777777" w:rsidR="002A70A9" w:rsidRPr="00CA345A" w:rsidRDefault="002A70A9" w:rsidP="00D31DFD">
            <w:pPr>
              <w:pStyle w:val="JCETabletext"/>
              <w:jc w:val="center"/>
              <w:rPr>
                <w:sz w:val="16"/>
                <w:szCs w:val="16"/>
              </w:rPr>
            </w:pPr>
            <w:r w:rsidRPr="00CA345A">
              <w:rPr>
                <w:sz w:val="16"/>
                <w:szCs w:val="16"/>
              </w:rPr>
              <w:t>X</w:t>
            </w:r>
          </w:p>
        </w:tc>
        <w:tc>
          <w:tcPr>
            <w:tcW w:w="851" w:type="dxa"/>
            <w:tcMar>
              <w:left w:w="29" w:type="dxa"/>
              <w:right w:w="29" w:type="dxa"/>
            </w:tcMar>
            <w:vAlign w:val="center"/>
          </w:tcPr>
          <w:p w14:paraId="25CA4D89"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5D0D416E"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60940FCC"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2B2EE219"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40A49C85"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06156014"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7D1396DC"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738F6D94"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606BCA1D"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2235A469"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7EF11CDE"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02ED70DB" w14:textId="77777777" w:rsidR="002A70A9" w:rsidRPr="00CA345A" w:rsidRDefault="002A70A9" w:rsidP="00D31DFD">
            <w:pPr>
              <w:pStyle w:val="JCETabletext"/>
              <w:jc w:val="center"/>
              <w:rPr>
                <w:sz w:val="16"/>
                <w:szCs w:val="16"/>
              </w:rPr>
            </w:pPr>
          </w:p>
        </w:tc>
      </w:tr>
      <w:tr w:rsidR="00CA345A" w:rsidRPr="00CA345A" w14:paraId="61BC6E2C" w14:textId="77777777" w:rsidTr="00CA345A">
        <w:tc>
          <w:tcPr>
            <w:tcW w:w="2268" w:type="dxa"/>
            <w:tcMar>
              <w:right w:w="29" w:type="dxa"/>
            </w:tcMar>
          </w:tcPr>
          <w:p w14:paraId="633BF9E9" w14:textId="77777777" w:rsidR="002A70A9" w:rsidRPr="00CA345A" w:rsidRDefault="002A70A9" w:rsidP="00D31DFD">
            <w:pPr>
              <w:pStyle w:val="JCETabletext"/>
              <w:rPr>
                <w:sz w:val="16"/>
                <w:szCs w:val="16"/>
              </w:rPr>
            </w:pPr>
            <w:r w:rsidRPr="00CA345A">
              <w:rPr>
                <w:sz w:val="16"/>
                <w:szCs w:val="16"/>
              </w:rPr>
              <w:t>Gravity filtration</w:t>
            </w:r>
          </w:p>
        </w:tc>
        <w:tc>
          <w:tcPr>
            <w:tcW w:w="1134" w:type="dxa"/>
            <w:tcMar>
              <w:left w:w="29" w:type="dxa"/>
              <w:right w:w="29" w:type="dxa"/>
            </w:tcMar>
            <w:vAlign w:val="center"/>
          </w:tcPr>
          <w:p w14:paraId="0EEF40C1" w14:textId="77777777" w:rsidR="002A70A9" w:rsidRPr="00CA345A" w:rsidRDefault="002A70A9" w:rsidP="00D31DFD">
            <w:pPr>
              <w:pStyle w:val="JCETabletext"/>
              <w:jc w:val="center"/>
              <w:rPr>
                <w:sz w:val="16"/>
                <w:szCs w:val="16"/>
              </w:rPr>
            </w:pPr>
            <w:r w:rsidRPr="00CA345A">
              <w:rPr>
                <w:sz w:val="16"/>
                <w:szCs w:val="16"/>
              </w:rPr>
              <w:t>X</w:t>
            </w:r>
          </w:p>
        </w:tc>
        <w:tc>
          <w:tcPr>
            <w:tcW w:w="851" w:type="dxa"/>
            <w:tcMar>
              <w:left w:w="29" w:type="dxa"/>
              <w:right w:w="29" w:type="dxa"/>
            </w:tcMar>
            <w:vAlign w:val="center"/>
          </w:tcPr>
          <w:p w14:paraId="0B93EF2D"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454B5AA1"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76E09EB0"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2234BBBA"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5C1296BA"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502D3456"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713DAE1E"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664D9DCC"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4AAB8056"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30674C4B"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05E6A60D"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7C7CFB2A" w14:textId="77777777" w:rsidR="002A70A9" w:rsidRPr="00CA345A" w:rsidRDefault="002A70A9" w:rsidP="00D31DFD">
            <w:pPr>
              <w:pStyle w:val="JCETabletext"/>
              <w:jc w:val="center"/>
              <w:rPr>
                <w:sz w:val="16"/>
                <w:szCs w:val="16"/>
              </w:rPr>
            </w:pPr>
          </w:p>
        </w:tc>
      </w:tr>
      <w:tr w:rsidR="00CA345A" w:rsidRPr="00CA345A" w14:paraId="58941087" w14:textId="77777777" w:rsidTr="00CA345A">
        <w:tc>
          <w:tcPr>
            <w:tcW w:w="2268" w:type="dxa"/>
            <w:tcMar>
              <w:right w:w="29" w:type="dxa"/>
            </w:tcMar>
          </w:tcPr>
          <w:p w14:paraId="14DB67D4" w14:textId="77777777" w:rsidR="002A70A9" w:rsidRPr="00CA345A" w:rsidRDefault="002A70A9" w:rsidP="00D31DFD">
            <w:pPr>
              <w:pStyle w:val="JCETabletext"/>
              <w:rPr>
                <w:sz w:val="16"/>
                <w:szCs w:val="16"/>
              </w:rPr>
            </w:pPr>
            <w:r w:rsidRPr="00CA345A">
              <w:rPr>
                <w:sz w:val="16"/>
                <w:szCs w:val="16"/>
              </w:rPr>
              <w:t>Drying an organic solution with MgSO</w:t>
            </w:r>
            <w:r w:rsidRPr="005D3E05">
              <w:rPr>
                <w:sz w:val="16"/>
                <w:szCs w:val="16"/>
                <w:vertAlign w:val="subscript"/>
              </w:rPr>
              <w:t>4</w:t>
            </w:r>
          </w:p>
        </w:tc>
        <w:tc>
          <w:tcPr>
            <w:tcW w:w="1134" w:type="dxa"/>
            <w:tcMar>
              <w:left w:w="29" w:type="dxa"/>
              <w:right w:w="29" w:type="dxa"/>
            </w:tcMar>
            <w:vAlign w:val="center"/>
          </w:tcPr>
          <w:p w14:paraId="402ADB53" w14:textId="77777777" w:rsidR="002A70A9" w:rsidRPr="00CA345A" w:rsidRDefault="002A70A9" w:rsidP="00D31DFD">
            <w:pPr>
              <w:pStyle w:val="JCETabletext"/>
              <w:jc w:val="center"/>
              <w:rPr>
                <w:sz w:val="16"/>
                <w:szCs w:val="16"/>
              </w:rPr>
            </w:pPr>
            <w:r w:rsidRPr="00CA345A">
              <w:rPr>
                <w:sz w:val="16"/>
                <w:szCs w:val="16"/>
              </w:rPr>
              <w:t>X</w:t>
            </w:r>
          </w:p>
        </w:tc>
        <w:tc>
          <w:tcPr>
            <w:tcW w:w="851" w:type="dxa"/>
            <w:tcMar>
              <w:left w:w="29" w:type="dxa"/>
              <w:right w:w="29" w:type="dxa"/>
            </w:tcMar>
            <w:vAlign w:val="center"/>
          </w:tcPr>
          <w:p w14:paraId="472CD88B"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1E7C1AB9"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1A19F6F6"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71240758"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0E3A9BDB"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7979CEC9"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50FEF7FE"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607CB898"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2BC27995"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5EBF2537"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660391E2"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32008250" w14:textId="77777777" w:rsidR="002A70A9" w:rsidRPr="00CA345A" w:rsidRDefault="002A70A9" w:rsidP="00D31DFD">
            <w:pPr>
              <w:pStyle w:val="JCETabletext"/>
              <w:jc w:val="center"/>
              <w:rPr>
                <w:sz w:val="16"/>
                <w:szCs w:val="16"/>
              </w:rPr>
            </w:pPr>
          </w:p>
        </w:tc>
      </w:tr>
      <w:tr w:rsidR="00CA345A" w:rsidRPr="00CA345A" w14:paraId="1FE4452F" w14:textId="77777777" w:rsidTr="00CA345A">
        <w:tc>
          <w:tcPr>
            <w:tcW w:w="2268" w:type="dxa"/>
            <w:tcMar>
              <w:right w:w="29" w:type="dxa"/>
            </w:tcMar>
          </w:tcPr>
          <w:p w14:paraId="434AE03D" w14:textId="77777777" w:rsidR="002A70A9" w:rsidRPr="00CA345A" w:rsidRDefault="002A70A9" w:rsidP="00D31DFD">
            <w:pPr>
              <w:pStyle w:val="JCETabletext"/>
              <w:rPr>
                <w:sz w:val="16"/>
                <w:szCs w:val="16"/>
              </w:rPr>
            </w:pPr>
            <w:r w:rsidRPr="00CA345A">
              <w:rPr>
                <w:sz w:val="16"/>
                <w:szCs w:val="16"/>
              </w:rPr>
              <w:t>Recrystallization</w:t>
            </w:r>
          </w:p>
        </w:tc>
        <w:tc>
          <w:tcPr>
            <w:tcW w:w="1134" w:type="dxa"/>
            <w:tcMar>
              <w:left w:w="29" w:type="dxa"/>
              <w:right w:w="29" w:type="dxa"/>
            </w:tcMar>
            <w:vAlign w:val="center"/>
          </w:tcPr>
          <w:p w14:paraId="2A894BCB"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702D7718" w14:textId="77777777" w:rsidR="002A70A9" w:rsidRPr="00CA345A" w:rsidRDefault="002A70A9" w:rsidP="00D31DFD">
            <w:pPr>
              <w:pStyle w:val="JCETabletext"/>
              <w:jc w:val="center"/>
              <w:rPr>
                <w:sz w:val="16"/>
                <w:szCs w:val="16"/>
              </w:rPr>
            </w:pPr>
            <w:r w:rsidRPr="00CA345A">
              <w:rPr>
                <w:sz w:val="16"/>
                <w:szCs w:val="16"/>
              </w:rPr>
              <w:t>X</w:t>
            </w:r>
          </w:p>
        </w:tc>
        <w:tc>
          <w:tcPr>
            <w:tcW w:w="1134" w:type="dxa"/>
            <w:tcMar>
              <w:left w:w="29" w:type="dxa"/>
              <w:right w:w="29" w:type="dxa"/>
            </w:tcMar>
            <w:vAlign w:val="center"/>
          </w:tcPr>
          <w:p w14:paraId="1B3ED772"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54DBF07A"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14A55DC7"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270B4C86"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7783711D"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08976DD5"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345D4771"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798A8354"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51DD2015"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2B249521"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3579E21D" w14:textId="77777777" w:rsidR="002A70A9" w:rsidRPr="00CA345A" w:rsidRDefault="002A70A9" w:rsidP="00D31DFD">
            <w:pPr>
              <w:pStyle w:val="JCETabletext"/>
              <w:jc w:val="center"/>
              <w:rPr>
                <w:sz w:val="16"/>
                <w:szCs w:val="16"/>
              </w:rPr>
            </w:pPr>
          </w:p>
        </w:tc>
      </w:tr>
      <w:tr w:rsidR="00CA345A" w:rsidRPr="00CA345A" w14:paraId="41B68B63" w14:textId="77777777" w:rsidTr="00CA345A">
        <w:tc>
          <w:tcPr>
            <w:tcW w:w="2268" w:type="dxa"/>
            <w:tcMar>
              <w:right w:w="29" w:type="dxa"/>
            </w:tcMar>
          </w:tcPr>
          <w:p w14:paraId="133EDCF7" w14:textId="77777777" w:rsidR="002A70A9" w:rsidRPr="00CA345A" w:rsidRDefault="002A70A9" w:rsidP="00D31DFD">
            <w:pPr>
              <w:pStyle w:val="JCETabletext"/>
              <w:rPr>
                <w:sz w:val="16"/>
                <w:szCs w:val="16"/>
              </w:rPr>
            </w:pPr>
            <w:r w:rsidRPr="00CA345A">
              <w:rPr>
                <w:sz w:val="16"/>
                <w:szCs w:val="16"/>
              </w:rPr>
              <w:t>Buchner filtration</w:t>
            </w:r>
          </w:p>
        </w:tc>
        <w:tc>
          <w:tcPr>
            <w:tcW w:w="1134" w:type="dxa"/>
            <w:tcMar>
              <w:left w:w="29" w:type="dxa"/>
              <w:right w:w="29" w:type="dxa"/>
            </w:tcMar>
            <w:vAlign w:val="center"/>
          </w:tcPr>
          <w:p w14:paraId="6DAFAEBE"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07CFA603" w14:textId="77777777" w:rsidR="002A70A9" w:rsidRPr="00CA345A" w:rsidRDefault="002A70A9" w:rsidP="00D31DFD">
            <w:pPr>
              <w:pStyle w:val="JCETabletext"/>
              <w:jc w:val="center"/>
              <w:rPr>
                <w:sz w:val="16"/>
                <w:szCs w:val="16"/>
              </w:rPr>
            </w:pPr>
            <w:r w:rsidRPr="00CA345A">
              <w:rPr>
                <w:sz w:val="16"/>
                <w:szCs w:val="16"/>
              </w:rPr>
              <w:t>X</w:t>
            </w:r>
          </w:p>
        </w:tc>
        <w:tc>
          <w:tcPr>
            <w:tcW w:w="1134" w:type="dxa"/>
            <w:tcMar>
              <w:left w:w="29" w:type="dxa"/>
              <w:right w:w="29" w:type="dxa"/>
            </w:tcMar>
            <w:vAlign w:val="center"/>
          </w:tcPr>
          <w:p w14:paraId="442085A6"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2EB412DD"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4D446ECB"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555B38A9"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2799A036"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4BA3F1E9"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6B845D9F"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50087EC4"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70F41585"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5EEA73DE"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636C02DC" w14:textId="77777777" w:rsidR="002A70A9" w:rsidRPr="00CA345A" w:rsidRDefault="002A70A9" w:rsidP="00D31DFD">
            <w:pPr>
              <w:pStyle w:val="JCETabletext"/>
              <w:jc w:val="center"/>
              <w:rPr>
                <w:sz w:val="16"/>
                <w:szCs w:val="16"/>
              </w:rPr>
            </w:pPr>
          </w:p>
        </w:tc>
      </w:tr>
      <w:tr w:rsidR="00CA345A" w:rsidRPr="00CA345A" w14:paraId="1684124B" w14:textId="77777777" w:rsidTr="00CA345A">
        <w:tc>
          <w:tcPr>
            <w:tcW w:w="2268" w:type="dxa"/>
            <w:tcMar>
              <w:right w:w="29" w:type="dxa"/>
            </w:tcMar>
          </w:tcPr>
          <w:p w14:paraId="130E2A29" w14:textId="77777777" w:rsidR="002A70A9" w:rsidRPr="00CA345A" w:rsidRDefault="002A70A9" w:rsidP="00D31DFD">
            <w:pPr>
              <w:pStyle w:val="JCETabletext"/>
              <w:rPr>
                <w:sz w:val="16"/>
                <w:szCs w:val="16"/>
              </w:rPr>
            </w:pPr>
            <w:r w:rsidRPr="00CA345A">
              <w:rPr>
                <w:sz w:val="16"/>
                <w:szCs w:val="16"/>
              </w:rPr>
              <w:t>Operation of a UV–Vis or IR spectrophotometer</w:t>
            </w:r>
          </w:p>
        </w:tc>
        <w:tc>
          <w:tcPr>
            <w:tcW w:w="1134" w:type="dxa"/>
            <w:tcMar>
              <w:left w:w="29" w:type="dxa"/>
              <w:right w:w="29" w:type="dxa"/>
            </w:tcMar>
            <w:vAlign w:val="center"/>
          </w:tcPr>
          <w:p w14:paraId="21742E87"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0129BD66"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3953A90E" w14:textId="77777777" w:rsidR="002A70A9" w:rsidRPr="00CA345A" w:rsidRDefault="002A70A9" w:rsidP="00D31DFD">
            <w:pPr>
              <w:pStyle w:val="JCETabletext"/>
              <w:jc w:val="center"/>
              <w:rPr>
                <w:sz w:val="16"/>
                <w:szCs w:val="16"/>
              </w:rPr>
            </w:pPr>
            <w:r w:rsidRPr="00CA345A">
              <w:rPr>
                <w:sz w:val="16"/>
                <w:szCs w:val="16"/>
              </w:rPr>
              <w:t>X</w:t>
            </w:r>
          </w:p>
        </w:tc>
        <w:tc>
          <w:tcPr>
            <w:tcW w:w="1134" w:type="dxa"/>
            <w:tcMar>
              <w:left w:w="29" w:type="dxa"/>
              <w:right w:w="29" w:type="dxa"/>
            </w:tcMar>
            <w:vAlign w:val="center"/>
          </w:tcPr>
          <w:p w14:paraId="59893E00" w14:textId="77777777" w:rsidR="002A70A9" w:rsidRPr="00CA345A" w:rsidRDefault="002A70A9" w:rsidP="00D31DFD">
            <w:pPr>
              <w:pStyle w:val="JCETabletext"/>
              <w:jc w:val="center"/>
              <w:rPr>
                <w:sz w:val="16"/>
                <w:szCs w:val="16"/>
              </w:rPr>
            </w:pPr>
            <w:r w:rsidRPr="00CA345A">
              <w:rPr>
                <w:sz w:val="16"/>
                <w:szCs w:val="16"/>
              </w:rPr>
              <w:t>X</w:t>
            </w:r>
          </w:p>
        </w:tc>
        <w:tc>
          <w:tcPr>
            <w:tcW w:w="709" w:type="dxa"/>
            <w:tcMar>
              <w:left w:w="29" w:type="dxa"/>
              <w:right w:w="29" w:type="dxa"/>
            </w:tcMar>
            <w:vAlign w:val="center"/>
          </w:tcPr>
          <w:p w14:paraId="011C68FC"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39F43D00"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69D4FE58"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2B2E5701"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2BCC7D75"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5EF5BEE7"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14A9961D"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48F0831E"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4DE2F2A9" w14:textId="77777777" w:rsidR="002A70A9" w:rsidRPr="00CA345A" w:rsidRDefault="002A70A9" w:rsidP="00D31DFD">
            <w:pPr>
              <w:pStyle w:val="JCETabletext"/>
              <w:jc w:val="center"/>
              <w:rPr>
                <w:sz w:val="16"/>
                <w:szCs w:val="16"/>
              </w:rPr>
            </w:pPr>
          </w:p>
        </w:tc>
      </w:tr>
      <w:tr w:rsidR="00CA345A" w:rsidRPr="00CA345A" w14:paraId="4B16C454" w14:textId="77777777" w:rsidTr="00CA345A">
        <w:tc>
          <w:tcPr>
            <w:tcW w:w="2268" w:type="dxa"/>
            <w:tcMar>
              <w:right w:w="29" w:type="dxa"/>
            </w:tcMar>
          </w:tcPr>
          <w:p w14:paraId="63BE7301" w14:textId="77777777" w:rsidR="002A70A9" w:rsidRPr="00CA345A" w:rsidRDefault="002A70A9" w:rsidP="00D31DFD">
            <w:pPr>
              <w:pStyle w:val="JCETabletext"/>
              <w:rPr>
                <w:sz w:val="16"/>
                <w:szCs w:val="16"/>
              </w:rPr>
            </w:pPr>
            <w:r w:rsidRPr="00CA345A">
              <w:rPr>
                <w:sz w:val="16"/>
                <w:szCs w:val="16"/>
              </w:rPr>
              <w:t>Calculation of parameters from UV–Vis Spectra, including use of Beer–Lambert plots</w:t>
            </w:r>
          </w:p>
        </w:tc>
        <w:tc>
          <w:tcPr>
            <w:tcW w:w="1134" w:type="dxa"/>
            <w:tcMar>
              <w:left w:w="29" w:type="dxa"/>
              <w:right w:w="29" w:type="dxa"/>
            </w:tcMar>
            <w:vAlign w:val="center"/>
          </w:tcPr>
          <w:p w14:paraId="1C4ECA34"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15AFE264"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178CE455" w14:textId="77777777" w:rsidR="002A70A9" w:rsidRPr="00CA345A" w:rsidRDefault="002A70A9" w:rsidP="00D31DFD">
            <w:pPr>
              <w:pStyle w:val="JCETabletext"/>
              <w:jc w:val="center"/>
              <w:rPr>
                <w:sz w:val="16"/>
                <w:szCs w:val="16"/>
              </w:rPr>
            </w:pPr>
            <w:r w:rsidRPr="00CA345A">
              <w:rPr>
                <w:sz w:val="16"/>
                <w:szCs w:val="16"/>
              </w:rPr>
              <w:t>X</w:t>
            </w:r>
          </w:p>
        </w:tc>
        <w:tc>
          <w:tcPr>
            <w:tcW w:w="1134" w:type="dxa"/>
            <w:tcMar>
              <w:left w:w="29" w:type="dxa"/>
              <w:right w:w="29" w:type="dxa"/>
            </w:tcMar>
            <w:vAlign w:val="center"/>
          </w:tcPr>
          <w:p w14:paraId="132047BB"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586C82E9"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55E70467"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1AA0C281"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24529599"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0F41D40B"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6B706C15"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52EF4369"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3FF9EEA2"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72448E5F" w14:textId="77777777" w:rsidR="002A70A9" w:rsidRPr="00CA345A" w:rsidRDefault="002A70A9" w:rsidP="00D31DFD">
            <w:pPr>
              <w:pStyle w:val="JCETabletext"/>
              <w:jc w:val="center"/>
              <w:rPr>
                <w:sz w:val="16"/>
                <w:szCs w:val="16"/>
              </w:rPr>
            </w:pPr>
          </w:p>
        </w:tc>
      </w:tr>
      <w:tr w:rsidR="00CA345A" w:rsidRPr="00CA345A" w14:paraId="27F27DB9" w14:textId="77777777" w:rsidTr="00CA345A">
        <w:tc>
          <w:tcPr>
            <w:tcW w:w="2268" w:type="dxa"/>
            <w:tcMar>
              <w:right w:w="29" w:type="dxa"/>
            </w:tcMar>
          </w:tcPr>
          <w:p w14:paraId="4376A10F" w14:textId="77777777" w:rsidR="002A70A9" w:rsidRPr="00CA345A" w:rsidRDefault="002A70A9" w:rsidP="00D31DFD">
            <w:pPr>
              <w:pStyle w:val="JCETabletext"/>
              <w:rPr>
                <w:sz w:val="16"/>
                <w:szCs w:val="16"/>
              </w:rPr>
            </w:pPr>
            <w:r w:rsidRPr="00CA345A">
              <w:rPr>
                <w:sz w:val="16"/>
                <w:szCs w:val="16"/>
              </w:rPr>
              <w:t>Interpretation of IR spectra</w:t>
            </w:r>
          </w:p>
        </w:tc>
        <w:tc>
          <w:tcPr>
            <w:tcW w:w="1134" w:type="dxa"/>
            <w:tcMar>
              <w:left w:w="29" w:type="dxa"/>
              <w:right w:w="29" w:type="dxa"/>
            </w:tcMar>
            <w:vAlign w:val="center"/>
          </w:tcPr>
          <w:p w14:paraId="390D8E6C"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581D9422"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01C8C076"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0D8C15C2" w14:textId="77777777" w:rsidR="002A70A9" w:rsidRPr="00CA345A" w:rsidRDefault="002A70A9" w:rsidP="00D31DFD">
            <w:pPr>
              <w:pStyle w:val="JCETabletext"/>
              <w:jc w:val="center"/>
              <w:rPr>
                <w:sz w:val="16"/>
                <w:szCs w:val="16"/>
              </w:rPr>
            </w:pPr>
            <w:r w:rsidRPr="00CA345A">
              <w:rPr>
                <w:sz w:val="16"/>
                <w:szCs w:val="16"/>
              </w:rPr>
              <w:t>X</w:t>
            </w:r>
          </w:p>
        </w:tc>
        <w:tc>
          <w:tcPr>
            <w:tcW w:w="709" w:type="dxa"/>
            <w:tcMar>
              <w:left w:w="29" w:type="dxa"/>
              <w:right w:w="29" w:type="dxa"/>
            </w:tcMar>
            <w:vAlign w:val="center"/>
          </w:tcPr>
          <w:p w14:paraId="522B715E"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67A91556"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5CA47D8D"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2D7166FC"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7288A670"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7F660F2B"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0960E7D3"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65AA3F39"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4F48690A" w14:textId="77777777" w:rsidR="002A70A9" w:rsidRPr="00CA345A" w:rsidRDefault="002A70A9" w:rsidP="00D31DFD">
            <w:pPr>
              <w:pStyle w:val="JCETabletext"/>
              <w:jc w:val="center"/>
              <w:rPr>
                <w:sz w:val="16"/>
                <w:szCs w:val="16"/>
              </w:rPr>
            </w:pPr>
          </w:p>
        </w:tc>
      </w:tr>
      <w:tr w:rsidR="00CA345A" w:rsidRPr="00CA345A" w14:paraId="1E5EC99C" w14:textId="77777777" w:rsidTr="00CA345A">
        <w:tc>
          <w:tcPr>
            <w:tcW w:w="2268" w:type="dxa"/>
            <w:tcMar>
              <w:right w:w="29" w:type="dxa"/>
            </w:tcMar>
          </w:tcPr>
          <w:p w14:paraId="1CCDFAED" w14:textId="77777777" w:rsidR="002A70A9" w:rsidRPr="00CA345A" w:rsidRDefault="002A70A9" w:rsidP="00D31DFD">
            <w:pPr>
              <w:pStyle w:val="JCETabletext"/>
              <w:rPr>
                <w:sz w:val="16"/>
                <w:szCs w:val="16"/>
              </w:rPr>
            </w:pPr>
            <w:r w:rsidRPr="00CA345A">
              <w:rPr>
                <w:sz w:val="16"/>
                <w:szCs w:val="16"/>
              </w:rPr>
              <w:t>Preparation of sample for NMR spectroscopy</w:t>
            </w:r>
          </w:p>
        </w:tc>
        <w:tc>
          <w:tcPr>
            <w:tcW w:w="1134" w:type="dxa"/>
            <w:tcMar>
              <w:left w:w="29" w:type="dxa"/>
              <w:right w:w="29" w:type="dxa"/>
            </w:tcMar>
            <w:vAlign w:val="center"/>
          </w:tcPr>
          <w:p w14:paraId="25200BF9"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597819EF"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6F87D4CA"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48FB49F6"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6B513084"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24BF231A" w14:textId="77777777" w:rsidR="002A70A9" w:rsidRPr="00CA345A" w:rsidRDefault="002A70A9" w:rsidP="00D31DFD">
            <w:pPr>
              <w:pStyle w:val="JCETabletext"/>
              <w:jc w:val="center"/>
              <w:rPr>
                <w:sz w:val="16"/>
                <w:szCs w:val="16"/>
              </w:rPr>
            </w:pPr>
            <w:r w:rsidRPr="00CA345A">
              <w:rPr>
                <w:sz w:val="16"/>
                <w:szCs w:val="16"/>
              </w:rPr>
              <w:t>X</w:t>
            </w:r>
          </w:p>
        </w:tc>
        <w:tc>
          <w:tcPr>
            <w:tcW w:w="920" w:type="dxa"/>
            <w:tcMar>
              <w:left w:w="29" w:type="dxa"/>
              <w:right w:w="29" w:type="dxa"/>
            </w:tcMar>
            <w:vAlign w:val="center"/>
          </w:tcPr>
          <w:p w14:paraId="53B26CB1" w14:textId="77777777" w:rsidR="002A70A9" w:rsidRPr="00CA345A" w:rsidRDefault="002A70A9" w:rsidP="00D31DFD">
            <w:pPr>
              <w:pStyle w:val="JCETabletext"/>
              <w:jc w:val="center"/>
              <w:rPr>
                <w:sz w:val="16"/>
                <w:szCs w:val="16"/>
              </w:rPr>
            </w:pPr>
            <w:r w:rsidRPr="00CA345A">
              <w:rPr>
                <w:sz w:val="16"/>
                <w:szCs w:val="16"/>
              </w:rPr>
              <w:t>X</w:t>
            </w:r>
          </w:p>
        </w:tc>
        <w:tc>
          <w:tcPr>
            <w:tcW w:w="720" w:type="dxa"/>
            <w:tcMar>
              <w:left w:w="29" w:type="dxa"/>
              <w:right w:w="29" w:type="dxa"/>
            </w:tcMar>
            <w:vAlign w:val="center"/>
          </w:tcPr>
          <w:p w14:paraId="7F00B0BE"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58895F2F"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29157926"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37D56FEF"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12340875"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713521CE" w14:textId="77777777" w:rsidR="002A70A9" w:rsidRPr="00CA345A" w:rsidRDefault="002A70A9" w:rsidP="00D31DFD">
            <w:pPr>
              <w:pStyle w:val="JCETabletext"/>
              <w:jc w:val="center"/>
              <w:rPr>
                <w:sz w:val="16"/>
                <w:szCs w:val="16"/>
              </w:rPr>
            </w:pPr>
          </w:p>
        </w:tc>
      </w:tr>
      <w:tr w:rsidR="00CA345A" w:rsidRPr="00CA345A" w14:paraId="1204B97D" w14:textId="77777777" w:rsidTr="00CA345A">
        <w:tc>
          <w:tcPr>
            <w:tcW w:w="2268" w:type="dxa"/>
            <w:tcMar>
              <w:right w:w="29" w:type="dxa"/>
            </w:tcMar>
          </w:tcPr>
          <w:p w14:paraId="35691D32" w14:textId="77777777" w:rsidR="002A70A9" w:rsidRPr="00CA345A" w:rsidRDefault="002A70A9" w:rsidP="00D31DFD">
            <w:pPr>
              <w:pStyle w:val="JCETabletext"/>
              <w:rPr>
                <w:sz w:val="16"/>
                <w:szCs w:val="16"/>
              </w:rPr>
            </w:pPr>
            <w:r w:rsidRPr="00CA345A">
              <w:rPr>
                <w:sz w:val="16"/>
                <w:szCs w:val="16"/>
              </w:rPr>
              <w:t>Interpretation of NMR spectra</w:t>
            </w:r>
          </w:p>
        </w:tc>
        <w:tc>
          <w:tcPr>
            <w:tcW w:w="1134" w:type="dxa"/>
            <w:tcMar>
              <w:left w:w="29" w:type="dxa"/>
              <w:right w:w="29" w:type="dxa"/>
            </w:tcMar>
            <w:vAlign w:val="center"/>
          </w:tcPr>
          <w:p w14:paraId="1C91D17F"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211EAFCF"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314B544B"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31ED8EA6"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01864223"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16A3E54D"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28A07160" w14:textId="77777777" w:rsidR="002A70A9" w:rsidRPr="00CA345A" w:rsidRDefault="002A70A9" w:rsidP="00D31DFD">
            <w:pPr>
              <w:pStyle w:val="JCETabletext"/>
              <w:jc w:val="center"/>
              <w:rPr>
                <w:sz w:val="16"/>
                <w:szCs w:val="16"/>
              </w:rPr>
            </w:pPr>
            <w:r w:rsidRPr="00CA345A">
              <w:rPr>
                <w:sz w:val="16"/>
                <w:szCs w:val="16"/>
              </w:rPr>
              <w:t>X</w:t>
            </w:r>
          </w:p>
        </w:tc>
        <w:tc>
          <w:tcPr>
            <w:tcW w:w="720" w:type="dxa"/>
            <w:tcMar>
              <w:left w:w="29" w:type="dxa"/>
              <w:right w:w="29" w:type="dxa"/>
            </w:tcMar>
            <w:vAlign w:val="center"/>
          </w:tcPr>
          <w:p w14:paraId="2E2A29E9"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22968A0E"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043AF1FA"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6461A619"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112DFDF7"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2C74A5AD" w14:textId="77777777" w:rsidR="002A70A9" w:rsidRPr="00CA345A" w:rsidRDefault="002A70A9" w:rsidP="00D31DFD">
            <w:pPr>
              <w:pStyle w:val="JCETabletext"/>
              <w:jc w:val="center"/>
              <w:rPr>
                <w:sz w:val="16"/>
                <w:szCs w:val="16"/>
              </w:rPr>
            </w:pPr>
          </w:p>
        </w:tc>
      </w:tr>
      <w:tr w:rsidR="00CA345A" w:rsidRPr="00CA345A" w14:paraId="7323978E" w14:textId="77777777" w:rsidTr="00CA345A">
        <w:tc>
          <w:tcPr>
            <w:tcW w:w="2268" w:type="dxa"/>
            <w:tcMar>
              <w:right w:w="29" w:type="dxa"/>
            </w:tcMar>
          </w:tcPr>
          <w:p w14:paraId="5A4CA981" w14:textId="77777777" w:rsidR="002A70A9" w:rsidRPr="00CA345A" w:rsidRDefault="002A70A9" w:rsidP="00D31DFD">
            <w:pPr>
              <w:pStyle w:val="JCETabletext"/>
              <w:rPr>
                <w:sz w:val="16"/>
                <w:szCs w:val="16"/>
              </w:rPr>
            </w:pPr>
            <w:r w:rsidRPr="00CA345A">
              <w:rPr>
                <w:sz w:val="16"/>
                <w:szCs w:val="16"/>
              </w:rPr>
              <w:t>COSHH risk assessment</w:t>
            </w:r>
          </w:p>
        </w:tc>
        <w:tc>
          <w:tcPr>
            <w:tcW w:w="1134" w:type="dxa"/>
            <w:tcMar>
              <w:left w:w="29" w:type="dxa"/>
              <w:right w:w="29" w:type="dxa"/>
            </w:tcMar>
            <w:vAlign w:val="center"/>
          </w:tcPr>
          <w:p w14:paraId="4A0FA370"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54FDD6E7"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292A463E"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55D588B2"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7BE9FC23" w14:textId="77777777" w:rsidR="002A70A9" w:rsidRPr="00CA345A" w:rsidRDefault="002A70A9" w:rsidP="00D31DFD">
            <w:pPr>
              <w:pStyle w:val="JCETabletext"/>
              <w:jc w:val="center"/>
              <w:rPr>
                <w:sz w:val="16"/>
                <w:szCs w:val="16"/>
              </w:rPr>
            </w:pPr>
            <w:r w:rsidRPr="00CA345A">
              <w:rPr>
                <w:sz w:val="16"/>
                <w:szCs w:val="16"/>
              </w:rPr>
              <w:t>X</w:t>
            </w:r>
          </w:p>
        </w:tc>
        <w:tc>
          <w:tcPr>
            <w:tcW w:w="850" w:type="dxa"/>
            <w:tcMar>
              <w:left w:w="29" w:type="dxa"/>
              <w:right w:w="29" w:type="dxa"/>
            </w:tcMar>
            <w:vAlign w:val="center"/>
          </w:tcPr>
          <w:p w14:paraId="5A7AC4FF"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32E45543"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7CA7B105"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483F0A2C"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35760F7B"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0D3C9ED4"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69A5E6E2"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1C974AF7" w14:textId="77777777" w:rsidR="002A70A9" w:rsidRPr="00CA345A" w:rsidRDefault="002A70A9" w:rsidP="00D31DFD">
            <w:pPr>
              <w:pStyle w:val="JCETabletext"/>
              <w:jc w:val="center"/>
              <w:rPr>
                <w:sz w:val="16"/>
                <w:szCs w:val="16"/>
              </w:rPr>
            </w:pPr>
          </w:p>
        </w:tc>
      </w:tr>
      <w:tr w:rsidR="00CA345A" w:rsidRPr="00CA345A" w14:paraId="08F36DD5" w14:textId="77777777" w:rsidTr="00CA345A">
        <w:tc>
          <w:tcPr>
            <w:tcW w:w="2268" w:type="dxa"/>
            <w:tcMar>
              <w:right w:w="29" w:type="dxa"/>
            </w:tcMar>
          </w:tcPr>
          <w:p w14:paraId="377A1AC6" w14:textId="77777777" w:rsidR="002A70A9" w:rsidRPr="00CA345A" w:rsidRDefault="002A70A9" w:rsidP="00D31DFD">
            <w:pPr>
              <w:pStyle w:val="JCETabletext"/>
              <w:rPr>
                <w:sz w:val="16"/>
                <w:szCs w:val="16"/>
              </w:rPr>
            </w:pPr>
            <w:r w:rsidRPr="00CA345A">
              <w:rPr>
                <w:sz w:val="16"/>
                <w:szCs w:val="16"/>
              </w:rPr>
              <w:t>Melting point determination</w:t>
            </w:r>
          </w:p>
        </w:tc>
        <w:tc>
          <w:tcPr>
            <w:tcW w:w="1134" w:type="dxa"/>
            <w:tcMar>
              <w:left w:w="29" w:type="dxa"/>
              <w:right w:w="29" w:type="dxa"/>
            </w:tcMar>
            <w:vAlign w:val="center"/>
          </w:tcPr>
          <w:p w14:paraId="6261DEE4"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5FB0BD2C"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1A5633DA"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780FF720"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17888B07"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6C4A3D85"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7726F712"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2CE17323" w14:textId="77777777" w:rsidR="002A70A9" w:rsidRPr="00CA345A" w:rsidRDefault="002A70A9" w:rsidP="00D31DFD">
            <w:pPr>
              <w:pStyle w:val="JCETabletext"/>
              <w:jc w:val="center"/>
              <w:rPr>
                <w:sz w:val="16"/>
                <w:szCs w:val="16"/>
              </w:rPr>
            </w:pPr>
            <w:r w:rsidRPr="00CA345A">
              <w:rPr>
                <w:sz w:val="16"/>
                <w:szCs w:val="16"/>
              </w:rPr>
              <w:t>X</w:t>
            </w:r>
          </w:p>
        </w:tc>
        <w:tc>
          <w:tcPr>
            <w:tcW w:w="900" w:type="dxa"/>
            <w:tcMar>
              <w:left w:w="29" w:type="dxa"/>
              <w:right w:w="29" w:type="dxa"/>
            </w:tcMar>
            <w:vAlign w:val="center"/>
          </w:tcPr>
          <w:p w14:paraId="600ADA75"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1B6BA50E"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0BA7C8CE"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3ECF3B96"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2F2DBE8A" w14:textId="77777777" w:rsidR="002A70A9" w:rsidRPr="00CA345A" w:rsidRDefault="002A70A9" w:rsidP="00D31DFD">
            <w:pPr>
              <w:pStyle w:val="JCETabletext"/>
              <w:jc w:val="center"/>
              <w:rPr>
                <w:sz w:val="16"/>
                <w:szCs w:val="16"/>
              </w:rPr>
            </w:pPr>
          </w:p>
        </w:tc>
      </w:tr>
      <w:tr w:rsidR="00CA345A" w:rsidRPr="00CA345A" w14:paraId="4DFDEB82" w14:textId="77777777" w:rsidTr="00CA345A">
        <w:tc>
          <w:tcPr>
            <w:tcW w:w="2268" w:type="dxa"/>
            <w:tcMar>
              <w:right w:w="29" w:type="dxa"/>
            </w:tcMar>
          </w:tcPr>
          <w:p w14:paraId="7DC9329B" w14:textId="77777777" w:rsidR="002A70A9" w:rsidRPr="00CA345A" w:rsidRDefault="002A70A9" w:rsidP="00D31DFD">
            <w:pPr>
              <w:pStyle w:val="JCETabletext"/>
              <w:rPr>
                <w:sz w:val="16"/>
                <w:szCs w:val="16"/>
              </w:rPr>
            </w:pPr>
            <w:r w:rsidRPr="00CA345A">
              <w:rPr>
                <w:sz w:val="16"/>
                <w:szCs w:val="16"/>
              </w:rPr>
              <w:t>Operation of rotary evaporator</w:t>
            </w:r>
          </w:p>
        </w:tc>
        <w:tc>
          <w:tcPr>
            <w:tcW w:w="1134" w:type="dxa"/>
            <w:tcMar>
              <w:left w:w="29" w:type="dxa"/>
              <w:right w:w="29" w:type="dxa"/>
            </w:tcMar>
            <w:vAlign w:val="center"/>
          </w:tcPr>
          <w:p w14:paraId="2AA76749"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73322279"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65617CAF"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67F921CF"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5B92F30A"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2F82B59A"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447DAF29"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24B5860C"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62E43F24"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69573E8A" w14:textId="77777777" w:rsidR="002A70A9" w:rsidRPr="00CA345A" w:rsidRDefault="002A70A9" w:rsidP="00D31DFD">
            <w:pPr>
              <w:pStyle w:val="JCETabletext"/>
              <w:jc w:val="center"/>
              <w:rPr>
                <w:sz w:val="16"/>
                <w:szCs w:val="16"/>
              </w:rPr>
            </w:pPr>
            <w:r w:rsidRPr="00CA345A">
              <w:rPr>
                <w:sz w:val="16"/>
                <w:szCs w:val="16"/>
              </w:rPr>
              <w:t>X</w:t>
            </w:r>
          </w:p>
        </w:tc>
        <w:tc>
          <w:tcPr>
            <w:tcW w:w="540" w:type="dxa"/>
            <w:tcMar>
              <w:left w:w="29" w:type="dxa"/>
              <w:right w:w="29" w:type="dxa"/>
            </w:tcMar>
            <w:vAlign w:val="center"/>
          </w:tcPr>
          <w:p w14:paraId="530714A4"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51AFAF9E" w14:textId="77777777" w:rsidR="002A70A9" w:rsidRPr="00CA345A" w:rsidRDefault="002A70A9" w:rsidP="00D31DFD">
            <w:pPr>
              <w:pStyle w:val="JCETabletext"/>
              <w:jc w:val="center"/>
              <w:rPr>
                <w:sz w:val="16"/>
                <w:szCs w:val="16"/>
              </w:rPr>
            </w:pPr>
          </w:p>
        </w:tc>
        <w:tc>
          <w:tcPr>
            <w:tcW w:w="810" w:type="dxa"/>
            <w:tcMar>
              <w:left w:w="29" w:type="dxa"/>
              <w:right w:w="29" w:type="dxa"/>
            </w:tcMar>
            <w:vAlign w:val="center"/>
          </w:tcPr>
          <w:p w14:paraId="5BF12AA5" w14:textId="77777777" w:rsidR="002A70A9" w:rsidRPr="00CA345A" w:rsidRDefault="002A70A9" w:rsidP="00D31DFD">
            <w:pPr>
              <w:pStyle w:val="JCETabletext"/>
              <w:jc w:val="center"/>
              <w:rPr>
                <w:sz w:val="16"/>
                <w:szCs w:val="16"/>
              </w:rPr>
            </w:pPr>
          </w:p>
        </w:tc>
      </w:tr>
      <w:tr w:rsidR="00CA345A" w:rsidRPr="00CA345A" w14:paraId="72A109A9" w14:textId="77777777" w:rsidTr="00CA345A">
        <w:tc>
          <w:tcPr>
            <w:tcW w:w="2268" w:type="dxa"/>
            <w:tcMar>
              <w:right w:w="29" w:type="dxa"/>
            </w:tcMar>
          </w:tcPr>
          <w:p w14:paraId="2140C5D3" w14:textId="77777777" w:rsidR="002A70A9" w:rsidRPr="00CA345A" w:rsidRDefault="002A70A9" w:rsidP="00D31DFD">
            <w:pPr>
              <w:pStyle w:val="JCETabletext"/>
              <w:rPr>
                <w:sz w:val="16"/>
                <w:szCs w:val="16"/>
              </w:rPr>
            </w:pPr>
            <w:r w:rsidRPr="00CA345A">
              <w:rPr>
                <w:sz w:val="16"/>
                <w:szCs w:val="16"/>
              </w:rPr>
              <w:t>Heating a reaction at reflux</w:t>
            </w:r>
          </w:p>
        </w:tc>
        <w:tc>
          <w:tcPr>
            <w:tcW w:w="1134" w:type="dxa"/>
            <w:tcMar>
              <w:left w:w="29" w:type="dxa"/>
              <w:right w:w="29" w:type="dxa"/>
            </w:tcMar>
            <w:vAlign w:val="center"/>
          </w:tcPr>
          <w:p w14:paraId="4CF20332" w14:textId="77777777" w:rsidR="002A70A9" w:rsidRPr="00CA345A" w:rsidRDefault="002A70A9" w:rsidP="00D31DFD">
            <w:pPr>
              <w:pStyle w:val="JCETabletext"/>
              <w:jc w:val="center"/>
              <w:rPr>
                <w:sz w:val="16"/>
                <w:szCs w:val="16"/>
              </w:rPr>
            </w:pPr>
          </w:p>
        </w:tc>
        <w:tc>
          <w:tcPr>
            <w:tcW w:w="851" w:type="dxa"/>
            <w:tcMar>
              <w:left w:w="29" w:type="dxa"/>
              <w:right w:w="29" w:type="dxa"/>
            </w:tcMar>
            <w:vAlign w:val="center"/>
          </w:tcPr>
          <w:p w14:paraId="7B71834E"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4CC747FD" w14:textId="77777777" w:rsidR="002A70A9" w:rsidRPr="00CA345A" w:rsidRDefault="002A70A9" w:rsidP="00D31DFD">
            <w:pPr>
              <w:pStyle w:val="JCETabletext"/>
              <w:jc w:val="center"/>
              <w:rPr>
                <w:sz w:val="16"/>
                <w:szCs w:val="16"/>
              </w:rPr>
            </w:pPr>
          </w:p>
        </w:tc>
        <w:tc>
          <w:tcPr>
            <w:tcW w:w="1134" w:type="dxa"/>
            <w:tcMar>
              <w:left w:w="29" w:type="dxa"/>
              <w:right w:w="29" w:type="dxa"/>
            </w:tcMar>
            <w:vAlign w:val="center"/>
          </w:tcPr>
          <w:p w14:paraId="14218A1B" w14:textId="77777777" w:rsidR="002A70A9" w:rsidRPr="00CA345A" w:rsidRDefault="002A70A9" w:rsidP="00D31DFD">
            <w:pPr>
              <w:pStyle w:val="JCETabletext"/>
              <w:jc w:val="center"/>
              <w:rPr>
                <w:sz w:val="16"/>
                <w:szCs w:val="16"/>
              </w:rPr>
            </w:pPr>
          </w:p>
        </w:tc>
        <w:tc>
          <w:tcPr>
            <w:tcW w:w="709" w:type="dxa"/>
            <w:tcMar>
              <w:left w:w="29" w:type="dxa"/>
              <w:right w:w="29" w:type="dxa"/>
            </w:tcMar>
            <w:vAlign w:val="center"/>
          </w:tcPr>
          <w:p w14:paraId="65BBF570" w14:textId="77777777" w:rsidR="002A70A9" w:rsidRPr="00CA345A" w:rsidRDefault="002A70A9" w:rsidP="00D31DFD">
            <w:pPr>
              <w:pStyle w:val="JCETabletext"/>
              <w:jc w:val="center"/>
              <w:rPr>
                <w:sz w:val="16"/>
                <w:szCs w:val="16"/>
              </w:rPr>
            </w:pPr>
          </w:p>
        </w:tc>
        <w:tc>
          <w:tcPr>
            <w:tcW w:w="850" w:type="dxa"/>
            <w:tcMar>
              <w:left w:w="29" w:type="dxa"/>
              <w:right w:w="29" w:type="dxa"/>
            </w:tcMar>
            <w:vAlign w:val="center"/>
          </w:tcPr>
          <w:p w14:paraId="76C3BC66" w14:textId="77777777" w:rsidR="002A70A9" w:rsidRPr="00CA345A" w:rsidRDefault="002A70A9" w:rsidP="00D31DFD">
            <w:pPr>
              <w:pStyle w:val="JCETabletext"/>
              <w:jc w:val="center"/>
              <w:rPr>
                <w:sz w:val="16"/>
                <w:szCs w:val="16"/>
              </w:rPr>
            </w:pPr>
          </w:p>
        </w:tc>
        <w:tc>
          <w:tcPr>
            <w:tcW w:w="920" w:type="dxa"/>
            <w:tcMar>
              <w:left w:w="29" w:type="dxa"/>
              <w:right w:w="29" w:type="dxa"/>
            </w:tcMar>
            <w:vAlign w:val="center"/>
          </w:tcPr>
          <w:p w14:paraId="4E1F98C7" w14:textId="77777777" w:rsidR="002A70A9" w:rsidRPr="00CA345A" w:rsidRDefault="002A70A9" w:rsidP="00D31DFD">
            <w:pPr>
              <w:pStyle w:val="JCETabletext"/>
              <w:jc w:val="center"/>
              <w:rPr>
                <w:sz w:val="16"/>
                <w:szCs w:val="16"/>
              </w:rPr>
            </w:pPr>
          </w:p>
        </w:tc>
        <w:tc>
          <w:tcPr>
            <w:tcW w:w="720" w:type="dxa"/>
            <w:tcMar>
              <w:left w:w="29" w:type="dxa"/>
              <w:right w:w="29" w:type="dxa"/>
            </w:tcMar>
            <w:vAlign w:val="center"/>
          </w:tcPr>
          <w:p w14:paraId="2D34F0B9" w14:textId="77777777" w:rsidR="002A70A9" w:rsidRPr="00CA345A" w:rsidRDefault="002A70A9" w:rsidP="00D31DFD">
            <w:pPr>
              <w:pStyle w:val="JCETabletext"/>
              <w:jc w:val="center"/>
              <w:rPr>
                <w:sz w:val="16"/>
                <w:szCs w:val="16"/>
              </w:rPr>
            </w:pPr>
          </w:p>
        </w:tc>
        <w:tc>
          <w:tcPr>
            <w:tcW w:w="900" w:type="dxa"/>
            <w:tcMar>
              <w:left w:w="29" w:type="dxa"/>
              <w:right w:w="29" w:type="dxa"/>
            </w:tcMar>
            <w:vAlign w:val="center"/>
          </w:tcPr>
          <w:p w14:paraId="6303A84B" w14:textId="77777777" w:rsidR="002A70A9" w:rsidRPr="00CA345A" w:rsidRDefault="002A70A9" w:rsidP="00D31DFD">
            <w:pPr>
              <w:pStyle w:val="JCETabletext"/>
              <w:jc w:val="center"/>
              <w:rPr>
                <w:sz w:val="16"/>
                <w:szCs w:val="16"/>
              </w:rPr>
            </w:pPr>
          </w:p>
        </w:tc>
        <w:tc>
          <w:tcPr>
            <w:tcW w:w="1080" w:type="dxa"/>
            <w:tcMar>
              <w:left w:w="29" w:type="dxa"/>
              <w:right w:w="29" w:type="dxa"/>
            </w:tcMar>
            <w:vAlign w:val="center"/>
          </w:tcPr>
          <w:p w14:paraId="1E5C4334" w14:textId="77777777" w:rsidR="002A70A9" w:rsidRPr="00CA345A" w:rsidRDefault="002A70A9" w:rsidP="00D31DFD">
            <w:pPr>
              <w:pStyle w:val="JCETabletext"/>
              <w:jc w:val="center"/>
              <w:rPr>
                <w:sz w:val="16"/>
                <w:szCs w:val="16"/>
              </w:rPr>
            </w:pPr>
          </w:p>
        </w:tc>
        <w:tc>
          <w:tcPr>
            <w:tcW w:w="540" w:type="dxa"/>
            <w:tcMar>
              <w:left w:w="29" w:type="dxa"/>
              <w:right w:w="29" w:type="dxa"/>
            </w:tcMar>
            <w:vAlign w:val="center"/>
          </w:tcPr>
          <w:p w14:paraId="548AE254" w14:textId="77777777" w:rsidR="002A70A9" w:rsidRPr="00CA345A" w:rsidRDefault="002A70A9" w:rsidP="00D31DFD">
            <w:pPr>
              <w:pStyle w:val="JCETabletext"/>
              <w:jc w:val="center"/>
              <w:rPr>
                <w:sz w:val="16"/>
                <w:szCs w:val="16"/>
              </w:rPr>
            </w:pPr>
          </w:p>
        </w:tc>
        <w:tc>
          <w:tcPr>
            <w:tcW w:w="630" w:type="dxa"/>
            <w:tcMar>
              <w:left w:w="29" w:type="dxa"/>
              <w:right w:w="29" w:type="dxa"/>
            </w:tcMar>
            <w:vAlign w:val="center"/>
          </w:tcPr>
          <w:p w14:paraId="6F199272" w14:textId="77777777" w:rsidR="002A70A9" w:rsidRPr="00CA345A" w:rsidRDefault="002A70A9" w:rsidP="00D31DFD">
            <w:pPr>
              <w:pStyle w:val="JCETabletext"/>
              <w:jc w:val="center"/>
              <w:rPr>
                <w:sz w:val="16"/>
                <w:szCs w:val="16"/>
              </w:rPr>
            </w:pPr>
            <w:r w:rsidRPr="00CA345A">
              <w:rPr>
                <w:sz w:val="16"/>
                <w:szCs w:val="16"/>
              </w:rPr>
              <w:t>X</w:t>
            </w:r>
          </w:p>
        </w:tc>
        <w:tc>
          <w:tcPr>
            <w:tcW w:w="810" w:type="dxa"/>
            <w:tcMar>
              <w:left w:w="29" w:type="dxa"/>
              <w:right w:w="29" w:type="dxa"/>
            </w:tcMar>
            <w:vAlign w:val="center"/>
          </w:tcPr>
          <w:p w14:paraId="431408C3" w14:textId="77777777" w:rsidR="002A70A9" w:rsidRPr="00CA345A" w:rsidRDefault="002A70A9" w:rsidP="00D31DFD">
            <w:pPr>
              <w:pStyle w:val="JCETabletext"/>
              <w:jc w:val="center"/>
              <w:rPr>
                <w:sz w:val="16"/>
                <w:szCs w:val="16"/>
              </w:rPr>
            </w:pPr>
          </w:p>
        </w:tc>
      </w:tr>
      <w:tr w:rsidR="00CA345A" w:rsidRPr="00CA345A" w14:paraId="44208FC6" w14:textId="77777777" w:rsidTr="00D31DFD">
        <w:tc>
          <w:tcPr>
            <w:tcW w:w="13680" w:type="dxa"/>
            <w:gridSpan w:val="14"/>
            <w:tcBorders>
              <w:bottom w:val="single" w:sz="4" w:space="0" w:color="auto"/>
            </w:tcBorders>
            <w:tcMar>
              <w:right w:w="29" w:type="dxa"/>
            </w:tcMar>
          </w:tcPr>
          <w:p w14:paraId="26FC9D05" w14:textId="77777777" w:rsidR="002A70A9" w:rsidRPr="00CA345A" w:rsidRDefault="002A70A9" w:rsidP="005D3E05">
            <w:pPr>
              <w:pStyle w:val="JCETabletext"/>
              <w:rPr>
                <w:sz w:val="16"/>
                <w:szCs w:val="16"/>
              </w:rPr>
            </w:pPr>
            <w:r w:rsidRPr="00CA345A">
              <w:rPr>
                <w:i/>
                <w:iCs/>
                <w:sz w:val="16"/>
                <w:szCs w:val="16"/>
                <w:vertAlign w:val="superscript"/>
              </w:rPr>
              <w:t>a</w:t>
            </w:r>
            <w:r w:rsidRPr="00CA345A">
              <w:rPr>
                <w:sz w:val="16"/>
                <w:szCs w:val="16"/>
              </w:rPr>
              <w:t xml:space="preserve">Further details relating to the exact requirements of each station are given in Table </w:t>
            </w:r>
            <w:r w:rsidR="00352432" w:rsidRPr="00CA345A">
              <w:rPr>
                <w:sz w:val="16"/>
                <w:szCs w:val="16"/>
              </w:rPr>
              <w:t>S</w:t>
            </w:r>
            <w:r w:rsidR="00352432">
              <w:rPr>
                <w:sz w:val="16"/>
                <w:szCs w:val="16"/>
              </w:rPr>
              <w:t>3</w:t>
            </w:r>
            <w:r w:rsidR="00352432" w:rsidRPr="00CA345A">
              <w:rPr>
                <w:sz w:val="16"/>
                <w:szCs w:val="16"/>
              </w:rPr>
              <w:t xml:space="preserve"> </w:t>
            </w:r>
            <w:r w:rsidRPr="00CA345A">
              <w:rPr>
                <w:sz w:val="16"/>
                <w:szCs w:val="16"/>
              </w:rPr>
              <w:t xml:space="preserve">in the Supporting Information. </w:t>
            </w:r>
            <w:r w:rsidRPr="00CA345A">
              <w:rPr>
                <w:i/>
                <w:iCs/>
                <w:sz w:val="16"/>
                <w:szCs w:val="16"/>
                <w:vertAlign w:val="superscript"/>
              </w:rPr>
              <w:t>b</w:t>
            </w:r>
            <w:r w:rsidRPr="00CA345A">
              <w:rPr>
                <w:sz w:val="16"/>
                <w:szCs w:val="16"/>
              </w:rPr>
              <w:t>UV–</w:t>
            </w:r>
            <w:r w:rsidR="00FA799A">
              <w:rPr>
                <w:sz w:val="16"/>
                <w:szCs w:val="16"/>
              </w:rPr>
              <w:t>V</w:t>
            </w:r>
            <w:r w:rsidR="00FA799A" w:rsidRPr="00CA345A">
              <w:rPr>
                <w:sz w:val="16"/>
                <w:szCs w:val="16"/>
              </w:rPr>
              <w:t>is</w:t>
            </w:r>
            <w:r w:rsidRPr="00CA345A">
              <w:rPr>
                <w:sz w:val="16"/>
                <w:szCs w:val="16"/>
              </w:rPr>
              <w:t xml:space="preserve">: ultraviolet–visible. </w:t>
            </w:r>
            <w:r w:rsidRPr="00CA345A">
              <w:rPr>
                <w:i/>
                <w:iCs/>
                <w:sz w:val="16"/>
                <w:szCs w:val="16"/>
                <w:vertAlign w:val="superscript"/>
              </w:rPr>
              <w:t>c</w:t>
            </w:r>
            <w:r w:rsidRPr="00CA345A">
              <w:rPr>
                <w:sz w:val="16"/>
                <w:szCs w:val="16"/>
              </w:rPr>
              <w:t xml:space="preserve">IR: Infrared. </w:t>
            </w:r>
            <w:r w:rsidRPr="00CA345A">
              <w:rPr>
                <w:i/>
                <w:iCs/>
                <w:sz w:val="16"/>
                <w:szCs w:val="16"/>
                <w:vertAlign w:val="superscript"/>
              </w:rPr>
              <w:t>d</w:t>
            </w:r>
            <w:r w:rsidRPr="00CA345A">
              <w:rPr>
                <w:sz w:val="16"/>
                <w:szCs w:val="16"/>
              </w:rPr>
              <w:t xml:space="preserve">NMR: Nuclear magnetic resonance. </w:t>
            </w:r>
            <w:r w:rsidRPr="00CA345A">
              <w:rPr>
                <w:i/>
                <w:iCs/>
                <w:sz w:val="16"/>
                <w:szCs w:val="16"/>
                <w:vertAlign w:val="superscript"/>
              </w:rPr>
              <w:t>e</w:t>
            </w:r>
            <w:r w:rsidRPr="00CA345A">
              <w:rPr>
                <w:sz w:val="16"/>
                <w:szCs w:val="16"/>
              </w:rPr>
              <w:t>COSHH: Control of</w:t>
            </w:r>
            <w:r w:rsidR="00CA345A" w:rsidRPr="00CA345A">
              <w:rPr>
                <w:sz w:val="16"/>
                <w:szCs w:val="16"/>
              </w:rPr>
              <w:t xml:space="preserve"> substances hazardous to health (Risk Assessment)</w:t>
            </w:r>
            <w:r w:rsidRPr="00CA345A">
              <w:rPr>
                <w:sz w:val="16"/>
                <w:szCs w:val="16"/>
              </w:rPr>
              <w:t xml:space="preserve"> </w:t>
            </w:r>
            <w:r w:rsidRPr="00CA345A">
              <w:rPr>
                <w:i/>
                <w:iCs/>
                <w:sz w:val="16"/>
                <w:szCs w:val="16"/>
                <w:vertAlign w:val="superscript"/>
              </w:rPr>
              <w:t>f</w:t>
            </w:r>
            <w:r w:rsidRPr="00CA345A">
              <w:rPr>
                <w:sz w:val="16"/>
                <w:szCs w:val="16"/>
              </w:rPr>
              <w:t>TLC: Thin-layer chromatography.</w:t>
            </w:r>
          </w:p>
        </w:tc>
      </w:tr>
    </w:tbl>
    <w:p w14:paraId="3038794B" w14:textId="77777777" w:rsidR="002A70A9" w:rsidRDefault="002A70A9" w:rsidP="000A26D5">
      <w:pPr>
        <w:spacing w:line="480" w:lineRule="auto"/>
        <w:ind w:firstLine="284"/>
        <w:rPr>
          <w:rFonts w:ascii="Bookman Old Style" w:hAnsi="Bookman Old Style" w:cstheme="minorHAnsi"/>
          <w:sz w:val="20"/>
          <w:szCs w:val="20"/>
        </w:rPr>
        <w:sectPr w:rsidR="002A70A9" w:rsidSect="002A70A9">
          <w:pgSz w:w="15840" w:h="12240" w:orient="landscape"/>
          <w:pgMar w:top="1080" w:right="1440" w:bottom="1080" w:left="1440" w:header="720" w:footer="720" w:gutter="0"/>
          <w:lnNumType w:countBy="5" w:restart="continuous"/>
          <w:cols w:space="720"/>
          <w:docGrid w:linePitch="326"/>
        </w:sectPr>
      </w:pPr>
    </w:p>
    <w:p w14:paraId="01920E56" w14:textId="77777777" w:rsidR="000674A1" w:rsidRPr="004C4A67" w:rsidRDefault="000A26D5" w:rsidP="000A26D5">
      <w:pPr>
        <w:spacing w:line="480" w:lineRule="auto"/>
        <w:ind w:firstLine="284"/>
        <w:rPr>
          <w:rFonts w:ascii="Bookman Old Style" w:hAnsi="Bookman Old Style" w:cstheme="minorHAnsi"/>
          <w:sz w:val="20"/>
          <w:szCs w:val="20"/>
        </w:rPr>
      </w:pPr>
      <w:r w:rsidRPr="004C4A67">
        <w:rPr>
          <w:rFonts w:ascii="Bookman Old Style" w:hAnsi="Bookman Old Style" w:cstheme="minorHAnsi"/>
          <w:sz w:val="20"/>
          <w:szCs w:val="20"/>
        </w:rPr>
        <w:lastRenderedPageBreak/>
        <w:t xml:space="preserve">We have identified key practical chemistry skills that we perceive that undergraduate students should acquire </w:t>
      </w:r>
      <w:r w:rsidR="004D0ED8" w:rsidRPr="004C4A67">
        <w:rPr>
          <w:rFonts w:ascii="Bookman Old Style" w:hAnsi="Bookman Old Style" w:cstheme="minorHAnsi"/>
          <w:sz w:val="20"/>
          <w:szCs w:val="20"/>
        </w:rPr>
        <w:t xml:space="preserve">in the first year of their </w:t>
      </w:r>
      <w:r w:rsidRPr="004C4A67">
        <w:rPr>
          <w:rFonts w:ascii="Bookman Old Style" w:hAnsi="Bookman Old Style" w:cstheme="minorHAnsi"/>
          <w:sz w:val="20"/>
          <w:szCs w:val="20"/>
        </w:rPr>
        <w:t xml:space="preserve">chemistry degrees and have designed practical exam stations that directly assess of a selection of these skills (Table </w:t>
      </w:r>
      <w:r w:rsidR="006A1F0E">
        <w:rPr>
          <w:rFonts w:ascii="Bookman Old Style" w:hAnsi="Bookman Old Style" w:cstheme="minorHAnsi"/>
          <w:sz w:val="20"/>
          <w:szCs w:val="20"/>
        </w:rPr>
        <w:t>1</w:t>
      </w:r>
      <w:r w:rsidRPr="004C4A67">
        <w:rPr>
          <w:rFonts w:ascii="Bookman Old Style" w:hAnsi="Bookman Old Style" w:cstheme="minorHAnsi"/>
          <w:sz w:val="20"/>
          <w:szCs w:val="20"/>
        </w:rPr>
        <w:t>). These skills were identified by examining the techniques already used in our chemistry laboratory classes and through numerous discussions with colleagues, especially those teaching at higher levels of the degree course. Laboratory classes sat by students in their first semester at Keele now focus primarily on practical skills, many of which are backed up by theory covered in the lecture courses (for example, spectroscopy)</w:t>
      </w:r>
      <w:r w:rsidR="00453639" w:rsidRPr="004C4A67">
        <w:rPr>
          <w:rFonts w:ascii="Bookman Old Style" w:hAnsi="Bookman Old Style" w:cstheme="minorHAnsi"/>
          <w:sz w:val="20"/>
          <w:szCs w:val="20"/>
        </w:rPr>
        <w:t>,</w:t>
      </w:r>
      <w:r w:rsidRPr="004C4A67">
        <w:rPr>
          <w:rFonts w:ascii="Bookman Old Style" w:hAnsi="Bookman Old Style" w:cstheme="minorHAnsi"/>
          <w:sz w:val="20"/>
          <w:szCs w:val="20"/>
        </w:rPr>
        <w:t xml:space="preserve"> to reduce cognitive load and promote skills retention. The experiments have been designed</w:t>
      </w:r>
      <w:r w:rsidR="004D0ED8" w:rsidRPr="004C4A67">
        <w:rPr>
          <w:rFonts w:ascii="Bookman Old Style" w:hAnsi="Bookman Old Style" w:cstheme="minorHAnsi"/>
          <w:sz w:val="20"/>
          <w:szCs w:val="20"/>
        </w:rPr>
        <w:t xml:space="preserve"> to allow</w:t>
      </w:r>
      <w:r w:rsidR="00453639"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 xml:space="preserve">opportunity to learn and practice the key skills identified in Table </w:t>
      </w:r>
      <w:r w:rsidR="006A1F0E">
        <w:rPr>
          <w:rFonts w:ascii="Bookman Old Style" w:hAnsi="Bookman Old Style" w:cstheme="minorHAnsi"/>
          <w:sz w:val="20"/>
          <w:szCs w:val="20"/>
        </w:rPr>
        <w:t>1</w:t>
      </w:r>
      <w:r w:rsidR="004D0ED8" w:rsidRPr="004C4A67">
        <w:rPr>
          <w:rFonts w:ascii="Bookman Old Style" w:hAnsi="Bookman Old Style" w:cstheme="minorHAnsi"/>
          <w:sz w:val="20"/>
          <w:szCs w:val="20"/>
        </w:rPr>
        <w:t xml:space="preserve"> (See Supporting information, Table S2</w:t>
      </w:r>
      <w:r w:rsidRPr="004C4A67">
        <w:rPr>
          <w:rFonts w:ascii="Bookman Old Style" w:hAnsi="Bookman Old Style" w:cstheme="minorHAnsi"/>
          <w:sz w:val="20"/>
          <w:szCs w:val="20"/>
        </w:rPr>
        <w:t>) before the practical exam takes place. Redesign of the laboratory course and introduction of the practical exam have ensured the intended learning outcomes, teaching and learning activities</w:t>
      </w:r>
      <w:r w:rsidR="00FA799A">
        <w:rPr>
          <w:rFonts w:ascii="Bookman Old Style" w:hAnsi="Bookman Old Style" w:cstheme="minorHAnsi"/>
          <w:sz w:val="20"/>
          <w:szCs w:val="20"/>
        </w:rPr>
        <w:t>,</w:t>
      </w:r>
      <w:r w:rsidRPr="004C4A67">
        <w:rPr>
          <w:rFonts w:ascii="Bookman Old Style" w:hAnsi="Bookman Old Style" w:cstheme="minorHAnsi"/>
          <w:sz w:val="20"/>
          <w:szCs w:val="20"/>
        </w:rPr>
        <w:t xml:space="preserve"> and assessment </w:t>
      </w:r>
      <w:r w:rsidR="00FA799A">
        <w:rPr>
          <w:rFonts w:ascii="Bookman Old Style" w:hAnsi="Bookman Old Style" w:cstheme="minorHAnsi"/>
          <w:sz w:val="20"/>
          <w:szCs w:val="20"/>
        </w:rPr>
        <w:t>are all</w:t>
      </w:r>
      <w:r w:rsidR="00FA799A"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appropriately aligned.</w:t>
      </w:r>
    </w:p>
    <w:p w14:paraId="5B3CB5C8" w14:textId="77777777" w:rsidR="000674A1" w:rsidRPr="004C4A67" w:rsidRDefault="000674A1" w:rsidP="000674A1">
      <w:pPr>
        <w:pStyle w:val="JCEH1"/>
        <w:spacing w:before="180"/>
      </w:pPr>
      <w:r w:rsidRPr="004C4A67">
        <w:t>PRACTICAL EXAM DE</w:t>
      </w:r>
      <w:r w:rsidR="00176AFC" w:rsidRPr="004C4A67">
        <w:t>SIGN</w:t>
      </w:r>
    </w:p>
    <w:p w14:paraId="4316B0DE" w14:textId="77777777" w:rsidR="000674A1" w:rsidRPr="004C4A67" w:rsidRDefault="000674A1" w:rsidP="000674A1">
      <w:pPr>
        <w:pStyle w:val="JCEbodytext"/>
      </w:pPr>
    </w:p>
    <w:p w14:paraId="588C1993" w14:textId="77777777" w:rsidR="000674A1" w:rsidRPr="004C4A67" w:rsidRDefault="000840D5" w:rsidP="000674A1">
      <w:pPr>
        <w:spacing w:line="480" w:lineRule="auto"/>
        <w:jc w:val="both"/>
        <w:rPr>
          <w:rFonts w:ascii="Bookman Old Style" w:hAnsi="Bookman Old Style" w:cstheme="minorHAnsi"/>
          <w:sz w:val="20"/>
          <w:szCs w:val="20"/>
        </w:rPr>
      </w:pPr>
      <w:r w:rsidRPr="004C4A67">
        <w:rPr>
          <w:rFonts w:ascii="Bookman Old Style" w:hAnsi="Bookman Old Style" w:cstheme="minorHAnsi"/>
          <w:sz w:val="20"/>
          <w:szCs w:val="20"/>
        </w:rPr>
        <w:t>The</w:t>
      </w:r>
      <w:r w:rsidR="005D41B0" w:rsidRPr="004C4A67">
        <w:rPr>
          <w:rFonts w:ascii="Bookman Old Style" w:hAnsi="Bookman Old Style" w:cstheme="minorHAnsi"/>
          <w:sz w:val="20"/>
          <w:szCs w:val="20"/>
        </w:rPr>
        <w:t xml:space="preserve"> </w:t>
      </w:r>
      <w:r w:rsidR="00E333B5" w:rsidRPr="004C4A67">
        <w:rPr>
          <w:rFonts w:ascii="Bookman Old Style" w:hAnsi="Bookman Old Style" w:cstheme="minorHAnsi"/>
          <w:sz w:val="20"/>
          <w:szCs w:val="20"/>
        </w:rPr>
        <w:t>u</w:t>
      </w:r>
      <w:r w:rsidRPr="004C4A67">
        <w:rPr>
          <w:rFonts w:ascii="Bookman Old Style" w:hAnsi="Bookman Old Style" w:cstheme="minorHAnsi"/>
          <w:sz w:val="20"/>
          <w:szCs w:val="20"/>
        </w:rPr>
        <w:t xml:space="preserve">ndergraduate practical exam runs </w:t>
      </w:r>
      <w:r w:rsidR="00E333B5" w:rsidRPr="004C4A67">
        <w:rPr>
          <w:rFonts w:ascii="Bookman Old Style" w:hAnsi="Bookman Old Style" w:cstheme="minorHAnsi"/>
          <w:sz w:val="20"/>
          <w:szCs w:val="20"/>
        </w:rPr>
        <w:t>at the end of</w:t>
      </w:r>
      <w:r w:rsidRPr="004C4A67">
        <w:rPr>
          <w:rFonts w:ascii="Bookman Old Style" w:hAnsi="Bookman Old Style" w:cstheme="minorHAnsi"/>
          <w:sz w:val="20"/>
          <w:szCs w:val="20"/>
        </w:rPr>
        <w:t xml:space="preserve"> semester 1</w:t>
      </w:r>
      <w:r w:rsidR="005D41B0" w:rsidRPr="004C4A67">
        <w:rPr>
          <w:rFonts w:ascii="Bookman Old Style" w:hAnsi="Bookman Old Style" w:cstheme="minorHAnsi"/>
          <w:sz w:val="20"/>
          <w:szCs w:val="20"/>
        </w:rPr>
        <w:t xml:space="preserve"> for students in the first year of their chemistry or medici</w:t>
      </w:r>
      <w:r w:rsidR="00AA4A39" w:rsidRPr="004C4A67">
        <w:rPr>
          <w:rFonts w:ascii="Bookman Old Style" w:hAnsi="Bookman Old Style" w:cstheme="minorHAnsi"/>
          <w:sz w:val="20"/>
          <w:szCs w:val="20"/>
        </w:rPr>
        <w:t xml:space="preserve">nal chemistry degree programme </w:t>
      </w:r>
      <w:r w:rsidR="00FA799A">
        <w:rPr>
          <w:rFonts w:ascii="Bookman Old Style" w:hAnsi="Bookman Old Style" w:cstheme="minorHAnsi"/>
          <w:sz w:val="20"/>
          <w:szCs w:val="20"/>
        </w:rPr>
        <w:t>at Keele, UK</w:t>
      </w:r>
      <w:r w:rsidR="00AA4A39" w:rsidRPr="004C4A67">
        <w:rPr>
          <w:rFonts w:ascii="Bookman Old Style" w:hAnsi="Bookman Old Style" w:cstheme="minorHAnsi"/>
          <w:sz w:val="20"/>
          <w:szCs w:val="20"/>
        </w:rPr>
        <w:t xml:space="preserve"> (equivalent to freshman year in the US)</w:t>
      </w:r>
      <w:r w:rsidR="005D41B0" w:rsidRPr="004C4A67">
        <w:rPr>
          <w:rFonts w:ascii="Bookman Old Style" w:hAnsi="Bookman Old Style" w:cstheme="minorHAnsi"/>
          <w:sz w:val="20"/>
          <w:szCs w:val="20"/>
        </w:rPr>
        <w:t>. Students may either be studying single honours chemistry or completing a combined honours degree programme</w:t>
      </w:r>
      <w:r w:rsidR="00453639" w:rsidRPr="004C4A67">
        <w:rPr>
          <w:rFonts w:ascii="Bookman Old Style" w:hAnsi="Bookman Old Style" w:cstheme="minorHAnsi"/>
          <w:sz w:val="20"/>
          <w:szCs w:val="20"/>
        </w:rPr>
        <w:t xml:space="preserve">, which </w:t>
      </w:r>
      <w:r w:rsidR="005D41B0" w:rsidRPr="004C4A67">
        <w:rPr>
          <w:rFonts w:ascii="Bookman Old Style" w:hAnsi="Bookman Old Style" w:cstheme="minorHAnsi"/>
          <w:sz w:val="20"/>
          <w:szCs w:val="20"/>
        </w:rPr>
        <w:t>in</w:t>
      </w:r>
      <w:r w:rsidR="00453639" w:rsidRPr="004C4A67">
        <w:rPr>
          <w:rFonts w:ascii="Bookman Old Style" w:hAnsi="Bookman Old Style" w:cstheme="minorHAnsi"/>
          <w:sz w:val="20"/>
          <w:szCs w:val="20"/>
        </w:rPr>
        <w:t xml:space="preserve"> the</w:t>
      </w:r>
      <w:r w:rsidR="005D41B0" w:rsidRPr="004C4A67">
        <w:rPr>
          <w:rFonts w:ascii="Bookman Old Style" w:hAnsi="Bookman Old Style" w:cstheme="minorHAnsi"/>
          <w:sz w:val="20"/>
          <w:szCs w:val="20"/>
        </w:rPr>
        <w:t xml:space="preserve"> first year equates to 50% chemistry and 50% a different subject.</w:t>
      </w:r>
      <w:r w:rsidRPr="004C4A67">
        <w:rPr>
          <w:rFonts w:ascii="Bookman Old Style" w:hAnsi="Bookman Old Style" w:cstheme="minorHAnsi"/>
          <w:sz w:val="20"/>
          <w:szCs w:val="20"/>
        </w:rPr>
        <w:t xml:space="preserve"> </w:t>
      </w:r>
      <w:r w:rsidR="000674A1" w:rsidRPr="004C4A67">
        <w:rPr>
          <w:rFonts w:ascii="Bookman Old Style" w:hAnsi="Bookman Old Style" w:cstheme="minorHAnsi"/>
          <w:sz w:val="20"/>
          <w:szCs w:val="20"/>
        </w:rPr>
        <w:t xml:space="preserve">Figure 1 outlines the basic form of the two primary versions of practical exam that have been in place since 2012. </w:t>
      </w:r>
      <w:r w:rsidR="000674A1" w:rsidRPr="004C4A67">
        <w:rPr>
          <w:rFonts w:ascii="Bookman Old Style" w:hAnsi="Bookman Old Style" w:cstheme="minorHAnsi"/>
          <w:b/>
          <w:sz w:val="20"/>
          <w:szCs w:val="20"/>
        </w:rPr>
        <w:t>Version 1</w:t>
      </w:r>
      <w:r w:rsidRPr="004C4A67">
        <w:rPr>
          <w:rFonts w:ascii="Bookman Old Style" w:hAnsi="Bookman Old Style" w:cstheme="minorHAnsi"/>
          <w:b/>
          <w:sz w:val="20"/>
          <w:szCs w:val="20"/>
        </w:rPr>
        <w:t xml:space="preserve"> (V1)</w:t>
      </w:r>
      <w:r w:rsidR="000674A1" w:rsidRPr="004C4A67">
        <w:rPr>
          <w:rFonts w:ascii="Bookman Old Style" w:hAnsi="Bookman Old Style" w:cstheme="minorHAnsi"/>
          <w:sz w:val="20"/>
          <w:szCs w:val="20"/>
        </w:rPr>
        <w:t xml:space="preserve"> of the practical exam ran 2012</w:t>
      </w:r>
      <w:r w:rsidR="00FA799A">
        <w:rPr>
          <w:rFonts w:ascii="Bookman Old Style" w:hAnsi="Bookman Old Style" w:cstheme="minorHAnsi"/>
          <w:sz w:val="20"/>
          <w:szCs w:val="20"/>
        </w:rPr>
        <w:t>/</w:t>
      </w:r>
      <w:r w:rsidR="000674A1" w:rsidRPr="004C4A67">
        <w:rPr>
          <w:rFonts w:ascii="Bookman Old Style" w:hAnsi="Bookman Old Style" w:cstheme="minorHAnsi"/>
          <w:sz w:val="20"/>
          <w:szCs w:val="20"/>
        </w:rPr>
        <w:t>13 – 201</w:t>
      </w:r>
      <w:r w:rsidR="00BA2479" w:rsidRPr="004C4A67">
        <w:rPr>
          <w:rFonts w:ascii="Bookman Old Style" w:hAnsi="Bookman Old Style" w:cstheme="minorHAnsi"/>
          <w:sz w:val="20"/>
          <w:szCs w:val="20"/>
        </w:rPr>
        <w:t>4</w:t>
      </w:r>
      <w:r w:rsidR="000674A1" w:rsidRPr="004C4A67">
        <w:rPr>
          <w:rFonts w:ascii="Bookman Old Style" w:hAnsi="Bookman Old Style" w:cstheme="minorHAnsi"/>
          <w:sz w:val="20"/>
          <w:szCs w:val="20"/>
        </w:rPr>
        <w:t>/1</w:t>
      </w:r>
      <w:r w:rsidR="00BA2479" w:rsidRPr="004C4A67">
        <w:rPr>
          <w:rFonts w:ascii="Bookman Old Style" w:hAnsi="Bookman Old Style" w:cstheme="minorHAnsi"/>
          <w:sz w:val="20"/>
          <w:szCs w:val="20"/>
        </w:rPr>
        <w:t>5</w:t>
      </w:r>
      <w:r w:rsidR="000674A1" w:rsidRPr="004C4A67">
        <w:rPr>
          <w:rFonts w:ascii="Bookman Old Style" w:hAnsi="Bookman Old Style" w:cstheme="minorHAnsi"/>
          <w:sz w:val="20"/>
          <w:szCs w:val="20"/>
        </w:rPr>
        <w:t xml:space="preserve"> with a typical cohort of less than 80 students</w:t>
      </w:r>
      <w:r w:rsidR="001236A0">
        <w:rPr>
          <w:rFonts w:ascii="Bookman Old Style" w:hAnsi="Bookman Old Style" w:cstheme="minorHAnsi"/>
          <w:sz w:val="20"/>
          <w:szCs w:val="20"/>
        </w:rPr>
        <w:t>.</w:t>
      </w:r>
      <w:r w:rsidR="000674A1" w:rsidRPr="004C4A67">
        <w:rPr>
          <w:rFonts w:ascii="Bookman Old Style" w:hAnsi="Bookman Old Style" w:cstheme="minorHAnsi"/>
          <w:sz w:val="20"/>
          <w:szCs w:val="20"/>
        </w:rPr>
        <w:t xml:space="preserve"> </w:t>
      </w:r>
      <w:r w:rsidR="001236A0">
        <w:rPr>
          <w:rFonts w:ascii="Bookman Old Style" w:hAnsi="Bookman Old Style" w:cstheme="minorHAnsi"/>
          <w:sz w:val="20"/>
          <w:szCs w:val="20"/>
        </w:rPr>
        <w:t>It</w:t>
      </w:r>
      <w:r w:rsidR="001236A0" w:rsidRPr="004C4A67">
        <w:rPr>
          <w:rFonts w:ascii="Bookman Old Style" w:hAnsi="Bookman Old Style" w:cstheme="minorHAnsi"/>
          <w:sz w:val="20"/>
          <w:szCs w:val="20"/>
        </w:rPr>
        <w:t xml:space="preserve"> </w:t>
      </w:r>
      <w:r w:rsidR="000674A1" w:rsidRPr="004C4A67">
        <w:rPr>
          <w:rFonts w:ascii="Bookman Old Style" w:hAnsi="Bookman Old Style" w:cstheme="minorHAnsi"/>
          <w:sz w:val="20"/>
          <w:szCs w:val="20"/>
        </w:rPr>
        <w:t xml:space="preserve">included 5 sequentially assessed stations, each lasting 22 min and examining one or more key practical skills. The total time of 22 min </w:t>
      </w:r>
      <w:r w:rsidR="00E333B5" w:rsidRPr="004C4A67">
        <w:rPr>
          <w:rFonts w:ascii="Bookman Old Style" w:hAnsi="Bookman Old Style" w:cstheme="minorHAnsi"/>
          <w:sz w:val="20"/>
          <w:szCs w:val="20"/>
        </w:rPr>
        <w:t xml:space="preserve">includes </w:t>
      </w:r>
      <w:r w:rsidR="000674A1" w:rsidRPr="004C4A67">
        <w:rPr>
          <w:rFonts w:ascii="Bookman Old Style" w:hAnsi="Bookman Old Style" w:cstheme="minorHAnsi"/>
          <w:sz w:val="20"/>
          <w:szCs w:val="20"/>
        </w:rPr>
        <w:t xml:space="preserve">an initial 2 min for reading the </w:t>
      </w:r>
      <w:r w:rsidR="00E333B5" w:rsidRPr="004C4A67">
        <w:rPr>
          <w:rFonts w:ascii="Bookman Old Style" w:hAnsi="Bookman Old Style" w:cstheme="minorHAnsi"/>
          <w:sz w:val="20"/>
          <w:szCs w:val="20"/>
        </w:rPr>
        <w:t xml:space="preserve">COSHH assessment and </w:t>
      </w:r>
      <w:r w:rsidR="000674A1" w:rsidRPr="004C4A67">
        <w:rPr>
          <w:rFonts w:ascii="Bookman Old Style" w:hAnsi="Bookman Old Style" w:cstheme="minorHAnsi"/>
          <w:sz w:val="20"/>
          <w:szCs w:val="20"/>
        </w:rPr>
        <w:t>script (for example script</w:t>
      </w:r>
      <w:r w:rsidR="00BA2479" w:rsidRPr="004C4A67">
        <w:rPr>
          <w:rFonts w:ascii="Bookman Old Style" w:hAnsi="Bookman Old Style" w:cstheme="minorHAnsi"/>
          <w:sz w:val="20"/>
          <w:szCs w:val="20"/>
        </w:rPr>
        <w:t>s</w:t>
      </w:r>
      <w:r w:rsidR="000674A1" w:rsidRPr="004C4A67">
        <w:rPr>
          <w:rFonts w:ascii="Bookman Old Style" w:hAnsi="Bookman Old Style" w:cstheme="minorHAnsi"/>
          <w:sz w:val="20"/>
          <w:szCs w:val="20"/>
        </w:rPr>
        <w:t>, see Supporting Information Figure S</w:t>
      </w:r>
      <w:r w:rsidR="00BA2479" w:rsidRPr="004C4A67">
        <w:rPr>
          <w:rFonts w:ascii="Bookman Old Style" w:hAnsi="Bookman Old Style" w:cstheme="minorHAnsi"/>
          <w:sz w:val="20"/>
          <w:szCs w:val="20"/>
        </w:rPr>
        <w:t>1</w:t>
      </w:r>
      <w:r w:rsidR="000674A1" w:rsidRPr="004C4A67">
        <w:rPr>
          <w:rFonts w:ascii="Bookman Old Style" w:hAnsi="Bookman Old Style" w:cstheme="minorHAnsi"/>
          <w:sz w:val="20"/>
          <w:szCs w:val="20"/>
        </w:rPr>
        <w:t>), and 20 min to complete the task. Typically, 20 - 30 students were assessed per exam, so by varying the starting station for an individual</w:t>
      </w:r>
      <w:r w:rsidR="00BA2479" w:rsidRPr="004C4A67">
        <w:rPr>
          <w:rFonts w:ascii="Bookman Old Style" w:hAnsi="Bookman Old Style" w:cstheme="minorHAnsi"/>
          <w:sz w:val="20"/>
          <w:szCs w:val="20"/>
        </w:rPr>
        <w:t>,</w:t>
      </w:r>
      <w:r w:rsidR="000674A1" w:rsidRPr="004C4A67">
        <w:rPr>
          <w:rFonts w:ascii="Bookman Old Style" w:hAnsi="Bookman Old Style" w:cstheme="minorHAnsi"/>
          <w:sz w:val="20"/>
          <w:szCs w:val="20"/>
        </w:rPr>
        <w:t xml:space="preserve"> 4 - 6 students </w:t>
      </w:r>
      <w:r w:rsidR="003411C2" w:rsidRPr="004C4A67">
        <w:rPr>
          <w:rFonts w:ascii="Bookman Old Style" w:hAnsi="Bookman Old Style" w:cstheme="minorHAnsi"/>
          <w:sz w:val="20"/>
          <w:szCs w:val="20"/>
        </w:rPr>
        <w:t xml:space="preserve">occupied </w:t>
      </w:r>
      <w:r w:rsidR="000674A1" w:rsidRPr="004C4A67">
        <w:rPr>
          <w:rFonts w:ascii="Bookman Old Style" w:hAnsi="Bookman Old Style" w:cstheme="minorHAnsi"/>
          <w:sz w:val="20"/>
          <w:szCs w:val="20"/>
        </w:rPr>
        <w:t xml:space="preserve">each station </w:t>
      </w:r>
      <w:r w:rsidR="00BA2479" w:rsidRPr="004C4A67">
        <w:rPr>
          <w:rFonts w:ascii="Bookman Old Style" w:hAnsi="Bookman Old Style" w:cstheme="minorHAnsi"/>
          <w:sz w:val="20"/>
          <w:szCs w:val="20"/>
        </w:rPr>
        <w:t>simultaneously</w:t>
      </w:r>
      <w:r w:rsidR="000674A1" w:rsidRPr="004C4A67">
        <w:rPr>
          <w:rFonts w:ascii="Bookman Old Style" w:hAnsi="Bookman Old Style" w:cstheme="minorHAnsi"/>
          <w:sz w:val="20"/>
          <w:szCs w:val="20"/>
        </w:rPr>
        <w:t>. In total, including the pre-exam briefing, station reset time and time required for movement between stations, the exam lasted a little over 2 hours and as such fitted into our 3 hour laboratory slots. The exams included a combination of station types</w:t>
      </w:r>
      <w:r w:rsidR="00BA2479" w:rsidRPr="004C4A67">
        <w:rPr>
          <w:rFonts w:ascii="Bookman Old Style" w:hAnsi="Bookman Old Style" w:cstheme="minorHAnsi"/>
          <w:sz w:val="20"/>
          <w:szCs w:val="20"/>
        </w:rPr>
        <w:t>, assessing a range of skills and intended learning outcomes</w:t>
      </w:r>
      <w:r w:rsidR="000674A1" w:rsidRPr="004C4A67">
        <w:rPr>
          <w:rFonts w:ascii="Bookman Old Style" w:hAnsi="Bookman Old Style" w:cstheme="minorHAnsi"/>
          <w:sz w:val="20"/>
          <w:szCs w:val="20"/>
        </w:rPr>
        <w:t xml:space="preserve"> as outlined in </w:t>
      </w:r>
      <w:r w:rsidR="00E333B5" w:rsidRPr="004C4A67">
        <w:rPr>
          <w:rFonts w:ascii="Bookman Old Style" w:hAnsi="Bookman Old Style" w:cstheme="minorHAnsi"/>
          <w:sz w:val="20"/>
          <w:szCs w:val="20"/>
        </w:rPr>
        <w:t xml:space="preserve">Supporting Information </w:t>
      </w:r>
      <w:r w:rsidR="000674A1" w:rsidRPr="004C4A67">
        <w:rPr>
          <w:rFonts w:ascii="Bookman Old Style" w:hAnsi="Bookman Old Style" w:cstheme="minorHAnsi"/>
          <w:sz w:val="20"/>
          <w:szCs w:val="20"/>
        </w:rPr>
        <w:t xml:space="preserve">Table </w:t>
      </w:r>
      <w:r w:rsidR="00BA2479" w:rsidRPr="004C4A67">
        <w:rPr>
          <w:rFonts w:ascii="Bookman Old Style" w:hAnsi="Bookman Old Style" w:cstheme="minorHAnsi"/>
          <w:sz w:val="20"/>
          <w:szCs w:val="20"/>
        </w:rPr>
        <w:t>S</w:t>
      </w:r>
      <w:r w:rsidR="00EC5BC9">
        <w:rPr>
          <w:rFonts w:ascii="Bookman Old Style" w:hAnsi="Bookman Old Style" w:cstheme="minorHAnsi"/>
          <w:sz w:val="20"/>
          <w:szCs w:val="20"/>
        </w:rPr>
        <w:t>3</w:t>
      </w:r>
      <w:r w:rsidR="00E333B5" w:rsidRPr="004C4A67">
        <w:rPr>
          <w:rFonts w:ascii="Bookman Old Style" w:hAnsi="Bookman Old Style" w:cstheme="minorHAnsi"/>
          <w:sz w:val="20"/>
          <w:szCs w:val="20"/>
        </w:rPr>
        <w:t>. D</w:t>
      </w:r>
      <w:r w:rsidR="000674A1" w:rsidRPr="004C4A67">
        <w:rPr>
          <w:rFonts w:ascii="Bookman Old Style" w:hAnsi="Bookman Old Style" w:cstheme="minorHAnsi"/>
          <w:sz w:val="20"/>
          <w:szCs w:val="20"/>
        </w:rPr>
        <w:t>epending on the constituent stations, the required staff</w:t>
      </w:r>
      <w:r w:rsidR="001236A0">
        <w:rPr>
          <w:rFonts w:ascii="Bookman Old Style" w:hAnsi="Bookman Old Style" w:cstheme="minorHAnsi"/>
          <w:sz w:val="20"/>
          <w:szCs w:val="20"/>
        </w:rPr>
        <w:t>:</w:t>
      </w:r>
      <w:r w:rsidR="000674A1" w:rsidRPr="004C4A67">
        <w:rPr>
          <w:rFonts w:ascii="Bookman Old Style" w:hAnsi="Bookman Old Style" w:cstheme="minorHAnsi"/>
          <w:sz w:val="20"/>
          <w:szCs w:val="20"/>
        </w:rPr>
        <w:t>student ratio ranged between 1:5 and 1:4.</w:t>
      </w:r>
      <w:r w:rsidRPr="004C4A67">
        <w:rPr>
          <w:rFonts w:ascii="Bookman Old Style" w:hAnsi="Bookman Old Style" w:cstheme="minorHAnsi"/>
          <w:sz w:val="20"/>
          <w:szCs w:val="20"/>
        </w:rPr>
        <w:t xml:space="preserve"> Students have </w:t>
      </w:r>
      <w:r w:rsidR="00B07F5D" w:rsidRPr="004C4A67">
        <w:rPr>
          <w:rFonts w:ascii="Bookman Old Style" w:hAnsi="Bookman Old Style" w:cstheme="minorHAnsi"/>
          <w:sz w:val="20"/>
          <w:szCs w:val="20"/>
        </w:rPr>
        <w:t>ample</w:t>
      </w:r>
      <w:r w:rsidRPr="004C4A67">
        <w:rPr>
          <w:rFonts w:ascii="Bookman Old Style" w:hAnsi="Bookman Old Style" w:cstheme="minorHAnsi"/>
          <w:sz w:val="20"/>
          <w:szCs w:val="20"/>
        </w:rPr>
        <w:t xml:space="preserve"> opportunity throughout semester 1 to practice the assessed skills, as detailed in </w:t>
      </w:r>
      <w:r w:rsidR="00E333B5" w:rsidRPr="004C4A67">
        <w:rPr>
          <w:rFonts w:ascii="Bookman Old Style" w:hAnsi="Bookman Old Style" w:cstheme="minorHAnsi"/>
          <w:sz w:val="20"/>
          <w:szCs w:val="20"/>
        </w:rPr>
        <w:t xml:space="preserve">Supporting Information </w:t>
      </w:r>
      <w:r w:rsidRPr="004C4A67">
        <w:rPr>
          <w:rFonts w:ascii="Bookman Old Style" w:hAnsi="Bookman Old Style" w:cstheme="minorHAnsi"/>
          <w:sz w:val="20"/>
          <w:szCs w:val="20"/>
        </w:rPr>
        <w:t>Table S</w:t>
      </w:r>
      <w:r w:rsidR="00EC5BC9">
        <w:rPr>
          <w:rFonts w:ascii="Bookman Old Style" w:hAnsi="Bookman Old Style" w:cstheme="minorHAnsi"/>
          <w:sz w:val="20"/>
          <w:szCs w:val="20"/>
        </w:rPr>
        <w:t>2</w:t>
      </w:r>
      <w:r w:rsidRPr="004C4A67">
        <w:rPr>
          <w:rFonts w:ascii="Bookman Old Style" w:hAnsi="Bookman Old Style" w:cstheme="minorHAnsi"/>
          <w:sz w:val="20"/>
          <w:szCs w:val="20"/>
        </w:rPr>
        <w:t xml:space="preserve">. </w:t>
      </w:r>
    </w:p>
    <w:p w14:paraId="11BE0FF2" w14:textId="77777777" w:rsidR="000674A1" w:rsidRPr="004C4A67" w:rsidRDefault="000674A1" w:rsidP="000674A1">
      <w:pPr>
        <w:spacing w:line="480" w:lineRule="auto"/>
        <w:jc w:val="both"/>
        <w:rPr>
          <w:rFonts w:ascii="Bookman Old Style" w:hAnsi="Bookman Old Style" w:cstheme="minorHAnsi"/>
          <w:sz w:val="20"/>
          <w:szCs w:val="20"/>
        </w:rPr>
      </w:pPr>
      <w:r w:rsidRPr="004C4A67">
        <w:rPr>
          <w:rFonts w:ascii="Bookman Old Style" w:hAnsi="Bookman Old Style" w:cstheme="minorHAnsi"/>
          <w:b/>
          <w:sz w:val="20"/>
          <w:szCs w:val="20"/>
        </w:rPr>
        <w:t>Version 2</w:t>
      </w:r>
      <w:r w:rsidR="000840D5" w:rsidRPr="004C4A67">
        <w:rPr>
          <w:rFonts w:ascii="Bookman Old Style" w:hAnsi="Bookman Old Style" w:cstheme="minorHAnsi"/>
          <w:b/>
          <w:sz w:val="20"/>
          <w:szCs w:val="20"/>
        </w:rPr>
        <w:t xml:space="preserve"> (V2)</w:t>
      </w:r>
      <w:r w:rsidRPr="004C4A67">
        <w:rPr>
          <w:rFonts w:ascii="Bookman Old Style" w:hAnsi="Bookman Old Style" w:cstheme="minorHAnsi"/>
          <w:sz w:val="20"/>
          <w:szCs w:val="20"/>
        </w:rPr>
        <w:t xml:space="preserve"> of the practical exam has run at Keele since </w:t>
      </w:r>
      <w:r w:rsidR="00BA2479" w:rsidRPr="004C4A67">
        <w:rPr>
          <w:rFonts w:ascii="Bookman Old Style" w:hAnsi="Bookman Old Style" w:cstheme="minorHAnsi"/>
          <w:sz w:val="20"/>
          <w:szCs w:val="20"/>
        </w:rPr>
        <w:t>2015</w:t>
      </w:r>
      <w:r w:rsidR="001236A0">
        <w:rPr>
          <w:rFonts w:ascii="Bookman Old Style" w:hAnsi="Bookman Old Style" w:cstheme="minorHAnsi"/>
          <w:sz w:val="20"/>
          <w:szCs w:val="20"/>
        </w:rPr>
        <w:t>/</w:t>
      </w:r>
      <w:r w:rsidR="00BA2479" w:rsidRPr="004C4A67">
        <w:rPr>
          <w:rFonts w:ascii="Bookman Old Style" w:hAnsi="Bookman Old Style" w:cstheme="minorHAnsi"/>
          <w:sz w:val="20"/>
          <w:szCs w:val="20"/>
        </w:rPr>
        <w:t>16</w:t>
      </w:r>
      <w:r w:rsidRPr="004C4A67">
        <w:rPr>
          <w:rFonts w:ascii="Bookman Old Style" w:hAnsi="Bookman Old Style" w:cstheme="minorHAnsi"/>
          <w:sz w:val="20"/>
          <w:szCs w:val="20"/>
        </w:rPr>
        <w:t>. A significantly increased cohort size (&gt;</w:t>
      </w:r>
      <w:r w:rsidR="00346AE5" w:rsidRPr="004C4A67">
        <w:rPr>
          <w:rFonts w:ascii="Bookman Old Style" w:hAnsi="Bookman Old Style" w:cstheme="minorHAnsi"/>
          <w:sz w:val="20"/>
          <w:szCs w:val="20"/>
        </w:rPr>
        <w:t xml:space="preserve">100 </w:t>
      </w:r>
      <w:r w:rsidRPr="004C4A67">
        <w:rPr>
          <w:rFonts w:ascii="Bookman Old Style" w:hAnsi="Bookman Old Style" w:cstheme="minorHAnsi"/>
          <w:sz w:val="20"/>
          <w:szCs w:val="20"/>
        </w:rPr>
        <w:t xml:space="preserve">students) meant that </w:t>
      </w:r>
      <w:r w:rsidR="000840D5" w:rsidRPr="004C4A67">
        <w:rPr>
          <w:rFonts w:ascii="Bookman Old Style" w:hAnsi="Bookman Old Style" w:cstheme="minorHAnsi"/>
          <w:b/>
          <w:sz w:val="20"/>
          <w:szCs w:val="20"/>
        </w:rPr>
        <w:t>V</w:t>
      </w:r>
      <w:r w:rsidRPr="004C4A67">
        <w:rPr>
          <w:rFonts w:ascii="Bookman Old Style" w:hAnsi="Bookman Old Style" w:cstheme="minorHAnsi"/>
          <w:b/>
          <w:sz w:val="20"/>
          <w:szCs w:val="20"/>
        </w:rPr>
        <w:t>1</w:t>
      </w:r>
      <w:r w:rsidRPr="004C4A67">
        <w:rPr>
          <w:rFonts w:ascii="Bookman Old Style" w:hAnsi="Bookman Old Style" w:cstheme="minorHAnsi"/>
          <w:sz w:val="20"/>
          <w:szCs w:val="20"/>
        </w:rPr>
        <w:t xml:space="preserve"> would not fit within the confines of the timetable. In </w:t>
      </w:r>
      <w:r w:rsidR="00E333B5" w:rsidRPr="004C4A67">
        <w:rPr>
          <w:rFonts w:ascii="Bookman Old Style" w:hAnsi="Bookman Old Style" w:cstheme="minorHAnsi"/>
          <w:b/>
          <w:sz w:val="20"/>
          <w:szCs w:val="20"/>
        </w:rPr>
        <w:t>V2</w:t>
      </w:r>
      <w:r w:rsidRPr="004C4A67">
        <w:rPr>
          <w:rFonts w:ascii="Bookman Old Style" w:hAnsi="Bookman Old Style" w:cstheme="minorHAnsi"/>
          <w:sz w:val="20"/>
          <w:szCs w:val="20"/>
        </w:rPr>
        <w:t xml:space="preserve">, up to 36 students can sit their practical session in a 3hr lab session, meaning that it is now possible to examine up to </w:t>
      </w:r>
      <w:r w:rsidR="0031760D">
        <w:rPr>
          <w:rFonts w:ascii="Bookman Old Style" w:hAnsi="Bookman Old Style" w:cstheme="minorHAnsi"/>
          <w:sz w:val="20"/>
          <w:szCs w:val="20"/>
        </w:rPr>
        <w:t xml:space="preserve">108 </w:t>
      </w:r>
      <w:r w:rsidRPr="004C4A67">
        <w:rPr>
          <w:rFonts w:ascii="Bookman Old Style" w:hAnsi="Bookman Old Style" w:cstheme="minorHAnsi"/>
          <w:sz w:val="20"/>
          <w:szCs w:val="20"/>
        </w:rPr>
        <w:t>students in 2 × 3 hr + 2 × 2 hr sessions</w:t>
      </w:r>
      <w:r w:rsidR="00800C33">
        <w:rPr>
          <w:rFonts w:ascii="Bookman Old Style" w:hAnsi="Bookman Old Style" w:cstheme="minorHAnsi"/>
          <w:sz w:val="20"/>
          <w:szCs w:val="20"/>
        </w:rPr>
        <w:t xml:space="preserve"> with greater flexibility in timetabling</w:t>
      </w:r>
      <w:r w:rsidRPr="004C4A67">
        <w:rPr>
          <w:rFonts w:ascii="Bookman Old Style" w:hAnsi="Bookman Old Style" w:cstheme="minorHAnsi"/>
          <w:sz w:val="20"/>
          <w:szCs w:val="20"/>
        </w:rPr>
        <w:t xml:space="preserve"> (</w:t>
      </w:r>
      <w:r w:rsidR="00735F52">
        <w:rPr>
          <w:rFonts w:ascii="Bookman Old Style" w:hAnsi="Bookman Old Style" w:cstheme="minorHAnsi"/>
          <w:sz w:val="20"/>
          <w:szCs w:val="20"/>
        </w:rPr>
        <w:t>this is specific to our timetable, and accounts for the provision of ‘extra time’ for students with disability adjustments</w:t>
      </w:r>
      <w:r w:rsidRPr="004C4A67">
        <w:rPr>
          <w:rFonts w:ascii="Bookman Old Style" w:hAnsi="Bookman Old Style" w:cstheme="minorHAnsi"/>
          <w:sz w:val="20"/>
          <w:szCs w:val="20"/>
        </w:rPr>
        <w:t xml:space="preserve">), where previously a maximum of </w:t>
      </w:r>
      <w:r w:rsidR="001236A0">
        <w:rPr>
          <w:rFonts w:ascii="Bookman Old Style" w:hAnsi="Bookman Old Style" w:cstheme="minorHAnsi"/>
          <w:sz w:val="20"/>
          <w:szCs w:val="20"/>
        </w:rPr>
        <w:t>90</w:t>
      </w:r>
      <w:r w:rsidR="001236A0"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could be examined. To do this, the number of stations was cut from 5 to 3, which allowed a more focused approach towards key lab skills</w:t>
      </w:r>
      <w:r w:rsidR="00A3177C"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Figure 1</w:t>
      </w:r>
      <w:r w:rsidR="00A3177C" w:rsidRPr="004C4A67">
        <w:rPr>
          <w:rFonts w:ascii="Bookman Old Style" w:hAnsi="Bookman Old Style" w:cstheme="minorHAnsi"/>
          <w:sz w:val="20"/>
          <w:szCs w:val="20"/>
        </w:rPr>
        <w:t xml:space="preserve"> and Table </w:t>
      </w:r>
      <w:r w:rsidR="005D3E05" w:rsidRPr="004C4A67">
        <w:rPr>
          <w:rFonts w:ascii="Bookman Old Style" w:hAnsi="Bookman Old Style" w:cstheme="minorHAnsi"/>
          <w:sz w:val="20"/>
          <w:szCs w:val="20"/>
        </w:rPr>
        <w:t>S</w:t>
      </w:r>
      <w:r w:rsidR="005D3E05">
        <w:rPr>
          <w:rFonts w:ascii="Bookman Old Style" w:hAnsi="Bookman Old Style" w:cstheme="minorHAnsi"/>
          <w:sz w:val="20"/>
          <w:szCs w:val="20"/>
        </w:rPr>
        <w:t>3</w:t>
      </w:r>
      <w:r w:rsidR="00A3177C" w:rsidRPr="004C4A67">
        <w:rPr>
          <w:rFonts w:ascii="Bookman Old Style" w:hAnsi="Bookman Old Style" w:cstheme="minorHAnsi"/>
          <w:sz w:val="20"/>
          <w:szCs w:val="20"/>
        </w:rPr>
        <w:t>)</w:t>
      </w:r>
      <w:r w:rsidRPr="004C4A67">
        <w:rPr>
          <w:rFonts w:ascii="Bookman Old Style" w:hAnsi="Bookman Old Style" w:cstheme="minorHAnsi"/>
          <w:sz w:val="20"/>
          <w:szCs w:val="20"/>
        </w:rPr>
        <w:t xml:space="preserve">. Other than this, the exam is run in much the same way as </w:t>
      </w:r>
      <w:r w:rsidR="0062692F" w:rsidRPr="005D3E05">
        <w:rPr>
          <w:rFonts w:ascii="Bookman Old Style" w:hAnsi="Bookman Old Style" w:cstheme="minorHAnsi"/>
          <w:b/>
          <w:sz w:val="20"/>
          <w:szCs w:val="20"/>
        </w:rPr>
        <w:t>V1</w:t>
      </w:r>
      <w:r w:rsidRPr="004C4A67">
        <w:rPr>
          <w:rFonts w:ascii="Bookman Old Style" w:hAnsi="Bookman Old Style" w:cstheme="minorHAnsi"/>
          <w:sz w:val="20"/>
          <w:szCs w:val="20"/>
        </w:rPr>
        <w:t>, with similar staff</w:t>
      </w:r>
      <w:r w:rsidR="0062692F">
        <w:rPr>
          <w:rFonts w:ascii="Bookman Old Style" w:hAnsi="Bookman Old Style" w:cstheme="minorHAnsi"/>
          <w:sz w:val="20"/>
          <w:szCs w:val="20"/>
        </w:rPr>
        <w:t>:</w:t>
      </w:r>
      <w:r w:rsidRPr="004C4A67">
        <w:rPr>
          <w:rFonts w:ascii="Bookman Old Style" w:hAnsi="Bookman Old Style" w:cstheme="minorHAnsi"/>
          <w:sz w:val="20"/>
          <w:szCs w:val="20"/>
        </w:rPr>
        <w:t xml:space="preserve">student ratios. </w:t>
      </w:r>
    </w:p>
    <w:p w14:paraId="43766DD6" w14:textId="77777777" w:rsidR="000A26D5" w:rsidRPr="004C4A67" w:rsidRDefault="000A26D5" w:rsidP="000A26D5">
      <w:pPr>
        <w:spacing w:line="480" w:lineRule="auto"/>
        <w:ind w:firstLine="0"/>
        <w:rPr>
          <w:rFonts w:ascii="Bookman Old Style" w:hAnsi="Bookman Old Style" w:cstheme="minorHAnsi"/>
          <w:sz w:val="20"/>
          <w:szCs w:val="20"/>
        </w:rPr>
      </w:pPr>
      <w:r w:rsidRPr="004C4A67">
        <w:rPr>
          <w:noProof/>
          <w:lang w:val="en-GB" w:eastAsia="en-GB"/>
        </w:rPr>
        <w:drawing>
          <wp:inline distT="0" distB="0" distL="0" distR="0" wp14:anchorId="63C20203" wp14:editId="24D40BF3">
            <wp:extent cx="6400800" cy="427841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278412"/>
                    </a:xfrm>
                    <a:prstGeom prst="rect">
                      <a:avLst/>
                    </a:prstGeom>
                    <a:noFill/>
                    <a:ln>
                      <a:noFill/>
                    </a:ln>
                  </pic:spPr>
                </pic:pic>
              </a:graphicData>
            </a:graphic>
          </wp:inline>
        </w:drawing>
      </w:r>
    </w:p>
    <w:p w14:paraId="31608A0D" w14:textId="77777777" w:rsidR="000A26D5" w:rsidRPr="004C4A67" w:rsidRDefault="000A26D5" w:rsidP="000A26D5">
      <w:pPr>
        <w:jc w:val="both"/>
        <w:rPr>
          <w:rFonts w:ascii="Helvetica" w:hAnsi="Helvetica" w:cs="Helvetica"/>
          <w:sz w:val="16"/>
          <w:szCs w:val="16"/>
        </w:rPr>
      </w:pPr>
      <w:r w:rsidRPr="004C4A67">
        <w:rPr>
          <w:rFonts w:ascii="Helvetica" w:hAnsi="Helvetica" w:cs="Helvetica"/>
          <w:sz w:val="16"/>
          <w:szCs w:val="16"/>
        </w:rPr>
        <w:t>Figure 1: Practical exam stations in Versions 1 (</w:t>
      </w:r>
      <w:r w:rsidRPr="005D3E05">
        <w:rPr>
          <w:rFonts w:ascii="Helvetica" w:hAnsi="Helvetica" w:cs="Helvetica"/>
          <w:b/>
          <w:sz w:val="16"/>
          <w:szCs w:val="16"/>
        </w:rPr>
        <w:t>V1</w:t>
      </w:r>
      <w:r w:rsidRPr="004C4A67">
        <w:rPr>
          <w:rFonts w:ascii="Helvetica" w:hAnsi="Helvetica" w:cs="Helvetica"/>
          <w:sz w:val="16"/>
          <w:szCs w:val="16"/>
        </w:rPr>
        <w:t>) and 2 (</w:t>
      </w:r>
      <w:r w:rsidRPr="005D3E05">
        <w:rPr>
          <w:rFonts w:ascii="Helvetica" w:hAnsi="Helvetica" w:cs="Helvetica"/>
          <w:b/>
          <w:sz w:val="16"/>
          <w:szCs w:val="16"/>
        </w:rPr>
        <w:t>V2</w:t>
      </w:r>
      <w:r w:rsidRPr="004C4A67">
        <w:rPr>
          <w:rFonts w:ascii="Helvetica" w:hAnsi="Helvetica" w:cs="Helvetica"/>
          <w:sz w:val="16"/>
          <w:szCs w:val="16"/>
        </w:rPr>
        <w:t>) of the chemistry practical exam.</w:t>
      </w:r>
    </w:p>
    <w:p w14:paraId="5F9CF05C" w14:textId="77777777" w:rsidR="000A26D5" w:rsidRPr="004C4A67" w:rsidRDefault="000A26D5" w:rsidP="000A26D5">
      <w:pPr>
        <w:spacing w:line="480" w:lineRule="auto"/>
        <w:ind w:firstLine="0"/>
        <w:rPr>
          <w:rFonts w:ascii="Bookman Old Style" w:hAnsi="Bookman Old Style" w:cstheme="minorHAnsi"/>
          <w:sz w:val="20"/>
          <w:szCs w:val="20"/>
        </w:rPr>
      </w:pPr>
    </w:p>
    <w:p w14:paraId="22BDD8E2" w14:textId="77777777" w:rsidR="000674A1" w:rsidRPr="004C4A67" w:rsidRDefault="000674A1" w:rsidP="000674A1">
      <w:pPr>
        <w:spacing w:line="480" w:lineRule="auto"/>
        <w:jc w:val="both"/>
        <w:rPr>
          <w:rFonts w:ascii="Bookman Old Style" w:hAnsi="Bookman Old Style" w:cstheme="minorHAnsi"/>
          <w:sz w:val="20"/>
          <w:szCs w:val="20"/>
        </w:rPr>
      </w:pPr>
      <w:r w:rsidRPr="004C4A67">
        <w:rPr>
          <w:rFonts w:ascii="Bookman Old Style" w:hAnsi="Bookman Old Style" w:cstheme="minorHAnsi"/>
          <w:sz w:val="20"/>
          <w:szCs w:val="20"/>
        </w:rPr>
        <w:t xml:space="preserve">Since 2016, we have continued to revisit the structure of </w:t>
      </w:r>
      <w:r w:rsidR="000840D5" w:rsidRPr="004C4A67">
        <w:rPr>
          <w:rFonts w:ascii="Bookman Old Style" w:hAnsi="Bookman Old Style" w:cstheme="minorHAnsi"/>
          <w:b/>
          <w:sz w:val="20"/>
          <w:szCs w:val="20"/>
        </w:rPr>
        <w:t>V</w:t>
      </w:r>
      <w:r w:rsidRPr="004C4A67">
        <w:rPr>
          <w:rFonts w:ascii="Bookman Old Style" w:hAnsi="Bookman Old Style" w:cstheme="minorHAnsi"/>
          <w:b/>
          <w:sz w:val="20"/>
          <w:szCs w:val="20"/>
        </w:rPr>
        <w:t>2</w:t>
      </w:r>
      <w:r w:rsidRPr="004C4A67">
        <w:rPr>
          <w:rFonts w:ascii="Bookman Old Style" w:hAnsi="Bookman Old Style" w:cstheme="minorHAnsi"/>
          <w:sz w:val="20"/>
          <w:szCs w:val="20"/>
        </w:rPr>
        <w:t xml:space="preserve"> and the way in which the exam is communicated to the students. For example, where in 201</w:t>
      </w:r>
      <w:r w:rsidR="00A3177C" w:rsidRPr="004C4A67">
        <w:rPr>
          <w:rFonts w:ascii="Bookman Old Style" w:hAnsi="Bookman Old Style" w:cstheme="minorHAnsi"/>
          <w:sz w:val="20"/>
          <w:szCs w:val="20"/>
        </w:rPr>
        <w:t>5</w:t>
      </w:r>
      <w:r w:rsidR="0062692F">
        <w:rPr>
          <w:rFonts w:ascii="Bookman Old Style" w:hAnsi="Bookman Old Style" w:cstheme="minorHAnsi"/>
          <w:sz w:val="20"/>
          <w:szCs w:val="20"/>
        </w:rPr>
        <w:t>/1</w:t>
      </w:r>
      <w:r w:rsidR="00A3177C" w:rsidRPr="004C4A67">
        <w:rPr>
          <w:rFonts w:ascii="Bookman Old Style" w:hAnsi="Bookman Old Style" w:cstheme="minorHAnsi"/>
          <w:sz w:val="20"/>
          <w:szCs w:val="20"/>
        </w:rPr>
        <w:t>6</w:t>
      </w:r>
      <w:r w:rsidRPr="004C4A67">
        <w:rPr>
          <w:rFonts w:ascii="Bookman Old Style" w:hAnsi="Bookman Old Style" w:cstheme="minorHAnsi"/>
          <w:sz w:val="20"/>
          <w:szCs w:val="20"/>
        </w:rPr>
        <w:t xml:space="preserve"> we informed the students that the three stations could each assess one or more skill from the full list, since 201</w:t>
      </w:r>
      <w:r w:rsidR="00A3177C" w:rsidRPr="004C4A67">
        <w:rPr>
          <w:rFonts w:ascii="Bookman Old Style" w:hAnsi="Bookman Old Style" w:cstheme="minorHAnsi"/>
          <w:sz w:val="20"/>
          <w:szCs w:val="20"/>
        </w:rPr>
        <w:t>6</w:t>
      </w:r>
      <w:r w:rsidR="0062692F">
        <w:rPr>
          <w:rFonts w:ascii="Bookman Old Style" w:hAnsi="Bookman Old Style" w:cstheme="minorHAnsi"/>
          <w:sz w:val="20"/>
          <w:szCs w:val="20"/>
        </w:rPr>
        <w:t>/1</w:t>
      </w:r>
      <w:r w:rsidR="00A3177C" w:rsidRPr="004C4A67">
        <w:rPr>
          <w:rFonts w:ascii="Bookman Old Style" w:hAnsi="Bookman Old Style" w:cstheme="minorHAnsi"/>
          <w:sz w:val="20"/>
          <w:szCs w:val="20"/>
        </w:rPr>
        <w:t>7</w:t>
      </w:r>
      <w:r w:rsidRPr="004C4A67">
        <w:rPr>
          <w:rFonts w:ascii="Bookman Old Style" w:hAnsi="Bookman Old Style" w:cstheme="minorHAnsi"/>
          <w:sz w:val="20"/>
          <w:szCs w:val="20"/>
        </w:rPr>
        <w:t xml:space="preserve"> we have informed them that station A assesses either liquid-liquid extraction or </w:t>
      </w:r>
      <w:r w:rsidR="009C343E" w:rsidRPr="004C4A67">
        <w:rPr>
          <w:rFonts w:ascii="Bookman Old Style" w:hAnsi="Bookman Old Style" w:cstheme="minorHAnsi"/>
          <w:sz w:val="20"/>
          <w:szCs w:val="20"/>
        </w:rPr>
        <w:t>recrystallization</w:t>
      </w:r>
      <w:r w:rsidRPr="004C4A67">
        <w:rPr>
          <w:rFonts w:ascii="Bookman Old Style" w:hAnsi="Bookman Old Style" w:cstheme="minorHAnsi"/>
          <w:sz w:val="20"/>
          <w:szCs w:val="20"/>
        </w:rPr>
        <w:t xml:space="preserve">, station B assesses either UV-vis spectrophotometry or IR spectroscopy and that station C assesses one or more other skill (Figure 1). This </w:t>
      </w:r>
      <w:r w:rsidR="000840D5" w:rsidRPr="004C4A67">
        <w:rPr>
          <w:rFonts w:ascii="Bookman Old Style" w:hAnsi="Bookman Old Style" w:cstheme="minorHAnsi"/>
          <w:sz w:val="20"/>
          <w:szCs w:val="20"/>
        </w:rPr>
        <w:t xml:space="preserve">seemingly minor </w:t>
      </w:r>
      <w:r w:rsidRPr="004C4A67">
        <w:rPr>
          <w:rFonts w:ascii="Bookman Old Style" w:hAnsi="Bookman Old Style" w:cstheme="minorHAnsi"/>
          <w:sz w:val="20"/>
          <w:szCs w:val="20"/>
        </w:rPr>
        <w:t>disclosure encourage</w:t>
      </w:r>
      <w:r w:rsidR="000840D5" w:rsidRPr="004C4A67">
        <w:rPr>
          <w:rFonts w:ascii="Bookman Old Style" w:hAnsi="Bookman Old Style" w:cstheme="minorHAnsi"/>
          <w:sz w:val="20"/>
          <w:szCs w:val="20"/>
        </w:rPr>
        <w:t>d</w:t>
      </w:r>
      <w:r w:rsidRPr="004C4A67">
        <w:rPr>
          <w:rFonts w:ascii="Bookman Old Style" w:hAnsi="Bookman Old Style" w:cstheme="minorHAnsi"/>
          <w:sz w:val="20"/>
          <w:szCs w:val="20"/>
        </w:rPr>
        <w:t xml:space="preserve"> the students to focus their revision on what we believe to be particularly important laboratory skills (</w:t>
      </w:r>
      <w:r w:rsidRPr="004C4A67">
        <w:rPr>
          <w:rFonts w:ascii="Bookman Old Style" w:hAnsi="Bookman Old Style" w:cstheme="minorHAnsi"/>
          <w:i/>
          <w:sz w:val="20"/>
          <w:szCs w:val="20"/>
        </w:rPr>
        <w:t xml:space="preserve">i.e. </w:t>
      </w:r>
      <w:r w:rsidRPr="004C4A67">
        <w:rPr>
          <w:rFonts w:ascii="Bookman Old Style" w:hAnsi="Bookman Old Style" w:cstheme="minorHAnsi"/>
          <w:sz w:val="20"/>
          <w:szCs w:val="20"/>
        </w:rPr>
        <w:t>those assessed in stations A and B</w:t>
      </w:r>
      <w:r w:rsidR="000840D5"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In 2018</w:t>
      </w:r>
      <w:r w:rsidR="0062692F">
        <w:rPr>
          <w:rFonts w:ascii="Bookman Old Style" w:hAnsi="Bookman Old Style" w:cstheme="minorHAnsi"/>
          <w:sz w:val="20"/>
          <w:szCs w:val="20"/>
        </w:rPr>
        <w:t>/</w:t>
      </w:r>
      <w:r w:rsidRPr="004C4A67">
        <w:rPr>
          <w:rFonts w:ascii="Bookman Old Style" w:hAnsi="Bookman Old Style" w:cstheme="minorHAnsi"/>
          <w:sz w:val="20"/>
          <w:szCs w:val="20"/>
        </w:rPr>
        <w:t xml:space="preserve">19, in response to student feedback, a mock practical exam was introduced midway through semester 1 in order to provide students with experience of carrying out practical chemistry under exam conditions. The mock was well received by the students, who appreciated the insight it allowed into the real exam. </w:t>
      </w:r>
    </w:p>
    <w:p w14:paraId="6836194F" w14:textId="77777777" w:rsidR="0018159D" w:rsidRPr="004C4A67" w:rsidRDefault="0018159D" w:rsidP="000674A1">
      <w:pPr>
        <w:spacing w:line="480" w:lineRule="auto"/>
        <w:jc w:val="both"/>
        <w:rPr>
          <w:rFonts w:ascii="Bookman Old Style" w:hAnsi="Bookman Old Style" w:cstheme="minorHAnsi"/>
          <w:sz w:val="20"/>
          <w:szCs w:val="20"/>
        </w:rPr>
      </w:pPr>
    </w:p>
    <w:p w14:paraId="7E75E947" w14:textId="77777777" w:rsidR="002617AE" w:rsidRPr="004C4A67" w:rsidRDefault="000674A1" w:rsidP="00C01A79">
      <w:pPr>
        <w:pStyle w:val="JCEH2"/>
      </w:pPr>
      <w:r w:rsidRPr="004C4A67">
        <w:t>Exam Preparation</w:t>
      </w:r>
    </w:p>
    <w:p w14:paraId="0C83331F" w14:textId="7EB0BABD" w:rsidR="000674A1" w:rsidRPr="004C4A67" w:rsidRDefault="000674A1" w:rsidP="000674A1">
      <w:pPr>
        <w:spacing w:line="480" w:lineRule="auto"/>
        <w:jc w:val="both"/>
        <w:rPr>
          <w:rFonts w:ascii="Bookman Old Style" w:hAnsi="Bookman Old Style" w:cstheme="minorHAnsi"/>
          <w:sz w:val="20"/>
          <w:szCs w:val="20"/>
        </w:rPr>
      </w:pPr>
      <w:r w:rsidRPr="004C4A67">
        <w:rPr>
          <w:rFonts w:ascii="Bookman Old Style" w:hAnsi="Bookman Old Style" w:cstheme="minorHAnsi"/>
          <w:sz w:val="20"/>
          <w:szCs w:val="20"/>
        </w:rPr>
        <w:t xml:space="preserve">Each experiment undertaken prior to the exam has an associated pre-laboratory exercise which requires students to watch </w:t>
      </w:r>
      <w:r w:rsidR="0018159D" w:rsidRPr="004C4A67">
        <w:rPr>
          <w:rFonts w:ascii="Bookman Old Style" w:hAnsi="Bookman Old Style" w:cstheme="minorHAnsi"/>
          <w:sz w:val="20"/>
          <w:szCs w:val="20"/>
        </w:rPr>
        <w:t xml:space="preserve">and answer a series of questions on </w:t>
      </w:r>
      <w:r w:rsidRPr="004C4A67">
        <w:rPr>
          <w:rFonts w:ascii="Bookman Old Style" w:hAnsi="Bookman Old Style" w:cstheme="minorHAnsi"/>
          <w:sz w:val="20"/>
          <w:szCs w:val="20"/>
        </w:rPr>
        <w:t xml:space="preserve">a selection of skills videos (for example from </w:t>
      </w:r>
      <w:r w:rsidR="0018159D" w:rsidRPr="004C4A67">
        <w:rPr>
          <w:rFonts w:ascii="Bookman Old Style" w:hAnsi="Bookman Old Style" w:cstheme="minorHAnsi"/>
          <w:sz w:val="20"/>
          <w:szCs w:val="20"/>
        </w:rPr>
        <w:t xml:space="preserve">the </w:t>
      </w:r>
      <w:r w:rsidRPr="004C4A67">
        <w:rPr>
          <w:rFonts w:ascii="Bookman Old Style" w:hAnsi="Bookman Old Style" w:cstheme="minorHAnsi"/>
          <w:sz w:val="20"/>
          <w:szCs w:val="20"/>
        </w:rPr>
        <w:t>RSC Interactive Lab Primer</w:t>
      </w:r>
      <w:r w:rsidR="00582C95" w:rsidRPr="004C4A67">
        <w:rPr>
          <w:rFonts w:ascii="Bookman Old Style" w:hAnsi="Bookman Old Style" w:cstheme="minorHAnsi"/>
          <w:sz w:val="20"/>
          <w:szCs w:val="20"/>
          <w:vertAlign w:val="superscript"/>
        </w:rPr>
        <w:t>3</w:t>
      </w:r>
      <w:r w:rsidR="006D396C">
        <w:rPr>
          <w:rFonts w:ascii="Bookman Old Style" w:hAnsi="Bookman Old Style" w:cstheme="minorHAnsi"/>
          <w:sz w:val="20"/>
          <w:szCs w:val="20"/>
          <w:vertAlign w:val="superscript"/>
        </w:rPr>
        <w:t>3</w:t>
      </w:r>
      <w:r w:rsidRPr="004C4A67">
        <w:rPr>
          <w:rFonts w:ascii="Bookman Old Style" w:hAnsi="Bookman Old Style" w:cstheme="minorHAnsi"/>
          <w:sz w:val="20"/>
          <w:szCs w:val="20"/>
        </w:rPr>
        <w:t>). The marks from these pre-labs are summative to ensure completion, but low stakes, each worth ≈2% of the module mark. Students are told that they will complete a skills</w:t>
      </w:r>
      <w:r w:rsidR="0018159D" w:rsidRPr="004C4A67">
        <w:rPr>
          <w:rFonts w:ascii="Bookman Old Style" w:hAnsi="Bookman Old Style" w:cstheme="minorHAnsi"/>
          <w:sz w:val="20"/>
          <w:szCs w:val="20"/>
        </w:rPr>
        <w:t>-</w:t>
      </w:r>
      <w:r w:rsidRPr="004C4A67">
        <w:rPr>
          <w:rFonts w:ascii="Bookman Old Style" w:hAnsi="Bookman Old Style" w:cstheme="minorHAnsi"/>
          <w:sz w:val="20"/>
          <w:szCs w:val="20"/>
        </w:rPr>
        <w:t>based practical exam in the module induction, and laboratory staff refer to the exam throughout the semester. The logistics and requirements are communicated to the students at a briefing session that is typically held 1-2 weeks prior to the first exam. During this briefing, timings</w:t>
      </w:r>
      <w:r w:rsidR="005A28CE" w:rsidRPr="004C4A67">
        <w:rPr>
          <w:rFonts w:ascii="Bookman Old Style" w:hAnsi="Bookman Old Style" w:cstheme="minorHAnsi"/>
          <w:sz w:val="20"/>
          <w:szCs w:val="20"/>
        </w:rPr>
        <w:t xml:space="preserve"> (as above) </w:t>
      </w:r>
      <w:r w:rsidRPr="004C4A67">
        <w:rPr>
          <w:rFonts w:ascii="Bookman Old Style" w:hAnsi="Bookman Old Style" w:cstheme="minorHAnsi"/>
          <w:sz w:val="20"/>
          <w:szCs w:val="20"/>
        </w:rPr>
        <w:t xml:space="preserve">are explained, </w:t>
      </w:r>
      <w:r w:rsidR="0018159D" w:rsidRPr="004C4A67">
        <w:rPr>
          <w:rFonts w:ascii="Bookman Old Style" w:hAnsi="Bookman Old Style" w:cstheme="minorHAnsi"/>
          <w:sz w:val="20"/>
          <w:szCs w:val="20"/>
        </w:rPr>
        <w:t xml:space="preserve">an </w:t>
      </w:r>
      <w:r w:rsidRPr="004C4A67">
        <w:rPr>
          <w:rFonts w:ascii="Bookman Old Style" w:hAnsi="Bookman Old Style" w:cstheme="minorHAnsi"/>
          <w:sz w:val="20"/>
          <w:szCs w:val="20"/>
        </w:rPr>
        <w:t>example script</w:t>
      </w:r>
      <w:r w:rsidR="0018159D" w:rsidRPr="004C4A67">
        <w:rPr>
          <w:rFonts w:ascii="Bookman Old Style" w:hAnsi="Bookman Old Style" w:cstheme="minorHAnsi"/>
          <w:sz w:val="20"/>
          <w:szCs w:val="20"/>
        </w:rPr>
        <w:t xml:space="preserve"> is</w:t>
      </w:r>
      <w:r w:rsidRPr="004C4A67">
        <w:rPr>
          <w:rFonts w:ascii="Bookman Old Style" w:hAnsi="Bookman Old Style" w:cstheme="minorHAnsi"/>
          <w:sz w:val="20"/>
          <w:szCs w:val="20"/>
        </w:rPr>
        <w:t xml:space="preserve"> shown and the techniques that potent</w:t>
      </w:r>
      <w:r w:rsidR="004D0ED8" w:rsidRPr="004C4A67">
        <w:rPr>
          <w:rFonts w:ascii="Bookman Old Style" w:hAnsi="Bookman Old Style" w:cstheme="minorHAnsi"/>
          <w:sz w:val="20"/>
          <w:szCs w:val="20"/>
        </w:rPr>
        <w:t xml:space="preserve">ially will be examined (Table </w:t>
      </w:r>
      <w:r w:rsidR="0062692F">
        <w:rPr>
          <w:rFonts w:ascii="Bookman Old Style" w:hAnsi="Bookman Old Style" w:cstheme="minorHAnsi"/>
          <w:sz w:val="20"/>
          <w:szCs w:val="20"/>
        </w:rPr>
        <w:t>1</w:t>
      </w:r>
      <w:r w:rsidRPr="004C4A67">
        <w:rPr>
          <w:rFonts w:ascii="Bookman Old Style" w:hAnsi="Bookman Old Style" w:cstheme="minorHAnsi"/>
          <w:sz w:val="20"/>
          <w:szCs w:val="20"/>
        </w:rPr>
        <w:t>) are described. Finally, some ideas for preparation are given (</w:t>
      </w:r>
      <w:r w:rsidRPr="004C4A67">
        <w:rPr>
          <w:rFonts w:ascii="Bookman Old Style" w:hAnsi="Bookman Old Style" w:cstheme="minorHAnsi"/>
          <w:i/>
          <w:sz w:val="20"/>
          <w:szCs w:val="20"/>
        </w:rPr>
        <w:t>e.g.</w:t>
      </w:r>
      <w:r w:rsidRPr="004C4A67">
        <w:rPr>
          <w:rFonts w:ascii="Bookman Old Style" w:hAnsi="Bookman Old Style" w:cstheme="minorHAnsi"/>
          <w:sz w:val="20"/>
          <w:szCs w:val="20"/>
        </w:rPr>
        <w:t xml:space="preserve"> read through notes made during practical sessions and work done prior </w:t>
      </w:r>
      <w:r w:rsidR="003411C2" w:rsidRPr="004C4A67">
        <w:rPr>
          <w:rFonts w:ascii="Bookman Old Style" w:hAnsi="Bookman Old Style" w:cstheme="minorHAnsi"/>
          <w:sz w:val="20"/>
          <w:szCs w:val="20"/>
        </w:rPr>
        <w:t xml:space="preserve">to </w:t>
      </w:r>
      <w:r w:rsidRPr="004C4A67">
        <w:rPr>
          <w:rFonts w:ascii="Bookman Old Style" w:hAnsi="Bookman Old Style" w:cstheme="minorHAnsi"/>
          <w:sz w:val="20"/>
          <w:szCs w:val="20"/>
        </w:rPr>
        <w:t xml:space="preserve">them, watch </w:t>
      </w:r>
      <w:r w:rsidR="0062692F">
        <w:rPr>
          <w:rFonts w:ascii="Bookman Old Style" w:hAnsi="Bookman Old Style" w:cstheme="minorHAnsi"/>
          <w:sz w:val="20"/>
          <w:szCs w:val="20"/>
        </w:rPr>
        <w:t xml:space="preserve">online </w:t>
      </w:r>
      <w:r w:rsidRPr="004C4A67">
        <w:rPr>
          <w:rFonts w:ascii="Bookman Old Style" w:hAnsi="Bookman Old Style" w:cstheme="minorHAnsi"/>
          <w:sz w:val="20"/>
          <w:szCs w:val="20"/>
        </w:rPr>
        <w:t xml:space="preserve">videos that have been linked to </w:t>
      </w:r>
      <w:r w:rsidRPr="004C4A67">
        <w:rPr>
          <w:rFonts w:ascii="Bookman Old Style" w:hAnsi="Bookman Old Style" w:cstheme="minorHAnsi"/>
          <w:i/>
          <w:sz w:val="20"/>
          <w:szCs w:val="20"/>
        </w:rPr>
        <w:t>etc.</w:t>
      </w:r>
      <w:r w:rsidRPr="004C4A67">
        <w:rPr>
          <w:rFonts w:ascii="Bookman Old Style" w:hAnsi="Bookman Old Style" w:cstheme="minorHAnsi"/>
          <w:sz w:val="20"/>
          <w:szCs w:val="20"/>
        </w:rPr>
        <w:t xml:space="preserve">). Slides from the briefing session are uploaded onto the </w:t>
      </w:r>
      <w:r w:rsidR="007F60F3" w:rsidRPr="004C4A67">
        <w:rPr>
          <w:rFonts w:ascii="Bookman Old Style" w:hAnsi="Bookman Old Style" w:cstheme="minorHAnsi"/>
          <w:sz w:val="20"/>
          <w:szCs w:val="20"/>
        </w:rPr>
        <w:t xml:space="preserve">virtual </w:t>
      </w:r>
      <w:r w:rsidRPr="004C4A67">
        <w:rPr>
          <w:rFonts w:ascii="Bookman Old Style" w:hAnsi="Bookman Old Style" w:cstheme="minorHAnsi"/>
          <w:sz w:val="20"/>
          <w:szCs w:val="20"/>
        </w:rPr>
        <w:t xml:space="preserve">learning environment allowing details to be rechecked nearer the exam. </w:t>
      </w:r>
    </w:p>
    <w:p w14:paraId="204CD626" w14:textId="77777777" w:rsidR="002617AE" w:rsidRPr="004C4A67" w:rsidRDefault="000674A1" w:rsidP="002617AE">
      <w:pPr>
        <w:pStyle w:val="JCEH2"/>
      </w:pPr>
      <w:r w:rsidRPr="004C4A67">
        <w:t>Logistics</w:t>
      </w:r>
    </w:p>
    <w:p w14:paraId="3EC037E3" w14:textId="77777777" w:rsidR="000674A1" w:rsidRPr="004C4A67" w:rsidRDefault="000674A1" w:rsidP="000674A1">
      <w:pPr>
        <w:spacing w:line="480" w:lineRule="auto"/>
        <w:jc w:val="both"/>
        <w:rPr>
          <w:rFonts w:ascii="Bookman Old Style" w:hAnsi="Bookman Old Style" w:cs="Helvetica"/>
          <w:sz w:val="20"/>
          <w:szCs w:val="20"/>
        </w:rPr>
      </w:pPr>
      <w:r w:rsidRPr="004C4A67">
        <w:rPr>
          <w:rFonts w:ascii="Bookman Old Style" w:hAnsi="Bookman Old Style" w:cs="Helvetica"/>
          <w:sz w:val="20"/>
          <w:szCs w:val="20"/>
        </w:rPr>
        <w:t>Students are assigned a specific practical exam slot that they must attend. Before the exam commences, students are given coversheets with their name and the station order.</w:t>
      </w:r>
      <w:r w:rsidR="00F81885" w:rsidRPr="004C4A67">
        <w:rPr>
          <w:rFonts w:ascii="Bookman Old Style" w:hAnsi="Bookman Old Style" w:cs="Helvetica"/>
          <w:sz w:val="20"/>
          <w:szCs w:val="20"/>
        </w:rPr>
        <w:t xml:space="preserve"> At each station students are provided with a script</w:t>
      </w:r>
      <w:r w:rsidR="00D52422" w:rsidRPr="004C4A67">
        <w:rPr>
          <w:rFonts w:ascii="Bookman Old Style" w:hAnsi="Bookman Old Style" w:cs="Helvetica"/>
          <w:sz w:val="20"/>
          <w:szCs w:val="20"/>
        </w:rPr>
        <w:t xml:space="preserve"> (</w:t>
      </w:r>
      <w:r w:rsidR="005A28CE" w:rsidRPr="004C4A67">
        <w:rPr>
          <w:rFonts w:ascii="Bookman Old Style" w:hAnsi="Bookman Old Style" w:cs="Helvetica"/>
          <w:i/>
          <w:sz w:val="20"/>
          <w:szCs w:val="20"/>
        </w:rPr>
        <w:t>e.g.</w:t>
      </w:r>
      <w:r w:rsidR="005A28CE" w:rsidRPr="004C4A67">
        <w:rPr>
          <w:rFonts w:ascii="Bookman Old Style" w:hAnsi="Bookman Old Style" w:cs="Helvetica"/>
          <w:sz w:val="20"/>
          <w:szCs w:val="20"/>
        </w:rPr>
        <w:t xml:space="preserve"> </w:t>
      </w:r>
      <w:r w:rsidR="0018159D" w:rsidRPr="004C4A67">
        <w:rPr>
          <w:rFonts w:ascii="Bookman Old Style" w:hAnsi="Bookman Old Style" w:cs="Helvetica"/>
          <w:sz w:val="20"/>
          <w:szCs w:val="20"/>
        </w:rPr>
        <w:t xml:space="preserve">Supporting Information </w:t>
      </w:r>
      <w:r w:rsidR="005A28CE" w:rsidRPr="004C4A67">
        <w:rPr>
          <w:rFonts w:ascii="Bookman Old Style" w:hAnsi="Bookman Old Style" w:cs="Helvetica"/>
          <w:sz w:val="20"/>
          <w:szCs w:val="20"/>
        </w:rPr>
        <w:t>Figure</w:t>
      </w:r>
      <w:r w:rsidR="00D52422" w:rsidRPr="004C4A67">
        <w:rPr>
          <w:rFonts w:ascii="Bookman Old Style" w:hAnsi="Bookman Old Style" w:cs="Helvetica"/>
          <w:sz w:val="20"/>
          <w:szCs w:val="20"/>
        </w:rPr>
        <w:t xml:space="preserve"> </w:t>
      </w:r>
      <w:r w:rsidR="005A28CE" w:rsidRPr="004C4A67">
        <w:rPr>
          <w:rFonts w:ascii="Bookman Old Style" w:hAnsi="Bookman Old Style" w:cs="Helvetica"/>
          <w:sz w:val="20"/>
          <w:szCs w:val="20"/>
        </w:rPr>
        <w:t>S</w:t>
      </w:r>
      <w:r w:rsidR="0018159D" w:rsidRPr="004C4A67">
        <w:rPr>
          <w:rFonts w:ascii="Bookman Old Style" w:hAnsi="Bookman Old Style" w:cs="Helvetica"/>
          <w:sz w:val="20"/>
          <w:szCs w:val="20"/>
        </w:rPr>
        <w:t>1</w:t>
      </w:r>
      <w:r w:rsidR="00D52422" w:rsidRPr="004C4A67">
        <w:rPr>
          <w:rFonts w:ascii="Bookman Old Style" w:hAnsi="Bookman Old Style" w:cs="Helvetica"/>
          <w:sz w:val="20"/>
          <w:szCs w:val="20"/>
        </w:rPr>
        <w:t xml:space="preserve">) that they are required to leave at the station when the allocated time period for that station ends. </w:t>
      </w:r>
      <w:r w:rsidRPr="004C4A67">
        <w:rPr>
          <w:rFonts w:ascii="Bookman Old Style" w:hAnsi="Bookman Old Style" w:cs="Helvetica"/>
          <w:sz w:val="20"/>
          <w:szCs w:val="20"/>
        </w:rPr>
        <w:t>In addition to the normal requirements of key stationary and a calculator, they must bring their own laboratory coat and glasses. The exam is then held under normal University exam conditions. No discussion with other students is permitted</w:t>
      </w:r>
      <w:r w:rsidR="005A28CE" w:rsidRPr="004C4A67">
        <w:rPr>
          <w:rFonts w:ascii="Bookman Old Style" w:hAnsi="Bookman Old Style" w:cs="Helvetica"/>
          <w:sz w:val="20"/>
          <w:szCs w:val="20"/>
        </w:rPr>
        <w:t>.</w:t>
      </w:r>
      <w:r w:rsidRPr="004C4A67">
        <w:rPr>
          <w:rFonts w:ascii="Bookman Old Style" w:hAnsi="Bookman Old Style" w:cs="Helvetica"/>
          <w:sz w:val="20"/>
          <w:szCs w:val="20"/>
        </w:rPr>
        <w:t xml:space="preserve"> </w:t>
      </w:r>
      <w:r w:rsidR="005A28CE" w:rsidRPr="004C4A67">
        <w:rPr>
          <w:rFonts w:ascii="Bookman Old Style" w:hAnsi="Bookman Old Style" w:cs="Helvetica"/>
          <w:sz w:val="20"/>
          <w:szCs w:val="20"/>
        </w:rPr>
        <w:t xml:space="preserve">Requiring </w:t>
      </w:r>
      <w:r w:rsidRPr="004C4A67">
        <w:rPr>
          <w:rFonts w:ascii="Bookman Old Style" w:hAnsi="Bookman Old Style" w:cs="Helvetica"/>
          <w:sz w:val="20"/>
          <w:szCs w:val="20"/>
        </w:rPr>
        <w:t>help from examiners</w:t>
      </w:r>
      <w:r w:rsidR="005A28CE" w:rsidRPr="004C4A67">
        <w:rPr>
          <w:rFonts w:ascii="Bookman Old Style" w:hAnsi="Bookman Old Style" w:cs="Helvetica"/>
          <w:sz w:val="20"/>
          <w:szCs w:val="20"/>
        </w:rPr>
        <w:t>, where permitted,</w:t>
      </w:r>
      <w:r w:rsidRPr="004C4A67">
        <w:rPr>
          <w:rFonts w:ascii="Bookman Old Style" w:hAnsi="Bookman Old Style" w:cs="Helvetica"/>
          <w:sz w:val="20"/>
          <w:szCs w:val="20"/>
        </w:rPr>
        <w:t xml:space="preserve"> is </w:t>
      </w:r>
      <w:r w:rsidR="00437591" w:rsidRPr="004C4A67">
        <w:rPr>
          <w:rFonts w:ascii="Bookman Old Style" w:hAnsi="Bookman Old Style" w:cs="Helvetica"/>
          <w:sz w:val="20"/>
          <w:szCs w:val="20"/>
        </w:rPr>
        <w:t>penalized</w:t>
      </w:r>
      <w:r w:rsidRPr="004C4A67">
        <w:rPr>
          <w:rFonts w:ascii="Bookman Old Style" w:hAnsi="Bookman Old Style" w:cs="Helvetica"/>
          <w:sz w:val="20"/>
          <w:szCs w:val="20"/>
        </w:rPr>
        <w:t xml:space="preserve"> by a loss of </w:t>
      </w:r>
      <w:r w:rsidR="0062692F">
        <w:rPr>
          <w:rFonts w:ascii="Bookman Old Style" w:hAnsi="Bookman Old Style" w:cs="Helvetica"/>
          <w:sz w:val="20"/>
          <w:szCs w:val="20"/>
        </w:rPr>
        <w:t xml:space="preserve">up to </w:t>
      </w:r>
      <w:r w:rsidRPr="004C4A67">
        <w:rPr>
          <w:rFonts w:ascii="Bookman Old Style" w:hAnsi="Bookman Old Style" w:cs="Helvetica"/>
          <w:sz w:val="20"/>
          <w:szCs w:val="20"/>
        </w:rPr>
        <w:t xml:space="preserve">25% of the marks available at that station. </w:t>
      </w:r>
    </w:p>
    <w:p w14:paraId="6F2CCF43" w14:textId="77777777" w:rsidR="003850BB" w:rsidRPr="004C4A67" w:rsidRDefault="003850BB" w:rsidP="003850BB">
      <w:pPr>
        <w:pStyle w:val="JCEH2"/>
      </w:pPr>
      <w:r w:rsidRPr="004C4A67">
        <w:t>Exam Equipment Preparation</w:t>
      </w:r>
    </w:p>
    <w:p w14:paraId="25182857" w14:textId="77777777" w:rsidR="003850BB" w:rsidRPr="004C4A67" w:rsidRDefault="003850BB" w:rsidP="003850BB">
      <w:pPr>
        <w:spacing w:line="480" w:lineRule="auto"/>
        <w:jc w:val="both"/>
        <w:rPr>
          <w:rFonts w:ascii="Bookman Old Style" w:hAnsi="Bookman Old Style" w:cstheme="minorHAnsi"/>
          <w:sz w:val="20"/>
          <w:szCs w:val="20"/>
        </w:rPr>
      </w:pPr>
      <w:r w:rsidRPr="004C4A67">
        <w:rPr>
          <w:rFonts w:ascii="Bookman Old Style" w:hAnsi="Bookman Old Style" w:cstheme="minorHAnsi"/>
          <w:sz w:val="20"/>
          <w:szCs w:val="20"/>
        </w:rPr>
        <w:t xml:space="preserve">The equipment requirement is station-specific, but typically sets of glassware and chemicals are prepared in trays for each space on a station for the entire session. For example, </w:t>
      </w:r>
      <w:r w:rsidR="0018159D" w:rsidRPr="004C4A67">
        <w:rPr>
          <w:rFonts w:ascii="Bookman Old Style" w:hAnsi="Bookman Old Style" w:cstheme="minorHAnsi"/>
          <w:sz w:val="20"/>
          <w:szCs w:val="20"/>
        </w:rPr>
        <w:t xml:space="preserve">in </w:t>
      </w:r>
      <w:r w:rsidR="0018159D" w:rsidRPr="004C4A67">
        <w:rPr>
          <w:rFonts w:ascii="Bookman Old Style" w:hAnsi="Bookman Old Style" w:cstheme="minorHAnsi"/>
          <w:b/>
          <w:sz w:val="20"/>
          <w:szCs w:val="20"/>
        </w:rPr>
        <w:t>V2</w:t>
      </w:r>
      <w:r w:rsidRPr="004C4A67">
        <w:rPr>
          <w:rFonts w:ascii="Bookman Old Style" w:hAnsi="Bookman Old Style" w:cstheme="minorHAnsi"/>
          <w:sz w:val="20"/>
          <w:szCs w:val="20"/>
        </w:rPr>
        <w:t xml:space="preserve">, for a 3hr session during which 2 separate exams take place (for 2 × 18 = 36 students), each of the three stations will have 6 trays prepared, each containing sufficient equipment for 6 students to complete that station. An example of the equipment requirement for the liquid-liquid extraction station in the above scenario is provided in </w:t>
      </w:r>
      <w:r w:rsidR="005A28CE" w:rsidRPr="004C4A67">
        <w:rPr>
          <w:rFonts w:ascii="Bookman Old Style" w:hAnsi="Bookman Old Style" w:cstheme="minorHAnsi"/>
          <w:sz w:val="20"/>
          <w:szCs w:val="20"/>
        </w:rPr>
        <w:t xml:space="preserve">Supporting Information Table </w:t>
      </w:r>
      <w:r w:rsidR="00EC5BC9" w:rsidRPr="004C4A67">
        <w:rPr>
          <w:rFonts w:ascii="Bookman Old Style" w:hAnsi="Bookman Old Style" w:cstheme="minorHAnsi"/>
          <w:sz w:val="20"/>
          <w:szCs w:val="20"/>
        </w:rPr>
        <w:t>S</w:t>
      </w:r>
      <w:r w:rsidR="00EC5BC9">
        <w:rPr>
          <w:rFonts w:ascii="Bookman Old Style" w:hAnsi="Bookman Old Style" w:cstheme="minorHAnsi"/>
          <w:sz w:val="20"/>
          <w:szCs w:val="20"/>
        </w:rPr>
        <w:t>4</w:t>
      </w:r>
      <w:r w:rsidR="00FD6BC5" w:rsidRPr="004C4A67">
        <w:rPr>
          <w:rFonts w:ascii="Bookman Old Style" w:hAnsi="Bookman Old Style" w:cstheme="minorHAnsi"/>
          <w:sz w:val="20"/>
          <w:szCs w:val="20"/>
        </w:rPr>
        <w:t>.</w:t>
      </w:r>
    </w:p>
    <w:p w14:paraId="2AD053C5" w14:textId="3615A54E" w:rsidR="003850BB" w:rsidRDefault="003850BB" w:rsidP="003850BB">
      <w:pPr>
        <w:pStyle w:val="JCEH2"/>
      </w:pPr>
      <w:r w:rsidRPr="004C4A67">
        <w:t>Grading</w:t>
      </w:r>
    </w:p>
    <w:p w14:paraId="77737973" w14:textId="77777777" w:rsidR="00F976BE" w:rsidRPr="00F976BE" w:rsidRDefault="00F976BE" w:rsidP="00F976BE">
      <w:pPr>
        <w:pStyle w:val="JCEbodytext"/>
      </w:pPr>
    </w:p>
    <w:tbl>
      <w:tblPr>
        <w:tblW w:w="4795" w:type="dxa"/>
        <w:tblLayout w:type="fixed"/>
        <w:tblCellMar>
          <w:left w:w="115" w:type="dxa"/>
          <w:right w:w="115" w:type="dxa"/>
        </w:tblCellMar>
        <w:tblLook w:val="04A0" w:firstRow="1" w:lastRow="0" w:firstColumn="1" w:lastColumn="0" w:noHBand="0" w:noVBand="1"/>
      </w:tblPr>
      <w:tblGrid>
        <w:gridCol w:w="1620"/>
        <w:gridCol w:w="1170"/>
        <w:gridCol w:w="2005"/>
      </w:tblGrid>
      <w:tr w:rsidR="00F976BE" w:rsidRPr="006A1F0E" w14:paraId="3409BEBA" w14:textId="77777777" w:rsidTr="00095D7D">
        <w:trPr>
          <w:trHeight w:val="243"/>
        </w:trPr>
        <w:tc>
          <w:tcPr>
            <w:tcW w:w="4795" w:type="dxa"/>
            <w:gridSpan w:val="3"/>
          </w:tcPr>
          <w:p w14:paraId="534C5FF3" w14:textId="77777777" w:rsidR="00F976BE" w:rsidRPr="006A1F0E" w:rsidRDefault="00F976BE" w:rsidP="00095D7D">
            <w:pPr>
              <w:pStyle w:val="JCETabletitle"/>
            </w:pPr>
            <w:r w:rsidRPr="006A1F0E">
              <w:t>Table 2. Observation Level and Staffing Requirement for Different Types of Stations</w:t>
            </w:r>
          </w:p>
        </w:tc>
      </w:tr>
      <w:tr w:rsidR="00F976BE" w:rsidRPr="006A1F0E" w14:paraId="67D196BB" w14:textId="77777777" w:rsidTr="00095D7D">
        <w:trPr>
          <w:trHeight w:val="180"/>
        </w:trPr>
        <w:tc>
          <w:tcPr>
            <w:tcW w:w="1620" w:type="dxa"/>
            <w:shd w:val="clear" w:color="auto" w:fill="D9D9D9" w:themeFill="background1" w:themeFillShade="D9"/>
            <w:tcMar>
              <w:right w:w="29" w:type="dxa"/>
            </w:tcMar>
          </w:tcPr>
          <w:p w14:paraId="74E6AA0D" w14:textId="77777777" w:rsidR="00F976BE" w:rsidRPr="006A1F0E" w:rsidRDefault="00F976BE" w:rsidP="00095D7D">
            <w:pPr>
              <w:pStyle w:val="JCETabletext"/>
            </w:pPr>
            <w:r w:rsidRPr="006A1F0E">
              <w:t>Observation Level</w:t>
            </w:r>
          </w:p>
        </w:tc>
        <w:tc>
          <w:tcPr>
            <w:tcW w:w="1170" w:type="dxa"/>
            <w:shd w:val="clear" w:color="auto" w:fill="D9D9D9" w:themeFill="background1" w:themeFillShade="D9"/>
            <w:tcMar>
              <w:left w:w="29" w:type="dxa"/>
              <w:right w:w="29" w:type="dxa"/>
            </w:tcMar>
          </w:tcPr>
          <w:p w14:paraId="5016B5AC" w14:textId="77777777" w:rsidR="00F976BE" w:rsidRPr="006A1F0E" w:rsidRDefault="00F976BE" w:rsidP="00095D7D">
            <w:pPr>
              <w:pStyle w:val="JCETabletext"/>
              <w:jc w:val="center"/>
            </w:pPr>
            <w:r>
              <w:t xml:space="preserve">Minimum </w:t>
            </w:r>
            <w:r w:rsidRPr="006A1F0E">
              <w:t>Examiners,</w:t>
            </w:r>
            <w:r>
              <w:t xml:space="preserve"> per station</w:t>
            </w:r>
            <w:r w:rsidRPr="006A1F0E">
              <w:t xml:space="preserve"> </w:t>
            </w:r>
            <w:r w:rsidRPr="006A1F0E">
              <w:rPr>
                <w:i/>
                <w:iCs/>
              </w:rPr>
              <w:t>N</w:t>
            </w:r>
          </w:p>
        </w:tc>
        <w:tc>
          <w:tcPr>
            <w:tcW w:w="2005" w:type="dxa"/>
            <w:shd w:val="clear" w:color="auto" w:fill="D9D9D9" w:themeFill="background1" w:themeFillShade="D9"/>
            <w:tcMar>
              <w:left w:w="29" w:type="dxa"/>
              <w:right w:w="29" w:type="dxa"/>
            </w:tcMar>
          </w:tcPr>
          <w:p w14:paraId="1244788E" w14:textId="77777777" w:rsidR="00F976BE" w:rsidRPr="006A1F0E" w:rsidRDefault="00F976BE" w:rsidP="00095D7D">
            <w:pPr>
              <w:pStyle w:val="JCETabletext"/>
            </w:pPr>
            <w:r w:rsidRPr="006A1F0E">
              <w:t>Skills</w:t>
            </w:r>
          </w:p>
        </w:tc>
      </w:tr>
      <w:tr w:rsidR="00F976BE" w:rsidRPr="006A1F0E" w14:paraId="1F607D04" w14:textId="77777777" w:rsidTr="00095D7D">
        <w:trPr>
          <w:trHeight w:val="408"/>
        </w:trPr>
        <w:tc>
          <w:tcPr>
            <w:tcW w:w="1620" w:type="dxa"/>
            <w:tcMar>
              <w:right w:w="29" w:type="dxa"/>
            </w:tcMar>
          </w:tcPr>
          <w:p w14:paraId="6E907825" w14:textId="77777777" w:rsidR="00F976BE" w:rsidRPr="006A1F0E" w:rsidRDefault="00F976BE" w:rsidP="00095D7D">
            <w:pPr>
              <w:pStyle w:val="JCETabletext"/>
            </w:pPr>
            <w:r w:rsidRPr="006A1F0E">
              <w:t>Direct observation by examiner</w:t>
            </w:r>
          </w:p>
        </w:tc>
        <w:tc>
          <w:tcPr>
            <w:tcW w:w="1170" w:type="dxa"/>
            <w:tcMar>
              <w:left w:w="29" w:type="dxa"/>
              <w:right w:w="29" w:type="dxa"/>
            </w:tcMar>
          </w:tcPr>
          <w:p w14:paraId="375E1914" w14:textId="77777777" w:rsidR="00F976BE" w:rsidRPr="006A1F0E" w:rsidRDefault="00F976BE" w:rsidP="00095D7D">
            <w:pPr>
              <w:pStyle w:val="JCETabletext"/>
              <w:jc w:val="center"/>
            </w:pPr>
            <w:r w:rsidRPr="006A1F0E">
              <w:t>1 per 1 or 2 students</w:t>
            </w:r>
          </w:p>
        </w:tc>
        <w:tc>
          <w:tcPr>
            <w:tcW w:w="2005" w:type="dxa"/>
            <w:tcMar>
              <w:left w:w="29" w:type="dxa"/>
              <w:right w:w="29" w:type="dxa"/>
            </w:tcMar>
          </w:tcPr>
          <w:p w14:paraId="2FF4F500" w14:textId="77777777" w:rsidR="00F976BE" w:rsidRPr="006A1F0E" w:rsidRDefault="00F976BE" w:rsidP="00095D7D">
            <w:pPr>
              <w:pStyle w:val="JCETabletext"/>
            </w:pPr>
            <w:r w:rsidRPr="006A1F0E">
              <w:t>Recrystallisation, liquid–liquid extraction, rotary evaporation</w:t>
            </w:r>
          </w:p>
          <w:p w14:paraId="6367C795" w14:textId="77777777" w:rsidR="00F976BE" w:rsidRPr="006A1F0E" w:rsidRDefault="00F976BE" w:rsidP="00095D7D">
            <w:pPr>
              <w:pStyle w:val="JCEcaption"/>
            </w:pPr>
          </w:p>
        </w:tc>
      </w:tr>
      <w:tr w:rsidR="00F976BE" w:rsidRPr="006A1F0E" w14:paraId="38A42F8C" w14:textId="77777777" w:rsidTr="00095D7D">
        <w:trPr>
          <w:trHeight w:val="636"/>
        </w:trPr>
        <w:tc>
          <w:tcPr>
            <w:tcW w:w="1620" w:type="dxa"/>
            <w:tcMar>
              <w:right w:w="29" w:type="dxa"/>
            </w:tcMar>
          </w:tcPr>
          <w:p w14:paraId="53A8CCC8" w14:textId="77777777" w:rsidR="00F976BE" w:rsidRPr="006A1F0E" w:rsidRDefault="00F976BE" w:rsidP="00095D7D">
            <w:pPr>
              <w:pStyle w:val="JCETabletext"/>
            </w:pPr>
            <w:r w:rsidRPr="006A1F0E">
              <w:t>Station observation</w:t>
            </w:r>
          </w:p>
        </w:tc>
        <w:tc>
          <w:tcPr>
            <w:tcW w:w="1170" w:type="dxa"/>
            <w:tcMar>
              <w:left w:w="29" w:type="dxa"/>
              <w:right w:w="29" w:type="dxa"/>
            </w:tcMar>
          </w:tcPr>
          <w:p w14:paraId="0DC4F5B1" w14:textId="77777777" w:rsidR="00F976BE" w:rsidRPr="006A1F0E" w:rsidRDefault="00F976BE" w:rsidP="00095D7D">
            <w:pPr>
              <w:pStyle w:val="JCETabletext"/>
              <w:jc w:val="center"/>
            </w:pPr>
            <w:r w:rsidRPr="006A1F0E">
              <w:t>1 or 2 per station</w:t>
            </w:r>
          </w:p>
        </w:tc>
        <w:tc>
          <w:tcPr>
            <w:tcW w:w="2005" w:type="dxa"/>
            <w:tcMar>
              <w:left w:w="29" w:type="dxa"/>
              <w:right w:w="29" w:type="dxa"/>
            </w:tcMar>
          </w:tcPr>
          <w:p w14:paraId="58124364" w14:textId="77777777" w:rsidR="00F976BE" w:rsidRPr="006A1F0E" w:rsidRDefault="00F976BE" w:rsidP="00095D7D">
            <w:pPr>
              <w:pStyle w:val="JCETabletext"/>
            </w:pPr>
            <w:r w:rsidRPr="006A1F0E">
              <w:t>UV–vis spectrophotometry, IR spectroscopy, Acid–base titration</w:t>
            </w:r>
          </w:p>
          <w:p w14:paraId="4FB04717" w14:textId="77777777" w:rsidR="00F976BE" w:rsidRPr="006A1F0E" w:rsidRDefault="00F976BE" w:rsidP="00095D7D">
            <w:pPr>
              <w:pStyle w:val="JCEcaption"/>
            </w:pPr>
          </w:p>
        </w:tc>
      </w:tr>
      <w:tr w:rsidR="00F976BE" w:rsidRPr="006A1F0E" w14:paraId="7D11C770" w14:textId="77777777" w:rsidTr="00095D7D">
        <w:trPr>
          <w:trHeight w:val="716"/>
        </w:trPr>
        <w:tc>
          <w:tcPr>
            <w:tcW w:w="1620" w:type="dxa"/>
            <w:tcMar>
              <w:right w:w="29" w:type="dxa"/>
            </w:tcMar>
          </w:tcPr>
          <w:p w14:paraId="0DC0E0CF" w14:textId="77777777" w:rsidR="00F976BE" w:rsidRPr="006A1F0E" w:rsidRDefault="00F976BE" w:rsidP="00095D7D">
            <w:pPr>
              <w:pStyle w:val="JCETabletext"/>
            </w:pPr>
            <w:r w:rsidRPr="006A1F0E">
              <w:t>No observational skills assessed by the result of the station</w:t>
            </w:r>
          </w:p>
        </w:tc>
        <w:tc>
          <w:tcPr>
            <w:tcW w:w="1170" w:type="dxa"/>
            <w:tcMar>
              <w:left w:w="29" w:type="dxa"/>
              <w:right w:w="29" w:type="dxa"/>
            </w:tcMar>
          </w:tcPr>
          <w:p w14:paraId="3B7D1B99" w14:textId="77777777" w:rsidR="00F976BE" w:rsidRPr="006A1F0E" w:rsidRDefault="00F976BE" w:rsidP="00095D7D">
            <w:pPr>
              <w:pStyle w:val="JCETabletext"/>
              <w:jc w:val="center"/>
            </w:pPr>
            <w:r w:rsidRPr="006A1F0E">
              <w:t>0</w:t>
            </w:r>
            <w:r w:rsidRPr="006A1F0E">
              <w:rPr>
                <w:rFonts w:cs="Cambria"/>
                <w:i/>
                <w:iCs/>
                <w:vertAlign w:val="superscript"/>
              </w:rPr>
              <w:t>a</w:t>
            </w:r>
          </w:p>
        </w:tc>
        <w:tc>
          <w:tcPr>
            <w:tcW w:w="2005" w:type="dxa"/>
            <w:tcMar>
              <w:left w:w="29" w:type="dxa"/>
              <w:right w:w="29" w:type="dxa"/>
            </w:tcMar>
          </w:tcPr>
          <w:p w14:paraId="4998917A" w14:textId="77777777" w:rsidR="00F976BE" w:rsidRPr="006A1F0E" w:rsidRDefault="00F976BE" w:rsidP="00095D7D">
            <w:pPr>
              <w:pStyle w:val="JCETabletext"/>
            </w:pPr>
            <w:r w:rsidRPr="006A1F0E">
              <w:t xml:space="preserve">All other skills listed in Figure 1 and stations listed in Table </w:t>
            </w:r>
            <w:r>
              <w:t>1</w:t>
            </w:r>
          </w:p>
        </w:tc>
      </w:tr>
      <w:tr w:rsidR="00F976BE" w:rsidRPr="006A1F0E" w14:paraId="2D03DE67" w14:textId="77777777" w:rsidTr="00095D7D">
        <w:trPr>
          <w:trHeight w:val="225"/>
        </w:trPr>
        <w:tc>
          <w:tcPr>
            <w:tcW w:w="4795" w:type="dxa"/>
            <w:gridSpan w:val="3"/>
            <w:tcBorders>
              <w:bottom w:val="single" w:sz="2" w:space="0" w:color="auto"/>
            </w:tcBorders>
          </w:tcPr>
          <w:p w14:paraId="2E1D16E3" w14:textId="77777777" w:rsidR="00F976BE" w:rsidRPr="006A1F0E" w:rsidRDefault="00F976BE" w:rsidP="00095D7D">
            <w:pPr>
              <w:pStyle w:val="JCETabletext"/>
            </w:pPr>
            <w:r w:rsidRPr="006A1F0E">
              <w:rPr>
                <w:rFonts w:cs="Cambria"/>
                <w:i/>
                <w:iCs/>
                <w:vertAlign w:val="superscript"/>
              </w:rPr>
              <w:t>a</w:t>
            </w:r>
            <w:r w:rsidRPr="006A1F0E">
              <w:t xml:space="preserve">A “patrolling” examiner was present to troubleshoot. </w:t>
            </w:r>
          </w:p>
        </w:tc>
      </w:tr>
    </w:tbl>
    <w:p w14:paraId="67374BA5" w14:textId="77777777" w:rsidR="00F976BE" w:rsidRPr="00F976BE" w:rsidRDefault="00F976BE" w:rsidP="00F976BE">
      <w:pPr>
        <w:pStyle w:val="JCEbodytext"/>
      </w:pPr>
    </w:p>
    <w:p w14:paraId="152A6EF5" w14:textId="77777777" w:rsidR="000A26D5" w:rsidRPr="004C4A67" w:rsidRDefault="003850BB" w:rsidP="00EC2311">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Having a 1:1 staff</w:t>
      </w:r>
      <w:r w:rsidR="0062692F">
        <w:rPr>
          <w:rFonts w:ascii="Bookman Old Style" w:hAnsi="Bookman Old Style" w:cstheme="minorHAnsi"/>
          <w:sz w:val="20"/>
          <w:szCs w:val="20"/>
        </w:rPr>
        <w:t>:</w:t>
      </w:r>
      <w:r w:rsidRPr="004C4A67">
        <w:rPr>
          <w:rFonts w:ascii="Bookman Old Style" w:hAnsi="Bookman Old Style" w:cstheme="minorHAnsi"/>
          <w:sz w:val="20"/>
          <w:szCs w:val="20"/>
        </w:rPr>
        <w:t xml:space="preserve">student ratio is unrealistic, </w:t>
      </w:r>
      <w:r w:rsidR="00F81885" w:rsidRPr="004C4A67">
        <w:rPr>
          <w:rFonts w:ascii="Bookman Old Style" w:hAnsi="Bookman Old Style" w:cstheme="minorHAnsi"/>
          <w:sz w:val="20"/>
          <w:szCs w:val="20"/>
        </w:rPr>
        <w:t xml:space="preserve">therefore </w:t>
      </w:r>
      <w:r w:rsidRPr="004C4A67">
        <w:rPr>
          <w:rFonts w:ascii="Bookman Old Style" w:hAnsi="Bookman Old Style" w:cstheme="minorHAnsi"/>
          <w:sz w:val="20"/>
          <w:szCs w:val="20"/>
        </w:rPr>
        <w:t xml:space="preserve">it was important to design the practical exam such that not all stations </w:t>
      </w:r>
      <w:r w:rsidR="0062692F">
        <w:rPr>
          <w:rFonts w:ascii="Bookman Old Style" w:hAnsi="Bookman Old Style" w:cstheme="minorHAnsi"/>
          <w:sz w:val="20"/>
          <w:szCs w:val="20"/>
        </w:rPr>
        <w:t>require</w:t>
      </w:r>
      <w:r w:rsidR="0062692F"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 xml:space="preserve">assessment </w:t>
      </w:r>
      <w:r w:rsidRPr="004C4A67">
        <w:rPr>
          <w:rFonts w:ascii="Bookman Old Style" w:hAnsi="Bookman Old Style" w:cstheme="minorHAnsi"/>
          <w:i/>
          <w:sz w:val="20"/>
          <w:szCs w:val="20"/>
        </w:rPr>
        <w:t>via</w:t>
      </w:r>
      <w:r w:rsidRPr="004C4A67">
        <w:rPr>
          <w:rFonts w:ascii="Bookman Old Style" w:hAnsi="Bookman Old Style" w:cstheme="minorHAnsi"/>
          <w:sz w:val="20"/>
          <w:szCs w:val="20"/>
        </w:rPr>
        <w:t xml:space="preserve"> direct observation o</w:t>
      </w:r>
      <w:r w:rsidR="00F81885" w:rsidRPr="004C4A67">
        <w:rPr>
          <w:rFonts w:ascii="Bookman Old Style" w:hAnsi="Bookman Old Style" w:cstheme="minorHAnsi"/>
          <w:sz w:val="20"/>
          <w:szCs w:val="20"/>
        </w:rPr>
        <w:t>f the technique being performed</w:t>
      </w:r>
      <w:r w:rsidR="00D31DFD">
        <w:rPr>
          <w:rFonts w:ascii="Bookman Old Style" w:hAnsi="Bookman Old Style" w:cstheme="minorHAnsi"/>
          <w:sz w:val="20"/>
          <w:szCs w:val="20"/>
        </w:rPr>
        <w:t xml:space="preserve">, </w:t>
      </w:r>
      <w:r w:rsidR="00F81885" w:rsidRPr="004C4A67">
        <w:rPr>
          <w:rFonts w:ascii="Bookman Old Style" w:hAnsi="Bookman Old Style" w:cstheme="minorHAnsi"/>
          <w:sz w:val="20"/>
          <w:szCs w:val="20"/>
        </w:rPr>
        <w:t xml:space="preserve">but </w:t>
      </w:r>
      <w:r w:rsidR="00D31DFD">
        <w:rPr>
          <w:rFonts w:ascii="Bookman Old Style" w:hAnsi="Bookman Old Style" w:cstheme="minorHAnsi"/>
          <w:sz w:val="20"/>
          <w:szCs w:val="20"/>
        </w:rPr>
        <w:t xml:space="preserve">still </w:t>
      </w:r>
      <w:r w:rsidR="00F81885" w:rsidRPr="004C4A67">
        <w:rPr>
          <w:rFonts w:ascii="Bookman Old Style" w:hAnsi="Bookman Old Style" w:cstheme="minorHAnsi"/>
          <w:sz w:val="20"/>
          <w:szCs w:val="20"/>
        </w:rPr>
        <w:t>explicit</w:t>
      </w:r>
      <w:r w:rsidR="00D31DFD">
        <w:rPr>
          <w:rFonts w:ascii="Bookman Old Style" w:hAnsi="Bookman Old Style" w:cstheme="minorHAnsi"/>
          <w:sz w:val="20"/>
          <w:szCs w:val="20"/>
        </w:rPr>
        <w:t>ly</w:t>
      </w:r>
      <w:r w:rsidR="00F81885" w:rsidRPr="004C4A67">
        <w:rPr>
          <w:rFonts w:ascii="Bookman Old Style" w:hAnsi="Bookman Old Style" w:cstheme="minorHAnsi"/>
          <w:sz w:val="20"/>
          <w:szCs w:val="20"/>
        </w:rPr>
        <w:t xml:space="preserve"> assess practical skills</w:t>
      </w:r>
      <w:r w:rsidR="005A28CE" w:rsidRPr="004C4A67">
        <w:rPr>
          <w:rFonts w:ascii="Bookman Old Style" w:hAnsi="Bookman Old Style" w:cstheme="minorHAnsi"/>
          <w:sz w:val="20"/>
          <w:szCs w:val="20"/>
        </w:rPr>
        <w:t>. In terms of observation,</w:t>
      </w:r>
      <w:r w:rsidRPr="004C4A67">
        <w:rPr>
          <w:rFonts w:ascii="Bookman Old Style" w:hAnsi="Bookman Old Style" w:cstheme="minorHAnsi"/>
          <w:sz w:val="20"/>
          <w:szCs w:val="20"/>
        </w:rPr>
        <w:t xml:space="preserve"> </w:t>
      </w:r>
      <w:r w:rsidR="005A28CE" w:rsidRPr="004C4A67">
        <w:rPr>
          <w:rFonts w:ascii="Bookman Old Style" w:hAnsi="Bookman Old Style" w:cstheme="minorHAnsi"/>
          <w:sz w:val="20"/>
          <w:szCs w:val="20"/>
        </w:rPr>
        <w:t xml:space="preserve">stations are </w:t>
      </w:r>
      <w:r w:rsidRPr="004C4A67">
        <w:rPr>
          <w:rFonts w:ascii="Bookman Old Style" w:hAnsi="Bookman Old Style" w:cstheme="minorHAnsi"/>
          <w:sz w:val="20"/>
          <w:szCs w:val="20"/>
        </w:rPr>
        <w:t xml:space="preserve">generally split into three types, shown in Table </w:t>
      </w:r>
      <w:r w:rsidR="006A1F0E">
        <w:rPr>
          <w:rFonts w:ascii="Bookman Old Style" w:hAnsi="Bookman Old Style" w:cstheme="minorHAnsi"/>
          <w:sz w:val="20"/>
          <w:szCs w:val="20"/>
        </w:rPr>
        <w:t>2</w:t>
      </w:r>
      <w:r w:rsidRPr="004C4A67">
        <w:rPr>
          <w:rFonts w:ascii="Bookman Old Style" w:hAnsi="Bookman Old Style" w:cstheme="minorHAnsi"/>
          <w:sz w:val="20"/>
          <w:szCs w:val="20"/>
        </w:rPr>
        <w:t>.</w:t>
      </w:r>
    </w:p>
    <w:p w14:paraId="2B0C575B" w14:textId="77777777" w:rsidR="00EC2311" w:rsidRPr="004C4A67" w:rsidRDefault="00EC2311" w:rsidP="00EC2311">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 xml:space="preserve">To ensure </w:t>
      </w:r>
      <w:r w:rsidR="00D31DFD" w:rsidRPr="004C4A67">
        <w:rPr>
          <w:rFonts w:ascii="Bookman Old Style" w:hAnsi="Bookman Old Style" w:cstheme="minorHAnsi"/>
          <w:sz w:val="20"/>
          <w:szCs w:val="20"/>
        </w:rPr>
        <w:t>consistenc</w:t>
      </w:r>
      <w:r w:rsidR="00D31DFD">
        <w:rPr>
          <w:rFonts w:ascii="Bookman Old Style" w:hAnsi="Bookman Old Style" w:cstheme="minorHAnsi"/>
          <w:sz w:val="20"/>
          <w:szCs w:val="20"/>
        </w:rPr>
        <w:t>y</w:t>
      </w:r>
      <w:r w:rsidR="00D31DFD"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 xml:space="preserve">between examiners, each station has a detailed mark scheme, broken down into specific points. An example for the recrystallisation station is provided in Supporting Information Figure S2). For directly observed stations (Table </w:t>
      </w:r>
      <w:r w:rsidR="006A1F0E">
        <w:rPr>
          <w:rFonts w:ascii="Bookman Old Style" w:hAnsi="Bookman Old Style" w:cstheme="minorHAnsi"/>
          <w:sz w:val="20"/>
          <w:szCs w:val="20"/>
        </w:rPr>
        <w:t>2</w:t>
      </w:r>
      <w:r w:rsidRPr="004C4A67">
        <w:rPr>
          <w:rFonts w:ascii="Bookman Old Style" w:hAnsi="Bookman Old Style" w:cstheme="minorHAnsi"/>
          <w:sz w:val="20"/>
          <w:szCs w:val="20"/>
        </w:rPr>
        <w:t>), examiners are only required to tick whether the student has completed each stage and provide some notes for feedback. This makes examining as straightforward as possible, and therefore importantly, as fair and consistent as possible for the students.</w:t>
      </w:r>
    </w:p>
    <w:p w14:paraId="13800C96" w14:textId="77777777" w:rsidR="003850BB" w:rsidRPr="004C4A67" w:rsidRDefault="003850BB" w:rsidP="003850BB">
      <w:pPr>
        <w:pStyle w:val="JCEH1"/>
        <w:spacing w:before="180"/>
      </w:pPr>
      <w:r w:rsidRPr="004C4A67">
        <w:t>EVALUATION</w:t>
      </w:r>
    </w:p>
    <w:p w14:paraId="326F97C2" w14:textId="77777777" w:rsidR="003850BB" w:rsidRPr="004C4A67" w:rsidRDefault="003850BB" w:rsidP="006734F4">
      <w:pPr>
        <w:pStyle w:val="JCEbodytext"/>
      </w:pPr>
    </w:p>
    <w:p w14:paraId="7E1DA8F7" w14:textId="77777777" w:rsidR="003850BB" w:rsidRPr="004C4A67" w:rsidRDefault="003850BB" w:rsidP="003850BB">
      <w:pPr>
        <w:pStyle w:val="JCEH2"/>
      </w:pPr>
      <w:r w:rsidRPr="004C4A67">
        <w:t>Marks</w:t>
      </w:r>
    </w:p>
    <w:p w14:paraId="52E81479" w14:textId="77777777" w:rsidR="00BF2C70" w:rsidRPr="004C4A67" w:rsidRDefault="003850BB" w:rsidP="002B7CDB">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 xml:space="preserve">The marks for the practical exam over seven academic years is presented in </w:t>
      </w:r>
      <w:r w:rsidR="0018159D" w:rsidRPr="004C4A67">
        <w:rPr>
          <w:rFonts w:ascii="Bookman Old Style" w:hAnsi="Bookman Old Style" w:cstheme="minorHAnsi"/>
          <w:sz w:val="20"/>
          <w:szCs w:val="20"/>
        </w:rPr>
        <w:t xml:space="preserve">Table </w:t>
      </w:r>
      <w:r w:rsidR="001E7162">
        <w:rPr>
          <w:rFonts w:ascii="Bookman Old Style" w:hAnsi="Bookman Old Style" w:cstheme="minorHAnsi"/>
          <w:sz w:val="20"/>
          <w:szCs w:val="20"/>
        </w:rPr>
        <w:t>3</w:t>
      </w:r>
      <w:r w:rsidRPr="004C4A67">
        <w:rPr>
          <w:rFonts w:ascii="Bookman Old Style" w:hAnsi="Bookman Old Style" w:cstheme="minorHAnsi"/>
          <w:sz w:val="20"/>
          <w:szCs w:val="20"/>
        </w:rPr>
        <w:t xml:space="preserve">. </w:t>
      </w:r>
      <w:r w:rsidR="0018159D" w:rsidRPr="004C4A67">
        <w:rPr>
          <w:rFonts w:ascii="Bookman Old Style" w:hAnsi="Bookman Old Style" w:cstheme="minorHAnsi"/>
          <w:sz w:val="20"/>
          <w:szCs w:val="20"/>
        </w:rPr>
        <w:t>M</w:t>
      </w:r>
      <w:r w:rsidRPr="004C4A67">
        <w:rPr>
          <w:rFonts w:ascii="Bookman Old Style" w:hAnsi="Bookman Old Style" w:cstheme="minorHAnsi"/>
          <w:sz w:val="20"/>
          <w:szCs w:val="20"/>
        </w:rPr>
        <w:t>ean marks are clustered around 60-65% and the failure rate is relatively low.</w:t>
      </w:r>
      <w:r w:rsidR="002B7CDB" w:rsidRPr="004C4A67">
        <w:rPr>
          <w:rFonts w:ascii="Bookman Old Style" w:hAnsi="Bookman Old Style" w:cstheme="minorHAnsi"/>
          <w:sz w:val="20"/>
          <w:szCs w:val="20"/>
        </w:rPr>
        <w:t xml:space="preserve"> While in </w:t>
      </w:r>
      <w:r w:rsidR="002B7CDB" w:rsidRPr="004C4A67">
        <w:rPr>
          <w:rFonts w:ascii="Bookman Old Style" w:hAnsi="Bookman Old Style" w:cstheme="minorHAnsi"/>
          <w:b/>
          <w:sz w:val="20"/>
          <w:szCs w:val="20"/>
        </w:rPr>
        <w:t>V1</w:t>
      </w:r>
      <w:r w:rsidR="002B7CDB" w:rsidRPr="004C4A67">
        <w:rPr>
          <w:rFonts w:ascii="Bookman Old Style" w:hAnsi="Bookman Old Style" w:cstheme="minorHAnsi"/>
          <w:sz w:val="20"/>
          <w:szCs w:val="20"/>
        </w:rPr>
        <w:t xml:space="preserve"> (Supporting Information Table </w:t>
      </w:r>
      <w:r w:rsidR="00EC5BC9" w:rsidRPr="004C4A67">
        <w:rPr>
          <w:rFonts w:ascii="Bookman Old Style" w:hAnsi="Bookman Old Style" w:cstheme="minorHAnsi"/>
          <w:sz w:val="20"/>
          <w:szCs w:val="20"/>
        </w:rPr>
        <w:t>S</w:t>
      </w:r>
      <w:r w:rsidR="00EC5BC9">
        <w:rPr>
          <w:rFonts w:ascii="Bookman Old Style" w:hAnsi="Bookman Old Style" w:cstheme="minorHAnsi"/>
          <w:sz w:val="20"/>
          <w:szCs w:val="20"/>
        </w:rPr>
        <w:t>5</w:t>
      </w:r>
      <w:r w:rsidR="002B7CDB" w:rsidRPr="004C4A67">
        <w:rPr>
          <w:rFonts w:ascii="Bookman Old Style" w:hAnsi="Bookman Old Style" w:cstheme="minorHAnsi"/>
          <w:sz w:val="20"/>
          <w:szCs w:val="20"/>
        </w:rPr>
        <w:t xml:space="preserve">), students performed poorly on certain stations (e.g. standard solution preparation, UV-Vis spectroscopy), in </w:t>
      </w:r>
      <w:r w:rsidR="002B7CDB" w:rsidRPr="004C4A67">
        <w:rPr>
          <w:rFonts w:ascii="Bookman Old Style" w:hAnsi="Bookman Old Style" w:cstheme="minorHAnsi"/>
          <w:b/>
          <w:sz w:val="20"/>
          <w:szCs w:val="20"/>
        </w:rPr>
        <w:t>V2</w:t>
      </w:r>
      <w:r w:rsidR="002B7CDB" w:rsidRPr="004C4A67">
        <w:rPr>
          <w:rFonts w:ascii="Bookman Old Style" w:hAnsi="Bookman Old Style" w:cstheme="minorHAnsi"/>
          <w:sz w:val="20"/>
          <w:szCs w:val="20"/>
        </w:rPr>
        <w:t xml:space="preserve"> (Table </w:t>
      </w:r>
      <w:r w:rsidR="001E7162">
        <w:rPr>
          <w:rFonts w:ascii="Bookman Old Style" w:hAnsi="Bookman Old Style" w:cstheme="minorHAnsi"/>
          <w:sz w:val="20"/>
          <w:szCs w:val="20"/>
        </w:rPr>
        <w:t>3</w:t>
      </w:r>
      <w:r w:rsidR="002B7CDB" w:rsidRPr="004C4A67">
        <w:rPr>
          <w:rFonts w:ascii="Bookman Old Style" w:hAnsi="Bookman Old Style" w:cstheme="minorHAnsi"/>
          <w:sz w:val="20"/>
          <w:szCs w:val="20"/>
        </w:rPr>
        <w:t xml:space="preserve">) marks have been more evenly distributed. </w:t>
      </w:r>
      <w:r w:rsidR="00BF2C70" w:rsidRPr="004C4A67">
        <w:rPr>
          <w:rFonts w:ascii="Bookman Old Style" w:hAnsi="Bookman Old Style" w:cstheme="minorHAnsi"/>
          <w:sz w:val="20"/>
          <w:szCs w:val="20"/>
        </w:rPr>
        <w:t>We speculate that the main reason for this is more focused revision, as discussed above in “practical exam details”, but in the case of solution preparation and UV-Vis spectroscopy additional practice has also been recently introduced (see Supporting Information Table S</w:t>
      </w:r>
      <w:r w:rsidR="00A868CD" w:rsidRPr="004C4A67">
        <w:rPr>
          <w:rFonts w:ascii="Bookman Old Style" w:hAnsi="Bookman Old Style" w:cstheme="minorHAnsi"/>
          <w:sz w:val="20"/>
          <w:szCs w:val="20"/>
        </w:rPr>
        <w:t>2</w:t>
      </w:r>
      <w:r w:rsidR="00BF2C70" w:rsidRPr="004C4A67">
        <w:rPr>
          <w:rFonts w:ascii="Bookman Old Style" w:hAnsi="Bookman Old Style" w:cstheme="minorHAnsi"/>
          <w:sz w:val="20"/>
          <w:szCs w:val="20"/>
        </w:rPr>
        <w:t xml:space="preserve">). </w:t>
      </w:r>
    </w:p>
    <w:p w14:paraId="2C6652D4" w14:textId="77777777" w:rsidR="0001576C" w:rsidRPr="002A70A9" w:rsidRDefault="003850BB" w:rsidP="002A70A9">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For those students who fail their first attempt, reassessment is offered late in the second semester. To-date, no student has failed the practical exam upon reassessment</w:t>
      </w:r>
      <w:r w:rsidR="002B7CDB" w:rsidRPr="004C4A67">
        <w:rPr>
          <w:rFonts w:ascii="Bookman Old Style" w:hAnsi="Bookman Old Style" w:cstheme="minorHAnsi"/>
          <w:sz w:val="20"/>
          <w:szCs w:val="20"/>
        </w:rPr>
        <w:t>.</w:t>
      </w:r>
      <w:r w:rsidRPr="004C4A67">
        <w:rPr>
          <w:rFonts w:ascii="Bookman Old Style" w:hAnsi="Bookman Old Style" w:cstheme="minorHAnsi"/>
          <w:sz w:val="20"/>
          <w:szCs w:val="20"/>
        </w:rPr>
        <w:t xml:space="preserve"> </w:t>
      </w:r>
      <w:r w:rsidR="002B7CDB" w:rsidRPr="004C4A67">
        <w:rPr>
          <w:rFonts w:ascii="Bookman Old Style" w:hAnsi="Bookman Old Style" w:cstheme="minorHAnsi"/>
          <w:sz w:val="20"/>
          <w:szCs w:val="20"/>
        </w:rPr>
        <w:t xml:space="preserve">Issues </w:t>
      </w:r>
      <w:r w:rsidRPr="004C4A67">
        <w:rPr>
          <w:rFonts w:ascii="Bookman Old Style" w:hAnsi="Bookman Old Style" w:cstheme="minorHAnsi"/>
          <w:sz w:val="20"/>
          <w:szCs w:val="20"/>
        </w:rPr>
        <w:t>of, for example, over-reliance on a stronger lab partner in semester</w:t>
      </w:r>
      <w:r w:rsidR="00BF2C70" w:rsidRPr="004C4A67">
        <w:rPr>
          <w:rFonts w:ascii="Bookman Old Style" w:hAnsi="Bookman Old Style" w:cstheme="minorHAnsi"/>
          <w:sz w:val="20"/>
          <w:szCs w:val="20"/>
        </w:rPr>
        <w:t xml:space="preserve"> 1</w:t>
      </w:r>
      <w:r w:rsidR="00EF3221" w:rsidRPr="004C4A67">
        <w:rPr>
          <w:rFonts w:ascii="Bookman Old Style" w:hAnsi="Bookman Old Style" w:cstheme="minorHAnsi"/>
          <w:sz w:val="20"/>
          <w:szCs w:val="20"/>
        </w:rPr>
        <w:t>,</w:t>
      </w:r>
      <w:r w:rsidRPr="004C4A67">
        <w:rPr>
          <w:rFonts w:ascii="Bookman Old Style" w:hAnsi="Bookman Old Style" w:cstheme="minorHAnsi"/>
          <w:sz w:val="20"/>
          <w:szCs w:val="20"/>
        </w:rPr>
        <w:t xml:space="preserve"> </w:t>
      </w:r>
      <w:r w:rsidR="00BF2C70" w:rsidRPr="004C4A67">
        <w:rPr>
          <w:rFonts w:ascii="Bookman Old Style" w:hAnsi="Bookman Old Style" w:cstheme="minorHAnsi"/>
          <w:sz w:val="20"/>
          <w:szCs w:val="20"/>
        </w:rPr>
        <w:t xml:space="preserve">can be </w:t>
      </w:r>
      <w:r w:rsidRPr="004C4A67">
        <w:rPr>
          <w:rFonts w:ascii="Bookman Old Style" w:hAnsi="Bookman Old Style" w:cstheme="minorHAnsi"/>
          <w:sz w:val="20"/>
          <w:szCs w:val="20"/>
        </w:rPr>
        <w:t>addressed via this mechanism.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30"/>
        <w:gridCol w:w="1350"/>
        <w:gridCol w:w="1080"/>
        <w:gridCol w:w="1050"/>
        <w:gridCol w:w="1050"/>
        <w:gridCol w:w="1050"/>
        <w:gridCol w:w="990"/>
        <w:gridCol w:w="985"/>
        <w:gridCol w:w="985"/>
      </w:tblGrid>
      <w:tr w:rsidR="001E7162" w14:paraId="2E475047" w14:textId="77777777" w:rsidTr="00D31DFD">
        <w:tc>
          <w:tcPr>
            <w:tcW w:w="10070" w:type="dxa"/>
            <w:gridSpan w:val="9"/>
            <w:tcMar>
              <w:right w:w="29" w:type="dxa"/>
            </w:tcMar>
          </w:tcPr>
          <w:p w14:paraId="342351F6" w14:textId="77777777" w:rsidR="00F976BE" w:rsidRDefault="00F976BE" w:rsidP="00D31DFD">
            <w:pPr>
              <w:pStyle w:val="JCETabletitle"/>
            </w:pPr>
          </w:p>
          <w:p w14:paraId="0830D542" w14:textId="77777777" w:rsidR="00F976BE" w:rsidRDefault="00F976BE" w:rsidP="00D31DFD">
            <w:pPr>
              <w:pStyle w:val="JCETabletitle"/>
            </w:pPr>
          </w:p>
          <w:p w14:paraId="3474677E" w14:textId="77777777" w:rsidR="00F976BE" w:rsidRDefault="00F976BE" w:rsidP="00D31DFD">
            <w:pPr>
              <w:pStyle w:val="JCETabletitle"/>
            </w:pPr>
          </w:p>
          <w:p w14:paraId="4709D3F8" w14:textId="77777777" w:rsidR="00F976BE" w:rsidRDefault="00F976BE" w:rsidP="00D31DFD">
            <w:pPr>
              <w:pStyle w:val="JCETabletitle"/>
            </w:pPr>
          </w:p>
          <w:p w14:paraId="0504A340" w14:textId="77777777" w:rsidR="00F976BE" w:rsidRDefault="00F976BE" w:rsidP="00D31DFD">
            <w:pPr>
              <w:pStyle w:val="JCETabletitle"/>
            </w:pPr>
          </w:p>
          <w:p w14:paraId="6C827BEA" w14:textId="77777777" w:rsidR="00F976BE" w:rsidRDefault="00F976BE" w:rsidP="00D31DFD">
            <w:pPr>
              <w:pStyle w:val="JCETabletitle"/>
            </w:pPr>
          </w:p>
          <w:p w14:paraId="135CA2E3" w14:textId="77777777" w:rsidR="00F976BE" w:rsidRDefault="00F976BE" w:rsidP="00D31DFD">
            <w:pPr>
              <w:pStyle w:val="JCETabletitle"/>
            </w:pPr>
          </w:p>
          <w:p w14:paraId="6C8465EE" w14:textId="649A6D36" w:rsidR="001E7162" w:rsidRPr="002A70A9" w:rsidRDefault="001E7162" w:rsidP="00D31DFD">
            <w:pPr>
              <w:pStyle w:val="JCETabletitle"/>
            </w:pPr>
            <w:bookmarkStart w:id="0" w:name="_GoBack"/>
            <w:bookmarkEnd w:id="0"/>
            <w:r w:rsidRPr="002A70A9">
              <w:t>Table 3. Mean Practical Exam Marks ± One Standard Deviation and Failure Rates from 2012–2013 to 2018–2019</w:t>
            </w:r>
          </w:p>
        </w:tc>
      </w:tr>
      <w:tr w:rsidR="001E7162" w14:paraId="15426823" w14:textId="77777777" w:rsidTr="00D31DFD">
        <w:tc>
          <w:tcPr>
            <w:tcW w:w="1530" w:type="dxa"/>
            <w:vMerge w:val="restart"/>
            <w:shd w:val="clear" w:color="auto" w:fill="D9D9D9" w:themeFill="background1" w:themeFillShade="D9"/>
            <w:tcMar>
              <w:right w:w="29" w:type="dxa"/>
            </w:tcMar>
          </w:tcPr>
          <w:p w14:paraId="00DF6E2B" w14:textId="77777777" w:rsidR="001E7162" w:rsidRPr="002A70A9" w:rsidRDefault="001E7162" w:rsidP="00D31DFD">
            <w:pPr>
              <w:pStyle w:val="JCETabletext"/>
              <w:jc w:val="center"/>
            </w:pPr>
            <w:r w:rsidRPr="002A70A9">
              <w:t>Practical Exam Versions</w:t>
            </w:r>
          </w:p>
        </w:tc>
        <w:tc>
          <w:tcPr>
            <w:tcW w:w="1350" w:type="dxa"/>
            <w:vMerge w:val="restart"/>
            <w:shd w:val="clear" w:color="auto" w:fill="D9D9D9" w:themeFill="background1" w:themeFillShade="D9"/>
            <w:tcMar>
              <w:left w:w="29" w:type="dxa"/>
              <w:right w:w="29" w:type="dxa"/>
            </w:tcMar>
          </w:tcPr>
          <w:p w14:paraId="169207D8" w14:textId="77777777" w:rsidR="001E7162" w:rsidRPr="002A70A9" w:rsidRDefault="001E7162" w:rsidP="00D31DFD">
            <w:pPr>
              <w:pStyle w:val="JCETabletext"/>
              <w:jc w:val="center"/>
            </w:pPr>
            <w:r w:rsidRPr="002A70A9">
              <w:t>Academic Year</w:t>
            </w:r>
          </w:p>
        </w:tc>
        <w:tc>
          <w:tcPr>
            <w:tcW w:w="1080" w:type="dxa"/>
            <w:vMerge w:val="restart"/>
            <w:shd w:val="clear" w:color="auto" w:fill="D9D9D9" w:themeFill="background1" w:themeFillShade="D9"/>
            <w:tcMar>
              <w:left w:w="29" w:type="dxa"/>
              <w:right w:w="29" w:type="dxa"/>
            </w:tcMar>
          </w:tcPr>
          <w:p w14:paraId="7B43A0FD" w14:textId="77777777" w:rsidR="001E7162" w:rsidRPr="002A70A9" w:rsidRDefault="001E7162" w:rsidP="00D31DFD">
            <w:pPr>
              <w:pStyle w:val="JCETabletext"/>
              <w:jc w:val="center"/>
            </w:pPr>
            <w:r w:rsidRPr="002A70A9">
              <w:t xml:space="preserve">Students, </w:t>
            </w:r>
            <w:r w:rsidRPr="002A70A9">
              <w:rPr>
                <w:i/>
                <w:iCs/>
              </w:rPr>
              <w:t>N</w:t>
            </w:r>
          </w:p>
        </w:tc>
        <w:tc>
          <w:tcPr>
            <w:tcW w:w="3150" w:type="dxa"/>
            <w:gridSpan w:val="3"/>
            <w:shd w:val="clear" w:color="auto" w:fill="D9D9D9" w:themeFill="background1" w:themeFillShade="D9"/>
            <w:tcMar>
              <w:left w:w="29" w:type="dxa"/>
              <w:right w:w="29" w:type="dxa"/>
            </w:tcMar>
          </w:tcPr>
          <w:p w14:paraId="6C84061A" w14:textId="77777777" w:rsidR="001E7162" w:rsidRPr="002A70A9" w:rsidRDefault="001E7162" w:rsidP="002A70A9">
            <w:pPr>
              <w:pStyle w:val="JCETabletext"/>
              <w:jc w:val="center"/>
            </w:pPr>
            <w:r w:rsidRPr="002A70A9">
              <w:t>Stations (</w:t>
            </w:r>
            <w:r w:rsidR="002A70A9" w:rsidRPr="002A70A9">
              <w:t>each worth 20 marks</w:t>
            </w:r>
            <w:r w:rsidRPr="002A70A9">
              <w:t>)</w:t>
            </w:r>
          </w:p>
        </w:tc>
        <w:tc>
          <w:tcPr>
            <w:tcW w:w="990" w:type="dxa"/>
            <w:vMerge w:val="restart"/>
            <w:shd w:val="clear" w:color="auto" w:fill="D9D9D9" w:themeFill="background1" w:themeFillShade="D9"/>
            <w:tcMar>
              <w:left w:w="29" w:type="dxa"/>
              <w:right w:w="29" w:type="dxa"/>
            </w:tcMar>
          </w:tcPr>
          <w:p w14:paraId="1FEB032A" w14:textId="77777777" w:rsidR="001E7162" w:rsidRPr="002A70A9" w:rsidRDefault="001E7162" w:rsidP="00D31DFD">
            <w:pPr>
              <w:pStyle w:val="JCETabletext"/>
              <w:jc w:val="center"/>
            </w:pPr>
            <w:r w:rsidRPr="002A70A9">
              <w:t>Mean Mark, %</w:t>
            </w:r>
          </w:p>
        </w:tc>
        <w:tc>
          <w:tcPr>
            <w:tcW w:w="1970" w:type="dxa"/>
            <w:gridSpan w:val="2"/>
            <w:shd w:val="clear" w:color="auto" w:fill="D9D9D9" w:themeFill="background1" w:themeFillShade="D9"/>
            <w:tcMar>
              <w:left w:w="29" w:type="dxa"/>
              <w:right w:w="29" w:type="dxa"/>
            </w:tcMar>
          </w:tcPr>
          <w:p w14:paraId="15E53582" w14:textId="77777777" w:rsidR="001E7162" w:rsidRPr="002A70A9" w:rsidRDefault="001E7162" w:rsidP="00D31DFD">
            <w:pPr>
              <w:pStyle w:val="JCETabletext"/>
              <w:jc w:val="center"/>
            </w:pPr>
            <w:r w:rsidRPr="002A70A9">
              <w:t>Failing Grade (&lt;40%)</w:t>
            </w:r>
          </w:p>
        </w:tc>
      </w:tr>
      <w:tr w:rsidR="001E7162" w14:paraId="279D9A33" w14:textId="77777777" w:rsidTr="00D31DFD">
        <w:tc>
          <w:tcPr>
            <w:tcW w:w="1530" w:type="dxa"/>
            <w:vMerge/>
            <w:shd w:val="clear" w:color="auto" w:fill="D9D9D9" w:themeFill="background1" w:themeFillShade="D9"/>
            <w:tcMar>
              <w:right w:w="29" w:type="dxa"/>
            </w:tcMar>
          </w:tcPr>
          <w:p w14:paraId="2FA1CB20" w14:textId="77777777" w:rsidR="001E7162" w:rsidRPr="002A70A9" w:rsidRDefault="001E7162" w:rsidP="00D31DFD">
            <w:pPr>
              <w:pStyle w:val="JCETabletext"/>
              <w:jc w:val="center"/>
            </w:pPr>
          </w:p>
        </w:tc>
        <w:tc>
          <w:tcPr>
            <w:tcW w:w="1350" w:type="dxa"/>
            <w:vMerge/>
            <w:shd w:val="clear" w:color="auto" w:fill="D9D9D9" w:themeFill="background1" w:themeFillShade="D9"/>
            <w:tcMar>
              <w:left w:w="29" w:type="dxa"/>
              <w:right w:w="29" w:type="dxa"/>
            </w:tcMar>
          </w:tcPr>
          <w:p w14:paraId="6CFA5E3E" w14:textId="77777777" w:rsidR="001E7162" w:rsidRPr="002A70A9" w:rsidRDefault="001E7162" w:rsidP="00D31DFD">
            <w:pPr>
              <w:pStyle w:val="JCETabletext"/>
              <w:jc w:val="center"/>
            </w:pPr>
          </w:p>
        </w:tc>
        <w:tc>
          <w:tcPr>
            <w:tcW w:w="1080" w:type="dxa"/>
            <w:vMerge/>
            <w:shd w:val="clear" w:color="auto" w:fill="D9D9D9" w:themeFill="background1" w:themeFillShade="D9"/>
            <w:tcMar>
              <w:left w:w="29" w:type="dxa"/>
              <w:right w:w="29" w:type="dxa"/>
            </w:tcMar>
          </w:tcPr>
          <w:p w14:paraId="5BFE65A3" w14:textId="77777777" w:rsidR="001E7162" w:rsidRPr="002A70A9" w:rsidRDefault="001E7162" w:rsidP="00D31DFD">
            <w:pPr>
              <w:pStyle w:val="JCETabletext"/>
              <w:jc w:val="center"/>
            </w:pPr>
          </w:p>
        </w:tc>
        <w:tc>
          <w:tcPr>
            <w:tcW w:w="1050" w:type="dxa"/>
            <w:shd w:val="clear" w:color="auto" w:fill="D9D9D9" w:themeFill="background1" w:themeFillShade="D9"/>
            <w:tcMar>
              <w:left w:w="29" w:type="dxa"/>
              <w:right w:w="29" w:type="dxa"/>
            </w:tcMar>
          </w:tcPr>
          <w:p w14:paraId="498DF475" w14:textId="77777777" w:rsidR="001E7162" w:rsidRPr="002A70A9" w:rsidRDefault="001E7162" w:rsidP="00D31DFD">
            <w:pPr>
              <w:pStyle w:val="JCETabletext"/>
              <w:jc w:val="center"/>
            </w:pPr>
            <w:r w:rsidRPr="002A70A9">
              <w:t>A</w:t>
            </w:r>
            <w:r w:rsidRPr="002A70A9">
              <w:rPr>
                <w:i/>
                <w:iCs/>
                <w:vertAlign w:val="superscript"/>
              </w:rPr>
              <w:t>a</w:t>
            </w:r>
          </w:p>
        </w:tc>
        <w:tc>
          <w:tcPr>
            <w:tcW w:w="1050" w:type="dxa"/>
            <w:shd w:val="clear" w:color="auto" w:fill="D9D9D9" w:themeFill="background1" w:themeFillShade="D9"/>
            <w:tcMar>
              <w:left w:w="29" w:type="dxa"/>
              <w:right w:w="29" w:type="dxa"/>
            </w:tcMar>
          </w:tcPr>
          <w:p w14:paraId="65E808F7" w14:textId="77777777" w:rsidR="001E7162" w:rsidRPr="002A70A9" w:rsidRDefault="001E7162" w:rsidP="00D31DFD">
            <w:pPr>
              <w:pStyle w:val="JCETabletext"/>
              <w:jc w:val="center"/>
            </w:pPr>
            <w:r w:rsidRPr="002A70A9">
              <w:t>B</w:t>
            </w:r>
            <w:r w:rsidRPr="002A70A9">
              <w:rPr>
                <w:i/>
                <w:iCs/>
                <w:vertAlign w:val="superscript"/>
              </w:rPr>
              <w:t>b</w:t>
            </w:r>
          </w:p>
        </w:tc>
        <w:tc>
          <w:tcPr>
            <w:tcW w:w="1050" w:type="dxa"/>
            <w:shd w:val="clear" w:color="auto" w:fill="D9D9D9" w:themeFill="background1" w:themeFillShade="D9"/>
            <w:tcMar>
              <w:left w:w="29" w:type="dxa"/>
              <w:right w:w="29" w:type="dxa"/>
            </w:tcMar>
          </w:tcPr>
          <w:p w14:paraId="11ACCB1E" w14:textId="77777777" w:rsidR="001E7162" w:rsidRPr="002A70A9" w:rsidRDefault="001E7162" w:rsidP="00D31DFD">
            <w:pPr>
              <w:pStyle w:val="JCETabletext"/>
              <w:jc w:val="center"/>
            </w:pPr>
            <w:r w:rsidRPr="002A70A9">
              <w:t>C</w:t>
            </w:r>
            <w:r w:rsidRPr="002A70A9">
              <w:rPr>
                <w:i/>
                <w:iCs/>
                <w:vertAlign w:val="superscript"/>
              </w:rPr>
              <w:t>c</w:t>
            </w:r>
          </w:p>
        </w:tc>
        <w:tc>
          <w:tcPr>
            <w:tcW w:w="990" w:type="dxa"/>
            <w:vMerge/>
            <w:shd w:val="clear" w:color="auto" w:fill="D9D9D9" w:themeFill="background1" w:themeFillShade="D9"/>
            <w:tcMar>
              <w:left w:w="29" w:type="dxa"/>
              <w:right w:w="29" w:type="dxa"/>
            </w:tcMar>
          </w:tcPr>
          <w:p w14:paraId="2CF8FA24" w14:textId="77777777" w:rsidR="001E7162" w:rsidRPr="002A70A9" w:rsidRDefault="001E7162" w:rsidP="00D31DFD">
            <w:pPr>
              <w:pStyle w:val="JCETabletext"/>
              <w:jc w:val="center"/>
            </w:pPr>
          </w:p>
        </w:tc>
        <w:tc>
          <w:tcPr>
            <w:tcW w:w="985" w:type="dxa"/>
            <w:shd w:val="clear" w:color="auto" w:fill="D9D9D9" w:themeFill="background1" w:themeFillShade="D9"/>
            <w:tcMar>
              <w:left w:w="29" w:type="dxa"/>
              <w:right w:w="29" w:type="dxa"/>
            </w:tcMar>
          </w:tcPr>
          <w:p w14:paraId="66A1126A" w14:textId="77777777" w:rsidR="001E7162" w:rsidRPr="002A70A9" w:rsidRDefault="001E7162" w:rsidP="00D31DFD">
            <w:pPr>
              <w:pStyle w:val="JCETabletext"/>
              <w:jc w:val="center"/>
              <w:rPr>
                <w:i/>
                <w:iCs/>
              </w:rPr>
            </w:pPr>
            <w:r w:rsidRPr="002A70A9">
              <w:rPr>
                <w:i/>
                <w:iCs/>
              </w:rPr>
              <w:t>N</w:t>
            </w:r>
          </w:p>
        </w:tc>
        <w:tc>
          <w:tcPr>
            <w:tcW w:w="985" w:type="dxa"/>
            <w:shd w:val="clear" w:color="auto" w:fill="D9D9D9" w:themeFill="background1" w:themeFillShade="D9"/>
            <w:tcMar>
              <w:left w:w="29" w:type="dxa"/>
              <w:right w:w="29" w:type="dxa"/>
            </w:tcMar>
          </w:tcPr>
          <w:p w14:paraId="4C4C5675" w14:textId="77777777" w:rsidR="001E7162" w:rsidRPr="002A70A9" w:rsidRDefault="001E7162" w:rsidP="00D31DFD">
            <w:pPr>
              <w:pStyle w:val="JCETabletext"/>
              <w:jc w:val="center"/>
            </w:pPr>
            <w:r w:rsidRPr="002A70A9">
              <w:t>%</w:t>
            </w:r>
          </w:p>
        </w:tc>
      </w:tr>
      <w:tr w:rsidR="001E7162" w14:paraId="11B15769" w14:textId="77777777" w:rsidTr="00D31DFD">
        <w:tc>
          <w:tcPr>
            <w:tcW w:w="1530" w:type="dxa"/>
            <w:vMerge w:val="restart"/>
            <w:tcMar>
              <w:right w:w="29" w:type="dxa"/>
            </w:tcMar>
          </w:tcPr>
          <w:p w14:paraId="64316C3E" w14:textId="77777777" w:rsidR="001E7162" w:rsidRPr="002A70A9" w:rsidRDefault="001E7162" w:rsidP="00D31DFD">
            <w:pPr>
              <w:pStyle w:val="JCETabletext"/>
              <w:jc w:val="center"/>
            </w:pPr>
            <w:r w:rsidRPr="002A70A9">
              <w:t>Version 1, V1</w:t>
            </w:r>
          </w:p>
        </w:tc>
        <w:tc>
          <w:tcPr>
            <w:tcW w:w="1350" w:type="dxa"/>
            <w:tcMar>
              <w:left w:w="29" w:type="dxa"/>
              <w:right w:w="29" w:type="dxa"/>
            </w:tcMar>
          </w:tcPr>
          <w:p w14:paraId="57127EEF" w14:textId="77777777" w:rsidR="001E7162" w:rsidRPr="002A70A9" w:rsidRDefault="001E7162" w:rsidP="00D31DFD">
            <w:pPr>
              <w:pStyle w:val="JCETabletext"/>
              <w:tabs>
                <w:tab w:val="decimal" w:pos="600"/>
              </w:tabs>
            </w:pPr>
            <w:r w:rsidRPr="002A70A9">
              <w:rPr>
                <w:rFonts w:cstheme="minorHAnsi"/>
                <w:szCs w:val="18"/>
              </w:rPr>
              <w:t>2012</w:t>
            </w:r>
            <w:r w:rsidR="00D31DFD">
              <w:rPr>
                <w:rFonts w:cstheme="minorHAnsi"/>
                <w:szCs w:val="18"/>
              </w:rPr>
              <w:t>/</w:t>
            </w:r>
            <w:r w:rsidRPr="002A70A9">
              <w:rPr>
                <w:rFonts w:cstheme="minorHAnsi"/>
                <w:szCs w:val="18"/>
              </w:rPr>
              <w:t>13</w:t>
            </w:r>
          </w:p>
        </w:tc>
        <w:tc>
          <w:tcPr>
            <w:tcW w:w="1080" w:type="dxa"/>
            <w:tcMar>
              <w:left w:w="29" w:type="dxa"/>
              <w:right w:w="29" w:type="dxa"/>
            </w:tcMar>
          </w:tcPr>
          <w:p w14:paraId="7B9C6CB0" w14:textId="77777777" w:rsidR="001E7162" w:rsidRPr="002A70A9" w:rsidRDefault="001E7162" w:rsidP="00D31DFD">
            <w:pPr>
              <w:pStyle w:val="JCETabletext"/>
              <w:tabs>
                <w:tab w:val="decimal" w:pos="603"/>
              </w:tabs>
            </w:pPr>
            <w:r w:rsidRPr="002A70A9">
              <w:rPr>
                <w:rFonts w:cstheme="minorHAnsi"/>
                <w:szCs w:val="18"/>
              </w:rPr>
              <w:t>71</w:t>
            </w:r>
          </w:p>
        </w:tc>
        <w:tc>
          <w:tcPr>
            <w:tcW w:w="1050" w:type="dxa"/>
            <w:tcMar>
              <w:left w:w="29" w:type="dxa"/>
              <w:right w:w="29" w:type="dxa"/>
            </w:tcMar>
          </w:tcPr>
          <w:p w14:paraId="3B02A249" w14:textId="77777777" w:rsidR="001E7162" w:rsidRPr="002A70A9" w:rsidRDefault="001E7162" w:rsidP="00D31DFD">
            <w:pPr>
              <w:pStyle w:val="JCETabletext"/>
              <w:jc w:val="center"/>
            </w:pPr>
            <w:r w:rsidRPr="002A70A9">
              <w:t>—</w:t>
            </w:r>
            <w:r w:rsidRPr="002A70A9">
              <w:rPr>
                <w:i/>
                <w:iCs/>
                <w:vertAlign w:val="superscript"/>
              </w:rPr>
              <w:t>d</w:t>
            </w:r>
          </w:p>
        </w:tc>
        <w:tc>
          <w:tcPr>
            <w:tcW w:w="1050" w:type="dxa"/>
            <w:tcMar>
              <w:left w:w="29" w:type="dxa"/>
              <w:right w:w="29" w:type="dxa"/>
            </w:tcMar>
          </w:tcPr>
          <w:p w14:paraId="6F189838" w14:textId="77777777" w:rsidR="001E7162" w:rsidRPr="002A70A9" w:rsidRDefault="001E7162" w:rsidP="00D31DFD">
            <w:pPr>
              <w:pStyle w:val="JCETabletext"/>
              <w:jc w:val="center"/>
            </w:pPr>
            <w:r w:rsidRPr="002A70A9">
              <w:t>—</w:t>
            </w:r>
            <w:r w:rsidRPr="002A70A9">
              <w:rPr>
                <w:i/>
                <w:iCs/>
                <w:vertAlign w:val="superscript"/>
              </w:rPr>
              <w:t>d</w:t>
            </w:r>
          </w:p>
        </w:tc>
        <w:tc>
          <w:tcPr>
            <w:tcW w:w="1050" w:type="dxa"/>
            <w:tcMar>
              <w:left w:w="29" w:type="dxa"/>
              <w:right w:w="29" w:type="dxa"/>
            </w:tcMar>
          </w:tcPr>
          <w:p w14:paraId="1D94840C" w14:textId="77777777" w:rsidR="001E7162" w:rsidRPr="002A70A9" w:rsidRDefault="001E7162" w:rsidP="00D31DFD">
            <w:pPr>
              <w:pStyle w:val="JCETabletext"/>
              <w:jc w:val="center"/>
            </w:pPr>
            <w:r w:rsidRPr="002A70A9">
              <w:t>—</w:t>
            </w:r>
            <w:r w:rsidRPr="002A70A9">
              <w:rPr>
                <w:i/>
                <w:iCs/>
                <w:vertAlign w:val="superscript"/>
              </w:rPr>
              <w:t>d</w:t>
            </w:r>
          </w:p>
        </w:tc>
        <w:tc>
          <w:tcPr>
            <w:tcW w:w="990" w:type="dxa"/>
            <w:tcMar>
              <w:left w:w="29" w:type="dxa"/>
              <w:right w:w="29" w:type="dxa"/>
            </w:tcMar>
          </w:tcPr>
          <w:p w14:paraId="659A82D2" w14:textId="77777777" w:rsidR="001E7162" w:rsidRPr="002A70A9" w:rsidRDefault="001E7162" w:rsidP="00D31DFD">
            <w:pPr>
              <w:pStyle w:val="JCETabletext"/>
              <w:jc w:val="center"/>
            </w:pPr>
            <w:r w:rsidRPr="002A70A9">
              <w:t>68 ± 13</w:t>
            </w:r>
          </w:p>
        </w:tc>
        <w:tc>
          <w:tcPr>
            <w:tcW w:w="985" w:type="dxa"/>
            <w:tcMar>
              <w:left w:w="29" w:type="dxa"/>
              <w:right w:w="29" w:type="dxa"/>
            </w:tcMar>
          </w:tcPr>
          <w:p w14:paraId="7399908C" w14:textId="77777777" w:rsidR="001E7162" w:rsidRPr="002A70A9" w:rsidRDefault="001E7162" w:rsidP="00D31DFD">
            <w:pPr>
              <w:pStyle w:val="JCETabletext"/>
              <w:tabs>
                <w:tab w:val="decimal" w:pos="513"/>
              </w:tabs>
            </w:pPr>
            <w:r w:rsidRPr="002A70A9">
              <w:t>3</w:t>
            </w:r>
          </w:p>
        </w:tc>
        <w:tc>
          <w:tcPr>
            <w:tcW w:w="985" w:type="dxa"/>
            <w:tcMar>
              <w:left w:w="29" w:type="dxa"/>
              <w:right w:w="29" w:type="dxa"/>
            </w:tcMar>
          </w:tcPr>
          <w:p w14:paraId="654B3807" w14:textId="77777777" w:rsidR="001E7162" w:rsidRPr="002A70A9" w:rsidRDefault="001E7162" w:rsidP="00D31DFD">
            <w:pPr>
              <w:pStyle w:val="JCETabletext"/>
              <w:tabs>
                <w:tab w:val="decimal" w:pos="426"/>
              </w:tabs>
            </w:pPr>
            <w:r w:rsidRPr="002A70A9">
              <w:t>4.4</w:t>
            </w:r>
          </w:p>
        </w:tc>
      </w:tr>
      <w:tr w:rsidR="001E7162" w14:paraId="5067B408" w14:textId="77777777" w:rsidTr="00D31DFD">
        <w:tc>
          <w:tcPr>
            <w:tcW w:w="1530" w:type="dxa"/>
            <w:vMerge/>
            <w:tcMar>
              <w:right w:w="29" w:type="dxa"/>
            </w:tcMar>
          </w:tcPr>
          <w:p w14:paraId="5B731C14" w14:textId="77777777" w:rsidR="001E7162" w:rsidRPr="002A70A9" w:rsidRDefault="001E7162" w:rsidP="00D31DFD">
            <w:pPr>
              <w:pStyle w:val="JCETabletext"/>
              <w:jc w:val="center"/>
            </w:pPr>
          </w:p>
        </w:tc>
        <w:tc>
          <w:tcPr>
            <w:tcW w:w="1350" w:type="dxa"/>
            <w:tcMar>
              <w:left w:w="29" w:type="dxa"/>
              <w:right w:w="29" w:type="dxa"/>
            </w:tcMar>
          </w:tcPr>
          <w:p w14:paraId="6A09094C" w14:textId="77777777" w:rsidR="001E7162" w:rsidRPr="002A70A9" w:rsidRDefault="001E7162" w:rsidP="00D31DFD">
            <w:pPr>
              <w:pStyle w:val="JCETabletext"/>
              <w:tabs>
                <w:tab w:val="decimal" w:pos="600"/>
              </w:tabs>
            </w:pPr>
            <w:r w:rsidRPr="002A70A9">
              <w:rPr>
                <w:rFonts w:cstheme="minorHAnsi"/>
                <w:szCs w:val="18"/>
              </w:rPr>
              <w:t>2013</w:t>
            </w:r>
            <w:r w:rsidR="00D31DFD">
              <w:rPr>
                <w:rFonts w:cstheme="minorHAnsi"/>
                <w:szCs w:val="18"/>
              </w:rPr>
              <w:t>/</w:t>
            </w:r>
            <w:r w:rsidRPr="002A70A9">
              <w:rPr>
                <w:rFonts w:cstheme="minorHAnsi"/>
                <w:szCs w:val="18"/>
              </w:rPr>
              <w:t>14</w:t>
            </w:r>
          </w:p>
        </w:tc>
        <w:tc>
          <w:tcPr>
            <w:tcW w:w="1080" w:type="dxa"/>
            <w:tcMar>
              <w:left w:w="29" w:type="dxa"/>
              <w:right w:w="29" w:type="dxa"/>
            </w:tcMar>
          </w:tcPr>
          <w:p w14:paraId="77B6A73C" w14:textId="77777777" w:rsidR="001E7162" w:rsidRPr="002A70A9" w:rsidRDefault="001E7162" w:rsidP="00D31DFD">
            <w:pPr>
              <w:pStyle w:val="JCETabletext"/>
              <w:tabs>
                <w:tab w:val="decimal" w:pos="603"/>
              </w:tabs>
            </w:pPr>
            <w:r w:rsidRPr="002A70A9">
              <w:rPr>
                <w:rFonts w:cstheme="minorHAnsi"/>
                <w:szCs w:val="18"/>
              </w:rPr>
              <w:t>56</w:t>
            </w:r>
          </w:p>
        </w:tc>
        <w:tc>
          <w:tcPr>
            <w:tcW w:w="1050" w:type="dxa"/>
            <w:tcMar>
              <w:left w:w="29" w:type="dxa"/>
              <w:right w:w="29" w:type="dxa"/>
            </w:tcMar>
          </w:tcPr>
          <w:p w14:paraId="353AA7F4" w14:textId="77777777" w:rsidR="001E7162" w:rsidRPr="002A70A9" w:rsidRDefault="001E7162" w:rsidP="00D31DFD">
            <w:pPr>
              <w:pStyle w:val="JCETabletext"/>
              <w:jc w:val="center"/>
            </w:pPr>
            <w:r w:rsidRPr="002A70A9">
              <w:t>—</w:t>
            </w:r>
            <w:r w:rsidRPr="002A70A9">
              <w:rPr>
                <w:i/>
                <w:iCs/>
                <w:vertAlign w:val="superscript"/>
              </w:rPr>
              <w:t>d</w:t>
            </w:r>
          </w:p>
        </w:tc>
        <w:tc>
          <w:tcPr>
            <w:tcW w:w="1050" w:type="dxa"/>
            <w:tcMar>
              <w:left w:w="29" w:type="dxa"/>
              <w:right w:w="29" w:type="dxa"/>
            </w:tcMar>
          </w:tcPr>
          <w:p w14:paraId="2649F88F" w14:textId="77777777" w:rsidR="001E7162" w:rsidRPr="002A70A9" w:rsidRDefault="001E7162" w:rsidP="00D31DFD">
            <w:pPr>
              <w:pStyle w:val="JCETabletext"/>
              <w:jc w:val="center"/>
            </w:pPr>
            <w:r w:rsidRPr="002A70A9">
              <w:t>—</w:t>
            </w:r>
            <w:r w:rsidRPr="002A70A9">
              <w:rPr>
                <w:i/>
                <w:iCs/>
                <w:vertAlign w:val="superscript"/>
              </w:rPr>
              <w:t>d</w:t>
            </w:r>
          </w:p>
        </w:tc>
        <w:tc>
          <w:tcPr>
            <w:tcW w:w="1050" w:type="dxa"/>
            <w:tcMar>
              <w:left w:w="29" w:type="dxa"/>
              <w:right w:w="29" w:type="dxa"/>
            </w:tcMar>
          </w:tcPr>
          <w:p w14:paraId="7ED15346" w14:textId="77777777" w:rsidR="001E7162" w:rsidRPr="002A70A9" w:rsidRDefault="001E7162" w:rsidP="00D31DFD">
            <w:pPr>
              <w:pStyle w:val="JCETabletext"/>
              <w:jc w:val="center"/>
            </w:pPr>
            <w:r w:rsidRPr="002A70A9">
              <w:t>—</w:t>
            </w:r>
            <w:r w:rsidRPr="002A70A9">
              <w:rPr>
                <w:i/>
                <w:iCs/>
                <w:vertAlign w:val="superscript"/>
              </w:rPr>
              <w:t>d</w:t>
            </w:r>
          </w:p>
        </w:tc>
        <w:tc>
          <w:tcPr>
            <w:tcW w:w="990" w:type="dxa"/>
            <w:tcMar>
              <w:left w:w="29" w:type="dxa"/>
              <w:right w:w="29" w:type="dxa"/>
            </w:tcMar>
          </w:tcPr>
          <w:p w14:paraId="3F748FA7" w14:textId="77777777" w:rsidR="001E7162" w:rsidRPr="002A70A9" w:rsidRDefault="001E7162" w:rsidP="00D31DFD">
            <w:pPr>
              <w:pStyle w:val="JCETabletext"/>
              <w:jc w:val="center"/>
            </w:pPr>
            <w:r w:rsidRPr="002A70A9">
              <w:t>61 ± 13</w:t>
            </w:r>
          </w:p>
        </w:tc>
        <w:tc>
          <w:tcPr>
            <w:tcW w:w="985" w:type="dxa"/>
            <w:tcMar>
              <w:left w:w="29" w:type="dxa"/>
              <w:right w:w="29" w:type="dxa"/>
            </w:tcMar>
          </w:tcPr>
          <w:p w14:paraId="75B7D0CE" w14:textId="77777777" w:rsidR="001E7162" w:rsidRPr="002A70A9" w:rsidRDefault="001E7162" w:rsidP="00D31DFD">
            <w:pPr>
              <w:pStyle w:val="JCETabletext"/>
              <w:tabs>
                <w:tab w:val="decimal" w:pos="513"/>
              </w:tabs>
            </w:pPr>
            <w:r w:rsidRPr="002A70A9">
              <w:t>2</w:t>
            </w:r>
          </w:p>
        </w:tc>
        <w:tc>
          <w:tcPr>
            <w:tcW w:w="985" w:type="dxa"/>
            <w:tcMar>
              <w:left w:w="29" w:type="dxa"/>
              <w:right w:w="29" w:type="dxa"/>
            </w:tcMar>
          </w:tcPr>
          <w:p w14:paraId="27D2788E" w14:textId="77777777" w:rsidR="001E7162" w:rsidRPr="002A70A9" w:rsidRDefault="001E7162" w:rsidP="00D31DFD">
            <w:pPr>
              <w:pStyle w:val="JCETabletext"/>
              <w:tabs>
                <w:tab w:val="decimal" w:pos="426"/>
              </w:tabs>
            </w:pPr>
            <w:r w:rsidRPr="002A70A9">
              <w:t>3.3</w:t>
            </w:r>
          </w:p>
        </w:tc>
      </w:tr>
      <w:tr w:rsidR="001E7162" w14:paraId="1F62499A" w14:textId="77777777" w:rsidTr="00D31DFD">
        <w:tc>
          <w:tcPr>
            <w:tcW w:w="1530" w:type="dxa"/>
            <w:vMerge/>
            <w:tcMar>
              <w:right w:w="29" w:type="dxa"/>
            </w:tcMar>
          </w:tcPr>
          <w:p w14:paraId="35726595" w14:textId="77777777" w:rsidR="001E7162" w:rsidRPr="002A70A9" w:rsidRDefault="001E7162" w:rsidP="00D31DFD">
            <w:pPr>
              <w:pStyle w:val="JCETabletext"/>
              <w:jc w:val="center"/>
            </w:pPr>
          </w:p>
        </w:tc>
        <w:tc>
          <w:tcPr>
            <w:tcW w:w="1350" w:type="dxa"/>
            <w:tcMar>
              <w:left w:w="29" w:type="dxa"/>
              <w:right w:w="29" w:type="dxa"/>
            </w:tcMar>
          </w:tcPr>
          <w:p w14:paraId="00AFD455" w14:textId="77777777" w:rsidR="001E7162" w:rsidRPr="002A70A9" w:rsidRDefault="001E7162" w:rsidP="00D31DFD">
            <w:pPr>
              <w:pStyle w:val="JCETabletext"/>
              <w:tabs>
                <w:tab w:val="decimal" w:pos="600"/>
              </w:tabs>
            </w:pPr>
            <w:r w:rsidRPr="002A70A9">
              <w:rPr>
                <w:rFonts w:cstheme="minorHAnsi"/>
                <w:szCs w:val="18"/>
              </w:rPr>
              <w:t>2014</w:t>
            </w:r>
            <w:r w:rsidR="00D31DFD">
              <w:rPr>
                <w:rFonts w:cstheme="minorHAnsi"/>
                <w:szCs w:val="18"/>
              </w:rPr>
              <w:t>/</w:t>
            </w:r>
            <w:r w:rsidRPr="002A70A9">
              <w:rPr>
                <w:rFonts w:cstheme="minorHAnsi"/>
                <w:szCs w:val="18"/>
              </w:rPr>
              <w:t>15</w:t>
            </w:r>
          </w:p>
        </w:tc>
        <w:tc>
          <w:tcPr>
            <w:tcW w:w="1080" w:type="dxa"/>
            <w:tcMar>
              <w:left w:w="29" w:type="dxa"/>
              <w:right w:w="29" w:type="dxa"/>
            </w:tcMar>
          </w:tcPr>
          <w:p w14:paraId="74717421" w14:textId="77777777" w:rsidR="001E7162" w:rsidRPr="002A70A9" w:rsidRDefault="001E7162" w:rsidP="00D31DFD">
            <w:pPr>
              <w:pStyle w:val="JCETabletext"/>
              <w:tabs>
                <w:tab w:val="decimal" w:pos="603"/>
              </w:tabs>
            </w:pPr>
            <w:r w:rsidRPr="002A70A9">
              <w:rPr>
                <w:rFonts w:cstheme="minorHAnsi"/>
                <w:szCs w:val="18"/>
              </w:rPr>
              <w:t>78</w:t>
            </w:r>
          </w:p>
        </w:tc>
        <w:tc>
          <w:tcPr>
            <w:tcW w:w="1050" w:type="dxa"/>
            <w:tcMar>
              <w:left w:w="29" w:type="dxa"/>
              <w:right w:w="29" w:type="dxa"/>
            </w:tcMar>
          </w:tcPr>
          <w:p w14:paraId="3F80F91F" w14:textId="77777777" w:rsidR="001E7162" w:rsidRPr="002A70A9" w:rsidRDefault="001E7162" w:rsidP="00D31DFD">
            <w:pPr>
              <w:pStyle w:val="JCETabletext"/>
              <w:jc w:val="center"/>
            </w:pPr>
            <w:r w:rsidRPr="002A70A9">
              <w:t>—</w:t>
            </w:r>
            <w:r w:rsidRPr="002A70A9">
              <w:rPr>
                <w:i/>
                <w:iCs/>
                <w:vertAlign w:val="superscript"/>
              </w:rPr>
              <w:t>d</w:t>
            </w:r>
          </w:p>
        </w:tc>
        <w:tc>
          <w:tcPr>
            <w:tcW w:w="1050" w:type="dxa"/>
            <w:tcMar>
              <w:left w:w="29" w:type="dxa"/>
              <w:right w:w="29" w:type="dxa"/>
            </w:tcMar>
          </w:tcPr>
          <w:p w14:paraId="51E1E544" w14:textId="77777777" w:rsidR="001E7162" w:rsidRPr="002A70A9" w:rsidRDefault="001E7162" w:rsidP="00D31DFD">
            <w:pPr>
              <w:pStyle w:val="JCETabletext"/>
              <w:jc w:val="center"/>
            </w:pPr>
            <w:r w:rsidRPr="002A70A9">
              <w:t>—</w:t>
            </w:r>
            <w:r w:rsidRPr="002A70A9">
              <w:rPr>
                <w:i/>
                <w:iCs/>
                <w:vertAlign w:val="superscript"/>
              </w:rPr>
              <w:t>d</w:t>
            </w:r>
          </w:p>
        </w:tc>
        <w:tc>
          <w:tcPr>
            <w:tcW w:w="1050" w:type="dxa"/>
            <w:tcMar>
              <w:left w:w="29" w:type="dxa"/>
              <w:right w:w="29" w:type="dxa"/>
            </w:tcMar>
          </w:tcPr>
          <w:p w14:paraId="622534B9" w14:textId="77777777" w:rsidR="001E7162" w:rsidRPr="002A70A9" w:rsidRDefault="001E7162" w:rsidP="00D31DFD">
            <w:pPr>
              <w:pStyle w:val="JCETabletext"/>
              <w:jc w:val="center"/>
            </w:pPr>
            <w:r w:rsidRPr="002A70A9">
              <w:t>—</w:t>
            </w:r>
            <w:r w:rsidRPr="002A70A9">
              <w:rPr>
                <w:i/>
                <w:iCs/>
                <w:vertAlign w:val="superscript"/>
              </w:rPr>
              <w:t>d</w:t>
            </w:r>
          </w:p>
        </w:tc>
        <w:tc>
          <w:tcPr>
            <w:tcW w:w="990" w:type="dxa"/>
            <w:tcMar>
              <w:left w:w="29" w:type="dxa"/>
              <w:right w:w="29" w:type="dxa"/>
            </w:tcMar>
          </w:tcPr>
          <w:p w14:paraId="486480F0" w14:textId="77777777" w:rsidR="001E7162" w:rsidRPr="002A70A9" w:rsidRDefault="001E7162" w:rsidP="00D31DFD">
            <w:pPr>
              <w:pStyle w:val="JCETabletext"/>
              <w:jc w:val="center"/>
            </w:pPr>
            <w:r w:rsidRPr="002A70A9">
              <w:t>60 ± 10</w:t>
            </w:r>
          </w:p>
        </w:tc>
        <w:tc>
          <w:tcPr>
            <w:tcW w:w="985" w:type="dxa"/>
            <w:tcMar>
              <w:left w:w="29" w:type="dxa"/>
              <w:right w:w="29" w:type="dxa"/>
            </w:tcMar>
          </w:tcPr>
          <w:p w14:paraId="52B347F6" w14:textId="77777777" w:rsidR="001E7162" w:rsidRPr="002A70A9" w:rsidRDefault="001E7162" w:rsidP="00D31DFD">
            <w:pPr>
              <w:pStyle w:val="JCETabletext"/>
              <w:tabs>
                <w:tab w:val="decimal" w:pos="513"/>
              </w:tabs>
            </w:pPr>
            <w:r w:rsidRPr="002A70A9">
              <w:t>3</w:t>
            </w:r>
          </w:p>
        </w:tc>
        <w:tc>
          <w:tcPr>
            <w:tcW w:w="985" w:type="dxa"/>
            <w:tcMar>
              <w:left w:w="29" w:type="dxa"/>
              <w:right w:w="29" w:type="dxa"/>
            </w:tcMar>
          </w:tcPr>
          <w:p w14:paraId="42DC7ADD" w14:textId="77777777" w:rsidR="001E7162" w:rsidRPr="002A70A9" w:rsidRDefault="001E7162" w:rsidP="00D31DFD">
            <w:pPr>
              <w:pStyle w:val="JCETabletext"/>
              <w:tabs>
                <w:tab w:val="decimal" w:pos="426"/>
              </w:tabs>
            </w:pPr>
            <w:r w:rsidRPr="002A70A9">
              <w:t>5.0</w:t>
            </w:r>
          </w:p>
        </w:tc>
      </w:tr>
      <w:tr w:rsidR="001E7162" w14:paraId="53FD6312" w14:textId="77777777" w:rsidTr="00D31DFD">
        <w:tc>
          <w:tcPr>
            <w:tcW w:w="1530" w:type="dxa"/>
            <w:vMerge w:val="restart"/>
            <w:tcMar>
              <w:right w:w="29" w:type="dxa"/>
            </w:tcMar>
          </w:tcPr>
          <w:p w14:paraId="18AE6034" w14:textId="77777777" w:rsidR="001E7162" w:rsidRPr="002A70A9" w:rsidRDefault="001E7162" w:rsidP="00D31DFD">
            <w:pPr>
              <w:pStyle w:val="JCETabletext"/>
              <w:jc w:val="center"/>
            </w:pPr>
            <w:r w:rsidRPr="002A70A9">
              <w:t>Version 2, V2</w:t>
            </w:r>
          </w:p>
        </w:tc>
        <w:tc>
          <w:tcPr>
            <w:tcW w:w="1350" w:type="dxa"/>
            <w:tcMar>
              <w:left w:w="29" w:type="dxa"/>
              <w:right w:w="29" w:type="dxa"/>
            </w:tcMar>
          </w:tcPr>
          <w:p w14:paraId="74AD7AC3" w14:textId="77777777" w:rsidR="001E7162" w:rsidRPr="002A70A9" w:rsidRDefault="001E7162" w:rsidP="00D31DFD">
            <w:pPr>
              <w:pStyle w:val="JCETabletext"/>
              <w:tabs>
                <w:tab w:val="decimal" w:pos="600"/>
              </w:tabs>
            </w:pPr>
            <w:r w:rsidRPr="002A70A9">
              <w:rPr>
                <w:rFonts w:cstheme="minorHAnsi"/>
                <w:szCs w:val="18"/>
              </w:rPr>
              <w:t>2015</w:t>
            </w:r>
            <w:r w:rsidR="00D31DFD">
              <w:rPr>
                <w:rFonts w:cstheme="minorHAnsi"/>
                <w:szCs w:val="18"/>
              </w:rPr>
              <w:t>/</w:t>
            </w:r>
            <w:r w:rsidRPr="002A70A9">
              <w:rPr>
                <w:rFonts w:cstheme="minorHAnsi"/>
                <w:szCs w:val="18"/>
              </w:rPr>
              <w:t>16</w:t>
            </w:r>
          </w:p>
        </w:tc>
        <w:tc>
          <w:tcPr>
            <w:tcW w:w="1080" w:type="dxa"/>
            <w:tcMar>
              <w:left w:w="29" w:type="dxa"/>
              <w:right w:w="29" w:type="dxa"/>
            </w:tcMar>
          </w:tcPr>
          <w:p w14:paraId="3E4B7CCE" w14:textId="77777777" w:rsidR="001E7162" w:rsidRPr="002A70A9" w:rsidRDefault="001E7162" w:rsidP="00D31DFD">
            <w:pPr>
              <w:pStyle w:val="JCETabletext"/>
              <w:tabs>
                <w:tab w:val="decimal" w:pos="603"/>
              </w:tabs>
            </w:pPr>
            <w:r w:rsidRPr="002A70A9">
              <w:rPr>
                <w:rFonts w:cstheme="minorHAnsi"/>
                <w:szCs w:val="18"/>
              </w:rPr>
              <w:t>97</w:t>
            </w:r>
          </w:p>
        </w:tc>
        <w:tc>
          <w:tcPr>
            <w:tcW w:w="1050" w:type="dxa"/>
            <w:tcMar>
              <w:left w:w="29" w:type="dxa"/>
              <w:right w:w="29" w:type="dxa"/>
            </w:tcMar>
          </w:tcPr>
          <w:p w14:paraId="70FFCF50" w14:textId="77777777" w:rsidR="001E7162" w:rsidRPr="002A70A9" w:rsidRDefault="001E7162" w:rsidP="00D31DFD">
            <w:pPr>
              <w:pStyle w:val="JCETabletext"/>
              <w:jc w:val="center"/>
              <w:rPr>
                <w:bCs/>
              </w:rPr>
            </w:pPr>
            <w:r w:rsidRPr="002A70A9">
              <w:rPr>
                <w:rFonts w:cstheme="minorHAnsi"/>
                <w:bCs/>
                <w:szCs w:val="18"/>
              </w:rPr>
              <w:t>11 ± 3</w:t>
            </w:r>
          </w:p>
        </w:tc>
        <w:tc>
          <w:tcPr>
            <w:tcW w:w="1050" w:type="dxa"/>
            <w:tcMar>
              <w:left w:w="29" w:type="dxa"/>
              <w:right w:w="29" w:type="dxa"/>
            </w:tcMar>
          </w:tcPr>
          <w:p w14:paraId="20C12028" w14:textId="77777777" w:rsidR="001E7162" w:rsidRPr="002A70A9" w:rsidRDefault="001E7162" w:rsidP="00D31DFD">
            <w:pPr>
              <w:pStyle w:val="JCETabletext"/>
              <w:jc w:val="center"/>
              <w:rPr>
                <w:bCs/>
              </w:rPr>
            </w:pPr>
            <w:r w:rsidRPr="002A70A9">
              <w:rPr>
                <w:rFonts w:cstheme="minorHAnsi"/>
                <w:bCs/>
                <w:szCs w:val="18"/>
              </w:rPr>
              <w:t>11 ± 5</w:t>
            </w:r>
          </w:p>
        </w:tc>
        <w:tc>
          <w:tcPr>
            <w:tcW w:w="1050" w:type="dxa"/>
            <w:tcMar>
              <w:left w:w="29" w:type="dxa"/>
              <w:right w:w="29" w:type="dxa"/>
            </w:tcMar>
          </w:tcPr>
          <w:p w14:paraId="2BFB6E2E" w14:textId="77777777" w:rsidR="001E7162" w:rsidRPr="002A70A9" w:rsidRDefault="001E7162" w:rsidP="00D31DFD">
            <w:pPr>
              <w:pStyle w:val="JCETabletext"/>
              <w:jc w:val="center"/>
              <w:rPr>
                <w:bCs/>
              </w:rPr>
            </w:pPr>
            <w:r w:rsidRPr="002A70A9">
              <w:rPr>
                <w:rFonts w:cstheme="minorHAnsi"/>
                <w:bCs/>
                <w:szCs w:val="18"/>
              </w:rPr>
              <w:t>13 ± 4</w:t>
            </w:r>
          </w:p>
        </w:tc>
        <w:tc>
          <w:tcPr>
            <w:tcW w:w="990" w:type="dxa"/>
            <w:tcMar>
              <w:left w:w="29" w:type="dxa"/>
              <w:right w:w="29" w:type="dxa"/>
            </w:tcMar>
          </w:tcPr>
          <w:p w14:paraId="67BEB7C5" w14:textId="77777777" w:rsidR="001E7162" w:rsidRPr="002A70A9" w:rsidRDefault="001E7162" w:rsidP="00D31DFD">
            <w:pPr>
              <w:pStyle w:val="JCETabletext"/>
              <w:jc w:val="center"/>
            </w:pPr>
            <w:r w:rsidRPr="002A70A9">
              <w:t>58 ± 14</w:t>
            </w:r>
          </w:p>
        </w:tc>
        <w:tc>
          <w:tcPr>
            <w:tcW w:w="985" w:type="dxa"/>
            <w:tcMar>
              <w:left w:w="29" w:type="dxa"/>
              <w:right w:w="29" w:type="dxa"/>
            </w:tcMar>
          </w:tcPr>
          <w:p w14:paraId="1A9CF156" w14:textId="77777777" w:rsidR="001E7162" w:rsidRPr="002A70A9" w:rsidRDefault="001E7162" w:rsidP="00D31DFD">
            <w:pPr>
              <w:pStyle w:val="JCETabletext"/>
              <w:tabs>
                <w:tab w:val="decimal" w:pos="513"/>
              </w:tabs>
            </w:pPr>
            <w:r w:rsidRPr="002A70A9">
              <w:t>11</w:t>
            </w:r>
          </w:p>
        </w:tc>
        <w:tc>
          <w:tcPr>
            <w:tcW w:w="985" w:type="dxa"/>
            <w:tcMar>
              <w:left w:w="29" w:type="dxa"/>
              <w:right w:w="29" w:type="dxa"/>
            </w:tcMar>
          </w:tcPr>
          <w:p w14:paraId="11E331E2" w14:textId="77777777" w:rsidR="001E7162" w:rsidRPr="002A70A9" w:rsidRDefault="001E7162" w:rsidP="002A70A9">
            <w:pPr>
              <w:pStyle w:val="JCETabletext"/>
              <w:tabs>
                <w:tab w:val="decimal" w:pos="426"/>
              </w:tabs>
            </w:pPr>
            <w:r w:rsidRPr="002A70A9">
              <w:t>11.</w:t>
            </w:r>
            <w:r w:rsidR="002A70A9" w:rsidRPr="002A70A9">
              <w:t>3</w:t>
            </w:r>
          </w:p>
        </w:tc>
      </w:tr>
      <w:tr w:rsidR="001E7162" w14:paraId="743E6DE8" w14:textId="77777777" w:rsidTr="00D31DFD">
        <w:tc>
          <w:tcPr>
            <w:tcW w:w="1530" w:type="dxa"/>
            <w:vMerge/>
            <w:tcMar>
              <w:right w:w="29" w:type="dxa"/>
            </w:tcMar>
          </w:tcPr>
          <w:p w14:paraId="3ACE9DAE" w14:textId="77777777" w:rsidR="001E7162" w:rsidRPr="002A70A9" w:rsidRDefault="001E7162" w:rsidP="00D31DFD">
            <w:pPr>
              <w:pStyle w:val="JCETabletext"/>
            </w:pPr>
          </w:p>
        </w:tc>
        <w:tc>
          <w:tcPr>
            <w:tcW w:w="1350" w:type="dxa"/>
            <w:tcMar>
              <w:left w:w="29" w:type="dxa"/>
              <w:right w:w="29" w:type="dxa"/>
            </w:tcMar>
          </w:tcPr>
          <w:p w14:paraId="2383E485" w14:textId="77777777" w:rsidR="001E7162" w:rsidRPr="002A70A9" w:rsidRDefault="001E7162" w:rsidP="00D31DFD">
            <w:pPr>
              <w:pStyle w:val="JCETabletext"/>
              <w:tabs>
                <w:tab w:val="decimal" w:pos="600"/>
              </w:tabs>
            </w:pPr>
            <w:r w:rsidRPr="002A70A9">
              <w:rPr>
                <w:rFonts w:cstheme="minorHAnsi"/>
                <w:szCs w:val="18"/>
              </w:rPr>
              <w:t>2016</w:t>
            </w:r>
            <w:r w:rsidR="00D31DFD">
              <w:rPr>
                <w:rFonts w:cstheme="minorHAnsi"/>
                <w:szCs w:val="18"/>
              </w:rPr>
              <w:t>/</w:t>
            </w:r>
            <w:r w:rsidRPr="002A70A9">
              <w:rPr>
                <w:rFonts w:cstheme="minorHAnsi"/>
                <w:szCs w:val="18"/>
              </w:rPr>
              <w:t>17</w:t>
            </w:r>
          </w:p>
        </w:tc>
        <w:tc>
          <w:tcPr>
            <w:tcW w:w="1080" w:type="dxa"/>
            <w:tcMar>
              <w:left w:w="29" w:type="dxa"/>
              <w:right w:w="29" w:type="dxa"/>
            </w:tcMar>
          </w:tcPr>
          <w:p w14:paraId="15E280A9" w14:textId="77777777" w:rsidR="001E7162" w:rsidRPr="002A70A9" w:rsidRDefault="001E7162" w:rsidP="00D31DFD">
            <w:pPr>
              <w:pStyle w:val="JCETabletext"/>
              <w:tabs>
                <w:tab w:val="decimal" w:pos="603"/>
              </w:tabs>
            </w:pPr>
            <w:r w:rsidRPr="002A70A9">
              <w:rPr>
                <w:rFonts w:cstheme="minorHAnsi"/>
                <w:szCs w:val="18"/>
              </w:rPr>
              <w:t>112</w:t>
            </w:r>
          </w:p>
        </w:tc>
        <w:tc>
          <w:tcPr>
            <w:tcW w:w="1050" w:type="dxa"/>
            <w:tcMar>
              <w:left w:w="29" w:type="dxa"/>
              <w:right w:w="29" w:type="dxa"/>
            </w:tcMar>
          </w:tcPr>
          <w:p w14:paraId="2D6E8BAB" w14:textId="77777777" w:rsidR="001E7162" w:rsidRPr="002A70A9" w:rsidRDefault="001E7162" w:rsidP="00D31DFD">
            <w:pPr>
              <w:pStyle w:val="JCETabletext"/>
              <w:jc w:val="center"/>
              <w:rPr>
                <w:bCs/>
              </w:rPr>
            </w:pPr>
            <w:r w:rsidRPr="002A70A9">
              <w:rPr>
                <w:rFonts w:cstheme="minorHAnsi"/>
                <w:bCs/>
                <w:szCs w:val="18"/>
              </w:rPr>
              <w:t>14 ± 4</w:t>
            </w:r>
          </w:p>
        </w:tc>
        <w:tc>
          <w:tcPr>
            <w:tcW w:w="1050" w:type="dxa"/>
            <w:tcMar>
              <w:left w:w="29" w:type="dxa"/>
              <w:right w:w="29" w:type="dxa"/>
            </w:tcMar>
          </w:tcPr>
          <w:p w14:paraId="04F0E269" w14:textId="77777777" w:rsidR="001E7162" w:rsidRPr="002A70A9" w:rsidRDefault="001E7162" w:rsidP="00D31DFD">
            <w:pPr>
              <w:pStyle w:val="JCETabletext"/>
              <w:jc w:val="center"/>
              <w:rPr>
                <w:bCs/>
              </w:rPr>
            </w:pPr>
            <w:r w:rsidRPr="002A70A9">
              <w:rPr>
                <w:rFonts w:cstheme="minorHAnsi"/>
                <w:bCs/>
                <w:szCs w:val="18"/>
              </w:rPr>
              <w:t>13 ± 3</w:t>
            </w:r>
          </w:p>
        </w:tc>
        <w:tc>
          <w:tcPr>
            <w:tcW w:w="1050" w:type="dxa"/>
            <w:tcMar>
              <w:left w:w="29" w:type="dxa"/>
              <w:right w:w="29" w:type="dxa"/>
            </w:tcMar>
          </w:tcPr>
          <w:p w14:paraId="282A8DF8" w14:textId="77777777" w:rsidR="001E7162" w:rsidRPr="002A70A9" w:rsidRDefault="001E7162" w:rsidP="00D31DFD">
            <w:pPr>
              <w:pStyle w:val="JCETabletext"/>
              <w:jc w:val="center"/>
              <w:rPr>
                <w:bCs/>
              </w:rPr>
            </w:pPr>
            <w:r w:rsidRPr="002A70A9">
              <w:rPr>
                <w:rFonts w:cstheme="minorHAnsi"/>
                <w:bCs/>
                <w:szCs w:val="18"/>
              </w:rPr>
              <w:t>13 ± 5</w:t>
            </w:r>
          </w:p>
        </w:tc>
        <w:tc>
          <w:tcPr>
            <w:tcW w:w="990" w:type="dxa"/>
            <w:tcMar>
              <w:left w:w="29" w:type="dxa"/>
              <w:right w:w="29" w:type="dxa"/>
            </w:tcMar>
          </w:tcPr>
          <w:p w14:paraId="039522F0" w14:textId="77777777" w:rsidR="001E7162" w:rsidRPr="002A70A9" w:rsidRDefault="001E7162" w:rsidP="00D31DFD">
            <w:pPr>
              <w:pStyle w:val="JCETabletext"/>
              <w:jc w:val="center"/>
            </w:pPr>
            <w:r w:rsidRPr="002A70A9">
              <w:t>66 ± 14</w:t>
            </w:r>
          </w:p>
        </w:tc>
        <w:tc>
          <w:tcPr>
            <w:tcW w:w="985" w:type="dxa"/>
            <w:tcMar>
              <w:left w:w="29" w:type="dxa"/>
              <w:right w:w="29" w:type="dxa"/>
            </w:tcMar>
          </w:tcPr>
          <w:p w14:paraId="0B69FB60" w14:textId="77777777" w:rsidR="001E7162" w:rsidRPr="002A70A9" w:rsidRDefault="001E7162" w:rsidP="00D31DFD">
            <w:pPr>
              <w:pStyle w:val="JCETabletext"/>
              <w:tabs>
                <w:tab w:val="decimal" w:pos="513"/>
              </w:tabs>
            </w:pPr>
            <w:r w:rsidRPr="002A70A9">
              <w:t>5</w:t>
            </w:r>
          </w:p>
        </w:tc>
        <w:tc>
          <w:tcPr>
            <w:tcW w:w="985" w:type="dxa"/>
            <w:tcMar>
              <w:left w:w="29" w:type="dxa"/>
              <w:right w:w="29" w:type="dxa"/>
            </w:tcMar>
          </w:tcPr>
          <w:p w14:paraId="7BDD4F76" w14:textId="77777777" w:rsidR="001E7162" w:rsidRPr="002A70A9" w:rsidRDefault="001E7162" w:rsidP="00D31DFD">
            <w:pPr>
              <w:pStyle w:val="JCETabletext"/>
              <w:tabs>
                <w:tab w:val="decimal" w:pos="426"/>
              </w:tabs>
            </w:pPr>
            <w:r w:rsidRPr="002A70A9">
              <w:t>4.4</w:t>
            </w:r>
          </w:p>
        </w:tc>
      </w:tr>
      <w:tr w:rsidR="001E7162" w14:paraId="10507E5F" w14:textId="77777777" w:rsidTr="00D31DFD">
        <w:tc>
          <w:tcPr>
            <w:tcW w:w="1530" w:type="dxa"/>
            <w:vMerge/>
            <w:tcMar>
              <w:right w:w="29" w:type="dxa"/>
            </w:tcMar>
          </w:tcPr>
          <w:p w14:paraId="1A0B49DB" w14:textId="77777777" w:rsidR="001E7162" w:rsidRPr="002A70A9" w:rsidRDefault="001E7162" w:rsidP="00D31DFD">
            <w:pPr>
              <w:pStyle w:val="JCETabletext"/>
            </w:pPr>
          </w:p>
        </w:tc>
        <w:tc>
          <w:tcPr>
            <w:tcW w:w="1350" w:type="dxa"/>
            <w:tcMar>
              <w:left w:w="29" w:type="dxa"/>
              <w:right w:w="29" w:type="dxa"/>
            </w:tcMar>
          </w:tcPr>
          <w:p w14:paraId="3E1D11AD" w14:textId="77777777" w:rsidR="001E7162" w:rsidRPr="002A70A9" w:rsidRDefault="001E7162" w:rsidP="00D31DFD">
            <w:pPr>
              <w:pStyle w:val="JCETabletext"/>
              <w:tabs>
                <w:tab w:val="decimal" w:pos="600"/>
              </w:tabs>
            </w:pPr>
            <w:r w:rsidRPr="002A70A9">
              <w:rPr>
                <w:rFonts w:cstheme="minorHAnsi"/>
                <w:szCs w:val="18"/>
              </w:rPr>
              <w:t>2017</w:t>
            </w:r>
            <w:r w:rsidR="00D31DFD">
              <w:rPr>
                <w:rFonts w:cstheme="minorHAnsi"/>
                <w:szCs w:val="18"/>
              </w:rPr>
              <w:t>/</w:t>
            </w:r>
            <w:r w:rsidRPr="002A70A9">
              <w:rPr>
                <w:rFonts w:cstheme="minorHAnsi"/>
                <w:szCs w:val="18"/>
              </w:rPr>
              <w:t>18</w:t>
            </w:r>
          </w:p>
        </w:tc>
        <w:tc>
          <w:tcPr>
            <w:tcW w:w="1080" w:type="dxa"/>
            <w:tcMar>
              <w:left w:w="29" w:type="dxa"/>
              <w:right w:w="29" w:type="dxa"/>
            </w:tcMar>
          </w:tcPr>
          <w:p w14:paraId="7C3BFFBF" w14:textId="77777777" w:rsidR="001E7162" w:rsidRPr="002A70A9" w:rsidRDefault="001E7162" w:rsidP="00D31DFD">
            <w:pPr>
              <w:pStyle w:val="JCETabletext"/>
              <w:tabs>
                <w:tab w:val="decimal" w:pos="603"/>
              </w:tabs>
            </w:pPr>
            <w:r w:rsidRPr="002A70A9">
              <w:rPr>
                <w:rFonts w:cstheme="minorHAnsi"/>
                <w:szCs w:val="18"/>
              </w:rPr>
              <w:t>67</w:t>
            </w:r>
          </w:p>
        </w:tc>
        <w:tc>
          <w:tcPr>
            <w:tcW w:w="1050" w:type="dxa"/>
            <w:tcMar>
              <w:left w:w="29" w:type="dxa"/>
              <w:right w:w="29" w:type="dxa"/>
            </w:tcMar>
          </w:tcPr>
          <w:p w14:paraId="24CF43CA" w14:textId="77777777" w:rsidR="001E7162" w:rsidRPr="002A70A9" w:rsidRDefault="001E7162" w:rsidP="00D31DFD">
            <w:pPr>
              <w:pStyle w:val="JCETabletext"/>
              <w:jc w:val="center"/>
              <w:rPr>
                <w:bCs/>
              </w:rPr>
            </w:pPr>
            <w:r w:rsidRPr="002A70A9">
              <w:rPr>
                <w:rFonts w:cstheme="minorHAnsi"/>
                <w:bCs/>
                <w:szCs w:val="18"/>
              </w:rPr>
              <w:t>13 ± 5</w:t>
            </w:r>
          </w:p>
        </w:tc>
        <w:tc>
          <w:tcPr>
            <w:tcW w:w="1050" w:type="dxa"/>
            <w:tcMar>
              <w:left w:w="29" w:type="dxa"/>
              <w:right w:w="29" w:type="dxa"/>
            </w:tcMar>
          </w:tcPr>
          <w:p w14:paraId="3E686A89" w14:textId="77777777" w:rsidR="001E7162" w:rsidRPr="002A70A9" w:rsidRDefault="001E7162" w:rsidP="00D31DFD">
            <w:pPr>
              <w:pStyle w:val="JCETabletext"/>
              <w:jc w:val="center"/>
              <w:rPr>
                <w:bCs/>
              </w:rPr>
            </w:pPr>
            <w:r w:rsidRPr="002A70A9">
              <w:rPr>
                <w:rFonts w:cstheme="minorHAnsi"/>
                <w:bCs/>
                <w:szCs w:val="18"/>
              </w:rPr>
              <w:t>11 ± 4</w:t>
            </w:r>
          </w:p>
        </w:tc>
        <w:tc>
          <w:tcPr>
            <w:tcW w:w="1050" w:type="dxa"/>
            <w:tcMar>
              <w:left w:w="29" w:type="dxa"/>
              <w:right w:w="29" w:type="dxa"/>
            </w:tcMar>
          </w:tcPr>
          <w:p w14:paraId="46CBCE8E" w14:textId="77777777" w:rsidR="001E7162" w:rsidRPr="002A70A9" w:rsidRDefault="001E7162" w:rsidP="00D31DFD">
            <w:pPr>
              <w:pStyle w:val="JCETabletext"/>
              <w:jc w:val="center"/>
              <w:rPr>
                <w:bCs/>
              </w:rPr>
            </w:pPr>
            <w:r w:rsidRPr="002A70A9">
              <w:rPr>
                <w:rFonts w:cstheme="minorHAnsi"/>
                <w:bCs/>
                <w:szCs w:val="18"/>
              </w:rPr>
              <w:t>14 ± 5</w:t>
            </w:r>
          </w:p>
        </w:tc>
        <w:tc>
          <w:tcPr>
            <w:tcW w:w="990" w:type="dxa"/>
            <w:tcMar>
              <w:left w:w="29" w:type="dxa"/>
              <w:right w:w="29" w:type="dxa"/>
            </w:tcMar>
          </w:tcPr>
          <w:p w14:paraId="13BFEDB0" w14:textId="77777777" w:rsidR="001E7162" w:rsidRPr="002A70A9" w:rsidRDefault="001E7162" w:rsidP="00D31DFD">
            <w:pPr>
              <w:pStyle w:val="JCETabletext"/>
              <w:jc w:val="center"/>
            </w:pPr>
            <w:r w:rsidRPr="002A70A9">
              <w:t>64 ± 16</w:t>
            </w:r>
          </w:p>
        </w:tc>
        <w:tc>
          <w:tcPr>
            <w:tcW w:w="985" w:type="dxa"/>
            <w:tcMar>
              <w:left w:w="29" w:type="dxa"/>
              <w:right w:w="29" w:type="dxa"/>
            </w:tcMar>
          </w:tcPr>
          <w:p w14:paraId="450E3315" w14:textId="77777777" w:rsidR="001E7162" w:rsidRPr="002A70A9" w:rsidRDefault="001E7162" w:rsidP="00D31DFD">
            <w:pPr>
              <w:pStyle w:val="JCETabletext"/>
              <w:tabs>
                <w:tab w:val="decimal" w:pos="513"/>
              </w:tabs>
            </w:pPr>
            <w:r w:rsidRPr="002A70A9">
              <w:t>6</w:t>
            </w:r>
          </w:p>
        </w:tc>
        <w:tc>
          <w:tcPr>
            <w:tcW w:w="985" w:type="dxa"/>
            <w:tcMar>
              <w:left w:w="29" w:type="dxa"/>
              <w:right w:w="29" w:type="dxa"/>
            </w:tcMar>
          </w:tcPr>
          <w:p w14:paraId="4CCA84AB" w14:textId="77777777" w:rsidR="001E7162" w:rsidRPr="002A70A9" w:rsidRDefault="001E7162" w:rsidP="00D31DFD">
            <w:pPr>
              <w:pStyle w:val="JCETabletext"/>
              <w:tabs>
                <w:tab w:val="decimal" w:pos="426"/>
              </w:tabs>
            </w:pPr>
            <w:r w:rsidRPr="002A70A9">
              <w:t>9.2</w:t>
            </w:r>
          </w:p>
        </w:tc>
      </w:tr>
      <w:tr w:rsidR="001E7162" w14:paraId="23CA90F8" w14:textId="77777777" w:rsidTr="00D31DFD">
        <w:tc>
          <w:tcPr>
            <w:tcW w:w="1530" w:type="dxa"/>
            <w:vMerge/>
            <w:tcMar>
              <w:right w:w="29" w:type="dxa"/>
            </w:tcMar>
          </w:tcPr>
          <w:p w14:paraId="7B0CCBB7" w14:textId="77777777" w:rsidR="001E7162" w:rsidRPr="002A70A9" w:rsidRDefault="001E7162" w:rsidP="00D31DFD">
            <w:pPr>
              <w:pStyle w:val="JCETabletext"/>
            </w:pPr>
          </w:p>
        </w:tc>
        <w:tc>
          <w:tcPr>
            <w:tcW w:w="1350" w:type="dxa"/>
            <w:tcMar>
              <w:left w:w="29" w:type="dxa"/>
              <w:right w:w="29" w:type="dxa"/>
            </w:tcMar>
          </w:tcPr>
          <w:p w14:paraId="34F01714" w14:textId="77777777" w:rsidR="001E7162" w:rsidRPr="002A70A9" w:rsidRDefault="001E7162" w:rsidP="00D31DFD">
            <w:pPr>
              <w:pStyle w:val="JCETabletext"/>
              <w:tabs>
                <w:tab w:val="decimal" w:pos="600"/>
              </w:tabs>
            </w:pPr>
            <w:r w:rsidRPr="002A70A9">
              <w:rPr>
                <w:rFonts w:cstheme="minorHAnsi"/>
                <w:szCs w:val="18"/>
              </w:rPr>
              <w:t>2018</w:t>
            </w:r>
            <w:r w:rsidR="00D31DFD">
              <w:rPr>
                <w:rFonts w:cstheme="minorHAnsi"/>
                <w:szCs w:val="18"/>
              </w:rPr>
              <w:t>/</w:t>
            </w:r>
            <w:r w:rsidRPr="002A70A9">
              <w:rPr>
                <w:rFonts w:cstheme="minorHAnsi"/>
                <w:szCs w:val="18"/>
              </w:rPr>
              <w:t>19</w:t>
            </w:r>
          </w:p>
        </w:tc>
        <w:tc>
          <w:tcPr>
            <w:tcW w:w="1080" w:type="dxa"/>
            <w:tcMar>
              <w:left w:w="29" w:type="dxa"/>
              <w:right w:w="29" w:type="dxa"/>
            </w:tcMar>
          </w:tcPr>
          <w:p w14:paraId="79B22DCF" w14:textId="77777777" w:rsidR="001E7162" w:rsidRPr="002A70A9" w:rsidRDefault="001E7162" w:rsidP="00D31DFD">
            <w:pPr>
              <w:pStyle w:val="JCETabletext"/>
              <w:tabs>
                <w:tab w:val="decimal" w:pos="603"/>
              </w:tabs>
            </w:pPr>
            <w:r w:rsidRPr="002A70A9">
              <w:rPr>
                <w:rFonts w:cstheme="minorHAnsi"/>
                <w:szCs w:val="18"/>
              </w:rPr>
              <w:t>59</w:t>
            </w:r>
          </w:p>
        </w:tc>
        <w:tc>
          <w:tcPr>
            <w:tcW w:w="1050" w:type="dxa"/>
            <w:tcMar>
              <w:left w:w="29" w:type="dxa"/>
              <w:right w:w="29" w:type="dxa"/>
            </w:tcMar>
          </w:tcPr>
          <w:p w14:paraId="43944C58" w14:textId="77777777" w:rsidR="001E7162" w:rsidRPr="002A70A9" w:rsidRDefault="001E7162" w:rsidP="00D31DFD">
            <w:pPr>
              <w:pStyle w:val="JCETabletext"/>
              <w:jc w:val="center"/>
              <w:rPr>
                <w:bCs/>
              </w:rPr>
            </w:pPr>
            <w:r w:rsidRPr="002A70A9">
              <w:rPr>
                <w:rFonts w:cstheme="minorHAnsi"/>
                <w:bCs/>
                <w:szCs w:val="18"/>
              </w:rPr>
              <w:t>13 ± 4</w:t>
            </w:r>
          </w:p>
        </w:tc>
        <w:tc>
          <w:tcPr>
            <w:tcW w:w="1050" w:type="dxa"/>
            <w:tcMar>
              <w:left w:w="29" w:type="dxa"/>
              <w:right w:w="29" w:type="dxa"/>
            </w:tcMar>
          </w:tcPr>
          <w:p w14:paraId="2B41A669" w14:textId="77777777" w:rsidR="001E7162" w:rsidRPr="002A70A9" w:rsidRDefault="001E7162" w:rsidP="00D31DFD">
            <w:pPr>
              <w:pStyle w:val="JCETabletext"/>
              <w:jc w:val="center"/>
              <w:rPr>
                <w:bCs/>
              </w:rPr>
            </w:pPr>
            <w:r w:rsidRPr="002A70A9">
              <w:rPr>
                <w:rFonts w:cstheme="minorHAnsi"/>
                <w:bCs/>
                <w:szCs w:val="18"/>
              </w:rPr>
              <w:t>12 ± 4</w:t>
            </w:r>
          </w:p>
        </w:tc>
        <w:tc>
          <w:tcPr>
            <w:tcW w:w="1050" w:type="dxa"/>
            <w:tcMar>
              <w:left w:w="29" w:type="dxa"/>
              <w:right w:w="29" w:type="dxa"/>
            </w:tcMar>
          </w:tcPr>
          <w:p w14:paraId="1099C6D7" w14:textId="77777777" w:rsidR="001E7162" w:rsidRPr="002A70A9" w:rsidRDefault="001E7162" w:rsidP="00D31DFD">
            <w:pPr>
              <w:pStyle w:val="JCETabletext"/>
              <w:jc w:val="center"/>
              <w:rPr>
                <w:bCs/>
              </w:rPr>
            </w:pPr>
            <w:r w:rsidRPr="002A70A9">
              <w:rPr>
                <w:rFonts w:cstheme="minorHAnsi"/>
                <w:bCs/>
                <w:szCs w:val="18"/>
              </w:rPr>
              <w:t>13 ± 5</w:t>
            </w:r>
          </w:p>
        </w:tc>
        <w:tc>
          <w:tcPr>
            <w:tcW w:w="990" w:type="dxa"/>
            <w:tcMar>
              <w:left w:w="29" w:type="dxa"/>
              <w:right w:w="29" w:type="dxa"/>
            </w:tcMar>
          </w:tcPr>
          <w:p w14:paraId="766DDE86" w14:textId="77777777" w:rsidR="001E7162" w:rsidRPr="002A70A9" w:rsidRDefault="001E7162" w:rsidP="00D31DFD">
            <w:pPr>
              <w:pStyle w:val="JCETabletext"/>
              <w:jc w:val="center"/>
            </w:pPr>
            <w:r w:rsidRPr="002A70A9">
              <w:t>63 ± 17</w:t>
            </w:r>
          </w:p>
        </w:tc>
        <w:tc>
          <w:tcPr>
            <w:tcW w:w="985" w:type="dxa"/>
            <w:tcMar>
              <w:left w:w="29" w:type="dxa"/>
              <w:right w:w="29" w:type="dxa"/>
            </w:tcMar>
          </w:tcPr>
          <w:p w14:paraId="6FFEB243" w14:textId="77777777" w:rsidR="001E7162" w:rsidRPr="002A70A9" w:rsidRDefault="001E7162" w:rsidP="00D31DFD">
            <w:pPr>
              <w:pStyle w:val="JCETabletext"/>
              <w:tabs>
                <w:tab w:val="decimal" w:pos="513"/>
              </w:tabs>
            </w:pPr>
            <w:r w:rsidRPr="002A70A9">
              <w:t>4</w:t>
            </w:r>
          </w:p>
        </w:tc>
        <w:tc>
          <w:tcPr>
            <w:tcW w:w="985" w:type="dxa"/>
            <w:tcMar>
              <w:left w:w="29" w:type="dxa"/>
              <w:right w:w="29" w:type="dxa"/>
            </w:tcMar>
          </w:tcPr>
          <w:p w14:paraId="1909B0A6" w14:textId="77777777" w:rsidR="001E7162" w:rsidRPr="002A70A9" w:rsidRDefault="001E7162" w:rsidP="00D31DFD">
            <w:pPr>
              <w:pStyle w:val="JCETabletext"/>
              <w:tabs>
                <w:tab w:val="decimal" w:pos="426"/>
              </w:tabs>
            </w:pPr>
            <w:r w:rsidRPr="002A70A9">
              <w:t>6.8</w:t>
            </w:r>
          </w:p>
        </w:tc>
      </w:tr>
      <w:tr w:rsidR="001E7162" w:rsidRPr="005E488F" w14:paraId="7DC179A9" w14:textId="77777777" w:rsidTr="00D31DFD">
        <w:tc>
          <w:tcPr>
            <w:tcW w:w="10070" w:type="dxa"/>
            <w:gridSpan w:val="9"/>
            <w:tcMar>
              <w:right w:w="29" w:type="dxa"/>
            </w:tcMar>
          </w:tcPr>
          <w:p w14:paraId="2D284A91" w14:textId="77777777" w:rsidR="001E7162" w:rsidRPr="002A70A9" w:rsidRDefault="001E7162" w:rsidP="002A70A9">
            <w:pPr>
              <w:pStyle w:val="JCETabletext"/>
            </w:pPr>
            <w:r w:rsidRPr="002A70A9">
              <w:rPr>
                <w:i/>
                <w:iCs/>
                <w:vertAlign w:val="superscript"/>
              </w:rPr>
              <w:t>a</w:t>
            </w:r>
            <w:r w:rsidRPr="002A70A9">
              <w:t xml:space="preserve">Station A is LLE/Recrystallization. </w:t>
            </w:r>
            <w:r w:rsidRPr="002A70A9">
              <w:rPr>
                <w:i/>
                <w:iCs/>
                <w:vertAlign w:val="superscript"/>
              </w:rPr>
              <w:t>b</w:t>
            </w:r>
            <w:r w:rsidRPr="002A70A9">
              <w:t xml:space="preserve">Station B is IR spectroscopy/UV–vis spectroscopy. </w:t>
            </w:r>
            <w:r w:rsidRPr="002A70A9">
              <w:rPr>
                <w:i/>
                <w:iCs/>
                <w:vertAlign w:val="superscript"/>
              </w:rPr>
              <w:t>c</w:t>
            </w:r>
            <w:r w:rsidRPr="002A70A9">
              <w:t xml:space="preserve">Station C is thin-layer chromatography/NMR spectroscopy/Yield calculation/Titration. </w:t>
            </w:r>
            <w:r w:rsidRPr="002A70A9">
              <w:rPr>
                <w:i/>
                <w:iCs/>
                <w:vertAlign w:val="superscript"/>
              </w:rPr>
              <w:t>d</w:t>
            </w:r>
            <w:r w:rsidRPr="002A70A9">
              <w:t>Individual station marks for V1 are found in Table S</w:t>
            </w:r>
            <w:r w:rsidR="00352432">
              <w:t>5</w:t>
            </w:r>
            <w:r w:rsidRPr="002A70A9">
              <w:t xml:space="preserve"> in the Supporting Information. </w:t>
            </w:r>
          </w:p>
        </w:tc>
      </w:tr>
    </w:tbl>
    <w:p w14:paraId="02653233" w14:textId="77777777" w:rsidR="001E7162" w:rsidRPr="004C4A67" w:rsidRDefault="001E7162" w:rsidP="003850BB">
      <w:pPr>
        <w:pStyle w:val="JCEbodytext"/>
      </w:pPr>
    </w:p>
    <w:p w14:paraId="7F436DEB" w14:textId="77777777" w:rsidR="00E52792" w:rsidRPr="004C4A67" w:rsidRDefault="00E52792" w:rsidP="00E52792">
      <w:pPr>
        <w:pStyle w:val="JCEH2"/>
      </w:pPr>
      <w:r w:rsidRPr="004C4A67">
        <w:t>Student Perceptions</w:t>
      </w:r>
    </w:p>
    <w:p w14:paraId="58DCD4B2" w14:textId="221D3AE2" w:rsidR="00437591" w:rsidRPr="004C4A67" w:rsidRDefault="00E52792">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The data presented within this section was obtained from an anonymous questionnaire administered by electronic voting devices from 68 students (out of a cohort of 112) (2016-17 cohort) directly after the practical exam had taken place.</w:t>
      </w:r>
      <w:r w:rsidR="00437591" w:rsidRPr="004C4A67">
        <w:rPr>
          <w:rFonts w:ascii="Bookman Old Style" w:hAnsi="Bookman Old Style" w:cstheme="minorHAnsi"/>
          <w:sz w:val="20"/>
          <w:szCs w:val="20"/>
        </w:rPr>
        <w:t xml:space="preserve"> The questionnaire responses are presented in Figure 2.</w:t>
      </w:r>
      <w:r w:rsidR="002B7CDB" w:rsidRPr="004C4A67">
        <w:rPr>
          <w:rFonts w:ascii="Bookman Old Style" w:hAnsi="Bookman Old Style" w:cstheme="minorHAnsi"/>
          <w:sz w:val="20"/>
          <w:szCs w:val="20"/>
        </w:rPr>
        <w:t xml:space="preserve"> </w:t>
      </w:r>
      <w:r w:rsidR="00437591" w:rsidRPr="004C4A67">
        <w:rPr>
          <w:rFonts w:ascii="Bookman Old Style" w:hAnsi="Bookman Old Style" w:cstheme="minorHAnsi"/>
          <w:sz w:val="20"/>
          <w:szCs w:val="20"/>
        </w:rPr>
        <w:t>Pleasingly, students were generally satisfied with the clarity of the practical exam instructions and deemed this a fair way to assess their practical skills. They were satisfied that the teaching and learning activities provided during the semester leading up to the practical exam were appropriate preparation. Although the majority of students felt intimidated being directly observed by an examiner, feelings were mixed over whether this was a more nervous experience than a written exam. Despite these factors</w:t>
      </w:r>
      <w:r w:rsidR="00D31DFD">
        <w:rPr>
          <w:rFonts w:ascii="Bookman Old Style" w:hAnsi="Bookman Old Style" w:cstheme="minorHAnsi"/>
          <w:sz w:val="20"/>
          <w:szCs w:val="20"/>
        </w:rPr>
        <w:t>,</w:t>
      </w:r>
      <w:r w:rsidR="00437591" w:rsidRPr="004C4A67">
        <w:rPr>
          <w:rFonts w:ascii="Bookman Old Style" w:hAnsi="Bookman Old Style" w:cstheme="minorHAnsi"/>
          <w:sz w:val="20"/>
          <w:szCs w:val="20"/>
        </w:rPr>
        <w:t xml:space="preserve"> </w:t>
      </w:r>
      <w:r w:rsidR="00EF3221" w:rsidRPr="004C4A67">
        <w:rPr>
          <w:rFonts w:ascii="Bookman Old Style" w:hAnsi="Bookman Old Style" w:cstheme="minorHAnsi"/>
          <w:sz w:val="20"/>
          <w:szCs w:val="20"/>
        </w:rPr>
        <w:t>almost</w:t>
      </w:r>
      <w:r w:rsidR="00437591" w:rsidRPr="004C4A67">
        <w:rPr>
          <w:rFonts w:ascii="Bookman Old Style" w:hAnsi="Bookman Old Style" w:cstheme="minorHAnsi"/>
          <w:sz w:val="20"/>
          <w:szCs w:val="20"/>
        </w:rPr>
        <w:t xml:space="preserve"> 80% of respondents stated a preference for the practical exam rather </w:t>
      </w:r>
      <w:r w:rsidR="00A30890" w:rsidRPr="004C4A67">
        <w:rPr>
          <w:rFonts w:ascii="Bookman Old Style" w:hAnsi="Bookman Old Style" w:cstheme="minorHAnsi"/>
          <w:sz w:val="20"/>
          <w:szCs w:val="20"/>
        </w:rPr>
        <w:t>than another written assignment, which is interesting as student preference is generally for coursework over exams (albeit written exams).</w:t>
      </w:r>
      <w:r w:rsidR="006D396C">
        <w:rPr>
          <w:rFonts w:ascii="Bookman Old Style" w:hAnsi="Bookman Old Style" w:cstheme="minorHAnsi"/>
          <w:sz w:val="20"/>
          <w:szCs w:val="20"/>
          <w:vertAlign w:val="superscript"/>
        </w:rPr>
        <w:t>34</w:t>
      </w:r>
      <w:r w:rsidR="00437591" w:rsidRPr="004C4A67">
        <w:rPr>
          <w:rFonts w:ascii="Bookman Old Style" w:hAnsi="Bookman Old Style" w:cstheme="minorHAnsi"/>
          <w:sz w:val="20"/>
          <w:szCs w:val="20"/>
        </w:rPr>
        <w:t xml:space="preserve"> </w:t>
      </w:r>
      <w:r w:rsidR="00D31DFD">
        <w:rPr>
          <w:rFonts w:ascii="Bookman Old Style" w:hAnsi="Bookman Old Style" w:cstheme="minorHAnsi"/>
          <w:sz w:val="20"/>
          <w:szCs w:val="20"/>
        </w:rPr>
        <w:t>It</w:t>
      </w:r>
      <w:r w:rsidR="00437591" w:rsidRPr="004C4A67">
        <w:rPr>
          <w:rFonts w:ascii="Bookman Old Style" w:hAnsi="Bookman Old Style" w:cstheme="minorHAnsi"/>
          <w:sz w:val="20"/>
          <w:szCs w:val="20"/>
        </w:rPr>
        <w:t xml:space="preserve"> may be that the effort of completing a practical exam is perceived to be lower than, for example, a laboratory report. To succeed in a practical exam, effort is required throughout the semester by engaging in learning appropriate skills in the laboratory classes.</w:t>
      </w:r>
    </w:p>
    <w:p w14:paraId="2AD8990A" w14:textId="77777777" w:rsidR="00437591" w:rsidRPr="004C4A67" w:rsidRDefault="00437591" w:rsidP="00437591">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In addition to students’ perceptions of the practical exam, they were also asked how they prepared for the practical ex</w:t>
      </w:r>
      <w:r w:rsidR="00FD6BC5" w:rsidRPr="004C4A67">
        <w:rPr>
          <w:rFonts w:ascii="Bookman Old Style" w:hAnsi="Bookman Old Style" w:cstheme="minorHAnsi"/>
          <w:sz w:val="20"/>
          <w:szCs w:val="20"/>
        </w:rPr>
        <w:t>am (</w:t>
      </w:r>
      <w:r w:rsidR="00BF2C70" w:rsidRPr="004C4A67">
        <w:rPr>
          <w:rFonts w:ascii="Bookman Old Style" w:hAnsi="Bookman Old Style" w:cstheme="minorHAnsi"/>
          <w:sz w:val="20"/>
          <w:szCs w:val="20"/>
        </w:rPr>
        <w:t xml:space="preserve">see Supporting </w:t>
      </w:r>
      <w:r w:rsidR="00FD6BC5" w:rsidRPr="004C4A67">
        <w:rPr>
          <w:rFonts w:ascii="Bookman Old Style" w:hAnsi="Bookman Old Style" w:cstheme="minorHAnsi"/>
          <w:sz w:val="20"/>
          <w:szCs w:val="20"/>
        </w:rPr>
        <w:t xml:space="preserve">Information </w:t>
      </w:r>
      <w:r w:rsidR="00BF2C70" w:rsidRPr="004C4A67">
        <w:rPr>
          <w:rFonts w:ascii="Bookman Old Style" w:hAnsi="Bookman Old Style" w:cstheme="minorHAnsi"/>
          <w:sz w:val="20"/>
          <w:szCs w:val="20"/>
        </w:rPr>
        <w:t xml:space="preserve">Table </w:t>
      </w:r>
      <w:r w:rsidR="00FD6BC5" w:rsidRPr="004C4A67">
        <w:rPr>
          <w:rFonts w:ascii="Bookman Old Style" w:hAnsi="Bookman Old Style" w:cstheme="minorHAnsi"/>
          <w:sz w:val="20"/>
          <w:szCs w:val="20"/>
        </w:rPr>
        <w:t>S</w:t>
      </w:r>
      <w:r w:rsidR="00A868CD" w:rsidRPr="004C4A67">
        <w:rPr>
          <w:rFonts w:ascii="Bookman Old Style" w:hAnsi="Bookman Old Style" w:cstheme="minorHAnsi"/>
          <w:sz w:val="20"/>
          <w:szCs w:val="20"/>
        </w:rPr>
        <w:t>6</w:t>
      </w:r>
      <w:r w:rsidR="00D407AD"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for complete answers). The most commonly cited preparations were the videos they were asked to watch as part of their pre-lab activities (47/68)</w:t>
      </w:r>
      <w:r w:rsidR="00BF2C70" w:rsidRPr="004C4A67">
        <w:rPr>
          <w:rFonts w:ascii="Bookman Old Style" w:hAnsi="Bookman Old Style" w:cstheme="minorHAnsi"/>
          <w:sz w:val="20"/>
          <w:szCs w:val="20"/>
        </w:rPr>
        <w:t>,</w:t>
      </w:r>
      <w:r w:rsidRPr="004C4A67">
        <w:rPr>
          <w:rFonts w:ascii="Bookman Old Style" w:hAnsi="Bookman Old Style" w:cstheme="minorHAnsi"/>
          <w:sz w:val="20"/>
          <w:szCs w:val="20"/>
        </w:rPr>
        <w:t xml:space="preserve"> the </w:t>
      </w:r>
      <w:r w:rsidR="003411C2" w:rsidRPr="004C4A67">
        <w:rPr>
          <w:rFonts w:ascii="Bookman Old Style" w:hAnsi="Bookman Old Style" w:cstheme="minorHAnsi"/>
          <w:sz w:val="20"/>
          <w:szCs w:val="20"/>
        </w:rPr>
        <w:t>laboratory diaries (notebooks)</w:t>
      </w:r>
      <w:r w:rsidRPr="004C4A67">
        <w:rPr>
          <w:rFonts w:ascii="Bookman Old Style" w:hAnsi="Bookman Old Style" w:cstheme="minorHAnsi"/>
          <w:sz w:val="20"/>
          <w:szCs w:val="20"/>
        </w:rPr>
        <w:t xml:space="preserve"> that they are required to complete throughout semester, and</w:t>
      </w:r>
      <w:r w:rsidR="00BF2C70" w:rsidRPr="004C4A67">
        <w:rPr>
          <w:rFonts w:ascii="Bookman Old Style" w:hAnsi="Bookman Old Style" w:cstheme="minorHAnsi"/>
          <w:sz w:val="20"/>
          <w:szCs w:val="20"/>
        </w:rPr>
        <w:t xml:space="preserve"> being</w:t>
      </w:r>
      <w:r w:rsidRPr="004C4A67">
        <w:rPr>
          <w:rFonts w:ascii="Bookman Old Style" w:hAnsi="Bookman Old Style" w:cstheme="minorHAnsi"/>
          <w:sz w:val="20"/>
          <w:szCs w:val="20"/>
        </w:rPr>
        <w:t xml:space="preserve"> encouraged to make notes on the various practical techniques they learn (47/68). It is pleasing that students are engaging in the scaffolding we have constructed within the module to facilitate the learning of practical skills.</w:t>
      </w:r>
    </w:p>
    <w:p w14:paraId="5273EF72" w14:textId="77777777" w:rsidR="00437591" w:rsidRPr="004C4A67" w:rsidRDefault="00437591" w:rsidP="002B21EE">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 xml:space="preserve">Finally, students were asked which practical techniques they did not feel confident in completing now </w:t>
      </w:r>
      <w:r w:rsidR="003411C2" w:rsidRPr="004C4A67">
        <w:rPr>
          <w:rFonts w:ascii="Bookman Old Style" w:hAnsi="Bookman Old Style" w:cstheme="minorHAnsi"/>
          <w:sz w:val="20"/>
          <w:szCs w:val="20"/>
        </w:rPr>
        <w:t xml:space="preserve">that </w:t>
      </w:r>
      <w:r w:rsidRPr="004C4A67">
        <w:rPr>
          <w:rFonts w:ascii="Bookman Old Style" w:hAnsi="Bookman Old Style" w:cstheme="minorHAnsi"/>
          <w:sz w:val="20"/>
          <w:szCs w:val="20"/>
        </w:rPr>
        <w:t xml:space="preserve">they had </w:t>
      </w:r>
      <w:r w:rsidR="00D31DFD">
        <w:rPr>
          <w:rFonts w:ascii="Bookman Old Style" w:hAnsi="Bookman Old Style" w:cstheme="minorHAnsi"/>
          <w:sz w:val="20"/>
          <w:szCs w:val="20"/>
        </w:rPr>
        <w:t>sat</w:t>
      </w:r>
      <w:r w:rsidR="00D31DFD"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the practical exam. (</w:t>
      </w:r>
      <w:r w:rsidR="00BF2C70" w:rsidRPr="004C4A67">
        <w:rPr>
          <w:rFonts w:ascii="Bookman Old Style" w:hAnsi="Bookman Old Style" w:cstheme="minorHAnsi"/>
          <w:sz w:val="20"/>
          <w:szCs w:val="20"/>
        </w:rPr>
        <w:t>Supporting Information Table S</w:t>
      </w:r>
      <w:r w:rsidR="00A868CD" w:rsidRPr="004C4A67">
        <w:rPr>
          <w:rFonts w:ascii="Bookman Old Style" w:hAnsi="Bookman Old Style" w:cstheme="minorHAnsi"/>
          <w:sz w:val="20"/>
          <w:szCs w:val="20"/>
        </w:rPr>
        <w:t>7</w:t>
      </w:r>
      <w:r w:rsidRPr="004C4A67">
        <w:rPr>
          <w:rFonts w:ascii="Bookman Old Style" w:hAnsi="Bookman Old Style" w:cstheme="minorHAnsi"/>
          <w:sz w:val="20"/>
          <w:szCs w:val="20"/>
        </w:rPr>
        <w:t xml:space="preserve">). Answers that attracted </w:t>
      </w:r>
      <w:r w:rsidR="003205AB" w:rsidRPr="004C4A67">
        <w:rPr>
          <w:rFonts w:ascii="Bookman Old Style" w:hAnsi="Bookman Old Style" w:cstheme="minorHAnsi"/>
          <w:sz w:val="20"/>
          <w:szCs w:val="20"/>
        </w:rPr>
        <w:t>15+</w:t>
      </w:r>
      <w:r w:rsidRPr="004C4A67">
        <w:rPr>
          <w:rFonts w:ascii="Bookman Old Style" w:hAnsi="Bookman Old Style" w:cstheme="minorHAnsi"/>
          <w:sz w:val="20"/>
          <w:szCs w:val="20"/>
        </w:rPr>
        <w:t xml:space="preserve"> responses were </w:t>
      </w:r>
      <w:r w:rsidR="003205AB" w:rsidRPr="004C4A67">
        <w:rPr>
          <w:rFonts w:ascii="Bookman Old Style" w:hAnsi="Bookman Old Style" w:cstheme="minorHAnsi"/>
          <w:sz w:val="20"/>
          <w:szCs w:val="20"/>
        </w:rPr>
        <w:t xml:space="preserve">UV-Vis spectroscopy, </w:t>
      </w:r>
      <w:r w:rsidRPr="004C4A67">
        <w:rPr>
          <w:rFonts w:ascii="Bookman Old Style" w:hAnsi="Bookman Old Style" w:cstheme="minorHAnsi"/>
          <w:sz w:val="20"/>
          <w:szCs w:val="20"/>
        </w:rPr>
        <w:t>NMR spectroscopy, graphical analysis using Excel, recrystallization and liquid-liquid extraction.</w:t>
      </w:r>
      <w:r w:rsidR="00A30890" w:rsidRPr="004C4A67">
        <w:rPr>
          <w:rFonts w:ascii="Bookman Old Style" w:hAnsi="Bookman Old Style" w:cstheme="minorHAnsi"/>
          <w:sz w:val="20"/>
          <w:szCs w:val="20"/>
        </w:rPr>
        <w:t xml:space="preserve"> </w:t>
      </w:r>
      <w:r w:rsidR="00BF2C70" w:rsidRPr="004C4A67">
        <w:rPr>
          <w:rFonts w:ascii="Bookman Old Style" w:hAnsi="Bookman Old Style" w:cstheme="minorHAnsi"/>
          <w:sz w:val="20"/>
          <w:szCs w:val="20"/>
        </w:rPr>
        <w:t>Historically,</w:t>
      </w:r>
      <w:r w:rsidR="00A30890" w:rsidRPr="004C4A67">
        <w:rPr>
          <w:rFonts w:ascii="Bookman Old Style" w:hAnsi="Bookman Old Style" w:cstheme="minorHAnsi"/>
          <w:sz w:val="20"/>
          <w:szCs w:val="20"/>
        </w:rPr>
        <w:t xml:space="preserve"> stations combining UV-Vis </w:t>
      </w:r>
      <w:r w:rsidR="003205AB" w:rsidRPr="004C4A67">
        <w:rPr>
          <w:rFonts w:ascii="Bookman Old Style" w:hAnsi="Bookman Old Style" w:cstheme="minorHAnsi"/>
          <w:sz w:val="20"/>
          <w:szCs w:val="20"/>
        </w:rPr>
        <w:t xml:space="preserve">spectroscopy </w:t>
      </w:r>
      <w:r w:rsidR="00A30890" w:rsidRPr="004C4A67">
        <w:rPr>
          <w:rFonts w:ascii="Bookman Old Style" w:hAnsi="Bookman Old Style" w:cstheme="minorHAnsi"/>
          <w:sz w:val="20"/>
          <w:szCs w:val="20"/>
        </w:rPr>
        <w:t xml:space="preserve">and Excel graphical analysis </w:t>
      </w:r>
      <w:r w:rsidR="00BF2C70" w:rsidRPr="004C4A67">
        <w:rPr>
          <w:rFonts w:ascii="Bookman Old Style" w:hAnsi="Bookman Old Style" w:cstheme="minorHAnsi"/>
          <w:sz w:val="20"/>
          <w:szCs w:val="20"/>
        </w:rPr>
        <w:t>have</w:t>
      </w:r>
      <w:r w:rsidR="00A30890" w:rsidRPr="004C4A67">
        <w:rPr>
          <w:rFonts w:ascii="Bookman Old Style" w:hAnsi="Bookman Old Style" w:cstheme="minorHAnsi"/>
          <w:sz w:val="20"/>
          <w:szCs w:val="20"/>
        </w:rPr>
        <w:t xml:space="preserve"> tend</w:t>
      </w:r>
      <w:r w:rsidR="00BF2C70" w:rsidRPr="004C4A67">
        <w:rPr>
          <w:rFonts w:ascii="Bookman Old Style" w:hAnsi="Bookman Old Style" w:cstheme="minorHAnsi"/>
          <w:sz w:val="20"/>
          <w:szCs w:val="20"/>
        </w:rPr>
        <w:t>ed</w:t>
      </w:r>
      <w:r w:rsidR="00A30890" w:rsidRPr="004C4A67">
        <w:rPr>
          <w:rFonts w:ascii="Bookman Old Style" w:hAnsi="Bookman Old Style" w:cstheme="minorHAnsi"/>
          <w:sz w:val="20"/>
          <w:szCs w:val="20"/>
        </w:rPr>
        <w:t xml:space="preserve"> to attract lower marks</w:t>
      </w:r>
      <w:r w:rsidR="00BF2C70" w:rsidRPr="004C4A67">
        <w:rPr>
          <w:rFonts w:ascii="Bookman Old Style" w:hAnsi="Bookman Old Style" w:cstheme="minorHAnsi"/>
          <w:sz w:val="20"/>
          <w:szCs w:val="20"/>
        </w:rPr>
        <w:t xml:space="preserve"> (</w:t>
      </w:r>
      <w:r w:rsidR="003205AB" w:rsidRPr="004C4A67">
        <w:rPr>
          <w:rFonts w:ascii="Bookman Old Style" w:hAnsi="Bookman Old Style" w:cstheme="minorHAnsi"/>
          <w:sz w:val="20"/>
          <w:szCs w:val="20"/>
        </w:rPr>
        <w:t xml:space="preserve">e.g. </w:t>
      </w:r>
      <w:r w:rsidR="00BF2C70" w:rsidRPr="004C4A67">
        <w:rPr>
          <w:rFonts w:ascii="Bookman Old Style" w:hAnsi="Bookman Old Style" w:cstheme="minorHAnsi"/>
          <w:sz w:val="20"/>
          <w:szCs w:val="20"/>
        </w:rPr>
        <w:t xml:space="preserve">Supporting Information Table </w:t>
      </w:r>
      <w:r w:rsidR="00EC5BC9" w:rsidRPr="004C4A67">
        <w:rPr>
          <w:rFonts w:ascii="Bookman Old Style" w:hAnsi="Bookman Old Style" w:cstheme="minorHAnsi"/>
          <w:sz w:val="20"/>
          <w:szCs w:val="20"/>
        </w:rPr>
        <w:t>S</w:t>
      </w:r>
      <w:r w:rsidR="00EC5BC9">
        <w:rPr>
          <w:rFonts w:ascii="Bookman Old Style" w:hAnsi="Bookman Old Style" w:cstheme="minorHAnsi"/>
          <w:sz w:val="20"/>
          <w:szCs w:val="20"/>
        </w:rPr>
        <w:t>5</w:t>
      </w:r>
      <w:r w:rsidR="00BF2C70" w:rsidRPr="004C4A67">
        <w:rPr>
          <w:rFonts w:ascii="Bookman Old Style" w:hAnsi="Bookman Old Style" w:cstheme="minorHAnsi"/>
          <w:sz w:val="20"/>
          <w:szCs w:val="20"/>
        </w:rPr>
        <w:t xml:space="preserve">), </w:t>
      </w:r>
      <w:r w:rsidR="003205AB" w:rsidRPr="004C4A67">
        <w:rPr>
          <w:rFonts w:ascii="Bookman Old Style" w:hAnsi="Bookman Old Style" w:cstheme="minorHAnsi"/>
          <w:sz w:val="20"/>
          <w:szCs w:val="20"/>
        </w:rPr>
        <w:t xml:space="preserve">and as noted above positive action has been taken to combat this, which has already seen some success (e.g. Table </w:t>
      </w:r>
      <w:r w:rsidR="00D31DFD">
        <w:rPr>
          <w:rFonts w:ascii="Bookman Old Style" w:hAnsi="Bookman Old Style" w:cstheme="minorHAnsi"/>
          <w:sz w:val="20"/>
          <w:szCs w:val="20"/>
        </w:rPr>
        <w:t>3</w:t>
      </w:r>
      <w:r w:rsidR="003205AB" w:rsidRPr="004C4A67">
        <w:rPr>
          <w:rFonts w:ascii="Bookman Old Style" w:hAnsi="Bookman Old Style" w:cstheme="minorHAnsi"/>
          <w:sz w:val="20"/>
          <w:szCs w:val="20"/>
        </w:rPr>
        <w:t>)</w:t>
      </w:r>
      <w:r w:rsidR="00A30890" w:rsidRPr="004C4A67">
        <w:rPr>
          <w:rFonts w:ascii="Bookman Old Style" w:hAnsi="Bookman Old Style" w:cstheme="minorHAnsi"/>
          <w:sz w:val="20"/>
          <w:szCs w:val="20"/>
        </w:rPr>
        <w:t>. However</w:t>
      </w:r>
      <w:r w:rsidR="007F60F3" w:rsidRPr="004C4A67">
        <w:rPr>
          <w:rFonts w:ascii="Bookman Old Style" w:hAnsi="Bookman Old Style" w:cstheme="minorHAnsi"/>
          <w:sz w:val="20"/>
          <w:szCs w:val="20"/>
        </w:rPr>
        <w:t>,</w:t>
      </w:r>
      <w:r w:rsidR="00A30890" w:rsidRPr="004C4A67">
        <w:rPr>
          <w:rFonts w:ascii="Bookman Old Style" w:hAnsi="Bookman Old Style" w:cstheme="minorHAnsi"/>
          <w:sz w:val="20"/>
          <w:szCs w:val="20"/>
        </w:rPr>
        <w:t xml:space="preserve"> the high response rate for </w:t>
      </w:r>
      <w:r w:rsidR="00697620" w:rsidRPr="004C4A67">
        <w:rPr>
          <w:rFonts w:ascii="Bookman Old Style" w:hAnsi="Bookman Old Style" w:cstheme="minorHAnsi"/>
          <w:sz w:val="20"/>
          <w:szCs w:val="20"/>
        </w:rPr>
        <w:t>recrystallisation</w:t>
      </w:r>
      <w:r w:rsidR="00A30890" w:rsidRPr="004C4A67">
        <w:rPr>
          <w:rFonts w:ascii="Bookman Old Style" w:hAnsi="Bookman Old Style" w:cstheme="minorHAnsi"/>
          <w:sz w:val="20"/>
          <w:szCs w:val="20"/>
        </w:rPr>
        <w:t xml:space="preserve"> and liquid-liquid extraction may just be </w:t>
      </w:r>
      <w:r w:rsidR="00E65E85" w:rsidRPr="004C4A67">
        <w:rPr>
          <w:rFonts w:ascii="Bookman Old Style" w:hAnsi="Bookman Old Style" w:cstheme="minorHAnsi"/>
          <w:sz w:val="20"/>
          <w:szCs w:val="20"/>
        </w:rPr>
        <w:t>due to the fact all students are assessed on one of these skills, since the marks for these stations tend to</w:t>
      </w:r>
      <w:r w:rsidR="007F60F3" w:rsidRPr="004C4A67">
        <w:rPr>
          <w:rFonts w:ascii="Bookman Old Style" w:hAnsi="Bookman Old Style" w:cstheme="minorHAnsi"/>
          <w:sz w:val="20"/>
          <w:szCs w:val="20"/>
        </w:rPr>
        <w:t xml:space="preserve"> agree with</w:t>
      </w:r>
      <w:r w:rsidR="00E65E85" w:rsidRPr="004C4A67">
        <w:rPr>
          <w:rFonts w:ascii="Bookman Old Style" w:hAnsi="Bookman Old Style" w:cstheme="minorHAnsi"/>
          <w:sz w:val="20"/>
          <w:szCs w:val="20"/>
        </w:rPr>
        <w:t xml:space="preserve"> the mean exam mark.</w:t>
      </w:r>
    </w:p>
    <w:p w14:paraId="44B5C7F3" w14:textId="77777777" w:rsidR="00F8705B" w:rsidRPr="004C4A67" w:rsidRDefault="00E37D5E" w:rsidP="002B21EE">
      <w:pPr>
        <w:pStyle w:val="JCEbodytext"/>
        <w:ind w:firstLine="0"/>
      </w:pPr>
      <w:r w:rsidRPr="00E37D5E">
        <w:rPr>
          <w:noProof/>
          <w:lang w:val="en-GB" w:eastAsia="en-GB"/>
        </w:rPr>
        <w:drawing>
          <wp:inline distT="0" distB="0" distL="0" distR="0" wp14:anchorId="75DB4177" wp14:editId="776B6A6A">
            <wp:extent cx="6400800" cy="3167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167101"/>
                    </a:xfrm>
                    <a:prstGeom prst="rect">
                      <a:avLst/>
                    </a:prstGeom>
                    <a:noFill/>
                    <a:ln>
                      <a:noFill/>
                    </a:ln>
                  </pic:spPr>
                </pic:pic>
              </a:graphicData>
            </a:graphic>
          </wp:inline>
        </w:drawing>
      </w:r>
    </w:p>
    <w:p w14:paraId="0CC47F76" w14:textId="77777777" w:rsidR="00927776" w:rsidRPr="004C4A67" w:rsidRDefault="00927776" w:rsidP="00927776">
      <w:pPr>
        <w:jc w:val="both"/>
        <w:rPr>
          <w:rFonts w:ascii="Helvetica" w:hAnsi="Helvetica" w:cs="Helvetica"/>
          <w:sz w:val="16"/>
          <w:szCs w:val="16"/>
        </w:rPr>
      </w:pPr>
      <w:r w:rsidRPr="004C4A67">
        <w:rPr>
          <w:rFonts w:ascii="Helvetica" w:hAnsi="Helvetica" w:cs="Helvetica"/>
          <w:sz w:val="16"/>
          <w:szCs w:val="16"/>
        </w:rPr>
        <w:t xml:space="preserve">Figure </w:t>
      </w:r>
      <w:r w:rsidR="00437591" w:rsidRPr="004C4A67">
        <w:rPr>
          <w:rFonts w:ascii="Helvetica" w:hAnsi="Helvetica" w:cs="Helvetica"/>
          <w:sz w:val="16"/>
          <w:szCs w:val="16"/>
        </w:rPr>
        <w:t>2</w:t>
      </w:r>
      <w:r w:rsidRPr="004C4A67">
        <w:rPr>
          <w:rFonts w:ascii="Helvetica" w:hAnsi="Helvetica" w:cs="Helvetica"/>
          <w:sz w:val="16"/>
          <w:szCs w:val="16"/>
        </w:rPr>
        <w:t>: Questionnaire responses</w:t>
      </w:r>
      <w:r w:rsidR="00437591" w:rsidRPr="004C4A67">
        <w:rPr>
          <w:rFonts w:ascii="Helvetica" w:hAnsi="Helvetica" w:cs="Helvetica"/>
          <w:sz w:val="16"/>
          <w:szCs w:val="16"/>
        </w:rPr>
        <w:t xml:space="preserve"> given as a % of number of respondents (n = 68).</w:t>
      </w:r>
    </w:p>
    <w:p w14:paraId="695A7E99" w14:textId="77777777" w:rsidR="002617AE" w:rsidRPr="004C4A67" w:rsidRDefault="002617AE" w:rsidP="002617AE">
      <w:pPr>
        <w:pStyle w:val="JCEcaption"/>
      </w:pPr>
    </w:p>
    <w:p w14:paraId="4FB79E47" w14:textId="77777777" w:rsidR="005B4C7E" w:rsidRPr="004C4A67" w:rsidRDefault="005B4C7E" w:rsidP="00E74762">
      <w:pPr>
        <w:pStyle w:val="JCEcaption"/>
      </w:pPr>
    </w:p>
    <w:p w14:paraId="523FFCCF" w14:textId="77777777" w:rsidR="00437591" w:rsidRPr="004C4A67" w:rsidRDefault="00437591" w:rsidP="00437591">
      <w:pPr>
        <w:pStyle w:val="JCEH2"/>
      </w:pPr>
      <w:r w:rsidRPr="004C4A67">
        <w:t>Staff Perceptions</w:t>
      </w:r>
    </w:p>
    <w:p w14:paraId="7BD26411" w14:textId="77777777" w:rsidR="00437591" w:rsidRPr="004C4A67" w:rsidRDefault="00437591" w:rsidP="00437591">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 xml:space="preserve">We believe that the introduction of the </w:t>
      </w:r>
      <w:r w:rsidR="003411C2" w:rsidRPr="004C4A67">
        <w:rPr>
          <w:rFonts w:ascii="Bookman Old Style" w:hAnsi="Bookman Old Style" w:cstheme="minorHAnsi"/>
          <w:sz w:val="20"/>
          <w:szCs w:val="20"/>
        </w:rPr>
        <w:t xml:space="preserve">practical exam has had a positive impact in terms of </w:t>
      </w:r>
      <w:r w:rsidRPr="004C4A67">
        <w:rPr>
          <w:rFonts w:ascii="Bookman Old Style" w:hAnsi="Bookman Old Style" w:cstheme="minorHAnsi"/>
          <w:sz w:val="20"/>
          <w:szCs w:val="20"/>
        </w:rPr>
        <w:t xml:space="preserve">changing student attitude to laboratory classes, with students observed to have greater motivation to develop appropriate laboratory skills in advance of the exam. In the second semester of first year, </w:t>
      </w:r>
      <w:r w:rsidR="00E7091B">
        <w:rPr>
          <w:rFonts w:ascii="Bookman Old Style" w:hAnsi="Bookman Old Style" w:cstheme="minorHAnsi"/>
          <w:sz w:val="20"/>
          <w:szCs w:val="20"/>
        </w:rPr>
        <w:t xml:space="preserve">it is our belief that </w:t>
      </w:r>
      <w:r w:rsidRPr="004C4A67">
        <w:rPr>
          <w:rFonts w:ascii="Bookman Old Style" w:hAnsi="Bookman Old Style" w:cstheme="minorHAnsi"/>
          <w:sz w:val="20"/>
          <w:szCs w:val="20"/>
        </w:rPr>
        <w:t>students generally demonstrate better retention of practical skills they have learnt in the first semester, and less staff intervention is required.</w:t>
      </w:r>
    </w:p>
    <w:p w14:paraId="5155DC55" w14:textId="77777777" w:rsidR="00437591" w:rsidRPr="004C4A67" w:rsidRDefault="00437591" w:rsidP="00437591">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 xml:space="preserve">Introduction of the practical exam has also allowed focus upon the skills and related concepts that students find particularly difficult, and allow greater focus on these elsewhere in the course. </w:t>
      </w:r>
      <w:r w:rsidR="003205AB" w:rsidRPr="004C4A67">
        <w:rPr>
          <w:rFonts w:ascii="Bookman Old Style" w:hAnsi="Bookman Old Style" w:cstheme="minorHAnsi"/>
          <w:sz w:val="20"/>
          <w:szCs w:val="20"/>
        </w:rPr>
        <w:t>All</w:t>
      </w:r>
      <w:r w:rsidRPr="004C4A67">
        <w:rPr>
          <w:rFonts w:ascii="Bookman Old Style" w:hAnsi="Bookman Old Style" w:cstheme="minorHAnsi"/>
          <w:sz w:val="20"/>
          <w:szCs w:val="20"/>
        </w:rPr>
        <w:t xml:space="preserve"> practical exam invigilators are directly involved in first year laboratory class teaching</w:t>
      </w:r>
      <w:r w:rsidR="003205AB" w:rsidRPr="004C4A67">
        <w:rPr>
          <w:rFonts w:ascii="Bookman Old Style" w:hAnsi="Bookman Old Style" w:cstheme="minorHAnsi"/>
          <w:sz w:val="20"/>
          <w:szCs w:val="20"/>
        </w:rPr>
        <w:t xml:space="preserve">; </w:t>
      </w:r>
      <w:r w:rsidRPr="004C4A67">
        <w:rPr>
          <w:rFonts w:ascii="Bookman Old Style" w:hAnsi="Bookman Old Style" w:cstheme="minorHAnsi"/>
          <w:sz w:val="20"/>
          <w:szCs w:val="20"/>
        </w:rPr>
        <w:t xml:space="preserve">being able to observe issues with technique allows these to be quickly addressed in </w:t>
      </w:r>
      <w:r w:rsidR="003205AB" w:rsidRPr="004C4A67">
        <w:rPr>
          <w:rFonts w:ascii="Bookman Old Style" w:hAnsi="Bookman Old Style" w:cstheme="minorHAnsi"/>
          <w:sz w:val="20"/>
          <w:szCs w:val="20"/>
        </w:rPr>
        <w:t xml:space="preserve">future </w:t>
      </w:r>
      <w:r w:rsidRPr="004C4A67">
        <w:rPr>
          <w:rFonts w:ascii="Bookman Old Style" w:hAnsi="Bookman Old Style" w:cstheme="minorHAnsi"/>
          <w:sz w:val="20"/>
          <w:szCs w:val="20"/>
        </w:rPr>
        <w:t>laboratory classes</w:t>
      </w:r>
      <w:r w:rsidR="003205AB" w:rsidRPr="004C4A67">
        <w:rPr>
          <w:rFonts w:ascii="Bookman Old Style" w:hAnsi="Bookman Old Style" w:cstheme="minorHAnsi"/>
          <w:sz w:val="20"/>
          <w:szCs w:val="20"/>
        </w:rPr>
        <w:t>.</w:t>
      </w:r>
      <w:r w:rsidRPr="004C4A67">
        <w:rPr>
          <w:rFonts w:ascii="Bookman Old Style" w:hAnsi="Bookman Old Style" w:cstheme="minorHAnsi"/>
          <w:sz w:val="20"/>
          <w:szCs w:val="20"/>
        </w:rPr>
        <w:t xml:space="preserve"> </w:t>
      </w:r>
    </w:p>
    <w:p w14:paraId="65F281F7" w14:textId="77777777" w:rsidR="00437591" w:rsidRPr="004C4A67" w:rsidRDefault="00437591" w:rsidP="00437591">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 xml:space="preserve">The explicit assessment of practical skills has also required us to more thoroughly examine our practical classes to ensure that they are adequately preparing the students for their practical exam, and subsequent laboratory classes for the remainder of their course. </w:t>
      </w:r>
      <w:r w:rsidR="00D407AD" w:rsidRPr="004C4A67">
        <w:rPr>
          <w:rFonts w:ascii="Bookman Old Style" w:hAnsi="Bookman Old Style" w:cstheme="minorHAnsi"/>
          <w:sz w:val="20"/>
          <w:szCs w:val="20"/>
        </w:rPr>
        <w:t xml:space="preserve">For example, as noted above, </w:t>
      </w:r>
      <w:r w:rsidRPr="004C4A67">
        <w:rPr>
          <w:rFonts w:ascii="Bookman Old Style" w:hAnsi="Bookman Old Style" w:cstheme="minorHAnsi"/>
          <w:sz w:val="20"/>
          <w:szCs w:val="20"/>
        </w:rPr>
        <w:t>in 2018</w:t>
      </w:r>
      <w:r w:rsidR="0031760D">
        <w:rPr>
          <w:rFonts w:ascii="Bookman Old Style" w:hAnsi="Bookman Old Style" w:cstheme="minorHAnsi"/>
          <w:sz w:val="20"/>
          <w:szCs w:val="20"/>
        </w:rPr>
        <w:t>/</w:t>
      </w:r>
      <w:r w:rsidRPr="004C4A67">
        <w:rPr>
          <w:rFonts w:ascii="Bookman Old Style" w:hAnsi="Bookman Old Style" w:cstheme="minorHAnsi"/>
          <w:sz w:val="20"/>
          <w:szCs w:val="20"/>
        </w:rPr>
        <w:t xml:space="preserve">19 we introduced a new laboratory experiment focusing on development of </w:t>
      </w:r>
      <w:r w:rsidR="00D407AD" w:rsidRPr="004C4A67">
        <w:rPr>
          <w:rFonts w:ascii="Bookman Old Style" w:hAnsi="Bookman Old Style" w:cstheme="minorHAnsi"/>
          <w:sz w:val="20"/>
          <w:szCs w:val="20"/>
        </w:rPr>
        <w:t xml:space="preserve">solution preparation and UV-Vis spectroscopy </w:t>
      </w:r>
      <w:r w:rsidRPr="004C4A67">
        <w:rPr>
          <w:rFonts w:ascii="Bookman Old Style" w:hAnsi="Bookman Old Style" w:cstheme="minorHAnsi"/>
          <w:sz w:val="20"/>
          <w:szCs w:val="20"/>
        </w:rPr>
        <w:t>skills</w:t>
      </w:r>
      <w:r w:rsidR="003205AB" w:rsidRPr="004C4A67">
        <w:rPr>
          <w:rFonts w:ascii="Bookman Old Style" w:hAnsi="Bookman Old Style" w:cstheme="minorHAnsi"/>
          <w:sz w:val="20"/>
          <w:szCs w:val="20"/>
        </w:rPr>
        <w:t xml:space="preserve"> (Supporting Information Table S</w:t>
      </w:r>
      <w:r w:rsidR="00A868CD" w:rsidRPr="004C4A67">
        <w:rPr>
          <w:rFonts w:ascii="Bookman Old Style" w:hAnsi="Bookman Old Style" w:cstheme="minorHAnsi"/>
          <w:sz w:val="20"/>
          <w:szCs w:val="20"/>
        </w:rPr>
        <w:t>2</w:t>
      </w:r>
      <w:r w:rsidR="003205AB" w:rsidRPr="004C4A67">
        <w:rPr>
          <w:rFonts w:ascii="Bookman Old Style" w:hAnsi="Bookman Old Style" w:cstheme="minorHAnsi"/>
          <w:sz w:val="20"/>
          <w:szCs w:val="20"/>
        </w:rPr>
        <w:t>)</w:t>
      </w:r>
      <w:r w:rsidRPr="004C4A67">
        <w:rPr>
          <w:rFonts w:ascii="Bookman Old Style" w:hAnsi="Bookman Old Style" w:cstheme="minorHAnsi"/>
          <w:sz w:val="20"/>
          <w:szCs w:val="20"/>
        </w:rPr>
        <w:t>.</w:t>
      </w:r>
    </w:p>
    <w:p w14:paraId="2370DFD0" w14:textId="77777777" w:rsidR="00437591" w:rsidRPr="004C4A67" w:rsidRDefault="00437591" w:rsidP="00437591">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Implementing the practical exam has been logistically challenging, requiring significant commitment from various members of academic and technical staff. As previously discussed, an increase in student cohort number in 2016</w:t>
      </w:r>
      <w:r w:rsidR="0031760D">
        <w:rPr>
          <w:rFonts w:ascii="Bookman Old Style" w:hAnsi="Bookman Old Style" w:cstheme="minorHAnsi"/>
          <w:sz w:val="20"/>
          <w:szCs w:val="20"/>
        </w:rPr>
        <w:t>/</w:t>
      </w:r>
      <w:r w:rsidRPr="004C4A67">
        <w:rPr>
          <w:rFonts w:ascii="Bookman Old Style" w:hAnsi="Bookman Old Style" w:cstheme="minorHAnsi"/>
          <w:sz w:val="20"/>
          <w:szCs w:val="20"/>
        </w:rPr>
        <w:t xml:space="preserve">17 lead to </w:t>
      </w:r>
      <w:r w:rsidR="003205AB" w:rsidRPr="004C4A67">
        <w:rPr>
          <w:rFonts w:ascii="Bookman Old Style" w:hAnsi="Bookman Old Style" w:cstheme="minorHAnsi"/>
          <w:b/>
          <w:sz w:val="20"/>
          <w:szCs w:val="20"/>
        </w:rPr>
        <w:t>V2</w:t>
      </w:r>
      <w:r w:rsidRPr="004C4A67">
        <w:rPr>
          <w:rFonts w:ascii="Bookman Old Style" w:hAnsi="Bookman Old Style" w:cstheme="minorHAnsi"/>
          <w:sz w:val="20"/>
          <w:szCs w:val="20"/>
        </w:rPr>
        <w:t xml:space="preserve"> being developed. Despite </w:t>
      </w:r>
      <w:r w:rsidR="003205AB" w:rsidRPr="004C4A67">
        <w:rPr>
          <w:rFonts w:ascii="Bookman Old Style" w:hAnsi="Bookman Old Style" w:cstheme="minorHAnsi"/>
          <w:b/>
          <w:sz w:val="20"/>
          <w:szCs w:val="20"/>
        </w:rPr>
        <w:t>V2</w:t>
      </w:r>
      <w:r w:rsidRPr="004C4A67">
        <w:rPr>
          <w:rFonts w:ascii="Bookman Old Style" w:hAnsi="Bookman Old Style" w:cstheme="minorHAnsi"/>
          <w:sz w:val="20"/>
          <w:szCs w:val="20"/>
        </w:rPr>
        <w:t xml:space="preserve"> comprising fewer stations than </w:t>
      </w:r>
      <w:r w:rsidR="003205AB" w:rsidRPr="004C4A67">
        <w:rPr>
          <w:rFonts w:ascii="Bookman Old Style" w:hAnsi="Bookman Old Style" w:cstheme="minorHAnsi"/>
          <w:b/>
          <w:sz w:val="20"/>
          <w:szCs w:val="20"/>
        </w:rPr>
        <w:t>V1</w:t>
      </w:r>
      <w:r w:rsidRPr="004C4A67">
        <w:rPr>
          <w:rFonts w:ascii="Bookman Old Style" w:hAnsi="Bookman Old Style" w:cstheme="minorHAnsi"/>
          <w:sz w:val="20"/>
          <w:szCs w:val="20"/>
        </w:rPr>
        <w:t>, we do not</w:t>
      </w:r>
      <w:r w:rsidR="00CF3CD8" w:rsidRPr="004C4A67">
        <w:rPr>
          <w:rFonts w:ascii="Bookman Old Style" w:hAnsi="Bookman Old Style" w:cstheme="minorHAnsi"/>
          <w:sz w:val="20"/>
          <w:szCs w:val="20"/>
        </w:rPr>
        <w:t xml:space="preserve"> believe that this has compromised</w:t>
      </w:r>
      <w:r w:rsidRPr="004C4A67">
        <w:rPr>
          <w:rFonts w:ascii="Bookman Old Style" w:hAnsi="Bookman Old Style" w:cstheme="minorHAnsi"/>
          <w:sz w:val="20"/>
          <w:szCs w:val="20"/>
        </w:rPr>
        <w:t xml:space="preserve"> the rigor of the exam, </w:t>
      </w:r>
      <w:r w:rsidR="003205AB" w:rsidRPr="004C4A67">
        <w:rPr>
          <w:rFonts w:ascii="Bookman Old Style" w:hAnsi="Bookman Old Style" w:cstheme="minorHAnsi"/>
          <w:sz w:val="20"/>
          <w:szCs w:val="20"/>
        </w:rPr>
        <w:t>as broadly</w:t>
      </w:r>
      <w:r w:rsidRPr="004C4A67">
        <w:rPr>
          <w:rFonts w:ascii="Bookman Old Style" w:hAnsi="Bookman Old Style" w:cstheme="minorHAnsi"/>
          <w:sz w:val="20"/>
          <w:szCs w:val="20"/>
        </w:rPr>
        <w:t xml:space="preserve"> reflected by the marks in Table </w:t>
      </w:r>
      <w:r w:rsidR="0031760D">
        <w:rPr>
          <w:rFonts w:ascii="Bookman Old Style" w:hAnsi="Bookman Old Style" w:cstheme="minorHAnsi"/>
          <w:sz w:val="20"/>
          <w:szCs w:val="20"/>
        </w:rPr>
        <w:t>3</w:t>
      </w:r>
      <w:r w:rsidR="003205AB" w:rsidRPr="004C4A67">
        <w:rPr>
          <w:rFonts w:ascii="Bookman Old Style" w:hAnsi="Bookman Old Style" w:cstheme="minorHAnsi"/>
          <w:sz w:val="20"/>
          <w:szCs w:val="20"/>
        </w:rPr>
        <w:t xml:space="preserve">, </w:t>
      </w:r>
      <w:r w:rsidR="00D407AD" w:rsidRPr="004C4A67">
        <w:rPr>
          <w:rFonts w:ascii="Bookman Old Style" w:hAnsi="Bookman Old Style" w:cstheme="minorHAnsi"/>
          <w:sz w:val="20"/>
          <w:szCs w:val="20"/>
        </w:rPr>
        <w:t xml:space="preserve">instead </w:t>
      </w:r>
      <w:r w:rsidRPr="004C4A67">
        <w:rPr>
          <w:rFonts w:ascii="Bookman Old Style" w:hAnsi="Bookman Old Style" w:cstheme="minorHAnsi"/>
          <w:sz w:val="20"/>
          <w:szCs w:val="20"/>
        </w:rPr>
        <w:t>revea</w:t>
      </w:r>
      <w:r w:rsidR="00D407AD" w:rsidRPr="004C4A67">
        <w:rPr>
          <w:rFonts w:ascii="Bookman Old Style" w:hAnsi="Bookman Old Style" w:cstheme="minorHAnsi"/>
          <w:sz w:val="20"/>
          <w:szCs w:val="20"/>
        </w:rPr>
        <w:t>ling</w:t>
      </w:r>
      <w:r w:rsidRPr="004C4A67">
        <w:rPr>
          <w:rFonts w:ascii="Bookman Old Style" w:hAnsi="Bookman Old Style" w:cstheme="minorHAnsi"/>
          <w:sz w:val="20"/>
          <w:szCs w:val="20"/>
        </w:rPr>
        <w:t xml:space="preserve"> that some of the </w:t>
      </w:r>
      <w:r w:rsidR="003205AB" w:rsidRPr="004C4A67">
        <w:rPr>
          <w:rFonts w:ascii="Bookman Old Style" w:hAnsi="Bookman Old Style" w:cstheme="minorHAnsi"/>
          <w:sz w:val="20"/>
          <w:szCs w:val="20"/>
        </w:rPr>
        <w:t xml:space="preserve">assessed </w:t>
      </w:r>
      <w:r w:rsidRPr="004C4A67">
        <w:rPr>
          <w:rFonts w:ascii="Bookman Old Style" w:hAnsi="Bookman Old Style" w:cstheme="minorHAnsi"/>
          <w:sz w:val="20"/>
          <w:szCs w:val="20"/>
        </w:rPr>
        <w:t>stations (for example, preparation of a COSHH form</w:t>
      </w:r>
      <w:r w:rsidR="003205AB" w:rsidRPr="004C4A67">
        <w:rPr>
          <w:rFonts w:ascii="Bookman Old Style" w:hAnsi="Bookman Old Style" w:cstheme="minorHAnsi"/>
          <w:sz w:val="20"/>
          <w:szCs w:val="20"/>
        </w:rPr>
        <w:t>, NMR analysis</w:t>
      </w:r>
      <w:r w:rsidRPr="004C4A67">
        <w:rPr>
          <w:rFonts w:ascii="Bookman Old Style" w:hAnsi="Bookman Old Style" w:cstheme="minorHAnsi"/>
          <w:sz w:val="20"/>
          <w:szCs w:val="20"/>
        </w:rPr>
        <w:t xml:space="preserve">) could be assessed </w:t>
      </w:r>
      <w:r w:rsidR="003205AB" w:rsidRPr="004C4A67">
        <w:rPr>
          <w:rFonts w:ascii="Bookman Old Style" w:hAnsi="Bookman Old Style" w:cstheme="minorHAnsi"/>
          <w:sz w:val="20"/>
          <w:szCs w:val="20"/>
        </w:rPr>
        <w:t>via other mechanisms</w:t>
      </w:r>
      <w:r w:rsidRPr="004C4A67">
        <w:rPr>
          <w:rFonts w:ascii="Bookman Old Style" w:hAnsi="Bookman Old Style" w:cstheme="minorHAnsi"/>
          <w:sz w:val="20"/>
          <w:szCs w:val="20"/>
        </w:rPr>
        <w:t>.</w:t>
      </w:r>
      <w:r w:rsidR="003205AB" w:rsidRPr="004C4A67">
        <w:rPr>
          <w:rFonts w:ascii="Bookman Old Style" w:hAnsi="Bookman Old Style" w:cstheme="minorHAnsi"/>
          <w:sz w:val="20"/>
          <w:szCs w:val="20"/>
        </w:rPr>
        <w:t xml:space="preserve"> The current form of</w:t>
      </w:r>
      <w:r w:rsidRPr="004C4A67">
        <w:rPr>
          <w:rFonts w:ascii="Bookman Old Style" w:hAnsi="Bookman Old Style" w:cstheme="minorHAnsi"/>
          <w:sz w:val="20"/>
          <w:szCs w:val="20"/>
        </w:rPr>
        <w:t xml:space="preserve"> </w:t>
      </w:r>
      <w:r w:rsidR="003205AB" w:rsidRPr="004C4A67">
        <w:rPr>
          <w:rFonts w:ascii="Bookman Old Style" w:hAnsi="Bookman Old Style" w:cstheme="minorHAnsi"/>
          <w:b/>
          <w:sz w:val="20"/>
          <w:szCs w:val="20"/>
        </w:rPr>
        <w:t>V2</w:t>
      </w:r>
      <w:r w:rsidRPr="004C4A67">
        <w:rPr>
          <w:rFonts w:ascii="Bookman Old Style" w:hAnsi="Bookman Old Style" w:cstheme="minorHAnsi"/>
          <w:sz w:val="20"/>
          <w:szCs w:val="20"/>
        </w:rPr>
        <w:t xml:space="preserve"> is appropriate for large cohorts of students (18 students can be assessed in 1.5 </w:t>
      </w:r>
      <w:r w:rsidR="007F60F3" w:rsidRPr="004C4A67">
        <w:rPr>
          <w:rFonts w:ascii="Bookman Old Style" w:hAnsi="Bookman Old Style" w:cstheme="minorHAnsi"/>
          <w:sz w:val="20"/>
          <w:szCs w:val="20"/>
        </w:rPr>
        <w:t>hours</w:t>
      </w:r>
      <w:r w:rsidRPr="004C4A67">
        <w:rPr>
          <w:rFonts w:ascii="Bookman Old Style" w:hAnsi="Bookman Old Style" w:cstheme="minorHAnsi"/>
          <w:sz w:val="20"/>
          <w:szCs w:val="20"/>
        </w:rPr>
        <w:t xml:space="preserve"> in our laboratory which has 16 fumehoods and a maximum capacity of 64).</w:t>
      </w:r>
    </w:p>
    <w:p w14:paraId="3C46E470" w14:textId="77777777" w:rsidR="00437591" w:rsidRPr="004C4A67" w:rsidRDefault="00437591" w:rsidP="00437591">
      <w:pPr>
        <w:pStyle w:val="JCEbodytext"/>
      </w:pPr>
    </w:p>
    <w:p w14:paraId="06B6672C" w14:textId="77777777" w:rsidR="00E0495A" w:rsidRPr="004C4A67" w:rsidRDefault="00E0495A" w:rsidP="00E0495A">
      <w:pPr>
        <w:pStyle w:val="JCEH2"/>
      </w:pPr>
      <w:r w:rsidRPr="004C4A67">
        <w:t>Conclusion</w:t>
      </w:r>
    </w:p>
    <w:p w14:paraId="1EA0A53B" w14:textId="2BA20532" w:rsidR="00E0495A" w:rsidRPr="004C4A67" w:rsidRDefault="00E0495A" w:rsidP="00E0495A">
      <w:pPr>
        <w:spacing w:line="480" w:lineRule="auto"/>
        <w:rPr>
          <w:rFonts w:ascii="Bookman Old Style" w:hAnsi="Bookman Old Style" w:cstheme="minorHAnsi"/>
          <w:sz w:val="20"/>
          <w:szCs w:val="20"/>
        </w:rPr>
      </w:pPr>
      <w:r w:rsidRPr="004C4A67">
        <w:rPr>
          <w:rFonts w:ascii="Bookman Old Style" w:hAnsi="Bookman Old Style" w:cstheme="minorHAnsi"/>
          <w:sz w:val="20"/>
          <w:szCs w:val="20"/>
        </w:rPr>
        <w:t xml:space="preserve">The introduction of a skills-based practical exam as </w:t>
      </w:r>
      <w:r w:rsidR="003205AB" w:rsidRPr="004C4A67">
        <w:rPr>
          <w:rFonts w:ascii="Bookman Old Style" w:hAnsi="Bookman Old Style" w:cstheme="minorHAnsi"/>
          <w:sz w:val="20"/>
          <w:szCs w:val="20"/>
        </w:rPr>
        <w:t xml:space="preserve">a </w:t>
      </w:r>
      <w:r w:rsidRPr="004C4A67">
        <w:rPr>
          <w:rFonts w:ascii="Bookman Old Style" w:hAnsi="Bookman Old Style" w:cstheme="minorHAnsi"/>
          <w:sz w:val="20"/>
          <w:szCs w:val="20"/>
        </w:rPr>
        <w:t xml:space="preserve">means of assessment in our first year </w:t>
      </w:r>
      <w:r w:rsidR="00D407AD" w:rsidRPr="004C4A67">
        <w:rPr>
          <w:rFonts w:ascii="Bookman Old Style" w:hAnsi="Bookman Old Style" w:cstheme="minorHAnsi"/>
          <w:sz w:val="20"/>
          <w:szCs w:val="20"/>
        </w:rPr>
        <w:t xml:space="preserve">undergraduate </w:t>
      </w:r>
      <w:r w:rsidRPr="004C4A67">
        <w:rPr>
          <w:rFonts w:ascii="Bookman Old Style" w:hAnsi="Bookman Old Style" w:cstheme="minorHAnsi"/>
          <w:sz w:val="20"/>
          <w:szCs w:val="20"/>
        </w:rPr>
        <w:t xml:space="preserve">curriculum has had </w:t>
      </w:r>
      <w:r w:rsidR="003205AB" w:rsidRPr="004C4A67">
        <w:rPr>
          <w:rFonts w:ascii="Bookman Old Style" w:hAnsi="Bookman Old Style" w:cstheme="minorHAnsi"/>
          <w:sz w:val="20"/>
          <w:szCs w:val="20"/>
        </w:rPr>
        <w:t xml:space="preserve">a </w:t>
      </w:r>
      <w:r w:rsidRPr="004C4A67">
        <w:rPr>
          <w:rFonts w:ascii="Bookman Old Style" w:hAnsi="Bookman Old Style" w:cstheme="minorHAnsi"/>
          <w:sz w:val="20"/>
          <w:szCs w:val="20"/>
        </w:rPr>
        <w:t xml:space="preserve">significant positive impact upon both the practical skills of our students and their application in laboratory classes.  It has also acted as a motivator for us to ensure that the activities we provide in laboratory classes allow for adequate development of practical skills. Our practical exam has undergone various stages of evolution over the seven years of implementation, including redesign of the stations to ensure purely practical techniques are tested, and the introduction of a mock exam. </w:t>
      </w:r>
      <w:r w:rsidR="003205AB" w:rsidRPr="004C4A67">
        <w:rPr>
          <w:rFonts w:ascii="Bookman Old Style" w:hAnsi="Bookman Old Style" w:cstheme="minorHAnsi"/>
          <w:sz w:val="20"/>
          <w:szCs w:val="20"/>
        </w:rPr>
        <w:t xml:space="preserve">It continues to evolve. </w:t>
      </w:r>
      <w:r w:rsidRPr="004C4A67">
        <w:rPr>
          <w:rFonts w:ascii="Bookman Old Style" w:hAnsi="Bookman Old Style" w:cstheme="minorHAnsi"/>
          <w:sz w:val="20"/>
          <w:szCs w:val="20"/>
        </w:rPr>
        <w:t>We thoroughly recommend the implicit examination of practical chemistry skills at an early stage in chemistry degree courses to focus students on the importance of being a competent practical chemist</w:t>
      </w:r>
      <w:r w:rsidR="003205AB" w:rsidRPr="004C4A67">
        <w:rPr>
          <w:rFonts w:ascii="Bookman Old Style" w:hAnsi="Bookman Old Style" w:cstheme="minorHAnsi"/>
          <w:sz w:val="20"/>
          <w:szCs w:val="20"/>
        </w:rPr>
        <w:t>, to reduce the cognitive load in future laboratory sessions of having to combine the learning of theory with the use of still unfamiliar equipment</w:t>
      </w:r>
      <w:r w:rsidRPr="004C4A67">
        <w:rPr>
          <w:rFonts w:ascii="Bookman Old Style" w:hAnsi="Bookman Old Style" w:cstheme="minorHAnsi"/>
          <w:sz w:val="20"/>
          <w:szCs w:val="20"/>
        </w:rPr>
        <w:t>. We are pleased to report that other UK university chemistry departments are starting to adopt our approach to explicitly assess the practical skills of chemistry departments.</w:t>
      </w:r>
      <w:r w:rsidR="00582C95" w:rsidRPr="004C4A67">
        <w:rPr>
          <w:rFonts w:ascii="Bookman Old Style" w:hAnsi="Bookman Old Style" w:cstheme="minorHAnsi"/>
          <w:sz w:val="20"/>
          <w:szCs w:val="20"/>
          <w:vertAlign w:val="superscript"/>
        </w:rPr>
        <w:t>3</w:t>
      </w:r>
      <w:r w:rsidR="006D396C">
        <w:rPr>
          <w:rFonts w:ascii="Bookman Old Style" w:hAnsi="Bookman Old Style" w:cstheme="minorHAnsi"/>
          <w:sz w:val="20"/>
          <w:szCs w:val="20"/>
          <w:vertAlign w:val="superscript"/>
        </w:rPr>
        <w:t>5</w:t>
      </w:r>
    </w:p>
    <w:p w14:paraId="13EF7C49" w14:textId="77777777" w:rsidR="00E0495A" w:rsidRPr="004C4A67" w:rsidRDefault="00E0495A" w:rsidP="00E0495A">
      <w:pPr>
        <w:pStyle w:val="JCEbodytext"/>
      </w:pPr>
    </w:p>
    <w:p w14:paraId="657FCAAB" w14:textId="77777777" w:rsidR="00B66764" w:rsidRPr="004C4A67" w:rsidRDefault="00B66764" w:rsidP="00B66764">
      <w:pPr>
        <w:pStyle w:val="JCEbodytext"/>
      </w:pPr>
    </w:p>
    <w:p w14:paraId="728EED44" w14:textId="77777777" w:rsidR="002617AE" w:rsidRPr="004C4A67" w:rsidRDefault="002617AE" w:rsidP="007557F1">
      <w:pPr>
        <w:pStyle w:val="JCEH1"/>
      </w:pPr>
      <w:r w:rsidRPr="004C4A67">
        <w:t>Associated content</w:t>
      </w:r>
    </w:p>
    <w:p w14:paraId="7031402A" w14:textId="77777777" w:rsidR="002617AE" w:rsidRPr="004C4A67" w:rsidRDefault="00F715E3" w:rsidP="00C01A79">
      <w:pPr>
        <w:pStyle w:val="JCEH2"/>
        <w:spacing w:before="60"/>
      </w:pPr>
      <w:r w:rsidRPr="004C4A67">
        <w:t>Supporting Information</w:t>
      </w:r>
    </w:p>
    <w:p w14:paraId="2C776BD8" w14:textId="77777777" w:rsidR="00620EDF" w:rsidRPr="004C4A67" w:rsidRDefault="00620EDF" w:rsidP="002617AE">
      <w:pPr>
        <w:pStyle w:val="JCEbodytext"/>
      </w:pPr>
      <w:r w:rsidRPr="004C4A67">
        <w:t>The Supporting Information is available on the ACS Publications website at DOI: 10.1021/acs.jchemed.</w:t>
      </w:r>
      <w:r w:rsidRPr="004C4A67">
        <w:rPr>
          <w:color w:val="FF40FF"/>
        </w:rPr>
        <w:t>XXXXXXX</w:t>
      </w:r>
      <w:r w:rsidRPr="004C4A67">
        <w:t xml:space="preserve">. </w:t>
      </w:r>
      <w:r w:rsidRPr="004C4A67">
        <w:rPr>
          <w:color w:val="FF40FF"/>
        </w:rPr>
        <w:t>[ACS will fill this in.]</w:t>
      </w:r>
      <w:r w:rsidR="00281F38" w:rsidRPr="004C4A67">
        <w:rPr>
          <w:color w:val="FF40FF"/>
        </w:rPr>
        <w:t xml:space="preserve"> Example brief descriptions with file formats indicated are shown below; customize for your material.</w:t>
      </w:r>
    </w:p>
    <w:p w14:paraId="7C70F630" w14:textId="77777777" w:rsidR="00280BAD" w:rsidRPr="004C4A67" w:rsidRDefault="00280BAD" w:rsidP="00280BAD">
      <w:pPr>
        <w:pStyle w:val="JCEbodytext"/>
      </w:pPr>
      <w:r w:rsidRPr="004C4A67">
        <w:t>Notes for Instructors (DOCX)</w:t>
      </w:r>
    </w:p>
    <w:p w14:paraId="14A17C89" w14:textId="77777777" w:rsidR="002617AE" w:rsidRPr="004C4A67" w:rsidRDefault="002617AE" w:rsidP="00545821">
      <w:pPr>
        <w:pStyle w:val="JCEH1"/>
        <w:spacing w:before="180"/>
      </w:pPr>
      <w:r w:rsidRPr="004C4A67">
        <w:t>AUTHOR INFORMATION</w:t>
      </w:r>
    </w:p>
    <w:p w14:paraId="1233593B" w14:textId="77777777" w:rsidR="002617AE" w:rsidRPr="004C4A67" w:rsidRDefault="002617AE" w:rsidP="00233655">
      <w:pPr>
        <w:pStyle w:val="JCEH2"/>
        <w:spacing w:before="60" w:after="60"/>
      </w:pPr>
      <w:r w:rsidRPr="004C4A67">
        <w:t>Corresponding Author</w:t>
      </w:r>
    </w:p>
    <w:p w14:paraId="56F2EE85" w14:textId="77777777" w:rsidR="002617AE" w:rsidRPr="004C4A67" w:rsidRDefault="002350E1" w:rsidP="002617AE">
      <w:pPr>
        <w:pStyle w:val="JCEFlushBody"/>
      </w:pPr>
      <w:r w:rsidRPr="004C4A67">
        <w:t xml:space="preserve">*E-mail: </w:t>
      </w:r>
      <w:r w:rsidR="00437591" w:rsidRPr="004C4A67">
        <w:t>l.m.hancock@keele.ac.uk</w:t>
      </w:r>
    </w:p>
    <w:p w14:paraId="40B54619" w14:textId="77777777" w:rsidR="002617AE" w:rsidRPr="004C4A67" w:rsidRDefault="002617AE" w:rsidP="00545821">
      <w:pPr>
        <w:pStyle w:val="JCEH1"/>
        <w:spacing w:before="180"/>
      </w:pPr>
      <w:r w:rsidRPr="004C4A67">
        <w:t>Acknowledgment</w:t>
      </w:r>
      <w:r w:rsidR="00950A6E" w:rsidRPr="004C4A67">
        <w:t>s</w:t>
      </w:r>
    </w:p>
    <w:p w14:paraId="054F0880" w14:textId="77777777" w:rsidR="002617AE" w:rsidRPr="004C4A67" w:rsidRDefault="00051B45" w:rsidP="002617AE">
      <w:pPr>
        <w:pStyle w:val="JCEbodytext"/>
      </w:pPr>
      <w:r w:rsidRPr="004C4A67">
        <w:t xml:space="preserve">The authors would like to thank the chemistry and medicinal chemistry students at Keele for providing valuable feedback. We also thank numerous members of the chemistry teaching team (academic staff, technicians and demonstrators) at Keele for </w:t>
      </w:r>
      <w:r w:rsidR="00437591" w:rsidRPr="004C4A67">
        <w:t>assistance, especially Nicola</w:t>
      </w:r>
      <w:r w:rsidR="00263FBC" w:rsidRPr="004C4A67">
        <w:t xml:space="preserve"> Jervis for providing technical support.</w:t>
      </w:r>
    </w:p>
    <w:p w14:paraId="4405BAB1" w14:textId="77777777" w:rsidR="002617AE" w:rsidRPr="004C4A67" w:rsidRDefault="002617AE" w:rsidP="00545821">
      <w:pPr>
        <w:pStyle w:val="JCEH1"/>
        <w:spacing w:before="180"/>
      </w:pPr>
      <w:r w:rsidRPr="004C4A67">
        <w:t>REFERENCES</w:t>
      </w:r>
    </w:p>
    <w:p w14:paraId="2AD7E7E0" w14:textId="77777777" w:rsidR="00E0495A" w:rsidRPr="00B4233D" w:rsidRDefault="00E0495A" w:rsidP="00E0495A">
      <w:pPr>
        <w:pStyle w:val="JCEbodytext"/>
        <w:ind w:firstLine="0"/>
      </w:pPr>
    </w:p>
    <w:p w14:paraId="37E75278" w14:textId="77777777" w:rsidR="00582C95" w:rsidRPr="00B4233D" w:rsidRDefault="00582C95" w:rsidP="00582C95">
      <w:pPr>
        <w:spacing w:line="240" w:lineRule="auto"/>
        <w:ind w:left="720" w:hanging="720"/>
        <w:rPr>
          <w:rFonts w:ascii="Bookman Old Style" w:hAnsi="Bookman Old Style"/>
          <w:sz w:val="20"/>
          <w:szCs w:val="20"/>
        </w:rPr>
      </w:pPr>
      <w:r w:rsidRPr="00B4233D">
        <w:rPr>
          <w:rFonts w:ascii="Bookman Old Style" w:hAnsi="Bookman Old Style"/>
          <w:sz w:val="20"/>
          <w:szCs w:val="20"/>
        </w:rPr>
        <w:t>1.</w:t>
      </w:r>
      <w:r w:rsidRPr="00B4233D">
        <w:rPr>
          <w:rFonts w:ascii="Bookman Old Style" w:hAnsi="Bookman Old Style"/>
          <w:sz w:val="20"/>
          <w:szCs w:val="20"/>
        </w:rPr>
        <w:tab/>
        <w:t>Boud D., Dunn J. and Hegarty-Hazel E., Teaching in laboratories, Surrey, UK: Society for Research into Higher Education &amp; NFER-Nelson Guildford</w:t>
      </w:r>
      <w:r w:rsidR="001E7162">
        <w:rPr>
          <w:rFonts w:ascii="Bookman Old Style" w:hAnsi="Bookman Old Style"/>
          <w:sz w:val="20"/>
          <w:szCs w:val="20"/>
        </w:rPr>
        <w:t xml:space="preserve">, </w:t>
      </w:r>
      <w:r w:rsidR="001E7162" w:rsidRPr="001E7162">
        <w:rPr>
          <w:rFonts w:ascii="Bookman Old Style" w:hAnsi="Bookman Old Style"/>
          <w:b/>
          <w:sz w:val="20"/>
          <w:szCs w:val="20"/>
        </w:rPr>
        <w:t>1986</w:t>
      </w:r>
      <w:r w:rsidRPr="00B4233D">
        <w:rPr>
          <w:rFonts w:ascii="Bookman Old Style" w:hAnsi="Bookman Old Style"/>
          <w:sz w:val="20"/>
          <w:szCs w:val="20"/>
        </w:rPr>
        <w:t>.</w:t>
      </w:r>
    </w:p>
    <w:p w14:paraId="4053941E" w14:textId="77777777" w:rsidR="00582C95" w:rsidRPr="00B4233D" w:rsidRDefault="00582C95" w:rsidP="00582C95">
      <w:pPr>
        <w:spacing w:line="240" w:lineRule="auto"/>
        <w:ind w:left="720" w:hanging="720"/>
        <w:rPr>
          <w:rFonts w:ascii="Bookman Old Style" w:hAnsi="Bookman Old Style"/>
          <w:sz w:val="20"/>
          <w:szCs w:val="20"/>
        </w:rPr>
      </w:pPr>
      <w:r w:rsidRPr="00B4233D">
        <w:rPr>
          <w:rFonts w:ascii="Bookman Old Style" w:hAnsi="Bookman Old Style"/>
          <w:sz w:val="20"/>
          <w:szCs w:val="20"/>
        </w:rPr>
        <w:t>2.</w:t>
      </w:r>
      <w:r w:rsidRPr="00B4233D">
        <w:rPr>
          <w:rFonts w:ascii="Bookman Old Style" w:hAnsi="Bookman Old Style"/>
        </w:rPr>
        <w:tab/>
      </w:r>
      <w:r w:rsidRPr="00B4233D">
        <w:rPr>
          <w:rFonts w:ascii="Bookman Old Style" w:hAnsi="Bookman Old Style"/>
          <w:sz w:val="20"/>
          <w:szCs w:val="20"/>
        </w:rPr>
        <w:t xml:space="preserve">Johnstone A. H. and Al-Shuaili A., Learning in the laboratory; some thoughts from the literature, </w:t>
      </w:r>
      <w:r w:rsidRPr="00B4233D">
        <w:rPr>
          <w:rFonts w:ascii="Bookman Old Style" w:hAnsi="Bookman Old Style"/>
          <w:i/>
          <w:sz w:val="20"/>
          <w:szCs w:val="20"/>
        </w:rPr>
        <w:t>Univ. Chem. Educ.,</w:t>
      </w:r>
      <w:r w:rsidR="00D811B0" w:rsidRPr="00B4233D">
        <w:rPr>
          <w:rFonts w:ascii="Bookman Old Style" w:hAnsi="Bookman Old Style"/>
          <w:i/>
          <w:sz w:val="20"/>
          <w:szCs w:val="20"/>
        </w:rPr>
        <w:t xml:space="preserve"> </w:t>
      </w:r>
      <w:r w:rsidR="00D811B0" w:rsidRPr="00B4233D">
        <w:rPr>
          <w:rFonts w:ascii="Bookman Old Style" w:hAnsi="Bookman Old Style"/>
          <w:b/>
          <w:sz w:val="20"/>
          <w:szCs w:val="20"/>
        </w:rPr>
        <w:t>2001</w:t>
      </w:r>
      <w:r w:rsidR="00D811B0" w:rsidRPr="00B4233D">
        <w:rPr>
          <w:rFonts w:ascii="Bookman Old Style" w:hAnsi="Bookman Old Style"/>
          <w:i/>
          <w:sz w:val="20"/>
          <w:szCs w:val="20"/>
        </w:rPr>
        <w:t>,</w:t>
      </w:r>
      <w:r w:rsidRPr="00B4233D">
        <w:rPr>
          <w:rFonts w:ascii="Bookman Old Style" w:hAnsi="Bookman Old Style"/>
          <w:sz w:val="20"/>
          <w:szCs w:val="20"/>
        </w:rPr>
        <w:t xml:space="preserve"> 5(2), 42–51.</w:t>
      </w:r>
    </w:p>
    <w:p w14:paraId="61662A86" w14:textId="77777777" w:rsidR="00582C95" w:rsidRPr="00B4233D" w:rsidRDefault="00582C95" w:rsidP="00582C95">
      <w:pPr>
        <w:spacing w:line="240" w:lineRule="auto"/>
        <w:ind w:left="720" w:hanging="720"/>
        <w:rPr>
          <w:rFonts w:ascii="Bookman Old Style" w:hAnsi="Bookman Old Style" w:cs="Arial"/>
          <w:spacing w:val="-5"/>
          <w:sz w:val="20"/>
          <w:szCs w:val="20"/>
          <w:shd w:val="clear" w:color="auto" w:fill="FFFFFF"/>
        </w:rPr>
      </w:pPr>
      <w:r w:rsidRPr="00B4233D">
        <w:rPr>
          <w:rFonts w:ascii="Bookman Old Style" w:hAnsi="Bookman Old Style" w:cs="Arial"/>
          <w:spacing w:val="-5"/>
          <w:sz w:val="20"/>
          <w:szCs w:val="20"/>
          <w:shd w:val="clear" w:color="auto" w:fill="FFFFFF"/>
        </w:rPr>
        <w:t>3.</w:t>
      </w:r>
      <w:r w:rsidRPr="00B4233D">
        <w:rPr>
          <w:rFonts w:ascii="Bookman Old Style" w:hAnsi="Bookman Old Style" w:cs="Arial"/>
          <w:spacing w:val="-5"/>
          <w:sz w:val="20"/>
          <w:szCs w:val="20"/>
          <w:shd w:val="clear" w:color="auto" w:fill="FFFFFF"/>
        </w:rPr>
        <w:tab/>
      </w:r>
      <w:r w:rsidR="00D811B0" w:rsidRPr="00B4233D">
        <w:rPr>
          <w:rFonts w:ascii="Bookman Old Style" w:hAnsi="Bookman Old Style" w:cs="Arial"/>
          <w:spacing w:val="-5"/>
          <w:sz w:val="20"/>
          <w:szCs w:val="20"/>
          <w:shd w:val="clear" w:color="auto" w:fill="FFFFFF"/>
        </w:rPr>
        <w:t xml:space="preserve">Hofstein A. and Lunetta V. N., </w:t>
      </w:r>
      <w:r w:rsidRPr="00B4233D">
        <w:rPr>
          <w:rFonts w:ascii="Bookman Old Style" w:hAnsi="Bookman Old Style" w:cs="Arial"/>
          <w:spacing w:val="-5"/>
          <w:sz w:val="20"/>
          <w:szCs w:val="20"/>
          <w:shd w:val="clear" w:color="auto" w:fill="FFFFFF"/>
        </w:rPr>
        <w:t>The laboratory in science education: foundations for the twenty-first century, </w:t>
      </w:r>
      <w:r w:rsidRPr="00B4233D">
        <w:rPr>
          <w:rStyle w:val="italic"/>
          <w:rFonts w:ascii="Bookman Old Style" w:hAnsi="Bookman Old Style" w:cs="Arial"/>
          <w:i/>
          <w:iCs/>
          <w:spacing w:val="-5"/>
          <w:sz w:val="20"/>
          <w:szCs w:val="20"/>
          <w:shd w:val="clear" w:color="auto" w:fill="FFFFFF"/>
        </w:rPr>
        <w:t>Sci. Educ.</w:t>
      </w:r>
      <w:r w:rsidRPr="00B4233D">
        <w:rPr>
          <w:rFonts w:ascii="Bookman Old Style" w:hAnsi="Bookman Old Style" w:cs="Arial"/>
          <w:spacing w:val="-5"/>
          <w:sz w:val="20"/>
          <w:szCs w:val="20"/>
          <w:shd w:val="clear" w:color="auto" w:fill="FFFFFF"/>
        </w:rPr>
        <w:t>, </w:t>
      </w:r>
      <w:r w:rsidR="00D811B0" w:rsidRPr="00B4233D">
        <w:rPr>
          <w:rFonts w:ascii="Bookman Old Style" w:hAnsi="Bookman Old Style" w:cs="Arial"/>
          <w:b/>
          <w:spacing w:val="-5"/>
          <w:sz w:val="20"/>
          <w:szCs w:val="20"/>
          <w:shd w:val="clear" w:color="auto" w:fill="FFFFFF"/>
        </w:rPr>
        <w:t>2004</w:t>
      </w:r>
      <w:r w:rsidR="00D811B0" w:rsidRPr="00B4233D">
        <w:rPr>
          <w:rFonts w:ascii="Bookman Old Style" w:hAnsi="Bookman Old Style" w:cs="Arial"/>
          <w:spacing w:val="-5"/>
          <w:sz w:val="20"/>
          <w:szCs w:val="20"/>
          <w:shd w:val="clear" w:color="auto" w:fill="FFFFFF"/>
        </w:rPr>
        <w:t xml:space="preserve">, </w:t>
      </w:r>
      <w:r w:rsidRPr="00B4233D">
        <w:rPr>
          <w:rStyle w:val="bold"/>
          <w:rFonts w:ascii="Bookman Old Style" w:hAnsi="Bookman Old Style" w:cs="Arial"/>
          <w:bCs/>
          <w:spacing w:val="-5"/>
          <w:sz w:val="20"/>
          <w:szCs w:val="20"/>
          <w:shd w:val="clear" w:color="auto" w:fill="FFFFFF"/>
        </w:rPr>
        <w:t>88</w:t>
      </w:r>
      <w:r w:rsidRPr="00B4233D">
        <w:rPr>
          <w:rFonts w:ascii="Bookman Old Style" w:hAnsi="Bookman Old Style" w:cs="Arial"/>
          <w:spacing w:val="-5"/>
          <w:sz w:val="20"/>
          <w:szCs w:val="20"/>
          <w:shd w:val="clear" w:color="auto" w:fill="FFFFFF"/>
        </w:rPr>
        <w:t xml:space="preserve">(1), 28–54, DOI: </w:t>
      </w:r>
      <w:hyperlink r:id="rId12" w:history="1">
        <w:r w:rsidRPr="00B4233D">
          <w:rPr>
            <w:rStyle w:val="Hyperlink"/>
            <w:rFonts w:ascii="Bookman Old Style" w:hAnsi="Bookman Old Style"/>
            <w:color w:val="auto"/>
            <w:sz w:val="20"/>
            <w:szCs w:val="20"/>
          </w:rPr>
          <w:t>10.1002/sce.10106</w:t>
        </w:r>
      </w:hyperlink>
      <w:r w:rsidRPr="00B4233D">
        <w:rPr>
          <w:rFonts w:ascii="Bookman Old Style" w:hAnsi="Bookman Old Style" w:cs="Arial"/>
          <w:spacing w:val="-5"/>
          <w:sz w:val="20"/>
          <w:szCs w:val="20"/>
          <w:shd w:val="clear" w:color="auto" w:fill="FFFFFF"/>
        </w:rPr>
        <w:t>.</w:t>
      </w:r>
    </w:p>
    <w:p w14:paraId="277A388A" w14:textId="77777777" w:rsidR="00582C95" w:rsidRPr="00B4233D" w:rsidRDefault="00582C95" w:rsidP="00582C95">
      <w:pPr>
        <w:spacing w:line="240" w:lineRule="auto"/>
        <w:ind w:left="720" w:hanging="720"/>
        <w:rPr>
          <w:rFonts w:ascii="Bookman Old Style" w:hAnsi="Bookman Old Style" w:cs="Arial"/>
          <w:spacing w:val="-5"/>
          <w:sz w:val="20"/>
          <w:szCs w:val="20"/>
          <w:shd w:val="clear" w:color="auto" w:fill="FFFFFF"/>
        </w:rPr>
      </w:pPr>
      <w:r w:rsidRPr="00B4233D">
        <w:rPr>
          <w:rFonts w:ascii="Bookman Old Style" w:hAnsi="Bookman Old Style" w:cs="Arial"/>
          <w:spacing w:val="-5"/>
          <w:sz w:val="20"/>
          <w:szCs w:val="20"/>
          <w:shd w:val="clear" w:color="auto" w:fill="FFFFFF"/>
        </w:rPr>
        <w:t>4.</w:t>
      </w:r>
      <w:r w:rsidRPr="00B4233D">
        <w:rPr>
          <w:rFonts w:ascii="Bookman Old Style" w:hAnsi="Bookman Old Style" w:cs="Arial"/>
          <w:spacing w:val="-5"/>
          <w:sz w:val="20"/>
          <w:szCs w:val="20"/>
          <w:shd w:val="clear" w:color="auto" w:fill="FFFFFF"/>
        </w:rPr>
        <w:tab/>
        <w:t>Reid N. and Shah I., The role of laboratory work in university chemistry, </w:t>
      </w:r>
      <w:r w:rsidRPr="00B4233D">
        <w:rPr>
          <w:rStyle w:val="italic"/>
          <w:rFonts w:ascii="Bookman Old Style" w:hAnsi="Bookman Old Style" w:cs="Arial"/>
          <w:i/>
          <w:iCs/>
          <w:spacing w:val="-5"/>
          <w:sz w:val="20"/>
          <w:szCs w:val="20"/>
          <w:shd w:val="clear" w:color="auto" w:fill="FFFFFF"/>
        </w:rPr>
        <w:t>Chem. Educ. Res. Pract.</w:t>
      </w:r>
      <w:r w:rsidRPr="00B4233D">
        <w:rPr>
          <w:rFonts w:ascii="Bookman Old Style" w:hAnsi="Bookman Old Style" w:cs="Arial"/>
          <w:spacing w:val="-5"/>
          <w:sz w:val="20"/>
          <w:szCs w:val="20"/>
          <w:shd w:val="clear" w:color="auto" w:fill="FFFFFF"/>
        </w:rPr>
        <w:t>, </w:t>
      </w:r>
      <w:r w:rsidR="00D811B0" w:rsidRPr="00B4233D">
        <w:rPr>
          <w:rFonts w:ascii="Bookman Old Style" w:hAnsi="Bookman Old Style" w:cs="Arial"/>
          <w:b/>
          <w:spacing w:val="-5"/>
          <w:sz w:val="20"/>
          <w:szCs w:val="20"/>
          <w:shd w:val="clear" w:color="auto" w:fill="FFFFFF"/>
        </w:rPr>
        <w:t>2007</w:t>
      </w:r>
      <w:r w:rsidR="00D811B0" w:rsidRPr="00B4233D">
        <w:rPr>
          <w:rFonts w:ascii="Bookman Old Style" w:hAnsi="Bookman Old Style" w:cs="Arial"/>
          <w:spacing w:val="-5"/>
          <w:sz w:val="20"/>
          <w:szCs w:val="20"/>
          <w:shd w:val="clear" w:color="auto" w:fill="FFFFFF"/>
        </w:rPr>
        <w:t xml:space="preserve">, </w:t>
      </w:r>
      <w:r w:rsidRPr="00B4233D">
        <w:rPr>
          <w:rStyle w:val="bold"/>
          <w:rFonts w:ascii="Bookman Old Style" w:hAnsi="Bookman Old Style" w:cs="Arial"/>
          <w:bCs/>
          <w:spacing w:val="-5"/>
          <w:sz w:val="20"/>
          <w:szCs w:val="20"/>
          <w:shd w:val="clear" w:color="auto" w:fill="FFFFFF"/>
        </w:rPr>
        <w:t>8</w:t>
      </w:r>
      <w:r w:rsidRPr="00B4233D">
        <w:rPr>
          <w:rFonts w:ascii="Bookman Old Style" w:hAnsi="Bookman Old Style" w:cs="Arial"/>
          <w:spacing w:val="-5"/>
          <w:sz w:val="20"/>
          <w:szCs w:val="20"/>
          <w:shd w:val="clear" w:color="auto" w:fill="FFFFFF"/>
        </w:rPr>
        <w:t>(2), 172–185, DOI: </w:t>
      </w:r>
      <w:hyperlink r:id="rId13" w:tgtFrame="_blank" w:tooltip="Select to resolve DOI: 10.1039/B5RP90026C" w:history="1">
        <w:r w:rsidRPr="00B4233D">
          <w:rPr>
            <w:rStyle w:val="Hyperlink"/>
            <w:rFonts w:ascii="Bookman Old Style" w:hAnsi="Bookman Old Style" w:cs="Arial"/>
            <w:color w:val="auto"/>
            <w:spacing w:val="-5"/>
            <w:sz w:val="20"/>
            <w:szCs w:val="20"/>
            <w:shd w:val="clear" w:color="auto" w:fill="FFFFFF"/>
          </w:rPr>
          <w:t>10.1039/B5RP90026C</w:t>
        </w:r>
      </w:hyperlink>
      <w:r w:rsidRPr="00B4233D">
        <w:rPr>
          <w:rFonts w:ascii="Bookman Old Style" w:hAnsi="Bookman Old Style" w:cs="Arial"/>
          <w:spacing w:val="-5"/>
          <w:sz w:val="20"/>
          <w:szCs w:val="20"/>
          <w:shd w:val="clear" w:color="auto" w:fill="FFFFFF"/>
        </w:rPr>
        <w:t>.</w:t>
      </w:r>
    </w:p>
    <w:p w14:paraId="16D7C227" w14:textId="77777777" w:rsidR="00582C95" w:rsidRPr="00B4233D" w:rsidRDefault="00582C95" w:rsidP="00582C95">
      <w:pPr>
        <w:spacing w:line="240" w:lineRule="auto"/>
        <w:ind w:left="720" w:hanging="720"/>
        <w:rPr>
          <w:rFonts w:ascii="Bookman Old Style" w:hAnsi="Bookman Old Style"/>
          <w:sz w:val="20"/>
          <w:szCs w:val="20"/>
        </w:rPr>
      </w:pPr>
      <w:r w:rsidRPr="00B4233D">
        <w:rPr>
          <w:rFonts w:ascii="Bookman Old Style" w:hAnsi="Bookman Old Style" w:cs="Arial"/>
          <w:spacing w:val="-5"/>
          <w:sz w:val="20"/>
          <w:szCs w:val="20"/>
          <w:shd w:val="clear" w:color="auto" w:fill="FFFFFF"/>
        </w:rPr>
        <w:t>5.</w:t>
      </w:r>
      <w:r w:rsidRPr="00B4233D">
        <w:rPr>
          <w:rFonts w:ascii="Bookman Old Style" w:hAnsi="Bookman Old Style" w:cs="Arial"/>
          <w:spacing w:val="-5"/>
          <w:sz w:val="20"/>
          <w:szCs w:val="20"/>
          <w:shd w:val="clear" w:color="auto" w:fill="FFFFFF"/>
        </w:rPr>
        <w:tab/>
        <w:t xml:space="preserve">Carnduff J. and Reid N., </w:t>
      </w:r>
      <w:r w:rsidRPr="00B4233D">
        <w:rPr>
          <w:rStyle w:val="italic"/>
          <w:rFonts w:ascii="Bookman Old Style" w:hAnsi="Bookman Old Style" w:cs="Arial"/>
          <w:i/>
          <w:iCs/>
          <w:spacing w:val="-5"/>
          <w:sz w:val="20"/>
          <w:szCs w:val="20"/>
          <w:shd w:val="clear" w:color="auto" w:fill="FFFFFF"/>
        </w:rPr>
        <w:t>Enhancing undergraduate chemistry laboratories: pre-laboratory and post-laboratory exercises</w:t>
      </w:r>
      <w:r w:rsidRPr="00B4233D">
        <w:rPr>
          <w:rFonts w:ascii="Bookman Old Style" w:hAnsi="Bookman Old Style" w:cs="Arial"/>
          <w:spacing w:val="-5"/>
          <w:sz w:val="20"/>
          <w:szCs w:val="20"/>
          <w:shd w:val="clear" w:color="auto" w:fill="FFFFFF"/>
        </w:rPr>
        <w:t>, Royal Society of Chemistry</w:t>
      </w:r>
      <w:r w:rsidR="001E7162">
        <w:rPr>
          <w:rFonts w:ascii="Bookman Old Style" w:hAnsi="Bookman Old Style" w:cs="Arial"/>
          <w:spacing w:val="-5"/>
          <w:sz w:val="20"/>
          <w:szCs w:val="20"/>
          <w:shd w:val="clear" w:color="auto" w:fill="FFFFFF"/>
        </w:rPr>
        <w:t xml:space="preserve">, </w:t>
      </w:r>
      <w:r w:rsidR="001E7162" w:rsidRPr="001E7162">
        <w:rPr>
          <w:rFonts w:ascii="Bookman Old Style" w:hAnsi="Bookman Old Style"/>
          <w:sz w:val="20"/>
          <w:szCs w:val="20"/>
        </w:rPr>
        <w:t>Burlington House, Piccadilly, London.</w:t>
      </w:r>
      <w:r w:rsidR="00D811B0" w:rsidRPr="00B4233D">
        <w:rPr>
          <w:rFonts w:ascii="Bookman Old Style" w:hAnsi="Bookman Old Style" w:cs="Arial"/>
          <w:spacing w:val="-5"/>
          <w:sz w:val="20"/>
          <w:szCs w:val="20"/>
          <w:shd w:val="clear" w:color="auto" w:fill="FFFFFF"/>
        </w:rPr>
        <w:t xml:space="preserve"> </w:t>
      </w:r>
      <w:r w:rsidR="00D811B0" w:rsidRPr="00B4233D">
        <w:rPr>
          <w:rFonts w:ascii="Bookman Old Style" w:hAnsi="Bookman Old Style" w:cs="Arial"/>
          <w:b/>
          <w:spacing w:val="-5"/>
          <w:sz w:val="20"/>
          <w:szCs w:val="20"/>
          <w:shd w:val="clear" w:color="auto" w:fill="FFFFFF"/>
        </w:rPr>
        <w:t>2003</w:t>
      </w:r>
      <w:r w:rsidR="00D811B0" w:rsidRPr="00B4233D">
        <w:rPr>
          <w:rFonts w:ascii="Bookman Old Style" w:hAnsi="Bookman Old Style" w:cs="Arial"/>
          <w:spacing w:val="-5"/>
          <w:sz w:val="20"/>
          <w:szCs w:val="20"/>
          <w:shd w:val="clear" w:color="auto" w:fill="FFFFFF"/>
        </w:rPr>
        <w:t>.</w:t>
      </w:r>
    </w:p>
    <w:p w14:paraId="6E401899" w14:textId="77777777" w:rsidR="00582C95" w:rsidRPr="00B4233D" w:rsidRDefault="00582C95" w:rsidP="00582C95">
      <w:pPr>
        <w:spacing w:line="240" w:lineRule="auto"/>
        <w:ind w:left="720" w:hanging="720"/>
        <w:rPr>
          <w:rFonts w:ascii="Bookman Old Style" w:hAnsi="Bookman Old Style" w:cs="Arial"/>
          <w:sz w:val="20"/>
          <w:szCs w:val="20"/>
        </w:rPr>
      </w:pPr>
      <w:r w:rsidRPr="00B4233D">
        <w:rPr>
          <w:rFonts w:ascii="Bookman Old Style" w:hAnsi="Bookman Old Style" w:cs="Arial"/>
          <w:sz w:val="20"/>
          <w:szCs w:val="20"/>
        </w:rPr>
        <w:t>6.</w:t>
      </w:r>
      <w:r w:rsidRPr="00B4233D">
        <w:rPr>
          <w:rFonts w:ascii="Bookman Old Style" w:hAnsi="Bookman Old Style" w:cs="Arial"/>
          <w:sz w:val="20"/>
          <w:szCs w:val="20"/>
        </w:rPr>
        <w:tab/>
        <w:t xml:space="preserve">DeKorver B. K. and Towns M. H., General Chemistry Students’ Goals for Chemistry Laboratory Coursework, </w:t>
      </w:r>
      <w:r w:rsidRPr="00B4233D">
        <w:rPr>
          <w:rFonts w:ascii="Bookman Old Style" w:hAnsi="Bookman Old Style" w:cs="Arial"/>
          <w:i/>
          <w:sz w:val="20"/>
          <w:szCs w:val="20"/>
        </w:rPr>
        <w:t>J. Chem. Educ</w:t>
      </w:r>
      <w:r w:rsidRPr="00B4233D">
        <w:rPr>
          <w:rFonts w:ascii="Bookman Old Style" w:hAnsi="Bookman Old Style" w:cs="Arial"/>
          <w:sz w:val="20"/>
          <w:szCs w:val="20"/>
        </w:rPr>
        <w:t xml:space="preserve">., </w:t>
      </w:r>
      <w:r w:rsidRPr="00B4233D">
        <w:rPr>
          <w:rFonts w:ascii="Bookman Old Style" w:hAnsi="Bookman Old Style" w:cs="Arial"/>
          <w:b/>
          <w:sz w:val="20"/>
          <w:szCs w:val="20"/>
        </w:rPr>
        <w:t>2015</w:t>
      </w:r>
      <w:r w:rsidRPr="00B4233D">
        <w:rPr>
          <w:rFonts w:ascii="Bookman Old Style" w:hAnsi="Bookman Old Style" w:cs="Arial"/>
          <w:sz w:val="20"/>
          <w:szCs w:val="20"/>
        </w:rPr>
        <w:t xml:space="preserve">, </w:t>
      </w:r>
      <w:r w:rsidRPr="00B4233D">
        <w:rPr>
          <w:rFonts w:ascii="Bookman Old Style" w:hAnsi="Bookman Old Style" w:cs="Arial"/>
          <w:i/>
          <w:sz w:val="20"/>
          <w:szCs w:val="20"/>
        </w:rPr>
        <w:t>92</w:t>
      </w:r>
      <w:r w:rsidRPr="00B4233D">
        <w:rPr>
          <w:rFonts w:ascii="Bookman Old Style" w:hAnsi="Bookman Old Style" w:cs="Arial"/>
          <w:sz w:val="20"/>
          <w:szCs w:val="20"/>
        </w:rPr>
        <w:t xml:space="preserve">(12), 2031–2037. DOI: </w:t>
      </w:r>
      <w:hyperlink r:id="rId14" w:tooltip="DOI URL" w:history="1">
        <w:r w:rsidRPr="005E1BEA">
          <w:rPr>
            <w:rStyle w:val="Hyperlink"/>
            <w:rFonts w:ascii="Bookman Old Style" w:hAnsi="Bookman Old Style" w:cs="Arial"/>
            <w:color w:val="auto"/>
            <w:sz w:val="20"/>
            <w:szCs w:val="20"/>
            <w:shd w:val="clear" w:color="auto" w:fill="FFFFFF"/>
          </w:rPr>
          <w:t>10.1021/acs.jchemed.5b00463</w:t>
        </w:r>
      </w:hyperlink>
    </w:p>
    <w:p w14:paraId="2BFC9BE5" w14:textId="77777777" w:rsidR="00582C95" w:rsidRPr="00B4233D" w:rsidRDefault="00582C95" w:rsidP="00582C95">
      <w:pPr>
        <w:spacing w:line="240" w:lineRule="auto"/>
        <w:ind w:left="720" w:hanging="720"/>
        <w:rPr>
          <w:rStyle w:val="Hyperlink"/>
          <w:rFonts w:ascii="Bookman Old Style" w:hAnsi="Bookman Old Style" w:cs="Arial"/>
          <w:bCs/>
          <w:color w:val="auto"/>
          <w:sz w:val="20"/>
          <w:szCs w:val="20"/>
          <w:u w:val="none"/>
          <w:shd w:val="clear" w:color="auto" w:fill="FFFFFF"/>
        </w:rPr>
      </w:pPr>
      <w:r w:rsidRPr="00B4233D">
        <w:rPr>
          <w:rFonts w:ascii="Bookman Old Style" w:hAnsi="Bookman Old Style" w:cs="Arial"/>
          <w:sz w:val="20"/>
          <w:szCs w:val="20"/>
        </w:rPr>
        <w:t>7.</w:t>
      </w:r>
      <w:r w:rsidRPr="00B4233D">
        <w:rPr>
          <w:rFonts w:ascii="Bookman Old Style" w:hAnsi="Bookman Old Style" w:cs="Arial"/>
          <w:sz w:val="20"/>
          <w:szCs w:val="20"/>
        </w:rPr>
        <w:tab/>
        <w:t xml:space="preserve">DeKorver B. K. and Towns M. H., Upper-level undergraduate chemistry students’ goals for their laboratory coursework, </w:t>
      </w:r>
      <w:r w:rsidRPr="00B4233D">
        <w:rPr>
          <w:rFonts w:ascii="Bookman Old Style" w:hAnsi="Bookman Old Style" w:cs="Arial"/>
          <w:i/>
          <w:sz w:val="20"/>
          <w:szCs w:val="20"/>
        </w:rPr>
        <w:t>J. Res. Sci. Teach.</w:t>
      </w:r>
      <w:r w:rsidRPr="00B4233D">
        <w:rPr>
          <w:rFonts w:ascii="Bookman Old Style" w:hAnsi="Bookman Old Style" w:cs="Arial"/>
          <w:sz w:val="20"/>
          <w:szCs w:val="20"/>
        </w:rPr>
        <w:t xml:space="preserve">, </w:t>
      </w:r>
      <w:r w:rsidRPr="00B4233D">
        <w:rPr>
          <w:rFonts w:ascii="Bookman Old Style" w:hAnsi="Bookman Old Style" w:cs="Arial"/>
          <w:b/>
          <w:sz w:val="20"/>
          <w:szCs w:val="20"/>
        </w:rPr>
        <w:t>2016,</w:t>
      </w:r>
      <w:r w:rsidRPr="00B4233D">
        <w:rPr>
          <w:rFonts w:ascii="Bookman Old Style" w:hAnsi="Bookman Old Style" w:cs="Arial"/>
          <w:sz w:val="20"/>
          <w:szCs w:val="20"/>
        </w:rPr>
        <w:t xml:space="preserve"> </w:t>
      </w:r>
      <w:r w:rsidRPr="00B4233D">
        <w:rPr>
          <w:rFonts w:ascii="Bookman Old Style" w:hAnsi="Bookman Old Style" w:cs="Arial"/>
          <w:i/>
          <w:sz w:val="20"/>
          <w:szCs w:val="20"/>
        </w:rPr>
        <w:t>53</w:t>
      </w:r>
      <w:r w:rsidRPr="00B4233D">
        <w:rPr>
          <w:rFonts w:ascii="Bookman Old Style" w:hAnsi="Bookman Old Style" w:cs="Arial"/>
          <w:sz w:val="20"/>
          <w:szCs w:val="20"/>
        </w:rPr>
        <w:t xml:space="preserve">(8), 1198–1215. DOI: </w:t>
      </w:r>
      <w:hyperlink r:id="rId15" w:history="1">
        <w:r w:rsidRPr="005E1BEA">
          <w:rPr>
            <w:rStyle w:val="Hyperlink"/>
            <w:rFonts w:ascii="Bookman Old Style" w:hAnsi="Bookman Old Style" w:cs="Arial"/>
            <w:bCs/>
            <w:color w:val="auto"/>
            <w:sz w:val="20"/>
            <w:szCs w:val="20"/>
            <w:shd w:val="clear" w:color="auto" w:fill="FFFFFF"/>
          </w:rPr>
          <w:t>10.1002/tea.21326</w:t>
        </w:r>
      </w:hyperlink>
    </w:p>
    <w:p w14:paraId="14F572D7" w14:textId="77777777" w:rsidR="00582C95" w:rsidRPr="00B4233D" w:rsidRDefault="00582C95" w:rsidP="00582C95">
      <w:pPr>
        <w:spacing w:line="240" w:lineRule="auto"/>
        <w:ind w:left="720" w:hanging="720"/>
        <w:rPr>
          <w:rStyle w:val="Hyperlink"/>
          <w:rFonts w:ascii="Bookman Old Style" w:hAnsi="Bookman Old Style" w:cs="Arial"/>
          <w:color w:val="auto"/>
          <w:sz w:val="20"/>
          <w:szCs w:val="20"/>
          <w:u w:val="none"/>
          <w:shd w:val="clear" w:color="auto" w:fill="FFFFFF"/>
        </w:rPr>
      </w:pPr>
      <w:r w:rsidRPr="00B4233D">
        <w:rPr>
          <w:rStyle w:val="Hyperlink"/>
          <w:rFonts w:ascii="Bookman Old Style" w:hAnsi="Bookman Old Style" w:cs="Arial"/>
          <w:bCs/>
          <w:color w:val="auto"/>
          <w:sz w:val="20"/>
          <w:szCs w:val="20"/>
          <w:u w:val="none"/>
          <w:shd w:val="clear" w:color="auto" w:fill="FFFFFF"/>
        </w:rPr>
        <w:t>8.</w:t>
      </w:r>
      <w:r w:rsidRPr="00B4233D">
        <w:rPr>
          <w:rStyle w:val="Hyperlink"/>
          <w:rFonts w:ascii="Bookman Old Style" w:hAnsi="Bookman Old Style" w:cs="Arial"/>
          <w:bCs/>
          <w:color w:val="auto"/>
          <w:sz w:val="20"/>
          <w:szCs w:val="20"/>
          <w:u w:val="none"/>
          <w:shd w:val="clear" w:color="auto" w:fill="FFFFFF"/>
        </w:rPr>
        <w:tab/>
      </w:r>
      <w:r w:rsidRPr="00B4233D">
        <w:rPr>
          <w:rFonts w:ascii="Bookman Old Style" w:hAnsi="Bookman Old Style" w:cs="Arial"/>
          <w:sz w:val="20"/>
          <w:szCs w:val="20"/>
        </w:rPr>
        <w:t xml:space="preserve">Kirton S. B., Al-Ahmad A. and Fergus S., Using Structured Chemistry Examinations (SChemEs) As an Assessment Method To Improve Undergraduate Students’ Generic, Practical, and Laboratory-Based Skills, </w:t>
      </w:r>
      <w:r w:rsidRPr="00B4233D">
        <w:rPr>
          <w:rFonts w:ascii="Bookman Old Style" w:hAnsi="Bookman Old Style" w:cs="Arial"/>
          <w:i/>
          <w:sz w:val="20"/>
          <w:szCs w:val="20"/>
        </w:rPr>
        <w:t>J. Chem. Educ</w:t>
      </w:r>
      <w:r w:rsidRPr="00B4233D">
        <w:rPr>
          <w:rFonts w:ascii="Bookman Old Style" w:hAnsi="Bookman Old Style" w:cs="Arial"/>
          <w:sz w:val="20"/>
          <w:szCs w:val="20"/>
        </w:rPr>
        <w:t xml:space="preserve">., </w:t>
      </w:r>
      <w:r w:rsidRPr="00B4233D">
        <w:rPr>
          <w:rFonts w:ascii="Bookman Old Style" w:hAnsi="Bookman Old Style" w:cs="Arial"/>
          <w:b/>
          <w:sz w:val="20"/>
          <w:szCs w:val="20"/>
        </w:rPr>
        <w:t>2014</w:t>
      </w:r>
      <w:r w:rsidRPr="00B4233D">
        <w:rPr>
          <w:rFonts w:ascii="Bookman Old Style" w:hAnsi="Bookman Old Style" w:cs="Arial"/>
          <w:sz w:val="20"/>
          <w:szCs w:val="20"/>
        </w:rPr>
        <w:t xml:space="preserve">, 91(5), 648–654. </w:t>
      </w:r>
      <w:r w:rsidRPr="005E1BEA">
        <w:rPr>
          <w:rFonts w:ascii="Bookman Old Style" w:hAnsi="Bookman Old Style" w:cs="Arial"/>
          <w:sz w:val="20"/>
          <w:szCs w:val="20"/>
        </w:rPr>
        <w:t xml:space="preserve">DOI: </w:t>
      </w:r>
      <w:hyperlink r:id="rId16" w:tooltip="DOI URL" w:history="1">
        <w:r w:rsidRPr="005E1BEA">
          <w:rPr>
            <w:rStyle w:val="Hyperlink"/>
            <w:rFonts w:ascii="Bookman Old Style" w:hAnsi="Bookman Old Style" w:cs="Arial"/>
            <w:color w:val="auto"/>
            <w:sz w:val="20"/>
            <w:szCs w:val="20"/>
            <w:shd w:val="clear" w:color="auto" w:fill="FFFFFF"/>
          </w:rPr>
          <w:t>10.1021/ed300491c</w:t>
        </w:r>
      </w:hyperlink>
    </w:p>
    <w:p w14:paraId="274362FF" w14:textId="77777777" w:rsidR="00582C95" w:rsidRPr="00B4233D" w:rsidRDefault="00582C95" w:rsidP="00582C95">
      <w:pPr>
        <w:spacing w:line="240" w:lineRule="auto"/>
        <w:ind w:left="720" w:hanging="720"/>
        <w:rPr>
          <w:rFonts w:ascii="Bookman Old Style" w:hAnsi="Bookman Old Style"/>
          <w:sz w:val="20"/>
          <w:szCs w:val="20"/>
        </w:rPr>
      </w:pPr>
      <w:r w:rsidRPr="00B4233D">
        <w:rPr>
          <w:rStyle w:val="Hyperlink"/>
          <w:rFonts w:ascii="Bookman Old Style" w:hAnsi="Bookman Old Style" w:cs="Arial"/>
          <w:color w:val="auto"/>
          <w:sz w:val="20"/>
          <w:szCs w:val="20"/>
          <w:u w:val="none"/>
          <w:shd w:val="clear" w:color="auto" w:fill="FFFFFF"/>
        </w:rPr>
        <w:t>9.</w:t>
      </w:r>
      <w:r w:rsidRPr="00B4233D">
        <w:rPr>
          <w:rStyle w:val="Hyperlink"/>
          <w:rFonts w:ascii="Bookman Old Style" w:hAnsi="Bookman Old Style" w:cs="Arial"/>
          <w:color w:val="auto"/>
          <w:sz w:val="20"/>
          <w:szCs w:val="20"/>
          <w:u w:val="none"/>
          <w:shd w:val="clear" w:color="auto" w:fill="FFFFFF"/>
        </w:rPr>
        <w:tab/>
        <w:t xml:space="preserve">RSC (2017), Accreditation of degree programmes </w:t>
      </w:r>
      <w:hyperlink r:id="rId17" w:history="1">
        <w:r w:rsidRPr="00B4233D">
          <w:rPr>
            <w:rStyle w:val="Hyperlink"/>
            <w:rFonts w:ascii="Bookman Old Style" w:hAnsi="Bookman Old Style"/>
            <w:color w:val="auto"/>
            <w:sz w:val="20"/>
            <w:szCs w:val="20"/>
          </w:rPr>
          <w:t>https://www.rsc.org/images/Accreditation%20criteria%202017-%20update%20july%2017_tcm18-151306.pdf</w:t>
        </w:r>
      </w:hyperlink>
      <w:r w:rsidRPr="00B4233D">
        <w:rPr>
          <w:rFonts w:ascii="Bookman Old Style" w:hAnsi="Bookman Old Style"/>
          <w:sz w:val="20"/>
          <w:szCs w:val="20"/>
        </w:rPr>
        <w:t xml:space="preserve"> (</w:t>
      </w:r>
      <w:r w:rsidRPr="00B4233D">
        <w:rPr>
          <w:rFonts w:ascii="Bookman Old Style" w:hAnsi="Bookman Old Style"/>
          <w:i/>
          <w:sz w:val="20"/>
          <w:szCs w:val="20"/>
        </w:rPr>
        <w:t>accessed Nov 2019</w:t>
      </w:r>
      <w:r w:rsidRPr="00B4233D">
        <w:rPr>
          <w:rFonts w:ascii="Bookman Old Style" w:hAnsi="Bookman Old Style"/>
          <w:sz w:val="20"/>
          <w:szCs w:val="20"/>
        </w:rPr>
        <w:t>)</w:t>
      </w:r>
    </w:p>
    <w:p w14:paraId="5F398FA6" w14:textId="77777777" w:rsidR="00582C95" w:rsidRPr="00B4233D" w:rsidRDefault="00582C95" w:rsidP="00582C95">
      <w:pPr>
        <w:spacing w:line="240" w:lineRule="auto"/>
        <w:ind w:left="720" w:hanging="720"/>
        <w:rPr>
          <w:rFonts w:ascii="Bookman Old Style" w:hAnsi="Bookman Old Style"/>
          <w:sz w:val="20"/>
          <w:szCs w:val="20"/>
        </w:rPr>
      </w:pPr>
      <w:r w:rsidRPr="00B4233D">
        <w:rPr>
          <w:rStyle w:val="Hyperlink"/>
          <w:rFonts w:ascii="Bookman Old Style" w:hAnsi="Bookman Old Style" w:cs="Arial"/>
          <w:color w:val="auto"/>
          <w:sz w:val="20"/>
          <w:szCs w:val="20"/>
          <w:u w:val="none"/>
          <w:shd w:val="clear" w:color="auto" w:fill="FFFFFF"/>
        </w:rPr>
        <w:t>10</w:t>
      </w:r>
      <w:r w:rsidRPr="00B4233D">
        <w:rPr>
          <w:rStyle w:val="Hyperlink"/>
          <w:rFonts w:ascii="Bookman Old Style" w:hAnsi="Bookman Old Style" w:cs="Arial"/>
          <w:color w:val="auto"/>
          <w:sz w:val="20"/>
          <w:szCs w:val="20"/>
          <w:u w:val="none"/>
          <w:shd w:val="clear" w:color="auto" w:fill="FFFFFF"/>
        </w:rPr>
        <w:tab/>
      </w:r>
      <w:r w:rsidRPr="00B4233D">
        <w:rPr>
          <w:rFonts w:ascii="Bookman Old Style" w:hAnsi="Bookman Old Style"/>
          <w:sz w:val="20"/>
          <w:szCs w:val="20"/>
        </w:rPr>
        <w:t xml:space="preserve">Johnstone, A. H. Chemistry Teaching - Science or Alchemy. </w:t>
      </w:r>
      <w:r w:rsidRPr="00B4233D">
        <w:rPr>
          <w:rFonts w:ascii="Bookman Old Style" w:hAnsi="Bookman Old Style"/>
          <w:i/>
          <w:sz w:val="20"/>
          <w:szCs w:val="20"/>
        </w:rPr>
        <w:t>J. Chem. Educ</w:t>
      </w:r>
      <w:r w:rsidRPr="00B4233D">
        <w:rPr>
          <w:rFonts w:ascii="Bookman Old Style" w:hAnsi="Bookman Old Style"/>
          <w:sz w:val="20"/>
          <w:szCs w:val="20"/>
        </w:rPr>
        <w:t xml:space="preserve">. </w:t>
      </w:r>
      <w:r w:rsidRPr="00B4233D">
        <w:rPr>
          <w:rFonts w:ascii="Bookman Old Style" w:hAnsi="Bookman Old Style"/>
          <w:b/>
          <w:sz w:val="20"/>
          <w:szCs w:val="20"/>
        </w:rPr>
        <w:t>1997</w:t>
      </w:r>
      <w:r w:rsidRPr="00B4233D">
        <w:rPr>
          <w:rFonts w:ascii="Bookman Old Style" w:hAnsi="Bookman Old Style"/>
          <w:sz w:val="20"/>
          <w:szCs w:val="20"/>
        </w:rPr>
        <w:t>, 74 (3), 262.</w:t>
      </w:r>
    </w:p>
    <w:p w14:paraId="3E48CA4B" w14:textId="77777777" w:rsidR="00582C95" w:rsidRPr="00B4233D" w:rsidRDefault="00582C95" w:rsidP="00582C95">
      <w:pPr>
        <w:spacing w:line="240" w:lineRule="auto"/>
        <w:ind w:left="720" w:hanging="720"/>
        <w:rPr>
          <w:rFonts w:ascii="Bookman Old Style" w:hAnsi="Bookman Old Style"/>
          <w:sz w:val="20"/>
          <w:szCs w:val="20"/>
        </w:rPr>
      </w:pPr>
      <w:r w:rsidRPr="00B4233D">
        <w:rPr>
          <w:rFonts w:ascii="Bookman Old Style" w:hAnsi="Bookman Old Style" w:cs="Arial"/>
          <w:sz w:val="20"/>
          <w:szCs w:val="20"/>
          <w:shd w:val="clear" w:color="auto" w:fill="FFFFFF"/>
        </w:rPr>
        <w:t>11.</w:t>
      </w:r>
      <w:r w:rsidRPr="00B4233D">
        <w:rPr>
          <w:rFonts w:ascii="Bookman Old Style" w:hAnsi="Bookman Old Style" w:cs="Arial"/>
          <w:sz w:val="20"/>
          <w:szCs w:val="20"/>
          <w:shd w:val="clear" w:color="auto" w:fill="FFFFFF"/>
        </w:rPr>
        <w:tab/>
        <w:t>Johnstone, A. H. and Wham, A. J. B. The demands of practical work, </w:t>
      </w:r>
      <w:r w:rsidRPr="00B4233D">
        <w:rPr>
          <w:rStyle w:val="Emphasis"/>
          <w:rFonts w:ascii="Bookman Old Style" w:hAnsi="Bookman Old Style" w:cs="Arial"/>
          <w:sz w:val="20"/>
          <w:szCs w:val="20"/>
          <w:bdr w:val="none" w:sz="0" w:space="0" w:color="auto" w:frame="1"/>
          <w:shd w:val="clear" w:color="auto" w:fill="FFFFFF"/>
        </w:rPr>
        <w:t>Education in Chemistry</w:t>
      </w:r>
      <w:r w:rsidRPr="00B4233D">
        <w:rPr>
          <w:rFonts w:ascii="Bookman Old Style" w:hAnsi="Bookman Old Style" w:cs="Arial"/>
          <w:sz w:val="20"/>
          <w:szCs w:val="20"/>
          <w:shd w:val="clear" w:color="auto" w:fill="FFFFFF"/>
        </w:rPr>
        <w:t xml:space="preserve">, </w:t>
      </w:r>
      <w:r w:rsidRPr="00B4233D">
        <w:rPr>
          <w:rFonts w:ascii="Bookman Old Style" w:hAnsi="Bookman Old Style" w:cs="Arial"/>
          <w:b/>
          <w:sz w:val="20"/>
          <w:szCs w:val="20"/>
          <w:shd w:val="clear" w:color="auto" w:fill="FFFFFF"/>
        </w:rPr>
        <w:t>1982</w:t>
      </w:r>
      <w:r w:rsidRPr="00B4233D">
        <w:rPr>
          <w:rFonts w:ascii="Bookman Old Style" w:hAnsi="Bookman Old Style" w:cs="Arial"/>
          <w:sz w:val="20"/>
          <w:szCs w:val="20"/>
          <w:shd w:val="clear" w:color="auto" w:fill="FFFFFF"/>
        </w:rPr>
        <w:t>, </w:t>
      </w:r>
      <w:r w:rsidRPr="00B4233D">
        <w:rPr>
          <w:rStyle w:val="Strong"/>
          <w:rFonts w:ascii="Bookman Old Style" w:hAnsi="Bookman Old Style" w:cs="Arial"/>
          <w:i/>
          <w:sz w:val="20"/>
          <w:szCs w:val="20"/>
          <w:bdr w:val="none" w:sz="0" w:space="0" w:color="auto" w:frame="1"/>
          <w:shd w:val="clear" w:color="auto" w:fill="FFFFFF"/>
        </w:rPr>
        <w:t>19</w:t>
      </w:r>
      <w:r w:rsidRPr="00B4233D">
        <w:rPr>
          <w:rFonts w:ascii="Bookman Old Style" w:hAnsi="Bookman Old Style" w:cs="Arial"/>
          <w:sz w:val="20"/>
          <w:szCs w:val="20"/>
          <w:shd w:val="clear" w:color="auto" w:fill="FFFFFF"/>
        </w:rPr>
        <w:t>, 71-73.</w:t>
      </w:r>
    </w:p>
    <w:p w14:paraId="098563CF" w14:textId="4F25F918" w:rsidR="00582C95" w:rsidRPr="00B4233D" w:rsidRDefault="00582C95" w:rsidP="00582C95">
      <w:pPr>
        <w:spacing w:line="240" w:lineRule="auto"/>
        <w:ind w:left="720" w:hanging="720"/>
        <w:rPr>
          <w:rFonts w:ascii="Bookman Old Style" w:hAnsi="Bookman Old Style" w:cs="Arial"/>
          <w:spacing w:val="-5"/>
          <w:sz w:val="20"/>
          <w:szCs w:val="20"/>
          <w:shd w:val="clear" w:color="auto" w:fill="FFFFFF"/>
        </w:rPr>
      </w:pPr>
      <w:r w:rsidRPr="00B4233D">
        <w:rPr>
          <w:rStyle w:val="Hyperlink"/>
          <w:rFonts w:ascii="Bookman Old Style" w:hAnsi="Bookman Old Style" w:cs="Arial"/>
          <w:color w:val="auto"/>
          <w:sz w:val="20"/>
          <w:szCs w:val="20"/>
          <w:u w:val="none"/>
          <w:shd w:val="clear" w:color="auto" w:fill="FFFFFF"/>
        </w:rPr>
        <w:t>12.</w:t>
      </w:r>
      <w:r w:rsidRPr="00B4233D">
        <w:rPr>
          <w:rStyle w:val="Hyperlink"/>
          <w:rFonts w:ascii="Bookman Old Style" w:hAnsi="Bookman Old Style" w:cs="Arial"/>
          <w:color w:val="auto"/>
          <w:sz w:val="20"/>
          <w:szCs w:val="20"/>
          <w:u w:val="none"/>
          <w:shd w:val="clear" w:color="auto" w:fill="FFFFFF"/>
        </w:rPr>
        <w:tab/>
      </w:r>
      <w:r w:rsidRPr="00B4233D">
        <w:rPr>
          <w:rFonts w:ascii="Bookman Old Style" w:hAnsi="Bookman Old Style" w:cs="Arial"/>
          <w:spacing w:val="-5"/>
          <w:sz w:val="20"/>
          <w:szCs w:val="20"/>
          <w:shd w:val="clear" w:color="auto" w:fill="FFFFFF"/>
        </w:rPr>
        <w:t>Winberg</w:t>
      </w:r>
      <w:r w:rsidR="006D396C">
        <w:rPr>
          <w:rFonts w:ascii="Bookman Old Style" w:hAnsi="Bookman Old Style" w:cs="Arial"/>
          <w:spacing w:val="-5"/>
          <w:sz w:val="20"/>
          <w:szCs w:val="20"/>
          <w:shd w:val="clear" w:color="auto" w:fill="FFFFFF"/>
        </w:rPr>
        <w:t>,</w:t>
      </w:r>
      <w:r w:rsidRPr="00B4233D">
        <w:rPr>
          <w:rFonts w:ascii="Bookman Old Style" w:hAnsi="Bookman Old Style" w:cs="Arial"/>
          <w:spacing w:val="-5"/>
          <w:sz w:val="20"/>
          <w:szCs w:val="20"/>
          <w:shd w:val="clear" w:color="auto" w:fill="FFFFFF"/>
        </w:rPr>
        <w:t xml:space="preserve"> T. M. and Berg</w:t>
      </w:r>
      <w:r w:rsidR="006D396C">
        <w:rPr>
          <w:rFonts w:ascii="Bookman Old Style" w:hAnsi="Bookman Old Style" w:cs="Arial"/>
          <w:spacing w:val="-5"/>
          <w:sz w:val="20"/>
          <w:szCs w:val="20"/>
          <w:shd w:val="clear" w:color="auto" w:fill="FFFFFF"/>
        </w:rPr>
        <w:t>,</w:t>
      </w:r>
      <w:r w:rsidRPr="00B4233D">
        <w:rPr>
          <w:rFonts w:ascii="Bookman Old Style" w:hAnsi="Bookman Old Style" w:cs="Arial"/>
          <w:spacing w:val="-5"/>
          <w:sz w:val="20"/>
          <w:szCs w:val="20"/>
          <w:shd w:val="clear" w:color="auto" w:fill="FFFFFF"/>
        </w:rPr>
        <w:t xml:space="preserve"> C. A. R., Students' cognitive focus during a chemistry laboratory exercise: effects of a computer-simulated prelab, </w:t>
      </w:r>
      <w:r w:rsidRPr="00B4233D">
        <w:rPr>
          <w:rStyle w:val="italic"/>
          <w:rFonts w:ascii="Bookman Old Style" w:hAnsi="Bookman Old Style" w:cs="Arial"/>
          <w:i/>
          <w:iCs/>
          <w:spacing w:val="-5"/>
          <w:sz w:val="20"/>
          <w:szCs w:val="20"/>
          <w:shd w:val="clear" w:color="auto" w:fill="FFFFFF"/>
        </w:rPr>
        <w:t>J. Res. Sci. Teach.</w:t>
      </w:r>
      <w:r w:rsidRPr="00B4233D">
        <w:rPr>
          <w:rFonts w:ascii="Bookman Old Style" w:hAnsi="Bookman Old Style" w:cs="Arial"/>
          <w:spacing w:val="-5"/>
          <w:sz w:val="20"/>
          <w:szCs w:val="20"/>
          <w:shd w:val="clear" w:color="auto" w:fill="FFFFFF"/>
        </w:rPr>
        <w:t>,</w:t>
      </w:r>
      <w:r w:rsidR="00D811B0" w:rsidRPr="00B4233D">
        <w:rPr>
          <w:rFonts w:ascii="Bookman Old Style" w:hAnsi="Bookman Old Style" w:cs="Arial"/>
          <w:spacing w:val="-5"/>
          <w:sz w:val="20"/>
          <w:szCs w:val="20"/>
          <w:shd w:val="clear" w:color="auto" w:fill="FFFFFF"/>
        </w:rPr>
        <w:t xml:space="preserve"> </w:t>
      </w:r>
      <w:r w:rsidR="00D811B0" w:rsidRPr="00B4233D">
        <w:rPr>
          <w:rFonts w:ascii="Bookman Old Style" w:hAnsi="Bookman Old Style" w:cs="Arial"/>
          <w:b/>
          <w:spacing w:val="-5"/>
          <w:sz w:val="20"/>
          <w:szCs w:val="20"/>
          <w:shd w:val="clear" w:color="auto" w:fill="FFFFFF"/>
        </w:rPr>
        <w:t>2007</w:t>
      </w:r>
      <w:r w:rsidR="00D811B0" w:rsidRPr="00B4233D">
        <w:rPr>
          <w:rFonts w:ascii="Bookman Old Style" w:hAnsi="Bookman Old Style" w:cs="Arial"/>
          <w:spacing w:val="-5"/>
          <w:sz w:val="20"/>
          <w:szCs w:val="20"/>
          <w:shd w:val="clear" w:color="auto" w:fill="FFFFFF"/>
        </w:rPr>
        <w:t>,</w:t>
      </w:r>
      <w:r w:rsidRPr="00B4233D">
        <w:rPr>
          <w:rFonts w:ascii="Bookman Old Style" w:hAnsi="Bookman Old Style" w:cs="Arial"/>
          <w:spacing w:val="-5"/>
          <w:sz w:val="20"/>
          <w:szCs w:val="20"/>
          <w:shd w:val="clear" w:color="auto" w:fill="FFFFFF"/>
        </w:rPr>
        <w:t> </w:t>
      </w:r>
      <w:r w:rsidRPr="00B4233D">
        <w:rPr>
          <w:rStyle w:val="bold"/>
          <w:rFonts w:ascii="Bookman Old Style" w:hAnsi="Bookman Old Style" w:cs="Arial"/>
          <w:bCs/>
          <w:spacing w:val="-5"/>
          <w:sz w:val="20"/>
          <w:szCs w:val="20"/>
          <w:shd w:val="clear" w:color="auto" w:fill="FFFFFF"/>
        </w:rPr>
        <w:t>44</w:t>
      </w:r>
      <w:r w:rsidRPr="00B4233D">
        <w:rPr>
          <w:rFonts w:ascii="Bookman Old Style" w:hAnsi="Bookman Old Style" w:cs="Arial"/>
          <w:spacing w:val="-5"/>
          <w:sz w:val="20"/>
          <w:szCs w:val="20"/>
          <w:shd w:val="clear" w:color="auto" w:fill="FFFFFF"/>
        </w:rPr>
        <w:t>(8), 1108–1133</w:t>
      </w:r>
      <w:r w:rsidRPr="005E1BEA">
        <w:rPr>
          <w:rFonts w:ascii="Bookman Old Style" w:hAnsi="Bookman Old Style" w:cs="Arial"/>
          <w:color w:val="000000" w:themeColor="text1"/>
          <w:spacing w:val="-5"/>
          <w:sz w:val="20"/>
          <w:szCs w:val="20"/>
          <w:shd w:val="clear" w:color="auto" w:fill="FFFFFF"/>
        </w:rPr>
        <w:t>.</w:t>
      </w:r>
      <w:r w:rsidR="005E1BEA" w:rsidRPr="005E1BEA">
        <w:rPr>
          <w:rFonts w:ascii="Bookman Old Style" w:hAnsi="Bookman Old Style" w:cs="Arial"/>
          <w:color w:val="000000" w:themeColor="text1"/>
          <w:spacing w:val="-5"/>
          <w:sz w:val="20"/>
          <w:szCs w:val="20"/>
          <w:shd w:val="clear" w:color="auto" w:fill="FFFFFF"/>
        </w:rPr>
        <w:t xml:space="preserve"> DOI: </w:t>
      </w:r>
      <w:hyperlink r:id="rId18" w:history="1">
        <w:r w:rsidR="005E1BEA" w:rsidRPr="005E1BEA">
          <w:rPr>
            <w:rStyle w:val="Hyperlink"/>
            <w:rFonts w:ascii="Bookman Old Style" w:hAnsi="Bookman Old Style" w:cs="Open Sans"/>
            <w:bCs/>
            <w:color w:val="000000" w:themeColor="text1"/>
            <w:sz w:val="20"/>
            <w:szCs w:val="20"/>
            <w:shd w:val="clear" w:color="auto" w:fill="FFFFFF"/>
          </w:rPr>
          <w:t>10.1002/tea.20217</w:t>
        </w:r>
      </w:hyperlink>
    </w:p>
    <w:p w14:paraId="5D52B764" w14:textId="3F2C39EB" w:rsidR="00582C95" w:rsidRPr="00B4233D" w:rsidRDefault="00582C95" w:rsidP="00582C95">
      <w:pPr>
        <w:spacing w:line="240" w:lineRule="auto"/>
        <w:ind w:left="720" w:hanging="720"/>
        <w:rPr>
          <w:rFonts w:ascii="Bookman Old Style" w:hAnsi="Bookman Old Style" w:cs="Arial"/>
          <w:spacing w:val="-5"/>
          <w:sz w:val="20"/>
          <w:szCs w:val="20"/>
          <w:shd w:val="clear" w:color="auto" w:fill="FFFFFF"/>
        </w:rPr>
      </w:pPr>
      <w:r w:rsidRPr="00B4233D">
        <w:rPr>
          <w:rFonts w:ascii="Bookman Old Style" w:hAnsi="Bookman Old Style" w:cs="Arial"/>
          <w:spacing w:val="-5"/>
          <w:sz w:val="20"/>
          <w:szCs w:val="20"/>
          <w:shd w:val="clear" w:color="auto" w:fill="FFFFFF"/>
        </w:rPr>
        <w:t>13.</w:t>
      </w:r>
      <w:r w:rsidRPr="00B4233D">
        <w:rPr>
          <w:rFonts w:ascii="Bookman Old Style" w:hAnsi="Bookman Old Style" w:cs="Arial"/>
          <w:sz w:val="20"/>
          <w:szCs w:val="20"/>
        </w:rPr>
        <w:tab/>
      </w:r>
      <w:r w:rsidRPr="00B4233D">
        <w:rPr>
          <w:rFonts w:ascii="Bookman Old Style" w:hAnsi="Bookman Old Style" w:cs="Arial"/>
          <w:spacing w:val="-5"/>
          <w:sz w:val="20"/>
          <w:szCs w:val="20"/>
          <w:shd w:val="clear" w:color="auto" w:fill="FFFFFF"/>
        </w:rPr>
        <w:t>Jolley D. F., Wilson S. R., Kelso C., O’Brien G. and Mason C. E., Analytical Thinking, Analytical Action: Using Prelab Video Demonstrations and e-Quizzes To Improve Undergraduate Preparedness for Analytical Chemistry Practical Classes, </w:t>
      </w:r>
      <w:r w:rsidRPr="00B4233D">
        <w:rPr>
          <w:rStyle w:val="italic"/>
          <w:rFonts w:ascii="Bookman Old Style" w:hAnsi="Bookman Old Style" w:cs="Arial"/>
          <w:i/>
          <w:iCs/>
          <w:spacing w:val="-5"/>
          <w:sz w:val="20"/>
          <w:szCs w:val="20"/>
          <w:shd w:val="clear" w:color="auto" w:fill="FFFFFF"/>
        </w:rPr>
        <w:t>J. Chem. Educ.</w:t>
      </w:r>
      <w:r w:rsidRPr="00B4233D">
        <w:rPr>
          <w:rFonts w:ascii="Bookman Old Style" w:hAnsi="Bookman Old Style" w:cs="Arial"/>
          <w:spacing w:val="-5"/>
          <w:sz w:val="20"/>
          <w:szCs w:val="20"/>
          <w:shd w:val="clear" w:color="auto" w:fill="FFFFFF"/>
        </w:rPr>
        <w:t>, </w:t>
      </w:r>
      <w:r w:rsidR="00D811B0" w:rsidRPr="00B4233D">
        <w:rPr>
          <w:rFonts w:ascii="Bookman Old Style" w:hAnsi="Bookman Old Style" w:cs="Arial"/>
          <w:b/>
          <w:spacing w:val="-5"/>
          <w:sz w:val="20"/>
          <w:szCs w:val="20"/>
          <w:shd w:val="clear" w:color="auto" w:fill="FFFFFF"/>
        </w:rPr>
        <w:t>2016</w:t>
      </w:r>
      <w:r w:rsidR="00D811B0" w:rsidRPr="00B4233D">
        <w:rPr>
          <w:rFonts w:ascii="Bookman Old Style" w:hAnsi="Bookman Old Style" w:cs="Arial"/>
          <w:spacing w:val="-5"/>
          <w:sz w:val="20"/>
          <w:szCs w:val="20"/>
          <w:shd w:val="clear" w:color="auto" w:fill="FFFFFF"/>
        </w:rPr>
        <w:t xml:space="preserve">, </w:t>
      </w:r>
      <w:r w:rsidRPr="00B4233D">
        <w:rPr>
          <w:rStyle w:val="bold"/>
          <w:rFonts w:ascii="Bookman Old Style" w:hAnsi="Bookman Old Style" w:cs="Arial"/>
          <w:bCs/>
          <w:spacing w:val="-5"/>
          <w:sz w:val="20"/>
          <w:szCs w:val="20"/>
          <w:shd w:val="clear" w:color="auto" w:fill="FFFFFF"/>
        </w:rPr>
        <w:t>93</w:t>
      </w:r>
      <w:r w:rsidRPr="00B4233D">
        <w:rPr>
          <w:rFonts w:ascii="Bookman Old Style" w:hAnsi="Bookman Old Style" w:cs="Arial"/>
          <w:spacing w:val="-5"/>
          <w:sz w:val="20"/>
          <w:szCs w:val="20"/>
          <w:shd w:val="clear" w:color="auto" w:fill="FFFFFF"/>
        </w:rPr>
        <w:t>(11), 1855–1862.</w:t>
      </w:r>
      <w:r w:rsidR="005D30BB">
        <w:rPr>
          <w:rFonts w:ascii="Bookman Old Style" w:hAnsi="Bookman Old Style" w:cs="Arial"/>
          <w:spacing w:val="-5"/>
          <w:sz w:val="20"/>
          <w:szCs w:val="20"/>
          <w:shd w:val="clear" w:color="auto" w:fill="FFFFFF"/>
        </w:rPr>
        <w:t xml:space="preserve"> DOI: </w:t>
      </w:r>
      <w:hyperlink r:id="rId19" w:tooltip="DOI URL" w:history="1">
        <w:r w:rsidR="005D30BB" w:rsidRPr="005D30BB">
          <w:rPr>
            <w:rStyle w:val="Hyperlink"/>
            <w:rFonts w:ascii="Bookman Old Style" w:hAnsi="Bookman Old Style" w:cs="Arial"/>
            <w:color w:val="000000"/>
            <w:sz w:val="18"/>
            <w:szCs w:val="18"/>
            <w:shd w:val="clear" w:color="auto" w:fill="FFFFFF"/>
          </w:rPr>
          <w:t>10.1021/acs.jchemed.6b00266</w:t>
        </w:r>
      </w:hyperlink>
    </w:p>
    <w:p w14:paraId="49526433" w14:textId="0ED4C57B" w:rsidR="00582C95" w:rsidRPr="00B4233D" w:rsidRDefault="00582C95" w:rsidP="00582C95">
      <w:pPr>
        <w:spacing w:line="240" w:lineRule="auto"/>
        <w:ind w:left="720" w:hanging="720"/>
        <w:rPr>
          <w:rFonts w:ascii="Bookman Old Style" w:hAnsi="Bookman Old Style" w:cstheme="minorHAnsi"/>
          <w:sz w:val="20"/>
          <w:szCs w:val="20"/>
          <w:shd w:val="clear" w:color="auto" w:fill="FFFFFF"/>
        </w:rPr>
      </w:pPr>
      <w:r w:rsidRPr="00B4233D">
        <w:rPr>
          <w:rFonts w:ascii="Bookman Old Style" w:hAnsi="Bookman Old Style" w:cs="Arial"/>
          <w:spacing w:val="-5"/>
          <w:sz w:val="20"/>
          <w:szCs w:val="20"/>
          <w:shd w:val="clear" w:color="auto" w:fill="FFFFFF"/>
        </w:rPr>
        <w:t xml:space="preserve">14. </w:t>
      </w:r>
      <w:r w:rsidRPr="00B4233D">
        <w:rPr>
          <w:rFonts w:ascii="Bookman Old Style" w:hAnsi="Bookman Old Style" w:cs="Arial"/>
          <w:spacing w:val="-5"/>
          <w:sz w:val="20"/>
          <w:szCs w:val="20"/>
          <w:shd w:val="clear" w:color="auto" w:fill="FFFFFF"/>
        </w:rPr>
        <w:tab/>
        <w:t xml:space="preserve">Stieff, M., Werner, S. M., Fink, B. and Meador, D. Online pre-laboratory videos improve student performance in the general chemistry laboratory. </w:t>
      </w:r>
      <w:r w:rsidRPr="00B4233D">
        <w:rPr>
          <w:rFonts w:ascii="Bookman Old Style" w:hAnsi="Bookman Old Style" w:cstheme="minorHAnsi"/>
          <w:i/>
          <w:sz w:val="20"/>
          <w:szCs w:val="20"/>
          <w:shd w:val="clear" w:color="auto" w:fill="FFFFFF"/>
        </w:rPr>
        <w:t>J. Chem. Educ</w:t>
      </w:r>
      <w:r w:rsidRPr="00B4233D">
        <w:rPr>
          <w:rFonts w:ascii="Bookman Old Style" w:hAnsi="Bookman Old Style" w:cstheme="minorHAnsi"/>
          <w:sz w:val="20"/>
          <w:szCs w:val="20"/>
          <w:shd w:val="clear" w:color="auto" w:fill="FFFFFF"/>
        </w:rPr>
        <w:t xml:space="preserve">. </w:t>
      </w:r>
      <w:r w:rsidRPr="00B4233D">
        <w:rPr>
          <w:rFonts w:ascii="Bookman Old Style" w:hAnsi="Bookman Old Style" w:cstheme="minorHAnsi"/>
          <w:b/>
          <w:sz w:val="20"/>
          <w:szCs w:val="20"/>
          <w:shd w:val="clear" w:color="auto" w:fill="FFFFFF"/>
        </w:rPr>
        <w:t>2018</w:t>
      </w:r>
      <w:r w:rsidRPr="00B4233D">
        <w:rPr>
          <w:rFonts w:ascii="Bookman Old Style" w:hAnsi="Bookman Old Style" w:cstheme="minorHAnsi"/>
          <w:sz w:val="20"/>
          <w:szCs w:val="20"/>
          <w:shd w:val="clear" w:color="auto" w:fill="FFFFFF"/>
        </w:rPr>
        <w:t>, 95, 1260−1266.</w:t>
      </w:r>
      <w:r w:rsidR="005D30BB">
        <w:rPr>
          <w:rFonts w:ascii="Bookman Old Style" w:hAnsi="Bookman Old Style" w:cstheme="minorHAnsi"/>
          <w:sz w:val="20"/>
          <w:szCs w:val="20"/>
          <w:shd w:val="clear" w:color="auto" w:fill="FFFFFF"/>
        </w:rPr>
        <w:t xml:space="preserve"> DOI: </w:t>
      </w:r>
      <w:hyperlink r:id="rId20" w:tooltip="DOI URL" w:history="1">
        <w:r w:rsidR="005D30BB" w:rsidRPr="006D396C">
          <w:rPr>
            <w:rStyle w:val="Hyperlink"/>
            <w:rFonts w:ascii="Bookman Old Style" w:hAnsi="Bookman Old Style" w:cs="Arial"/>
            <w:color w:val="000000" w:themeColor="text1"/>
            <w:sz w:val="18"/>
            <w:szCs w:val="18"/>
            <w:shd w:val="clear" w:color="auto" w:fill="FFFFFF"/>
          </w:rPr>
          <w:t>10.1021/acs.jchemed.8b00109</w:t>
        </w:r>
      </w:hyperlink>
    </w:p>
    <w:p w14:paraId="78DACF71" w14:textId="74331F56" w:rsidR="00582C95" w:rsidRDefault="00582C95" w:rsidP="00582C95">
      <w:pPr>
        <w:spacing w:line="240" w:lineRule="auto"/>
        <w:ind w:left="720" w:hanging="720"/>
        <w:rPr>
          <w:rFonts w:ascii="Bookman Old Style" w:hAnsi="Bookman Old Style"/>
          <w:color w:val="000000" w:themeColor="text1"/>
        </w:rPr>
      </w:pPr>
      <w:r w:rsidRPr="00B4233D">
        <w:rPr>
          <w:rFonts w:ascii="Bookman Old Style" w:hAnsi="Bookman Old Style" w:cstheme="minorHAnsi"/>
          <w:sz w:val="20"/>
          <w:szCs w:val="20"/>
          <w:shd w:val="clear" w:color="auto" w:fill="FFFFFF"/>
        </w:rPr>
        <w:t xml:space="preserve">15. </w:t>
      </w:r>
      <w:r w:rsidRPr="00B4233D">
        <w:rPr>
          <w:rFonts w:ascii="Bookman Old Style" w:hAnsi="Bookman Old Style" w:cstheme="minorHAnsi"/>
          <w:sz w:val="20"/>
          <w:szCs w:val="20"/>
          <w:shd w:val="clear" w:color="auto" w:fill="FFFFFF"/>
        </w:rPr>
        <w:tab/>
        <w:t xml:space="preserve">Fung, F. M. Using first-person perspective filming techniques for a chemistry laboratory demonstration to facilitate a pre-lab. </w:t>
      </w:r>
      <w:r w:rsidRPr="00B4233D">
        <w:rPr>
          <w:rFonts w:ascii="Bookman Old Style" w:hAnsi="Bookman Old Style" w:cstheme="minorHAnsi"/>
          <w:i/>
          <w:sz w:val="20"/>
          <w:szCs w:val="20"/>
          <w:shd w:val="clear" w:color="auto" w:fill="FFFFFF"/>
        </w:rPr>
        <w:t>J. Chem. Educ</w:t>
      </w:r>
      <w:r w:rsidRPr="00B4233D">
        <w:rPr>
          <w:rFonts w:ascii="Bookman Old Style" w:hAnsi="Bookman Old Style" w:cstheme="minorHAnsi"/>
          <w:sz w:val="20"/>
          <w:szCs w:val="20"/>
          <w:shd w:val="clear" w:color="auto" w:fill="FFFFFF"/>
        </w:rPr>
        <w:t xml:space="preserve">., </w:t>
      </w:r>
      <w:r w:rsidRPr="00B4233D">
        <w:rPr>
          <w:rFonts w:ascii="Bookman Old Style" w:hAnsi="Bookman Old Style" w:cstheme="minorHAnsi"/>
          <w:b/>
          <w:sz w:val="20"/>
          <w:szCs w:val="20"/>
          <w:shd w:val="clear" w:color="auto" w:fill="FFFFFF"/>
        </w:rPr>
        <w:t>2015</w:t>
      </w:r>
      <w:r w:rsidRPr="00B4233D">
        <w:rPr>
          <w:rFonts w:ascii="Bookman Old Style" w:hAnsi="Bookman Old Style" w:cstheme="minorHAnsi"/>
          <w:sz w:val="20"/>
          <w:szCs w:val="20"/>
          <w:shd w:val="clear" w:color="auto" w:fill="FFFFFF"/>
        </w:rPr>
        <w:t>, 92(9), 1518-1521.</w:t>
      </w:r>
      <w:r w:rsidR="006D396C">
        <w:rPr>
          <w:rFonts w:ascii="Bookman Old Style" w:hAnsi="Bookman Old Style" w:cstheme="minorHAnsi"/>
          <w:sz w:val="20"/>
          <w:szCs w:val="20"/>
          <w:shd w:val="clear" w:color="auto" w:fill="FFFFFF"/>
        </w:rPr>
        <w:t xml:space="preserve"> DOI: </w:t>
      </w:r>
      <w:hyperlink r:id="rId21" w:tooltip="DOI URL" w:history="1">
        <w:r w:rsidR="006D396C" w:rsidRPr="006D396C">
          <w:rPr>
            <w:rStyle w:val="Hyperlink"/>
            <w:rFonts w:ascii="Bookman Old Style" w:hAnsi="Bookman Old Style" w:cs="Arial"/>
            <w:color w:val="000000" w:themeColor="text1"/>
            <w:sz w:val="18"/>
            <w:szCs w:val="18"/>
            <w:shd w:val="clear" w:color="auto" w:fill="FFFFFF"/>
          </w:rPr>
          <w:t>10.1021/ed5009624</w:t>
        </w:r>
      </w:hyperlink>
    </w:p>
    <w:p w14:paraId="68460BD8" w14:textId="3949CAF3" w:rsidR="006D396C" w:rsidRPr="006D396C" w:rsidRDefault="006D396C" w:rsidP="00582C95">
      <w:pPr>
        <w:spacing w:line="240" w:lineRule="auto"/>
        <w:ind w:left="720" w:hanging="720"/>
        <w:rPr>
          <w:rFonts w:ascii="Bookman Old Style" w:hAnsi="Bookman Old Style" w:cstheme="minorHAnsi"/>
          <w:sz w:val="20"/>
          <w:szCs w:val="20"/>
          <w:shd w:val="clear" w:color="auto" w:fill="FFFFFF"/>
        </w:rPr>
      </w:pPr>
      <w:r w:rsidRPr="006D396C">
        <w:rPr>
          <w:rFonts w:ascii="Bookman Old Style" w:hAnsi="Bookman Old Style"/>
          <w:color w:val="000000" w:themeColor="text1"/>
          <w:sz w:val="20"/>
          <w:szCs w:val="20"/>
        </w:rPr>
        <w:t>16.</w:t>
      </w:r>
      <w:r w:rsidRPr="006D396C">
        <w:rPr>
          <w:rFonts w:ascii="Bookman Old Style" w:hAnsi="Bookman Old Style"/>
          <w:color w:val="000000" w:themeColor="text1"/>
          <w:sz w:val="20"/>
          <w:szCs w:val="20"/>
        </w:rPr>
        <w:tab/>
        <w:t xml:space="preserve">Blackburn, R. A. R., Villa-Marcos, B., and Williams, D. P. Preparing Students for Practical Sessions Using Laboratory Simulations. </w:t>
      </w:r>
      <w:r w:rsidRPr="006D396C">
        <w:rPr>
          <w:rStyle w:val="cit-title"/>
          <w:rFonts w:ascii="Bookman Old Style" w:hAnsi="Bookman Old Style" w:cs="Arial"/>
          <w:i/>
          <w:iCs/>
          <w:color w:val="000000"/>
          <w:sz w:val="20"/>
          <w:szCs w:val="20"/>
          <w:shd w:val="clear" w:color="auto" w:fill="FFFFFF"/>
        </w:rPr>
        <w:t>J. Chem. Educ.</w:t>
      </w:r>
      <w:r w:rsidRPr="006D396C">
        <w:rPr>
          <w:rFonts w:ascii="Bookman Old Style" w:hAnsi="Bookman Old Style" w:cs="Arial"/>
          <w:color w:val="000000"/>
          <w:sz w:val="20"/>
          <w:szCs w:val="20"/>
          <w:shd w:val="clear" w:color="auto" w:fill="FFFFFF"/>
        </w:rPr>
        <w:t> </w:t>
      </w:r>
      <w:r w:rsidRPr="006D396C">
        <w:rPr>
          <w:rStyle w:val="cit-year-info"/>
          <w:rFonts w:ascii="Bookman Old Style" w:hAnsi="Bookman Old Style" w:cs="Arial"/>
          <w:b/>
          <w:color w:val="000000"/>
          <w:sz w:val="20"/>
          <w:szCs w:val="20"/>
          <w:shd w:val="clear" w:color="auto" w:fill="FFFFFF"/>
        </w:rPr>
        <w:t>2019</w:t>
      </w:r>
      <w:r w:rsidRPr="006D396C">
        <w:rPr>
          <w:rStyle w:val="cit-volume"/>
          <w:rFonts w:ascii="Bookman Old Style" w:hAnsi="Bookman Old Style" w:cs="Arial"/>
          <w:color w:val="000000"/>
          <w:sz w:val="20"/>
          <w:szCs w:val="20"/>
          <w:shd w:val="clear" w:color="auto" w:fill="FFFFFF"/>
        </w:rPr>
        <w:t>, 96</w:t>
      </w:r>
      <w:r w:rsidRPr="006D396C">
        <w:rPr>
          <w:rStyle w:val="cit-issue"/>
          <w:rFonts w:ascii="Bookman Old Style" w:hAnsi="Bookman Old Style" w:cs="Arial"/>
          <w:color w:val="000000"/>
          <w:sz w:val="20"/>
          <w:szCs w:val="20"/>
          <w:shd w:val="clear" w:color="auto" w:fill="FFFFFF"/>
        </w:rPr>
        <w:t>, 1</w:t>
      </w:r>
      <w:r w:rsidRPr="006D396C">
        <w:rPr>
          <w:rStyle w:val="cit-pagerange"/>
          <w:rFonts w:ascii="Bookman Old Style" w:hAnsi="Bookman Old Style" w:cs="Arial"/>
          <w:color w:val="000000"/>
          <w:sz w:val="20"/>
          <w:szCs w:val="20"/>
          <w:shd w:val="clear" w:color="auto" w:fill="FFFFFF"/>
        </w:rPr>
        <w:t>, 153-158</w:t>
      </w:r>
      <w:r>
        <w:rPr>
          <w:rStyle w:val="cit-pagerange"/>
          <w:rFonts w:ascii="Bookman Old Style" w:hAnsi="Bookman Old Style" w:cs="Arial"/>
          <w:color w:val="000000"/>
          <w:sz w:val="20"/>
          <w:szCs w:val="20"/>
          <w:shd w:val="clear" w:color="auto" w:fill="FFFFFF"/>
        </w:rPr>
        <w:t xml:space="preserve">. DOI: </w:t>
      </w:r>
      <w:hyperlink r:id="rId22" w:tooltip="DOI URL" w:history="1">
        <w:r w:rsidRPr="006D396C">
          <w:rPr>
            <w:rStyle w:val="Hyperlink"/>
            <w:rFonts w:ascii="Bookman Old Style" w:hAnsi="Bookman Old Style" w:cs="Arial"/>
            <w:color w:val="000000"/>
            <w:sz w:val="18"/>
            <w:szCs w:val="18"/>
            <w:shd w:val="clear" w:color="auto" w:fill="FFFFFF"/>
          </w:rPr>
          <w:t>10.1021/acs.jchemed.8b00549</w:t>
        </w:r>
      </w:hyperlink>
      <w:r>
        <w:rPr>
          <w:rFonts w:ascii="Bookman Old Style" w:hAnsi="Bookman Old Style"/>
        </w:rPr>
        <w:t>.</w:t>
      </w:r>
    </w:p>
    <w:p w14:paraId="7D5516DC" w14:textId="3B750453" w:rsidR="00582C95" w:rsidRPr="00B4233D" w:rsidRDefault="00582C95" w:rsidP="00582C95">
      <w:pPr>
        <w:spacing w:line="240" w:lineRule="auto"/>
        <w:ind w:left="720" w:hanging="720"/>
        <w:rPr>
          <w:rFonts w:ascii="Bookman Old Style" w:hAnsi="Bookman Old Style" w:cstheme="minorHAnsi"/>
          <w:sz w:val="20"/>
          <w:szCs w:val="20"/>
          <w:shd w:val="clear" w:color="auto" w:fill="FFFFFF"/>
        </w:rPr>
      </w:pPr>
      <w:r w:rsidRPr="00B4233D">
        <w:rPr>
          <w:rFonts w:ascii="Bookman Old Style" w:hAnsi="Bookman Old Style" w:cstheme="minorHAnsi"/>
          <w:sz w:val="20"/>
          <w:szCs w:val="20"/>
          <w:shd w:val="clear" w:color="auto" w:fill="FFFFFF"/>
        </w:rPr>
        <w:t>1</w:t>
      </w:r>
      <w:r w:rsidR="006D396C">
        <w:rPr>
          <w:rFonts w:ascii="Bookman Old Style" w:hAnsi="Bookman Old Style" w:cstheme="minorHAnsi"/>
          <w:sz w:val="20"/>
          <w:szCs w:val="20"/>
          <w:shd w:val="clear" w:color="auto" w:fill="FFFFFF"/>
        </w:rPr>
        <w:t>7</w:t>
      </w:r>
      <w:r w:rsidRPr="00B4233D">
        <w:rPr>
          <w:rFonts w:ascii="Bookman Old Style" w:hAnsi="Bookman Old Style" w:cstheme="minorHAnsi"/>
          <w:sz w:val="20"/>
          <w:szCs w:val="20"/>
          <w:shd w:val="clear" w:color="auto" w:fill="FFFFFF"/>
        </w:rPr>
        <w:t>.</w:t>
      </w:r>
      <w:r w:rsidRPr="00B4233D">
        <w:rPr>
          <w:rFonts w:ascii="Bookman Old Style" w:hAnsi="Bookman Old Style" w:cstheme="minorHAnsi"/>
          <w:sz w:val="20"/>
          <w:szCs w:val="20"/>
          <w:shd w:val="clear" w:color="auto" w:fill="FFFFFF"/>
        </w:rPr>
        <w:tab/>
        <w:t xml:space="preserve">Zeiner, M., Viehauser, P. and Steiner-Friedmann, C. Teaching Laboratories at a slower pace: Introduction of photocomics as easy-to-use laboratory instructions. </w:t>
      </w:r>
      <w:r w:rsidRPr="00B4233D">
        <w:rPr>
          <w:rFonts w:ascii="Bookman Old Style" w:hAnsi="Bookman Old Style" w:cstheme="minorHAnsi"/>
          <w:i/>
          <w:sz w:val="20"/>
          <w:szCs w:val="20"/>
          <w:shd w:val="clear" w:color="auto" w:fill="FFFFFF"/>
        </w:rPr>
        <w:t>J Chem. Educ</w:t>
      </w:r>
      <w:r w:rsidRPr="00B4233D">
        <w:rPr>
          <w:rFonts w:ascii="Bookman Old Style" w:hAnsi="Bookman Old Style" w:cstheme="minorHAnsi"/>
          <w:sz w:val="20"/>
          <w:szCs w:val="20"/>
          <w:shd w:val="clear" w:color="auto" w:fill="FFFFFF"/>
        </w:rPr>
        <w:t>.,</w:t>
      </w:r>
      <w:r w:rsidR="00D811B0" w:rsidRPr="00B4233D">
        <w:rPr>
          <w:rFonts w:ascii="Bookman Old Style" w:hAnsi="Bookman Old Style" w:cstheme="minorHAnsi"/>
          <w:sz w:val="20"/>
          <w:szCs w:val="20"/>
          <w:shd w:val="clear" w:color="auto" w:fill="FFFFFF"/>
        </w:rPr>
        <w:t xml:space="preserve"> </w:t>
      </w:r>
      <w:r w:rsidR="00D811B0" w:rsidRPr="00B4233D">
        <w:rPr>
          <w:rFonts w:ascii="Bookman Old Style" w:hAnsi="Bookman Old Style" w:cstheme="minorHAnsi"/>
          <w:b/>
          <w:sz w:val="20"/>
          <w:szCs w:val="20"/>
          <w:shd w:val="clear" w:color="auto" w:fill="FFFFFF"/>
        </w:rPr>
        <w:t>2019</w:t>
      </w:r>
      <w:r w:rsidRPr="00B4233D">
        <w:rPr>
          <w:rFonts w:ascii="Bookman Old Style" w:hAnsi="Bookman Old Style" w:cstheme="minorHAnsi"/>
          <w:sz w:val="20"/>
          <w:szCs w:val="20"/>
          <w:shd w:val="clear" w:color="auto" w:fill="FFFFFF"/>
        </w:rPr>
        <w:t xml:space="preserve"> 96(11), 2518-2523.</w:t>
      </w:r>
      <w:r w:rsidR="006D396C">
        <w:rPr>
          <w:rFonts w:ascii="Bookman Old Style" w:hAnsi="Bookman Old Style" w:cstheme="minorHAnsi"/>
          <w:sz w:val="20"/>
          <w:szCs w:val="20"/>
          <w:shd w:val="clear" w:color="auto" w:fill="FFFFFF"/>
        </w:rPr>
        <w:t xml:space="preserve"> DOI: </w:t>
      </w:r>
      <w:hyperlink r:id="rId23" w:tooltip="DOI URL" w:history="1">
        <w:r w:rsidR="006D396C" w:rsidRPr="006D396C">
          <w:rPr>
            <w:rStyle w:val="Hyperlink"/>
            <w:rFonts w:ascii="Bookman Old Style" w:hAnsi="Bookman Old Style" w:cs="Arial"/>
            <w:color w:val="000000" w:themeColor="text1"/>
            <w:sz w:val="18"/>
            <w:szCs w:val="18"/>
            <w:shd w:val="clear" w:color="auto" w:fill="FFFFFF"/>
          </w:rPr>
          <w:t>10.1021/acs.jchemed.9b00142</w:t>
        </w:r>
      </w:hyperlink>
    </w:p>
    <w:p w14:paraId="445AFD05" w14:textId="0982FCAB" w:rsidR="00582C95" w:rsidRPr="00B4233D" w:rsidRDefault="00582C95" w:rsidP="00582C95">
      <w:pPr>
        <w:spacing w:line="240" w:lineRule="auto"/>
        <w:ind w:left="720" w:hanging="720"/>
        <w:rPr>
          <w:rFonts w:ascii="Bookman Old Style" w:hAnsi="Bookman Old Style" w:cs="Arial"/>
          <w:sz w:val="20"/>
          <w:szCs w:val="20"/>
        </w:rPr>
      </w:pPr>
      <w:r w:rsidRPr="00B4233D">
        <w:rPr>
          <w:rFonts w:ascii="Bookman Old Style" w:hAnsi="Bookman Old Style" w:cs="Arial"/>
          <w:sz w:val="20"/>
          <w:szCs w:val="20"/>
        </w:rPr>
        <w:t>1</w:t>
      </w:r>
      <w:r w:rsidR="006D396C">
        <w:rPr>
          <w:rFonts w:ascii="Bookman Old Style" w:hAnsi="Bookman Old Style" w:cs="Arial"/>
          <w:sz w:val="20"/>
          <w:szCs w:val="20"/>
        </w:rPr>
        <w:t>8</w:t>
      </w:r>
      <w:r w:rsidRPr="00B4233D">
        <w:rPr>
          <w:rFonts w:ascii="Bookman Old Style" w:hAnsi="Bookman Old Style" w:cs="Arial"/>
          <w:sz w:val="20"/>
          <w:szCs w:val="20"/>
        </w:rPr>
        <w:t>.</w:t>
      </w:r>
      <w:r w:rsidRPr="00B4233D">
        <w:rPr>
          <w:rFonts w:ascii="Bookman Old Style" w:hAnsi="Bookman Old Style" w:cs="Arial"/>
          <w:sz w:val="20"/>
          <w:szCs w:val="20"/>
        </w:rPr>
        <w:tab/>
        <w:t xml:space="preserve">Johnstone, A. H., Al Shuaili, </w:t>
      </w:r>
      <w:r w:rsidR="006D396C" w:rsidRPr="00B4233D">
        <w:rPr>
          <w:rFonts w:ascii="Bookman Old Style" w:hAnsi="Bookman Old Style" w:cs="Arial"/>
          <w:sz w:val="20"/>
          <w:szCs w:val="20"/>
        </w:rPr>
        <w:t>A. Learning in the Laboratory: Some thoughts from the literature</w:t>
      </w:r>
      <w:r w:rsidR="006D396C">
        <w:rPr>
          <w:rFonts w:ascii="Bookman Old Style" w:hAnsi="Bookman Old Style" w:cs="Arial"/>
          <w:sz w:val="20"/>
          <w:szCs w:val="20"/>
        </w:rPr>
        <w:t>,</w:t>
      </w:r>
      <w:r w:rsidR="006D396C" w:rsidRPr="00B4233D">
        <w:rPr>
          <w:rFonts w:ascii="Bookman Old Style" w:hAnsi="Bookman Old Style" w:cs="Arial"/>
          <w:sz w:val="20"/>
          <w:szCs w:val="20"/>
        </w:rPr>
        <w:t xml:space="preserve"> </w:t>
      </w:r>
      <w:r w:rsidRPr="00B4233D">
        <w:rPr>
          <w:rFonts w:ascii="Bookman Old Style" w:hAnsi="Bookman Old Style" w:cs="Arial"/>
          <w:i/>
          <w:sz w:val="20"/>
          <w:szCs w:val="20"/>
        </w:rPr>
        <w:t>U. Chem. Ed</w:t>
      </w:r>
      <w:r w:rsidRPr="00B4233D">
        <w:rPr>
          <w:rFonts w:ascii="Bookman Old Style" w:hAnsi="Bookman Old Style" w:cs="Arial"/>
          <w:sz w:val="20"/>
          <w:szCs w:val="20"/>
        </w:rPr>
        <w:t xml:space="preserve">., </w:t>
      </w:r>
      <w:r w:rsidRPr="00B4233D">
        <w:rPr>
          <w:rFonts w:ascii="Bookman Old Style" w:hAnsi="Bookman Old Style" w:cs="Arial"/>
          <w:b/>
          <w:sz w:val="20"/>
          <w:szCs w:val="20"/>
        </w:rPr>
        <w:t>2001</w:t>
      </w:r>
      <w:r w:rsidRPr="00B4233D">
        <w:rPr>
          <w:rFonts w:ascii="Bookman Old Style" w:hAnsi="Bookman Old Style" w:cs="Arial"/>
          <w:sz w:val="20"/>
          <w:szCs w:val="20"/>
        </w:rPr>
        <w:t xml:space="preserve">, </w:t>
      </w:r>
      <w:r w:rsidRPr="00B4233D">
        <w:rPr>
          <w:rFonts w:ascii="Bookman Old Style" w:hAnsi="Bookman Old Style" w:cs="Arial"/>
          <w:i/>
          <w:sz w:val="20"/>
          <w:szCs w:val="20"/>
        </w:rPr>
        <w:t>5</w:t>
      </w:r>
      <w:r w:rsidRPr="00B4233D">
        <w:rPr>
          <w:rFonts w:ascii="Bookman Old Style" w:hAnsi="Bookman Old Style" w:cs="Arial"/>
          <w:sz w:val="20"/>
          <w:szCs w:val="20"/>
        </w:rPr>
        <w:t>, 42–51.</w:t>
      </w:r>
    </w:p>
    <w:p w14:paraId="71A96F79" w14:textId="05E7B40A" w:rsidR="00582C95" w:rsidRPr="00B4233D" w:rsidRDefault="00582C95" w:rsidP="00582C95">
      <w:pPr>
        <w:autoSpaceDE w:val="0"/>
        <w:autoSpaceDN w:val="0"/>
        <w:adjustRightInd w:val="0"/>
        <w:spacing w:line="240" w:lineRule="auto"/>
        <w:ind w:left="720" w:hanging="720"/>
        <w:rPr>
          <w:rFonts w:ascii="Bookman Old Style" w:hAnsi="Bookman Old Style" w:cs="Arial"/>
          <w:sz w:val="20"/>
          <w:szCs w:val="20"/>
        </w:rPr>
      </w:pPr>
      <w:r w:rsidRPr="00B4233D">
        <w:rPr>
          <w:rFonts w:ascii="Bookman Old Style" w:hAnsi="Bookman Old Style" w:cs="Arial"/>
          <w:sz w:val="20"/>
          <w:szCs w:val="20"/>
        </w:rPr>
        <w:t>1</w:t>
      </w:r>
      <w:r w:rsidR="006D396C">
        <w:rPr>
          <w:rFonts w:ascii="Bookman Old Style" w:hAnsi="Bookman Old Style" w:cs="Arial"/>
          <w:sz w:val="20"/>
          <w:szCs w:val="20"/>
        </w:rPr>
        <w:t>9</w:t>
      </w:r>
      <w:r w:rsidRPr="00B4233D">
        <w:rPr>
          <w:rFonts w:ascii="Bookman Old Style" w:hAnsi="Bookman Old Style" w:cs="Arial"/>
          <w:sz w:val="20"/>
          <w:szCs w:val="20"/>
        </w:rPr>
        <w:t>.</w:t>
      </w:r>
      <w:r w:rsidRPr="00B4233D">
        <w:rPr>
          <w:rFonts w:ascii="Bookman Old Style" w:hAnsi="Bookman Old Style" w:cs="Arial"/>
          <w:sz w:val="20"/>
          <w:szCs w:val="20"/>
        </w:rPr>
        <w:tab/>
        <w:t xml:space="preserve">Graham K. J., Johnson B. J., Jones T. N., McIntee E. J. and Schaller C. P., Designing and Conducting a Purification Scheme as an Organic Chemistry Laboratory Practical, </w:t>
      </w:r>
      <w:r w:rsidRPr="00B4233D">
        <w:rPr>
          <w:rFonts w:ascii="Bookman Old Style" w:hAnsi="Bookman Old Style" w:cs="Arial"/>
          <w:i/>
          <w:sz w:val="20"/>
          <w:szCs w:val="20"/>
        </w:rPr>
        <w:t>J. Chem. Educ.,</w:t>
      </w:r>
      <w:r w:rsidRPr="00B4233D">
        <w:rPr>
          <w:rFonts w:ascii="Bookman Old Style" w:hAnsi="Bookman Old Style" w:cs="Arial"/>
          <w:sz w:val="20"/>
          <w:szCs w:val="20"/>
        </w:rPr>
        <w:t xml:space="preserve"> </w:t>
      </w:r>
      <w:r w:rsidRPr="00B4233D">
        <w:rPr>
          <w:rFonts w:ascii="Bookman Old Style" w:hAnsi="Bookman Old Style" w:cs="Arial"/>
          <w:b/>
          <w:sz w:val="20"/>
          <w:szCs w:val="20"/>
        </w:rPr>
        <w:t>2008</w:t>
      </w:r>
      <w:r w:rsidRPr="00B4233D">
        <w:rPr>
          <w:rFonts w:ascii="Bookman Old Style" w:hAnsi="Bookman Old Style" w:cs="Arial"/>
          <w:sz w:val="20"/>
          <w:szCs w:val="20"/>
        </w:rPr>
        <w:t xml:space="preserve">, </w:t>
      </w:r>
      <w:r w:rsidRPr="00B4233D">
        <w:rPr>
          <w:rFonts w:ascii="Bookman Old Style" w:hAnsi="Bookman Old Style" w:cs="Arial"/>
          <w:i/>
          <w:sz w:val="20"/>
          <w:szCs w:val="20"/>
        </w:rPr>
        <w:t>85</w:t>
      </w:r>
      <w:r w:rsidRPr="00B4233D">
        <w:rPr>
          <w:rFonts w:ascii="Bookman Old Style" w:hAnsi="Bookman Old Style" w:cs="Arial"/>
          <w:sz w:val="20"/>
          <w:szCs w:val="20"/>
        </w:rPr>
        <w:t xml:space="preserve">(12), 1644–1645. DOI: </w:t>
      </w:r>
      <w:hyperlink r:id="rId24" w:tooltip="DOI URL" w:history="1">
        <w:r w:rsidRPr="006D396C">
          <w:rPr>
            <w:rStyle w:val="Hyperlink"/>
            <w:rFonts w:ascii="Bookman Old Style" w:hAnsi="Bookman Old Style" w:cs="Arial"/>
            <w:color w:val="auto"/>
            <w:sz w:val="20"/>
            <w:szCs w:val="20"/>
            <w:shd w:val="clear" w:color="auto" w:fill="FFFFFF"/>
          </w:rPr>
          <w:t>10.1021/ed085p1644</w:t>
        </w:r>
      </w:hyperlink>
    </w:p>
    <w:p w14:paraId="0C2659D0" w14:textId="0057956F" w:rsidR="00582C95" w:rsidRPr="00B4233D" w:rsidRDefault="006D396C" w:rsidP="00582C95">
      <w:pPr>
        <w:spacing w:line="240" w:lineRule="auto"/>
        <w:ind w:left="720" w:hanging="720"/>
        <w:rPr>
          <w:rFonts w:ascii="Bookman Old Style" w:eastAsia="Times New Roman" w:hAnsi="Bookman Old Style" w:cs="Arial"/>
          <w:sz w:val="20"/>
          <w:szCs w:val="20"/>
          <w:lang w:eastAsia="en-GB"/>
        </w:rPr>
      </w:pPr>
      <w:r>
        <w:rPr>
          <w:rFonts w:ascii="Bookman Old Style" w:eastAsia="Times New Roman" w:hAnsi="Bookman Old Style" w:cs="Arial"/>
          <w:sz w:val="20"/>
          <w:szCs w:val="20"/>
          <w:lang w:eastAsia="en-GB"/>
        </w:rPr>
        <w:t>20</w:t>
      </w:r>
      <w:r w:rsidR="00582C95" w:rsidRPr="00B4233D">
        <w:rPr>
          <w:rFonts w:ascii="Bookman Old Style" w:eastAsia="Times New Roman" w:hAnsi="Bookman Old Style" w:cs="Arial"/>
          <w:sz w:val="20"/>
          <w:szCs w:val="20"/>
          <w:lang w:eastAsia="en-GB"/>
        </w:rPr>
        <w:t>.</w:t>
      </w:r>
      <w:r w:rsidR="00582C95" w:rsidRPr="00B4233D">
        <w:rPr>
          <w:rFonts w:ascii="Bookman Old Style" w:eastAsia="Times New Roman" w:hAnsi="Bookman Old Style" w:cs="Arial"/>
          <w:sz w:val="20"/>
          <w:szCs w:val="20"/>
          <w:lang w:eastAsia="en-GB"/>
        </w:rPr>
        <w:tab/>
        <w:t xml:space="preserve">Hill, M. A., Overton T. L., Thompson, C. D., Kitson, R. R. A. and Coppo, P. Undergraduate recognition of curriculum-related skill development and the skills employers are seeking, </w:t>
      </w:r>
      <w:r w:rsidR="00582C95" w:rsidRPr="00B4233D">
        <w:rPr>
          <w:rFonts w:ascii="Bookman Old Style" w:eastAsia="Times New Roman" w:hAnsi="Bookman Old Style" w:cs="Arial"/>
          <w:i/>
          <w:sz w:val="20"/>
          <w:szCs w:val="20"/>
          <w:lang w:eastAsia="en-GB"/>
        </w:rPr>
        <w:t xml:space="preserve">Chem. Educ. Res. Pract., </w:t>
      </w:r>
      <w:r w:rsidR="00582C95" w:rsidRPr="00B4233D">
        <w:rPr>
          <w:rFonts w:ascii="Bookman Old Style" w:eastAsia="Times New Roman" w:hAnsi="Bookman Old Style" w:cs="Arial"/>
          <w:b/>
          <w:sz w:val="20"/>
          <w:szCs w:val="20"/>
          <w:lang w:eastAsia="en-GB"/>
        </w:rPr>
        <w:t>2019</w:t>
      </w:r>
      <w:r w:rsidR="00582C95" w:rsidRPr="00B4233D">
        <w:rPr>
          <w:rFonts w:ascii="Bookman Old Style" w:eastAsia="Times New Roman" w:hAnsi="Bookman Old Style" w:cs="Arial"/>
          <w:i/>
          <w:sz w:val="20"/>
          <w:szCs w:val="20"/>
          <w:lang w:eastAsia="en-GB"/>
        </w:rPr>
        <w:t xml:space="preserve">, 20, </w:t>
      </w:r>
      <w:r w:rsidR="00582C95" w:rsidRPr="00B4233D">
        <w:rPr>
          <w:rFonts w:ascii="Bookman Old Style" w:eastAsia="Times New Roman" w:hAnsi="Bookman Old Style" w:cs="Arial"/>
          <w:sz w:val="20"/>
          <w:szCs w:val="20"/>
          <w:lang w:eastAsia="en-GB"/>
        </w:rPr>
        <w:t>68-84. DOI:</w:t>
      </w:r>
      <w:r w:rsidR="00582C95" w:rsidRPr="00B4233D">
        <w:rPr>
          <w:rFonts w:ascii="Bookman Old Style" w:hAnsi="Bookman Old Style"/>
          <w:sz w:val="20"/>
          <w:szCs w:val="20"/>
        </w:rPr>
        <w:t xml:space="preserve"> </w:t>
      </w:r>
      <w:r w:rsidR="00582C95" w:rsidRPr="006D396C">
        <w:rPr>
          <w:rFonts w:ascii="Bookman Old Style" w:hAnsi="Bookman Old Style" w:cs="Arial"/>
          <w:spacing w:val="-5"/>
          <w:sz w:val="20"/>
          <w:szCs w:val="20"/>
          <w:u w:val="single"/>
          <w:shd w:val="clear" w:color="auto" w:fill="FFFFFF"/>
        </w:rPr>
        <w:t>10.1039/C8RP00105G</w:t>
      </w:r>
    </w:p>
    <w:p w14:paraId="365046EC" w14:textId="551C55C4" w:rsidR="00582C95" w:rsidRPr="00B4233D" w:rsidRDefault="00582C95" w:rsidP="00582C95">
      <w:pPr>
        <w:autoSpaceDE w:val="0"/>
        <w:autoSpaceDN w:val="0"/>
        <w:adjustRightInd w:val="0"/>
        <w:spacing w:line="240" w:lineRule="auto"/>
        <w:ind w:left="720" w:hanging="720"/>
        <w:rPr>
          <w:rFonts w:ascii="Bookman Old Style" w:hAnsi="Bookman Old Style" w:cs="Arial"/>
          <w:sz w:val="20"/>
          <w:szCs w:val="20"/>
        </w:rPr>
      </w:pPr>
      <w:r w:rsidRPr="00B4233D">
        <w:rPr>
          <w:rFonts w:ascii="Bookman Old Style" w:eastAsia="Times New Roman" w:hAnsi="Bookman Old Style" w:cs="Arial"/>
          <w:sz w:val="20"/>
          <w:szCs w:val="20"/>
          <w:lang w:eastAsia="en-GB"/>
        </w:rPr>
        <w:t>2</w:t>
      </w:r>
      <w:r w:rsidR="006D396C">
        <w:rPr>
          <w:rFonts w:ascii="Bookman Old Style" w:eastAsia="Times New Roman" w:hAnsi="Bookman Old Style" w:cs="Arial"/>
          <w:sz w:val="20"/>
          <w:szCs w:val="20"/>
          <w:lang w:eastAsia="en-GB"/>
        </w:rPr>
        <w:t>1</w:t>
      </w:r>
      <w:r w:rsidRPr="00B4233D">
        <w:rPr>
          <w:rFonts w:ascii="Bookman Old Style" w:eastAsia="Times New Roman" w:hAnsi="Bookman Old Style" w:cs="Arial"/>
          <w:sz w:val="20"/>
          <w:szCs w:val="20"/>
          <w:lang w:eastAsia="en-GB"/>
        </w:rPr>
        <w:t>.</w:t>
      </w:r>
      <w:r w:rsidRPr="00B4233D">
        <w:rPr>
          <w:rFonts w:ascii="Bookman Old Style" w:eastAsia="Times New Roman" w:hAnsi="Bookman Old Style" w:cs="Arial"/>
          <w:sz w:val="20"/>
          <w:szCs w:val="20"/>
          <w:lang w:eastAsia="en-GB"/>
        </w:rPr>
        <w:tab/>
      </w:r>
      <w:r w:rsidRPr="00B4233D">
        <w:rPr>
          <w:rFonts w:ascii="Bookman Old Style" w:hAnsi="Bookman Old Style" w:cs="Arial"/>
          <w:sz w:val="20"/>
          <w:szCs w:val="20"/>
        </w:rPr>
        <w:t>Hanson, S.; Overton, T. Skills Required by New Chemistry Graduates and their De</w:t>
      </w:r>
      <w:r w:rsidR="006A1F0E">
        <w:rPr>
          <w:rFonts w:ascii="Bookman Old Style" w:hAnsi="Bookman Old Style" w:cs="Arial"/>
          <w:sz w:val="20"/>
          <w:szCs w:val="20"/>
        </w:rPr>
        <w:t xml:space="preserve">velopment in Degree Programmes, </w:t>
      </w:r>
      <w:r w:rsidR="006A1F0E" w:rsidRPr="006A1F0E">
        <w:rPr>
          <w:rFonts w:ascii="Bookman Old Style" w:hAnsi="Bookman Old Style" w:cs="Arial"/>
          <w:b/>
          <w:sz w:val="20"/>
          <w:szCs w:val="20"/>
        </w:rPr>
        <w:t>2010</w:t>
      </w:r>
      <w:r w:rsidR="006A1F0E">
        <w:rPr>
          <w:rFonts w:ascii="Bookman Old Style" w:hAnsi="Bookman Old Style" w:cs="Arial"/>
          <w:sz w:val="20"/>
          <w:szCs w:val="20"/>
        </w:rPr>
        <w:t>.</w:t>
      </w:r>
    </w:p>
    <w:p w14:paraId="40BD94B7" w14:textId="77777777" w:rsidR="00582C95" w:rsidRPr="00B4233D" w:rsidRDefault="006D396C" w:rsidP="00582C95">
      <w:pPr>
        <w:autoSpaceDE w:val="0"/>
        <w:autoSpaceDN w:val="0"/>
        <w:adjustRightInd w:val="0"/>
        <w:spacing w:line="240" w:lineRule="auto"/>
        <w:ind w:left="720" w:firstLine="0"/>
        <w:rPr>
          <w:rFonts w:ascii="Bookman Old Style" w:hAnsi="Bookman Old Style" w:cs="Arial"/>
          <w:sz w:val="20"/>
          <w:szCs w:val="20"/>
        </w:rPr>
      </w:pPr>
      <w:hyperlink r:id="rId25" w:history="1">
        <w:r w:rsidR="006A1F0E" w:rsidRPr="006A1F0E">
          <w:rPr>
            <w:rStyle w:val="Hyperlink"/>
            <w:rFonts w:ascii="Bookman Old Style" w:hAnsi="Bookman Old Style"/>
            <w:color w:val="auto"/>
            <w:sz w:val="20"/>
            <w:szCs w:val="20"/>
          </w:rPr>
          <w:t>http://www.rsc.org/learn-chemistry/resources/business-skills-and-commercial-awareness-for-chemists/docs/skillsdoc1.pdf</w:t>
        </w:r>
      </w:hyperlink>
      <w:r w:rsidR="006A1F0E" w:rsidRPr="006A1F0E">
        <w:rPr>
          <w:rFonts w:ascii="Bookman Old Style" w:hAnsi="Bookman Old Style" w:cs="Arial"/>
          <w:sz w:val="20"/>
          <w:szCs w:val="20"/>
        </w:rPr>
        <w:t xml:space="preserve"> </w:t>
      </w:r>
      <w:r w:rsidR="00582C95" w:rsidRPr="00B4233D">
        <w:rPr>
          <w:rFonts w:ascii="Bookman Old Style" w:hAnsi="Bookman Old Style" w:cs="Arial"/>
          <w:sz w:val="20"/>
          <w:szCs w:val="20"/>
        </w:rPr>
        <w:t>(</w:t>
      </w:r>
      <w:r w:rsidR="00582C95" w:rsidRPr="00B4233D">
        <w:rPr>
          <w:rFonts w:ascii="Bookman Old Style" w:hAnsi="Bookman Old Style" w:cs="Arial"/>
          <w:i/>
          <w:sz w:val="20"/>
          <w:szCs w:val="20"/>
        </w:rPr>
        <w:t xml:space="preserve">accessed </w:t>
      </w:r>
      <w:r w:rsidR="006A1F0E">
        <w:rPr>
          <w:rFonts w:ascii="Bookman Old Style" w:hAnsi="Bookman Old Style" w:cs="Arial"/>
          <w:i/>
          <w:sz w:val="20"/>
          <w:szCs w:val="20"/>
        </w:rPr>
        <w:t>Feb</w:t>
      </w:r>
      <w:r w:rsidR="00582C95" w:rsidRPr="00B4233D">
        <w:rPr>
          <w:rFonts w:ascii="Bookman Old Style" w:hAnsi="Bookman Old Style" w:cs="Arial"/>
          <w:i/>
          <w:sz w:val="20"/>
          <w:szCs w:val="20"/>
        </w:rPr>
        <w:t xml:space="preserve"> 20</w:t>
      </w:r>
      <w:r w:rsidR="006A1F0E">
        <w:rPr>
          <w:rFonts w:ascii="Bookman Old Style" w:hAnsi="Bookman Old Style" w:cs="Arial"/>
          <w:i/>
          <w:sz w:val="20"/>
          <w:szCs w:val="20"/>
        </w:rPr>
        <w:t>20</w:t>
      </w:r>
      <w:r w:rsidR="00582C95" w:rsidRPr="00B4233D">
        <w:rPr>
          <w:rFonts w:ascii="Bookman Old Style" w:hAnsi="Bookman Old Style" w:cs="Arial"/>
          <w:sz w:val="20"/>
          <w:szCs w:val="20"/>
        </w:rPr>
        <w:t xml:space="preserve">). </w:t>
      </w:r>
    </w:p>
    <w:p w14:paraId="43FF072C" w14:textId="51870ADF" w:rsidR="00582C95" w:rsidRPr="00B4233D" w:rsidRDefault="00582C95" w:rsidP="00582C95">
      <w:pPr>
        <w:autoSpaceDE w:val="0"/>
        <w:autoSpaceDN w:val="0"/>
        <w:adjustRightInd w:val="0"/>
        <w:spacing w:line="240" w:lineRule="auto"/>
        <w:ind w:left="720" w:hanging="720"/>
        <w:rPr>
          <w:rFonts w:ascii="Bookman Old Style" w:hAnsi="Bookman Old Style" w:cs="Arial"/>
          <w:sz w:val="20"/>
          <w:szCs w:val="20"/>
        </w:rPr>
      </w:pPr>
      <w:r w:rsidRPr="00B4233D">
        <w:rPr>
          <w:rFonts w:ascii="Bookman Old Style" w:hAnsi="Bookman Old Style" w:cs="Arial"/>
          <w:sz w:val="20"/>
          <w:szCs w:val="20"/>
        </w:rPr>
        <w:t>2</w:t>
      </w:r>
      <w:r w:rsidR="006D396C">
        <w:rPr>
          <w:rFonts w:ascii="Bookman Old Style" w:hAnsi="Bookman Old Style" w:cs="Arial"/>
          <w:sz w:val="20"/>
          <w:szCs w:val="20"/>
        </w:rPr>
        <w:t>2</w:t>
      </w:r>
      <w:r w:rsidRPr="00B4233D">
        <w:rPr>
          <w:rFonts w:ascii="Bookman Old Style" w:hAnsi="Bookman Old Style" w:cs="Arial"/>
          <w:sz w:val="20"/>
          <w:szCs w:val="20"/>
        </w:rPr>
        <w:t>.</w:t>
      </w:r>
      <w:r w:rsidRPr="00B4233D">
        <w:rPr>
          <w:rFonts w:ascii="Bookman Old Style" w:hAnsi="Bookman Old Style" w:cs="Arial"/>
          <w:sz w:val="20"/>
          <w:szCs w:val="20"/>
        </w:rPr>
        <w:tab/>
        <w:t xml:space="preserve">Sarkar M., Overton, T., Thompson, T. and Rayner, G. Graduate Employability: Views of Recent Science Graduates and Employers, </w:t>
      </w:r>
      <w:r w:rsidRPr="00B4233D">
        <w:rPr>
          <w:rFonts w:ascii="Bookman Old Style" w:hAnsi="Bookman Old Style" w:cs="Arial"/>
          <w:i/>
          <w:sz w:val="20"/>
          <w:szCs w:val="20"/>
        </w:rPr>
        <w:t>Int. J. Innovation Sci. Math. Educ.</w:t>
      </w:r>
      <w:r w:rsidRPr="00B4233D">
        <w:rPr>
          <w:rFonts w:ascii="Bookman Old Style" w:hAnsi="Bookman Old Style" w:cs="Arial"/>
          <w:sz w:val="20"/>
          <w:szCs w:val="20"/>
        </w:rPr>
        <w:t xml:space="preserve">, </w:t>
      </w:r>
      <w:r w:rsidRPr="00B4233D">
        <w:rPr>
          <w:rFonts w:ascii="Bookman Old Style" w:hAnsi="Bookman Old Style" w:cs="Arial"/>
          <w:b/>
          <w:sz w:val="20"/>
          <w:szCs w:val="20"/>
        </w:rPr>
        <w:t>2016</w:t>
      </w:r>
      <w:r w:rsidRPr="00B4233D">
        <w:rPr>
          <w:rFonts w:ascii="Bookman Old Style" w:hAnsi="Bookman Old Style" w:cs="Arial"/>
          <w:sz w:val="20"/>
          <w:szCs w:val="20"/>
        </w:rPr>
        <w:t xml:space="preserve"> </w:t>
      </w:r>
      <w:r w:rsidRPr="00B4233D">
        <w:rPr>
          <w:rFonts w:ascii="Bookman Old Style" w:hAnsi="Bookman Old Style" w:cs="Arial"/>
          <w:i/>
          <w:sz w:val="20"/>
          <w:szCs w:val="20"/>
        </w:rPr>
        <w:t>24</w:t>
      </w:r>
      <w:r w:rsidRPr="00B4233D">
        <w:rPr>
          <w:rFonts w:ascii="Bookman Old Style" w:hAnsi="Bookman Old Style" w:cs="Arial"/>
          <w:sz w:val="20"/>
          <w:szCs w:val="20"/>
        </w:rPr>
        <w:t>(3), 31-48.</w:t>
      </w:r>
    </w:p>
    <w:p w14:paraId="29C302E5" w14:textId="0CCD330F" w:rsidR="00582C95" w:rsidRPr="00B4233D" w:rsidRDefault="00582C95" w:rsidP="00582C95">
      <w:pPr>
        <w:autoSpaceDE w:val="0"/>
        <w:autoSpaceDN w:val="0"/>
        <w:adjustRightInd w:val="0"/>
        <w:spacing w:line="240" w:lineRule="auto"/>
        <w:ind w:left="720" w:hanging="720"/>
        <w:rPr>
          <w:rFonts w:ascii="Bookman Old Style" w:eastAsia="Times New Roman" w:hAnsi="Bookman Old Style" w:cs="Arial"/>
          <w:sz w:val="20"/>
          <w:szCs w:val="20"/>
          <w:lang w:eastAsia="en-GB"/>
        </w:rPr>
      </w:pPr>
      <w:r w:rsidRPr="00B4233D">
        <w:rPr>
          <w:rFonts w:ascii="Bookman Old Style" w:hAnsi="Bookman Old Style" w:cs="Arial"/>
          <w:sz w:val="20"/>
          <w:szCs w:val="20"/>
        </w:rPr>
        <w:t>2</w:t>
      </w:r>
      <w:r w:rsidR="006D396C">
        <w:rPr>
          <w:rFonts w:ascii="Bookman Old Style" w:hAnsi="Bookman Old Style" w:cs="Arial"/>
          <w:sz w:val="20"/>
          <w:szCs w:val="20"/>
        </w:rPr>
        <w:t>3</w:t>
      </w:r>
      <w:r w:rsidRPr="00B4233D">
        <w:rPr>
          <w:rFonts w:ascii="Bookman Old Style" w:hAnsi="Bookman Old Style" w:cs="Arial"/>
          <w:sz w:val="20"/>
          <w:szCs w:val="20"/>
        </w:rPr>
        <w:t>.</w:t>
      </w:r>
      <w:r w:rsidRPr="00B4233D">
        <w:rPr>
          <w:rFonts w:ascii="Bookman Old Style" w:hAnsi="Bookman Old Style" w:cs="Arial"/>
          <w:sz w:val="20"/>
          <w:szCs w:val="20"/>
        </w:rPr>
        <w:tab/>
        <w:t>Galloway, K. W. Undergraduate perceptions of value: degree skills and career skills,</w:t>
      </w:r>
      <w:r w:rsidRPr="00B4233D">
        <w:rPr>
          <w:rFonts w:ascii="Bookman Old Style" w:eastAsia="Times New Roman" w:hAnsi="Bookman Old Style" w:cs="Arial"/>
          <w:i/>
          <w:sz w:val="20"/>
          <w:szCs w:val="20"/>
          <w:lang w:eastAsia="en-GB"/>
        </w:rPr>
        <w:t xml:space="preserve"> Chem. Educ. Res. Pract</w:t>
      </w:r>
      <w:r w:rsidRPr="00B4233D">
        <w:rPr>
          <w:rFonts w:ascii="Bookman Old Style" w:eastAsia="Times New Roman" w:hAnsi="Bookman Old Style" w:cs="Arial"/>
          <w:sz w:val="20"/>
          <w:szCs w:val="20"/>
          <w:lang w:eastAsia="en-GB"/>
        </w:rPr>
        <w:t xml:space="preserve">, </w:t>
      </w:r>
      <w:r w:rsidRPr="00B4233D">
        <w:rPr>
          <w:rFonts w:ascii="Bookman Old Style" w:eastAsia="Times New Roman" w:hAnsi="Bookman Old Style" w:cs="Arial"/>
          <w:b/>
          <w:sz w:val="20"/>
          <w:szCs w:val="20"/>
          <w:lang w:eastAsia="en-GB"/>
        </w:rPr>
        <w:t>2017</w:t>
      </w:r>
      <w:r w:rsidRPr="00B4233D">
        <w:rPr>
          <w:rFonts w:ascii="Bookman Old Style" w:eastAsia="Times New Roman" w:hAnsi="Bookman Old Style" w:cs="Arial"/>
          <w:sz w:val="20"/>
          <w:szCs w:val="20"/>
          <w:lang w:eastAsia="en-GB"/>
        </w:rPr>
        <w:t>, 18, 435</w:t>
      </w:r>
      <w:r w:rsidRPr="00B4233D">
        <w:rPr>
          <w:rFonts w:ascii="Bookman Old Style" w:hAnsi="Bookman Old Style" w:cs="Arial"/>
          <w:sz w:val="20"/>
          <w:szCs w:val="20"/>
        </w:rPr>
        <w:t>–</w:t>
      </w:r>
      <w:r w:rsidRPr="00B4233D">
        <w:rPr>
          <w:rFonts w:ascii="Bookman Old Style" w:eastAsia="Times New Roman" w:hAnsi="Bookman Old Style" w:cs="Arial"/>
          <w:sz w:val="20"/>
          <w:szCs w:val="20"/>
          <w:lang w:eastAsia="en-GB"/>
        </w:rPr>
        <w:t xml:space="preserve">440. DOI: </w:t>
      </w:r>
      <w:r w:rsidRPr="006D396C">
        <w:rPr>
          <w:rFonts w:ascii="Bookman Old Style" w:hAnsi="Bookman Old Style" w:cs="Arial"/>
          <w:spacing w:val="-5"/>
          <w:sz w:val="20"/>
          <w:szCs w:val="20"/>
          <w:u w:val="single"/>
          <w:shd w:val="clear" w:color="auto" w:fill="FFFFFF"/>
        </w:rPr>
        <w:t>10.1039/C7RP00011A</w:t>
      </w:r>
    </w:p>
    <w:p w14:paraId="3952D1D9" w14:textId="74881893" w:rsidR="00582C95" w:rsidRPr="00B4233D" w:rsidRDefault="00582C95" w:rsidP="00582C95">
      <w:pPr>
        <w:autoSpaceDE w:val="0"/>
        <w:autoSpaceDN w:val="0"/>
        <w:adjustRightInd w:val="0"/>
        <w:spacing w:line="240" w:lineRule="auto"/>
        <w:ind w:left="720" w:hanging="720"/>
        <w:rPr>
          <w:rFonts w:ascii="Bookman Old Style" w:hAnsi="Bookman Old Style" w:cs="Arial"/>
          <w:sz w:val="20"/>
          <w:szCs w:val="20"/>
          <w:shd w:val="clear" w:color="auto" w:fill="FFFFFF"/>
        </w:rPr>
      </w:pPr>
      <w:r w:rsidRPr="00B4233D">
        <w:rPr>
          <w:rFonts w:ascii="Bookman Old Style" w:eastAsia="Times New Roman" w:hAnsi="Bookman Old Style" w:cs="Arial"/>
          <w:sz w:val="20"/>
          <w:szCs w:val="20"/>
          <w:lang w:eastAsia="en-GB"/>
        </w:rPr>
        <w:t>2</w:t>
      </w:r>
      <w:r w:rsidR="006D396C">
        <w:rPr>
          <w:rFonts w:ascii="Bookman Old Style" w:eastAsia="Times New Roman" w:hAnsi="Bookman Old Style" w:cs="Arial"/>
          <w:sz w:val="20"/>
          <w:szCs w:val="20"/>
          <w:lang w:eastAsia="en-GB"/>
        </w:rPr>
        <w:t>4</w:t>
      </w:r>
      <w:r w:rsidRPr="00B4233D">
        <w:rPr>
          <w:rFonts w:ascii="Bookman Old Style" w:eastAsia="Times New Roman" w:hAnsi="Bookman Old Style" w:cs="Arial"/>
          <w:sz w:val="20"/>
          <w:szCs w:val="20"/>
          <w:lang w:eastAsia="en-GB"/>
        </w:rPr>
        <w:t>.</w:t>
      </w:r>
      <w:r w:rsidRPr="00B4233D">
        <w:rPr>
          <w:rFonts w:ascii="Bookman Old Style" w:eastAsia="Times New Roman" w:hAnsi="Bookman Old Style" w:cs="Arial"/>
          <w:sz w:val="20"/>
          <w:szCs w:val="20"/>
          <w:lang w:eastAsia="en-GB"/>
        </w:rPr>
        <w:tab/>
      </w:r>
      <w:r w:rsidRPr="00B4233D">
        <w:rPr>
          <w:rStyle w:val="api-publication-authors"/>
          <w:rFonts w:ascii="Bookman Old Style" w:hAnsi="Bookman Old Style" w:cs="Arial"/>
          <w:sz w:val="20"/>
          <w:szCs w:val="20"/>
          <w:shd w:val="clear" w:color="auto" w:fill="FFFFFF"/>
        </w:rPr>
        <w:t>Capel N. J., Hancock L. M., Haxton K. J., Hollamby M., Jones R. H., McGarvey D. and Plana D.,</w:t>
      </w:r>
      <w:r w:rsidRPr="00B4233D">
        <w:rPr>
          <w:rStyle w:val="Strong"/>
          <w:rFonts w:ascii="Bookman Old Style" w:hAnsi="Bookman Old Style" w:cs="Arial"/>
          <w:b w:val="0"/>
          <w:sz w:val="20"/>
          <w:szCs w:val="20"/>
          <w:shd w:val="clear" w:color="auto" w:fill="FFFFFF"/>
        </w:rPr>
        <w:t xml:space="preserve"> Developing Scientific Reporting Skills of Early Undergraduate Chemistry Students. In </w:t>
      </w:r>
      <w:r w:rsidRPr="00B4233D">
        <w:rPr>
          <w:rStyle w:val="Strong"/>
          <w:rFonts w:ascii="Bookman Old Style" w:hAnsi="Bookman Old Style" w:cs="Arial"/>
          <w:b w:val="0"/>
          <w:i/>
          <w:sz w:val="20"/>
          <w:szCs w:val="20"/>
          <w:shd w:val="clear" w:color="auto" w:fill="FFFFFF"/>
        </w:rPr>
        <w:t>Teaching Chemistry in Higher Education: A Festschrift in Honour of Professor Tina Overton</w:t>
      </w:r>
      <w:r w:rsidRPr="00B4233D">
        <w:rPr>
          <w:rStyle w:val="Strong"/>
          <w:rFonts w:ascii="Bookman Old Style" w:hAnsi="Bookman Old Style" w:cs="Arial"/>
          <w:b w:val="0"/>
          <w:sz w:val="20"/>
          <w:szCs w:val="20"/>
          <w:shd w:val="clear" w:color="auto" w:fill="FFFFFF"/>
        </w:rPr>
        <w:t>;</w:t>
      </w:r>
      <w:r w:rsidRPr="00B4233D">
        <w:rPr>
          <w:rStyle w:val="Strong"/>
          <w:rFonts w:ascii="Bookman Old Style" w:hAnsi="Bookman Old Style" w:cs="Arial"/>
          <w:sz w:val="20"/>
          <w:szCs w:val="20"/>
          <w:shd w:val="clear" w:color="auto" w:fill="FFFFFF"/>
        </w:rPr>
        <w:t xml:space="preserve"> </w:t>
      </w:r>
      <w:r w:rsidRPr="00B4233D">
        <w:rPr>
          <w:rStyle w:val="Strong"/>
          <w:rFonts w:ascii="Bookman Old Style" w:hAnsi="Bookman Old Style" w:cs="Arial"/>
          <w:b w:val="0"/>
          <w:sz w:val="20"/>
          <w:szCs w:val="20"/>
          <w:shd w:val="clear" w:color="auto" w:fill="FFFFFF"/>
        </w:rPr>
        <w:t>Seery, M. K., McDonnell, C., Eds,;</w:t>
      </w:r>
      <w:r w:rsidRPr="00B4233D">
        <w:rPr>
          <w:rStyle w:val="Strong"/>
          <w:rFonts w:ascii="Bookman Old Style" w:hAnsi="Bookman Old Style" w:cs="Arial"/>
          <w:sz w:val="20"/>
          <w:szCs w:val="20"/>
          <w:shd w:val="clear" w:color="auto" w:fill="FFFFFF"/>
        </w:rPr>
        <w:t xml:space="preserve"> </w:t>
      </w:r>
      <w:r w:rsidRPr="00B4233D">
        <w:rPr>
          <w:rFonts w:ascii="Bookman Old Style" w:hAnsi="Bookman Old Style" w:cs="Arial"/>
          <w:sz w:val="20"/>
          <w:szCs w:val="20"/>
          <w:shd w:val="clear" w:color="auto" w:fill="FFFFFF"/>
        </w:rPr>
        <w:t xml:space="preserve">Creathach Press, Dublin, </w:t>
      </w:r>
      <w:r w:rsidRPr="00B4233D">
        <w:rPr>
          <w:rFonts w:ascii="Bookman Old Style" w:hAnsi="Bookman Old Style" w:cs="Arial"/>
          <w:b/>
          <w:sz w:val="20"/>
          <w:szCs w:val="20"/>
          <w:shd w:val="clear" w:color="auto" w:fill="FFFFFF"/>
        </w:rPr>
        <w:t>2019</w:t>
      </w:r>
      <w:r w:rsidRPr="00B4233D">
        <w:rPr>
          <w:rFonts w:ascii="Bookman Old Style" w:hAnsi="Bookman Old Style" w:cs="Arial"/>
          <w:sz w:val="20"/>
          <w:szCs w:val="20"/>
          <w:shd w:val="clear" w:color="auto" w:fill="FFFFFF"/>
        </w:rPr>
        <w:t>, 333-348.</w:t>
      </w:r>
    </w:p>
    <w:p w14:paraId="394956B0" w14:textId="30F4C078" w:rsidR="00582C95" w:rsidRPr="00B4233D" w:rsidRDefault="00582C95" w:rsidP="00582C95">
      <w:pPr>
        <w:autoSpaceDE w:val="0"/>
        <w:autoSpaceDN w:val="0"/>
        <w:adjustRightInd w:val="0"/>
        <w:spacing w:line="240" w:lineRule="auto"/>
        <w:ind w:left="720" w:hanging="720"/>
        <w:rPr>
          <w:rFonts w:ascii="Bookman Old Style" w:hAnsi="Bookman Old Style" w:cs="Arial"/>
          <w:sz w:val="20"/>
          <w:szCs w:val="20"/>
          <w:shd w:val="clear" w:color="auto" w:fill="FFFFFF"/>
        </w:rPr>
      </w:pPr>
      <w:r w:rsidRPr="00B4233D">
        <w:rPr>
          <w:rFonts w:ascii="Bookman Old Style" w:eastAsia="Times New Roman" w:hAnsi="Bookman Old Style" w:cs="Arial"/>
          <w:sz w:val="20"/>
          <w:szCs w:val="20"/>
          <w:lang w:eastAsia="en-GB"/>
        </w:rPr>
        <w:t>2</w:t>
      </w:r>
      <w:r w:rsidR="006D396C">
        <w:rPr>
          <w:rFonts w:ascii="Bookman Old Style" w:eastAsia="Times New Roman" w:hAnsi="Bookman Old Style" w:cs="Arial"/>
          <w:sz w:val="20"/>
          <w:szCs w:val="20"/>
          <w:lang w:eastAsia="en-GB"/>
        </w:rPr>
        <w:t>5.</w:t>
      </w:r>
      <w:r w:rsidRPr="00B4233D">
        <w:rPr>
          <w:rFonts w:ascii="Bookman Old Style" w:eastAsia="Times New Roman" w:hAnsi="Bookman Old Style" w:cs="Arial"/>
          <w:sz w:val="20"/>
          <w:szCs w:val="20"/>
          <w:lang w:eastAsia="en-GB"/>
        </w:rPr>
        <w:tab/>
        <w:t xml:space="preserve">Wright, J. S., Read, D., Hughes, O. and Hyde, J. Tracking and assessing practical chemistry skills development: practical skills portfolios, New Directions in the teaching of physical sciences </w:t>
      </w:r>
      <w:r w:rsidRPr="006A1F0E">
        <w:rPr>
          <w:rFonts w:ascii="Bookman Old Style" w:eastAsia="Times New Roman" w:hAnsi="Bookman Old Style" w:cs="Arial"/>
          <w:b/>
          <w:sz w:val="20"/>
          <w:szCs w:val="20"/>
          <w:lang w:eastAsia="en-GB"/>
        </w:rPr>
        <w:t>2018</w:t>
      </w:r>
      <w:r w:rsidRPr="00B4233D">
        <w:rPr>
          <w:rFonts w:ascii="Bookman Old Style" w:eastAsia="Times New Roman" w:hAnsi="Bookman Old Style" w:cs="Arial"/>
          <w:sz w:val="20"/>
          <w:szCs w:val="20"/>
          <w:lang w:eastAsia="en-GB"/>
        </w:rPr>
        <w:t xml:space="preserve">, 13, </w:t>
      </w:r>
      <w:r w:rsidRPr="00B4233D">
        <w:rPr>
          <w:rFonts w:ascii="Bookman Old Style" w:hAnsi="Bookman Old Style" w:cs="Open Sans"/>
          <w:sz w:val="20"/>
          <w:szCs w:val="20"/>
          <w:shd w:val="clear" w:color="auto" w:fill="FFFFFF"/>
        </w:rPr>
        <w:t>Available at: &lt;</w:t>
      </w:r>
      <w:hyperlink r:id="rId26" w:tgtFrame="_new" w:history="1">
        <w:r w:rsidRPr="00B4233D">
          <w:rPr>
            <w:rStyle w:val="Hyperlink"/>
            <w:rFonts w:ascii="Bookman Old Style" w:hAnsi="Bookman Old Style" w:cs="Open Sans"/>
            <w:color w:val="auto"/>
            <w:sz w:val="20"/>
            <w:szCs w:val="20"/>
            <w:shd w:val="clear" w:color="auto" w:fill="FFFFFF"/>
          </w:rPr>
          <w:t>https://journals.le.ac.uk/ojs1/index.php/new-directions/article/view/2905/2664</w:t>
        </w:r>
      </w:hyperlink>
      <w:r w:rsidR="00B4233D" w:rsidRPr="00B4233D">
        <w:rPr>
          <w:rFonts w:ascii="Bookman Old Style" w:hAnsi="Bookman Old Style" w:cs="Open Sans"/>
          <w:sz w:val="20"/>
          <w:szCs w:val="20"/>
          <w:shd w:val="clear" w:color="auto" w:fill="FFFFFF"/>
        </w:rPr>
        <w:t>&gt;. (</w:t>
      </w:r>
      <w:r w:rsidR="00B4233D" w:rsidRPr="00B4233D">
        <w:rPr>
          <w:rFonts w:ascii="Bookman Old Style" w:hAnsi="Bookman Old Style" w:cs="Open Sans"/>
          <w:i/>
          <w:sz w:val="20"/>
          <w:szCs w:val="20"/>
          <w:shd w:val="clear" w:color="auto" w:fill="FFFFFF"/>
        </w:rPr>
        <w:t>accessed Nov 2019</w:t>
      </w:r>
      <w:r w:rsidR="00B4233D" w:rsidRPr="00B4233D">
        <w:rPr>
          <w:rFonts w:ascii="Bookman Old Style" w:hAnsi="Bookman Old Style" w:cs="Open Sans"/>
          <w:sz w:val="20"/>
          <w:szCs w:val="20"/>
          <w:shd w:val="clear" w:color="auto" w:fill="FFFFFF"/>
        </w:rPr>
        <w:t>)</w:t>
      </w:r>
      <w:r w:rsidRPr="00B4233D">
        <w:rPr>
          <w:rFonts w:ascii="Bookman Old Style" w:hAnsi="Bookman Old Style" w:cs="Open Sans"/>
          <w:sz w:val="20"/>
          <w:szCs w:val="20"/>
          <w:shd w:val="clear" w:color="auto" w:fill="FFFFFF"/>
        </w:rPr>
        <w:t xml:space="preserve"> doi:</w:t>
      </w:r>
      <w:hyperlink r:id="rId27" w:history="1">
        <w:r w:rsidRPr="00B4233D">
          <w:rPr>
            <w:rStyle w:val="Hyperlink"/>
            <w:rFonts w:ascii="Bookman Old Style" w:hAnsi="Bookman Old Style" w:cs="Open Sans"/>
            <w:color w:val="auto"/>
            <w:sz w:val="20"/>
            <w:szCs w:val="20"/>
            <w:shd w:val="clear" w:color="auto" w:fill="FFFFFF"/>
          </w:rPr>
          <w:t>10.29311/ndtps.v0i13.2905</w:t>
        </w:r>
      </w:hyperlink>
      <w:r w:rsidRPr="00B4233D">
        <w:rPr>
          <w:rFonts w:ascii="Bookman Old Style" w:hAnsi="Bookman Old Style" w:cs="Open Sans"/>
          <w:sz w:val="20"/>
          <w:szCs w:val="20"/>
          <w:shd w:val="clear" w:color="auto" w:fill="FFFFFF"/>
        </w:rPr>
        <w:t>.</w:t>
      </w:r>
    </w:p>
    <w:p w14:paraId="4D8F6425" w14:textId="6AE63D4D" w:rsidR="00582C95" w:rsidRPr="00B4233D" w:rsidRDefault="00582C95" w:rsidP="00582C95">
      <w:pPr>
        <w:autoSpaceDE w:val="0"/>
        <w:autoSpaceDN w:val="0"/>
        <w:adjustRightInd w:val="0"/>
        <w:spacing w:line="240" w:lineRule="auto"/>
        <w:ind w:left="720" w:hanging="720"/>
        <w:rPr>
          <w:rStyle w:val="Hyperlink"/>
          <w:rFonts w:ascii="Bookman Old Style" w:hAnsi="Bookman Old Style" w:cs="Arial"/>
          <w:color w:val="auto"/>
          <w:sz w:val="20"/>
          <w:szCs w:val="20"/>
          <w:u w:val="none"/>
          <w:shd w:val="clear" w:color="auto" w:fill="FFFFFF"/>
        </w:rPr>
      </w:pPr>
      <w:r w:rsidRPr="00B4233D">
        <w:rPr>
          <w:rFonts w:ascii="Bookman Old Style" w:hAnsi="Bookman Old Style" w:cs="Arial"/>
          <w:sz w:val="20"/>
          <w:szCs w:val="20"/>
        </w:rPr>
        <w:t>2</w:t>
      </w:r>
      <w:r w:rsidR="006D396C">
        <w:rPr>
          <w:rFonts w:ascii="Bookman Old Style" w:hAnsi="Bookman Old Style" w:cs="Arial"/>
          <w:sz w:val="20"/>
          <w:szCs w:val="20"/>
        </w:rPr>
        <w:t>6</w:t>
      </w:r>
      <w:r w:rsidRPr="00B4233D">
        <w:rPr>
          <w:rFonts w:ascii="Bookman Old Style" w:hAnsi="Bookman Old Style" w:cs="Arial"/>
          <w:sz w:val="20"/>
          <w:szCs w:val="20"/>
        </w:rPr>
        <w:t>.</w:t>
      </w:r>
      <w:r w:rsidRPr="00B4233D">
        <w:rPr>
          <w:rFonts w:ascii="Bookman Old Style" w:hAnsi="Bookman Old Style" w:cs="Arial"/>
          <w:sz w:val="20"/>
          <w:szCs w:val="20"/>
        </w:rPr>
        <w:tab/>
        <w:t xml:space="preserve">Chen H.-J., She J.-L., Chou C.-C., Tsai Y.-M. and Chiu M.-H., Development and Application of a Scoring Rubric for Evaluating Students’ Experimental Skills in Organic Chemistry: An Instructional Guide for Teaching Assistants, </w:t>
      </w:r>
      <w:r w:rsidRPr="00B4233D">
        <w:rPr>
          <w:rFonts w:ascii="Bookman Old Style" w:hAnsi="Bookman Old Style" w:cs="Arial"/>
          <w:i/>
          <w:sz w:val="20"/>
          <w:szCs w:val="20"/>
        </w:rPr>
        <w:t xml:space="preserve">J. Chem. Educ., </w:t>
      </w:r>
      <w:r w:rsidRPr="00B4233D">
        <w:rPr>
          <w:rFonts w:ascii="Bookman Old Style" w:hAnsi="Bookman Old Style" w:cs="Arial"/>
          <w:b/>
          <w:sz w:val="20"/>
          <w:szCs w:val="20"/>
        </w:rPr>
        <w:t>2013</w:t>
      </w:r>
      <w:r w:rsidRPr="00B4233D">
        <w:rPr>
          <w:rFonts w:ascii="Bookman Old Style" w:hAnsi="Bookman Old Style" w:cs="Arial"/>
          <w:i/>
          <w:sz w:val="20"/>
          <w:szCs w:val="20"/>
        </w:rPr>
        <w:t>,</w:t>
      </w:r>
      <w:r w:rsidRPr="00B4233D">
        <w:rPr>
          <w:rFonts w:ascii="Bookman Old Style" w:hAnsi="Bookman Old Style" w:cs="Arial"/>
          <w:sz w:val="20"/>
          <w:szCs w:val="20"/>
        </w:rPr>
        <w:t xml:space="preserve"> </w:t>
      </w:r>
      <w:r w:rsidRPr="00B4233D">
        <w:rPr>
          <w:rFonts w:ascii="Bookman Old Style" w:hAnsi="Bookman Old Style" w:cs="Arial"/>
          <w:i/>
          <w:sz w:val="20"/>
          <w:szCs w:val="20"/>
        </w:rPr>
        <w:t>90(</w:t>
      </w:r>
      <w:r w:rsidRPr="00B4233D">
        <w:rPr>
          <w:rFonts w:ascii="Bookman Old Style" w:hAnsi="Bookman Old Style" w:cs="Arial"/>
          <w:sz w:val="20"/>
          <w:szCs w:val="20"/>
        </w:rPr>
        <w:t xml:space="preserve">10), 1296–1302. DOI: </w:t>
      </w:r>
      <w:hyperlink r:id="rId28" w:tooltip="DOI URL" w:history="1">
        <w:r w:rsidRPr="006D396C">
          <w:rPr>
            <w:rStyle w:val="Hyperlink"/>
            <w:rFonts w:ascii="Bookman Old Style" w:hAnsi="Bookman Old Style" w:cs="Arial"/>
            <w:color w:val="auto"/>
            <w:sz w:val="20"/>
            <w:szCs w:val="20"/>
            <w:shd w:val="clear" w:color="auto" w:fill="FFFFFF"/>
          </w:rPr>
          <w:t>10.1021/ed101111g</w:t>
        </w:r>
      </w:hyperlink>
    </w:p>
    <w:p w14:paraId="1101C0DA" w14:textId="4E3991AA" w:rsidR="001E5108" w:rsidRPr="00B4233D" w:rsidRDefault="001E5108" w:rsidP="00582C95">
      <w:pPr>
        <w:autoSpaceDE w:val="0"/>
        <w:autoSpaceDN w:val="0"/>
        <w:adjustRightInd w:val="0"/>
        <w:spacing w:line="240" w:lineRule="auto"/>
        <w:ind w:left="720" w:hanging="720"/>
        <w:rPr>
          <w:rFonts w:ascii="Bookman Old Style" w:hAnsi="Bookman Old Style" w:cs="Arial"/>
          <w:sz w:val="20"/>
          <w:szCs w:val="20"/>
        </w:rPr>
      </w:pPr>
      <w:r w:rsidRPr="00B4233D">
        <w:rPr>
          <w:rFonts w:ascii="Bookman Old Style" w:hAnsi="Bookman Old Style" w:cs="Arial"/>
          <w:sz w:val="20"/>
          <w:szCs w:val="20"/>
        </w:rPr>
        <w:t>2</w:t>
      </w:r>
      <w:r w:rsidR="006D396C">
        <w:rPr>
          <w:rFonts w:ascii="Bookman Old Style" w:hAnsi="Bookman Old Style" w:cs="Arial"/>
          <w:sz w:val="20"/>
          <w:szCs w:val="20"/>
        </w:rPr>
        <w:t>7</w:t>
      </w:r>
      <w:r w:rsidRPr="00B4233D">
        <w:rPr>
          <w:rFonts w:ascii="Bookman Old Style" w:hAnsi="Bookman Old Style" w:cs="Arial"/>
          <w:sz w:val="20"/>
          <w:szCs w:val="20"/>
        </w:rPr>
        <w:t>.</w:t>
      </w:r>
      <w:r w:rsidRPr="00B4233D">
        <w:rPr>
          <w:rFonts w:ascii="Bookman Old Style" w:hAnsi="Bookman Old Style" w:cs="Arial"/>
          <w:sz w:val="20"/>
          <w:szCs w:val="20"/>
        </w:rPr>
        <w:tab/>
        <w:t xml:space="preserve">Graham, K. J., Johnson, B. J., Jones, T. N., McIntee, E. J. and Schaller, C. P. Designing and Conducting a purification scheme as an organic chemistry laboratory practical, </w:t>
      </w:r>
      <w:r w:rsidRPr="00B4233D">
        <w:rPr>
          <w:rFonts w:ascii="Bookman Old Style" w:hAnsi="Bookman Old Style" w:cs="Arial"/>
          <w:i/>
          <w:sz w:val="20"/>
          <w:szCs w:val="20"/>
        </w:rPr>
        <w:t>J. Chem. Educ.</w:t>
      </w:r>
      <w:r w:rsidRPr="00B4233D">
        <w:rPr>
          <w:rFonts w:ascii="Bookman Old Style" w:hAnsi="Bookman Old Style" w:cs="Arial"/>
          <w:sz w:val="20"/>
          <w:szCs w:val="20"/>
        </w:rPr>
        <w:t xml:space="preserve">, </w:t>
      </w:r>
      <w:r w:rsidRPr="00B4233D">
        <w:rPr>
          <w:rFonts w:ascii="Bookman Old Style" w:hAnsi="Bookman Old Style" w:cs="Arial"/>
          <w:b/>
          <w:sz w:val="20"/>
          <w:szCs w:val="20"/>
        </w:rPr>
        <w:t>2008</w:t>
      </w:r>
      <w:r w:rsidRPr="00B4233D">
        <w:rPr>
          <w:rFonts w:ascii="Bookman Old Style" w:hAnsi="Bookman Old Style" w:cs="Arial"/>
          <w:sz w:val="20"/>
          <w:szCs w:val="20"/>
        </w:rPr>
        <w:t xml:space="preserve">, 85(12), 1644-1645. DOI: </w:t>
      </w:r>
      <w:hyperlink r:id="rId29" w:tooltip="DOI URL" w:history="1">
        <w:r w:rsidRPr="00B4233D">
          <w:rPr>
            <w:rStyle w:val="Hyperlink"/>
            <w:rFonts w:ascii="Bookman Old Style" w:hAnsi="Bookman Old Style" w:cs="Arial"/>
            <w:color w:val="auto"/>
            <w:sz w:val="18"/>
            <w:szCs w:val="18"/>
            <w:shd w:val="clear" w:color="auto" w:fill="FFFFFF"/>
          </w:rPr>
          <w:t>10.1021/ed085p1644</w:t>
        </w:r>
      </w:hyperlink>
      <w:r w:rsidR="00D811B0" w:rsidRPr="00B4233D">
        <w:rPr>
          <w:rFonts w:ascii="Bookman Old Style" w:hAnsi="Bookman Old Style"/>
        </w:rPr>
        <w:t>.</w:t>
      </w:r>
    </w:p>
    <w:p w14:paraId="0B5023C5" w14:textId="1FA46169" w:rsidR="00582C95" w:rsidRPr="006D396C" w:rsidRDefault="001E5108" w:rsidP="00582C95">
      <w:pPr>
        <w:spacing w:line="240" w:lineRule="auto"/>
        <w:ind w:left="720" w:hanging="720"/>
        <w:rPr>
          <w:rFonts w:ascii="Bookman Old Style" w:hAnsi="Bookman Old Style" w:cs="Arial"/>
          <w:sz w:val="20"/>
          <w:szCs w:val="20"/>
          <w:u w:val="single"/>
        </w:rPr>
      </w:pPr>
      <w:r w:rsidRPr="00B4233D">
        <w:rPr>
          <w:rFonts w:ascii="Bookman Old Style" w:hAnsi="Bookman Old Style" w:cs="Arial"/>
          <w:sz w:val="20"/>
          <w:szCs w:val="20"/>
        </w:rPr>
        <w:t>2</w:t>
      </w:r>
      <w:r w:rsidR="006D396C">
        <w:rPr>
          <w:rFonts w:ascii="Bookman Old Style" w:hAnsi="Bookman Old Style" w:cs="Arial"/>
          <w:sz w:val="20"/>
          <w:szCs w:val="20"/>
        </w:rPr>
        <w:t>8</w:t>
      </w:r>
      <w:r w:rsidR="00582C95" w:rsidRPr="00B4233D">
        <w:rPr>
          <w:rFonts w:ascii="Bookman Old Style" w:hAnsi="Bookman Old Style" w:cs="Arial"/>
          <w:sz w:val="20"/>
          <w:szCs w:val="20"/>
        </w:rPr>
        <w:t>.</w:t>
      </w:r>
      <w:r w:rsidR="00582C95" w:rsidRPr="00B4233D">
        <w:rPr>
          <w:rFonts w:ascii="Bookman Old Style" w:hAnsi="Bookman Old Style" w:cs="Arial"/>
          <w:sz w:val="20"/>
          <w:szCs w:val="20"/>
        </w:rPr>
        <w:tab/>
        <w:t xml:space="preserve">Towns M., Harwood C. J., Robertshaw M. B., Fish J. and O’Shea K., The Digital Pipetting Badge: A Method To Improve Student Hands-On Laboratory Skills, </w:t>
      </w:r>
      <w:r w:rsidR="00582C95" w:rsidRPr="00B4233D">
        <w:rPr>
          <w:rFonts w:ascii="Bookman Old Style" w:hAnsi="Bookman Old Style" w:cs="Arial"/>
          <w:i/>
          <w:sz w:val="20"/>
          <w:szCs w:val="20"/>
        </w:rPr>
        <w:t>J. Chem. Educ.,</w:t>
      </w:r>
      <w:r w:rsidR="00582C95" w:rsidRPr="00B4233D">
        <w:rPr>
          <w:rFonts w:ascii="Bookman Old Style" w:hAnsi="Bookman Old Style" w:cs="Arial"/>
          <w:sz w:val="20"/>
          <w:szCs w:val="20"/>
        </w:rPr>
        <w:t xml:space="preserve"> </w:t>
      </w:r>
      <w:r w:rsidR="00582C95" w:rsidRPr="00B4233D">
        <w:rPr>
          <w:rFonts w:ascii="Bookman Old Style" w:hAnsi="Bookman Old Style" w:cs="Arial"/>
          <w:b/>
          <w:sz w:val="20"/>
          <w:szCs w:val="20"/>
        </w:rPr>
        <w:t>2015</w:t>
      </w:r>
      <w:r w:rsidR="00582C95" w:rsidRPr="00B4233D">
        <w:rPr>
          <w:rFonts w:ascii="Bookman Old Style" w:hAnsi="Bookman Old Style" w:cs="Arial"/>
          <w:sz w:val="20"/>
          <w:szCs w:val="20"/>
        </w:rPr>
        <w:t xml:space="preserve">, 92(12), 2038–2044. DOI: </w:t>
      </w:r>
      <w:hyperlink r:id="rId30" w:tooltip="DOI URL" w:history="1">
        <w:r w:rsidR="00582C95" w:rsidRPr="006D396C">
          <w:rPr>
            <w:rStyle w:val="Hyperlink"/>
            <w:rFonts w:ascii="Bookman Old Style" w:hAnsi="Bookman Old Style" w:cs="Arial"/>
            <w:color w:val="auto"/>
            <w:sz w:val="20"/>
            <w:szCs w:val="20"/>
            <w:shd w:val="clear" w:color="auto" w:fill="FFFFFF"/>
          </w:rPr>
          <w:t>10.1021/acs.jchemed.5b00464</w:t>
        </w:r>
      </w:hyperlink>
    </w:p>
    <w:p w14:paraId="1C78F55D" w14:textId="440F803B" w:rsidR="00582C95" w:rsidRPr="00B4233D" w:rsidRDefault="001E5108" w:rsidP="00582C95">
      <w:pPr>
        <w:autoSpaceDE w:val="0"/>
        <w:autoSpaceDN w:val="0"/>
        <w:adjustRightInd w:val="0"/>
        <w:spacing w:line="240" w:lineRule="auto"/>
        <w:ind w:left="720" w:hanging="720"/>
        <w:rPr>
          <w:rFonts w:ascii="Bookman Old Style" w:hAnsi="Bookman Old Style" w:cs="Arial"/>
          <w:sz w:val="20"/>
          <w:szCs w:val="20"/>
        </w:rPr>
      </w:pPr>
      <w:r w:rsidRPr="00B4233D">
        <w:rPr>
          <w:rFonts w:ascii="Bookman Old Style" w:hAnsi="Bookman Old Style" w:cs="Arial"/>
          <w:sz w:val="20"/>
          <w:szCs w:val="20"/>
        </w:rPr>
        <w:t>2</w:t>
      </w:r>
      <w:r w:rsidR="006D396C">
        <w:rPr>
          <w:rFonts w:ascii="Bookman Old Style" w:hAnsi="Bookman Old Style" w:cs="Arial"/>
          <w:sz w:val="20"/>
          <w:szCs w:val="20"/>
        </w:rPr>
        <w:t>9</w:t>
      </w:r>
      <w:r w:rsidR="00582C95" w:rsidRPr="00B4233D">
        <w:rPr>
          <w:rFonts w:ascii="Bookman Old Style" w:hAnsi="Bookman Old Style" w:cs="Arial"/>
          <w:sz w:val="20"/>
          <w:szCs w:val="20"/>
        </w:rPr>
        <w:t>.</w:t>
      </w:r>
      <w:r w:rsidR="00582C95" w:rsidRPr="00B4233D">
        <w:rPr>
          <w:rFonts w:ascii="Bookman Old Style" w:hAnsi="Bookman Old Style" w:cs="Arial"/>
          <w:sz w:val="20"/>
          <w:szCs w:val="20"/>
        </w:rPr>
        <w:tab/>
        <w:t xml:space="preserve">Hensiek S., DeKorver B. K., Harwood C. J., Fish J., O’Shea K. and Towns M., Improving and Assessing Student Hands-On Laboratory Skills through Digital Badging, </w:t>
      </w:r>
      <w:r w:rsidR="00582C95" w:rsidRPr="00B4233D">
        <w:rPr>
          <w:rFonts w:ascii="Bookman Old Style" w:hAnsi="Bookman Old Style" w:cs="Arial"/>
          <w:i/>
          <w:sz w:val="20"/>
          <w:szCs w:val="20"/>
        </w:rPr>
        <w:t>J. Chem. Educ</w:t>
      </w:r>
      <w:r w:rsidR="00582C95" w:rsidRPr="00B4233D">
        <w:rPr>
          <w:rFonts w:ascii="Bookman Old Style" w:hAnsi="Bookman Old Style" w:cs="Arial"/>
          <w:sz w:val="20"/>
          <w:szCs w:val="20"/>
        </w:rPr>
        <w:t xml:space="preserve">., </w:t>
      </w:r>
      <w:r w:rsidR="00582C95" w:rsidRPr="00B4233D">
        <w:rPr>
          <w:rFonts w:ascii="Bookman Old Style" w:hAnsi="Bookman Old Style" w:cs="Arial"/>
          <w:b/>
          <w:sz w:val="20"/>
          <w:szCs w:val="20"/>
        </w:rPr>
        <w:t>2016</w:t>
      </w:r>
      <w:r w:rsidR="00582C95" w:rsidRPr="00B4233D">
        <w:rPr>
          <w:rFonts w:ascii="Bookman Old Style" w:hAnsi="Bookman Old Style" w:cs="Arial"/>
          <w:sz w:val="20"/>
          <w:szCs w:val="20"/>
        </w:rPr>
        <w:t xml:space="preserve">, 93(11), 1847–1854. DOI: </w:t>
      </w:r>
      <w:hyperlink r:id="rId31" w:tooltip="DOI URL" w:history="1">
        <w:r w:rsidR="00582C95" w:rsidRPr="006D396C">
          <w:rPr>
            <w:rStyle w:val="Hyperlink"/>
            <w:rFonts w:ascii="Bookman Old Style" w:hAnsi="Bookman Old Style" w:cs="Arial"/>
            <w:color w:val="auto"/>
            <w:sz w:val="20"/>
            <w:szCs w:val="20"/>
            <w:shd w:val="clear" w:color="auto" w:fill="FFFFFF"/>
          </w:rPr>
          <w:t>10.1021/acs.jchemed.6b00234</w:t>
        </w:r>
      </w:hyperlink>
    </w:p>
    <w:p w14:paraId="6769BE7C" w14:textId="027D81A5" w:rsidR="00582C95" w:rsidRPr="00B4233D" w:rsidRDefault="006D396C" w:rsidP="00582C95">
      <w:pPr>
        <w:autoSpaceDE w:val="0"/>
        <w:autoSpaceDN w:val="0"/>
        <w:adjustRightInd w:val="0"/>
        <w:spacing w:line="240" w:lineRule="auto"/>
        <w:ind w:left="720" w:hanging="720"/>
        <w:rPr>
          <w:rFonts w:ascii="Bookman Old Style" w:eastAsia="Times New Roman" w:hAnsi="Bookman Old Style" w:cs="Arial"/>
          <w:b/>
          <w:bCs/>
          <w:i/>
          <w:iCs/>
          <w:spacing w:val="-5"/>
          <w:sz w:val="20"/>
          <w:szCs w:val="20"/>
          <w:shd w:val="clear" w:color="auto" w:fill="FFFFFF"/>
          <w:lang w:eastAsia="en-GB"/>
        </w:rPr>
      </w:pPr>
      <w:r>
        <w:rPr>
          <w:rFonts w:ascii="Bookman Old Style" w:hAnsi="Bookman Old Style" w:cs="Arial"/>
          <w:sz w:val="20"/>
          <w:szCs w:val="20"/>
        </w:rPr>
        <w:t>30</w:t>
      </w:r>
      <w:r w:rsidR="00582C95" w:rsidRPr="00B4233D">
        <w:rPr>
          <w:rFonts w:ascii="Bookman Old Style" w:hAnsi="Bookman Old Style" w:cs="Arial"/>
          <w:sz w:val="20"/>
          <w:szCs w:val="20"/>
        </w:rPr>
        <w:t>.</w:t>
      </w:r>
      <w:r w:rsidR="00582C95" w:rsidRPr="00B4233D">
        <w:rPr>
          <w:rFonts w:ascii="Bookman Old Style" w:hAnsi="Bookman Old Style" w:cs="Arial"/>
          <w:sz w:val="20"/>
          <w:szCs w:val="20"/>
        </w:rPr>
        <w:tab/>
        <w:t xml:space="preserve">Seery, M. K., Agustian, H. Y., Doidge, E. D., Kucharski, M. M., O’Conner, H. M. and Price A. </w:t>
      </w:r>
      <w:r w:rsidR="00582C95" w:rsidRPr="00B4233D">
        <w:rPr>
          <w:rFonts w:ascii="Bookman Old Style" w:hAnsi="Bookman Old Style" w:cs="Arial"/>
          <w:spacing w:val="-5"/>
          <w:sz w:val="20"/>
          <w:szCs w:val="20"/>
        </w:rPr>
        <w:t xml:space="preserve">Developing laboratory skills by incorporating peer-review and digital badges </w:t>
      </w:r>
      <w:r w:rsidR="00582C95" w:rsidRPr="00B4233D">
        <w:rPr>
          <w:rFonts w:ascii="Bookman Old Style" w:eastAsia="Times New Roman" w:hAnsi="Bookman Old Style" w:cs="Arial"/>
          <w:bCs/>
          <w:i/>
          <w:iCs/>
          <w:spacing w:val="-5"/>
          <w:sz w:val="20"/>
          <w:szCs w:val="20"/>
          <w:shd w:val="clear" w:color="auto" w:fill="FFFFFF"/>
          <w:lang w:eastAsia="en-GB"/>
        </w:rPr>
        <w:t>Chem. Educ. Res. Pract.</w:t>
      </w:r>
      <w:r w:rsidR="00582C95" w:rsidRPr="00B4233D">
        <w:rPr>
          <w:rFonts w:ascii="Bookman Old Style" w:eastAsia="Times New Roman" w:hAnsi="Bookman Old Style" w:cs="Arial"/>
          <w:spacing w:val="-5"/>
          <w:sz w:val="20"/>
          <w:szCs w:val="20"/>
          <w:shd w:val="clear" w:color="auto" w:fill="FFFFFF"/>
          <w:lang w:eastAsia="en-GB"/>
        </w:rPr>
        <w:t xml:space="preserve">, </w:t>
      </w:r>
      <w:r w:rsidR="00582C95" w:rsidRPr="00B4233D">
        <w:rPr>
          <w:rFonts w:ascii="Bookman Old Style" w:eastAsia="Times New Roman" w:hAnsi="Bookman Old Style" w:cs="Arial"/>
          <w:b/>
          <w:spacing w:val="-5"/>
          <w:sz w:val="20"/>
          <w:szCs w:val="20"/>
          <w:shd w:val="clear" w:color="auto" w:fill="FFFFFF"/>
          <w:lang w:eastAsia="en-GB"/>
        </w:rPr>
        <w:t>2017</w:t>
      </w:r>
      <w:r w:rsidR="00582C95" w:rsidRPr="00B4233D">
        <w:rPr>
          <w:rFonts w:ascii="Bookman Old Style" w:eastAsia="Times New Roman" w:hAnsi="Bookman Old Style" w:cs="Arial"/>
          <w:spacing w:val="-5"/>
          <w:sz w:val="20"/>
          <w:szCs w:val="20"/>
          <w:shd w:val="clear" w:color="auto" w:fill="FFFFFF"/>
          <w:lang w:eastAsia="en-GB"/>
        </w:rPr>
        <w:t>,</w:t>
      </w:r>
      <w:r w:rsidR="00582C95" w:rsidRPr="00B4233D">
        <w:rPr>
          <w:rFonts w:ascii="Bookman Old Style" w:eastAsia="Times New Roman" w:hAnsi="Bookman Old Style" w:cs="Arial"/>
          <w:bCs/>
          <w:i/>
          <w:spacing w:val="-5"/>
          <w:sz w:val="20"/>
          <w:szCs w:val="20"/>
          <w:shd w:val="clear" w:color="auto" w:fill="FFFFFF"/>
          <w:lang w:eastAsia="en-GB"/>
        </w:rPr>
        <w:t>18</w:t>
      </w:r>
      <w:r w:rsidR="00582C95" w:rsidRPr="00B4233D">
        <w:rPr>
          <w:rFonts w:ascii="Bookman Old Style" w:eastAsia="Times New Roman" w:hAnsi="Bookman Old Style" w:cs="Arial"/>
          <w:spacing w:val="-5"/>
          <w:sz w:val="20"/>
          <w:szCs w:val="20"/>
          <w:shd w:val="clear" w:color="auto" w:fill="FFFFFF"/>
          <w:lang w:eastAsia="en-GB"/>
        </w:rPr>
        <w:t xml:space="preserve">, 403-419. DOI: </w:t>
      </w:r>
      <w:hyperlink r:id="rId32" w:history="1">
        <w:r w:rsidR="00582C95" w:rsidRPr="006D396C">
          <w:rPr>
            <w:rStyle w:val="Hyperlink"/>
            <w:rFonts w:ascii="Bookman Old Style" w:hAnsi="Bookman Old Style" w:cs="Arial"/>
            <w:color w:val="auto"/>
            <w:spacing w:val="-5"/>
            <w:sz w:val="20"/>
            <w:szCs w:val="20"/>
            <w:shd w:val="clear" w:color="auto" w:fill="FFFFFF"/>
          </w:rPr>
          <w:t>10.1039/C7RP00003K</w:t>
        </w:r>
      </w:hyperlink>
    </w:p>
    <w:p w14:paraId="5EBD82BF" w14:textId="774357F9" w:rsidR="00582C95" w:rsidRPr="00B4233D" w:rsidRDefault="001E5108" w:rsidP="00582C95">
      <w:pPr>
        <w:autoSpaceDE w:val="0"/>
        <w:autoSpaceDN w:val="0"/>
        <w:adjustRightInd w:val="0"/>
        <w:spacing w:line="240" w:lineRule="auto"/>
        <w:ind w:left="720" w:hanging="720"/>
        <w:rPr>
          <w:rFonts w:ascii="Bookman Old Style" w:hAnsi="Bookman Old Style" w:cs="Arial"/>
          <w:sz w:val="20"/>
          <w:szCs w:val="20"/>
        </w:rPr>
      </w:pPr>
      <w:r w:rsidRPr="00B4233D">
        <w:rPr>
          <w:rFonts w:ascii="Bookman Old Style" w:eastAsia="Times New Roman" w:hAnsi="Bookman Old Style" w:cs="Arial"/>
          <w:bCs/>
          <w:iCs/>
          <w:spacing w:val="-5"/>
          <w:sz w:val="20"/>
          <w:szCs w:val="20"/>
          <w:shd w:val="clear" w:color="auto" w:fill="FFFFFF"/>
          <w:lang w:eastAsia="en-GB"/>
        </w:rPr>
        <w:t>3</w:t>
      </w:r>
      <w:r w:rsidR="006D396C">
        <w:rPr>
          <w:rFonts w:ascii="Bookman Old Style" w:eastAsia="Times New Roman" w:hAnsi="Bookman Old Style" w:cs="Arial"/>
          <w:bCs/>
          <w:iCs/>
          <w:spacing w:val="-5"/>
          <w:sz w:val="20"/>
          <w:szCs w:val="20"/>
          <w:shd w:val="clear" w:color="auto" w:fill="FFFFFF"/>
          <w:lang w:eastAsia="en-GB"/>
        </w:rPr>
        <w:t>1</w:t>
      </w:r>
      <w:r w:rsidR="00582C95" w:rsidRPr="00B4233D">
        <w:rPr>
          <w:rFonts w:ascii="Bookman Old Style" w:eastAsia="Times New Roman" w:hAnsi="Bookman Old Style" w:cs="Arial"/>
          <w:bCs/>
          <w:iCs/>
          <w:spacing w:val="-5"/>
          <w:sz w:val="20"/>
          <w:szCs w:val="20"/>
          <w:shd w:val="clear" w:color="auto" w:fill="FFFFFF"/>
          <w:lang w:eastAsia="en-GB"/>
        </w:rPr>
        <w:t>.</w:t>
      </w:r>
      <w:r w:rsidR="00582C95" w:rsidRPr="00B4233D">
        <w:rPr>
          <w:rFonts w:ascii="Bookman Old Style" w:eastAsia="Times New Roman" w:hAnsi="Bookman Old Style" w:cs="Arial"/>
          <w:b/>
          <w:bCs/>
          <w:i/>
          <w:iCs/>
          <w:spacing w:val="-5"/>
          <w:sz w:val="20"/>
          <w:szCs w:val="20"/>
          <w:shd w:val="clear" w:color="auto" w:fill="FFFFFF"/>
          <w:lang w:eastAsia="en-GB"/>
        </w:rPr>
        <w:tab/>
      </w:r>
      <w:r w:rsidR="00582C95" w:rsidRPr="00B4233D">
        <w:rPr>
          <w:rFonts w:ascii="Bookman Old Style" w:hAnsi="Bookman Old Style" w:cs="Arial"/>
          <w:sz w:val="20"/>
          <w:szCs w:val="20"/>
        </w:rPr>
        <w:t>Rhodes, M. M.,</w:t>
      </w:r>
      <w:r w:rsidR="00582C95" w:rsidRPr="00B4233D">
        <w:rPr>
          <w:rFonts w:ascii="Bookman Old Style" w:hAnsi="Bookman Old Style" w:cs="Arial"/>
          <w:i/>
          <w:sz w:val="20"/>
          <w:szCs w:val="20"/>
        </w:rPr>
        <w:t xml:space="preserve"> </w:t>
      </w:r>
      <w:hyperlink r:id="rId33" w:history="1">
        <w:r w:rsidR="00582C95" w:rsidRPr="00B4233D">
          <w:rPr>
            <w:rStyle w:val="Hyperlink"/>
            <w:rFonts w:ascii="Bookman Old Style" w:hAnsi="Bookman Old Style" w:cs="Arial"/>
            <w:color w:val="auto"/>
            <w:sz w:val="20"/>
            <w:szCs w:val="20"/>
            <w:u w:val="none"/>
          </w:rPr>
          <w:t>A Laboratory Practical Exam for High School Chemistry</w:t>
        </w:r>
      </w:hyperlink>
      <w:r w:rsidR="00582C95" w:rsidRPr="00B4233D">
        <w:rPr>
          <w:rFonts w:ascii="Bookman Old Style" w:hAnsi="Bookman Old Style" w:cs="Arial"/>
          <w:i/>
          <w:sz w:val="20"/>
          <w:szCs w:val="20"/>
        </w:rPr>
        <w:t xml:space="preserve"> </w:t>
      </w:r>
      <w:r w:rsidR="00582C95" w:rsidRPr="00B4233D">
        <w:rPr>
          <w:rStyle w:val="nlmsource"/>
          <w:rFonts w:ascii="Bookman Old Style" w:hAnsi="Bookman Old Style" w:cs="Arial"/>
          <w:i/>
          <w:iCs/>
          <w:sz w:val="20"/>
          <w:szCs w:val="20"/>
        </w:rPr>
        <w:t xml:space="preserve">J. Chem. Ed. </w:t>
      </w:r>
      <w:r w:rsidR="00582C95" w:rsidRPr="00B4233D">
        <w:rPr>
          <w:rFonts w:ascii="Bookman Old Style" w:hAnsi="Bookman Old Style" w:cs="Arial"/>
          <w:sz w:val="20"/>
          <w:szCs w:val="20"/>
        </w:rPr>
        <w:t> </w:t>
      </w:r>
      <w:r w:rsidR="00582C95" w:rsidRPr="00B4233D">
        <w:rPr>
          <w:rStyle w:val="Strong"/>
          <w:rFonts w:ascii="Bookman Old Style" w:hAnsi="Bookman Old Style" w:cs="Arial"/>
          <w:sz w:val="20"/>
          <w:szCs w:val="20"/>
        </w:rPr>
        <w:t>2010</w:t>
      </w:r>
      <w:r w:rsidR="00D811B0" w:rsidRPr="00B4233D">
        <w:rPr>
          <w:rStyle w:val="Strong"/>
          <w:rFonts w:ascii="Bookman Old Style" w:hAnsi="Bookman Old Style" w:cs="Arial"/>
          <w:sz w:val="20"/>
          <w:szCs w:val="20"/>
        </w:rPr>
        <w:t>,</w:t>
      </w:r>
      <w:r w:rsidR="00582C95" w:rsidRPr="00B4233D">
        <w:rPr>
          <w:rFonts w:ascii="Bookman Old Style" w:hAnsi="Bookman Old Style" w:cs="Arial"/>
          <w:sz w:val="20"/>
          <w:szCs w:val="20"/>
        </w:rPr>
        <w:t> </w:t>
      </w:r>
      <w:r w:rsidR="00582C95" w:rsidRPr="00B4233D">
        <w:rPr>
          <w:rStyle w:val="Emphasis"/>
          <w:rFonts w:ascii="Bookman Old Style" w:hAnsi="Bookman Old Style" w:cs="Arial"/>
          <w:sz w:val="20"/>
          <w:szCs w:val="20"/>
        </w:rPr>
        <w:t>87</w:t>
      </w:r>
      <w:r w:rsidR="00582C95" w:rsidRPr="00B4233D">
        <w:rPr>
          <w:rFonts w:ascii="Bookman Old Style" w:hAnsi="Bookman Old Style" w:cs="Arial"/>
          <w:sz w:val="20"/>
          <w:szCs w:val="20"/>
        </w:rPr>
        <w:t xml:space="preserve"> (6), 613-615. DOI: </w:t>
      </w:r>
      <w:hyperlink r:id="rId34" w:tooltip="DOI URL" w:history="1">
        <w:r w:rsidR="00582C95" w:rsidRPr="006D396C">
          <w:rPr>
            <w:rStyle w:val="Hyperlink"/>
            <w:rFonts w:ascii="Bookman Old Style" w:hAnsi="Bookman Old Style" w:cs="Arial"/>
            <w:color w:val="auto"/>
            <w:sz w:val="20"/>
            <w:szCs w:val="20"/>
            <w:shd w:val="clear" w:color="auto" w:fill="FFFFFF"/>
          </w:rPr>
          <w:t>10.1021/ed100200k</w:t>
        </w:r>
      </w:hyperlink>
    </w:p>
    <w:p w14:paraId="274DC237" w14:textId="0FA2ACFE" w:rsidR="00582C95" w:rsidRPr="00B4233D" w:rsidRDefault="001E5108" w:rsidP="00582C95">
      <w:pPr>
        <w:shd w:val="clear" w:color="auto" w:fill="FFFFFF"/>
        <w:spacing w:line="240" w:lineRule="auto"/>
        <w:ind w:left="720" w:hanging="720"/>
        <w:rPr>
          <w:rFonts w:ascii="Bookman Old Style" w:hAnsi="Bookman Old Style" w:cs="Arial"/>
          <w:i/>
          <w:sz w:val="20"/>
          <w:szCs w:val="20"/>
        </w:rPr>
      </w:pPr>
      <w:r w:rsidRPr="00B4233D">
        <w:rPr>
          <w:rFonts w:ascii="Bookman Old Style" w:hAnsi="Bookman Old Style" w:cs="Arial"/>
          <w:sz w:val="20"/>
          <w:szCs w:val="20"/>
        </w:rPr>
        <w:t>3</w:t>
      </w:r>
      <w:r w:rsidR="006D396C">
        <w:rPr>
          <w:rFonts w:ascii="Bookman Old Style" w:hAnsi="Bookman Old Style" w:cs="Arial"/>
          <w:sz w:val="20"/>
          <w:szCs w:val="20"/>
        </w:rPr>
        <w:t>2</w:t>
      </w:r>
      <w:r w:rsidR="00582C95" w:rsidRPr="00B4233D">
        <w:rPr>
          <w:rFonts w:ascii="Bookman Old Style" w:hAnsi="Bookman Old Style" w:cs="Arial"/>
          <w:sz w:val="20"/>
          <w:szCs w:val="20"/>
        </w:rPr>
        <w:t>.</w:t>
      </w:r>
      <w:r w:rsidR="00582C95" w:rsidRPr="00B4233D">
        <w:rPr>
          <w:rFonts w:ascii="Bookman Old Style" w:hAnsi="Bookman Old Style" w:cs="Arial"/>
          <w:i/>
          <w:sz w:val="20"/>
          <w:szCs w:val="20"/>
        </w:rPr>
        <w:tab/>
      </w:r>
      <w:r w:rsidR="00582C95" w:rsidRPr="00B4233D">
        <w:rPr>
          <w:rFonts w:ascii="Bookman Old Style" w:hAnsi="Bookman Old Style" w:cs="Arial"/>
          <w:sz w:val="20"/>
          <w:szCs w:val="20"/>
        </w:rPr>
        <w:t xml:space="preserve">Neeland, E. G. A One-Hour Practical Lab Exam for Organic Chemistry. </w:t>
      </w:r>
      <w:r w:rsidR="00582C95" w:rsidRPr="00B4233D">
        <w:rPr>
          <w:rFonts w:ascii="Bookman Old Style" w:hAnsi="Bookman Old Style" w:cs="Arial"/>
          <w:i/>
          <w:sz w:val="20"/>
          <w:szCs w:val="20"/>
        </w:rPr>
        <w:t>J. Chem. Educ.</w:t>
      </w:r>
      <w:r w:rsidR="00582C95" w:rsidRPr="00B4233D">
        <w:rPr>
          <w:rFonts w:ascii="Bookman Old Style" w:hAnsi="Bookman Old Style" w:cs="Arial"/>
          <w:sz w:val="20"/>
          <w:szCs w:val="20"/>
        </w:rPr>
        <w:t xml:space="preserve"> </w:t>
      </w:r>
      <w:r w:rsidR="00582C95" w:rsidRPr="00B4233D">
        <w:rPr>
          <w:rFonts w:ascii="Bookman Old Style" w:hAnsi="Bookman Old Style" w:cs="Arial"/>
          <w:b/>
          <w:sz w:val="20"/>
          <w:szCs w:val="20"/>
        </w:rPr>
        <w:t>2007</w:t>
      </w:r>
      <w:r w:rsidR="00582C95" w:rsidRPr="00B4233D">
        <w:rPr>
          <w:rFonts w:ascii="Bookman Old Style" w:hAnsi="Bookman Old Style" w:cs="Arial"/>
          <w:sz w:val="20"/>
          <w:szCs w:val="20"/>
        </w:rPr>
        <w:t xml:space="preserve">, </w:t>
      </w:r>
      <w:r w:rsidR="00582C95" w:rsidRPr="00B4233D">
        <w:rPr>
          <w:rFonts w:ascii="Bookman Old Style" w:hAnsi="Bookman Old Style" w:cs="Arial"/>
          <w:i/>
          <w:sz w:val="20"/>
          <w:szCs w:val="20"/>
        </w:rPr>
        <w:t xml:space="preserve">84 </w:t>
      </w:r>
      <w:r w:rsidR="00582C95" w:rsidRPr="00B4233D">
        <w:rPr>
          <w:rFonts w:ascii="Bookman Old Style" w:hAnsi="Bookman Old Style" w:cs="Arial"/>
          <w:sz w:val="20"/>
          <w:szCs w:val="20"/>
        </w:rPr>
        <w:t xml:space="preserve">(9), 1453−1455. DOI: </w:t>
      </w:r>
      <w:hyperlink r:id="rId35" w:tooltip="DOI URL" w:history="1">
        <w:r w:rsidR="00582C95" w:rsidRPr="006D396C">
          <w:rPr>
            <w:rStyle w:val="Hyperlink"/>
            <w:rFonts w:ascii="Bookman Old Style" w:hAnsi="Bookman Old Style" w:cs="Arial"/>
            <w:color w:val="auto"/>
            <w:sz w:val="20"/>
            <w:szCs w:val="20"/>
            <w:shd w:val="clear" w:color="auto" w:fill="FFFFFF"/>
          </w:rPr>
          <w:t>10.1021/ed084p1453</w:t>
        </w:r>
      </w:hyperlink>
    </w:p>
    <w:p w14:paraId="6D206FE0" w14:textId="0BAAD1D3" w:rsidR="00582C95" w:rsidRPr="00B4233D" w:rsidRDefault="001E5108" w:rsidP="00582C95">
      <w:pPr>
        <w:shd w:val="clear" w:color="auto" w:fill="FFFFFF"/>
        <w:spacing w:line="240" w:lineRule="auto"/>
        <w:ind w:left="720" w:hanging="720"/>
        <w:rPr>
          <w:rFonts w:ascii="Bookman Old Style" w:hAnsi="Bookman Old Style" w:cs="Arial"/>
          <w:i/>
          <w:sz w:val="20"/>
          <w:szCs w:val="20"/>
        </w:rPr>
      </w:pPr>
      <w:r w:rsidRPr="00B4233D">
        <w:rPr>
          <w:rFonts w:ascii="Bookman Old Style" w:hAnsi="Bookman Old Style" w:cs="Arial"/>
          <w:sz w:val="20"/>
          <w:szCs w:val="20"/>
        </w:rPr>
        <w:t>3</w:t>
      </w:r>
      <w:r w:rsidR="006D396C">
        <w:rPr>
          <w:rFonts w:ascii="Bookman Old Style" w:hAnsi="Bookman Old Style" w:cs="Arial"/>
          <w:sz w:val="20"/>
          <w:szCs w:val="20"/>
        </w:rPr>
        <w:t>3</w:t>
      </w:r>
      <w:r w:rsidR="00582C95" w:rsidRPr="00B4233D">
        <w:rPr>
          <w:rFonts w:ascii="Bookman Old Style" w:hAnsi="Bookman Old Style" w:cs="Arial"/>
          <w:sz w:val="20"/>
          <w:szCs w:val="20"/>
        </w:rPr>
        <w:t>.</w:t>
      </w:r>
      <w:r w:rsidR="00582C95" w:rsidRPr="00B4233D">
        <w:rPr>
          <w:rFonts w:ascii="Bookman Old Style" w:hAnsi="Bookman Old Style" w:cs="Arial"/>
          <w:i/>
          <w:sz w:val="20"/>
          <w:szCs w:val="20"/>
        </w:rPr>
        <w:tab/>
        <w:t xml:space="preserve"> </w:t>
      </w:r>
      <w:hyperlink r:id="rId36" w:history="1">
        <w:r w:rsidR="00582C95" w:rsidRPr="00B4233D">
          <w:rPr>
            <w:rStyle w:val="Hyperlink"/>
            <w:rFonts w:ascii="Bookman Old Style" w:hAnsi="Bookman Old Style" w:cs="Arial"/>
            <w:color w:val="auto"/>
            <w:sz w:val="20"/>
            <w:szCs w:val="20"/>
          </w:rPr>
          <w:t>http://www.rsc.org/learn-chemistry/resource/res00001064/the-interactive-lab-primer?cmpid=CMP00007674</w:t>
        </w:r>
      </w:hyperlink>
      <w:r w:rsidR="00582C95" w:rsidRPr="00B4233D">
        <w:rPr>
          <w:rFonts w:ascii="Bookman Old Style" w:hAnsi="Bookman Old Style" w:cs="Arial"/>
          <w:i/>
          <w:sz w:val="20"/>
          <w:szCs w:val="20"/>
        </w:rPr>
        <w:t xml:space="preserve"> (accessed Apr 2019)</w:t>
      </w:r>
    </w:p>
    <w:p w14:paraId="1070D18C" w14:textId="69E894DF" w:rsidR="00582C95" w:rsidRPr="00B4233D" w:rsidRDefault="001E5108" w:rsidP="00582C95">
      <w:pPr>
        <w:shd w:val="clear" w:color="auto" w:fill="FFFFFF"/>
        <w:spacing w:line="240" w:lineRule="auto"/>
        <w:ind w:left="720" w:hanging="720"/>
        <w:rPr>
          <w:rFonts w:ascii="Bookman Old Style" w:hAnsi="Bookman Old Style" w:cs="Arial"/>
          <w:i/>
          <w:sz w:val="20"/>
          <w:szCs w:val="20"/>
        </w:rPr>
      </w:pPr>
      <w:r w:rsidRPr="00B4233D">
        <w:rPr>
          <w:rFonts w:ascii="Bookman Old Style" w:hAnsi="Bookman Old Style" w:cs="Arial"/>
          <w:sz w:val="20"/>
          <w:szCs w:val="20"/>
        </w:rPr>
        <w:t>3</w:t>
      </w:r>
      <w:r w:rsidR="006D396C">
        <w:rPr>
          <w:rFonts w:ascii="Bookman Old Style" w:hAnsi="Bookman Old Style" w:cs="Arial"/>
          <w:sz w:val="20"/>
          <w:szCs w:val="20"/>
        </w:rPr>
        <w:t>4</w:t>
      </w:r>
      <w:r w:rsidR="00582C95" w:rsidRPr="00B4233D">
        <w:rPr>
          <w:rFonts w:ascii="Bookman Old Style" w:hAnsi="Bookman Old Style" w:cs="Arial"/>
          <w:sz w:val="20"/>
          <w:szCs w:val="20"/>
        </w:rPr>
        <w:t>.</w:t>
      </w:r>
      <w:r w:rsidR="00582C95" w:rsidRPr="00B4233D">
        <w:rPr>
          <w:rFonts w:ascii="Bookman Old Style" w:hAnsi="Bookman Old Style" w:cs="Arial"/>
          <w:sz w:val="20"/>
          <w:szCs w:val="20"/>
        </w:rPr>
        <w:tab/>
      </w:r>
      <w:hyperlink r:id="rId37" w:history="1">
        <w:r w:rsidR="00582C95" w:rsidRPr="00B4233D">
          <w:rPr>
            <w:rStyle w:val="Hyperlink"/>
            <w:rFonts w:ascii="Bookman Old Style" w:hAnsi="Bookman Old Style"/>
            <w:color w:val="auto"/>
            <w:sz w:val="20"/>
            <w:szCs w:val="20"/>
            <w:u w:val="none"/>
            <w:shd w:val="clear" w:color="auto" w:fill="FFFFFF"/>
          </w:rPr>
          <w:t>Richardson, John T. E.</w:t>
        </w:r>
      </w:hyperlink>
      <w:r w:rsidR="00D811B0" w:rsidRPr="00B4233D">
        <w:rPr>
          <w:rFonts w:ascii="Bookman Old Style" w:hAnsi="Bookman Old Style"/>
          <w:sz w:val="20"/>
          <w:szCs w:val="20"/>
        </w:rPr>
        <w:t xml:space="preserve"> </w:t>
      </w:r>
      <w:r w:rsidR="00582C95" w:rsidRPr="00B4233D">
        <w:rPr>
          <w:rFonts w:ascii="Bookman Old Style" w:hAnsi="Bookman Old Style"/>
          <w:sz w:val="20"/>
          <w:szCs w:val="20"/>
        </w:rPr>
        <w:t xml:space="preserve">Coursework versus examinations in end-of-module assessment: a literature review. </w:t>
      </w:r>
      <w:r w:rsidR="00582C95" w:rsidRPr="00B4233D">
        <w:rPr>
          <w:rFonts w:ascii="Bookman Old Style" w:hAnsi="Bookman Old Style"/>
          <w:i/>
          <w:iCs/>
          <w:sz w:val="20"/>
          <w:szCs w:val="20"/>
          <w:shd w:val="clear" w:color="auto" w:fill="FFFFFF"/>
        </w:rPr>
        <w:t>Assess. Eval. High. Educ.</w:t>
      </w:r>
      <w:r w:rsidR="00582C95" w:rsidRPr="00B4233D">
        <w:rPr>
          <w:rFonts w:ascii="Bookman Old Style" w:hAnsi="Bookman Old Style"/>
          <w:sz w:val="20"/>
          <w:szCs w:val="20"/>
          <w:shd w:val="clear" w:color="auto" w:fill="FFFFFF"/>
        </w:rPr>
        <w:t>,</w:t>
      </w:r>
      <w:r w:rsidR="00D811B0" w:rsidRPr="00B4233D">
        <w:rPr>
          <w:rFonts w:ascii="Bookman Old Style" w:hAnsi="Bookman Old Style"/>
          <w:sz w:val="20"/>
          <w:szCs w:val="20"/>
          <w:shd w:val="clear" w:color="auto" w:fill="FFFFFF"/>
        </w:rPr>
        <w:t xml:space="preserve"> </w:t>
      </w:r>
      <w:r w:rsidR="00D811B0" w:rsidRPr="00B4233D">
        <w:rPr>
          <w:rFonts w:ascii="Bookman Old Style" w:hAnsi="Bookman Old Style"/>
          <w:b/>
          <w:sz w:val="20"/>
          <w:szCs w:val="20"/>
          <w:shd w:val="clear" w:color="auto" w:fill="FFFFFF"/>
        </w:rPr>
        <w:t>2015</w:t>
      </w:r>
      <w:r w:rsidR="00D811B0" w:rsidRPr="00B4233D">
        <w:rPr>
          <w:rFonts w:ascii="Bookman Old Style" w:hAnsi="Bookman Old Style"/>
          <w:sz w:val="20"/>
          <w:szCs w:val="20"/>
          <w:shd w:val="clear" w:color="auto" w:fill="FFFFFF"/>
        </w:rPr>
        <w:t>,</w:t>
      </w:r>
      <w:r w:rsidR="00582C95" w:rsidRPr="00B4233D">
        <w:rPr>
          <w:rFonts w:ascii="Bookman Old Style" w:hAnsi="Bookman Old Style"/>
          <w:sz w:val="20"/>
          <w:szCs w:val="20"/>
          <w:shd w:val="clear" w:color="auto" w:fill="FFFFFF"/>
        </w:rPr>
        <w:t xml:space="preserve"> 40(3) 439–455. DOI: </w:t>
      </w:r>
      <w:hyperlink r:id="rId38" w:history="1">
        <w:r w:rsidR="00582C95" w:rsidRPr="006D396C">
          <w:rPr>
            <w:rStyle w:val="Hyperlink"/>
            <w:rFonts w:ascii="Bookman Old Style" w:hAnsi="Bookman Old Style" w:cs="Arial"/>
            <w:color w:val="auto"/>
            <w:sz w:val="20"/>
            <w:szCs w:val="20"/>
          </w:rPr>
          <w:t>10.1080/02602938.2014.919628</w:t>
        </w:r>
      </w:hyperlink>
    </w:p>
    <w:p w14:paraId="5323B45C" w14:textId="1CF6B6E3" w:rsidR="00582C95" w:rsidRPr="00B4233D" w:rsidRDefault="001E5108" w:rsidP="00582C95">
      <w:pPr>
        <w:shd w:val="clear" w:color="auto" w:fill="FFFFFF"/>
        <w:spacing w:line="240" w:lineRule="auto"/>
        <w:ind w:left="720" w:hanging="720"/>
        <w:rPr>
          <w:rFonts w:ascii="Bookman Old Style" w:hAnsi="Bookman Old Style" w:cs="Arial"/>
          <w:sz w:val="20"/>
          <w:szCs w:val="20"/>
        </w:rPr>
      </w:pPr>
      <w:r w:rsidRPr="00B4233D">
        <w:rPr>
          <w:rFonts w:ascii="Bookman Old Style" w:hAnsi="Bookman Old Style"/>
          <w:sz w:val="20"/>
          <w:szCs w:val="20"/>
          <w:shd w:val="clear" w:color="auto" w:fill="FFFFFF"/>
        </w:rPr>
        <w:t>3</w:t>
      </w:r>
      <w:r w:rsidR="006D396C">
        <w:rPr>
          <w:rFonts w:ascii="Bookman Old Style" w:hAnsi="Bookman Old Style"/>
          <w:sz w:val="20"/>
          <w:szCs w:val="20"/>
          <w:shd w:val="clear" w:color="auto" w:fill="FFFFFF"/>
        </w:rPr>
        <w:t>5</w:t>
      </w:r>
      <w:r w:rsidR="00582C95" w:rsidRPr="00B4233D">
        <w:rPr>
          <w:rFonts w:ascii="Bookman Old Style" w:hAnsi="Bookman Old Style"/>
          <w:sz w:val="20"/>
          <w:szCs w:val="20"/>
          <w:shd w:val="clear" w:color="auto" w:fill="FFFFFF"/>
        </w:rPr>
        <w:t>.</w:t>
      </w:r>
      <w:r w:rsidR="00582C95" w:rsidRPr="00B4233D">
        <w:rPr>
          <w:rFonts w:ascii="Bookman Old Style" w:hAnsi="Bookman Old Style"/>
          <w:sz w:val="20"/>
          <w:szCs w:val="20"/>
          <w:shd w:val="clear" w:color="auto" w:fill="FFFFFF"/>
        </w:rPr>
        <w:tab/>
        <w:t>We are aware that</w:t>
      </w:r>
      <w:r w:rsidR="009C343E">
        <w:rPr>
          <w:rFonts w:ascii="Bookman Old Style" w:hAnsi="Bookman Old Style"/>
          <w:sz w:val="20"/>
          <w:szCs w:val="20"/>
          <w:shd w:val="clear" w:color="auto" w:fill="FFFFFF"/>
        </w:rPr>
        <w:t>, in the UK,</w:t>
      </w:r>
      <w:r w:rsidR="00582C95" w:rsidRPr="00B4233D">
        <w:rPr>
          <w:rFonts w:ascii="Bookman Old Style" w:hAnsi="Bookman Old Style"/>
          <w:sz w:val="20"/>
          <w:szCs w:val="20"/>
          <w:shd w:val="clear" w:color="auto" w:fill="FFFFFF"/>
        </w:rPr>
        <w:t xml:space="preserve"> the University of York</w:t>
      </w:r>
      <w:r w:rsidR="00800C33">
        <w:rPr>
          <w:rFonts w:ascii="Bookman Old Style" w:hAnsi="Bookman Old Style"/>
          <w:sz w:val="20"/>
          <w:szCs w:val="20"/>
          <w:shd w:val="clear" w:color="auto" w:fill="FFFFFF"/>
        </w:rPr>
        <w:t xml:space="preserve"> and University of Birmingham</w:t>
      </w:r>
      <w:r w:rsidR="00582C95" w:rsidRPr="00B4233D">
        <w:rPr>
          <w:rFonts w:ascii="Bookman Old Style" w:hAnsi="Bookman Old Style"/>
          <w:sz w:val="20"/>
          <w:szCs w:val="20"/>
          <w:shd w:val="clear" w:color="auto" w:fill="FFFFFF"/>
        </w:rPr>
        <w:t xml:space="preserve"> have introduced summative assessment</w:t>
      </w:r>
      <w:r w:rsidR="00800C33">
        <w:rPr>
          <w:rFonts w:ascii="Bookman Old Style" w:hAnsi="Bookman Old Style"/>
          <w:sz w:val="20"/>
          <w:szCs w:val="20"/>
          <w:shd w:val="clear" w:color="auto" w:fill="FFFFFF"/>
        </w:rPr>
        <w:t>s</w:t>
      </w:r>
      <w:r w:rsidR="00582C95" w:rsidRPr="00B4233D">
        <w:rPr>
          <w:rFonts w:ascii="Bookman Old Style" w:hAnsi="Bookman Old Style"/>
          <w:sz w:val="20"/>
          <w:szCs w:val="20"/>
          <w:shd w:val="clear" w:color="auto" w:fill="FFFFFF"/>
        </w:rPr>
        <w:t xml:space="preserve"> of direct skills assessment in their chemistry course in 2017</w:t>
      </w:r>
      <w:r w:rsidR="00800C33">
        <w:rPr>
          <w:rFonts w:ascii="Bookman Old Style" w:hAnsi="Bookman Old Style"/>
          <w:sz w:val="20"/>
          <w:szCs w:val="20"/>
          <w:shd w:val="clear" w:color="auto" w:fill="FFFFFF"/>
        </w:rPr>
        <w:t>/</w:t>
      </w:r>
      <w:r w:rsidR="00582C95" w:rsidRPr="00B4233D">
        <w:rPr>
          <w:rFonts w:ascii="Bookman Old Style" w:hAnsi="Bookman Old Style"/>
          <w:sz w:val="20"/>
          <w:szCs w:val="20"/>
          <w:shd w:val="clear" w:color="auto" w:fill="FFFFFF"/>
        </w:rPr>
        <w:t xml:space="preserve">18 </w:t>
      </w:r>
      <w:r w:rsidR="00800C33">
        <w:rPr>
          <w:rFonts w:ascii="Bookman Old Style" w:hAnsi="Bookman Old Style"/>
          <w:sz w:val="20"/>
          <w:szCs w:val="20"/>
          <w:shd w:val="clear" w:color="auto" w:fill="FFFFFF"/>
        </w:rPr>
        <w:t xml:space="preserve">and 2019/20 </w:t>
      </w:r>
      <w:r w:rsidR="00582C95" w:rsidRPr="00B4233D">
        <w:rPr>
          <w:rFonts w:ascii="Bookman Old Style" w:hAnsi="Bookman Old Style"/>
          <w:sz w:val="20"/>
          <w:szCs w:val="20"/>
          <w:shd w:val="clear" w:color="auto" w:fill="FFFFFF"/>
        </w:rPr>
        <w:t>academic year</w:t>
      </w:r>
      <w:r w:rsidR="00800C33">
        <w:rPr>
          <w:rFonts w:ascii="Bookman Old Style" w:hAnsi="Bookman Old Style"/>
          <w:sz w:val="20"/>
          <w:szCs w:val="20"/>
          <w:shd w:val="clear" w:color="auto" w:fill="FFFFFF"/>
        </w:rPr>
        <w:t>s, respectively</w:t>
      </w:r>
      <w:r w:rsidR="00582C95" w:rsidRPr="00B4233D">
        <w:rPr>
          <w:rFonts w:ascii="Bookman Old Style" w:hAnsi="Bookman Old Style"/>
          <w:sz w:val="20"/>
          <w:szCs w:val="20"/>
          <w:shd w:val="clear" w:color="auto" w:fill="FFFFFF"/>
        </w:rPr>
        <w:t>.</w:t>
      </w:r>
    </w:p>
    <w:p w14:paraId="1BCB18B9" w14:textId="77777777" w:rsidR="00E0495A" w:rsidRPr="00B4233D" w:rsidRDefault="00E0495A" w:rsidP="00E0495A">
      <w:pPr>
        <w:pStyle w:val="JCEbodytext"/>
        <w:ind w:firstLine="0"/>
      </w:pPr>
    </w:p>
    <w:p w14:paraId="598028E1" w14:textId="77777777" w:rsidR="000B07A9" w:rsidRPr="00B4233D" w:rsidRDefault="000B07A9" w:rsidP="004E71BE">
      <w:pPr>
        <w:pStyle w:val="JCEreferencelist"/>
        <w:ind w:left="539" w:hanging="539"/>
      </w:pPr>
    </w:p>
    <w:sectPr w:rsidR="000B07A9" w:rsidRPr="00B4233D" w:rsidSect="002A70A9">
      <w:pgSz w:w="12240" w:h="15840"/>
      <w:pgMar w:top="1440" w:right="1080" w:bottom="1440" w:left="1080" w:header="720" w:footer="720" w:gutter="0"/>
      <w:lnNumType w:countBy="5" w:restart="continuous"/>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6DC39" w16cid:durableId="2188CF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0A08" w14:textId="77777777" w:rsidR="006D396C" w:rsidRDefault="006D396C">
      <w:r>
        <w:separator/>
      </w:r>
    </w:p>
  </w:endnote>
  <w:endnote w:type="continuationSeparator" w:id="0">
    <w:p w14:paraId="28D3E743" w14:textId="77777777" w:rsidR="006D396C" w:rsidRDefault="006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A0002AEF" w:usb1="4000207B" w:usb2="00000000"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FEC20" w14:textId="2194B276" w:rsidR="006D396C" w:rsidRPr="0077566E" w:rsidRDefault="006D396C" w:rsidP="009C78EE">
    <w:pPr>
      <w:pStyle w:val="JCEDocfooter"/>
      <w:tabs>
        <w:tab w:val="clear" w:pos="4320"/>
        <w:tab w:val="clear" w:pos="8640"/>
        <w:tab w:val="center" w:pos="5040"/>
        <w:tab w:val="right" w:pos="10080"/>
      </w:tabs>
    </w:pPr>
    <w:r w:rsidRPr="009C78EE">
      <w:rPr>
        <w:i/>
      </w:rPr>
      <w:t>Journal of Chemical Education</w:t>
    </w:r>
    <w:r w:rsidRPr="0077566E">
      <w:tab/>
    </w:r>
    <w:r>
      <w:fldChar w:fldCharType="begin"/>
    </w:r>
    <w:r>
      <w:instrText xml:space="preserve"> DATE \@ "M/d/yy" </w:instrText>
    </w:r>
    <w:r>
      <w:fldChar w:fldCharType="separate"/>
    </w:r>
    <w:r>
      <w:rPr>
        <w:noProof/>
      </w:rPr>
      <w:t>2/12/20</w:t>
    </w:r>
    <w:r>
      <w:rPr>
        <w:noProof/>
      </w:rPr>
      <w:fldChar w:fldCharType="end"/>
    </w:r>
    <w:r w:rsidRPr="0077566E">
      <w:tab/>
      <w:t xml:space="preserve">Page </w:t>
    </w:r>
    <w:r>
      <w:fldChar w:fldCharType="begin"/>
    </w:r>
    <w:r>
      <w:instrText xml:space="preserve"> PAGE </w:instrText>
    </w:r>
    <w:r>
      <w:fldChar w:fldCharType="separate"/>
    </w:r>
    <w:r w:rsidR="00F976BE">
      <w:rPr>
        <w:noProof/>
      </w:rPr>
      <w:t>16</w:t>
    </w:r>
    <w:r>
      <w:rPr>
        <w:noProof/>
      </w:rPr>
      <w:fldChar w:fldCharType="end"/>
    </w:r>
    <w:r w:rsidRPr="0077566E">
      <w:t xml:space="preserve"> of </w:t>
    </w:r>
    <w:r>
      <w:rPr>
        <w:noProof/>
      </w:rPr>
      <w:fldChar w:fldCharType="begin"/>
    </w:r>
    <w:r>
      <w:rPr>
        <w:noProof/>
      </w:rPr>
      <w:instrText xml:space="preserve"> NUMPAGES </w:instrText>
    </w:r>
    <w:r>
      <w:rPr>
        <w:noProof/>
      </w:rPr>
      <w:fldChar w:fldCharType="separate"/>
    </w:r>
    <w:r w:rsidR="00F976BE">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16788" w14:textId="77777777" w:rsidR="006D396C" w:rsidRDefault="006D396C">
      <w:r>
        <w:separator/>
      </w:r>
    </w:p>
  </w:footnote>
  <w:footnote w:type="continuationSeparator" w:id="0">
    <w:p w14:paraId="0A7B167E" w14:textId="77777777" w:rsidR="006D396C" w:rsidRDefault="006D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DAD8" w14:textId="77777777" w:rsidR="006D396C" w:rsidRPr="00F1017F" w:rsidRDefault="006D396C" w:rsidP="009C78EE">
    <w:pPr>
      <w:pStyle w:val="JCEDocheader"/>
      <w:tabs>
        <w:tab w:val="clear" w:pos="8640"/>
        <w:tab w:val="right" w:pos="10080"/>
      </w:tabs>
    </w:pPr>
    <w:r w:rsidRPr="00F1017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37A9"/>
    <w:multiLevelType w:val="hybridMultilevel"/>
    <w:tmpl w:val="86864D8C"/>
    <w:lvl w:ilvl="0" w:tplc="A960515C">
      <w:start w:val="1"/>
      <w:numFmt w:val="bullet"/>
      <w:pStyle w:val="JCEbulletlist"/>
      <w:lvlText w:val=""/>
      <w:lvlJc w:val="left"/>
      <w:pPr>
        <w:ind w:left="720" w:hanging="360"/>
      </w:pPr>
      <w:rPr>
        <w:rFonts w:ascii="Symbol" w:hAnsi="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2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DF4D8F"/>
    <w:multiLevelType w:val="multilevel"/>
    <w:tmpl w:val="83943446"/>
    <w:lvl w:ilvl="0">
      <w:start w:val="1"/>
      <w:numFmt w:val="bullet"/>
      <w:lvlText w:val=""/>
      <w:lvlJc w:val="left"/>
      <w:pPr>
        <w:tabs>
          <w:tab w:val="num" w:pos="1080"/>
        </w:tabs>
        <w:ind w:left="1080" w:hanging="540"/>
      </w:pPr>
      <w:rPr>
        <w:rFonts w:ascii="AGaramond" w:hAnsi="AGaramond"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45A9"/>
    <w:multiLevelType w:val="multilevel"/>
    <w:tmpl w:val="EE62CFF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D32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1A19DF"/>
    <w:multiLevelType w:val="hybridMultilevel"/>
    <w:tmpl w:val="841A7DFA"/>
    <w:lvl w:ilvl="0" w:tplc="0809000F">
      <w:start w:val="1"/>
      <w:numFmt w:val="decimal"/>
      <w:lvlText w:val="%1."/>
      <w:lvlJc w:val="left"/>
      <w:pPr>
        <w:ind w:left="720" w:hanging="360"/>
      </w:pPr>
      <w:rPr>
        <w:rFonts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C3503"/>
    <w:multiLevelType w:val="multilevel"/>
    <w:tmpl w:val="1200FE9C"/>
    <w:lvl w:ilvl="0">
      <w:start w:val="1"/>
      <w:numFmt w:val="bullet"/>
      <w:lvlText w:val="•"/>
      <w:lvlJc w:val="left"/>
      <w:pPr>
        <w:tabs>
          <w:tab w:val="num" w:pos="972"/>
        </w:tabs>
        <w:ind w:left="972" w:hanging="425"/>
      </w:pPr>
      <w:rPr>
        <w:rFonts w:ascii="Times New Roman" w:hAnsi="Times New Roman" w:hint="default"/>
        <w:b/>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9A19E6"/>
    <w:multiLevelType w:val="multilevel"/>
    <w:tmpl w:val="F3EA0A18"/>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346ECA"/>
    <w:multiLevelType w:val="hybridMultilevel"/>
    <w:tmpl w:val="0BEE1B2E"/>
    <w:lvl w:ilvl="0" w:tplc="564AD67C">
      <w:start w:val="1"/>
      <w:numFmt w:val="bullet"/>
      <w:lvlText w:val=""/>
      <w:lvlJc w:val="left"/>
      <w:pPr>
        <w:tabs>
          <w:tab w:val="num" w:pos="720"/>
        </w:tabs>
        <w:ind w:left="72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422C5"/>
    <w:multiLevelType w:val="hybridMultilevel"/>
    <w:tmpl w:val="7988D062"/>
    <w:lvl w:ilvl="0" w:tplc="29E0E654">
      <w:start w:val="1"/>
      <w:numFmt w:val="decimal"/>
      <w:lvlText w:val="%1."/>
      <w:lvlJc w:val="left"/>
      <w:pPr>
        <w:tabs>
          <w:tab w:val="num" w:pos="972"/>
        </w:tabs>
        <w:ind w:left="972" w:hanging="432"/>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91BA2"/>
    <w:multiLevelType w:val="multilevel"/>
    <w:tmpl w:val="8C5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0"/>
  </w:num>
  <w:num w:numId="5">
    <w:abstractNumId w:val="9"/>
  </w:num>
  <w:num w:numId="6">
    <w:abstractNumId w:val="0"/>
  </w:num>
  <w:num w:numId="7">
    <w:abstractNumId w:val="2"/>
  </w:num>
  <w:num w:numId="8">
    <w:abstractNumId w:val="7"/>
  </w:num>
  <w:num w:numId="9">
    <w:abstractNumId w:val="3"/>
  </w:num>
  <w:num w:numId="10">
    <w:abstractNumId w:val="6"/>
  </w:num>
  <w:num w:numId="11">
    <w:abstractNumId w:val="1"/>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22"/>
    <w:rsid w:val="0001576C"/>
    <w:rsid w:val="000302A7"/>
    <w:rsid w:val="00036143"/>
    <w:rsid w:val="00041476"/>
    <w:rsid w:val="00051B45"/>
    <w:rsid w:val="00056590"/>
    <w:rsid w:val="000674A1"/>
    <w:rsid w:val="000729A4"/>
    <w:rsid w:val="0007595B"/>
    <w:rsid w:val="000837F0"/>
    <w:rsid w:val="000840D5"/>
    <w:rsid w:val="00085DCF"/>
    <w:rsid w:val="00095D22"/>
    <w:rsid w:val="000A26D5"/>
    <w:rsid w:val="000B07A9"/>
    <w:rsid w:val="000E53A6"/>
    <w:rsid w:val="000F22C9"/>
    <w:rsid w:val="00101D11"/>
    <w:rsid w:val="00105054"/>
    <w:rsid w:val="0011028E"/>
    <w:rsid w:val="001236A0"/>
    <w:rsid w:val="00150802"/>
    <w:rsid w:val="00175534"/>
    <w:rsid w:val="00176AFC"/>
    <w:rsid w:val="0018159D"/>
    <w:rsid w:val="001930FA"/>
    <w:rsid w:val="001A4C1A"/>
    <w:rsid w:val="001C0770"/>
    <w:rsid w:val="001C2E07"/>
    <w:rsid w:val="001C5C90"/>
    <w:rsid w:val="001D3B2B"/>
    <w:rsid w:val="001E5108"/>
    <w:rsid w:val="001E7162"/>
    <w:rsid w:val="00214922"/>
    <w:rsid w:val="00221A68"/>
    <w:rsid w:val="002229B5"/>
    <w:rsid w:val="00225494"/>
    <w:rsid w:val="00225618"/>
    <w:rsid w:val="00233655"/>
    <w:rsid w:val="002350E1"/>
    <w:rsid w:val="002516D5"/>
    <w:rsid w:val="002617AE"/>
    <w:rsid w:val="002632D0"/>
    <w:rsid w:val="00263FBC"/>
    <w:rsid w:val="00280BAD"/>
    <w:rsid w:val="00281F38"/>
    <w:rsid w:val="00291C93"/>
    <w:rsid w:val="002A70A9"/>
    <w:rsid w:val="002B21EE"/>
    <w:rsid w:val="002B7CDB"/>
    <w:rsid w:val="002F4D1E"/>
    <w:rsid w:val="002F4ECF"/>
    <w:rsid w:val="00303EDA"/>
    <w:rsid w:val="003041FC"/>
    <w:rsid w:val="00305352"/>
    <w:rsid w:val="0031337F"/>
    <w:rsid w:val="0031760D"/>
    <w:rsid w:val="003205AB"/>
    <w:rsid w:val="00337E36"/>
    <w:rsid w:val="003411C2"/>
    <w:rsid w:val="0034345A"/>
    <w:rsid w:val="00346AE5"/>
    <w:rsid w:val="00352432"/>
    <w:rsid w:val="00367DB5"/>
    <w:rsid w:val="00375068"/>
    <w:rsid w:val="003850BB"/>
    <w:rsid w:val="003B2260"/>
    <w:rsid w:val="003C48FB"/>
    <w:rsid w:val="003C7149"/>
    <w:rsid w:val="003E28F0"/>
    <w:rsid w:val="003E3357"/>
    <w:rsid w:val="003F5B65"/>
    <w:rsid w:val="004237B4"/>
    <w:rsid w:val="00436363"/>
    <w:rsid w:val="00437591"/>
    <w:rsid w:val="00447B47"/>
    <w:rsid w:val="00453639"/>
    <w:rsid w:val="00472CB0"/>
    <w:rsid w:val="00481961"/>
    <w:rsid w:val="004C435C"/>
    <w:rsid w:val="004C4A67"/>
    <w:rsid w:val="004D0200"/>
    <w:rsid w:val="004D0ED8"/>
    <w:rsid w:val="004E35E2"/>
    <w:rsid w:val="004E71BE"/>
    <w:rsid w:val="004F1DF8"/>
    <w:rsid w:val="00523715"/>
    <w:rsid w:val="005245E0"/>
    <w:rsid w:val="00545821"/>
    <w:rsid w:val="00545E24"/>
    <w:rsid w:val="00550157"/>
    <w:rsid w:val="005551BF"/>
    <w:rsid w:val="0055617E"/>
    <w:rsid w:val="005827EE"/>
    <w:rsid w:val="00582C95"/>
    <w:rsid w:val="005A28CE"/>
    <w:rsid w:val="005A799E"/>
    <w:rsid w:val="005B4C7E"/>
    <w:rsid w:val="005C0645"/>
    <w:rsid w:val="005C23FB"/>
    <w:rsid w:val="005C2947"/>
    <w:rsid w:val="005D141D"/>
    <w:rsid w:val="005D30BB"/>
    <w:rsid w:val="005D3E05"/>
    <w:rsid w:val="005D41B0"/>
    <w:rsid w:val="005E1BEA"/>
    <w:rsid w:val="005E6E93"/>
    <w:rsid w:val="00600630"/>
    <w:rsid w:val="00601798"/>
    <w:rsid w:val="00606214"/>
    <w:rsid w:val="0060690A"/>
    <w:rsid w:val="00620EDF"/>
    <w:rsid w:val="00626327"/>
    <w:rsid w:val="0062692F"/>
    <w:rsid w:val="00630E79"/>
    <w:rsid w:val="006355C4"/>
    <w:rsid w:val="0064297D"/>
    <w:rsid w:val="00646EC9"/>
    <w:rsid w:val="00657430"/>
    <w:rsid w:val="006734F4"/>
    <w:rsid w:val="00697620"/>
    <w:rsid w:val="006A1F0E"/>
    <w:rsid w:val="006A7A7F"/>
    <w:rsid w:val="006D396C"/>
    <w:rsid w:val="006D3AB1"/>
    <w:rsid w:val="006D4DD5"/>
    <w:rsid w:val="006E1401"/>
    <w:rsid w:val="006E2F4A"/>
    <w:rsid w:val="006F563C"/>
    <w:rsid w:val="00733BBF"/>
    <w:rsid w:val="0073528C"/>
    <w:rsid w:val="00735F52"/>
    <w:rsid w:val="00745889"/>
    <w:rsid w:val="00751FFE"/>
    <w:rsid w:val="007557F1"/>
    <w:rsid w:val="007578D6"/>
    <w:rsid w:val="00762738"/>
    <w:rsid w:val="007642EA"/>
    <w:rsid w:val="00780224"/>
    <w:rsid w:val="00784E33"/>
    <w:rsid w:val="0079142D"/>
    <w:rsid w:val="007A16EA"/>
    <w:rsid w:val="007B2B3F"/>
    <w:rsid w:val="007B3351"/>
    <w:rsid w:val="007B545D"/>
    <w:rsid w:val="007D02B1"/>
    <w:rsid w:val="007D2993"/>
    <w:rsid w:val="007E2B22"/>
    <w:rsid w:val="007E685E"/>
    <w:rsid w:val="007F4C02"/>
    <w:rsid w:val="007F60F3"/>
    <w:rsid w:val="00800C33"/>
    <w:rsid w:val="008110CE"/>
    <w:rsid w:val="008231DA"/>
    <w:rsid w:val="00845713"/>
    <w:rsid w:val="0086281A"/>
    <w:rsid w:val="00870C54"/>
    <w:rsid w:val="008870F8"/>
    <w:rsid w:val="00892BCB"/>
    <w:rsid w:val="008A20BC"/>
    <w:rsid w:val="008A22DA"/>
    <w:rsid w:val="008B098F"/>
    <w:rsid w:val="008E11D5"/>
    <w:rsid w:val="00902A40"/>
    <w:rsid w:val="00927776"/>
    <w:rsid w:val="00935C4F"/>
    <w:rsid w:val="009410FA"/>
    <w:rsid w:val="00943DCC"/>
    <w:rsid w:val="00950A6E"/>
    <w:rsid w:val="00952DCB"/>
    <w:rsid w:val="00995F65"/>
    <w:rsid w:val="009C343E"/>
    <w:rsid w:val="009C78EE"/>
    <w:rsid w:val="009D1561"/>
    <w:rsid w:val="009F3D04"/>
    <w:rsid w:val="00A02FD0"/>
    <w:rsid w:val="00A14258"/>
    <w:rsid w:val="00A142C5"/>
    <w:rsid w:val="00A30890"/>
    <w:rsid w:val="00A3177C"/>
    <w:rsid w:val="00A32D9C"/>
    <w:rsid w:val="00A330C7"/>
    <w:rsid w:val="00A37B9D"/>
    <w:rsid w:val="00A51162"/>
    <w:rsid w:val="00A759CD"/>
    <w:rsid w:val="00A82487"/>
    <w:rsid w:val="00A8432E"/>
    <w:rsid w:val="00A84C0D"/>
    <w:rsid w:val="00A868CD"/>
    <w:rsid w:val="00A87921"/>
    <w:rsid w:val="00A9673D"/>
    <w:rsid w:val="00AA4296"/>
    <w:rsid w:val="00AA4A39"/>
    <w:rsid w:val="00AA4DFF"/>
    <w:rsid w:val="00AB069E"/>
    <w:rsid w:val="00AC471C"/>
    <w:rsid w:val="00AD0B17"/>
    <w:rsid w:val="00AD3686"/>
    <w:rsid w:val="00AF1DE0"/>
    <w:rsid w:val="00AF3CDC"/>
    <w:rsid w:val="00B03DA3"/>
    <w:rsid w:val="00B06EB7"/>
    <w:rsid w:val="00B07F5D"/>
    <w:rsid w:val="00B1089F"/>
    <w:rsid w:val="00B203C8"/>
    <w:rsid w:val="00B26F6E"/>
    <w:rsid w:val="00B4233D"/>
    <w:rsid w:val="00B53CE4"/>
    <w:rsid w:val="00B57372"/>
    <w:rsid w:val="00B603F8"/>
    <w:rsid w:val="00B66764"/>
    <w:rsid w:val="00B6737B"/>
    <w:rsid w:val="00B812AB"/>
    <w:rsid w:val="00B81B9D"/>
    <w:rsid w:val="00BA2479"/>
    <w:rsid w:val="00BF22D1"/>
    <w:rsid w:val="00BF2C70"/>
    <w:rsid w:val="00BF39D7"/>
    <w:rsid w:val="00C01A79"/>
    <w:rsid w:val="00C05548"/>
    <w:rsid w:val="00C127A7"/>
    <w:rsid w:val="00C14CA1"/>
    <w:rsid w:val="00C34436"/>
    <w:rsid w:val="00C62D7A"/>
    <w:rsid w:val="00C67974"/>
    <w:rsid w:val="00C7663F"/>
    <w:rsid w:val="00C86E50"/>
    <w:rsid w:val="00C90F81"/>
    <w:rsid w:val="00CA345A"/>
    <w:rsid w:val="00CA41E9"/>
    <w:rsid w:val="00CB012D"/>
    <w:rsid w:val="00CB51C0"/>
    <w:rsid w:val="00CC2612"/>
    <w:rsid w:val="00CD205D"/>
    <w:rsid w:val="00CD2EF0"/>
    <w:rsid w:val="00CD727C"/>
    <w:rsid w:val="00CE0F5E"/>
    <w:rsid w:val="00CF3CD8"/>
    <w:rsid w:val="00D03153"/>
    <w:rsid w:val="00D04375"/>
    <w:rsid w:val="00D15EF5"/>
    <w:rsid w:val="00D22E9C"/>
    <w:rsid w:val="00D23723"/>
    <w:rsid w:val="00D31DFD"/>
    <w:rsid w:val="00D407AD"/>
    <w:rsid w:val="00D44AA5"/>
    <w:rsid w:val="00D52422"/>
    <w:rsid w:val="00D57DC2"/>
    <w:rsid w:val="00D60302"/>
    <w:rsid w:val="00D7757E"/>
    <w:rsid w:val="00D811B0"/>
    <w:rsid w:val="00D86486"/>
    <w:rsid w:val="00DC7C8F"/>
    <w:rsid w:val="00DE3847"/>
    <w:rsid w:val="00DE40CD"/>
    <w:rsid w:val="00DE4349"/>
    <w:rsid w:val="00DF70DB"/>
    <w:rsid w:val="00E03AF6"/>
    <w:rsid w:val="00E04471"/>
    <w:rsid w:val="00E0495A"/>
    <w:rsid w:val="00E10EE1"/>
    <w:rsid w:val="00E333B5"/>
    <w:rsid w:val="00E37D5E"/>
    <w:rsid w:val="00E4223D"/>
    <w:rsid w:val="00E4716B"/>
    <w:rsid w:val="00E52792"/>
    <w:rsid w:val="00E65E85"/>
    <w:rsid w:val="00E7091B"/>
    <w:rsid w:val="00E74762"/>
    <w:rsid w:val="00E772AE"/>
    <w:rsid w:val="00E81965"/>
    <w:rsid w:val="00E9568A"/>
    <w:rsid w:val="00EA48A9"/>
    <w:rsid w:val="00EA5E48"/>
    <w:rsid w:val="00EC2311"/>
    <w:rsid w:val="00EC4069"/>
    <w:rsid w:val="00EC5BC9"/>
    <w:rsid w:val="00EE507A"/>
    <w:rsid w:val="00EF3221"/>
    <w:rsid w:val="00EF3CF6"/>
    <w:rsid w:val="00EF43F0"/>
    <w:rsid w:val="00F00095"/>
    <w:rsid w:val="00F131DE"/>
    <w:rsid w:val="00F51322"/>
    <w:rsid w:val="00F55EEA"/>
    <w:rsid w:val="00F715E3"/>
    <w:rsid w:val="00F8134B"/>
    <w:rsid w:val="00F81885"/>
    <w:rsid w:val="00F869D7"/>
    <w:rsid w:val="00F8705B"/>
    <w:rsid w:val="00F95E44"/>
    <w:rsid w:val="00F976BE"/>
    <w:rsid w:val="00FA799A"/>
    <w:rsid w:val="00FB5A77"/>
    <w:rsid w:val="00FC0AB9"/>
    <w:rsid w:val="00FD24CA"/>
    <w:rsid w:val="00FD2BE8"/>
    <w:rsid w:val="00FD6BC5"/>
    <w:rsid w:val="00FF6C2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FAD702"/>
  <w15:docId w15:val="{4B5F82AC-8BB7-4F02-AF94-B5958C09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CD"/>
    <w:pPr>
      <w:spacing w:line="320" w:lineRule="atLeast"/>
      <w:ind w:firstLine="720"/>
    </w:pPr>
    <w:rPr>
      <w:rFonts w:ascii="Times New Roman" w:hAnsi="Times New Roman"/>
      <w:sz w:val="24"/>
      <w:szCs w:val="24"/>
    </w:rPr>
  </w:style>
  <w:style w:type="paragraph" w:styleId="Heading1">
    <w:name w:val="heading 1"/>
    <w:next w:val="Normal"/>
    <w:qFormat/>
    <w:rsid w:val="006519CF"/>
    <w:pPr>
      <w:keepNext/>
      <w:spacing w:after="80" w:line="400" w:lineRule="atLeast"/>
      <w:outlineLvl w:val="0"/>
    </w:pPr>
    <w:rPr>
      <w:rFonts w:ascii="Arial" w:eastAsia="Times New Roman" w:hAnsi="Arial"/>
      <w:b/>
      <w:noProof/>
      <w:sz w:val="32"/>
      <w:szCs w:val="24"/>
    </w:rPr>
  </w:style>
  <w:style w:type="paragraph" w:styleId="Heading2">
    <w:name w:val="heading 2"/>
    <w:next w:val="Normal"/>
    <w:qFormat/>
    <w:rsid w:val="006519CF"/>
    <w:pPr>
      <w:keepNext/>
      <w:spacing w:before="120" w:after="60"/>
      <w:outlineLvl w:val="1"/>
    </w:pPr>
    <w:rPr>
      <w:rFonts w:ascii="Arial" w:eastAsia="Times New Roman" w:hAnsi="Arial"/>
      <w:b/>
      <w:noProof/>
      <w:sz w:val="26"/>
      <w:szCs w:val="24"/>
    </w:rPr>
  </w:style>
  <w:style w:type="paragraph" w:styleId="Heading3">
    <w:name w:val="heading 3"/>
    <w:basedOn w:val="Normal"/>
    <w:next w:val="Normal"/>
    <w:qFormat/>
    <w:rsid w:val="006519CF"/>
    <w:pPr>
      <w:keepNext/>
      <w:spacing w:before="120" w:after="60" w:line="240" w:lineRule="auto"/>
      <w:ind w:firstLine="0"/>
      <w:outlineLvl w:val="2"/>
    </w:pPr>
    <w:rPr>
      <w:rFonts w:ascii="Arial" w:eastAsia="Times New Roman" w:hAnsi="Arial"/>
      <w:b/>
    </w:rPr>
  </w:style>
  <w:style w:type="paragraph" w:styleId="Heading4">
    <w:name w:val="heading 4"/>
    <w:basedOn w:val="Normal"/>
    <w:next w:val="Normal"/>
    <w:qFormat/>
    <w:rsid w:val="006519CF"/>
    <w:pPr>
      <w:keepNext/>
      <w:spacing w:line="240" w:lineRule="auto"/>
      <w:ind w:firstLine="0"/>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Ebodytext">
    <w:name w:val="JCE body text"/>
    <w:rsid w:val="00745889"/>
    <w:pPr>
      <w:spacing w:line="480" w:lineRule="auto"/>
      <w:ind w:firstLine="360"/>
    </w:pPr>
    <w:rPr>
      <w:rFonts w:ascii="Bookman Old Style" w:eastAsia="Times New Roman" w:hAnsi="Bookman Old Style"/>
    </w:rPr>
  </w:style>
  <w:style w:type="paragraph" w:customStyle="1" w:styleId="JCEcaption">
    <w:name w:val="JCE caption"/>
    <w:next w:val="JCEbodytext"/>
    <w:rsid w:val="00070620"/>
    <w:pPr>
      <w:keepLines/>
      <w:spacing w:before="120" w:after="40"/>
    </w:pPr>
    <w:rPr>
      <w:rFonts w:ascii="Helvetica" w:hAnsi="Helvetica"/>
      <w:sz w:val="16"/>
      <w:szCs w:val="24"/>
    </w:rPr>
  </w:style>
  <w:style w:type="paragraph" w:customStyle="1" w:styleId="JCEH1">
    <w:name w:val="JCE H1"/>
    <w:next w:val="JCEbodytext"/>
    <w:rsid w:val="00974280"/>
    <w:pPr>
      <w:keepNext/>
      <w:spacing w:before="240" w:line="240" w:lineRule="atLeast"/>
      <w:outlineLvl w:val="0"/>
    </w:pPr>
    <w:rPr>
      <w:rFonts w:ascii="Helvetica" w:eastAsia="Times New Roman" w:hAnsi="Helvetica"/>
      <w:b/>
      <w:caps/>
      <w:color w:val="000090"/>
      <w:kern w:val="28"/>
      <w:szCs w:val="24"/>
    </w:rPr>
  </w:style>
  <w:style w:type="paragraph" w:customStyle="1" w:styleId="JCEH2">
    <w:name w:val="JCE H2"/>
    <w:next w:val="JCEbodytext"/>
    <w:rsid w:val="00A50F32"/>
    <w:pPr>
      <w:keepNext/>
      <w:keepLines/>
      <w:spacing w:before="120"/>
      <w:outlineLvl w:val="1"/>
    </w:pPr>
    <w:rPr>
      <w:rFonts w:ascii="Helvetica" w:hAnsi="Helvetica"/>
      <w:color w:val="000090"/>
      <w:kern w:val="28"/>
      <w:szCs w:val="32"/>
    </w:rPr>
  </w:style>
  <w:style w:type="paragraph" w:customStyle="1" w:styleId="JCEbulletlist">
    <w:name w:val="JCE bullet list"/>
    <w:basedOn w:val="JCEbodytext"/>
    <w:next w:val="JCEbodytext"/>
    <w:rsid w:val="00FD2BE8"/>
    <w:pPr>
      <w:numPr>
        <w:numId w:val="6"/>
      </w:numPr>
      <w:tabs>
        <w:tab w:val="num" w:pos="720"/>
      </w:tabs>
      <w:spacing w:line="360" w:lineRule="auto"/>
    </w:pPr>
  </w:style>
  <w:style w:type="paragraph" w:customStyle="1" w:styleId="JCEreferencelist">
    <w:name w:val="JCE reference list"/>
    <w:basedOn w:val="JCEbulletlist"/>
    <w:next w:val="JCEbodytext"/>
    <w:qFormat/>
    <w:rsid w:val="00EA48A9"/>
    <w:pPr>
      <w:numPr>
        <w:numId w:val="0"/>
      </w:numPr>
      <w:tabs>
        <w:tab w:val="left" w:pos="540"/>
      </w:tabs>
      <w:ind w:left="540" w:hanging="540"/>
    </w:pPr>
    <w:rPr>
      <w:szCs w:val="18"/>
    </w:rPr>
  </w:style>
  <w:style w:type="character" w:styleId="LineNumber">
    <w:name w:val="line number"/>
    <w:basedOn w:val="DefaultParagraphFont"/>
    <w:rsid w:val="00070620"/>
    <w:rPr>
      <w:rFonts w:ascii="Helvetica" w:hAnsi="Helvetica"/>
      <w:sz w:val="16"/>
      <w:lang w:val="en-US"/>
    </w:rPr>
  </w:style>
  <w:style w:type="paragraph" w:customStyle="1" w:styleId="JCEAuAttribution">
    <w:name w:val="JCE AuAttribution"/>
    <w:basedOn w:val="JCEbodytext"/>
    <w:qFormat/>
    <w:rsid w:val="003A1F14"/>
    <w:pPr>
      <w:tabs>
        <w:tab w:val="left" w:pos="360"/>
      </w:tabs>
      <w:spacing w:after="240"/>
      <w:ind w:firstLine="0"/>
    </w:pPr>
  </w:style>
  <w:style w:type="paragraph" w:customStyle="1" w:styleId="JCEAuNames">
    <w:name w:val="JCE AuNames"/>
    <w:basedOn w:val="JCEbodytext"/>
    <w:qFormat/>
    <w:rsid w:val="003A1F14"/>
    <w:pPr>
      <w:tabs>
        <w:tab w:val="left" w:pos="360"/>
      </w:tabs>
      <w:ind w:firstLine="0"/>
    </w:pPr>
  </w:style>
  <w:style w:type="paragraph" w:customStyle="1" w:styleId="JCEDocfooter">
    <w:name w:val="JCE Doc footer"/>
    <w:qFormat/>
    <w:rsid w:val="00070620"/>
    <w:pPr>
      <w:pBdr>
        <w:top w:val="single" w:sz="2" w:space="4" w:color="auto"/>
      </w:pBdr>
      <w:tabs>
        <w:tab w:val="center" w:pos="4320"/>
        <w:tab w:val="right" w:pos="8640"/>
      </w:tabs>
      <w:contextualSpacing/>
    </w:pPr>
    <w:rPr>
      <w:rFonts w:ascii="Helvetica" w:hAnsi="Helvetica"/>
      <w:sz w:val="18"/>
      <w:szCs w:val="24"/>
    </w:rPr>
  </w:style>
  <w:style w:type="paragraph" w:customStyle="1" w:styleId="JCEDocheader">
    <w:name w:val="JCE Doc header"/>
    <w:qFormat/>
    <w:rsid w:val="00070620"/>
    <w:pPr>
      <w:pBdr>
        <w:bottom w:val="single" w:sz="2" w:space="4" w:color="auto"/>
      </w:pBdr>
      <w:tabs>
        <w:tab w:val="right" w:pos="8640"/>
      </w:tabs>
      <w:contextualSpacing/>
    </w:pPr>
    <w:rPr>
      <w:rFonts w:ascii="Helvetica" w:hAnsi="Helvetica"/>
      <w:sz w:val="18"/>
      <w:szCs w:val="24"/>
    </w:rPr>
  </w:style>
  <w:style w:type="paragraph" w:customStyle="1" w:styleId="JCEExtractquotes">
    <w:name w:val="JCE Extract (quotes)"/>
    <w:basedOn w:val="JCEbodytext"/>
    <w:next w:val="JCEbodytext"/>
    <w:qFormat/>
    <w:rsid w:val="00935C4F"/>
    <w:pPr>
      <w:keepLines/>
      <w:spacing w:line="360" w:lineRule="auto"/>
      <w:ind w:left="720" w:right="720" w:firstLine="0"/>
    </w:pPr>
    <w:rPr>
      <w:sz w:val="18"/>
      <w:szCs w:val="18"/>
    </w:rPr>
  </w:style>
  <w:style w:type="paragraph" w:customStyle="1" w:styleId="JCEFlushBody">
    <w:name w:val="JCE FlushBody"/>
    <w:basedOn w:val="JCEbodytext"/>
    <w:next w:val="JCEbodytext"/>
    <w:qFormat/>
    <w:rsid w:val="00070620"/>
    <w:pPr>
      <w:ind w:firstLine="0"/>
    </w:pPr>
    <w:rPr>
      <w:rFonts w:cs="Century"/>
    </w:rPr>
  </w:style>
  <w:style w:type="paragraph" w:customStyle="1" w:styleId="JCETabletext">
    <w:name w:val="JCE Table text"/>
    <w:basedOn w:val="JCEcaption"/>
    <w:next w:val="JCEcaption"/>
    <w:rsid w:val="00C01A79"/>
    <w:pPr>
      <w:widowControl w:val="0"/>
      <w:spacing w:before="40"/>
    </w:pPr>
    <w:rPr>
      <w:rFonts w:ascii="Bookman Old Style" w:eastAsia="Times New Roman" w:hAnsi="Bookman Old Style"/>
      <w:sz w:val="18"/>
    </w:rPr>
  </w:style>
  <w:style w:type="paragraph" w:customStyle="1" w:styleId="JCETabletitle">
    <w:name w:val="JCE Table title"/>
    <w:basedOn w:val="JCEcaption"/>
    <w:rsid w:val="00C01A79"/>
    <w:pPr>
      <w:spacing w:before="0"/>
    </w:pPr>
    <w:rPr>
      <w:rFonts w:ascii="Bookman Old Style" w:eastAsia="Times New Roman" w:hAnsi="Bookman Old Style"/>
      <w:b/>
      <w:sz w:val="20"/>
    </w:rPr>
  </w:style>
  <w:style w:type="paragraph" w:customStyle="1" w:styleId="JCETitle">
    <w:name w:val="JCE Title"/>
    <w:next w:val="JCEAuNames"/>
    <w:qFormat/>
    <w:rsid w:val="00070620"/>
    <w:pPr>
      <w:spacing w:after="120" w:line="400" w:lineRule="atLeast"/>
    </w:pPr>
    <w:rPr>
      <w:rFonts w:ascii="Helvetica" w:hAnsi="Helvetica"/>
      <w:b/>
      <w:sz w:val="32"/>
      <w:szCs w:val="24"/>
    </w:rPr>
  </w:style>
  <w:style w:type="paragraph" w:customStyle="1" w:styleId="JCEEquation">
    <w:name w:val="JCE Equation"/>
    <w:basedOn w:val="JCEFlushBody"/>
    <w:next w:val="JCEFlushBody"/>
    <w:qFormat/>
    <w:rsid w:val="00745889"/>
    <w:pPr>
      <w:tabs>
        <w:tab w:val="center" w:pos="4320"/>
        <w:tab w:val="right" w:pos="8640"/>
      </w:tabs>
      <w:spacing w:before="120" w:after="120"/>
      <w:jc w:val="both"/>
    </w:pPr>
  </w:style>
  <w:style w:type="paragraph" w:styleId="BalloonText">
    <w:name w:val="Balloon Text"/>
    <w:basedOn w:val="Normal"/>
    <w:link w:val="BalloonTextChar"/>
    <w:rsid w:val="00EA48A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EA48A9"/>
    <w:rPr>
      <w:rFonts w:ascii="Lucida Grande" w:hAnsi="Lucida Grande" w:cs="Lucida Grande"/>
      <w:sz w:val="18"/>
      <w:szCs w:val="18"/>
    </w:rPr>
  </w:style>
  <w:style w:type="character" w:styleId="Hyperlink">
    <w:name w:val="Hyperlink"/>
    <w:basedOn w:val="DefaultParagraphFont"/>
    <w:rsid w:val="00EA48A9"/>
    <w:rPr>
      <w:color w:val="0000FF" w:themeColor="hyperlink"/>
      <w:u w:val="single"/>
    </w:rPr>
  </w:style>
  <w:style w:type="paragraph" w:customStyle="1" w:styleId="JCEnumberedlist">
    <w:name w:val="JCE numbered list"/>
    <w:basedOn w:val="JCEbulletlist"/>
    <w:next w:val="JCEbodytext"/>
    <w:qFormat/>
    <w:rsid w:val="00780224"/>
    <w:pPr>
      <w:tabs>
        <w:tab w:val="left" w:pos="720"/>
      </w:tabs>
    </w:pPr>
  </w:style>
  <w:style w:type="table" w:styleId="TableGrid">
    <w:name w:val="Table Grid"/>
    <w:basedOn w:val="TableNormal"/>
    <w:uiPriority w:val="59"/>
    <w:rsid w:val="00A02FD0"/>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C78EE"/>
    <w:pPr>
      <w:tabs>
        <w:tab w:val="center" w:pos="4680"/>
        <w:tab w:val="right" w:pos="9360"/>
      </w:tabs>
      <w:spacing w:line="240" w:lineRule="auto"/>
    </w:pPr>
  </w:style>
  <w:style w:type="character" w:customStyle="1" w:styleId="HeaderChar">
    <w:name w:val="Header Char"/>
    <w:basedOn w:val="DefaultParagraphFont"/>
    <w:link w:val="Header"/>
    <w:rsid w:val="009C78EE"/>
    <w:rPr>
      <w:rFonts w:ascii="Times New Roman" w:hAnsi="Times New Roman"/>
      <w:sz w:val="24"/>
      <w:szCs w:val="24"/>
    </w:rPr>
  </w:style>
  <w:style w:type="paragraph" w:styleId="Footer">
    <w:name w:val="footer"/>
    <w:basedOn w:val="Normal"/>
    <w:link w:val="FooterChar"/>
    <w:unhideWhenUsed/>
    <w:rsid w:val="009C78EE"/>
    <w:pPr>
      <w:tabs>
        <w:tab w:val="center" w:pos="4680"/>
        <w:tab w:val="right" w:pos="9360"/>
      </w:tabs>
      <w:spacing w:line="240" w:lineRule="auto"/>
    </w:pPr>
  </w:style>
  <w:style w:type="character" w:customStyle="1" w:styleId="FooterChar">
    <w:name w:val="Footer Char"/>
    <w:basedOn w:val="DefaultParagraphFont"/>
    <w:link w:val="Footer"/>
    <w:rsid w:val="009C78EE"/>
    <w:rPr>
      <w:rFonts w:ascii="Times New Roman" w:hAnsi="Times New Roman"/>
      <w:sz w:val="24"/>
      <w:szCs w:val="24"/>
    </w:rPr>
  </w:style>
  <w:style w:type="character" w:styleId="FollowedHyperlink">
    <w:name w:val="FollowedHyperlink"/>
    <w:basedOn w:val="DefaultParagraphFont"/>
    <w:semiHidden/>
    <w:unhideWhenUsed/>
    <w:rsid w:val="005827EE"/>
    <w:rPr>
      <w:color w:val="800080" w:themeColor="followedHyperlink"/>
      <w:u w:val="single"/>
    </w:rPr>
  </w:style>
  <w:style w:type="character" w:styleId="CommentReference">
    <w:name w:val="annotation reference"/>
    <w:basedOn w:val="DefaultParagraphFont"/>
    <w:uiPriority w:val="99"/>
    <w:semiHidden/>
    <w:unhideWhenUsed/>
    <w:rsid w:val="000674A1"/>
    <w:rPr>
      <w:sz w:val="16"/>
      <w:szCs w:val="16"/>
    </w:rPr>
  </w:style>
  <w:style w:type="paragraph" w:styleId="CommentText">
    <w:name w:val="annotation text"/>
    <w:basedOn w:val="Normal"/>
    <w:link w:val="CommentTextChar"/>
    <w:uiPriority w:val="99"/>
    <w:semiHidden/>
    <w:unhideWhenUsed/>
    <w:rsid w:val="000674A1"/>
    <w:pPr>
      <w:spacing w:after="200" w:line="240" w:lineRule="auto"/>
      <w:ind w:firstLine="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0674A1"/>
    <w:rPr>
      <w:rFonts w:asciiTheme="minorHAnsi" w:eastAsiaTheme="minorHAnsi" w:hAnsiTheme="minorHAnsi" w:cstheme="minorBidi"/>
      <w:lang w:val="en-GB"/>
    </w:rPr>
  </w:style>
  <w:style w:type="character" w:customStyle="1" w:styleId="nlmsource">
    <w:name w:val="nlm_source"/>
    <w:basedOn w:val="DefaultParagraphFont"/>
    <w:rsid w:val="004E71BE"/>
  </w:style>
  <w:style w:type="character" w:styleId="Strong">
    <w:name w:val="Strong"/>
    <w:basedOn w:val="DefaultParagraphFont"/>
    <w:uiPriority w:val="22"/>
    <w:qFormat/>
    <w:rsid w:val="004E71BE"/>
    <w:rPr>
      <w:b/>
      <w:bCs/>
    </w:rPr>
  </w:style>
  <w:style w:type="character" w:styleId="Emphasis">
    <w:name w:val="Emphasis"/>
    <w:basedOn w:val="DefaultParagraphFont"/>
    <w:uiPriority w:val="20"/>
    <w:qFormat/>
    <w:rsid w:val="004E71BE"/>
    <w:rPr>
      <w:i/>
      <w:iCs/>
    </w:rPr>
  </w:style>
  <w:style w:type="paragraph" w:styleId="CommentSubject">
    <w:name w:val="annotation subject"/>
    <w:basedOn w:val="CommentText"/>
    <w:next w:val="CommentText"/>
    <w:link w:val="CommentSubjectChar"/>
    <w:semiHidden/>
    <w:unhideWhenUsed/>
    <w:rsid w:val="0073528C"/>
    <w:pPr>
      <w:spacing w:after="0"/>
      <w:ind w:firstLine="720"/>
    </w:pPr>
    <w:rPr>
      <w:rFonts w:ascii="Times New Roman" w:eastAsia="Cambria" w:hAnsi="Times New Roman" w:cs="Times New Roman"/>
      <w:b/>
      <w:bCs/>
      <w:lang w:val="en-US"/>
    </w:rPr>
  </w:style>
  <w:style w:type="character" w:customStyle="1" w:styleId="CommentSubjectChar">
    <w:name w:val="Comment Subject Char"/>
    <w:basedOn w:val="CommentTextChar"/>
    <w:link w:val="CommentSubject"/>
    <w:semiHidden/>
    <w:rsid w:val="0073528C"/>
    <w:rPr>
      <w:rFonts w:ascii="Times New Roman" w:eastAsiaTheme="minorHAnsi" w:hAnsi="Times New Roman" w:cstheme="minorBidi"/>
      <w:b/>
      <w:bCs/>
      <w:lang w:val="en-GB"/>
    </w:rPr>
  </w:style>
  <w:style w:type="character" w:customStyle="1" w:styleId="api-publication-authors">
    <w:name w:val="api-publication-authors"/>
    <w:basedOn w:val="DefaultParagraphFont"/>
    <w:rsid w:val="00D7757E"/>
  </w:style>
  <w:style w:type="character" w:customStyle="1" w:styleId="api-publication-title">
    <w:name w:val="api-publication-title"/>
    <w:basedOn w:val="DefaultParagraphFont"/>
    <w:rsid w:val="00D7757E"/>
  </w:style>
  <w:style w:type="character" w:customStyle="1" w:styleId="cit-title">
    <w:name w:val="cit-title"/>
    <w:basedOn w:val="DefaultParagraphFont"/>
    <w:rsid w:val="00A142C5"/>
  </w:style>
  <w:style w:type="character" w:customStyle="1" w:styleId="cit-year-info">
    <w:name w:val="cit-year-info"/>
    <w:basedOn w:val="DefaultParagraphFont"/>
    <w:rsid w:val="00A142C5"/>
  </w:style>
  <w:style w:type="character" w:customStyle="1" w:styleId="cit-volume">
    <w:name w:val="cit-volume"/>
    <w:basedOn w:val="DefaultParagraphFont"/>
    <w:rsid w:val="00A142C5"/>
  </w:style>
  <w:style w:type="character" w:customStyle="1" w:styleId="cit-issue">
    <w:name w:val="cit-issue"/>
    <w:basedOn w:val="DefaultParagraphFont"/>
    <w:rsid w:val="00A142C5"/>
  </w:style>
  <w:style w:type="character" w:customStyle="1" w:styleId="cit-pagerange">
    <w:name w:val="cit-pagerange"/>
    <w:basedOn w:val="DefaultParagraphFont"/>
    <w:rsid w:val="00A142C5"/>
  </w:style>
  <w:style w:type="character" w:customStyle="1" w:styleId="italic">
    <w:name w:val="italic"/>
    <w:basedOn w:val="DefaultParagraphFont"/>
    <w:rsid w:val="002F4ECF"/>
  </w:style>
  <w:style w:type="character" w:customStyle="1" w:styleId="bold">
    <w:name w:val="bold"/>
    <w:basedOn w:val="DefaultParagraphFont"/>
    <w:rsid w:val="002F4ECF"/>
  </w:style>
  <w:style w:type="paragraph" w:styleId="ListParagraph">
    <w:name w:val="List Paragraph"/>
    <w:basedOn w:val="Normal"/>
    <w:rsid w:val="00601798"/>
    <w:pPr>
      <w:ind w:left="720"/>
      <w:contextualSpacing/>
    </w:pPr>
  </w:style>
  <w:style w:type="table" w:customStyle="1" w:styleId="TableGrid1">
    <w:name w:val="Table Grid1"/>
    <w:basedOn w:val="TableNormal"/>
    <w:next w:val="TableGrid"/>
    <w:uiPriority w:val="39"/>
    <w:rsid w:val="00A8432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69762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534997">
      <w:bodyDiv w:val="1"/>
      <w:marLeft w:val="0"/>
      <w:marRight w:val="0"/>
      <w:marTop w:val="0"/>
      <w:marBottom w:val="0"/>
      <w:divBdr>
        <w:top w:val="none" w:sz="0" w:space="0" w:color="auto"/>
        <w:left w:val="none" w:sz="0" w:space="0" w:color="auto"/>
        <w:bottom w:val="none" w:sz="0" w:space="0" w:color="auto"/>
        <w:right w:val="none" w:sz="0" w:space="0" w:color="auto"/>
      </w:divBdr>
    </w:div>
    <w:div w:id="207187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xlink.rsc.org/?DOI=B5RP90026C" TargetMode="External"/><Relationship Id="rId18" Type="http://schemas.openxmlformats.org/officeDocument/2006/relationships/hyperlink" Target="https://doi.org/10.1002/tea.20217" TargetMode="External"/><Relationship Id="rId26" Type="http://schemas.openxmlformats.org/officeDocument/2006/relationships/hyperlink" Target="https://journals.le.ac.uk/ojs1/index.php/new-directions/article/view/2905/266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21/ed5009624" TargetMode="External"/><Relationship Id="rId34" Type="http://schemas.openxmlformats.org/officeDocument/2006/relationships/hyperlink" Target="https://doi.org/10.1021/ed100200k" TargetMode="External"/><Relationship Id="rId7" Type="http://schemas.openxmlformats.org/officeDocument/2006/relationships/image" Target="media/image1.tiff"/><Relationship Id="rId12" Type="http://schemas.openxmlformats.org/officeDocument/2006/relationships/hyperlink" Target="http://10.1002/sce.10106" TargetMode="External"/><Relationship Id="rId17" Type="http://schemas.openxmlformats.org/officeDocument/2006/relationships/hyperlink" Target="https://www.rsc.org/images/Accreditation%20criteria%202017-%20update%20july%2017_tcm18-151306.pdf" TargetMode="External"/><Relationship Id="rId25" Type="http://schemas.openxmlformats.org/officeDocument/2006/relationships/hyperlink" Target="http://www.rsc.org/learn-chemistry/resources/business-skills-and-commercial-awareness-for-chemists/docs/skillsdoc1.pdf" TargetMode="External"/><Relationship Id="rId33" Type="http://schemas.openxmlformats.org/officeDocument/2006/relationships/hyperlink" Target="https://pubs.acs.org/doi/abs/10.1021/ed100200k" TargetMode="External"/><Relationship Id="rId38" Type="http://schemas.openxmlformats.org/officeDocument/2006/relationships/hyperlink" Target="https://doi.org/10.1080/02602938.2014.919628" TargetMode="External"/><Relationship Id="rId2" Type="http://schemas.openxmlformats.org/officeDocument/2006/relationships/styles" Target="styles.xml"/><Relationship Id="rId16" Type="http://schemas.openxmlformats.org/officeDocument/2006/relationships/hyperlink" Target="https://doi.org/10.1021/ed300491c" TargetMode="External"/><Relationship Id="rId20" Type="http://schemas.openxmlformats.org/officeDocument/2006/relationships/hyperlink" Target="https://doi.org/10.1021/acs.jchemed.8b00109" TargetMode="External"/><Relationship Id="rId29" Type="http://schemas.openxmlformats.org/officeDocument/2006/relationships/hyperlink" Target="https://doi.org/10.1021/ed085p1644" TargetMode="External"/><Relationship Id="rId41"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doi.org/10.1021/ed085p1644" TargetMode="External"/><Relationship Id="rId32" Type="http://schemas.openxmlformats.org/officeDocument/2006/relationships/hyperlink" Target="https://doi.org/10.1039/C7RP00003K" TargetMode="External"/><Relationship Id="rId37" Type="http://schemas.openxmlformats.org/officeDocument/2006/relationships/hyperlink" Target="http://oro.open.ac.uk/view/person/jr96.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2/tea.21326" TargetMode="External"/><Relationship Id="rId23" Type="http://schemas.openxmlformats.org/officeDocument/2006/relationships/hyperlink" Target="https://doi.org/10.1021/acs.jchemed.9b00142" TargetMode="External"/><Relationship Id="rId28" Type="http://schemas.openxmlformats.org/officeDocument/2006/relationships/hyperlink" Target="https://doi.org/10.1021/ed101111g" TargetMode="External"/><Relationship Id="rId36" Type="http://schemas.openxmlformats.org/officeDocument/2006/relationships/hyperlink" Target="http://www.rsc.org/learn-chemistry/resource/res00001064/the-interactive-lab-primer?cmpid=CMP00007674" TargetMode="External"/><Relationship Id="rId10" Type="http://schemas.openxmlformats.org/officeDocument/2006/relationships/image" Target="media/image2.emf"/><Relationship Id="rId19" Type="http://schemas.openxmlformats.org/officeDocument/2006/relationships/hyperlink" Target="https://doi.org/10.1021/acs.jchemed.6b00266" TargetMode="External"/><Relationship Id="rId31" Type="http://schemas.openxmlformats.org/officeDocument/2006/relationships/hyperlink" Target="https://doi.org/10.1021/acs.jchemed.6b002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21/acs.jchemed.5b00463" TargetMode="External"/><Relationship Id="rId22" Type="http://schemas.openxmlformats.org/officeDocument/2006/relationships/hyperlink" Target="https://doi.org/10.1021/acs.jchemed.8b00549" TargetMode="External"/><Relationship Id="rId27" Type="http://schemas.openxmlformats.org/officeDocument/2006/relationships/hyperlink" Target="https://doi.org/10.29311/ndtps.v0i13.2905" TargetMode="External"/><Relationship Id="rId30" Type="http://schemas.openxmlformats.org/officeDocument/2006/relationships/hyperlink" Target="https://doi.org/10.1021/acs.jchemed.5b00464" TargetMode="External"/><Relationship Id="rId35" Type="http://schemas.openxmlformats.org/officeDocument/2006/relationships/hyperlink" Target="https://doi.org/10.1021/ed084p14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20Hancock\Downloads\JCE_2018_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JCE_2018_Manuscript</Template>
  <TotalTime>140</TotalTime>
  <Pages>16</Pages>
  <Words>5216</Words>
  <Characters>31830</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Company>Journal of Chemical Education</Company>
  <LinksUpToDate>false</LinksUpToDate>
  <CharactersWithSpaces>36973</CharactersWithSpaces>
  <SharedDoc>false</SharedDoc>
  <HLinks>
    <vt:vector size="12" baseType="variant">
      <vt:variant>
        <vt:i4>3670018</vt:i4>
      </vt:variant>
      <vt:variant>
        <vt:i4>6</vt:i4>
      </vt:variant>
      <vt:variant>
        <vt:i4>0</vt:i4>
      </vt:variant>
      <vt:variant>
        <vt:i4>5</vt:i4>
      </vt:variant>
      <vt:variant>
        <vt:lpwstr>http://pubs.acs.org/paragonplus/submission/jceda8/jceda8_authguide.pdf</vt:lpwstr>
      </vt:variant>
      <vt:variant>
        <vt:lpwstr/>
      </vt:variant>
      <vt:variant>
        <vt:i4>3276867</vt:i4>
      </vt:variant>
      <vt:variant>
        <vt:i4>0</vt:i4>
      </vt:variant>
      <vt:variant>
        <vt:i4>0</vt:i4>
      </vt:variant>
      <vt:variant>
        <vt:i4>5</vt:i4>
      </vt:variant>
      <vt:variant>
        <vt:lpwstr>http://pubs.acs.org/page/jceda8/topics.html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Hancock</cp:lastModifiedBy>
  <cp:revision>4</cp:revision>
  <cp:lastPrinted>2019-11-27T11:55:00Z</cp:lastPrinted>
  <dcterms:created xsi:type="dcterms:W3CDTF">2020-02-12T12:13:00Z</dcterms:created>
  <dcterms:modified xsi:type="dcterms:W3CDTF">2020-02-12T14:36:00Z</dcterms:modified>
</cp:coreProperties>
</file>