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8BD2" w14:textId="11DA7F95" w:rsidR="00364E1C" w:rsidRDefault="00047E8A" w:rsidP="00467332">
      <w:r w:rsidRPr="00467332">
        <w:t xml:space="preserve">RUNNING HEAD: </w:t>
      </w:r>
      <w:r w:rsidR="00467332" w:rsidRPr="00467332">
        <w:t>MEASURING RESPONSE TO CLINICAL CARE</w:t>
      </w:r>
    </w:p>
    <w:p w14:paraId="22D40EE4" w14:textId="77777777" w:rsidR="00CF1DF7" w:rsidRDefault="00CF1DF7" w:rsidP="008C1934">
      <w:pPr>
        <w:pStyle w:val="Title2"/>
        <w:rPr>
          <w:b/>
          <w:bCs/>
        </w:rPr>
      </w:pPr>
      <w:bookmarkStart w:id="0" w:name="_Hlk35686835"/>
    </w:p>
    <w:p w14:paraId="36093677" w14:textId="070696CE" w:rsidR="00C7272A" w:rsidRDefault="00C7272A" w:rsidP="008C1934">
      <w:pPr>
        <w:pStyle w:val="Title2"/>
        <w:rPr>
          <w:b/>
          <w:bCs/>
        </w:rPr>
      </w:pPr>
      <w:r w:rsidRPr="00A12105">
        <w:rPr>
          <w:b/>
          <w:bCs/>
        </w:rPr>
        <w:t xml:space="preserve">Measuring Response to Clinical Care </w:t>
      </w:r>
      <w:r w:rsidR="00744E10" w:rsidRPr="00A12105">
        <w:rPr>
          <w:b/>
          <w:bCs/>
        </w:rPr>
        <w:t>in</w:t>
      </w:r>
      <w:r w:rsidRPr="00A12105">
        <w:rPr>
          <w:b/>
          <w:bCs/>
        </w:rPr>
        <w:t xml:space="preserve"> Children and Young People with Anxiety, Depression, OCD or PTSD: An International Standard Set of Outcome Measures</w:t>
      </w:r>
      <w:r w:rsidRPr="00A12105" w:rsidDel="00C53E3E">
        <w:rPr>
          <w:b/>
          <w:bCs/>
        </w:rPr>
        <w:t xml:space="preserve"> </w:t>
      </w:r>
    </w:p>
    <w:p w14:paraId="2F8DBC4F" w14:textId="568DAD87" w:rsidR="00D53BE2" w:rsidRPr="00DA3D25" w:rsidRDefault="00D53BE2" w:rsidP="00D53BE2">
      <w:pPr>
        <w:pStyle w:val="Authorsandaffiliations"/>
        <w:rPr>
          <w:b w:val="0"/>
          <w:bCs/>
          <w:lang w:val="de-DE"/>
        </w:rPr>
      </w:pPr>
      <w:r w:rsidRPr="006203E5">
        <w:rPr>
          <w:b w:val="0"/>
          <w:bCs/>
          <w:lang w:val="de-DE"/>
        </w:rPr>
        <w:t>Karolin Krause, Sophie Chung,</w:t>
      </w:r>
      <w:r>
        <w:rPr>
          <w:b w:val="0"/>
          <w:bCs/>
          <w:lang w:val="de-DE"/>
        </w:rPr>
        <w:t xml:space="preserve"> </w:t>
      </w:r>
      <w:r w:rsidRPr="00771739">
        <w:rPr>
          <w:b w:val="0"/>
          <w:bCs/>
          <w:lang w:val="de-DE"/>
        </w:rPr>
        <w:t xml:space="preserve">Abiodun O. Adewuya, </w:t>
      </w:r>
      <w:r w:rsidRPr="00F21154">
        <w:rPr>
          <w:b w:val="0"/>
          <w:bCs/>
          <w:lang w:val="de-DE"/>
        </w:rPr>
        <w:t>Anne Marie Albano, Rochelle Babins-Wagner,</w:t>
      </w:r>
      <w:r>
        <w:rPr>
          <w:b w:val="0"/>
          <w:bCs/>
          <w:lang w:val="de-DE"/>
        </w:rPr>
        <w:t xml:space="preserve"> </w:t>
      </w:r>
      <w:r w:rsidRPr="00DA3D25">
        <w:rPr>
          <w:b w:val="0"/>
          <w:bCs/>
          <w:lang w:val="de-DE"/>
        </w:rPr>
        <w:t>Peter Brann,</w:t>
      </w:r>
    </w:p>
    <w:p w14:paraId="69B74524" w14:textId="77D9A235" w:rsidR="00D53BE2" w:rsidRPr="00771739" w:rsidRDefault="00D53BE2" w:rsidP="00D53BE2">
      <w:pPr>
        <w:pStyle w:val="Authorsandaffiliations"/>
        <w:rPr>
          <w:b w:val="0"/>
          <w:bCs/>
        </w:rPr>
      </w:pPr>
      <w:r w:rsidRPr="004C517C">
        <w:rPr>
          <w:b w:val="0"/>
          <w:bCs/>
        </w:rPr>
        <w:t xml:space="preserve">Laura Birkinshaw, </w:t>
      </w:r>
      <w:r w:rsidRPr="00B77A90">
        <w:rPr>
          <w:b w:val="0"/>
          <w:bCs/>
        </w:rPr>
        <w:t>Cathy Creswell</w:t>
      </w:r>
      <w:r>
        <w:rPr>
          <w:b w:val="0"/>
          <w:bCs/>
        </w:rPr>
        <w:t xml:space="preserve">, </w:t>
      </w:r>
      <w:r w:rsidRPr="00B77A90">
        <w:rPr>
          <w:b w:val="0"/>
          <w:bCs/>
        </w:rPr>
        <w:t>Kathleen Delaney</w:t>
      </w:r>
      <w:r>
        <w:rPr>
          <w:b w:val="0"/>
          <w:bCs/>
        </w:rPr>
        <w:t xml:space="preserve">, </w:t>
      </w:r>
      <w:r w:rsidRPr="00B77A90">
        <w:rPr>
          <w:b w:val="0"/>
          <w:bCs/>
        </w:rPr>
        <w:t>Bruno Falissard</w:t>
      </w:r>
      <w:r>
        <w:rPr>
          <w:b w:val="0"/>
          <w:bCs/>
        </w:rPr>
        <w:t xml:space="preserve">, </w:t>
      </w:r>
      <w:r w:rsidRPr="00B77A90">
        <w:rPr>
          <w:b w:val="0"/>
          <w:bCs/>
        </w:rPr>
        <w:t>Christopher B. Forrest</w:t>
      </w:r>
      <w:r>
        <w:rPr>
          <w:b w:val="0"/>
          <w:bCs/>
        </w:rPr>
        <w:t xml:space="preserve">, </w:t>
      </w:r>
      <w:r w:rsidRPr="00771739">
        <w:rPr>
          <w:b w:val="0"/>
          <w:bCs/>
        </w:rPr>
        <w:t>Jennifer L. Hudson,</w:t>
      </w:r>
    </w:p>
    <w:p w14:paraId="157C4F70" w14:textId="59402185" w:rsidR="00D53BE2" w:rsidRPr="00DA3D25" w:rsidRDefault="00D53BE2" w:rsidP="00D53BE2">
      <w:pPr>
        <w:pStyle w:val="Authorsandaffiliations"/>
        <w:rPr>
          <w:b w:val="0"/>
          <w:bCs/>
        </w:rPr>
      </w:pPr>
      <w:r w:rsidRPr="00123104">
        <w:rPr>
          <w:b w:val="0"/>
          <w:bCs/>
        </w:rPr>
        <w:t>Shin-ichi Ishikawa, Meghna Khatwani, Christian Kieling, Judi Krause, Kanika Malik, Vania Martínez, Faraz Mughal,</w:t>
      </w:r>
      <w:r>
        <w:rPr>
          <w:b w:val="0"/>
          <w:bCs/>
        </w:rPr>
        <w:t xml:space="preserve"> </w:t>
      </w:r>
      <w:r w:rsidRPr="00973343">
        <w:rPr>
          <w:b w:val="0"/>
          <w:bCs/>
        </w:rPr>
        <w:t xml:space="preserve">Thomas H. Ollendick, </w:t>
      </w:r>
      <w:r w:rsidRPr="00B77A90">
        <w:rPr>
          <w:b w:val="0"/>
          <w:bCs/>
        </w:rPr>
        <w:t>Say How Ong</w:t>
      </w:r>
      <w:r>
        <w:rPr>
          <w:b w:val="0"/>
          <w:bCs/>
        </w:rPr>
        <w:t xml:space="preserve">, </w:t>
      </w:r>
      <w:r w:rsidRPr="004C517C">
        <w:rPr>
          <w:b w:val="0"/>
          <w:bCs/>
        </w:rPr>
        <w:t xml:space="preserve">Evie Thomas, </w:t>
      </w:r>
      <w:r w:rsidRPr="002C4F0C">
        <w:rPr>
          <w:b w:val="0"/>
          <w:bCs/>
        </w:rPr>
        <w:t xml:space="preserve">George C. Patton, </w:t>
      </w:r>
      <w:r w:rsidRPr="00123104">
        <w:rPr>
          <w:b w:val="0"/>
          <w:bCs/>
        </w:rPr>
        <w:t xml:space="preserve">Ulrike Ravens-Sieberer, Peter Szatmari, </w:t>
      </w:r>
      <w:r w:rsidRPr="00DA3D25">
        <w:rPr>
          <w:b w:val="0"/>
          <w:bCs/>
        </w:rPr>
        <w:t>Lucas Walters, Bryan Young</w:t>
      </w:r>
      <w:r>
        <w:rPr>
          <w:b w:val="0"/>
          <w:bCs/>
        </w:rPr>
        <w:t xml:space="preserve">, </w:t>
      </w:r>
      <w:r w:rsidRPr="00DA3D25">
        <w:rPr>
          <w:b w:val="0"/>
          <w:bCs/>
        </w:rPr>
        <w:t>Yue Zhao, Miranda Wolpert</w:t>
      </w:r>
    </w:p>
    <w:p w14:paraId="3368F453" w14:textId="77777777" w:rsidR="004E0AD9" w:rsidRDefault="004E0AD9" w:rsidP="00DE7C45">
      <w:pPr>
        <w:pStyle w:val="Title2"/>
        <w:jc w:val="both"/>
        <w:rPr>
          <w:b/>
          <w:bCs/>
        </w:rPr>
      </w:pPr>
    </w:p>
    <w:p w14:paraId="1D17667E" w14:textId="6E5AFB56" w:rsidR="00DE7C45" w:rsidRPr="00123104" w:rsidRDefault="00DE7C45" w:rsidP="00DE7C45">
      <w:pPr>
        <w:pStyle w:val="Title2"/>
        <w:jc w:val="both"/>
        <w:rPr>
          <w:b/>
          <w:bCs/>
        </w:rPr>
      </w:pPr>
      <w:r w:rsidRPr="00123104">
        <w:rPr>
          <w:b/>
          <w:bCs/>
        </w:rPr>
        <w:t xml:space="preserve">Author </w:t>
      </w:r>
      <w:r w:rsidR="003D3EB3">
        <w:rPr>
          <w:b/>
          <w:bCs/>
        </w:rPr>
        <w:t>A</w:t>
      </w:r>
      <w:r w:rsidRPr="00123104">
        <w:rPr>
          <w:b/>
          <w:bCs/>
        </w:rPr>
        <w:t>ffiliations</w:t>
      </w:r>
    </w:p>
    <w:p w14:paraId="16459E0E" w14:textId="03A56787" w:rsidR="00DE7C45" w:rsidRPr="00A12105" w:rsidRDefault="00DE7C45" w:rsidP="00133D69">
      <w:pPr>
        <w:pStyle w:val="Title2"/>
        <w:spacing w:after="120"/>
        <w:jc w:val="both"/>
        <w:rPr>
          <w:b/>
          <w:bCs/>
        </w:rPr>
      </w:pPr>
      <w:r>
        <w:t xml:space="preserve">Evidence Based Practice Unit, </w:t>
      </w:r>
      <w:r w:rsidRPr="00B77A90">
        <w:t>University College London</w:t>
      </w:r>
      <w:r w:rsidR="005F2746">
        <w:t xml:space="preserve"> and Anna Freud National Centre for Children and Families</w:t>
      </w:r>
      <w:r w:rsidRPr="00B77A90">
        <w:t>, London, United Kingdom</w:t>
      </w:r>
      <w:r w:rsidR="005875D4">
        <w:t xml:space="preserve"> (KK, PhD)</w:t>
      </w:r>
    </w:p>
    <w:bookmarkEnd w:id="0"/>
    <w:p w14:paraId="47267D3D" w14:textId="77777777" w:rsidR="00133D69" w:rsidRDefault="005875D4" w:rsidP="00133D69">
      <w:pPr>
        <w:pStyle w:val="Authorsandaffiliations"/>
        <w:spacing w:before="120" w:after="120"/>
        <w:rPr>
          <w:b w:val="0"/>
          <w:bCs/>
        </w:rPr>
      </w:pPr>
      <w:r w:rsidRPr="00123104">
        <w:rPr>
          <w:b w:val="0"/>
          <w:bCs/>
        </w:rPr>
        <w:t>International Consortium for Health Outcomes Measurement (ICHOM), London, United Kingdom (SC,</w:t>
      </w:r>
      <w:r w:rsidR="00133D69">
        <w:rPr>
          <w:b w:val="0"/>
          <w:bCs/>
        </w:rPr>
        <w:t xml:space="preserve"> BA)</w:t>
      </w:r>
      <w:r w:rsidRPr="00123104">
        <w:rPr>
          <w:b w:val="0"/>
          <w:bCs/>
        </w:rPr>
        <w:t xml:space="preserve"> </w:t>
      </w:r>
    </w:p>
    <w:p w14:paraId="295A3251" w14:textId="1ECEF4C7" w:rsidR="005875D4" w:rsidRDefault="005875D4" w:rsidP="00133D69">
      <w:pPr>
        <w:pStyle w:val="Authorsandaffiliations"/>
        <w:spacing w:before="120" w:after="120"/>
        <w:rPr>
          <w:b w:val="0"/>
          <w:bCs/>
        </w:rPr>
      </w:pPr>
      <w:r w:rsidRPr="00123104">
        <w:rPr>
          <w:b w:val="0"/>
          <w:bCs/>
        </w:rPr>
        <w:t>Lagos State University College of Medicine, Ikeja, Lagos, Nigeria</w:t>
      </w:r>
      <w:r>
        <w:rPr>
          <w:b w:val="0"/>
          <w:bCs/>
        </w:rPr>
        <w:t xml:space="preserve"> (AOA, </w:t>
      </w:r>
      <w:r w:rsidR="00112542">
        <w:rPr>
          <w:b w:val="0"/>
          <w:bCs/>
        </w:rPr>
        <w:t xml:space="preserve">Prof, </w:t>
      </w:r>
      <w:r w:rsidR="00112542" w:rsidRPr="00112542">
        <w:rPr>
          <w:b w:val="0"/>
          <w:bCs/>
        </w:rPr>
        <w:t>FWACP</w:t>
      </w:r>
      <w:r>
        <w:rPr>
          <w:b w:val="0"/>
          <w:bCs/>
        </w:rPr>
        <w:t>)</w:t>
      </w:r>
    </w:p>
    <w:p w14:paraId="634B6F7B" w14:textId="08A57660" w:rsidR="005875D4" w:rsidRDefault="005875D4" w:rsidP="00133D69">
      <w:pPr>
        <w:pStyle w:val="Authorsandaffiliations"/>
        <w:spacing w:before="120" w:after="120"/>
        <w:rPr>
          <w:b w:val="0"/>
          <w:bCs/>
        </w:rPr>
      </w:pPr>
      <w:r w:rsidRPr="00123104">
        <w:rPr>
          <w:b w:val="0"/>
          <w:bCs/>
        </w:rPr>
        <w:t>New York State Psychiatric Institute and Columbia University Vagelos College of Physicians and Surgeons, Columbia University, New York, N</w:t>
      </w:r>
      <w:r w:rsidR="00677D67">
        <w:rPr>
          <w:b w:val="0"/>
          <w:bCs/>
        </w:rPr>
        <w:t>ew York</w:t>
      </w:r>
      <w:r w:rsidRPr="00123104">
        <w:rPr>
          <w:b w:val="0"/>
          <w:bCs/>
        </w:rPr>
        <w:t>, USA</w:t>
      </w:r>
      <w:r>
        <w:rPr>
          <w:b w:val="0"/>
          <w:bCs/>
        </w:rPr>
        <w:t xml:space="preserve"> (AMA, </w:t>
      </w:r>
      <w:r w:rsidR="00C40CD0">
        <w:rPr>
          <w:b w:val="0"/>
          <w:bCs/>
        </w:rPr>
        <w:t xml:space="preserve">Prof, </w:t>
      </w:r>
      <w:r>
        <w:rPr>
          <w:b w:val="0"/>
          <w:bCs/>
        </w:rPr>
        <w:t>PhD)</w:t>
      </w:r>
    </w:p>
    <w:p w14:paraId="30F72EFE" w14:textId="320D808E" w:rsidR="005875D4" w:rsidRPr="00123104" w:rsidRDefault="005875D4" w:rsidP="00133D69">
      <w:pPr>
        <w:pStyle w:val="Authorsandaffiliations"/>
        <w:spacing w:before="120" w:after="120"/>
        <w:rPr>
          <w:b w:val="0"/>
          <w:bCs/>
        </w:rPr>
      </w:pPr>
      <w:r w:rsidRPr="00123104">
        <w:rPr>
          <w:b w:val="0"/>
          <w:bCs/>
        </w:rPr>
        <w:t>Calgary Counselling Centre, Calgary, AB, Canada; Faculty of Social Work, University of Calgary, Calgary, A</w:t>
      </w:r>
      <w:r w:rsidR="00677D67">
        <w:rPr>
          <w:b w:val="0"/>
          <w:bCs/>
        </w:rPr>
        <w:t>lberta</w:t>
      </w:r>
      <w:r w:rsidRPr="00123104">
        <w:rPr>
          <w:b w:val="0"/>
          <w:bCs/>
        </w:rPr>
        <w:t>, Canada</w:t>
      </w:r>
      <w:r w:rsidR="00677D67" w:rsidRPr="00123104">
        <w:rPr>
          <w:b w:val="0"/>
          <w:bCs/>
        </w:rPr>
        <w:t xml:space="preserve"> (RBW, PhD)</w:t>
      </w:r>
    </w:p>
    <w:p w14:paraId="2BC0C690" w14:textId="0B4ADEC4" w:rsidR="00CD2657" w:rsidRDefault="00677D67" w:rsidP="00133D69">
      <w:pPr>
        <w:pStyle w:val="Authorsandaffiliations"/>
        <w:spacing w:before="120" w:after="120"/>
        <w:rPr>
          <w:b w:val="0"/>
          <w:bCs/>
        </w:rPr>
      </w:pPr>
      <w:r w:rsidRPr="00123104">
        <w:rPr>
          <w:b w:val="0"/>
          <w:bCs/>
        </w:rPr>
        <w:t>Eastern Health Child and Youth Mental Health Service &amp; Monash University, Melbourne, V</w:t>
      </w:r>
      <w:r>
        <w:rPr>
          <w:b w:val="0"/>
          <w:bCs/>
        </w:rPr>
        <w:t>ictoria</w:t>
      </w:r>
      <w:r w:rsidRPr="00123104">
        <w:rPr>
          <w:b w:val="0"/>
          <w:bCs/>
        </w:rPr>
        <w:t>, Australia</w:t>
      </w:r>
      <w:r w:rsidRPr="00123104" w:rsidDel="005875D4">
        <w:rPr>
          <w:b w:val="0"/>
          <w:bCs/>
        </w:rPr>
        <w:t xml:space="preserve"> </w:t>
      </w:r>
      <w:r>
        <w:rPr>
          <w:b w:val="0"/>
          <w:bCs/>
        </w:rPr>
        <w:t>(PB, PhD)</w:t>
      </w:r>
    </w:p>
    <w:p w14:paraId="79E2A2AA" w14:textId="1403729B" w:rsidR="00677D67" w:rsidRDefault="00677D67" w:rsidP="00133D69">
      <w:pPr>
        <w:pStyle w:val="Authorsandaffiliations"/>
        <w:spacing w:before="120" w:after="120"/>
        <w:rPr>
          <w:b w:val="0"/>
          <w:bCs/>
        </w:rPr>
      </w:pPr>
      <w:r w:rsidRPr="00123104">
        <w:rPr>
          <w:b w:val="0"/>
          <w:bCs/>
        </w:rPr>
        <w:t>Young Minds, London, United Kingdom (LB, HBA)</w:t>
      </w:r>
    </w:p>
    <w:p w14:paraId="70B9259E" w14:textId="02EF82E2" w:rsidR="005F43CA" w:rsidRDefault="005F43CA" w:rsidP="00133D69">
      <w:pPr>
        <w:pStyle w:val="Authorsandaffiliations"/>
        <w:spacing w:before="120" w:after="120"/>
        <w:rPr>
          <w:b w:val="0"/>
          <w:bCs/>
        </w:rPr>
      </w:pPr>
      <w:r w:rsidRPr="00123104">
        <w:rPr>
          <w:b w:val="0"/>
          <w:bCs/>
        </w:rPr>
        <w:t>Departments of Experimental Psychology and Psychiatry, University of Oxford, Oxford, United Kingdom</w:t>
      </w:r>
      <w:r>
        <w:rPr>
          <w:b w:val="0"/>
          <w:bCs/>
        </w:rPr>
        <w:t xml:space="preserve"> (CC, </w:t>
      </w:r>
      <w:r w:rsidR="00B521C8">
        <w:rPr>
          <w:b w:val="0"/>
          <w:bCs/>
        </w:rPr>
        <w:t xml:space="preserve">Prof, </w:t>
      </w:r>
      <w:r>
        <w:rPr>
          <w:b w:val="0"/>
          <w:bCs/>
        </w:rPr>
        <w:t>PhD)</w:t>
      </w:r>
    </w:p>
    <w:p w14:paraId="3AC0D6EA" w14:textId="32DE353A" w:rsidR="005F43CA" w:rsidRDefault="005F43CA" w:rsidP="00133D69">
      <w:pPr>
        <w:pStyle w:val="Authorsandaffiliations"/>
        <w:spacing w:before="120" w:after="120"/>
        <w:rPr>
          <w:b w:val="0"/>
          <w:bCs/>
        </w:rPr>
      </w:pPr>
      <w:r w:rsidRPr="00123104">
        <w:rPr>
          <w:b w:val="0"/>
          <w:bCs/>
        </w:rPr>
        <w:t>Rush College of Nursing, Chicago, Illinois, USA</w:t>
      </w:r>
      <w:r>
        <w:rPr>
          <w:b w:val="0"/>
          <w:bCs/>
        </w:rPr>
        <w:t xml:space="preserve"> (KD, </w:t>
      </w:r>
      <w:r w:rsidR="00B521C8">
        <w:rPr>
          <w:b w:val="0"/>
          <w:bCs/>
        </w:rPr>
        <w:t xml:space="preserve">Prof, </w:t>
      </w:r>
      <w:r>
        <w:rPr>
          <w:b w:val="0"/>
          <w:bCs/>
        </w:rPr>
        <w:t>PhD)</w:t>
      </w:r>
    </w:p>
    <w:p w14:paraId="56BD7F95" w14:textId="2D408C5D" w:rsidR="005F43CA" w:rsidRDefault="005F43CA" w:rsidP="00133D69">
      <w:pPr>
        <w:pStyle w:val="Authorsandaffiliations"/>
        <w:spacing w:before="120" w:after="120"/>
        <w:rPr>
          <w:b w:val="0"/>
          <w:bCs/>
          <w:lang w:val="fr-BE"/>
        </w:rPr>
      </w:pPr>
      <w:r w:rsidRPr="00123104">
        <w:rPr>
          <w:b w:val="0"/>
          <w:bCs/>
          <w:lang w:val="fr-BE"/>
        </w:rPr>
        <w:t>Université Paris-Saclay, Université de Versailles Saint-Quentin-en-Yvelines, Institut national de la santé et de la recherche médicale (INSERM), Centre de recherche en Epidémiologie et Santé des Populations (CESP)</w:t>
      </w:r>
      <w:r>
        <w:rPr>
          <w:b w:val="0"/>
          <w:bCs/>
          <w:lang w:val="fr-BE"/>
        </w:rPr>
        <w:t xml:space="preserve">, </w:t>
      </w:r>
      <w:r w:rsidR="004B5CA3" w:rsidRPr="004B5CA3">
        <w:rPr>
          <w:b w:val="0"/>
          <w:bCs/>
          <w:lang w:val="fr-BE"/>
        </w:rPr>
        <w:t>Villejuif</w:t>
      </w:r>
      <w:r>
        <w:rPr>
          <w:b w:val="0"/>
          <w:bCs/>
          <w:lang w:val="fr-BE"/>
        </w:rPr>
        <w:t xml:space="preserve">, </w:t>
      </w:r>
      <w:r w:rsidRPr="005F43CA">
        <w:rPr>
          <w:b w:val="0"/>
          <w:bCs/>
          <w:lang w:val="fr-BE"/>
        </w:rPr>
        <w:t>Île-de-France</w:t>
      </w:r>
      <w:r>
        <w:rPr>
          <w:b w:val="0"/>
          <w:bCs/>
          <w:lang w:val="fr-BE"/>
        </w:rPr>
        <w:t xml:space="preserve">, </w:t>
      </w:r>
      <w:r w:rsidR="004B5CA3">
        <w:rPr>
          <w:b w:val="0"/>
          <w:bCs/>
          <w:lang w:val="fr-BE"/>
        </w:rPr>
        <w:t xml:space="preserve">France (BF, </w:t>
      </w:r>
      <w:r w:rsidR="006C2A38">
        <w:rPr>
          <w:b w:val="0"/>
          <w:bCs/>
          <w:lang w:val="fr-BE"/>
        </w:rPr>
        <w:t>MD</w:t>
      </w:r>
      <w:r w:rsidR="002E6182">
        <w:rPr>
          <w:b w:val="0"/>
          <w:bCs/>
          <w:lang w:val="fr-BE"/>
        </w:rPr>
        <w:t xml:space="preserve"> &amp; </w:t>
      </w:r>
      <w:r w:rsidR="004B5CA3">
        <w:rPr>
          <w:b w:val="0"/>
          <w:bCs/>
          <w:lang w:val="fr-BE"/>
        </w:rPr>
        <w:t>PhD)</w:t>
      </w:r>
    </w:p>
    <w:p w14:paraId="3744E2CA" w14:textId="0F3550D5" w:rsidR="004B5CA3" w:rsidRDefault="004B5CA3" w:rsidP="00133D69">
      <w:pPr>
        <w:pStyle w:val="Authorsandaffiliations"/>
        <w:spacing w:before="120" w:after="120"/>
        <w:rPr>
          <w:b w:val="0"/>
          <w:bCs/>
        </w:rPr>
      </w:pPr>
      <w:r w:rsidRPr="00123104">
        <w:rPr>
          <w:b w:val="0"/>
          <w:bCs/>
        </w:rPr>
        <w:t xml:space="preserve">Children’s Hospital of Philadelphia, Philadelphia, </w:t>
      </w:r>
      <w:r w:rsidRPr="00123104">
        <w:rPr>
          <w:b w:val="0"/>
          <w:bCs/>
        </w:rPr>
        <w:tab/>
        <w:t>Pennsylvania, USA</w:t>
      </w:r>
      <w:r>
        <w:rPr>
          <w:b w:val="0"/>
          <w:bCs/>
        </w:rPr>
        <w:t xml:space="preserve"> (CBF,</w:t>
      </w:r>
      <w:r w:rsidR="00B521C8">
        <w:rPr>
          <w:b w:val="0"/>
          <w:bCs/>
        </w:rPr>
        <w:t xml:space="preserve"> Prof,</w:t>
      </w:r>
      <w:r>
        <w:rPr>
          <w:b w:val="0"/>
          <w:bCs/>
        </w:rPr>
        <w:t xml:space="preserve"> PhD)</w:t>
      </w:r>
    </w:p>
    <w:p w14:paraId="50146CC8" w14:textId="71AB9E4D" w:rsidR="00224391" w:rsidRDefault="00224391" w:rsidP="00133D69">
      <w:pPr>
        <w:pStyle w:val="Authorsandaffiliations"/>
        <w:spacing w:before="120" w:after="120"/>
        <w:rPr>
          <w:b w:val="0"/>
          <w:bCs/>
        </w:rPr>
      </w:pPr>
      <w:r w:rsidRPr="00123104">
        <w:rPr>
          <w:b w:val="0"/>
          <w:bCs/>
        </w:rPr>
        <w:t xml:space="preserve">Centre for Emotional Health, Department of Psychology, Macquarie University, Sydney, </w:t>
      </w:r>
      <w:r>
        <w:rPr>
          <w:b w:val="0"/>
          <w:bCs/>
        </w:rPr>
        <w:t xml:space="preserve">New South Wales, </w:t>
      </w:r>
      <w:r w:rsidRPr="00123104">
        <w:rPr>
          <w:b w:val="0"/>
          <w:bCs/>
        </w:rPr>
        <w:t>Australia</w:t>
      </w:r>
      <w:r>
        <w:rPr>
          <w:b w:val="0"/>
          <w:bCs/>
        </w:rPr>
        <w:t xml:space="preserve"> (JLH, </w:t>
      </w:r>
      <w:r w:rsidR="00B521C8">
        <w:rPr>
          <w:b w:val="0"/>
          <w:bCs/>
        </w:rPr>
        <w:t xml:space="preserve">Professor, </w:t>
      </w:r>
      <w:r>
        <w:rPr>
          <w:b w:val="0"/>
          <w:bCs/>
        </w:rPr>
        <w:t>PhD)</w:t>
      </w:r>
    </w:p>
    <w:p w14:paraId="59F05C3D" w14:textId="55F410D2" w:rsidR="00224391" w:rsidRDefault="00224391" w:rsidP="00133D69">
      <w:pPr>
        <w:pStyle w:val="Authorsandaffiliations"/>
        <w:spacing w:before="120" w:after="120"/>
        <w:rPr>
          <w:b w:val="0"/>
          <w:bCs/>
        </w:rPr>
      </w:pPr>
      <w:r w:rsidRPr="00123104">
        <w:rPr>
          <w:b w:val="0"/>
          <w:bCs/>
        </w:rPr>
        <w:t>Faculty of Psychology, Doshisha University, Kyoto, Japan</w:t>
      </w:r>
      <w:r>
        <w:rPr>
          <w:b w:val="0"/>
          <w:bCs/>
        </w:rPr>
        <w:t xml:space="preserve"> (SI</w:t>
      </w:r>
      <w:r w:rsidR="00903DEB">
        <w:rPr>
          <w:b w:val="0"/>
          <w:bCs/>
        </w:rPr>
        <w:t xml:space="preserve">, </w:t>
      </w:r>
      <w:r w:rsidR="003D3EB3">
        <w:rPr>
          <w:b w:val="0"/>
          <w:bCs/>
        </w:rPr>
        <w:t xml:space="preserve">Prof, </w:t>
      </w:r>
      <w:r w:rsidR="00903DEB">
        <w:rPr>
          <w:b w:val="0"/>
          <w:bCs/>
        </w:rPr>
        <w:t>PhD)</w:t>
      </w:r>
    </w:p>
    <w:p w14:paraId="63FDA8D9" w14:textId="2B536006" w:rsidR="00903DEB" w:rsidRPr="00123104" w:rsidRDefault="00903DEB" w:rsidP="00133D69">
      <w:pPr>
        <w:pStyle w:val="Authorsandaffiliations"/>
        <w:spacing w:before="120" w:after="120"/>
        <w:rPr>
          <w:b w:val="0"/>
          <w:bCs/>
        </w:rPr>
      </w:pPr>
      <w:r w:rsidRPr="00123104">
        <w:rPr>
          <w:b w:val="0"/>
          <w:bCs/>
        </w:rPr>
        <w:t xml:space="preserve">Department of Psychology, University of Delhi, New Delhi, </w:t>
      </w:r>
      <w:r>
        <w:rPr>
          <w:b w:val="0"/>
          <w:bCs/>
        </w:rPr>
        <w:t xml:space="preserve">Delhi, </w:t>
      </w:r>
      <w:r w:rsidRPr="00123104">
        <w:rPr>
          <w:b w:val="0"/>
          <w:bCs/>
        </w:rPr>
        <w:t>India</w:t>
      </w:r>
      <w:r w:rsidR="002820BC">
        <w:rPr>
          <w:b w:val="0"/>
          <w:bCs/>
        </w:rPr>
        <w:t xml:space="preserve"> (MK, BA)</w:t>
      </w:r>
    </w:p>
    <w:p w14:paraId="3E82CFCF" w14:textId="67A65E0B" w:rsidR="002820BC" w:rsidRDefault="002820BC" w:rsidP="00133D69">
      <w:pPr>
        <w:pStyle w:val="Authorsandaffiliations"/>
        <w:spacing w:before="120" w:after="120"/>
        <w:rPr>
          <w:b w:val="0"/>
          <w:bCs/>
          <w:lang w:val="pt-BR"/>
        </w:rPr>
      </w:pPr>
      <w:r w:rsidRPr="00123104">
        <w:rPr>
          <w:b w:val="0"/>
          <w:bCs/>
          <w:lang w:val="pt-BR"/>
        </w:rPr>
        <w:t xml:space="preserve">Hospital de Clínicas de Porto Alegre, Universidade Federal do Rio Grande do Sul, Porto Alegre, </w:t>
      </w:r>
      <w:r w:rsidRPr="002820BC">
        <w:rPr>
          <w:b w:val="0"/>
          <w:bCs/>
          <w:lang w:val="pt-BR"/>
        </w:rPr>
        <w:t>Rio Grande do Sul</w:t>
      </w:r>
      <w:r>
        <w:rPr>
          <w:b w:val="0"/>
          <w:bCs/>
          <w:lang w:val="pt-BR"/>
        </w:rPr>
        <w:t>,</w:t>
      </w:r>
      <w:r w:rsidRPr="00123104">
        <w:rPr>
          <w:b w:val="0"/>
          <w:bCs/>
          <w:lang w:val="pt-BR"/>
        </w:rPr>
        <w:t xml:space="preserve"> Brazil</w:t>
      </w:r>
      <w:r>
        <w:rPr>
          <w:b w:val="0"/>
          <w:bCs/>
          <w:lang w:val="pt-BR"/>
        </w:rPr>
        <w:t xml:space="preserve"> (CK, </w:t>
      </w:r>
      <w:r w:rsidR="00CF4871">
        <w:rPr>
          <w:b w:val="0"/>
          <w:bCs/>
          <w:lang w:val="pt-BR"/>
        </w:rPr>
        <w:t>M</w:t>
      </w:r>
      <w:r>
        <w:rPr>
          <w:b w:val="0"/>
          <w:bCs/>
          <w:lang w:val="pt-BR"/>
        </w:rPr>
        <w:t>D)</w:t>
      </w:r>
    </w:p>
    <w:p w14:paraId="7130BB3F" w14:textId="2C80B734" w:rsidR="002820BC" w:rsidRPr="00123104" w:rsidRDefault="002820BC" w:rsidP="00133D69">
      <w:pPr>
        <w:pStyle w:val="Authorsandaffiliations"/>
        <w:spacing w:before="120" w:after="120"/>
        <w:rPr>
          <w:b w:val="0"/>
          <w:bCs/>
        </w:rPr>
      </w:pPr>
      <w:r w:rsidRPr="00123104">
        <w:rPr>
          <w:b w:val="0"/>
          <w:bCs/>
        </w:rPr>
        <w:lastRenderedPageBreak/>
        <w:t xml:space="preserve">Child and Youth Mental Health Service, Children’s Health Queensland Hospital and Health Service, Brisbane, </w:t>
      </w:r>
      <w:r w:rsidRPr="002820BC">
        <w:rPr>
          <w:b w:val="0"/>
          <w:bCs/>
        </w:rPr>
        <w:t>Queensland</w:t>
      </w:r>
      <w:r>
        <w:rPr>
          <w:b w:val="0"/>
          <w:bCs/>
        </w:rPr>
        <w:t>,</w:t>
      </w:r>
      <w:r w:rsidRPr="00123104">
        <w:rPr>
          <w:b w:val="0"/>
          <w:bCs/>
        </w:rPr>
        <w:t xml:space="preserve"> Australia</w:t>
      </w:r>
      <w:r>
        <w:rPr>
          <w:b w:val="0"/>
          <w:bCs/>
        </w:rPr>
        <w:t xml:space="preserve"> (JK, MA)</w:t>
      </w:r>
    </w:p>
    <w:p w14:paraId="08B26A74" w14:textId="5864406F" w:rsidR="002820BC" w:rsidRPr="00123104" w:rsidRDefault="002820BC" w:rsidP="00133D69">
      <w:pPr>
        <w:pStyle w:val="Authorsandaffiliations"/>
        <w:spacing w:before="120" w:after="120"/>
        <w:rPr>
          <w:b w:val="0"/>
          <w:bCs/>
        </w:rPr>
      </w:pPr>
      <w:r w:rsidRPr="00123104">
        <w:rPr>
          <w:b w:val="0"/>
          <w:bCs/>
        </w:rPr>
        <w:t>Sangath, New Delhi, Delhi, India</w:t>
      </w:r>
      <w:r>
        <w:rPr>
          <w:b w:val="0"/>
          <w:bCs/>
        </w:rPr>
        <w:t xml:space="preserve"> (KM, PhD)</w:t>
      </w:r>
    </w:p>
    <w:p w14:paraId="682BB6DA" w14:textId="45F755F4" w:rsidR="00313B1D" w:rsidRPr="00B77A90" w:rsidRDefault="00313B1D" w:rsidP="00400377">
      <w:pPr>
        <w:pStyle w:val="Affiliations"/>
        <w:spacing w:before="120" w:after="120"/>
        <w:rPr>
          <w:lang w:val="en-GB"/>
        </w:rPr>
      </w:pPr>
      <w:r w:rsidRPr="00B77A90">
        <w:rPr>
          <w:lang w:val="en-GB"/>
        </w:rPr>
        <w:t>Centro de Medicina Reproductiva y Desarrollo Integral del Adolescente (CEMERA), Facultad de Medicina, Universidad de Chile; Millennium Nucleus to Improve the Mental Health of Adolescents and Youths (Imhay); Millennium Institute for Research in Depression and Personality (MIDAP), Santiago</w:t>
      </w:r>
      <w:r>
        <w:rPr>
          <w:lang w:val="en-GB"/>
        </w:rPr>
        <w:t xml:space="preserve"> de Chile</w:t>
      </w:r>
      <w:r w:rsidRPr="00B77A90">
        <w:rPr>
          <w:lang w:val="en-GB"/>
        </w:rPr>
        <w:t>,</w:t>
      </w:r>
      <w:r>
        <w:rPr>
          <w:lang w:val="en-GB"/>
        </w:rPr>
        <w:t xml:space="preserve"> </w:t>
      </w:r>
      <w:r w:rsidRPr="00313B1D">
        <w:rPr>
          <w:lang w:val="en-GB"/>
        </w:rPr>
        <w:t>Región Metropolitana</w:t>
      </w:r>
      <w:r>
        <w:rPr>
          <w:lang w:val="en-GB"/>
        </w:rPr>
        <w:t>,</w:t>
      </w:r>
      <w:r w:rsidRPr="00B77A90">
        <w:rPr>
          <w:lang w:val="en-GB"/>
        </w:rPr>
        <w:t xml:space="preserve"> Chile</w:t>
      </w:r>
      <w:r>
        <w:rPr>
          <w:lang w:val="en-GB"/>
        </w:rPr>
        <w:t xml:space="preserve"> (VM, </w:t>
      </w:r>
      <w:r w:rsidR="00B521C8">
        <w:rPr>
          <w:lang w:val="en-GB"/>
        </w:rPr>
        <w:t xml:space="preserve">Prof, </w:t>
      </w:r>
      <w:r>
        <w:rPr>
          <w:lang w:val="en-GB"/>
        </w:rPr>
        <w:t>PhD</w:t>
      </w:r>
      <w:r w:rsidR="00A16B00">
        <w:rPr>
          <w:lang w:val="en-GB"/>
        </w:rPr>
        <w:t>)</w:t>
      </w:r>
    </w:p>
    <w:p w14:paraId="3E99E59A" w14:textId="54716664" w:rsidR="00313B1D" w:rsidRPr="00123104" w:rsidRDefault="00313B1D" w:rsidP="00133D69">
      <w:pPr>
        <w:pStyle w:val="Authorsandaffiliations"/>
        <w:spacing w:before="120" w:after="120"/>
        <w:rPr>
          <w:b w:val="0"/>
          <w:bCs/>
        </w:rPr>
      </w:pPr>
      <w:r w:rsidRPr="00123104">
        <w:rPr>
          <w:b w:val="0"/>
          <w:bCs/>
        </w:rPr>
        <w:t xml:space="preserve">School of Primary, Community and Social Care, Keele University, </w:t>
      </w:r>
      <w:r w:rsidR="00960938" w:rsidRPr="00123104">
        <w:rPr>
          <w:b w:val="0"/>
          <w:bCs/>
        </w:rPr>
        <w:t xml:space="preserve">Keele </w:t>
      </w:r>
      <w:r w:rsidR="00960938">
        <w:rPr>
          <w:b w:val="0"/>
          <w:bCs/>
        </w:rPr>
        <w:t>,</w:t>
      </w:r>
      <w:r w:rsidRPr="00123104">
        <w:rPr>
          <w:b w:val="0"/>
          <w:bCs/>
        </w:rPr>
        <w:t>Staffordshire, United Kingdom</w:t>
      </w:r>
      <w:r w:rsidR="00960938">
        <w:rPr>
          <w:b w:val="0"/>
          <w:bCs/>
        </w:rPr>
        <w:t xml:space="preserve"> (FM, </w:t>
      </w:r>
      <w:r w:rsidR="00960938" w:rsidRPr="00123104">
        <w:rPr>
          <w:b w:val="0"/>
          <w:bCs/>
        </w:rPr>
        <w:t>MBChB</w:t>
      </w:r>
      <w:r w:rsidR="00960938">
        <w:rPr>
          <w:b w:val="0"/>
          <w:bCs/>
        </w:rPr>
        <w:t>)</w:t>
      </w:r>
    </w:p>
    <w:p w14:paraId="59C6A510" w14:textId="25B13284" w:rsidR="00960938" w:rsidRDefault="00960938" w:rsidP="00133D69">
      <w:pPr>
        <w:pStyle w:val="Authorsandaffiliations"/>
        <w:spacing w:before="120" w:after="120"/>
        <w:rPr>
          <w:b w:val="0"/>
          <w:bCs/>
        </w:rPr>
      </w:pPr>
      <w:r w:rsidRPr="00123104">
        <w:rPr>
          <w:b w:val="0"/>
          <w:bCs/>
        </w:rPr>
        <w:t xml:space="preserve">Child Study Center, Department of Psychology, Virginia Tech, Blacksburg, </w:t>
      </w:r>
      <w:r w:rsidRPr="00960938">
        <w:rPr>
          <w:b w:val="0"/>
          <w:bCs/>
        </w:rPr>
        <w:t>Virginia</w:t>
      </w:r>
      <w:r w:rsidRPr="00123104">
        <w:rPr>
          <w:b w:val="0"/>
          <w:bCs/>
        </w:rPr>
        <w:t>, USA</w:t>
      </w:r>
      <w:r>
        <w:rPr>
          <w:b w:val="0"/>
          <w:bCs/>
        </w:rPr>
        <w:t xml:space="preserve"> (THO, </w:t>
      </w:r>
      <w:r w:rsidR="00B521C8">
        <w:rPr>
          <w:b w:val="0"/>
          <w:bCs/>
        </w:rPr>
        <w:t xml:space="preserve">Prof, </w:t>
      </w:r>
      <w:r>
        <w:rPr>
          <w:b w:val="0"/>
          <w:bCs/>
        </w:rPr>
        <w:t>PhD</w:t>
      </w:r>
      <w:r w:rsidR="00B521C8">
        <w:rPr>
          <w:b w:val="0"/>
          <w:bCs/>
        </w:rPr>
        <w:t>)</w:t>
      </w:r>
    </w:p>
    <w:p w14:paraId="5745DE84" w14:textId="36B8EEEC" w:rsidR="00EE5C6E" w:rsidRDefault="00960938" w:rsidP="00133D69">
      <w:pPr>
        <w:pStyle w:val="Authorsandaffiliations"/>
        <w:spacing w:before="120" w:after="120"/>
        <w:rPr>
          <w:b w:val="0"/>
          <w:bCs/>
        </w:rPr>
      </w:pPr>
      <w:r w:rsidRPr="00123104">
        <w:rPr>
          <w:b w:val="0"/>
          <w:bCs/>
        </w:rPr>
        <w:t>Department of Child and Adolescent Psychiatry, Institute of Mental Health, Singapore</w:t>
      </w:r>
      <w:r w:rsidR="00EE5C6E">
        <w:rPr>
          <w:b w:val="0"/>
          <w:bCs/>
        </w:rPr>
        <w:t>, Singapore (SHO, M</w:t>
      </w:r>
      <w:r w:rsidR="002E6182">
        <w:rPr>
          <w:b w:val="0"/>
          <w:bCs/>
        </w:rPr>
        <w:t>MED</w:t>
      </w:r>
      <w:r w:rsidR="00EE5C6E">
        <w:rPr>
          <w:b w:val="0"/>
          <w:bCs/>
        </w:rPr>
        <w:t>)</w:t>
      </w:r>
    </w:p>
    <w:p w14:paraId="0FE6F877" w14:textId="719829C0" w:rsidR="00EE5C6E" w:rsidRDefault="00EE5C6E" w:rsidP="00400377">
      <w:pPr>
        <w:pStyle w:val="Affiliations"/>
        <w:spacing w:before="120" w:after="120"/>
        <w:rPr>
          <w:lang w:val="en-GB"/>
        </w:rPr>
      </w:pPr>
      <w:r w:rsidRPr="00A43FE7">
        <w:rPr>
          <w:lang w:val="en-GB"/>
        </w:rPr>
        <w:t>Eastern Health Child Youth Mental Health Service, Victoria, Australia</w:t>
      </w:r>
      <w:r>
        <w:rPr>
          <w:lang w:val="en-GB"/>
        </w:rPr>
        <w:t xml:space="preserve"> (ET, BA)</w:t>
      </w:r>
    </w:p>
    <w:p w14:paraId="1FFA5D0D" w14:textId="1AA1FD14" w:rsidR="00EE5C6E" w:rsidRDefault="00EE5C6E" w:rsidP="002105B2">
      <w:pPr>
        <w:pStyle w:val="Affiliations"/>
        <w:spacing w:before="120" w:after="120"/>
        <w:rPr>
          <w:lang w:val="en-GB"/>
        </w:rPr>
      </w:pPr>
      <w:r w:rsidRPr="00B77A90">
        <w:rPr>
          <w:lang w:val="en-GB"/>
        </w:rPr>
        <w:t>Murdoch Children's Research Institute, Melbourne</w:t>
      </w:r>
      <w:r>
        <w:rPr>
          <w:lang w:val="en-GB"/>
        </w:rPr>
        <w:t>;</w:t>
      </w:r>
      <w:r w:rsidRPr="00B77A90">
        <w:rPr>
          <w:lang w:val="en-GB"/>
        </w:rPr>
        <w:t xml:space="preserve"> Department of Paediatrics, The University of Melbourne, Melbourne, V</w:t>
      </w:r>
      <w:r w:rsidR="00687AD9">
        <w:rPr>
          <w:lang w:val="en-GB"/>
        </w:rPr>
        <w:t>ictoria</w:t>
      </w:r>
      <w:r w:rsidRPr="00B77A90">
        <w:rPr>
          <w:lang w:val="en-GB"/>
        </w:rPr>
        <w:t>, Australia</w:t>
      </w:r>
      <w:r w:rsidR="00687AD9">
        <w:rPr>
          <w:lang w:val="en-GB"/>
        </w:rPr>
        <w:t xml:space="preserve"> (GCP, </w:t>
      </w:r>
      <w:r w:rsidR="00B521C8">
        <w:rPr>
          <w:lang w:val="en-GB"/>
        </w:rPr>
        <w:t xml:space="preserve">Prof, </w:t>
      </w:r>
      <w:r w:rsidR="00687AD9">
        <w:rPr>
          <w:lang w:val="en-GB"/>
        </w:rPr>
        <w:t>MD)</w:t>
      </w:r>
    </w:p>
    <w:p w14:paraId="5D92AEF9" w14:textId="02A89DCE" w:rsidR="00687AD9" w:rsidRDefault="00687AD9" w:rsidP="002105B2">
      <w:pPr>
        <w:pStyle w:val="Affiliations"/>
        <w:spacing w:before="120" w:after="120"/>
        <w:rPr>
          <w:lang w:val="en-GB"/>
        </w:rPr>
      </w:pPr>
      <w:r w:rsidRPr="00B77A90">
        <w:rPr>
          <w:lang w:val="en-GB"/>
        </w:rPr>
        <w:t>Department of Child and Adolescent Psychiatry, Psychotherapy, and Psychosomatics, University Medical Center Hamburg-Eppendorf, Hamburg, Germany</w:t>
      </w:r>
      <w:r>
        <w:rPr>
          <w:lang w:val="en-GB"/>
        </w:rPr>
        <w:t xml:space="preserve"> (URS, </w:t>
      </w:r>
      <w:r w:rsidR="00B521C8">
        <w:rPr>
          <w:lang w:val="en-GB"/>
        </w:rPr>
        <w:t xml:space="preserve">Prof, </w:t>
      </w:r>
      <w:r>
        <w:rPr>
          <w:lang w:val="en-GB"/>
        </w:rPr>
        <w:t>PhD)</w:t>
      </w:r>
    </w:p>
    <w:p w14:paraId="06836F3C" w14:textId="0DF10E3F" w:rsidR="00687AD9" w:rsidRDefault="00687AD9" w:rsidP="00FF414F">
      <w:pPr>
        <w:pStyle w:val="Affiliations"/>
        <w:spacing w:before="120" w:after="120"/>
        <w:rPr>
          <w:lang w:val="en-GB"/>
        </w:rPr>
      </w:pPr>
      <w:r w:rsidRPr="00B77A90">
        <w:rPr>
          <w:lang w:val="en-GB"/>
        </w:rPr>
        <w:t>The Hospital for Sick Children, the University of Toronto</w:t>
      </w:r>
      <w:r>
        <w:rPr>
          <w:lang w:val="en-GB"/>
        </w:rPr>
        <w:t xml:space="preserve">; the </w:t>
      </w:r>
      <w:r w:rsidRPr="00B77A90">
        <w:rPr>
          <w:lang w:val="en-GB"/>
        </w:rPr>
        <w:t>Cundill Centre for Child and Youth Depression, Centre for Addiction and Mental Health, Toronto, Ontario, Canada</w:t>
      </w:r>
      <w:r>
        <w:rPr>
          <w:lang w:val="en-GB"/>
        </w:rPr>
        <w:t xml:space="preserve"> (PS, </w:t>
      </w:r>
      <w:r w:rsidR="00B521C8">
        <w:rPr>
          <w:lang w:val="en-GB"/>
        </w:rPr>
        <w:t xml:space="preserve">Prof, </w:t>
      </w:r>
      <w:r>
        <w:rPr>
          <w:lang w:val="en-GB"/>
        </w:rPr>
        <w:t>MD)</w:t>
      </w:r>
    </w:p>
    <w:p w14:paraId="181A1A64" w14:textId="6C8BB365" w:rsidR="00100536" w:rsidRPr="00133D69" w:rsidRDefault="00100536" w:rsidP="00FF414F">
      <w:pPr>
        <w:pStyle w:val="Affiliations"/>
        <w:spacing w:before="120" w:after="120"/>
        <w:rPr>
          <w:lang w:val="en-GB"/>
        </w:rPr>
      </w:pPr>
      <w:r w:rsidRPr="00133D69">
        <w:rPr>
          <w:lang w:val="en-GB"/>
        </w:rPr>
        <w:t xml:space="preserve">Jack.org, Ottawa, Ontario, Canada (LW, </w:t>
      </w:r>
      <w:r w:rsidR="0081496C" w:rsidRPr="00133D69">
        <w:rPr>
          <w:lang w:val="en-GB"/>
        </w:rPr>
        <w:t>B.Sc.</w:t>
      </w:r>
      <w:r w:rsidRPr="00133D69">
        <w:rPr>
          <w:lang w:val="en-GB"/>
        </w:rPr>
        <w:t>; BY)</w:t>
      </w:r>
    </w:p>
    <w:p w14:paraId="07744E6C" w14:textId="07F75CD9" w:rsidR="00100536" w:rsidRDefault="00100536" w:rsidP="00D31172">
      <w:pPr>
        <w:pStyle w:val="Affiliations"/>
        <w:spacing w:before="120" w:after="120"/>
        <w:rPr>
          <w:lang w:val="en-GB"/>
        </w:rPr>
      </w:pPr>
      <w:r w:rsidRPr="00B77A90">
        <w:rPr>
          <w:lang w:val="en-GB"/>
        </w:rPr>
        <w:t>Teaching and Learning Evaluation and Measurement Unit, The University of Hong</w:t>
      </w:r>
      <w:r>
        <w:rPr>
          <w:lang w:val="en-GB"/>
        </w:rPr>
        <w:t xml:space="preserve"> Kong</w:t>
      </w:r>
      <w:r w:rsidRPr="00B77A90">
        <w:rPr>
          <w:lang w:val="en-GB"/>
        </w:rPr>
        <w:t>, Hong Kong</w:t>
      </w:r>
      <w:r>
        <w:rPr>
          <w:lang w:val="en-GB"/>
        </w:rPr>
        <w:t xml:space="preserve"> (YZ, </w:t>
      </w:r>
      <w:r w:rsidR="0081496C">
        <w:rPr>
          <w:lang w:val="en-GB"/>
        </w:rPr>
        <w:t>Ed</w:t>
      </w:r>
      <w:r>
        <w:rPr>
          <w:lang w:val="en-GB"/>
        </w:rPr>
        <w:t>D)</w:t>
      </w:r>
    </w:p>
    <w:p w14:paraId="3D824586" w14:textId="23D478D3" w:rsidR="00100536" w:rsidRPr="00123104" w:rsidRDefault="00100536" w:rsidP="00D62E7E">
      <w:pPr>
        <w:pStyle w:val="Affiliations"/>
        <w:spacing w:before="120" w:after="120"/>
        <w:rPr>
          <w:lang w:val="en-GB"/>
        </w:rPr>
      </w:pPr>
      <w:r w:rsidRPr="00B77A90">
        <w:rPr>
          <w:lang w:val="en-GB"/>
        </w:rPr>
        <w:t xml:space="preserve">Wellcome Trust, London, </w:t>
      </w:r>
      <w:r w:rsidR="00123104">
        <w:rPr>
          <w:lang w:val="en-GB"/>
        </w:rPr>
        <w:t xml:space="preserve">Greater London, </w:t>
      </w:r>
      <w:r w:rsidRPr="00B77A90">
        <w:rPr>
          <w:lang w:val="en-GB"/>
        </w:rPr>
        <w:t>United Kingdom</w:t>
      </w:r>
      <w:r w:rsidR="00123104">
        <w:rPr>
          <w:lang w:val="en-GB"/>
        </w:rPr>
        <w:t xml:space="preserve"> (MW, </w:t>
      </w:r>
      <w:r w:rsidR="00B521C8">
        <w:rPr>
          <w:lang w:val="en-GB"/>
        </w:rPr>
        <w:t xml:space="preserve">Prof, </w:t>
      </w:r>
      <w:r w:rsidR="004830D1" w:rsidRPr="00123104">
        <w:rPr>
          <w:lang w:val="en-GB"/>
        </w:rPr>
        <w:t>D</w:t>
      </w:r>
      <w:r w:rsidR="004830D1">
        <w:rPr>
          <w:lang w:val="en-GB"/>
        </w:rPr>
        <w:t>C</w:t>
      </w:r>
      <w:r w:rsidR="004830D1" w:rsidRPr="00123104">
        <w:rPr>
          <w:lang w:val="en-GB"/>
        </w:rPr>
        <w:t>linPsy</w:t>
      </w:r>
      <w:r w:rsidR="00123104">
        <w:rPr>
          <w:lang w:val="en-GB"/>
        </w:rPr>
        <w:t>)</w:t>
      </w:r>
    </w:p>
    <w:p w14:paraId="484C3E19" w14:textId="77777777" w:rsidR="00CC0288" w:rsidRPr="00DA3D25" w:rsidRDefault="00CC0288" w:rsidP="008C1934">
      <w:pPr>
        <w:pStyle w:val="Authorsandaffiliations"/>
      </w:pPr>
    </w:p>
    <w:p w14:paraId="35372C1F" w14:textId="77777777" w:rsidR="00F271B5" w:rsidRPr="00DA3D25" w:rsidRDefault="00F271B5" w:rsidP="008C1934">
      <w:pPr>
        <w:pStyle w:val="Authorsandaffiliations"/>
      </w:pPr>
    </w:p>
    <w:p w14:paraId="2AFB75C2" w14:textId="77777777" w:rsidR="00F271B5" w:rsidRPr="00DA3D25" w:rsidRDefault="00F271B5" w:rsidP="008C1934">
      <w:pPr>
        <w:pStyle w:val="Authorsandaffiliations"/>
      </w:pPr>
    </w:p>
    <w:p w14:paraId="6094ECB0" w14:textId="77777777" w:rsidR="00997C51" w:rsidRPr="00DA3D25" w:rsidRDefault="00997C51" w:rsidP="008C1934">
      <w:pPr>
        <w:pStyle w:val="Authorsandaffiliations"/>
        <w:rPr>
          <w:b w:val="0"/>
          <w:bCs/>
        </w:rPr>
      </w:pPr>
    </w:p>
    <w:p w14:paraId="156765D3" w14:textId="77777777" w:rsidR="00C33E13" w:rsidRDefault="00C33E13" w:rsidP="008C1934">
      <w:pPr>
        <w:pStyle w:val="Authorsandaffiliations"/>
      </w:pPr>
    </w:p>
    <w:p w14:paraId="286ED14F" w14:textId="47367421" w:rsidR="00F271B5" w:rsidRPr="00F271B5" w:rsidRDefault="00F271B5" w:rsidP="008C1934">
      <w:pPr>
        <w:pStyle w:val="Authorsandaffiliations"/>
        <w:rPr>
          <w:b w:val="0"/>
          <w:bCs/>
        </w:rPr>
        <w:sectPr w:rsidR="00F271B5" w:rsidRPr="00F271B5">
          <w:headerReference w:type="default" r:id="rId12"/>
          <w:footerReference w:type="default" r:id="rId13"/>
          <w:headerReference w:type="first" r:id="rId14"/>
          <w:footerReference w:type="first" r:id="rId15"/>
          <w:footnotePr>
            <w:pos w:val="beneathText"/>
          </w:footnotePr>
          <w:pgSz w:w="12240" w:h="15840"/>
          <w:pgMar w:top="1440" w:right="1440" w:bottom="1440" w:left="1440" w:header="720" w:footer="720" w:gutter="0"/>
          <w:cols w:space="720"/>
          <w:titlePg/>
          <w:docGrid w:linePitch="360"/>
        </w:sectPr>
      </w:pPr>
      <w:r w:rsidRPr="00997C51">
        <w:t>Corresponding Author:</w:t>
      </w:r>
      <w:r w:rsidRPr="00F271B5">
        <w:rPr>
          <w:b w:val="0"/>
          <w:bCs/>
        </w:rPr>
        <w:t xml:space="preserve"> Karolin Krause, </w:t>
      </w:r>
      <w:r w:rsidR="000D25EB">
        <w:rPr>
          <w:b w:val="0"/>
          <w:bCs/>
        </w:rPr>
        <w:t xml:space="preserve">Evidence Based Practice Unit, Anna Freud National Centre for Children and Families, </w:t>
      </w:r>
      <w:r w:rsidR="000D25EB" w:rsidRPr="000D25EB">
        <w:rPr>
          <w:b w:val="0"/>
          <w:bCs/>
        </w:rPr>
        <w:t>The Kantor Centre of Excellence, 4-8 Rodney Street, London N1 9JH, United Kingdom</w:t>
      </w:r>
      <w:r w:rsidRPr="00F271B5">
        <w:rPr>
          <w:b w:val="0"/>
          <w:bCs/>
        </w:rPr>
        <w:t xml:space="preserve">; </w:t>
      </w:r>
      <w:r w:rsidR="000D25EB" w:rsidRPr="000D25EB">
        <w:rPr>
          <w:b w:val="0"/>
          <w:bCs/>
        </w:rPr>
        <w:t>karolin.krause.16@ucl.ac.uk, +44 7850 296780.</w:t>
      </w:r>
    </w:p>
    <w:p w14:paraId="03A0AC2C" w14:textId="11368FF5" w:rsidR="00945B06" w:rsidRPr="00B77A90" w:rsidRDefault="00945B06" w:rsidP="008C1934">
      <w:pPr>
        <w:pStyle w:val="Heading1"/>
      </w:pPr>
      <w:r w:rsidRPr="00B77A90">
        <w:lastRenderedPageBreak/>
        <w:t>Contributors</w:t>
      </w:r>
    </w:p>
    <w:p w14:paraId="45F9D8FE" w14:textId="284E97A0" w:rsidR="00945B06" w:rsidRPr="00B77A90" w:rsidRDefault="00173AA0" w:rsidP="008C1934">
      <w:r w:rsidRPr="00B77A90">
        <w:t xml:space="preserve">KK, </w:t>
      </w:r>
      <w:r w:rsidR="00945B06" w:rsidRPr="00B77A90">
        <w:t>MW</w:t>
      </w:r>
      <w:r w:rsidR="005D27B1" w:rsidRPr="00B77A90">
        <w:t>, and SC</w:t>
      </w:r>
      <w:r w:rsidR="00945B06" w:rsidRPr="00B77A90">
        <w:t xml:space="preserve"> </w:t>
      </w:r>
      <w:r w:rsidRPr="00B77A90">
        <w:t>oversaw</w:t>
      </w:r>
      <w:r w:rsidR="00945B06" w:rsidRPr="00B77A90">
        <w:t xml:space="preserve"> the study design. KK</w:t>
      </w:r>
      <w:r w:rsidR="001754DB" w:rsidRPr="00B77A90">
        <w:t xml:space="preserve"> and SC</w:t>
      </w:r>
      <w:r w:rsidR="00945B06" w:rsidRPr="00B77A90">
        <w:t xml:space="preserve"> led data acquisition</w:t>
      </w:r>
      <w:r w:rsidR="00822216" w:rsidRPr="00B77A90">
        <w:t xml:space="preserve"> through the literature reviews</w:t>
      </w:r>
      <w:r w:rsidR="00296715" w:rsidRPr="00B77A90">
        <w:t xml:space="preserve">, </w:t>
      </w:r>
      <w:r w:rsidR="005D27B1" w:rsidRPr="00B77A90">
        <w:t>Delphi</w:t>
      </w:r>
      <w:r w:rsidR="00822216" w:rsidRPr="00B77A90">
        <w:t xml:space="preserve"> survey</w:t>
      </w:r>
      <w:r w:rsidR="005D27B1" w:rsidRPr="00B77A90">
        <w:t>s</w:t>
      </w:r>
      <w:r w:rsidR="00822216" w:rsidRPr="00B77A90">
        <w:t xml:space="preserve">, </w:t>
      </w:r>
      <w:r w:rsidR="00296715" w:rsidRPr="00B77A90">
        <w:t xml:space="preserve">and </w:t>
      </w:r>
      <w:r w:rsidR="005D27B1" w:rsidRPr="00B77A90">
        <w:t xml:space="preserve">Open Review </w:t>
      </w:r>
      <w:r w:rsidR="004A41C7" w:rsidRPr="00B77A90">
        <w:t>surveys,</w:t>
      </w:r>
      <w:r w:rsidR="00296715" w:rsidRPr="00B77A90">
        <w:t xml:space="preserve"> as well as data</w:t>
      </w:r>
      <w:r w:rsidR="00822216" w:rsidRPr="00B77A90">
        <w:t xml:space="preserve"> </w:t>
      </w:r>
      <w:r w:rsidR="00945B06" w:rsidRPr="00B77A90">
        <w:t>analysis and interpretation.</w:t>
      </w:r>
      <w:r w:rsidR="00065FDA" w:rsidRPr="00B77A90">
        <w:t xml:space="preserve"> </w:t>
      </w:r>
      <w:r w:rsidR="0002652A" w:rsidRPr="00B77A90">
        <w:t>KK</w:t>
      </w:r>
      <w:r w:rsidR="001D53E2" w:rsidRPr="00B77A90">
        <w:t xml:space="preserve"> takes responsibility for the integrity of the data and the accuracy of data analysis. </w:t>
      </w:r>
      <w:r w:rsidR="0002652A" w:rsidRPr="00B77A90">
        <w:t xml:space="preserve">All authors attended </w:t>
      </w:r>
      <w:r w:rsidR="005012C6" w:rsidRPr="00B77A90">
        <w:t>telec</w:t>
      </w:r>
      <w:r w:rsidR="0002652A" w:rsidRPr="00B77A90">
        <w:t>onferences, and all but the core project team (KK</w:t>
      </w:r>
      <w:r w:rsidR="00246D51" w:rsidRPr="00B77A90">
        <w:t xml:space="preserve">, </w:t>
      </w:r>
      <w:r w:rsidR="0002652A" w:rsidRPr="00B77A90">
        <w:t>MW</w:t>
      </w:r>
      <w:r w:rsidR="00246D51" w:rsidRPr="00B77A90">
        <w:t>, SC</w:t>
      </w:r>
      <w:r w:rsidR="0002652A" w:rsidRPr="00B77A90">
        <w:t xml:space="preserve">) completed anonymous </w:t>
      </w:r>
      <w:r w:rsidRPr="00B77A90">
        <w:t>votes and feedback surveys as part of the Delphi process and formed consensus on the final recommendation.</w:t>
      </w:r>
      <w:r w:rsidR="00065FDA" w:rsidRPr="00B77A90">
        <w:t xml:space="preserve"> </w:t>
      </w:r>
      <w:r w:rsidR="00945B06" w:rsidRPr="00B77A90">
        <w:t xml:space="preserve">KK drafted the manuscript </w:t>
      </w:r>
      <w:r w:rsidR="003C0F1F" w:rsidRPr="00B77A90">
        <w:t xml:space="preserve">with support from SC, </w:t>
      </w:r>
      <w:r w:rsidR="00945B06" w:rsidRPr="00B77A90">
        <w:t xml:space="preserve">and all co-authors critically reviewed the working draft and agreed </w:t>
      </w:r>
      <w:r w:rsidR="004574D6" w:rsidRPr="00B77A90">
        <w:t xml:space="preserve">to </w:t>
      </w:r>
      <w:r w:rsidR="00945B06" w:rsidRPr="00B77A90">
        <w:t xml:space="preserve">the revisions and final submission. Administrative, technical, and organisational support was provided by SC. </w:t>
      </w:r>
    </w:p>
    <w:p w14:paraId="55E52ABC" w14:textId="77777777" w:rsidR="00EE1837" w:rsidRPr="00B77A90" w:rsidRDefault="00945B06" w:rsidP="008C1934">
      <w:pPr>
        <w:pStyle w:val="Heading1"/>
      </w:pPr>
      <w:r w:rsidRPr="00B77A90">
        <w:t>Declaration of interests</w:t>
      </w:r>
    </w:p>
    <w:p w14:paraId="1A9B10F1" w14:textId="1C27BC6D" w:rsidR="00945B06" w:rsidRDefault="00132522" w:rsidP="008C1934">
      <w:r w:rsidRPr="00B77A90">
        <w:t xml:space="preserve">AMA receives royalties from Oxford University Press for the Anxiety Disorders Interview Schedule (ADIS), Child and Parent Versions. </w:t>
      </w:r>
      <w:r w:rsidR="00945B06" w:rsidRPr="00B77A90">
        <w:t xml:space="preserve">PB is involved with the development across Australia of routine outcome measurement in </w:t>
      </w:r>
      <w:r w:rsidR="00333FBB" w:rsidRPr="00B77A90">
        <w:t xml:space="preserve">public </w:t>
      </w:r>
      <w:r w:rsidR="00945B06" w:rsidRPr="00B77A90">
        <w:t xml:space="preserve">mental health. </w:t>
      </w:r>
      <w:r w:rsidR="009553AC">
        <w:t xml:space="preserve">He chairs </w:t>
      </w:r>
      <w:r w:rsidR="009553AC" w:rsidRPr="009553AC">
        <w:t>the National Mental Health Child and Adolescent Information Development Expert Advisory Grou</w:t>
      </w:r>
      <w:r w:rsidR="009553AC">
        <w:t>p. There is a</w:t>
      </w:r>
      <w:r w:rsidR="009553AC" w:rsidRPr="009553AC">
        <w:t>n interest in supporting routine outcome measurement and benchmarking between organisations. This does not influence the content of the submitted work.</w:t>
      </w:r>
      <w:r w:rsidR="009553AC">
        <w:t xml:space="preserve"> </w:t>
      </w:r>
      <w:r w:rsidR="008D5F2D">
        <w:t>SC was an employee of the International Consortium for Health Outcomes Measurement (ICHOM) during the conduct of this study. ICHOM received grants from the Government of New South Wales Agency for Clinical Innovation, Australia; Providence Health &amp; Services, USA; Västra Götaland Regional Council, Sweden; and National Health Service, England, United Kingdom, in support of this work. </w:t>
      </w:r>
      <w:r w:rsidR="00D76BE2" w:rsidRPr="00B77A90">
        <w:t>CC has conducted several studies and ongoing evaluations of commonly used scales, including the Spence Children’s Anxiety Scale</w:t>
      </w:r>
      <w:r w:rsidR="00C27E9C">
        <w:t xml:space="preserve"> (SCAS)</w:t>
      </w:r>
      <w:r w:rsidR="00D76BE2" w:rsidRPr="00B77A90">
        <w:t xml:space="preserve">, </w:t>
      </w:r>
      <w:r w:rsidR="00C27E9C">
        <w:t>R</w:t>
      </w:r>
      <w:r w:rsidR="00D76BE2" w:rsidRPr="00B77A90">
        <w:t xml:space="preserve">evised Children’s Anxiety and Depression Scale </w:t>
      </w:r>
      <w:r w:rsidR="00C27E9C">
        <w:t xml:space="preserve">(RCADS) </w:t>
      </w:r>
      <w:r w:rsidR="00D76BE2" w:rsidRPr="00B77A90">
        <w:t>and the Child Anxiety Interference Scale</w:t>
      </w:r>
      <w:r w:rsidR="00C27E9C">
        <w:t xml:space="preserve"> (CAIS)</w:t>
      </w:r>
      <w:r w:rsidR="00D76BE2" w:rsidRPr="00B77A90">
        <w:t xml:space="preserve">. </w:t>
      </w:r>
      <w:r w:rsidR="007F0645" w:rsidRPr="00B77A90">
        <w:t xml:space="preserve">BF </w:t>
      </w:r>
      <w:r w:rsidR="007F0645" w:rsidRPr="00F24411">
        <w:t>reports personal fees from E. Lilly, BMS, Servier, SANOFI, GSK, HRA, Roche, Boeringer Ingelheim, Bayer, Almirall, Allergan, Stallergene, Genzyme, Pierre Fabre, AstraZeneca, Novartis, Janssen, Astellas, Biotronik, Daiichi- Sankyo, Gilead, MSD, Lundbeck, Stallergene, Actelion, UCB, Otsuka, Grunenthal, ViiV, outside the submitted work</w:t>
      </w:r>
      <w:r w:rsidR="007F0645" w:rsidRPr="00B77A90">
        <w:t xml:space="preserve">. </w:t>
      </w:r>
      <w:r w:rsidR="00945B06" w:rsidRPr="00B77A90">
        <w:t>J</w:t>
      </w:r>
      <w:r w:rsidR="00CE47C9" w:rsidRPr="00B77A90">
        <w:t>L</w:t>
      </w:r>
      <w:r w:rsidR="00945B06" w:rsidRPr="00B77A90">
        <w:t xml:space="preserve">H is one of the developers of the </w:t>
      </w:r>
      <w:r w:rsidR="00CB6F37" w:rsidRPr="00CB6F37">
        <w:t xml:space="preserve">Child Anxiety Life Interference Scale </w:t>
      </w:r>
      <w:r w:rsidR="00CB6F37">
        <w:t>(</w:t>
      </w:r>
      <w:r w:rsidR="00945B06" w:rsidRPr="00B77A90">
        <w:t>CALIS</w:t>
      </w:r>
      <w:r w:rsidR="00CB6F37">
        <w:t>)</w:t>
      </w:r>
      <w:r w:rsidR="00945B06" w:rsidRPr="00B77A90">
        <w:t xml:space="preserve">, which is a freely available measure and there is no financial conflict of interest. </w:t>
      </w:r>
      <w:r w:rsidR="00CE47C9" w:rsidRPr="00B77A90">
        <w:t xml:space="preserve">SI has participated in several studies which aimed to develop Japanese versions of scales, including the Spence Children’s Anxiety Scale, Children’s Depression </w:t>
      </w:r>
      <w:proofErr w:type="gramStart"/>
      <w:r w:rsidR="00CE47C9" w:rsidRPr="00B77A90">
        <w:t>Scale;</w:t>
      </w:r>
      <w:proofErr w:type="gramEnd"/>
      <w:r w:rsidR="00CE47C9" w:rsidRPr="00B77A90">
        <w:t xml:space="preserve"> </w:t>
      </w:r>
      <w:r w:rsidR="00C33E08">
        <w:t xml:space="preserve">and the </w:t>
      </w:r>
      <w:r w:rsidR="00CE47C9" w:rsidRPr="00B77A90">
        <w:t xml:space="preserve">Social Phobia and Anxiety Inventory for Children. </w:t>
      </w:r>
      <w:r w:rsidR="007F0645">
        <w:t xml:space="preserve">KK received </w:t>
      </w:r>
      <w:r w:rsidR="007F0645" w:rsidRPr="007F0645">
        <w:t>personal fees from the International Consortium for Health Outcomes Measurement (ICHOM) during the conduct of the study.</w:t>
      </w:r>
      <w:r w:rsidR="007F0645">
        <w:t xml:space="preserve"> </w:t>
      </w:r>
      <w:r w:rsidR="00945B06" w:rsidRPr="00B77A90">
        <w:t>URS is one of the developers of the KIDSCREEN-10, which is a freely available measure and there is no financial conflict of interest. Since May 2019, MW is head of the new Mental Health Priority Area at the Wellcome Trust, which may be developing Standard Sets in mental health in the future.</w:t>
      </w:r>
      <w:r w:rsidR="00FF7AC9" w:rsidRPr="00B77A90">
        <w:t xml:space="preserve"> She has been involved in the development of the Current View Tool, which is a freely available measure and there is no financial conflict of interest. MW was previously Head of the Child Outcomes Research Consortium (CORC)</w:t>
      </w:r>
      <w:r w:rsidR="00A32B0F" w:rsidRPr="00B77A90">
        <w:t xml:space="preserve">, which advises on measurement in child mental </w:t>
      </w:r>
      <w:proofErr w:type="gramStart"/>
      <w:r w:rsidR="00A32B0F" w:rsidRPr="00B77A90">
        <w:t>health;</w:t>
      </w:r>
      <w:proofErr w:type="gramEnd"/>
      <w:r w:rsidR="00A32B0F" w:rsidRPr="00B77A90">
        <w:t xml:space="preserve"> and an advisor to NHS England on informatics.</w:t>
      </w:r>
      <w:r w:rsidR="003C3C72" w:rsidRPr="00B77A90">
        <w:t xml:space="preserve"> </w:t>
      </w:r>
      <w:r w:rsidR="00945B06" w:rsidRPr="00B77A90">
        <w:t xml:space="preserve">AOA, RBW, </w:t>
      </w:r>
      <w:r w:rsidR="00F920A5" w:rsidRPr="00B77A90">
        <w:t xml:space="preserve">LB, </w:t>
      </w:r>
      <w:r w:rsidR="00945B06" w:rsidRPr="00B77A90">
        <w:t>KD, C</w:t>
      </w:r>
      <w:r w:rsidR="0068180F" w:rsidRPr="00B77A90">
        <w:t>B</w:t>
      </w:r>
      <w:r w:rsidR="00945B06" w:rsidRPr="00B77A90">
        <w:t>F,</w:t>
      </w:r>
      <w:r w:rsidR="00CE47C9" w:rsidRPr="00B77A90">
        <w:t xml:space="preserve"> MK,</w:t>
      </w:r>
      <w:r w:rsidR="00945B06" w:rsidRPr="00B77A90">
        <w:t xml:space="preserve"> CK, JK, </w:t>
      </w:r>
      <w:r w:rsidR="00B05306" w:rsidRPr="00B77A90">
        <w:t xml:space="preserve">FM, </w:t>
      </w:r>
      <w:r w:rsidR="00945B06" w:rsidRPr="00B77A90">
        <w:t>KM,</w:t>
      </w:r>
      <w:r w:rsidR="00CE47C9" w:rsidRPr="00B77A90">
        <w:t xml:space="preserve"> </w:t>
      </w:r>
      <w:r w:rsidR="00B05306">
        <w:t xml:space="preserve">VM, </w:t>
      </w:r>
      <w:r w:rsidR="00945B06" w:rsidRPr="00B77A90">
        <w:t>THO, SHO, ET, G</w:t>
      </w:r>
      <w:r w:rsidR="00C44AF6" w:rsidRPr="00B77A90">
        <w:t>C</w:t>
      </w:r>
      <w:r w:rsidR="00945B06" w:rsidRPr="00B77A90">
        <w:t>P, PS, LW, BY, Y</w:t>
      </w:r>
      <w:r w:rsidR="0081496C">
        <w:t>Z</w:t>
      </w:r>
      <w:r w:rsidR="00945B06" w:rsidRPr="00B77A90">
        <w:t xml:space="preserve"> have no</w:t>
      </w:r>
      <w:r w:rsidR="003A27A4">
        <w:t>thing</w:t>
      </w:r>
      <w:r w:rsidR="00945B06" w:rsidRPr="00B77A90">
        <w:t xml:space="preserve"> to </w:t>
      </w:r>
      <w:r w:rsidR="003A27A4" w:rsidRPr="00B77A90">
        <w:t>d</w:t>
      </w:r>
      <w:r w:rsidR="003A27A4">
        <w:t>isclose</w:t>
      </w:r>
      <w:r w:rsidR="00945B06" w:rsidRPr="00B77A90">
        <w:t xml:space="preserve">. </w:t>
      </w:r>
    </w:p>
    <w:p w14:paraId="49E5A05A" w14:textId="2D11F824" w:rsidR="00945B06" w:rsidRPr="00B77A90" w:rsidRDefault="00997C51" w:rsidP="003D3EB3">
      <w:pPr>
        <w:pStyle w:val="Heading1"/>
      </w:pPr>
      <w:r>
        <w:lastRenderedPageBreak/>
        <w:tab/>
      </w:r>
      <w:r w:rsidR="00945B06" w:rsidRPr="00B77A90">
        <w:t>Acknowledgments</w:t>
      </w:r>
    </w:p>
    <w:p w14:paraId="09457C62" w14:textId="4F52DA6D" w:rsidR="00945B06" w:rsidRPr="00B77A90" w:rsidRDefault="00B86322" w:rsidP="008C1934">
      <w:pPr>
        <w:rPr>
          <w:noProof/>
        </w:rPr>
      </w:pPr>
      <w:r>
        <w:t xml:space="preserve">The authors would like to gratefully acknowledge all individuals and organisations who took the time to share or complete the Open Review feedback survey towards improving the Standard Set recommendation. </w:t>
      </w:r>
      <w:r w:rsidR="00BD6C05" w:rsidRPr="00BD6C05">
        <w:t xml:space="preserve">The authors would </w:t>
      </w:r>
      <w:r w:rsidR="00716FE9">
        <w:t xml:space="preserve">also </w:t>
      </w:r>
      <w:r w:rsidR="00BD6C05" w:rsidRPr="00BD6C05">
        <w:t xml:space="preserve">like to thank Luz Sousa Fialho for providing administrative support, </w:t>
      </w:r>
      <w:r w:rsidR="00401887" w:rsidRPr="00401887">
        <w:t>Katherine G. Young</w:t>
      </w:r>
      <w:r w:rsidR="00401887">
        <w:t xml:space="preserve"> </w:t>
      </w:r>
      <w:r w:rsidR="00BD6C05" w:rsidRPr="00BD6C05">
        <w:t xml:space="preserve">for providing research support, </w:t>
      </w:r>
      <w:r w:rsidR="0096188D">
        <w:t xml:space="preserve">and </w:t>
      </w:r>
      <w:r w:rsidR="00BD6C05" w:rsidRPr="00BD6C05">
        <w:t>Christiana Ilesanmi for providing both administrative and research support</w:t>
      </w:r>
      <w:r>
        <w:t xml:space="preserve"> to this project, as well as </w:t>
      </w:r>
      <w:bookmarkStart w:id="1" w:name="_Hlk46744877"/>
      <w:r>
        <w:t xml:space="preserve">Zofia Das-Gupta </w:t>
      </w:r>
      <w:bookmarkEnd w:id="1"/>
      <w:r>
        <w:t>for providing guidance on the application and management of the ICHOM process</w:t>
      </w:r>
      <w:r w:rsidR="007C5E14">
        <w:t xml:space="preserve"> until May 2019</w:t>
      </w:r>
      <w:r w:rsidR="00BD6C05" w:rsidRPr="00BD6C05">
        <w:t xml:space="preserve">. </w:t>
      </w:r>
      <w:r w:rsidR="00671A84">
        <w:t xml:space="preserve">The authors would like to thank one further service user representative who participated in the </w:t>
      </w:r>
      <w:r w:rsidR="008A0DEA">
        <w:t xml:space="preserve">early stages of the process, including the </w:t>
      </w:r>
      <w:r w:rsidR="00671A84">
        <w:t>Delph</w:t>
      </w:r>
      <w:r w:rsidR="00C92805">
        <w:t xml:space="preserve">i </w:t>
      </w:r>
      <w:r w:rsidR="00671A84">
        <w:t>process</w:t>
      </w:r>
      <w:r w:rsidR="00C92805">
        <w:t>, but did not wish to be a named co-author.</w:t>
      </w:r>
    </w:p>
    <w:p w14:paraId="49C16D5B" w14:textId="77777777" w:rsidR="00945B06" w:rsidRPr="00B77A90" w:rsidRDefault="00945B06" w:rsidP="008C1934">
      <w:pPr>
        <w:pStyle w:val="Heading1"/>
      </w:pPr>
      <w:r w:rsidRPr="00B77A90">
        <w:t>Funding</w:t>
      </w:r>
    </w:p>
    <w:p w14:paraId="1C8D06EA" w14:textId="049CC50E" w:rsidR="00945B06" w:rsidRPr="00B77A90" w:rsidRDefault="00945B06" w:rsidP="008C1934">
      <w:r w:rsidRPr="008D5F2D">
        <w:t xml:space="preserve">This work has been funded by the </w:t>
      </w:r>
      <w:bookmarkStart w:id="2" w:name="_Hlk35687255"/>
      <w:r w:rsidRPr="008D5F2D">
        <w:t>National Health Service</w:t>
      </w:r>
      <w:r w:rsidR="00093124" w:rsidRPr="008D5F2D">
        <w:t xml:space="preserve"> (NHS)</w:t>
      </w:r>
      <w:r w:rsidRPr="001E4DF2">
        <w:t xml:space="preserve"> England; Västra Götaland Regional Counci</w:t>
      </w:r>
      <w:r w:rsidRPr="008357DD">
        <w:t xml:space="preserve">l, Sweden; the Government of New South Wales Agency for Clinical Innovation, Australia; and Providence Health </w:t>
      </w:r>
      <w:r w:rsidR="004B2B1E" w:rsidRPr="008357DD">
        <w:t>&amp; Services</w:t>
      </w:r>
      <w:r w:rsidRPr="008357DD">
        <w:t xml:space="preserve">, </w:t>
      </w:r>
      <w:r w:rsidR="004B2B1E" w:rsidRPr="008357DD">
        <w:t>USA</w:t>
      </w:r>
      <w:r w:rsidRPr="008357DD">
        <w:t xml:space="preserve">. </w:t>
      </w:r>
      <w:r w:rsidR="00132C3C" w:rsidRPr="008357DD">
        <w:t>The funders had no role in the study design, data analysis, interpretation, or writing of the report.</w:t>
      </w:r>
      <w:r w:rsidR="00FB6335">
        <w:t xml:space="preserve"> The funders did support data collection by sharing the Open Review </w:t>
      </w:r>
      <w:r w:rsidR="000A57DF">
        <w:t>s</w:t>
      </w:r>
      <w:r w:rsidR="00FB6335">
        <w:t>urvey</w:t>
      </w:r>
      <w:r w:rsidR="000A57DF">
        <w:t xml:space="preserve"> for practitioners</w:t>
      </w:r>
      <w:r w:rsidR="00FB6335">
        <w:t xml:space="preserve"> with</w:t>
      </w:r>
      <w:r w:rsidR="00655B6A">
        <w:t xml:space="preserve">in their </w:t>
      </w:r>
      <w:r w:rsidR="00FB6335">
        <w:t>networks.</w:t>
      </w:r>
    </w:p>
    <w:bookmarkEnd w:id="2"/>
    <w:p w14:paraId="3BF8DB37" w14:textId="22B242CC" w:rsidR="00B75359" w:rsidRDefault="00D76BE2" w:rsidP="008C1934">
      <w:r w:rsidRPr="00B77A90">
        <w:t xml:space="preserve">CC was supported by a </w:t>
      </w:r>
      <w:r w:rsidR="0083638C" w:rsidRPr="00B77A90">
        <w:t>National Institute for Health Research (</w:t>
      </w:r>
      <w:r w:rsidRPr="00B77A90">
        <w:t>NIHR</w:t>
      </w:r>
      <w:r w:rsidR="0083638C" w:rsidRPr="00B77A90">
        <w:t>)</w:t>
      </w:r>
      <w:r w:rsidRPr="00B77A90">
        <w:t xml:space="preserve"> Research Professorship (RP_2014-04-018). </w:t>
      </w:r>
      <w:r w:rsidR="00B75359" w:rsidRPr="00B77A90">
        <w:t xml:space="preserve">FM </w:t>
      </w:r>
      <w:r w:rsidR="00320563" w:rsidRPr="00B77A90">
        <w:t>was</w:t>
      </w:r>
      <w:r w:rsidR="00B75359" w:rsidRPr="00B77A90">
        <w:t xml:space="preserve"> supported by a</w:t>
      </w:r>
      <w:r w:rsidR="0083638C" w:rsidRPr="00B77A90">
        <w:t>n NIHR</w:t>
      </w:r>
      <w:r w:rsidR="00B75359" w:rsidRPr="00B77A90">
        <w:t xml:space="preserve"> In-Practice Fellowship</w:t>
      </w:r>
      <w:r w:rsidR="00320563" w:rsidRPr="00B77A90">
        <w:t xml:space="preserve"> (IPF-2017-11-002)</w:t>
      </w:r>
      <w:r w:rsidR="0049298D" w:rsidRPr="00B77A90">
        <w:t>, and is supported by a NIHR School for Primary Care Research GP Career Progression Fellowship</w:t>
      </w:r>
      <w:r w:rsidR="00B75359" w:rsidRPr="00B77A90">
        <w:t xml:space="preserve">. </w:t>
      </w:r>
      <w:r w:rsidR="00061465" w:rsidRPr="00B77A90">
        <w:t xml:space="preserve">The views expressed in this manuscript of those of the authors and not necessarily those of the NHS, NIHR, or Department for Health and Social Care. </w:t>
      </w:r>
      <w:r w:rsidR="003C3C72" w:rsidRPr="00B77A90">
        <w:t>VM received funding by the Millennium Science Initiative of the Ministry of Economy, Development and Tourism, grant Millennium Nucleus to Improve the Mental Health of Adolescents and Youths, Imhay, and the Innovation Fund for Competitiveness [Fondo de Innovación para la Competitividad, FIC], Project IS130005.</w:t>
      </w:r>
      <w:r w:rsidR="00CF4871">
        <w:t xml:space="preserve"> </w:t>
      </w:r>
      <w:r w:rsidR="00CF4871" w:rsidRPr="00CF4871">
        <w:t>CK is a Conselho Nacional de Desenvolvimento Científico e Tecnológico (CNPq) researcher and an Academy of Medical Sciences Newton Advanced Fellow.</w:t>
      </w:r>
      <w:r w:rsidR="00D611FB">
        <w:t xml:space="preserve"> </w:t>
      </w:r>
    </w:p>
    <w:p w14:paraId="5B89786C" w14:textId="2BBAC212" w:rsidR="0030049A" w:rsidRPr="00B77A90" w:rsidRDefault="0030049A" w:rsidP="008C1934">
      <w:pPr>
        <w:pStyle w:val="Heading1"/>
      </w:pPr>
      <w:r w:rsidRPr="00B77A90">
        <w:t>Keywords</w:t>
      </w:r>
    </w:p>
    <w:p w14:paraId="6439C1D1" w14:textId="77777777" w:rsidR="0030049A" w:rsidRPr="00B77A90" w:rsidRDefault="0030049A" w:rsidP="008C1934">
      <w:bookmarkStart w:id="3" w:name="_Hlk31377168"/>
      <w:r w:rsidRPr="00B77A90">
        <w:t>Anxiety; Depression; Stress Disorders, Post-Traumatic; Obsessive-Compulsive Disorder; Patient Reported Outcomes; Outcome Measures; Patient-Relevant Outcome; Quality Improvement; Reference Standards; Delphi Technique; Child Health; Adolescent Health; Core Outcome Set.</w:t>
      </w:r>
    </w:p>
    <w:p w14:paraId="7ABC3EBF" w14:textId="26C9572A" w:rsidR="006410F5" w:rsidRPr="00B77A90" w:rsidRDefault="00A15070" w:rsidP="00A15070">
      <w:pPr>
        <w:tabs>
          <w:tab w:val="left" w:pos="1080"/>
        </w:tabs>
      </w:pPr>
      <w:r>
        <w:tab/>
      </w:r>
    </w:p>
    <w:p w14:paraId="094E74AC" w14:textId="7847C040" w:rsidR="006410F5" w:rsidRPr="00B77A90" w:rsidRDefault="006410F5" w:rsidP="008C1934">
      <w:pPr>
        <w:pStyle w:val="Heading1"/>
      </w:pPr>
      <w:r w:rsidRPr="00B77A90">
        <w:t>Wordcount</w:t>
      </w:r>
    </w:p>
    <w:p w14:paraId="105A6338" w14:textId="775FED87" w:rsidR="001B1C2F" w:rsidRDefault="004A41C7" w:rsidP="005B6161">
      <w:pPr>
        <w:jc w:val="center"/>
        <w:sectPr w:rsidR="001B1C2F">
          <w:footnotePr>
            <w:pos w:val="beneathText"/>
          </w:footnotePr>
          <w:pgSz w:w="12240" w:h="15840"/>
          <w:pgMar w:top="1440" w:right="1440" w:bottom="1440" w:left="1440" w:header="720" w:footer="720" w:gutter="0"/>
          <w:cols w:space="720"/>
          <w:titlePg/>
          <w:docGrid w:linePitch="360"/>
        </w:sectPr>
      </w:pPr>
      <w:r>
        <w:t>4</w:t>
      </w:r>
      <w:r w:rsidR="003D3EB3">
        <w:t>7</w:t>
      </w:r>
      <w:r w:rsidR="005B6161">
        <w:t>6</w:t>
      </w:r>
      <w:r w:rsidR="003D3EB3">
        <w:t>0</w:t>
      </w:r>
      <w:r w:rsidR="006410F5" w:rsidRPr="00B77A90">
        <w:t xml:space="preserve"> words</w:t>
      </w:r>
    </w:p>
    <w:bookmarkEnd w:id="3"/>
    <w:p w14:paraId="3C227E0C" w14:textId="7FFCFB04" w:rsidR="00E81978" w:rsidRPr="00D47F37" w:rsidRDefault="00D47F37" w:rsidP="008C1934">
      <w:pPr>
        <w:pStyle w:val="SectionTitle"/>
        <w:rPr>
          <w:b/>
          <w:bCs/>
        </w:rPr>
      </w:pPr>
      <w:r>
        <w:rPr>
          <w:b/>
          <w:bCs/>
        </w:rPr>
        <w:lastRenderedPageBreak/>
        <w:t>Abstract</w:t>
      </w:r>
    </w:p>
    <w:p w14:paraId="72D1084E" w14:textId="7818A915" w:rsidR="0057524E" w:rsidRPr="00E84573" w:rsidRDefault="000D0F49" w:rsidP="008D5F2D">
      <w:pPr>
        <w:rPr>
          <w:color w:val="FF0000"/>
        </w:rPr>
      </w:pPr>
      <w:bookmarkStart w:id="4" w:name="_Hlk46739578"/>
      <w:r w:rsidRPr="00D53C69">
        <w:t xml:space="preserve">A major barrier to improving care effectiveness for mental health is a lack of consensus on outcomes measurement. The International Consortium for Health Outcomes Measurement (ICHOM) has already developed </w:t>
      </w:r>
      <w:r w:rsidR="00295FD7" w:rsidRPr="00D53C69">
        <w:t xml:space="preserve">a </w:t>
      </w:r>
      <w:r w:rsidRPr="00D53C69">
        <w:t>consensus</w:t>
      </w:r>
      <w:r w:rsidR="00295FD7" w:rsidRPr="00D53C69">
        <w:t>-based Standard Set of outcome</w:t>
      </w:r>
      <w:r w:rsidRPr="00D53C69">
        <w:t>s for anxiety and depression in adults (</w:t>
      </w:r>
      <w:r w:rsidR="00F61B1E">
        <w:t xml:space="preserve">including the </w:t>
      </w:r>
      <w:r w:rsidRPr="00D53C69">
        <w:t>PHQ-9, GAD-7 and WHODAS</w:t>
      </w:r>
      <w:r w:rsidR="00610A93" w:rsidRPr="00D53C69">
        <w:t xml:space="preserve"> 2.0</w:t>
      </w:r>
      <w:r w:rsidRPr="00D53C69">
        <w:t>). This paper reports</w:t>
      </w:r>
      <w:r w:rsidR="00311D1A" w:rsidRPr="00D53C69">
        <w:t xml:space="preserve"> on</w:t>
      </w:r>
      <w:r w:rsidRPr="00D53C69">
        <w:t xml:space="preserve"> </w:t>
      </w:r>
      <w:r w:rsidR="00492D54" w:rsidRPr="00D53C69">
        <w:t>recommendations</w:t>
      </w:r>
      <w:r w:rsidRPr="00D53C69">
        <w:t xml:space="preserve"> </w:t>
      </w:r>
      <w:r w:rsidR="00311D1A" w:rsidRPr="00D53C69">
        <w:t xml:space="preserve">specifically for anxiety, depression, obsessive-compulsive disorder (OCD), and post-traumatic stress disorder (PTSD) in </w:t>
      </w:r>
      <w:r w:rsidR="00855578" w:rsidRPr="00D53C69">
        <w:t xml:space="preserve">children and </w:t>
      </w:r>
      <w:r w:rsidR="00CF5193" w:rsidRPr="00D53C69">
        <w:t>young people (CYP)</w:t>
      </w:r>
      <w:r w:rsidR="00855578" w:rsidRPr="00D53C69">
        <w:t xml:space="preserve"> aged </w:t>
      </w:r>
      <w:r w:rsidR="00311D1A" w:rsidRPr="00D53C69">
        <w:t>6-24</w:t>
      </w:r>
      <w:r w:rsidR="00855578" w:rsidRPr="00D53C69">
        <w:t xml:space="preserve"> </w:t>
      </w:r>
      <w:r w:rsidR="00311D1A" w:rsidRPr="00D53C69">
        <w:t>year</w:t>
      </w:r>
      <w:r w:rsidR="00855578" w:rsidRPr="00D53C69">
        <w:t>s</w:t>
      </w:r>
      <w:r w:rsidR="00311D1A" w:rsidRPr="00D53C69">
        <w:t xml:space="preserve">. </w:t>
      </w:r>
      <w:r w:rsidR="00855578" w:rsidRPr="00D53C69">
        <w:t>A</w:t>
      </w:r>
      <w:r w:rsidR="00CF5193" w:rsidRPr="00D53C69">
        <w:t>n international</w:t>
      </w:r>
      <w:r w:rsidR="00855578" w:rsidRPr="00D53C69">
        <w:t xml:space="preserve"> </w:t>
      </w:r>
      <w:r w:rsidR="00CC1DD8" w:rsidRPr="00D53C69">
        <w:t xml:space="preserve">ICHOM </w:t>
      </w:r>
      <w:r w:rsidRPr="00D53C69">
        <w:t>working group</w:t>
      </w:r>
      <w:r w:rsidR="00610A93" w:rsidRPr="00D53C69">
        <w:t xml:space="preserve"> </w:t>
      </w:r>
      <w:r w:rsidR="0057524E" w:rsidRPr="00D53C69">
        <w:t>of 2</w:t>
      </w:r>
      <w:r w:rsidR="009330E2" w:rsidRPr="00D53C69">
        <w:t>7</w:t>
      </w:r>
      <w:r w:rsidR="0057524E" w:rsidRPr="00D53C69">
        <w:t xml:space="preserve"> clinical, research, and lived-experience experts </w:t>
      </w:r>
      <w:r w:rsidR="00855578" w:rsidRPr="00D53C69">
        <w:t xml:space="preserve">formed consensus </w:t>
      </w:r>
      <w:r w:rsidR="00E61D52" w:rsidRPr="00D53C69">
        <w:t xml:space="preserve">through </w:t>
      </w:r>
      <w:r w:rsidR="005012C6" w:rsidRPr="00D53C69">
        <w:t>tele</w:t>
      </w:r>
      <w:r w:rsidR="00CB4094" w:rsidRPr="00D53C69">
        <w:t>conferences</w:t>
      </w:r>
      <w:r w:rsidR="00EF0444" w:rsidRPr="00D53C69">
        <w:t>,</w:t>
      </w:r>
      <w:r w:rsidR="00C2261C" w:rsidRPr="00D53C69">
        <w:t xml:space="preserve"> </w:t>
      </w:r>
      <w:r w:rsidR="00EF0444" w:rsidRPr="00D53C69">
        <w:t xml:space="preserve">a Delphi exercise, </w:t>
      </w:r>
      <w:r w:rsidR="00BE2CB7" w:rsidRPr="00D53C69">
        <w:t xml:space="preserve">and </w:t>
      </w:r>
      <w:r w:rsidR="00D44F84" w:rsidRPr="00D53C69">
        <w:t xml:space="preserve">iterative </w:t>
      </w:r>
      <w:r w:rsidR="00C221E7" w:rsidRPr="00D53C69">
        <w:t xml:space="preserve">anonymous </w:t>
      </w:r>
      <w:r w:rsidR="00BE2CB7" w:rsidRPr="00D53C69">
        <w:t>voting</w:t>
      </w:r>
      <w:r w:rsidR="0068580F" w:rsidRPr="00D53C69">
        <w:t xml:space="preserve">. </w:t>
      </w:r>
      <w:bookmarkStart w:id="5" w:name="_Hlk35687442"/>
      <w:r w:rsidR="00435E80" w:rsidRPr="00D53C69">
        <w:t xml:space="preserve">A systematic review identified </w:t>
      </w:r>
      <w:r w:rsidR="00E1621B" w:rsidRPr="00D53C69">
        <w:t>70</w:t>
      </w:r>
      <w:r w:rsidR="00A1291B" w:rsidRPr="00D53C69">
        <w:t xml:space="preserve"> possible outcomes and 1</w:t>
      </w:r>
      <w:r w:rsidR="00DC06CF" w:rsidRPr="00D53C69">
        <w:t>0</w:t>
      </w:r>
      <w:r w:rsidR="00655B6A" w:rsidRPr="00D53C69">
        <w:t>7</w:t>
      </w:r>
      <w:r w:rsidR="00A1291B" w:rsidRPr="00D53C69">
        <w:t xml:space="preserve"> </w:t>
      </w:r>
      <w:r w:rsidR="0072166F" w:rsidRPr="00D53C69">
        <w:t xml:space="preserve">relevant </w:t>
      </w:r>
      <w:r w:rsidR="00A1291B" w:rsidRPr="00D53C69">
        <w:t>measurement instruments</w:t>
      </w:r>
      <w:r w:rsidR="003244C0" w:rsidRPr="00D53C69">
        <w:t xml:space="preserve">. Measures were </w:t>
      </w:r>
      <w:r w:rsidR="000830EF" w:rsidRPr="00D53C69">
        <w:t>a</w:t>
      </w:r>
      <w:r w:rsidR="00BE2CB7" w:rsidRPr="00D53C69">
        <w:t>ppraised for</w:t>
      </w:r>
      <w:r w:rsidR="00547EA3" w:rsidRPr="00D53C69">
        <w:t xml:space="preserve"> their </w:t>
      </w:r>
      <w:r w:rsidR="00BE2CB7" w:rsidRPr="00D53C69">
        <w:t>feasibility</w:t>
      </w:r>
      <w:r w:rsidR="00547EA3" w:rsidRPr="00D53C69">
        <w:t xml:space="preserve"> </w:t>
      </w:r>
      <w:r w:rsidR="005A71DB" w:rsidRPr="00D53C69">
        <w:t>in</w:t>
      </w:r>
      <w:r w:rsidR="00547EA3" w:rsidRPr="00D53C69">
        <w:t xml:space="preserve"> routine practice</w:t>
      </w:r>
      <w:r w:rsidR="00C10D13" w:rsidRPr="00D53C69">
        <w:t xml:space="preserve"> </w:t>
      </w:r>
      <w:r w:rsidR="00547EA3" w:rsidRPr="00D53C69">
        <w:t xml:space="preserve">(i.e., </w:t>
      </w:r>
      <w:r w:rsidR="00C10D13" w:rsidRPr="00D53C69">
        <w:t>brevity</w:t>
      </w:r>
      <w:r w:rsidR="00695D53" w:rsidRPr="00D53C69">
        <w:t>,</w:t>
      </w:r>
      <w:r w:rsidR="00C10D13" w:rsidRPr="00D53C69">
        <w:t xml:space="preserve"> free availability</w:t>
      </w:r>
      <w:r w:rsidR="00695D53" w:rsidRPr="00D53C69">
        <w:t>,</w:t>
      </w:r>
      <w:r w:rsidR="00C10D13" w:rsidRPr="00D53C69">
        <w:t xml:space="preserve"> validation in </w:t>
      </w:r>
      <w:r w:rsidR="00AC17CB" w:rsidRPr="00D53C69">
        <w:t>CYP</w:t>
      </w:r>
      <w:r w:rsidR="00695D53" w:rsidRPr="00D53C69">
        <w:t>,</w:t>
      </w:r>
      <w:r w:rsidR="00C10D13" w:rsidRPr="00D53C69">
        <w:t xml:space="preserve"> translation)</w:t>
      </w:r>
      <w:r w:rsidR="00B5386E" w:rsidRPr="00D53C69">
        <w:t xml:space="preserve"> </w:t>
      </w:r>
      <w:r w:rsidR="00C10D13" w:rsidRPr="00D53C69">
        <w:t>and psychometric performance</w:t>
      </w:r>
      <w:r w:rsidR="005A71DB" w:rsidRPr="00D53C69">
        <w:t xml:space="preserve"> </w:t>
      </w:r>
      <w:r w:rsidR="00AC17CB" w:rsidRPr="00D53C69">
        <w:t>(i.e.,</w:t>
      </w:r>
      <w:r w:rsidR="00C10D13" w:rsidRPr="00D53C69">
        <w:t xml:space="preserve"> </w:t>
      </w:r>
      <w:r w:rsidR="00BB6B20" w:rsidRPr="00D53C69">
        <w:t>validity</w:t>
      </w:r>
      <w:r w:rsidR="00695D53" w:rsidRPr="00D53C69">
        <w:t>,</w:t>
      </w:r>
      <w:r w:rsidR="00BB6B20" w:rsidRPr="00D53C69">
        <w:t xml:space="preserve"> </w:t>
      </w:r>
      <w:r w:rsidR="00C10D13" w:rsidRPr="00D53C69">
        <w:t>reliability</w:t>
      </w:r>
      <w:r w:rsidR="00695D53" w:rsidRPr="00D53C69">
        <w:t>,</w:t>
      </w:r>
      <w:r w:rsidR="00C10D13" w:rsidRPr="00D53C69">
        <w:t xml:space="preserve"> sensitivity to change</w:t>
      </w:r>
      <w:r w:rsidR="00AC17CB" w:rsidRPr="00D53C69">
        <w:t>)</w:t>
      </w:r>
      <w:r w:rsidR="00C10D13" w:rsidRPr="00D53C69">
        <w:t xml:space="preserve">. </w:t>
      </w:r>
      <w:bookmarkStart w:id="6" w:name="_Hlk35687307"/>
      <w:bookmarkEnd w:id="5"/>
      <w:r w:rsidR="009D0CE9" w:rsidRPr="00D53C69">
        <w:t>The</w:t>
      </w:r>
      <w:r w:rsidR="00FA57F1" w:rsidRPr="00D53C69">
        <w:t xml:space="preserve"> </w:t>
      </w:r>
      <w:r w:rsidR="005D469F" w:rsidRPr="00D53C69">
        <w:t xml:space="preserve">final </w:t>
      </w:r>
      <w:r w:rsidR="00FA57F1" w:rsidRPr="00D53C69">
        <w:t>Standard</w:t>
      </w:r>
      <w:r w:rsidR="0042240D" w:rsidRPr="00D53C69">
        <w:t xml:space="preserve"> </w:t>
      </w:r>
      <w:r w:rsidR="00FA57F1" w:rsidRPr="00D53C69">
        <w:t>Set</w:t>
      </w:r>
      <w:r w:rsidR="0053474C" w:rsidRPr="00D53C69">
        <w:t xml:space="preserve"> recommend</w:t>
      </w:r>
      <w:r w:rsidR="005366CD" w:rsidRPr="00D53C69">
        <w:t xml:space="preserve">s </w:t>
      </w:r>
      <w:r w:rsidR="00A00B5B" w:rsidRPr="00D53C69">
        <w:t>tracking</w:t>
      </w:r>
      <w:r w:rsidR="005366CD" w:rsidRPr="00D53C69">
        <w:t xml:space="preserve"> </w:t>
      </w:r>
      <w:r w:rsidR="00C17262" w:rsidRPr="00D53C69">
        <w:t>symptoms, suicidal thoughts and behaviour, and functioning</w:t>
      </w:r>
      <w:r w:rsidR="0053474C" w:rsidRPr="00D53C69">
        <w:t xml:space="preserve"> </w:t>
      </w:r>
      <w:r w:rsidR="00B22772" w:rsidRPr="00D53C69">
        <w:t xml:space="preserve">as a minimum, </w:t>
      </w:r>
      <w:r w:rsidR="0053474C" w:rsidRPr="00D53C69">
        <w:t xml:space="preserve">through </w:t>
      </w:r>
      <w:r w:rsidR="00D8012E" w:rsidRPr="00D53C69">
        <w:t>seven</w:t>
      </w:r>
      <w:r w:rsidR="00C17262" w:rsidRPr="00D53C69">
        <w:t xml:space="preserve"> primarily patient-reported </w:t>
      </w:r>
      <w:r w:rsidR="00B5386E" w:rsidRPr="00D53C69">
        <w:t xml:space="preserve">outcome </w:t>
      </w:r>
      <w:r w:rsidR="00C17262" w:rsidRPr="00D53C69">
        <w:t>measure</w:t>
      </w:r>
      <w:r w:rsidR="009D0CE9" w:rsidRPr="00D53C69">
        <w:t>s</w:t>
      </w:r>
      <w:r w:rsidR="005F5431" w:rsidRPr="00D53C69">
        <w:t>: the RCADS-25, OCI-CV, CRIES-8/13, C-SSRS, KIDSCREEN-10, CGAS, and CALIS</w:t>
      </w:r>
      <w:bookmarkEnd w:id="6"/>
      <w:r w:rsidR="005F5431" w:rsidRPr="00D53C69">
        <w:t>.</w:t>
      </w:r>
      <w:r w:rsidR="001C73F3" w:rsidRPr="00D53C69">
        <w:t xml:space="preserve"> </w:t>
      </w:r>
      <w:r w:rsidR="0072166F" w:rsidRPr="00D53C69">
        <w:t>The Set</w:t>
      </w:r>
      <w:r w:rsidR="002D2C39" w:rsidRPr="00D53C69">
        <w:t xml:space="preserve">’s recommendations were validated through a feedback survey involving </w:t>
      </w:r>
      <w:r w:rsidR="004A7628" w:rsidRPr="00D53C69">
        <w:t>4</w:t>
      </w:r>
      <w:r w:rsidR="002D2C39" w:rsidRPr="00D53C69">
        <w:t>87</w:t>
      </w:r>
      <w:r w:rsidR="004A7628" w:rsidRPr="00D53C69">
        <w:t xml:space="preserve"> </w:t>
      </w:r>
      <w:r w:rsidR="00103E11" w:rsidRPr="00D53C69">
        <w:t>participants</w:t>
      </w:r>
      <w:r w:rsidR="005366CD" w:rsidRPr="00D53C69">
        <w:t xml:space="preserve"> across 45 countries.</w:t>
      </w:r>
      <w:r w:rsidR="005873CE" w:rsidRPr="00D53C69">
        <w:t xml:space="preserve"> </w:t>
      </w:r>
      <w:r w:rsidR="00E60803" w:rsidRPr="00D53C69">
        <w:t xml:space="preserve">The </w:t>
      </w:r>
      <w:r w:rsidR="009D44D7" w:rsidRPr="00D53C69">
        <w:t>S</w:t>
      </w:r>
      <w:r w:rsidR="00E60803" w:rsidRPr="00D53C69">
        <w:t xml:space="preserve">et should be used alongside the anxiety and depression </w:t>
      </w:r>
      <w:r w:rsidR="009D44D7" w:rsidRPr="00D53C69">
        <w:t>S</w:t>
      </w:r>
      <w:r w:rsidR="00E60803" w:rsidRPr="00D53C69">
        <w:t xml:space="preserve">tandard </w:t>
      </w:r>
      <w:r w:rsidR="009D44D7" w:rsidRPr="00D53C69">
        <w:t>S</w:t>
      </w:r>
      <w:r w:rsidR="00E60803" w:rsidRPr="00D53C69">
        <w:t xml:space="preserve">et for adults with clinicians </w:t>
      </w:r>
      <w:r w:rsidR="009D44D7" w:rsidRPr="00D53C69">
        <w:t>selecting</w:t>
      </w:r>
      <w:r w:rsidR="00E60803" w:rsidRPr="00D53C69">
        <w:t xml:space="preserve"> age-appropriate measures. </w:t>
      </w:r>
    </w:p>
    <w:bookmarkEnd w:id="4"/>
    <w:p w14:paraId="01B1A9A1" w14:textId="77777777" w:rsidR="001B1C2F" w:rsidRDefault="001B1C2F" w:rsidP="008C1934"/>
    <w:p w14:paraId="5AA68F3A" w14:textId="77777777" w:rsidR="004B4BCE" w:rsidRDefault="004B4BCE" w:rsidP="008C1934"/>
    <w:p w14:paraId="0385E9AE" w14:textId="65429E53" w:rsidR="004B4BCE" w:rsidRDefault="004B4BCE" w:rsidP="008C1934">
      <w:pPr>
        <w:sectPr w:rsidR="004B4BCE">
          <w:headerReference w:type="default" r:id="rId16"/>
          <w:headerReference w:type="first" r:id="rId17"/>
          <w:footnotePr>
            <w:pos w:val="beneathText"/>
          </w:footnotePr>
          <w:pgSz w:w="12240" w:h="15840"/>
          <w:pgMar w:top="1440" w:right="1440" w:bottom="1440" w:left="1440" w:header="720" w:footer="720" w:gutter="0"/>
          <w:cols w:space="720"/>
          <w:titlePg/>
          <w:docGrid w:linePitch="360"/>
        </w:sectPr>
      </w:pPr>
    </w:p>
    <w:p w14:paraId="1F34CAC3" w14:textId="77777777" w:rsidR="00744E10" w:rsidRPr="00B77A90" w:rsidRDefault="00744E10" w:rsidP="008C1934">
      <w:pPr>
        <w:pStyle w:val="Title2"/>
        <w:rPr>
          <w:b/>
          <w:bCs/>
        </w:rPr>
      </w:pPr>
      <w:bookmarkStart w:id="7" w:name="_Hlk29531063"/>
      <w:r w:rsidRPr="00B77A90">
        <w:rPr>
          <w:b/>
          <w:bCs/>
        </w:rPr>
        <w:lastRenderedPageBreak/>
        <w:t>Measuring Response to Clinical Care in Children and Young People with Anxiety, Depression, OCD or PTSD: An International Standard Set of Outcome Measures</w:t>
      </w:r>
      <w:r w:rsidRPr="00B77A90" w:rsidDel="00C53E3E">
        <w:rPr>
          <w:b/>
          <w:bCs/>
        </w:rPr>
        <w:t xml:space="preserve"> </w:t>
      </w:r>
    </w:p>
    <w:p w14:paraId="3BA2B958" w14:textId="77777777" w:rsidR="00C034B2" w:rsidRDefault="00C034B2" w:rsidP="009140CC">
      <w:pPr>
        <w:pStyle w:val="Heading2"/>
      </w:pPr>
      <w:bookmarkStart w:id="8" w:name="_Hlk46744975"/>
      <w:r>
        <w:t>Introduction</w:t>
      </w:r>
    </w:p>
    <w:p w14:paraId="0098F201" w14:textId="547C324E" w:rsidR="00127FAC" w:rsidRPr="00B77A90" w:rsidRDefault="00E67B73" w:rsidP="008C1934">
      <w:r w:rsidRPr="00B77A90">
        <w:t xml:space="preserve">Depression and anxiety </w:t>
      </w:r>
      <w:r w:rsidR="005D0582" w:rsidRPr="00B77A90">
        <w:t>affect</w:t>
      </w:r>
      <w:r w:rsidR="003F1605" w:rsidRPr="00B77A90">
        <w:t xml:space="preserve"> </w:t>
      </w:r>
      <w:r w:rsidRPr="00B77A90">
        <w:t xml:space="preserve">an estimated 4.4% and 3.6% of the world’s </w:t>
      </w:r>
      <w:r w:rsidR="003F1605" w:rsidRPr="00B77A90">
        <w:t xml:space="preserve">population, and rank as </w:t>
      </w:r>
      <w:r w:rsidR="00D60057" w:rsidRPr="00B77A90">
        <w:t xml:space="preserve">the first and sixth largest contributor to </w:t>
      </w:r>
      <w:r w:rsidR="00A31017" w:rsidRPr="00B77A90">
        <w:t xml:space="preserve">health-related </w:t>
      </w:r>
      <w:r w:rsidR="00D60057" w:rsidRPr="00B77A90">
        <w:t>disability, respectively</w:t>
      </w:r>
      <w:r w:rsidRPr="00B77A90">
        <w:t xml:space="preserve"> </w:t>
      </w:r>
      <w:r w:rsidRPr="00B77A90">
        <w:rPr>
          <w:noProof/>
        </w:rPr>
        <w:t>(1)</w:t>
      </w:r>
      <w:r w:rsidRPr="00B77A90">
        <w:t xml:space="preserve">. </w:t>
      </w:r>
      <w:r w:rsidR="005169AA" w:rsidRPr="00B77A90">
        <w:t>These disorders frequently emerge in</w:t>
      </w:r>
      <w:r w:rsidR="00D71012" w:rsidRPr="00B77A90">
        <w:t xml:space="preserve"> childhood and adolescenc</w:t>
      </w:r>
      <w:r w:rsidR="00567B6C" w:rsidRPr="00B77A90">
        <w:t>e</w:t>
      </w:r>
      <w:r w:rsidR="00665692" w:rsidRPr="00B77A90">
        <w:t>, and u</w:t>
      </w:r>
      <w:r w:rsidR="008879EC" w:rsidRPr="00B77A90">
        <w:t xml:space="preserve">nless treated </w:t>
      </w:r>
      <w:r w:rsidR="003C12C9" w:rsidRPr="00B77A90">
        <w:t xml:space="preserve">early and </w:t>
      </w:r>
      <w:r w:rsidR="008879EC" w:rsidRPr="00B77A90">
        <w:t>effectively,</w:t>
      </w:r>
      <w:r w:rsidR="003C12C9" w:rsidRPr="00B77A90">
        <w:t xml:space="preserve"> commonly </w:t>
      </w:r>
      <w:r w:rsidR="008879EC" w:rsidRPr="00B77A90">
        <w:t>adversely affect mental health and</w:t>
      </w:r>
      <w:r w:rsidR="00567B6C" w:rsidRPr="00B77A90">
        <w:t xml:space="preserve"> psychosocial </w:t>
      </w:r>
      <w:r w:rsidR="000567BC" w:rsidRPr="00B77A90">
        <w:t xml:space="preserve">outcomes across the life course </w:t>
      </w:r>
      <w:r w:rsidR="006A48B8" w:rsidRPr="00B77A90">
        <w:rPr>
          <w:noProof/>
        </w:rPr>
        <w:t>(2–4)</w:t>
      </w:r>
      <w:r w:rsidR="00B21E39" w:rsidRPr="00B77A90">
        <w:t>.</w:t>
      </w:r>
      <w:r w:rsidR="00567B6C" w:rsidRPr="00B77A90">
        <w:t xml:space="preserve"> Despite an increase in mental health care provision over recent decades, service systems have failed to reduce the prevalence of these disorders </w:t>
      </w:r>
      <w:r w:rsidR="001B242F" w:rsidRPr="00B77A90">
        <w:t>in children and young</w:t>
      </w:r>
      <w:r w:rsidR="00C2261C">
        <w:t xml:space="preserve"> </w:t>
      </w:r>
      <w:r w:rsidR="001B242F" w:rsidRPr="00B77A90">
        <w:t>people</w:t>
      </w:r>
      <w:r w:rsidR="00FF414F">
        <w:t xml:space="preserve"> </w:t>
      </w:r>
      <w:r w:rsidR="00FF414F" w:rsidRPr="00FF414F">
        <w:rPr>
          <w:noProof/>
        </w:rPr>
        <w:t>(CYP; 5)</w:t>
      </w:r>
      <w:r w:rsidR="00FF414F" w:rsidRPr="00B77A90">
        <w:t xml:space="preserve">. </w:t>
      </w:r>
      <w:r w:rsidR="00D02DAA" w:rsidRPr="00B77A90">
        <w:t xml:space="preserve">The global response requires </w:t>
      </w:r>
      <w:r w:rsidR="00127FAC" w:rsidRPr="00B77A90">
        <w:t xml:space="preserve">holistic </w:t>
      </w:r>
      <w:r w:rsidR="00D02DAA" w:rsidRPr="00B77A90">
        <w:t>strengthening</w:t>
      </w:r>
      <w:r w:rsidR="00127FAC" w:rsidRPr="00B77A90">
        <w:t xml:space="preserve">, </w:t>
      </w:r>
      <w:r w:rsidR="002B5589" w:rsidRPr="00B77A90">
        <w:t xml:space="preserve">not only </w:t>
      </w:r>
      <w:r w:rsidR="00281BFD" w:rsidRPr="00B77A90">
        <w:t>in</w:t>
      </w:r>
      <w:r w:rsidR="002B5589" w:rsidRPr="00B77A90">
        <w:t xml:space="preserve"> specialist</w:t>
      </w:r>
      <w:r w:rsidR="00384773" w:rsidRPr="00B77A90">
        <w:t xml:space="preserve"> </w:t>
      </w:r>
      <w:r w:rsidR="00127FAC" w:rsidRPr="00B77A90">
        <w:t>mental health services</w:t>
      </w:r>
      <w:r w:rsidR="00384773" w:rsidRPr="00B77A90">
        <w:t xml:space="preserve">, </w:t>
      </w:r>
      <w:r w:rsidR="00971A0F" w:rsidRPr="00B77A90">
        <w:t>but also in</w:t>
      </w:r>
      <w:r w:rsidR="00384773" w:rsidRPr="00B77A90">
        <w:t xml:space="preserve"> </w:t>
      </w:r>
      <w:r w:rsidR="00127FAC" w:rsidRPr="00B77A90">
        <w:t>primary car</w:t>
      </w:r>
      <w:r w:rsidR="00384773" w:rsidRPr="00B77A90">
        <w:t xml:space="preserve">e, </w:t>
      </w:r>
      <w:r w:rsidR="00127FAC" w:rsidRPr="00B77A90">
        <w:t xml:space="preserve">community health, </w:t>
      </w:r>
      <w:r w:rsidR="00971A0F" w:rsidRPr="00B77A90">
        <w:t>child health</w:t>
      </w:r>
      <w:r w:rsidR="00384773" w:rsidRPr="00B77A90">
        <w:t xml:space="preserve">, </w:t>
      </w:r>
      <w:r w:rsidR="00971A0F" w:rsidRPr="00B77A90">
        <w:t xml:space="preserve">and </w:t>
      </w:r>
      <w:r w:rsidR="00127FAC" w:rsidRPr="00B77A90">
        <w:t>school settings</w:t>
      </w:r>
      <w:r w:rsidR="00384773" w:rsidRPr="00B77A90">
        <w:t>.</w:t>
      </w:r>
      <w:r w:rsidR="003878C5">
        <w:t xml:space="preserve"> </w:t>
      </w:r>
    </w:p>
    <w:p w14:paraId="440F72AC" w14:textId="723D9D10" w:rsidR="00625F90" w:rsidRPr="00B77A90" w:rsidRDefault="001B242F" w:rsidP="008C1934">
      <w:r w:rsidRPr="00B77A90">
        <w:t xml:space="preserve">In addition to resourcing and training in evidence-based care, one essential element of </w:t>
      </w:r>
      <w:r w:rsidR="00790217" w:rsidRPr="00B77A90">
        <w:t>service strengthening</w:t>
      </w:r>
      <w:r w:rsidRPr="00B77A90">
        <w:t xml:space="preserve"> is the systematic monitoring of patient progress</w:t>
      </w:r>
      <w:r w:rsidR="00D31172">
        <w:t xml:space="preserve"> </w:t>
      </w:r>
      <w:r w:rsidR="00D62E7E" w:rsidRPr="00D62E7E">
        <w:rPr>
          <w:noProof/>
        </w:rPr>
        <w:t>(6,7)</w:t>
      </w:r>
      <w:r w:rsidRPr="00B77A90">
        <w:t xml:space="preserve">. </w:t>
      </w:r>
      <w:r w:rsidR="00FF723F" w:rsidRPr="00B77A90">
        <w:t xml:space="preserve">Valid data on treatment outcome is </w:t>
      </w:r>
      <w:r w:rsidR="009B5496" w:rsidRPr="00B77A90">
        <w:t>an</w:t>
      </w:r>
      <w:r w:rsidR="00FF723F" w:rsidRPr="00B77A90">
        <w:t xml:space="preserve"> essential facet in evaluating </w:t>
      </w:r>
      <w:r w:rsidR="009438D3" w:rsidRPr="00B77A90">
        <w:t>care</w:t>
      </w:r>
      <w:r w:rsidR="00032910" w:rsidRPr="00B77A90">
        <w:t xml:space="preserve"> </w:t>
      </w:r>
      <w:r w:rsidR="00FF723F" w:rsidRPr="00B77A90">
        <w:t>effectiveness</w:t>
      </w:r>
      <w:r w:rsidR="00D62E7E">
        <w:t xml:space="preserve"> and </w:t>
      </w:r>
      <w:r w:rsidR="00B23C53" w:rsidRPr="00B77A90">
        <w:t xml:space="preserve">can </w:t>
      </w:r>
      <w:r w:rsidR="00CE7C36" w:rsidRPr="00B77A90">
        <w:t>inform the setting of strategic targets for health systems</w:t>
      </w:r>
      <w:r w:rsidR="00BB04D3" w:rsidRPr="00B77A90">
        <w:t xml:space="preserve">, </w:t>
      </w:r>
      <w:r w:rsidR="00CE7C36" w:rsidRPr="00B77A90">
        <w:t>comparisons</w:t>
      </w:r>
      <w:r w:rsidR="00072A2D">
        <w:t xml:space="preserve"> between systems and services</w:t>
      </w:r>
      <w:r w:rsidR="00CE7C36" w:rsidRPr="00B77A90">
        <w:t xml:space="preserve">, </w:t>
      </w:r>
      <w:r w:rsidR="00F8119C">
        <w:t xml:space="preserve">and </w:t>
      </w:r>
      <w:r w:rsidR="00695202" w:rsidRPr="00B77A90">
        <w:t>clinical decision-making on a case-by-case basis</w:t>
      </w:r>
      <w:r w:rsidR="00F8119C">
        <w:t xml:space="preserve"> </w:t>
      </w:r>
      <w:r w:rsidR="00D62E7E" w:rsidRPr="00D62E7E">
        <w:rPr>
          <w:noProof/>
        </w:rPr>
        <w:t>(8,9)</w:t>
      </w:r>
      <w:r w:rsidR="00461ABE">
        <w:t xml:space="preserve">. </w:t>
      </w:r>
    </w:p>
    <w:p w14:paraId="11182441" w14:textId="5FB00B27" w:rsidR="003A26FB" w:rsidRPr="00B77A90" w:rsidRDefault="00695202" w:rsidP="008C1934">
      <w:r w:rsidRPr="00B77A90">
        <w:t>Currently there is n</w:t>
      </w:r>
      <w:r w:rsidR="00B673F6" w:rsidRPr="00B77A90">
        <w:t>either</w:t>
      </w:r>
      <w:r w:rsidRPr="00B77A90">
        <w:t xml:space="preserve"> agreement</w:t>
      </w:r>
      <w:r w:rsidR="00B673F6" w:rsidRPr="00B77A90">
        <w:t>, nor</w:t>
      </w:r>
      <w:r w:rsidRPr="00B77A90">
        <w:t xml:space="preserve"> </w:t>
      </w:r>
      <w:r w:rsidR="00903882" w:rsidRPr="00B77A90">
        <w:t xml:space="preserve">global guidance on how best to </w:t>
      </w:r>
      <w:r w:rsidR="001A7D99">
        <w:t>track</w:t>
      </w:r>
      <w:r w:rsidR="001A7D99" w:rsidRPr="00B77A90">
        <w:t xml:space="preserve"> </w:t>
      </w:r>
      <w:r w:rsidR="00903882" w:rsidRPr="00B77A90">
        <w:t>the response to</w:t>
      </w:r>
      <w:r w:rsidR="0020235E" w:rsidRPr="00B77A90">
        <w:t xml:space="preserve"> </w:t>
      </w:r>
      <w:r w:rsidR="0090444E" w:rsidRPr="00B77A90">
        <w:t xml:space="preserve">clinical care </w:t>
      </w:r>
      <w:r w:rsidR="00903882" w:rsidRPr="00B77A90">
        <w:t xml:space="preserve">for anxiety and depression in </w:t>
      </w:r>
      <w:r w:rsidR="00C73D28" w:rsidRPr="00B77A90">
        <w:t>CYP</w:t>
      </w:r>
      <w:r w:rsidR="00903882" w:rsidRPr="00B77A90">
        <w:t xml:space="preserve">. </w:t>
      </w:r>
      <w:r w:rsidR="00625F90" w:rsidRPr="00B77A90">
        <w:t>U</w:t>
      </w:r>
      <w:r w:rsidR="00903882" w:rsidRPr="00B77A90">
        <w:t>ptake of routine outcome measurement remains low, and where it occur</w:t>
      </w:r>
      <w:r w:rsidR="00AE085F" w:rsidRPr="00B77A90">
        <w:t>s</w:t>
      </w:r>
      <w:r w:rsidR="00903882" w:rsidRPr="00B77A90">
        <w:t xml:space="preserve">, there is </w:t>
      </w:r>
      <w:r w:rsidR="00C81A44" w:rsidRPr="00B77A90">
        <w:t xml:space="preserve">considerable </w:t>
      </w:r>
      <w:r w:rsidR="00903882" w:rsidRPr="00B77A90">
        <w:t xml:space="preserve">variation in </w:t>
      </w:r>
      <w:r w:rsidR="00AE085F" w:rsidRPr="00B77A90">
        <w:t xml:space="preserve">outcomes, </w:t>
      </w:r>
      <w:r w:rsidR="005251EE" w:rsidRPr="00B77A90">
        <w:t>instruments</w:t>
      </w:r>
      <w:r w:rsidR="00903882" w:rsidRPr="00B77A90">
        <w:t>,</w:t>
      </w:r>
      <w:r w:rsidR="00517729" w:rsidRPr="00B77A90">
        <w:t xml:space="preserve"> </w:t>
      </w:r>
      <w:r w:rsidR="00AE085F" w:rsidRPr="00B77A90">
        <w:t xml:space="preserve">and </w:t>
      </w:r>
      <w:r w:rsidR="006371AA" w:rsidRPr="00B77A90">
        <w:t>assessment</w:t>
      </w:r>
      <w:r w:rsidR="00903882" w:rsidRPr="00B77A90">
        <w:t xml:space="preserve"> time points</w:t>
      </w:r>
      <w:r w:rsidR="00440F54" w:rsidRPr="00B77A90">
        <w:t xml:space="preserve">, with a recent review recording 20 different measures used </w:t>
      </w:r>
      <w:r w:rsidR="004D64F9" w:rsidRPr="00B77A90">
        <w:t xml:space="preserve">to assess primary outcome </w:t>
      </w:r>
      <w:r w:rsidR="00440F54" w:rsidRPr="00B77A90">
        <w:t>across 38</w:t>
      </w:r>
      <w:r w:rsidR="004D64F9" w:rsidRPr="00B77A90">
        <w:t xml:space="preserve"> studies of</w:t>
      </w:r>
      <w:r w:rsidR="00440F54" w:rsidRPr="00B77A90">
        <w:t xml:space="preserve"> routine</w:t>
      </w:r>
      <w:r w:rsidR="004D64F9" w:rsidRPr="00B77A90">
        <w:t xml:space="preserve"> treatment</w:t>
      </w:r>
      <w:r w:rsidR="00440F54" w:rsidRPr="00B77A90">
        <w:t xml:space="preserve"> </w:t>
      </w:r>
      <w:r w:rsidR="004D64F9" w:rsidRPr="00B77A90">
        <w:t xml:space="preserve">for youth anxiety and depression </w:t>
      </w:r>
      <w:r w:rsidR="00D62E7E" w:rsidRPr="00D62E7E">
        <w:rPr>
          <w:noProof/>
        </w:rPr>
        <w:t>(10)</w:t>
      </w:r>
      <w:r w:rsidR="00602BD1" w:rsidRPr="00B77A90">
        <w:t xml:space="preserve">. </w:t>
      </w:r>
      <w:r w:rsidR="005251EE" w:rsidRPr="00B77A90">
        <w:t xml:space="preserve">Resulting </w:t>
      </w:r>
      <w:bookmarkStart w:id="9" w:name="_Hlk35687174"/>
      <w:r w:rsidR="005251EE" w:rsidRPr="00B77A90">
        <w:t>d</w:t>
      </w:r>
      <w:r w:rsidR="003A26FB" w:rsidRPr="00B77A90">
        <w:t>ata gaps and inconsistencies</w:t>
      </w:r>
      <w:r w:rsidR="006371AA" w:rsidRPr="00B77A90">
        <w:t xml:space="preserve"> severely limit the potential for </w:t>
      </w:r>
      <w:r w:rsidR="0020235E" w:rsidRPr="00B77A90">
        <w:t xml:space="preserve">comparing different models of </w:t>
      </w:r>
      <w:r w:rsidR="003A26FB" w:rsidRPr="00B77A90">
        <w:t xml:space="preserve">clinical </w:t>
      </w:r>
      <w:r w:rsidR="0020235E" w:rsidRPr="00B77A90">
        <w:t xml:space="preserve">care, </w:t>
      </w:r>
      <w:r w:rsidR="006371AA" w:rsidRPr="00B77A90">
        <w:t>identifying good practice</w:t>
      </w:r>
      <w:r w:rsidR="0090444E" w:rsidRPr="00B77A90">
        <w:t xml:space="preserve">, and informing </w:t>
      </w:r>
      <w:r w:rsidR="005F70EB" w:rsidRPr="00B77A90">
        <w:t>quality</w:t>
      </w:r>
      <w:r w:rsidR="00F50C35" w:rsidRPr="00B77A90">
        <w:t xml:space="preserve"> improvement efforts</w:t>
      </w:r>
      <w:r w:rsidR="005F70EB" w:rsidRPr="00B77A90">
        <w:t>.</w:t>
      </w:r>
      <w:bookmarkEnd w:id="9"/>
    </w:p>
    <w:p w14:paraId="4AB6CF29" w14:textId="77777777" w:rsidR="0053289D" w:rsidRDefault="00A8034E" w:rsidP="00D16552">
      <w:pPr>
        <w:sectPr w:rsidR="0053289D">
          <w:footnotePr>
            <w:pos w:val="beneathText"/>
          </w:footnotePr>
          <w:pgSz w:w="12240" w:h="15840"/>
          <w:pgMar w:top="1440" w:right="1440" w:bottom="1440" w:left="1440" w:header="720" w:footer="720" w:gutter="0"/>
          <w:cols w:space="720"/>
          <w:titlePg/>
          <w:docGrid w:linePitch="360"/>
        </w:sectPr>
      </w:pPr>
      <w:r w:rsidRPr="00B77A90">
        <w:t xml:space="preserve">This initiative </w:t>
      </w:r>
      <w:r w:rsidR="008C625C" w:rsidRPr="00B77A90">
        <w:t xml:space="preserve">aimed to </w:t>
      </w:r>
      <w:r w:rsidR="001F0CB0" w:rsidRPr="00B77A90">
        <w:t>address th</w:t>
      </w:r>
      <w:r w:rsidR="007A2DC3" w:rsidRPr="00B77A90">
        <w:t xml:space="preserve">is </w:t>
      </w:r>
      <w:r w:rsidR="002E24E1" w:rsidRPr="00B77A90">
        <w:t xml:space="preserve">challenge </w:t>
      </w:r>
      <w:r w:rsidR="007A2DC3" w:rsidRPr="00B77A90">
        <w:t>by devising a</w:t>
      </w:r>
      <w:r w:rsidR="001960D6" w:rsidRPr="00B77A90">
        <w:t xml:space="preserve"> </w:t>
      </w:r>
      <w:r w:rsidR="00DB4701" w:rsidRPr="00B77A90">
        <w:t>S</w:t>
      </w:r>
      <w:r w:rsidR="005E7426" w:rsidRPr="00B77A90">
        <w:t xml:space="preserve">tandard </w:t>
      </w:r>
      <w:r w:rsidR="00DB4701" w:rsidRPr="00B77A90">
        <w:t>S</w:t>
      </w:r>
      <w:r w:rsidR="005E7426" w:rsidRPr="00B77A90">
        <w:t>et</w:t>
      </w:r>
      <w:r w:rsidR="0073497B" w:rsidRPr="00B77A90">
        <w:t>,</w:t>
      </w:r>
      <w:r w:rsidRPr="00B77A90">
        <w:t xml:space="preserve"> that is, </w:t>
      </w:r>
      <w:r w:rsidR="001960D6" w:rsidRPr="00B77A90">
        <w:t>a</w:t>
      </w:r>
      <w:r w:rsidR="001547FE" w:rsidRPr="00B77A90">
        <w:t xml:space="preserve"> consensus-based </w:t>
      </w:r>
      <w:r w:rsidR="001960D6" w:rsidRPr="00B77A90">
        <w:t xml:space="preserve">standardised collection of </w:t>
      </w:r>
      <w:r w:rsidR="001D07C9" w:rsidRPr="00B77A90">
        <w:t xml:space="preserve">treatment </w:t>
      </w:r>
      <w:r w:rsidR="001960D6" w:rsidRPr="00B77A90">
        <w:t xml:space="preserve">outcomes </w:t>
      </w:r>
      <w:r w:rsidRPr="00B77A90">
        <w:t>to</w:t>
      </w:r>
      <w:r w:rsidR="001960D6" w:rsidRPr="00B77A90">
        <w:t xml:space="preserve"> be measured and reported</w:t>
      </w:r>
      <w:r w:rsidR="0052740E" w:rsidRPr="00B77A90">
        <w:t xml:space="preserve"> as a </w:t>
      </w:r>
      <w:r w:rsidR="0052740E" w:rsidRPr="00B77A90">
        <w:rPr>
          <w:i/>
          <w:iCs/>
        </w:rPr>
        <w:t>minimum</w:t>
      </w:r>
      <w:r w:rsidR="0052740E" w:rsidRPr="00B77A90">
        <w:t xml:space="preserve"> by all those providing </w:t>
      </w:r>
      <w:r w:rsidR="008C625C" w:rsidRPr="00B77A90">
        <w:t xml:space="preserve">relevant </w:t>
      </w:r>
      <w:r w:rsidR="0052740E" w:rsidRPr="00B77A90">
        <w:t xml:space="preserve">care </w:t>
      </w:r>
      <w:r w:rsidR="00D62E7E" w:rsidRPr="00D62E7E">
        <w:rPr>
          <w:noProof/>
        </w:rPr>
        <w:t>(11)</w:t>
      </w:r>
      <w:r w:rsidR="001960D6" w:rsidRPr="00B77A90">
        <w:t>.</w:t>
      </w:r>
      <w:r w:rsidR="00335536" w:rsidRPr="00B77A90">
        <w:t xml:space="preserve"> To ensure that </w:t>
      </w:r>
      <w:r w:rsidR="0052740E" w:rsidRPr="00B77A90">
        <w:t>th</w:t>
      </w:r>
      <w:r w:rsidR="0027161E" w:rsidRPr="00B77A90">
        <w:t xml:space="preserve">is </w:t>
      </w:r>
      <w:r w:rsidR="0052740E" w:rsidRPr="00B77A90">
        <w:t>standard is</w:t>
      </w:r>
      <w:r w:rsidR="001F0597" w:rsidRPr="00B77A90">
        <w:t xml:space="preserve"> meaningful and acceptable to</w:t>
      </w:r>
      <w:r w:rsidR="00CC4B18">
        <w:t xml:space="preserve"> its</w:t>
      </w:r>
      <w:r w:rsidR="001F0597" w:rsidRPr="00B77A90">
        <w:t xml:space="preserve"> </w:t>
      </w:r>
      <w:r w:rsidR="0052740E" w:rsidRPr="00B77A90">
        <w:t xml:space="preserve">intended users, </w:t>
      </w:r>
      <w:r w:rsidR="00CE4F38">
        <w:t>the International Consortium for Health Outcome</w:t>
      </w:r>
      <w:r w:rsidR="00290579">
        <w:t xml:space="preserve">s </w:t>
      </w:r>
      <w:r w:rsidR="00CE4F38">
        <w:t xml:space="preserve">Measurement (ICHOM) </w:t>
      </w:r>
      <w:r w:rsidR="00DD268D">
        <w:t xml:space="preserve">convened </w:t>
      </w:r>
      <w:r w:rsidR="00DD268D" w:rsidRPr="00B77A90">
        <w:t xml:space="preserve">an international working group of service user representatives, practitioners, and researchers </w:t>
      </w:r>
      <w:r w:rsidR="00CE4F38">
        <w:t xml:space="preserve">to </w:t>
      </w:r>
      <w:r w:rsidR="00012F9F" w:rsidRPr="00B77A90">
        <w:t>build</w:t>
      </w:r>
      <w:r w:rsidR="0027161E" w:rsidRPr="00B77A90">
        <w:t xml:space="preserve"> consensus on </w:t>
      </w:r>
      <w:r w:rsidR="00DD268D">
        <w:t xml:space="preserve">a </w:t>
      </w:r>
      <w:r w:rsidR="00C53874">
        <w:t>set</w:t>
      </w:r>
      <w:r w:rsidR="00DD268D">
        <w:t xml:space="preserve"> of</w:t>
      </w:r>
      <w:r w:rsidR="004D6674" w:rsidRPr="00B77A90">
        <w:t xml:space="preserve"> outcome domains, </w:t>
      </w:r>
      <w:r w:rsidR="00EE03FE">
        <w:t xml:space="preserve">measurement </w:t>
      </w:r>
      <w:r w:rsidR="004D6674" w:rsidRPr="00B77A90">
        <w:t>instruments, case</w:t>
      </w:r>
      <w:r w:rsidR="0047267A">
        <w:t>-</w:t>
      </w:r>
      <w:r w:rsidR="004D6674" w:rsidRPr="00B77A90">
        <w:t>mix factors (i.e., case characteristics that should be considered when adjusting for differences in the composition of service user populations</w:t>
      </w:r>
      <w:r w:rsidR="001D07C9" w:rsidRPr="00B77A90">
        <w:t xml:space="preserve">, or </w:t>
      </w:r>
      <w:r w:rsidR="004D6674" w:rsidRPr="00B77A90">
        <w:t>care provision across settings) and measurement timepoints</w:t>
      </w:r>
      <w:r w:rsidR="00C53874">
        <w:t xml:space="preserve"> to recommend. </w:t>
      </w:r>
    </w:p>
    <w:tbl>
      <w:tblPr>
        <w:tblStyle w:val="TableGrid"/>
        <w:tblW w:w="0" w:type="auto"/>
        <w:tblLook w:val="04A0" w:firstRow="1" w:lastRow="0" w:firstColumn="1" w:lastColumn="0" w:noHBand="0" w:noVBand="1"/>
      </w:tblPr>
      <w:tblGrid>
        <w:gridCol w:w="9350"/>
      </w:tblGrid>
      <w:tr w:rsidR="0053289D" w14:paraId="12AC6404" w14:textId="77777777" w:rsidTr="0053289D">
        <w:tc>
          <w:tcPr>
            <w:tcW w:w="9350" w:type="dxa"/>
          </w:tcPr>
          <w:p w14:paraId="6DA41E5C" w14:textId="27E87D8D" w:rsidR="00D611FB" w:rsidRPr="009140CC" w:rsidRDefault="00D611FB" w:rsidP="0053289D">
            <w:pPr>
              <w:rPr>
                <w:b/>
                <w:bCs/>
              </w:rPr>
            </w:pPr>
            <w:r w:rsidRPr="009140CC">
              <w:rPr>
                <w:b/>
                <w:bCs/>
              </w:rPr>
              <w:lastRenderedPageBreak/>
              <w:t xml:space="preserve">Panel 1. </w:t>
            </w:r>
            <w:r w:rsidR="004A1A12">
              <w:rPr>
                <w:b/>
                <w:bCs/>
              </w:rPr>
              <w:t xml:space="preserve">The </w:t>
            </w:r>
            <w:r w:rsidRPr="009140CC">
              <w:rPr>
                <w:b/>
                <w:bCs/>
              </w:rPr>
              <w:t>ICHOM</w:t>
            </w:r>
            <w:r w:rsidR="004A1A12">
              <w:rPr>
                <w:b/>
                <w:bCs/>
              </w:rPr>
              <w:t xml:space="preserve"> Approach to Standard Set Development</w:t>
            </w:r>
          </w:p>
          <w:p w14:paraId="3099ADC6" w14:textId="115F79FA" w:rsidR="0053289D" w:rsidRPr="004A1A12" w:rsidRDefault="0053289D" w:rsidP="00232ADF">
            <w:r w:rsidRPr="009140CC">
              <w:t xml:space="preserve">ICHOM is a non-profit organisation specialised in the development of condition-specific Standard Sets for clinical practice. ICHOM has supported the development of more than 28 existing Standard Sets, including one for adult depression and anxiety </w:t>
            </w:r>
            <w:r w:rsidRPr="009140CC">
              <w:rPr>
                <w:noProof/>
              </w:rPr>
              <w:t>(12)</w:t>
            </w:r>
            <w:r w:rsidRPr="009140CC">
              <w:t xml:space="preserve">. Outcome measurement is approached within a framework of person-centred and value-based </w:t>
            </w:r>
            <w:r w:rsidR="00F142F8">
              <w:t>health</w:t>
            </w:r>
            <w:r w:rsidRPr="009140CC">
              <w:t xml:space="preserve">care, where value is defined </w:t>
            </w:r>
            <w:r w:rsidR="00F142F8">
              <w:t>as</w:t>
            </w:r>
            <w:r w:rsidRPr="009140CC">
              <w:t xml:space="preserve"> the </w:t>
            </w:r>
            <w:r w:rsidR="000149B7">
              <w:t xml:space="preserve">health </w:t>
            </w:r>
            <w:r w:rsidRPr="009140CC">
              <w:t xml:space="preserve">outcomes </w:t>
            </w:r>
            <w:r w:rsidR="000149B7">
              <w:t>achieved</w:t>
            </w:r>
            <w:r w:rsidRPr="009140CC">
              <w:t xml:space="preserve">, </w:t>
            </w:r>
            <w:r w:rsidR="00DB276D" w:rsidRPr="009140CC">
              <w:t xml:space="preserve">relative to the </w:t>
            </w:r>
            <w:r w:rsidRPr="009140CC">
              <w:t>resources invested,</w:t>
            </w:r>
            <w:r w:rsidRPr="00B30ADE">
              <w:t xml:space="preserve"> </w:t>
            </w:r>
            <w:r w:rsidR="00DB276D" w:rsidRPr="004A1A12">
              <w:t xml:space="preserve">rather than </w:t>
            </w:r>
            <w:r w:rsidR="007F115C" w:rsidRPr="004A1A12">
              <w:t xml:space="preserve">the </w:t>
            </w:r>
            <w:r w:rsidRPr="004A1A12">
              <w:t xml:space="preserve">volume of services delivered </w:t>
            </w:r>
            <w:r w:rsidRPr="004A1A12">
              <w:rPr>
                <w:noProof/>
              </w:rPr>
              <w:t>(13)</w:t>
            </w:r>
            <w:r w:rsidRPr="004A1A12">
              <w:t xml:space="preserve">. </w:t>
            </w:r>
            <w:r w:rsidR="00C00397">
              <w:t xml:space="preserve">Within a person-centred framework, </w:t>
            </w:r>
            <w:r w:rsidR="00C700EE">
              <w:t xml:space="preserve">value should be defined around outcomes that matter to service users. </w:t>
            </w:r>
            <w:r w:rsidRPr="004A1A12">
              <w:t xml:space="preserve">All ICHOM Standard Sets are condition-specific, based on the understanding that service user needs and treatment options are at least partly shaped by the principal presenting problems </w:t>
            </w:r>
            <w:r w:rsidRPr="004A1A12">
              <w:rPr>
                <w:noProof/>
              </w:rPr>
              <w:t>(13,14)</w:t>
            </w:r>
            <w:r w:rsidRPr="004A1A12">
              <w:t xml:space="preserve">. Service users are directly involved in defining the Standard Set, which must include patient-reported outcomes. The final </w:t>
            </w:r>
            <w:r w:rsidR="00F47A57" w:rsidRPr="004A1A12">
              <w:t>s</w:t>
            </w:r>
            <w:r w:rsidRPr="004A1A12">
              <w:t xml:space="preserve">et </w:t>
            </w:r>
            <w:r w:rsidR="00B7152B" w:rsidRPr="004A1A12">
              <w:t xml:space="preserve">of outcomes </w:t>
            </w:r>
            <w:r w:rsidRPr="004A1A12">
              <w:t xml:space="preserve">should represent the end result rather than the process of care; balance a comprehensive approach to tracking </w:t>
            </w:r>
            <w:r w:rsidR="00B7152B" w:rsidRPr="004A1A12">
              <w:t>outcome</w:t>
            </w:r>
            <w:r w:rsidRPr="004A1A12">
              <w:t xml:space="preserve"> with a feasible recommendation that services can reliably implement; and be </w:t>
            </w:r>
            <w:r w:rsidR="00035EB1" w:rsidRPr="004A1A12">
              <w:t xml:space="preserve">responsive to </w:t>
            </w:r>
            <w:r w:rsidRPr="004A1A12">
              <w:t>quality improvement efforts.</w:t>
            </w:r>
            <w:r>
              <w:t xml:space="preserve"> </w:t>
            </w:r>
          </w:p>
        </w:tc>
      </w:tr>
    </w:tbl>
    <w:p w14:paraId="263097CC" w14:textId="7A570FBE" w:rsidR="00500427" w:rsidRPr="008357DD" w:rsidRDefault="008F5F69" w:rsidP="008C1934">
      <w:bookmarkStart w:id="10" w:name="_Hlk46741147"/>
      <w:r w:rsidRPr="008357DD">
        <w:t>An</w:t>
      </w:r>
      <w:r w:rsidR="00B650E8" w:rsidRPr="008357DD">
        <w:t xml:space="preserve"> existing ICHOM Standard Set for adult anxiety and depression covers young people from the age of 14 years </w:t>
      </w:r>
      <w:r w:rsidR="00B650E8" w:rsidRPr="008357DD">
        <w:rPr>
          <w:noProof/>
        </w:rPr>
        <w:t>(12</w:t>
      </w:r>
      <w:r w:rsidR="000D3359">
        <w:rPr>
          <w:noProof/>
        </w:rPr>
        <w:t xml:space="preserve">; </w:t>
      </w:r>
      <w:r w:rsidR="00202470">
        <w:rPr>
          <w:noProof/>
        </w:rPr>
        <w:t>Appendix</w:t>
      </w:r>
      <w:r w:rsidR="000D3359">
        <w:rPr>
          <w:noProof/>
        </w:rPr>
        <w:t xml:space="preserve"> p</w:t>
      </w:r>
      <w:r w:rsidR="00677D5D">
        <w:rPr>
          <w:noProof/>
        </w:rPr>
        <w:t>g</w:t>
      </w:r>
      <w:r w:rsidR="000D3359">
        <w:rPr>
          <w:noProof/>
        </w:rPr>
        <w:t>. 3)</w:t>
      </w:r>
      <w:r w:rsidR="00B650E8" w:rsidRPr="008D5F2D">
        <w:t xml:space="preserve">. It </w:t>
      </w:r>
      <w:r w:rsidR="00E62C5D" w:rsidRPr="008D5F2D">
        <w:t xml:space="preserve">includes a </w:t>
      </w:r>
      <w:r w:rsidR="00B650E8" w:rsidRPr="008357DD">
        <w:t>recommend</w:t>
      </w:r>
      <w:r w:rsidR="00E62C5D" w:rsidRPr="008357DD">
        <w:t>ation for</w:t>
      </w:r>
      <w:r w:rsidR="00B650E8" w:rsidRPr="008357DD">
        <w:t xml:space="preserve"> tracking symptom change via the Generalized Anxiety Disorder 7-item Scale </w:t>
      </w:r>
      <w:r w:rsidR="00B650E8" w:rsidRPr="008357DD">
        <w:rPr>
          <w:noProof/>
        </w:rPr>
        <w:t>(GAD-7; 15)</w:t>
      </w:r>
      <w:r w:rsidR="00B650E8" w:rsidRPr="008357DD">
        <w:t xml:space="preserve">, and the depression subscale of the Patient Health Questionnaire </w:t>
      </w:r>
      <w:r w:rsidR="00B650E8" w:rsidRPr="008357DD">
        <w:rPr>
          <w:noProof/>
        </w:rPr>
        <w:t>(PHQ-9; 16)</w:t>
      </w:r>
      <w:r w:rsidR="00B650E8" w:rsidRPr="008357DD">
        <w:t xml:space="preserve">; </w:t>
      </w:r>
      <w:r w:rsidR="00E24CA0" w:rsidRPr="008357DD">
        <w:t xml:space="preserve">as well as </w:t>
      </w:r>
      <w:r w:rsidR="00B650E8" w:rsidRPr="008357DD">
        <w:t xml:space="preserve">functioning through the World Health Organization Disability Schedule 2.0 (WHODAS 2.0) 12-item short form </w:t>
      </w:r>
      <w:r w:rsidR="00B650E8" w:rsidRPr="008357DD">
        <w:rPr>
          <w:noProof/>
        </w:rPr>
        <w:t>(</w:t>
      </w:r>
      <w:r w:rsidR="00E91350" w:rsidRPr="008357DD">
        <w:rPr>
          <w:noProof/>
        </w:rPr>
        <w:t>17</w:t>
      </w:r>
      <w:r w:rsidR="00B554D2">
        <w:rPr>
          <w:noProof/>
        </w:rPr>
        <w:t xml:space="preserve">; the full recommendation is available </w:t>
      </w:r>
      <w:r w:rsidR="004400C4">
        <w:rPr>
          <w:noProof/>
        </w:rPr>
        <w:t>from</w:t>
      </w:r>
      <w:r w:rsidR="00B554D2">
        <w:rPr>
          <w:noProof/>
        </w:rPr>
        <w:t xml:space="preserve"> ichom.org</w:t>
      </w:r>
      <w:r w:rsidR="00B650E8" w:rsidRPr="008D5F2D">
        <w:rPr>
          <w:noProof/>
        </w:rPr>
        <w:t>)</w:t>
      </w:r>
      <w:r w:rsidR="00B650E8" w:rsidRPr="008D5F2D">
        <w:t xml:space="preserve">. </w:t>
      </w:r>
      <w:bookmarkEnd w:id="10"/>
      <w:r w:rsidR="00B650E8" w:rsidRPr="008D5F2D">
        <w:t>The present Standard Set aims to complement th</w:t>
      </w:r>
      <w:r w:rsidR="00B650E8" w:rsidRPr="008357DD">
        <w:t xml:space="preserve">is effort by </w:t>
      </w:r>
      <w:r w:rsidR="00500427" w:rsidRPr="008357DD">
        <w:t xml:space="preserve">providing a set of recommendations specifically tailored for use with </w:t>
      </w:r>
      <w:r w:rsidR="00C63748" w:rsidRPr="008357DD">
        <w:t>CYP</w:t>
      </w:r>
      <w:r w:rsidR="00500427" w:rsidRPr="008357DD">
        <w:t xml:space="preserve">. </w:t>
      </w:r>
      <w:r w:rsidR="00583981" w:rsidRPr="008357DD">
        <w:t>The combination of the two Sets will provide for transition from youth into adult services at any point between the ages of 14 and 24</w:t>
      </w:r>
      <w:r w:rsidR="00B9524D" w:rsidRPr="008357DD">
        <w:t xml:space="preserve"> years</w:t>
      </w:r>
      <w:r w:rsidR="00583981" w:rsidRPr="008357DD">
        <w:t>, allowing for local variation in transition and judgements about which Set is most suitable for different ages.</w:t>
      </w:r>
    </w:p>
    <w:p w14:paraId="28DB02D8" w14:textId="23F51C90" w:rsidR="009D0AE7" w:rsidRPr="008357DD" w:rsidRDefault="00CB4242" w:rsidP="00CB4242">
      <w:pPr>
        <w:sectPr w:rsidR="009D0AE7" w:rsidRPr="008357DD">
          <w:footnotePr>
            <w:pos w:val="beneathText"/>
          </w:footnotePr>
          <w:pgSz w:w="12240" w:h="15840"/>
          <w:pgMar w:top="1440" w:right="1440" w:bottom="1440" w:left="1440" w:header="720" w:footer="720" w:gutter="0"/>
          <w:cols w:space="720"/>
          <w:titlePg/>
          <w:docGrid w:linePitch="360"/>
        </w:sectPr>
      </w:pPr>
      <w:r w:rsidRPr="008357DD">
        <w:t xml:space="preserve">This Standard Set is designed for CYP aged 6 to 24 years who access care for anxiety, depression, </w:t>
      </w:r>
      <w:r w:rsidRPr="008357DD">
        <w:rPr>
          <w:rFonts w:asciiTheme="majorHAnsi" w:hAnsiTheme="majorHAnsi" w:cstheme="majorHAnsi"/>
        </w:rPr>
        <w:t xml:space="preserve">obsessive-compulsive disorder (OCD), or post-traumatic stress disorder (PTSD), </w:t>
      </w:r>
      <w:r w:rsidRPr="008357DD">
        <w:t xml:space="preserve">as defined by standard diagnostic criteria. All are internalising disorders, typically characterised by high levels of negative affect, with OCD and PTSD long classified as anxiety disorders </w:t>
      </w:r>
      <w:r w:rsidRPr="008357DD">
        <w:rPr>
          <w:noProof/>
        </w:rPr>
        <w:t>(</w:t>
      </w:r>
      <w:r w:rsidR="00E91350" w:rsidRPr="008357DD">
        <w:rPr>
          <w:noProof/>
        </w:rPr>
        <w:t>18</w:t>
      </w:r>
      <w:r w:rsidRPr="008D5F2D">
        <w:rPr>
          <w:noProof/>
        </w:rPr>
        <w:t>)</w:t>
      </w:r>
      <w:r w:rsidRPr="008D5F2D">
        <w:t>. It is recommended for use by all those pr</w:t>
      </w:r>
      <w:r w:rsidRPr="001E4DF2">
        <w:t>oviding care to the population in scope, worldwide, regardless of intervention setting or appro</w:t>
      </w:r>
      <w:r w:rsidRPr="008357DD">
        <w:t xml:space="preserve">ach. </w:t>
      </w:r>
      <w:r w:rsidR="0056781E" w:rsidRPr="008357DD">
        <w:t xml:space="preserve">The Working Group sought to combine </w:t>
      </w:r>
      <w:r w:rsidR="001244D1" w:rsidRPr="008357DD">
        <w:t>self-, parent-, and clinician-report</w:t>
      </w:r>
      <w:r w:rsidR="00E92E08" w:rsidRPr="008357DD">
        <w:t>ed outcome measures</w:t>
      </w:r>
      <w:r w:rsidR="001244D1" w:rsidRPr="008357DD">
        <w:t xml:space="preserve">, to account for the different perspectives these reporters tend to provide </w:t>
      </w:r>
      <w:r w:rsidR="001244D1" w:rsidRPr="008357DD">
        <w:rPr>
          <w:noProof/>
        </w:rPr>
        <w:t>(</w:t>
      </w:r>
      <w:r w:rsidR="009152D6" w:rsidRPr="008357DD">
        <w:rPr>
          <w:noProof/>
        </w:rPr>
        <w:t>1</w:t>
      </w:r>
      <w:r w:rsidR="00E91350" w:rsidRPr="008357DD">
        <w:rPr>
          <w:noProof/>
        </w:rPr>
        <w:t>9</w:t>
      </w:r>
      <w:r w:rsidR="009152D6" w:rsidRPr="008357DD">
        <w:rPr>
          <w:noProof/>
        </w:rPr>
        <w:t>-2</w:t>
      </w:r>
      <w:r w:rsidR="00E91350" w:rsidRPr="008357DD">
        <w:rPr>
          <w:noProof/>
        </w:rPr>
        <w:t>1</w:t>
      </w:r>
      <w:r w:rsidR="001244D1" w:rsidRPr="008357DD">
        <w:rPr>
          <w:noProof/>
        </w:rPr>
        <w:t>)</w:t>
      </w:r>
      <w:r w:rsidR="001244D1" w:rsidRPr="008357DD">
        <w:t>.</w:t>
      </w:r>
      <w:r w:rsidR="001244D1" w:rsidRPr="008D5F2D">
        <w:t xml:space="preserve"> Parent-report also serves as a proxy where CYP are unable to complete measures due to young age or developmental constraints </w:t>
      </w:r>
      <w:r w:rsidR="001244D1" w:rsidRPr="008357DD">
        <w:rPr>
          <w:noProof/>
        </w:rPr>
        <w:t>(2</w:t>
      </w:r>
      <w:r w:rsidR="00E91350" w:rsidRPr="008357DD">
        <w:rPr>
          <w:noProof/>
        </w:rPr>
        <w:t>1</w:t>
      </w:r>
      <w:r w:rsidR="001244D1" w:rsidRPr="008357DD">
        <w:rPr>
          <w:noProof/>
        </w:rPr>
        <w:t>)</w:t>
      </w:r>
      <w:r w:rsidR="001244D1" w:rsidRPr="008357DD">
        <w:t xml:space="preserve">. </w:t>
      </w:r>
      <w:r w:rsidR="001C4E65" w:rsidRPr="008D5F2D">
        <w:t>A more detailed discussion of the scope of th</w:t>
      </w:r>
      <w:r w:rsidR="00C82468" w:rsidRPr="001E4DF2">
        <w:t>is Standard Set</w:t>
      </w:r>
      <w:r w:rsidR="001C4E65" w:rsidRPr="001E4DF2">
        <w:t xml:space="preserve"> is provided in the </w:t>
      </w:r>
      <w:r w:rsidR="00202470">
        <w:t>Appendix</w:t>
      </w:r>
      <w:r w:rsidR="001C4E65" w:rsidRPr="001E4DF2">
        <w:t xml:space="preserve"> (p</w:t>
      </w:r>
      <w:r w:rsidR="00677D5D">
        <w:t>g</w:t>
      </w:r>
      <w:r w:rsidR="001C4E65" w:rsidRPr="001E4DF2">
        <w:t>. 3).</w:t>
      </w:r>
      <w:r w:rsidR="001C4E65" w:rsidRPr="008357DD">
        <w:t xml:space="preserve"> </w:t>
      </w:r>
    </w:p>
    <w:tbl>
      <w:tblPr>
        <w:tblStyle w:val="TableGrid"/>
        <w:tblW w:w="0" w:type="auto"/>
        <w:tblLook w:val="04A0" w:firstRow="1" w:lastRow="0" w:firstColumn="1" w:lastColumn="0" w:noHBand="0" w:noVBand="1"/>
      </w:tblPr>
      <w:tblGrid>
        <w:gridCol w:w="9350"/>
      </w:tblGrid>
      <w:tr w:rsidR="009D0AE7" w:rsidRPr="008357DD" w14:paraId="5C12102C" w14:textId="77777777" w:rsidTr="009D0AE7">
        <w:tc>
          <w:tcPr>
            <w:tcW w:w="9350" w:type="dxa"/>
          </w:tcPr>
          <w:p w14:paraId="593CBAAB" w14:textId="0D559582" w:rsidR="009D0AE7" w:rsidRPr="00D53C69" w:rsidRDefault="009D0AE7" w:rsidP="009D0AE7">
            <w:pPr>
              <w:rPr>
                <w:b/>
                <w:bCs/>
              </w:rPr>
            </w:pPr>
            <w:bookmarkStart w:id="11" w:name="_Hlk46743365"/>
            <w:r w:rsidRPr="00D53C69">
              <w:rPr>
                <w:b/>
                <w:bCs/>
              </w:rPr>
              <w:lastRenderedPageBreak/>
              <w:t>Panel 2. Methodology</w:t>
            </w:r>
          </w:p>
          <w:p w14:paraId="7971D1BE" w14:textId="7DA2080F" w:rsidR="009D0AE7" w:rsidRPr="00D53C69" w:rsidRDefault="009D0AE7" w:rsidP="009D0AE7">
            <w:r w:rsidRPr="00D53C69">
              <w:t>The Working Group comprised 27 experts from 13 countries, including service user</w:t>
            </w:r>
            <w:r w:rsidR="00F142F8" w:rsidRPr="00D53C69">
              <w:t xml:space="preserve">s, </w:t>
            </w:r>
            <w:proofErr w:type="gramStart"/>
            <w:r w:rsidRPr="00D53C69">
              <w:t>parent</w:t>
            </w:r>
            <w:r w:rsidR="001C454D">
              <w:t>s</w:t>
            </w:r>
            <w:proofErr w:type="gramEnd"/>
            <w:r w:rsidR="00F142F8" w:rsidRPr="00D53C69">
              <w:t xml:space="preserve"> or carers</w:t>
            </w:r>
            <w:r w:rsidRPr="00D53C69">
              <w:t xml:space="preserve"> </w:t>
            </w:r>
            <w:r w:rsidR="00F142F8" w:rsidRPr="00D53C69">
              <w:t xml:space="preserve">(henceforth “parents”), </w:t>
            </w:r>
            <w:r w:rsidRPr="00D53C69">
              <w:t>mental health practitioners</w:t>
            </w:r>
            <w:r w:rsidR="00F142F8" w:rsidRPr="00D53C69">
              <w:t xml:space="preserve"> </w:t>
            </w:r>
            <w:r w:rsidRPr="00D53C69">
              <w:t xml:space="preserve">and researchers </w:t>
            </w:r>
            <w:r w:rsidR="00B777A7" w:rsidRPr="00D53C69">
              <w:t xml:space="preserve">working within relevant disciplines </w:t>
            </w:r>
            <w:r w:rsidRPr="00D53C69">
              <w:t>(</w:t>
            </w:r>
            <w:r w:rsidR="00B777A7" w:rsidRPr="00D53C69">
              <w:t xml:space="preserve">e.g., psychiatry, epidemiology, psychometrics; </w:t>
            </w:r>
            <w:r w:rsidR="0024661A" w:rsidRPr="00D53C69">
              <w:t xml:space="preserve">see </w:t>
            </w:r>
            <w:r w:rsidR="00202470" w:rsidRPr="00D53C69">
              <w:t>Appendix</w:t>
            </w:r>
            <w:r w:rsidR="0024661A" w:rsidRPr="00D53C69">
              <w:t xml:space="preserve"> p</w:t>
            </w:r>
            <w:r w:rsidR="00677D5D" w:rsidRPr="00D53C69">
              <w:t>g</w:t>
            </w:r>
            <w:r w:rsidR="0024661A" w:rsidRPr="00D53C69">
              <w:t>. 3-4</w:t>
            </w:r>
            <w:r w:rsidRPr="00D53C69">
              <w:t>). A central project team (KK, SC, MW) coordinated and facilitated the consensus-building process and completed supporting research tasks, but did not vote on the</w:t>
            </w:r>
            <w:r w:rsidR="00F142F8" w:rsidRPr="00D53C69">
              <w:t xml:space="preserve"> consensus </w:t>
            </w:r>
            <w:r w:rsidRPr="00D53C69">
              <w:t xml:space="preserve">recommendation. The </w:t>
            </w:r>
            <w:r w:rsidR="00202470" w:rsidRPr="00D53C69">
              <w:t>Appendix</w:t>
            </w:r>
            <w:r w:rsidRPr="00D53C69">
              <w:t xml:space="preserve"> </w:t>
            </w:r>
            <w:r w:rsidR="008D1BE9" w:rsidRPr="00D53C69">
              <w:t>(p</w:t>
            </w:r>
            <w:r w:rsidR="00677D5D" w:rsidRPr="00D53C69">
              <w:t>g</w:t>
            </w:r>
            <w:r w:rsidR="008D1BE9" w:rsidRPr="00D53C69">
              <w:t xml:space="preserve">. </w:t>
            </w:r>
            <w:r w:rsidR="00C82468" w:rsidRPr="00D53C69">
              <w:t>3-18</w:t>
            </w:r>
            <w:r w:rsidR="008D1BE9" w:rsidRPr="00D53C69">
              <w:t xml:space="preserve">) </w:t>
            </w:r>
            <w:r w:rsidRPr="00D53C69">
              <w:t>provides a detailed description of the process and methodology. A flow chart is provided in figure 1.</w:t>
            </w:r>
          </w:p>
          <w:p w14:paraId="721FACE1" w14:textId="25282F1D" w:rsidR="009D0AE7" w:rsidRPr="00D53C69" w:rsidRDefault="009D0AE7" w:rsidP="009D0AE7">
            <w:r w:rsidRPr="00D53C69">
              <w:rPr>
                <w:b/>
                <w:bCs/>
                <w:i/>
                <w:iCs/>
              </w:rPr>
              <w:t xml:space="preserve">General </w:t>
            </w:r>
            <w:r w:rsidR="00066F77" w:rsidRPr="00D53C69">
              <w:rPr>
                <w:b/>
                <w:bCs/>
                <w:i/>
                <w:iCs/>
              </w:rPr>
              <w:t>p</w:t>
            </w:r>
            <w:r w:rsidRPr="00D53C69">
              <w:rPr>
                <w:b/>
                <w:bCs/>
                <w:i/>
                <w:iCs/>
              </w:rPr>
              <w:t>rocess.</w:t>
            </w:r>
            <w:r w:rsidRPr="00D53C69">
              <w:t xml:space="preserve"> </w:t>
            </w:r>
            <w:r w:rsidR="005C6E76" w:rsidRPr="00D53C69">
              <w:t>Over 14 months</w:t>
            </w:r>
            <w:r w:rsidRPr="00D53C69">
              <w:t xml:space="preserve">, the Working Group </w:t>
            </w:r>
            <w:r w:rsidR="006031F8" w:rsidRPr="00D53C69">
              <w:t xml:space="preserve">completed </w:t>
            </w:r>
            <w:r w:rsidRPr="00D53C69">
              <w:t>a structured and evidence-informed consensus-building process</w:t>
            </w:r>
            <w:r w:rsidR="00E9379E" w:rsidRPr="00D53C69">
              <w:t xml:space="preserve"> (figure 1)</w:t>
            </w:r>
            <w:r w:rsidRPr="00D53C69">
              <w:t xml:space="preserve">. </w:t>
            </w:r>
            <w:r w:rsidR="006031F8" w:rsidRPr="00D53C69">
              <w:t>T</w:t>
            </w:r>
            <w:r w:rsidR="008D1BE9" w:rsidRPr="00D53C69">
              <w:t>he group</w:t>
            </w:r>
            <w:r w:rsidRPr="00D53C69">
              <w:t xml:space="preserve"> convened for eight teleconferences, completed a three-round Delphi exercise to select outcome domains </w:t>
            </w:r>
            <w:r w:rsidRPr="00D53C69">
              <w:rPr>
                <w:noProof/>
              </w:rPr>
              <w:t>(</w:t>
            </w:r>
            <w:r w:rsidR="00F772D1" w:rsidRPr="00D53C69">
              <w:rPr>
                <w:noProof/>
              </w:rPr>
              <w:t>2</w:t>
            </w:r>
            <w:r w:rsidR="00E91350" w:rsidRPr="00D53C69">
              <w:rPr>
                <w:noProof/>
              </w:rPr>
              <w:t>2</w:t>
            </w:r>
            <w:r w:rsidRPr="00D53C69">
              <w:rPr>
                <w:noProof/>
              </w:rPr>
              <w:t>,</w:t>
            </w:r>
            <w:r w:rsidR="00F772D1" w:rsidRPr="00D53C69">
              <w:rPr>
                <w:noProof/>
              </w:rPr>
              <w:t>2</w:t>
            </w:r>
            <w:r w:rsidR="00E91350" w:rsidRPr="00D53C69">
              <w:rPr>
                <w:noProof/>
              </w:rPr>
              <w:t>3</w:t>
            </w:r>
            <w:r w:rsidRPr="00D53C69">
              <w:rPr>
                <w:noProof/>
              </w:rPr>
              <w:t>)</w:t>
            </w:r>
            <w:r w:rsidRPr="00D53C69">
              <w:t xml:space="preserve">, and participated in iterative rounds of anonymous voting to arrive at recommendations for </w:t>
            </w:r>
            <w:r w:rsidR="00766240" w:rsidRPr="00D53C69">
              <w:t xml:space="preserve">outcomes, </w:t>
            </w:r>
            <w:r w:rsidRPr="00D53C69">
              <w:t>measurement instruments, case-mix factors, and time points</w:t>
            </w:r>
            <w:r w:rsidR="00E9379E" w:rsidRPr="00D53C69">
              <w:t xml:space="preserve"> (</w:t>
            </w:r>
            <w:r w:rsidR="00202470" w:rsidRPr="00D53C69">
              <w:t>Appendix</w:t>
            </w:r>
            <w:r w:rsidR="00E9379E" w:rsidRPr="00D53C69">
              <w:t xml:space="preserve"> p</w:t>
            </w:r>
            <w:r w:rsidR="00677D5D" w:rsidRPr="00D53C69">
              <w:t>g</w:t>
            </w:r>
            <w:r w:rsidR="00E9379E" w:rsidRPr="00D53C69">
              <w:t>. 4-5)</w:t>
            </w:r>
            <w:r w:rsidRPr="00D53C69">
              <w:t>. The process was informed by sequential research inputs performed by the central project team (</w:t>
            </w:r>
            <w:r w:rsidR="00202470" w:rsidRPr="00D53C69">
              <w:t>Appendix</w:t>
            </w:r>
            <w:r w:rsidR="00E9379E" w:rsidRPr="00D53C69">
              <w:t xml:space="preserve"> </w:t>
            </w:r>
            <w:r w:rsidR="00BB2C53" w:rsidRPr="00D53C69">
              <w:t>p</w:t>
            </w:r>
            <w:r w:rsidR="00677D5D" w:rsidRPr="00D53C69">
              <w:t>g</w:t>
            </w:r>
            <w:r w:rsidR="00BB2C53" w:rsidRPr="00D53C69">
              <w:t>. 5-18</w:t>
            </w:r>
            <w:r w:rsidRPr="00D53C69">
              <w:t xml:space="preserve">). </w:t>
            </w:r>
          </w:p>
          <w:p w14:paraId="443834C4" w14:textId="1A815503" w:rsidR="009D0AE7" w:rsidRPr="00D53C69" w:rsidRDefault="009D0AE7" w:rsidP="009D0AE7">
            <w:r w:rsidRPr="00D53C69">
              <w:rPr>
                <w:b/>
                <w:bCs/>
                <w:i/>
                <w:iCs/>
              </w:rPr>
              <w:t xml:space="preserve">Selection of </w:t>
            </w:r>
            <w:r w:rsidR="00066F77" w:rsidRPr="00D53C69">
              <w:rPr>
                <w:b/>
                <w:bCs/>
                <w:i/>
                <w:iCs/>
              </w:rPr>
              <w:t>o</w:t>
            </w:r>
            <w:r w:rsidRPr="00D53C69">
              <w:rPr>
                <w:b/>
                <w:bCs/>
                <w:i/>
                <w:iCs/>
              </w:rPr>
              <w:t xml:space="preserve">utcome </w:t>
            </w:r>
            <w:r w:rsidR="00066F77" w:rsidRPr="00D53C69">
              <w:rPr>
                <w:b/>
                <w:bCs/>
                <w:i/>
                <w:iCs/>
              </w:rPr>
              <w:t>d</w:t>
            </w:r>
            <w:r w:rsidRPr="00D53C69">
              <w:rPr>
                <w:b/>
                <w:bCs/>
                <w:i/>
                <w:iCs/>
              </w:rPr>
              <w:t>omains.</w:t>
            </w:r>
            <w:r w:rsidRPr="00D53C69">
              <w:t xml:space="preserve"> In line with methodological recommendations by the Core Outcome Measures in Effectiveness Trials</w:t>
            </w:r>
            <w:r w:rsidR="006C4009" w:rsidRPr="00D53C69">
              <w:t xml:space="preserve"> (COMET</w:t>
            </w:r>
            <w:r w:rsidR="005C6E76" w:rsidRPr="00D53C69">
              <w:t>)</w:t>
            </w:r>
            <w:r w:rsidRPr="00D53C69">
              <w:t xml:space="preserve"> initiative </w:t>
            </w:r>
            <w:r w:rsidRPr="00D53C69">
              <w:rPr>
                <w:noProof/>
              </w:rPr>
              <w:t>(2</w:t>
            </w:r>
            <w:r w:rsidR="00E91350" w:rsidRPr="00D53C69">
              <w:rPr>
                <w:noProof/>
              </w:rPr>
              <w:t>4</w:t>
            </w:r>
            <w:r w:rsidRPr="00D53C69">
              <w:rPr>
                <w:noProof/>
              </w:rPr>
              <w:t>)</w:t>
            </w:r>
            <w:r w:rsidRPr="00D53C69">
              <w:t>, 70 possible outcomes and 50</w:t>
            </w:r>
            <w:r w:rsidR="00AA239D" w:rsidRPr="00D53C69">
              <w:t>7</w:t>
            </w:r>
            <w:r w:rsidRPr="00D53C69">
              <w:t xml:space="preserve"> measurement instruments were identified through multiple avenues</w:t>
            </w:r>
            <w:r w:rsidR="00766240" w:rsidRPr="00D53C69">
              <w:t xml:space="preserve">, </w:t>
            </w:r>
            <w:r w:rsidRPr="00D53C69">
              <w:t>includ</w:t>
            </w:r>
            <w:r w:rsidR="00766240" w:rsidRPr="00D53C69">
              <w:t>ing</w:t>
            </w:r>
            <w:r w:rsidRPr="00D53C69">
              <w:t xml:space="preserve"> a systematic review of </w:t>
            </w:r>
            <w:r w:rsidR="00C05DAE" w:rsidRPr="00D53C69">
              <w:t>257</w:t>
            </w:r>
            <w:r w:rsidRPr="00D53C69">
              <w:t xml:space="preserve"> treatment </w:t>
            </w:r>
            <w:r w:rsidR="005C6E76" w:rsidRPr="00D53C69">
              <w:t>outcome</w:t>
            </w:r>
            <w:r w:rsidRPr="00D53C69">
              <w:t xml:space="preserve"> studies</w:t>
            </w:r>
            <w:r w:rsidR="00C05DAE" w:rsidRPr="00D53C69">
              <w:t xml:space="preserve">, </w:t>
            </w:r>
            <w:r w:rsidRPr="00D53C69">
              <w:t>a narrative review of supplemental sources (e.g., cohort studies; qualitative outcome research, instrument banks), and break-out groups with service user representatives</w:t>
            </w:r>
            <w:r w:rsidR="00B66FB3" w:rsidRPr="00D53C69">
              <w:t xml:space="preserve"> (</w:t>
            </w:r>
            <w:r w:rsidR="00202470" w:rsidRPr="00D53C69">
              <w:t>Appendix</w:t>
            </w:r>
            <w:r w:rsidR="00B66FB3" w:rsidRPr="00D53C69">
              <w:t xml:space="preserve"> p</w:t>
            </w:r>
            <w:r w:rsidR="00677D5D" w:rsidRPr="00D53C69">
              <w:t>g</w:t>
            </w:r>
            <w:r w:rsidR="00B66FB3" w:rsidRPr="00D53C69">
              <w:t xml:space="preserve">. </w:t>
            </w:r>
            <w:r w:rsidR="007E46B3" w:rsidRPr="00D53C69">
              <w:t>5-8</w:t>
            </w:r>
            <w:r w:rsidR="00B66FB3" w:rsidRPr="00D53C69">
              <w:t>)</w:t>
            </w:r>
          </w:p>
          <w:p w14:paraId="4D3E8EEA" w14:textId="1FAD0CF8" w:rsidR="009D0AE7" w:rsidRPr="00D53C69" w:rsidRDefault="009D0AE7" w:rsidP="009D0AE7">
            <w:r w:rsidRPr="00D53C69">
              <w:rPr>
                <w:b/>
                <w:bCs/>
                <w:i/>
                <w:iCs/>
              </w:rPr>
              <w:t xml:space="preserve">Selection of </w:t>
            </w:r>
            <w:r w:rsidR="00066F77" w:rsidRPr="00D53C69">
              <w:rPr>
                <w:b/>
                <w:bCs/>
                <w:i/>
                <w:iCs/>
              </w:rPr>
              <w:t>m</w:t>
            </w:r>
            <w:r w:rsidRPr="00D53C69">
              <w:rPr>
                <w:b/>
                <w:bCs/>
                <w:i/>
                <w:iCs/>
              </w:rPr>
              <w:t xml:space="preserve">easurement </w:t>
            </w:r>
            <w:r w:rsidR="00066F77" w:rsidRPr="00D53C69">
              <w:rPr>
                <w:b/>
                <w:bCs/>
                <w:i/>
                <w:iCs/>
              </w:rPr>
              <w:t>i</w:t>
            </w:r>
            <w:r w:rsidRPr="00D53C69">
              <w:rPr>
                <w:b/>
                <w:bCs/>
                <w:i/>
                <w:iCs/>
              </w:rPr>
              <w:t>nstruments.</w:t>
            </w:r>
            <w:r w:rsidRPr="00D53C69">
              <w:t xml:space="preserve"> Once </w:t>
            </w:r>
            <w:r w:rsidR="00CC4050" w:rsidRPr="00D53C69">
              <w:t xml:space="preserve">the Group </w:t>
            </w:r>
            <w:r w:rsidR="00F142F8" w:rsidRPr="00D53C69">
              <w:t>reached consensus on outcomes for inclusion</w:t>
            </w:r>
            <w:r w:rsidR="00CC4050" w:rsidRPr="00D53C69">
              <w:t xml:space="preserve">, </w:t>
            </w:r>
            <w:r w:rsidRPr="00D53C69">
              <w:t>10</w:t>
            </w:r>
            <w:r w:rsidR="00B66FB3" w:rsidRPr="00D53C69">
              <w:t>7</w:t>
            </w:r>
            <w:r w:rsidR="005C6E76" w:rsidRPr="00D53C69">
              <w:t xml:space="preserve"> thematically</w:t>
            </w:r>
            <w:r w:rsidRPr="00D53C69">
              <w:t xml:space="preserve"> relevant measures were systematically appraised to identify those most suitable for tracking the selected outcomes over time. Appraisal criteria included </w:t>
            </w:r>
            <w:r w:rsidRPr="00D53C69">
              <w:rPr>
                <w:i/>
                <w:iCs/>
              </w:rPr>
              <w:t>relevance</w:t>
            </w:r>
            <w:r w:rsidRPr="00D53C69">
              <w:t xml:space="preserve">; (i.e., comprehensive coverage of the selected outcome domain); </w:t>
            </w:r>
            <w:r w:rsidRPr="00D53C69">
              <w:rPr>
                <w:i/>
                <w:iCs/>
              </w:rPr>
              <w:t>feasibility</w:t>
            </w:r>
            <w:r w:rsidRPr="00D53C69">
              <w:t xml:space="preserve"> and </w:t>
            </w:r>
            <w:r w:rsidRPr="00D53C69">
              <w:rPr>
                <w:i/>
                <w:iCs/>
              </w:rPr>
              <w:t>acceptability</w:t>
            </w:r>
            <w:r w:rsidRPr="00D53C69">
              <w:t xml:space="preserve"> (i.e., completion within less than 20 minutes</w:t>
            </w:r>
            <w:r w:rsidR="00C97664" w:rsidRPr="00D53C69">
              <w:t>;</w:t>
            </w:r>
            <w:r w:rsidRPr="00D53C69">
              <w:t xml:space="preserve"> free availability</w:t>
            </w:r>
            <w:r w:rsidR="003000D4" w:rsidRPr="00D53C69">
              <w:t xml:space="preserve"> for </w:t>
            </w:r>
            <w:r w:rsidR="00D91C4A" w:rsidRPr="00D53C69">
              <w:t xml:space="preserve">use in </w:t>
            </w:r>
            <w:r w:rsidR="003000D4" w:rsidRPr="00D53C69">
              <w:t>clinical settings</w:t>
            </w:r>
            <w:r w:rsidR="00C97664" w:rsidRPr="00D53C69">
              <w:t>, including in paper-and-pencil format;</w:t>
            </w:r>
            <w:r w:rsidRPr="00D53C69">
              <w:t xml:space="preserve"> prior validation in CYP</w:t>
            </w:r>
            <w:r w:rsidR="00C97664" w:rsidRPr="00D53C69">
              <w:t xml:space="preserve">; </w:t>
            </w:r>
            <w:r w:rsidRPr="00D53C69">
              <w:t xml:space="preserve">translation into at least a second language); and </w:t>
            </w:r>
            <w:r w:rsidRPr="00D53C69">
              <w:rPr>
                <w:i/>
                <w:iCs/>
              </w:rPr>
              <w:t xml:space="preserve">psychometric performance </w:t>
            </w:r>
            <w:r w:rsidRPr="00D53C69">
              <w:t xml:space="preserve">(i.e., interrater or retest reliability, and internal consistency above 0.70; evidence of sensitivity to change), in line with </w:t>
            </w:r>
            <w:r w:rsidR="00E371C5" w:rsidRPr="00D53C69">
              <w:t>International Society for Quality of Life Research</w:t>
            </w:r>
            <w:r w:rsidR="009B4590" w:rsidRPr="00D53C69">
              <w:t xml:space="preserve"> (ISOQOL</w:t>
            </w:r>
            <w:r w:rsidR="00E371C5" w:rsidRPr="00D53C69">
              <w:t xml:space="preserve">) </w:t>
            </w:r>
            <w:r w:rsidRPr="00D53C69">
              <w:t xml:space="preserve">recommendations </w:t>
            </w:r>
            <w:r w:rsidR="00E371C5" w:rsidRPr="00D53C69">
              <w:rPr>
                <w:noProof/>
              </w:rPr>
              <w:t>(</w:t>
            </w:r>
            <w:r w:rsidRPr="00D53C69">
              <w:rPr>
                <w:noProof/>
              </w:rPr>
              <w:t>2</w:t>
            </w:r>
            <w:r w:rsidR="008B5BB6" w:rsidRPr="00D53C69">
              <w:rPr>
                <w:noProof/>
              </w:rPr>
              <w:t>5</w:t>
            </w:r>
            <w:r w:rsidRPr="00D53C69">
              <w:rPr>
                <w:noProof/>
              </w:rPr>
              <w:t xml:space="preserve">; </w:t>
            </w:r>
            <w:r w:rsidR="00202470" w:rsidRPr="00D53C69">
              <w:rPr>
                <w:noProof/>
              </w:rPr>
              <w:t>Appendix</w:t>
            </w:r>
            <w:r w:rsidR="00E371C5" w:rsidRPr="00D53C69">
              <w:rPr>
                <w:noProof/>
              </w:rPr>
              <w:t xml:space="preserve"> p</w:t>
            </w:r>
            <w:r w:rsidR="00677D5D" w:rsidRPr="00D53C69">
              <w:rPr>
                <w:noProof/>
              </w:rPr>
              <w:t>g</w:t>
            </w:r>
            <w:r w:rsidR="00E371C5" w:rsidRPr="00D53C69">
              <w:rPr>
                <w:noProof/>
              </w:rPr>
              <w:t xml:space="preserve"> 8-16</w:t>
            </w:r>
            <w:r w:rsidRPr="00D53C69">
              <w:rPr>
                <w:noProof/>
              </w:rPr>
              <w:t>)</w:t>
            </w:r>
            <w:r w:rsidRPr="00D53C69">
              <w:t xml:space="preserve">. The instruments judged to best satisfy these criteria were shortlisted, and their relative strengths and shortcomings discussed. </w:t>
            </w:r>
            <w:r w:rsidR="008E4257" w:rsidRPr="00D53C69">
              <w:t xml:space="preserve">At this stage, other aspects such as content and construct validity were also considered. </w:t>
            </w:r>
            <w:r w:rsidRPr="00D53C69">
              <w:t>The final set of measures was</w:t>
            </w:r>
            <w:r w:rsidR="00144FC7" w:rsidRPr="00D53C69">
              <w:t xml:space="preserve"> then</w:t>
            </w:r>
            <w:r w:rsidRPr="00D53C69">
              <w:t xml:space="preserve"> selected via consensus, through iterative rounds of anonymous voting. The Working Group aimed for a </w:t>
            </w:r>
            <w:r w:rsidR="00E371C5" w:rsidRPr="00D53C69">
              <w:t xml:space="preserve">Standard </w:t>
            </w:r>
            <w:r w:rsidRPr="00D53C69">
              <w:t xml:space="preserve">Set that would be simple to use, impose a low burden on its intended users, and be applicable across different contexts. </w:t>
            </w:r>
          </w:p>
          <w:p w14:paraId="73FD95D3" w14:textId="541E25A4" w:rsidR="009D0AE7" w:rsidRPr="00D53C69" w:rsidRDefault="009D0AE7">
            <w:r w:rsidRPr="00D53C69">
              <w:rPr>
                <w:b/>
                <w:bCs/>
                <w:i/>
                <w:iCs/>
              </w:rPr>
              <w:t xml:space="preserve">Selection of </w:t>
            </w:r>
            <w:r w:rsidR="00066F77" w:rsidRPr="00D53C69">
              <w:rPr>
                <w:b/>
                <w:bCs/>
                <w:i/>
                <w:iCs/>
              </w:rPr>
              <w:t>c</w:t>
            </w:r>
            <w:r w:rsidRPr="00D53C69">
              <w:rPr>
                <w:b/>
                <w:bCs/>
                <w:i/>
                <w:iCs/>
              </w:rPr>
              <w:t>ase-</w:t>
            </w:r>
            <w:r w:rsidR="00066F77" w:rsidRPr="00D53C69">
              <w:rPr>
                <w:b/>
                <w:bCs/>
                <w:i/>
                <w:iCs/>
              </w:rPr>
              <w:t>m</w:t>
            </w:r>
            <w:r w:rsidRPr="00D53C69">
              <w:rPr>
                <w:b/>
                <w:bCs/>
                <w:i/>
                <w:iCs/>
              </w:rPr>
              <w:t xml:space="preserve">ix </w:t>
            </w:r>
            <w:r w:rsidR="00066F77" w:rsidRPr="00D53C69">
              <w:rPr>
                <w:b/>
                <w:bCs/>
                <w:i/>
                <w:iCs/>
              </w:rPr>
              <w:t>f</w:t>
            </w:r>
            <w:r w:rsidRPr="00D53C69">
              <w:rPr>
                <w:b/>
                <w:bCs/>
                <w:i/>
                <w:iCs/>
              </w:rPr>
              <w:t xml:space="preserve">actors and </w:t>
            </w:r>
            <w:r w:rsidR="00066F77" w:rsidRPr="00D53C69">
              <w:rPr>
                <w:b/>
                <w:bCs/>
                <w:i/>
                <w:iCs/>
              </w:rPr>
              <w:t>m</w:t>
            </w:r>
            <w:r w:rsidRPr="00D53C69">
              <w:rPr>
                <w:b/>
                <w:bCs/>
                <w:i/>
                <w:iCs/>
              </w:rPr>
              <w:t xml:space="preserve">easurement </w:t>
            </w:r>
            <w:r w:rsidR="00066F77" w:rsidRPr="00D53C69">
              <w:rPr>
                <w:b/>
                <w:bCs/>
                <w:i/>
                <w:iCs/>
              </w:rPr>
              <w:t>t</w:t>
            </w:r>
            <w:r w:rsidRPr="00D53C69">
              <w:rPr>
                <w:b/>
                <w:bCs/>
                <w:i/>
                <w:iCs/>
              </w:rPr>
              <w:t xml:space="preserve">ime </w:t>
            </w:r>
            <w:r w:rsidR="00066F77" w:rsidRPr="00D53C69">
              <w:rPr>
                <w:b/>
                <w:bCs/>
                <w:i/>
                <w:iCs/>
              </w:rPr>
              <w:t>p</w:t>
            </w:r>
            <w:r w:rsidRPr="00D53C69">
              <w:rPr>
                <w:b/>
                <w:bCs/>
                <w:i/>
                <w:iCs/>
              </w:rPr>
              <w:t xml:space="preserve">oints. </w:t>
            </w:r>
            <w:r w:rsidR="005671B3" w:rsidRPr="00D53C69">
              <w:t>Based on the systematic review and existing ICHOM Standard Sets</w:t>
            </w:r>
            <w:r w:rsidR="00D8354C" w:rsidRPr="00D53C69">
              <w:t>,</w:t>
            </w:r>
            <w:r w:rsidR="00C07330" w:rsidRPr="00D53C69">
              <w:t xml:space="preserve"> </w:t>
            </w:r>
            <w:r w:rsidRPr="00D53C69">
              <w:t xml:space="preserve">the central project team compiled a list of possible </w:t>
            </w:r>
            <w:r w:rsidR="00C07330" w:rsidRPr="00D53C69">
              <w:t>case mix factors, and conducted a</w:t>
            </w:r>
            <w:r w:rsidRPr="00D53C69">
              <w:t xml:space="preserve"> rapid review </w:t>
            </w:r>
            <w:r w:rsidRPr="00D53C69">
              <w:lastRenderedPageBreak/>
              <w:t>of reviews examining predictors</w:t>
            </w:r>
            <w:r w:rsidR="00C07330" w:rsidRPr="00D53C69">
              <w:t xml:space="preserve">, </w:t>
            </w:r>
            <w:r w:rsidR="00D53C69" w:rsidRPr="00D53C69">
              <w:t>mediators,</w:t>
            </w:r>
            <w:r w:rsidRPr="00D53C69">
              <w:t xml:space="preserve"> and moderators of treatment response</w:t>
            </w:r>
            <w:r w:rsidR="00D8354C" w:rsidRPr="00D53C69">
              <w:t xml:space="preserve"> (</w:t>
            </w:r>
            <w:r w:rsidR="00202470" w:rsidRPr="00D53C69">
              <w:t>Appendix</w:t>
            </w:r>
            <w:r w:rsidR="00D8354C" w:rsidRPr="00D53C69">
              <w:t xml:space="preserve"> p</w:t>
            </w:r>
            <w:r w:rsidR="00677D5D" w:rsidRPr="00D53C69">
              <w:t>g</w:t>
            </w:r>
            <w:r w:rsidR="00D8354C" w:rsidRPr="00D53C69">
              <w:t xml:space="preserve">. </w:t>
            </w:r>
            <w:r w:rsidR="007E46B3" w:rsidRPr="00D53C69">
              <w:t>17-18</w:t>
            </w:r>
            <w:r w:rsidR="00D8354C" w:rsidRPr="00D53C69">
              <w:t xml:space="preserve">). </w:t>
            </w:r>
            <w:r w:rsidR="00B30E6B" w:rsidRPr="00D53C69">
              <w:t>T</w:t>
            </w:r>
            <w:r w:rsidRPr="00D53C69">
              <w:t>he Working Group</w:t>
            </w:r>
            <w:r w:rsidR="00B30E6B" w:rsidRPr="00D53C69">
              <w:t xml:space="preserve"> discussed this information and formed</w:t>
            </w:r>
            <w:r w:rsidRPr="00D53C69">
              <w:t xml:space="preserve"> consensus on the case-mix factors to include. Similarly, the central project team drew on existing ICHOM Standard Sets to present an initial proposal for measurement time points, </w:t>
            </w:r>
            <w:r w:rsidR="00B30E6B" w:rsidRPr="00D53C69">
              <w:t>which were</w:t>
            </w:r>
            <w:r w:rsidRPr="00D53C69">
              <w:t xml:space="preserve"> discussed, refined, and voted on by the Working Group.</w:t>
            </w:r>
          </w:p>
          <w:p w14:paraId="2F795080" w14:textId="7DBFE2EC" w:rsidR="009D0AE7" w:rsidRPr="00D53C69" w:rsidRDefault="009D0AE7" w:rsidP="009D0AE7">
            <w:r w:rsidRPr="00D53C69">
              <w:rPr>
                <w:b/>
                <w:bCs/>
                <w:i/>
                <w:iCs/>
              </w:rPr>
              <w:t xml:space="preserve">Open </w:t>
            </w:r>
            <w:r w:rsidR="00066F77" w:rsidRPr="00D53C69">
              <w:rPr>
                <w:b/>
                <w:bCs/>
                <w:i/>
                <w:iCs/>
              </w:rPr>
              <w:t>r</w:t>
            </w:r>
            <w:r w:rsidRPr="00D53C69">
              <w:rPr>
                <w:b/>
                <w:bCs/>
                <w:i/>
                <w:iCs/>
              </w:rPr>
              <w:t xml:space="preserve">eview of </w:t>
            </w:r>
            <w:r w:rsidR="00066F77" w:rsidRPr="00D53C69">
              <w:rPr>
                <w:b/>
                <w:bCs/>
                <w:i/>
                <w:iCs/>
              </w:rPr>
              <w:t>d</w:t>
            </w:r>
            <w:r w:rsidRPr="00D53C69">
              <w:rPr>
                <w:b/>
                <w:bCs/>
                <w:i/>
                <w:iCs/>
              </w:rPr>
              <w:t xml:space="preserve">raft </w:t>
            </w:r>
            <w:r w:rsidR="00066F77" w:rsidRPr="00D53C69">
              <w:rPr>
                <w:b/>
                <w:bCs/>
                <w:i/>
                <w:iCs/>
              </w:rPr>
              <w:t>r</w:t>
            </w:r>
            <w:r w:rsidRPr="00D53C69">
              <w:rPr>
                <w:b/>
                <w:bCs/>
                <w:i/>
                <w:iCs/>
              </w:rPr>
              <w:t>ecommendations.</w:t>
            </w:r>
            <w:r w:rsidRPr="00D53C69">
              <w:rPr>
                <w:i/>
                <w:iCs/>
              </w:rPr>
              <w:t xml:space="preserve"> </w:t>
            </w:r>
            <w:r w:rsidRPr="00D53C69">
              <w:t xml:space="preserve">To establish the generalisability and acceptability of the Working Group’s recommendations, an </w:t>
            </w:r>
            <w:r w:rsidRPr="00D53C69">
              <w:rPr>
                <w:i/>
                <w:iCs/>
              </w:rPr>
              <w:t>Open Review</w:t>
            </w:r>
            <w:r w:rsidRPr="00D53C69">
              <w:t xml:space="preserve"> web survey gathered external feedback from 463 practitioners, researchers, and policymakers from 45 countries, as well as 24 young people and parents from Denmark, the United States (US), and the United Kingdom (UK</w:t>
            </w:r>
            <w:r w:rsidR="007E46B3" w:rsidRPr="00D53C69">
              <w:t>;</w:t>
            </w:r>
            <w:r w:rsidRPr="00D53C69">
              <w:t xml:space="preserve"> see </w:t>
            </w:r>
            <w:r w:rsidR="00202470" w:rsidRPr="00D53C69">
              <w:t>Appendix</w:t>
            </w:r>
            <w:r w:rsidRPr="00D53C69">
              <w:t xml:space="preserve"> p</w:t>
            </w:r>
            <w:r w:rsidR="00677D5D" w:rsidRPr="00D53C69">
              <w:t>g</w:t>
            </w:r>
            <w:r w:rsidRPr="00D53C69">
              <w:t>.</w:t>
            </w:r>
            <w:r w:rsidR="00677D5D" w:rsidRPr="00D53C69">
              <w:t xml:space="preserve"> </w:t>
            </w:r>
            <w:r w:rsidR="007E46B3" w:rsidRPr="00D53C69">
              <w:t>18</w:t>
            </w:r>
            <w:r w:rsidRPr="00D53C69">
              <w:t>).</w:t>
            </w:r>
          </w:p>
        </w:tc>
      </w:tr>
    </w:tbl>
    <w:p w14:paraId="708A534D" w14:textId="77777777" w:rsidR="00B30ADE" w:rsidRPr="008357DD" w:rsidRDefault="00B30ADE" w:rsidP="008C1934">
      <w:pPr>
        <w:pStyle w:val="Heading1"/>
      </w:pPr>
      <w:bookmarkStart w:id="12" w:name="_Hlk32913160"/>
      <w:bookmarkEnd w:id="11"/>
    </w:p>
    <w:p w14:paraId="7B537416" w14:textId="6FA225BE" w:rsidR="0030247C" w:rsidRPr="008357DD" w:rsidRDefault="002B29A8" w:rsidP="008C1934">
      <w:pPr>
        <w:pStyle w:val="Heading1"/>
      </w:pPr>
      <w:r w:rsidRPr="008357DD">
        <w:t>Recommendations of the Working Group</w:t>
      </w:r>
      <w:r w:rsidRPr="008357DD" w:rsidDel="002B29A8">
        <w:t xml:space="preserve"> </w:t>
      </w:r>
    </w:p>
    <w:bookmarkEnd w:id="12"/>
    <w:p w14:paraId="6E01FEFD" w14:textId="5DA02492" w:rsidR="00D53C69" w:rsidRPr="00D53C69" w:rsidRDefault="002B29A8" w:rsidP="008C1934">
      <w:pPr>
        <w:rPr>
          <w:b/>
          <w:bCs/>
        </w:rPr>
      </w:pPr>
      <w:r w:rsidRPr="00D53C69">
        <w:rPr>
          <w:b/>
          <w:bCs/>
        </w:rPr>
        <w:t xml:space="preserve">Outcomes and Measures </w:t>
      </w:r>
    </w:p>
    <w:p w14:paraId="2F4119A6" w14:textId="4C1C26C1" w:rsidR="00A202CC" w:rsidRPr="008357DD" w:rsidRDefault="00DD6B0E" w:rsidP="008C1934">
      <w:r w:rsidRPr="008357DD">
        <w:t>As per Working Group consensus, t</w:t>
      </w:r>
      <w:r w:rsidR="00E32AF4" w:rsidRPr="008357DD">
        <w:t>h</w:t>
      </w:r>
      <w:r w:rsidR="001B3DB4" w:rsidRPr="008357DD">
        <w:t xml:space="preserve">e Standard Set recommends </w:t>
      </w:r>
      <w:r w:rsidR="005D4160" w:rsidRPr="008357DD">
        <w:t>tracking response to treatment across</w:t>
      </w:r>
      <w:r w:rsidR="00A33949" w:rsidRPr="008357DD">
        <w:t xml:space="preserve"> </w:t>
      </w:r>
      <w:r w:rsidR="0033707D" w:rsidRPr="008357DD">
        <w:t xml:space="preserve">the </w:t>
      </w:r>
      <w:r w:rsidR="001B3DB4" w:rsidRPr="008357DD">
        <w:t>three</w:t>
      </w:r>
      <w:r w:rsidR="00957C00" w:rsidRPr="008357DD">
        <w:t xml:space="preserve"> outcome domains</w:t>
      </w:r>
      <w:r w:rsidR="00C121A2" w:rsidRPr="008357DD">
        <w:t xml:space="preserve"> </w:t>
      </w:r>
      <w:r w:rsidR="0033707D" w:rsidRPr="008357DD">
        <w:t>of</w:t>
      </w:r>
      <w:r w:rsidR="00957C00" w:rsidRPr="008357DD">
        <w:t xml:space="preserve"> </w:t>
      </w:r>
      <w:r w:rsidR="00A05E3F" w:rsidRPr="008357DD">
        <w:rPr>
          <w:i/>
        </w:rPr>
        <w:t>symptoms</w:t>
      </w:r>
      <w:r w:rsidR="00A05E3F" w:rsidRPr="008357DD">
        <w:t xml:space="preserve">, </w:t>
      </w:r>
      <w:r w:rsidR="00A05E3F" w:rsidRPr="008357DD">
        <w:rPr>
          <w:i/>
        </w:rPr>
        <w:t>suicidal thoughts and behaviour</w:t>
      </w:r>
      <w:r w:rsidR="00A05E3F" w:rsidRPr="008357DD">
        <w:t xml:space="preserve">, </w:t>
      </w:r>
      <w:r w:rsidR="00957C00" w:rsidRPr="008357DD">
        <w:t xml:space="preserve">and </w:t>
      </w:r>
      <w:r w:rsidR="00A05E3F" w:rsidRPr="008357DD">
        <w:rPr>
          <w:i/>
        </w:rPr>
        <w:t>functioning</w:t>
      </w:r>
      <w:r w:rsidR="0033707D" w:rsidRPr="008357DD">
        <w:t xml:space="preserve">, using </w:t>
      </w:r>
      <w:r w:rsidR="00EB2913" w:rsidRPr="008357DD">
        <w:t xml:space="preserve">seven primarily </w:t>
      </w:r>
      <w:r w:rsidR="00B32C58" w:rsidRPr="008357DD">
        <w:t>self-reported</w:t>
      </w:r>
      <w:r w:rsidR="00EB2913" w:rsidRPr="008357DD">
        <w:t xml:space="preserve"> instruments</w:t>
      </w:r>
      <w:r w:rsidR="008E732D" w:rsidRPr="008357DD">
        <w:t xml:space="preserve">. </w:t>
      </w:r>
      <w:r w:rsidRPr="008357DD">
        <w:t>T</w:t>
      </w:r>
      <w:r w:rsidR="008E732D" w:rsidRPr="008357DD">
        <w:t xml:space="preserve">hese were selected </w:t>
      </w:r>
      <w:r w:rsidR="00902A06" w:rsidRPr="008357DD">
        <w:t xml:space="preserve">for fulfilling most or all of the </w:t>
      </w:r>
      <w:r w:rsidR="005824CD" w:rsidRPr="008357DD">
        <w:t xml:space="preserve">appraisal </w:t>
      </w:r>
      <w:r w:rsidR="00902A06" w:rsidRPr="008357DD">
        <w:t>criteria</w:t>
      </w:r>
      <w:r w:rsidR="005D4160" w:rsidRPr="008357DD">
        <w:t xml:space="preserve"> (table 1)</w:t>
      </w:r>
      <w:r w:rsidR="00331477" w:rsidRPr="008357DD">
        <w:t xml:space="preserve">. </w:t>
      </w:r>
      <w:r w:rsidR="00E51F0D" w:rsidRPr="008357DD">
        <w:t>A d</w:t>
      </w:r>
      <w:r w:rsidR="009423C4" w:rsidRPr="008357DD">
        <w:t xml:space="preserve">etailed </w:t>
      </w:r>
      <w:r w:rsidR="00E51F0D" w:rsidRPr="008357DD">
        <w:t>discussion</w:t>
      </w:r>
      <w:r w:rsidR="003908FB" w:rsidRPr="008357DD">
        <w:t xml:space="preserve"> of instrument properties</w:t>
      </w:r>
      <w:r w:rsidR="0072499D" w:rsidRPr="008357DD">
        <w:t xml:space="preserve">, performance against </w:t>
      </w:r>
      <w:r w:rsidR="00B52876" w:rsidRPr="008357DD">
        <w:t>appraisal</w:t>
      </w:r>
      <w:r w:rsidR="0072499D" w:rsidRPr="008357DD">
        <w:t xml:space="preserve"> criteria,</w:t>
      </w:r>
      <w:r w:rsidR="003908FB" w:rsidRPr="008357DD">
        <w:t xml:space="preserve"> and access</w:t>
      </w:r>
      <w:r w:rsidR="0072499D" w:rsidRPr="008357DD">
        <w:t>ibility</w:t>
      </w:r>
      <w:r w:rsidR="006779AE" w:rsidRPr="008357DD">
        <w:t xml:space="preserve"> </w:t>
      </w:r>
      <w:r w:rsidR="00B52876" w:rsidRPr="008357DD">
        <w:t>is</w:t>
      </w:r>
      <w:r w:rsidR="003908FB" w:rsidRPr="008357DD">
        <w:t xml:space="preserve"> </w:t>
      </w:r>
      <w:r w:rsidR="00B32C58" w:rsidRPr="008357DD">
        <w:t xml:space="preserve">provided in the </w:t>
      </w:r>
      <w:r w:rsidR="00202470">
        <w:t>Appendix</w:t>
      </w:r>
      <w:r w:rsidR="007E46B3" w:rsidRPr="008357DD">
        <w:t xml:space="preserve"> (p</w:t>
      </w:r>
      <w:r w:rsidR="00677D5D">
        <w:t>g</w:t>
      </w:r>
      <w:r w:rsidR="007E46B3" w:rsidRPr="008357DD">
        <w:t>. 19-22)</w:t>
      </w:r>
      <w:r w:rsidR="00B32C58" w:rsidRPr="008357DD">
        <w:t xml:space="preserve">. During the Open Review, 75% of the </w:t>
      </w:r>
      <w:r w:rsidR="00636E44" w:rsidRPr="008357DD">
        <w:t xml:space="preserve">463 </w:t>
      </w:r>
      <w:r w:rsidR="00B32C58" w:rsidRPr="008357DD">
        <w:t xml:space="preserve">practitioners </w:t>
      </w:r>
      <w:r w:rsidR="002C7FD6" w:rsidRPr="008357DD">
        <w:t xml:space="preserve">and researchers </w:t>
      </w:r>
      <w:r w:rsidR="00793258" w:rsidRPr="008357DD">
        <w:t xml:space="preserve">who provided feedback </w:t>
      </w:r>
      <w:r w:rsidR="00B32C58" w:rsidRPr="008357DD">
        <w:t>stated their overall confidence in the recommended outcomes and instruments</w:t>
      </w:r>
      <w:r w:rsidR="009741A7" w:rsidRPr="008357DD">
        <w:t xml:space="preserve"> and </w:t>
      </w:r>
      <w:r w:rsidR="00E00D74" w:rsidRPr="008357DD">
        <w:t>participants with lived experience confirmed the</w:t>
      </w:r>
      <w:r w:rsidR="00D91C4A" w:rsidRPr="008357DD">
        <w:t xml:space="preserve"> importance of outcomes included (75-100% of participants rated each included outcome domain as important) and the </w:t>
      </w:r>
      <w:r w:rsidR="00B32C58" w:rsidRPr="008357DD">
        <w:t>acceptability</w:t>
      </w:r>
      <w:r w:rsidR="00E00D74" w:rsidRPr="008357DD">
        <w:t xml:space="preserve"> of the recommended measures</w:t>
      </w:r>
      <w:r w:rsidR="00D91C4A" w:rsidRPr="008357DD">
        <w:t xml:space="preserve"> (100% of participants confirmed the acceptability of </w:t>
      </w:r>
      <w:r w:rsidR="0062004B" w:rsidRPr="008357DD">
        <w:t xml:space="preserve">the </w:t>
      </w:r>
      <w:r w:rsidR="00D91C4A" w:rsidRPr="008357DD">
        <w:t>recommended measures for use in</w:t>
      </w:r>
      <w:r w:rsidR="0062004B" w:rsidRPr="008357DD">
        <w:t xml:space="preserve"> clinical</w:t>
      </w:r>
      <w:r w:rsidR="00D91C4A" w:rsidRPr="008357DD">
        <w:t xml:space="preserve"> practice)</w:t>
      </w:r>
      <w:r w:rsidR="00B32C58" w:rsidRPr="008357DD">
        <w:t>.</w:t>
      </w:r>
      <w:r w:rsidR="006A2348" w:rsidRPr="008357DD">
        <w:t xml:space="preserve"> </w:t>
      </w:r>
      <w:r w:rsidR="009741A7" w:rsidRPr="008357DD">
        <w:t>N</w:t>
      </w:r>
      <w:r w:rsidR="00645281" w:rsidRPr="008357DD">
        <w:t xml:space="preserve">o additional outcome domains were consistently highlighted </w:t>
      </w:r>
      <w:r w:rsidR="009741A7" w:rsidRPr="008357DD">
        <w:t>as missing from the recommended set during the Open Review.</w:t>
      </w:r>
      <w:r w:rsidR="006A2348" w:rsidRPr="008357DD">
        <w:t xml:space="preserve"> </w:t>
      </w:r>
    </w:p>
    <w:p w14:paraId="6A3C0FE9" w14:textId="0D980421" w:rsidR="00C576F4" w:rsidRPr="008357DD" w:rsidRDefault="00C576F4" w:rsidP="008C1934">
      <w:r w:rsidRPr="008357DD">
        <w:rPr>
          <w:highlight w:val="yellow"/>
        </w:rPr>
        <w:t>Insert Table 1</w:t>
      </w:r>
    </w:p>
    <w:p w14:paraId="58C62A39" w14:textId="1900ABE4" w:rsidR="002D3C5D" w:rsidRPr="008357DD" w:rsidRDefault="00B716F6" w:rsidP="008C1934">
      <w:r w:rsidRPr="008357DD">
        <w:rPr>
          <w:rStyle w:val="Heading3Char"/>
        </w:rPr>
        <w:t>Symptoms.</w:t>
      </w:r>
      <w:r w:rsidRPr="008357DD">
        <w:t xml:space="preserve"> </w:t>
      </w:r>
      <w:r w:rsidR="00431D04" w:rsidRPr="008357DD">
        <w:t>The Set recommends measuring anxiety and depression symptoms through youth and parent-report for all CYP in scope</w:t>
      </w:r>
      <w:r w:rsidR="003F0FA4" w:rsidRPr="008357DD">
        <w:t xml:space="preserve">. </w:t>
      </w:r>
      <w:r w:rsidR="00756E9A" w:rsidRPr="008357DD">
        <w:t>To</w:t>
      </w:r>
      <w:r w:rsidR="00CB600B" w:rsidRPr="008357DD">
        <w:t xml:space="preserve"> </w:t>
      </w:r>
      <w:r w:rsidR="001A2C94" w:rsidRPr="008357DD">
        <w:t>minimis</w:t>
      </w:r>
      <w:r w:rsidR="00756E9A" w:rsidRPr="008357DD">
        <w:t>e</w:t>
      </w:r>
      <w:r w:rsidR="00CB600B" w:rsidRPr="008357DD">
        <w:t xml:space="preserve"> the length and complexity of the Standard Set, the Working Group </w:t>
      </w:r>
      <w:r w:rsidR="00756E9A" w:rsidRPr="008357DD">
        <w:t xml:space="preserve">chose </w:t>
      </w:r>
      <w:r w:rsidR="00CB600B" w:rsidRPr="008357DD">
        <w:t xml:space="preserve">to recommend a joint measure of anxiety and depression symptoms. </w:t>
      </w:r>
      <w:r w:rsidR="001A2C94" w:rsidRPr="008357DD">
        <w:t xml:space="preserve">The Set recommends the 25-item short form of the Revised Children’s Anxiety and Depression Scale </w:t>
      </w:r>
      <w:r w:rsidR="001A2C94" w:rsidRPr="008357DD">
        <w:rPr>
          <w:noProof/>
        </w:rPr>
        <w:t>(RCADS-25; 2</w:t>
      </w:r>
      <w:r w:rsidR="00756E9A" w:rsidRPr="008357DD">
        <w:rPr>
          <w:noProof/>
        </w:rPr>
        <w:t>6</w:t>
      </w:r>
      <w:r w:rsidR="001A2C94" w:rsidRPr="008357DD">
        <w:rPr>
          <w:noProof/>
        </w:rPr>
        <w:t>)</w:t>
      </w:r>
      <w:r w:rsidR="0055349F" w:rsidRPr="008357DD">
        <w:t xml:space="preserve"> for </w:t>
      </w:r>
      <w:r w:rsidR="001A2C94" w:rsidRPr="008357DD">
        <w:t xml:space="preserve">youth and parent-report. </w:t>
      </w:r>
      <w:r w:rsidR="00FB6E64" w:rsidRPr="008357DD">
        <w:t xml:space="preserve">Based on </w:t>
      </w:r>
      <w:r w:rsidR="00CE3837" w:rsidRPr="008357DD">
        <w:t xml:space="preserve">the </w:t>
      </w:r>
      <w:r w:rsidR="00826A4B" w:rsidRPr="008357DD">
        <w:t>a</w:t>
      </w:r>
      <w:r w:rsidR="00E90D8B" w:rsidRPr="008357DD">
        <w:t>ppraisal</w:t>
      </w:r>
      <w:r w:rsidR="00CE3837" w:rsidRPr="008357DD">
        <w:t xml:space="preserve"> criteria</w:t>
      </w:r>
      <w:r w:rsidR="00FB6E64" w:rsidRPr="008357DD">
        <w:t>, the group</w:t>
      </w:r>
      <w:r w:rsidR="009B14AF" w:rsidRPr="008357DD">
        <w:t xml:space="preserve"> </w:t>
      </w:r>
      <w:r w:rsidR="00FB6E64" w:rsidRPr="008357DD">
        <w:t xml:space="preserve">initially </w:t>
      </w:r>
      <w:r w:rsidR="004F22C2" w:rsidRPr="008357DD">
        <w:t>select</w:t>
      </w:r>
      <w:r w:rsidR="00FB6E64" w:rsidRPr="008357DD">
        <w:t>ed</w:t>
      </w:r>
      <w:r w:rsidR="004F22C2" w:rsidRPr="008357DD">
        <w:t xml:space="preserve"> </w:t>
      </w:r>
      <w:r w:rsidR="009B14AF" w:rsidRPr="008357DD">
        <w:t>the</w:t>
      </w:r>
      <w:r w:rsidR="00DE7431" w:rsidRPr="008357DD">
        <w:t xml:space="preserve"> </w:t>
      </w:r>
      <w:r w:rsidR="00EF0DD6" w:rsidRPr="008357DD">
        <w:t xml:space="preserve">scale’s </w:t>
      </w:r>
      <w:r w:rsidR="009B14AF" w:rsidRPr="008357DD">
        <w:t xml:space="preserve">47-item </w:t>
      </w:r>
      <w:r w:rsidR="00A16D2A" w:rsidRPr="008357DD">
        <w:t xml:space="preserve">version </w:t>
      </w:r>
      <w:r w:rsidR="00904F0D" w:rsidRPr="008357DD">
        <w:rPr>
          <w:noProof/>
        </w:rPr>
        <w:t>(2</w:t>
      </w:r>
      <w:r w:rsidR="00756E9A" w:rsidRPr="008357DD">
        <w:rPr>
          <w:noProof/>
        </w:rPr>
        <w:t>7</w:t>
      </w:r>
      <w:r w:rsidR="00904F0D" w:rsidRPr="001E4DF2">
        <w:rPr>
          <w:noProof/>
        </w:rPr>
        <w:t>)</w:t>
      </w:r>
      <w:r w:rsidR="004F22C2" w:rsidRPr="001E4DF2">
        <w:t xml:space="preserve">, </w:t>
      </w:r>
      <w:r w:rsidR="00FB6E64" w:rsidRPr="008357DD">
        <w:t xml:space="preserve">but decided to </w:t>
      </w:r>
      <w:r w:rsidR="009B14AF" w:rsidRPr="008357DD">
        <w:t xml:space="preserve">recommend </w:t>
      </w:r>
      <w:r w:rsidR="00EF0DD6" w:rsidRPr="008357DD">
        <w:t>the</w:t>
      </w:r>
      <w:r w:rsidR="00826A4B" w:rsidRPr="008357DD">
        <w:t xml:space="preserve"> short form</w:t>
      </w:r>
      <w:r w:rsidR="001A7803" w:rsidRPr="008357DD">
        <w:t xml:space="preserve"> </w:t>
      </w:r>
      <w:r w:rsidR="00D26A59" w:rsidRPr="008357DD">
        <w:t>t</w:t>
      </w:r>
      <w:r w:rsidR="009B14AF" w:rsidRPr="008357DD">
        <w:t xml:space="preserve">o reduce </w:t>
      </w:r>
      <w:r w:rsidR="00574283" w:rsidRPr="008357DD">
        <w:t>respondent</w:t>
      </w:r>
      <w:r w:rsidR="009B14AF" w:rsidRPr="008357DD">
        <w:t xml:space="preserve"> burden.</w:t>
      </w:r>
      <w:r w:rsidR="00D26A59" w:rsidRPr="008357DD">
        <w:t xml:space="preserve"> </w:t>
      </w:r>
      <w:r w:rsidR="00826A4B" w:rsidRPr="008357DD">
        <w:t>The RCADS-25</w:t>
      </w:r>
      <w:r w:rsidR="003B498E" w:rsidRPr="008357DD">
        <w:t xml:space="preserve"> </w:t>
      </w:r>
      <w:r w:rsidR="00BD16AA" w:rsidRPr="008357DD">
        <w:t xml:space="preserve">consists of 15 items </w:t>
      </w:r>
      <w:r w:rsidR="008D6F9C" w:rsidRPr="008357DD">
        <w:t xml:space="preserve">tracking </w:t>
      </w:r>
      <w:r w:rsidR="00361700" w:rsidRPr="008357DD">
        <w:t>anxiety</w:t>
      </w:r>
      <w:r w:rsidR="008D6F9C" w:rsidRPr="008357DD">
        <w:t xml:space="preserve"> symptoms</w:t>
      </w:r>
      <w:r w:rsidR="000D3EA1" w:rsidRPr="008357DD">
        <w:t xml:space="preserve">, and 10 items </w:t>
      </w:r>
      <w:r w:rsidR="008D6F9C" w:rsidRPr="008357DD">
        <w:t xml:space="preserve">tracking symptoms of </w:t>
      </w:r>
      <w:r w:rsidR="00BD16AA" w:rsidRPr="008357DD">
        <w:t xml:space="preserve">major </w:t>
      </w:r>
      <w:r w:rsidR="00B4637D" w:rsidRPr="008357DD">
        <w:t>depression</w:t>
      </w:r>
      <w:r w:rsidR="00361700" w:rsidRPr="008357DD">
        <w:t xml:space="preserve">, which </w:t>
      </w:r>
      <w:r w:rsidR="00617706" w:rsidRPr="008357DD">
        <w:t>can be summed to compute aggregate anxiety, depression, and total internalising symptom scores</w:t>
      </w:r>
      <w:r w:rsidR="00E22780" w:rsidRPr="008357DD">
        <w:t xml:space="preserve">. </w:t>
      </w:r>
      <w:r w:rsidR="002C1197" w:rsidRPr="008357DD">
        <w:t xml:space="preserve">Although </w:t>
      </w:r>
      <w:r w:rsidR="0063259D" w:rsidRPr="008357DD">
        <w:t xml:space="preserve">less widely validated than the RCADS-47, </w:t>
      </w:r>
      <w:r w:rsidR="002C1197" w:rsidRPr="008357DD">
        <w:t xml:space="preserve">the RCADS-25 </w:t>
      </w:r>
      <w:r w:rsidR="0063259D" w:rsidRPr="008357DD">
        <w:t>met</w:t>
      </w:r>
      <w:r w:rsidR="00E24821" w:rsidRPr="008357DD">
        <w:t xml:space="preserve"> </w:t>
      </w:r>
      <w:r w:rsidR="00035DC9" w:rsidRPr="008357DD">
        <w:t>most inclusion criteria</w:t>
      </w:r>
      <w:r w:rsidR="00920E4C" w:rsidRPr="008357DD">
        <w:t xml:space="preserve"> (table 1)</w:t>
      </w:r>
      <w:r w:rsidR="00035DC9" w:rsidRPr="008357DD">
        <w:t xml:space="preserve">, </w:t>
      </w:r>
      <w:r w:rsidR="00035DC9" w:rsidRPr="008357DD">
        <w:lastRenderedPageBreak/>
        <w:t xml:space="preserve">although evidence </w:t>
      </w:r>
      <w:r w:rsidR="00EB2A1B" w:rsidRPr="008357DD">
        <w:t>of</w:t>
      </w:r>
      <w:r w:rsidR="00035DC9" w:rsidRPr="008357DD">
        <w:t xml:space="preserve"> its sensitivity to change </w:t>
      </w:r>
      <w:r w:rsidR="00EF0DD6" w:rsidRPr="008357DD">
        <w:t xml:space="preserve">was not </w:t>
      </w:r>
      <w:r w:rsidR="00035DC9" w:rsidRPr="008357DD">
        <w:t>available</w:t>
      </w:r>
      <w:r w:rsidR="00EF0DD6" w:rsidRPr="008357DD">
        <w:t xml:space="preserve"> at the time of the appraisal</w:t>
      </w:r>
      <w:r w:rsidR="00035DC9" w:rsidRPr="008357DD">
        <w:t xml:space="preserve">. </w:t>
      </w:r>
      <w:r w:rsidR="00920E4C" w:rsidRPr="008357DD">
        <w:t>L</w:t>
      </w:r>
      <w:r w:rsidR="00CA00CD" w:rsidRPr="008357DD">
        <w:t>ong or short versions</w:t>
      </w:r>
      <w:r w:rsidR="00465204" w:rsidRPr="008357DD">
        <w:t xml:space="preserve"> of the RCADS</w:t>
      </w:r>
      <w:r w:rsidR="00CA00CD" w:rsidRPr="008357DD">
        <w:t xml:space="preserve"> </w:t>
      </w:r>
      <w:r w:rsidR="006B374C" w:rsidRPr="008357DD">
        <w:t xml:space="preserve">have been applied </w:t>
      </w:r>
      <w:r w:rsidR="00075B70" w:rsidRPr="008357DD">
        <w:t>in</w:t>
      </w:r>
      <w:r w:rsidR="006B374C" w:rsidRPr="008357DD">
        <w:t xml:space="preserve"> </w:t>
      </w:r>
      <w:r w:rsidR="00B13892" w:rsidRPr="008357DD">
        <w:t xml:space="preserve">Africa, </w:t>
      </w:r>
      <w:r w:rsidR="006B374C" w:rsidRPr="008357DD">
        <w:t xml:space="preserve">Europe, </w:t>
      </w:r>
      <w:r w:rsidR="00075B70" w:rsidRPr="008357DD">
        <w:t>the Americas</w:t>
      </w:r>
      <w:r w:rsidR="006B374C" w:rsidRPr="008357DD">
        <w:t xml:space="preserve">, </w:t>
      </w:r>
      <w:r w:rsidR="00B13892" w:rsidRPr="008357DD">
        <w:t>and Asia</w:t>
      </w:r>
      <w:r w:rsidR="00465204" w:rsidRPr="008357DD">
        <w:t xml:space="preserve"> </w:t>
      </w:r>
      <w:r w:rsidR="00904F0D" w:rsidRPr="008357DD">
        <w:rPr>
          <w:noProof/>
        </w:rPr>
        <w:t>(2</w:t>
      </w:r>
      <w:r w:rsidR="00756E9A" w:rsidRPr="008357DD">
        <w:rPr>
          <w:noProof/>
        </w:rPr>
        <w:t>8</w:t>
      </w:r>
      <w:r w:rsidR="00904F0D" w:rsidRPr="001E4DF2">
        <w:rPr>
          <w:noProof/>
        </w:rPr>
        <w:t>)</w:t>
      </w:r>
      <w:r w:rsidR="00465204" w:rsidRPr="001E4DF2">
        <w:t>.</w:t>
      </w:r>
    </w:p>
    <w:p w14:paraId="5D3D3242" w14:textId="07B8DE14" w:rsidR="00CB600B" w:rsidRPr="008357DD" w:rsidRDefault="00411C2F" w:rsidP="008C1934">
      <w:r w:rsidRPr="008357DD">
        <w:t>S</w:t>
      </w:r>
      <w:r w:rsidR="00D23475" w:rsidRPr="008357DD">
        <w:t xml:space="preserve">ymptoms of OCD and PTSD should be </w:t>
      </w:r>
      <w:r w:rsidR="00472115" w:rsidRPr="008357DD">
        <w:t xml:space="preserve">tracked </w:t>
      </w:r>
      <w:r w:rsidR="00920E4C" w:rsidRPr="008357DD">
        <w:t>separately</w:t>
      </w:r>
      <w:r w:rsidR="00D23475" w:rsidRPr="008357DD">
        <w:t xml:space="preserve"> for CYP presenting with </w:t>
      </w:r>
      <w:r w:rsidR="00A64AA5" w:rsidRPr="008357DD">
        <w:t xml:space="preserve">a diagnosis of OCD or PTSD, or </w:t>
      </w:r>
      <w:r w:rsidR="00472115" w:rsidRPr="008357DD">
        <w:t>with</w:t>
      </w:r>
      <w:r w:rsidR="00A64AA5" w:rsidRPr="008357DD">
        <w:t xml:space="preserve"> sub-threshold symptoms</w:t>
      </w:r>
      <w:r w:rsidR="00472115" w:rsidRPr="008357DD">
        <w:t xml:space="preserve"> </w:t>
      </w:r>
      <w:r w:rsidR="00EF7A7C" w:rsidRPr="008357DD">
        <w:t>as appropriate</w:t>
      </w:r>
      <w:r w:rsidR="00A64AA5" w:rsidRPr="008357DD">
        <w:t xml:space="preserve">. </w:t>
      </w:r>
      <w:r w:rsidR="00EF7A7C" w:rsidRPr="008357DD">
        <w:t>S</w:t>
      </w:r>
      <w:r w:rsidR="00C51ED6" w:rsidRPr="008357DD">
        <w:t>ymptoms of OCD and PTSD</w:t>
      </w:r>
      <w:r w:rsidR="0081699F" w:rsidRPr="008357DD">
        <w:t xml:space="preserve"> </w:t>
      </w:r>
      <w:r w:rsidR="00472115" w:rsidRPr="008357DD">
        <w:t>should be tracked v</w:t>
      </w:r>
      <w:r w:rsidR="00BC7921" w:rsidRPr="008357DD">
        <w:t xml:space="preserve">ia </w:t>
      </w:r>
      <w:r w:rsidRPr="008357DD">
        <w:t>t</w:t>
      </w:r>
      <w:r w:rsidR="002531E6" w:rsidRPr="008357DD">
        <w:t>he</w:t>
      </w:r>
      <w:r w:rsidR="00BC7921" w:rsidRPr="008357DD">
        <w:t xml:space="preserve"> self-reported</w:t>
      </w:r>
      <w:r w:rsidR="00EB2A1B" w:rsidRPr="008357DD">
        <w:t xml:space="preserve"> 21-item</w:t>
      </w:r>
      <w:r w:rsidR="002531E6" w:rsidRPr="008357DD">
        <w:t xml:space="preserve"> </w:t>
      </w:r>
      <w:r w:rsidR="00C639BC" w:rsidRPr="008357DD">
        <w:t xml:space="preserve">Obsessive </w:t>
      </w:r>
      <w:r w:rsidR="002531E6" w:rsidRPr="008357DD">
        <w:t xml:space="preserve">Compulsive Inventory for Children </w:t>
      </w:r>
      <w:r w:rsidR="00904F0D" w:rsidRPr="008357DD">
        <w:rPr>
          <w:noProof/>
        </w:rPr>
        <w:t xml:space="preserve">(OCI-CV; </w:t>
      </w:r>
      <w:r w:rsidR="00756E9A" w:rsidRPr="008357DD">
        <w:rPr>
          <w:noProof/>
        </w:rPr>
        <w:t>29</w:t>
      </w:r>
      <w:r w:rsidR="00904F0D" w:rsidRPr="008357DD">
        <w:rPr>
          <w:noProof/>
        </w:rPr>
        <w:t>)</w:t>
      </w:r>
      <w:r w:rsidR="00C67C19" w:rsidRPr="008357DD">
        <w:t>;</w:t>
      </w:r>
      <w:r w:rsidR="007927E2" w:rsidRPr="008357DD">
        <w:t xml:space="preserve"> and the </w:t>
      </w:r>
      <w:r w:rsidR="00A16941" w:rsidRPr="008357DD">
        <w:t>Children's Revised Impact of Events Scale</w:t>
      </w:r>
      <w:r w:rsidR="00BC7921" w:rsidRPr="008357DD">
        <w:t xml:space="preserve"> </w:t>
      </w:r>
      <w:r w:rsidR="00904F0D" w:rsidRPr="008357DD">
        <w:rPr>
          <w:noProof/>
        </w:rPr>
        <w:t xml:space="preserve">(CRIES; </w:t>
      </w:r>
      <w:r w:rsidR="003F0FA4" w:rsidRPr="008357DD">
        <w:rPr>
          <w:noProof/>
        </w:rPr>
        <w:t>3</w:t>
      </w:r>
      <w:r w:rsidR="00756E9A" w:rsidRPr="008357DD">
        <w:rPr>
          <w:noProof/>
        </w:rPr>
        <w:t>0</w:t>
      </w:r>
      <w:r w:rsidR="00904F0D" w:rsidRPr="001E4DF2">
        <w:rPr>
          <w:noProof/>
        </w:rPr>
        <w:t>)</w:t>
      </w:r>
      <w:r w:rsidR="0072048C" w:rsidRPr="001E4DF2">
        <w:t xml:space="preserve"> </w:t>
      </w:r>
      <w:r w:rsidR="00A16941" w:rsidRPr="008357DD">
        <w:t xml:space="preserve">for youth </w:t>
      </w:r>
      <w:r w:rsidR="00BC7921" w:rsidRPr="008357DD">
        <w:t xml:space="preserve">(CRIES-8) </w:t>
      </w:r>
      <w:r w:rsidR="005554DF" w:rsidRPr="008357DD">
        <w:t xml:space="preserve">and parent report </w:t>
      </w:r>
      <w:r w:rsidR="00BC7921" w:rsidRPr="008357DD">
        <w:t>(CRIES-13)</w:t>
      </w:r>
      <w:r w:rsidR="00183CFB" w:rsidRPr="008357DD">
        <w:t>.</w:t>
      </w:r>
      <w:r w:rsidR="00A16941" w:rsidRPr="008357DD">
        <w:t xml:space="preserve"> </w:t>
      </w:r>
      <w:r w:rsidR="004D7E9D" w:rsidRPr="008357DD">
        <w:t>Both</w:t>
      </w:r>
      <w:r w:rsidR="00A16941" w:rsidRPr="008357DD">
        <w:t xml:space="preserve"> </w:t>
      </w:r>
      <w:r w:rsidR="00D404BF" w:rsidRPr="008357DD">
        <w:t>measure</w:t>
      </w:r>
      <w:r w:rsidR="004D7E9D" w:rsidRPr="008357DD">
        <w:t>s</w:t>
      </w:r>
      <w:r w:rsidR="00A16941" w:rsidRPr="008357DD">
        <w:t xml:space="preserve"> </w:t>
      </w:r>
      <w:r w:rsidR="0081663F" w:rsidRPr="008357DD">
        <w:t>ha</w:t>
      </w:r>
      <w:r w:rsidR="004D7E9D" w:rsidRPr="008357DD">
        <w:t>ve</w:t>
      </w:r>
      <w:r w:rsidR="0081663F" w:rsidRPr="008357DD">
        <w:t xml:space="preserve"> been </w:t>
      </w:r>
      <w:r w:rsidR="00250543" w:rsidRPr="008357DD">
        <w:t>applied</w:t>
      </w:r>
      <w:r w:rsidR="0081663F" w:rsidRPr="008357DD">
        <w:t xml:space="preserve"> in</w:t>
      </w:r>
      <w:r w:rsidR="002531E6" w:rsidRPr="008357DD">
        <w:t xml:space="preserve"> Europe, </w:t>
      </w:r>
      <w:r w:rsidR="001B02F3" w:rsidRPr="008357DD">
        <w:t xml:space="preserve">Asia, </w:t>
      </w:r>
      <w:r w:rsidR="002531E6" w:rsidRPr="008357DD">
        <w:t xml:space="preserve">and </w:t>
      </w:r>
      <w:r w:rsidR="004D7E9D" w:rsidRPr="008357DD">
        <w:t>the Americas.</w:t>
      </w:r>
      <w:r w:rsidR="0072048C" w:rsidRPr="008357DD">
        <w:t xml:space="preserve"> A parent version of the OCI-CV is not currently available. </w:t>
      </w:r>
    </w:p>
    <w:p w14:paraId="0FBDE87E" w14:textId="7BDF59F8" w:rsidR="00CB600B" w:rsidRPr="008357DD" w:rsidRDefault="00CB600B" w:rsidP="00CB600B">
      <w:r w:rsidRPr="008357DD">
        <w:t>It is important to note that the above-mentioned symptom measures are recommended for the purpose of tracking treatment outcome</w:t>
      </w:r>
      <w:r w:rsidR="008B5B9E" w:rsidRPr="008357DD">
        <w:t>s</w:t>
      </w:r>
      <w:r w:rsidRPr="008357DD">
        <w:t xml:space="preserve"> over time. They are not considered primarily for the purpose of diagnosing presenting problems</w:t>
      </w:r>
      <w:r w:rsidR="008B5B9E" w:rsidRPr="008357DD">
        <w:t xml:space="preserve">, and </w:t>
      </w:r>
      <w:r w:rsidRPr="008357DD">
        <w:t>are not intended to replace a thorough clinical assessment using state-of-the</w:t>
      </w:r>
      <w:r w:rsidR="008B5B9E" w:rsidRPr="008357DD">
        <w:t>-</w:t>
      </w:r>
      <w:r w:rsidRPr="008357DD">
        <w:t>art diagnostic tools. The latter require additional properties related to diagnostic validity (e.g., sensitivity</w:t>
      </w:r>
      <w:r w:rsidR="00332198" w:rsidRPr="008357DD">
        <w:t xml:space="preserve"> and</w:t>
      </w:r>
      <w:r w:rsidRPr="008357DD">
        <w:t xml:space="preserve"> specificity), which the Working Group did not explicitly consider during measure appraisal.</w:t>
      </w:r>
    </w:p>
    <w:p w14:paraId="1D055FF7" w14:textId="4BEC800E" w:rsidR="008318EB" w:rsidRPr="001E4DF2" w:rsidRDefault="00FB2259" w:rsidP="008C1934">
      <w:r w:rsidRPr="008357DD">
        <w:rPr>
          <w:b/>
        </w:rPr>
        <w:t xml:space="preserve">Suicidal thoughts and behaviour. </w:t>
      </w:r>
      <w:r w:rsidR="004B0C34" w:rsidRPr="008357DD">
        <w:rPr>
          <w:bCs/>
        </w:rPr>
        <w:t>Consensus was reached on measuring</w:t>
      </w:r>
      <w:r w:rsidR="00337C7B" w:rsidRPr="008357DD">
        <w:t xml:space="preserve"> suicidal thoughts and behaviour in all young people aged 10 years </w:t>
      </w:r>
      <w:r w:rsidR="00250543" w:rsidRPr="008357DD">
        <w:t>and</w:t>
      </w:r>
      <w:r w:rsidR="00337C7B" w:rsidRPr="008357DD">
        <w:t xml:space="preserve"> older (unless considered inappropriate</w:t>
      </w:r>
      <w:r w:rsidR="00EC2C7E" w:rsidRPr="008357DD">
        <w:t>)</w:t>
      </w:r>
      <w:r w:rsidR="00337C7B" w:rsidRPr="008357DD">
        <w:t xml:space="preserve"> </w:t>
      </w:r>
      <w:r w:rsidR="00E05DC8" w:rsidRPr="008357DD">
        <w:t xml:space="preserve">using the </w:t>
      </w:r>
      <w:r w:rsidR="005F39C9" w:rsidRPr="008357DD">
        <w:t xml:space="preserve">Columbia Suicide Severity Rating Scale </w:t>
      </w:r>
      <w:r w:rsidR="00D002A9" w:rsidRPr="008357DD">
        <w:t xml:space="preserve">(C-SSRS) </w:t>
      </w:r>
      <w:r w:rsidR="009A25A8" w:rsidRPr="008357DD">
        <w:t xml:space="preserve">Recent </w:t>
      </w:r>
      <w:r w:rsidR="00483DB9" w:rsidRPr="008357DD">
        <w:t>Self-Report Screener</w:t>
      </w:r>
      <w:r w:rsidR="005F39C9" w:rsidRPr="008357DD">
        <w:t xml:space="preserve"> </w:t>
      </w:r>
      <w:r w:rsidR="00904F0D" w:rsidRPr="008357DD">
        <w:rPr>
          <w:noProof/>
        </w:rPr>
        <w:t>(3</w:t>
      </w:r>
      <w:r w:rsidR="00756E9A" w:rsidRPr="008357DD">
        <w:rPr>
          <w:noProof/>
        </w:rPr>
        <w:t>1</w:t>
      </w:r>
      <w:r w:rsidR="00924C4E" w:rsidRPr="001E4DF2">
        <w:rPr>
          <w:noProof/>
        </w:rPr>
        <w:t>)</w:t>
      </w:r>
      <w:r w:rsidR="00BB3604" w:rsidRPr="008357DD">
        <w:t xml:space="preserve"> – </w:t>
      </w:r>
      <w:r w:rsidR="002C6D87" w:rsidRPr="008357DD">
        <w:t xml:space="preserve">a short self-report version of the </w:t>
      </w:r>
      <w:r w:rsidR="00F7256D" w:rsidRPr="008357DD">
        <w:t>clinician-administered</w:t>
      </w:r>
      <w:r w:rsidR="002C6D87" w:rsidRPr="008357DD">
        <w:t xml:space="preserve"> </w:t>
      </w:r>
      <w:r w:rsidR="0070064F" w:rsidRPr="008357DD">
        <w:t>C-SSRS</w:t>
      </w:r>
      <w:r w:rsidR="002C6D87" w:rsidRPr="008357DD">
        <w:t xml:space="preserve"> interview protocol. </w:t>
      </w:r>
      <w:r w:rsidR="0070064F" w:rsidRPr="008357DD">
        <w:t xml:space="preserve">The </w:t>
      </w:r>
      <w:r w:rsidR="00E05DC8" w:rsidRPr="008357DD">
        <w:t xml:space="preserve">measure </w:t>
      </w:r>
      <w:r w:rsidR="00285E60" w:rsidRPr="008357DD">
        <w:t>consists of</w:t>
      </w:r>
      <w:r w:rsidR="00D92A19" w:rsidRPr="008357DD">
        <w:t xml:space="preserve"> </w:t>
      </w:r>
      <w:r w:rsidR="007A1A92" w:rsidRPr="008357DD">
        <w:t xml:space="preserve">six </w:t>
      </w:r>
      <w:r w:rsidR="00D92A19" w:rsidRPr="008357DD">
        <w:t xml:space="preserve">items </w:t>
      </w:r>
      <w:r w:rsidR="008D6F9C" w:rsidRPr="008357DD">
        <w:t xml:space="preserve">tracking </w:t>
      </w:r>
      <w:r w:rsidR="00285E60" w:rsidRPr="008357DD">
        <w:t>the severity of suicidal ideation</w:t>
      </w:r>
      <w:r w:rsidR="00B1383C" w:rsidRPr="008357DD">
        <w:t xml:space="preserve"> </w:t>
      </w:r>
      <w:r w:rsidR="007A1A92" w:rsidRPr="008357DD">
        <w:t xml:space="preserve">and behaviour </w:t>
      </w:r>
      <w:r w:rsidR="00B1383C" w:rsidRPr="008357DD">
        <w:t>in the previous month</w:t>
      </w:r>
      <w:r w:rsidR="008325C8" w:rsidRPr="008357DD">
        <w:t>.</w:t>
      </w:r>
      <w:r w:rsidR="004455C5" w:rsidRPr="008357DD">
        <w:t xml:space="preserve"> </w:t>
      </w:r>
      <w:r w:rsidR="002A52B9" w:rsidRPr="008357DD">
        <w:t>T</w:t>
      </w:r>
      <w:r w:rsidR="00B1383C" w:rsidRPr="008357DD">
        <w:t>he self-report screener has not been validated</w:t>
      </w:r>
      <w:r w:rsidR="00C16954" w:rsidRPr="008357DD">
        <w:t xml:space="preserve"> in CYP</w:t>
      </w:r>
      <w:r w:rsidR="008E732D" w:rsidRPr="008357DD">
        <w:t xml:space="preserve">, but </w:t>
      </w:r>
      <w:r w:rsidR="00B1383C" w:rsidRPr="008357DD">
        <w:t>the</w:t>
      </w:r>
      <w:r w:rsidR="00303DDB" w:rsidRPr="008357DD">
        <w:t xml:space="preserve"> </w:t>
      </w:r>
      <w:r w:rsidR="008325C8" w:rsidRPr="008357DD">
        <w:t>clinician-rated C-SSRS</w:t>
      </w:r>
      <w:r w:rsidR="002A52B9" w:rsidRPr="008357DD">
        <w:t xml:space="preserve"> </w:t>
      </w:r>
      <w:r w:rsidR="00303DDB" w:rsidRPr="008357DD">
        <w:t xml:space="preserve">has demonstrated </w:t>
      </w:r>
      <w:r w:rsidR="00231ECA" w:rsidRPr="008357DD">
        <w:t xml:space="preserve">good </w:t>
      </w:r>
      <w:r w:rsidR="003827DB" w:rsidRPr="008357DD">
        <w:t>internal consistency</w:t>
      </w:r>
      <w:r w:rsidR="002A52B9" w:rsidRPr="008357DD">
        <w:t>,</w:t>
      </w:r>
      <w:r w:rsidR="00CC05EA" w:rsidRPr="008357DD">
        <w:t xml:space="preserve"> interrater reliability</w:t>
      </w:r>
      <w:r w:rsidR="001B7F4D" w:rsidRPr="008357DD">
        <w:t>,</w:t>
      </w:r>
      <w:r w:rsidR="003827DB" w:rsidRPr="008357DD">
        <w:t xml:space="preserve"> and sensitivity to change </w:t>
      </w:r>
      <w:r w:rsidR="00C16954" w:rsidRPr="008357DD">
        <w:t>in adolescent samples</w:t>
      </w:r>
      <w:r w:rsidR="00250543" w:rsidRPr="008357DD">
        <w:t xml:space="preserve"> </w:t>
      </w:r>
      <w:r w:rsidR="00904F0D" w:rsidRPr="008357DD">
        <w:rPr>
          <w:noProof/>
        </w:rPr>
        <w:t>(3</w:t>
      </w:r>
      <w:r w:rsidR="00756E9A" w:rsidRPr="008357DD">
        <w:rPr>
          <w:noProof/>
        </w:rPr>
        <w:t>1</w:t>
      </w:r>
      <w:r w:rsidR="0093095A" w:rsidRPr="001E4DF2">
        <w:rPr>
          <w:noProof/>
        </w:rPr>
        <w:t>).</w:t>
      </w:r>
    </w:p>
    <w:p w14:paraId="3EDD8CA9" w14:textId="5D0013AF" w:rsidR="005F5714" w:rsidRPr="008357DD" w:rsidRDefault="00C75614" w:rsidP="008C1934">
      <w:r w:rsidRPr="008357DD">
        <w:rPr>
          <w:rStyle w:val="Heading3Char"/>
        </w:rPr>
        <w:t>F</w:t>
      </w:r>
      <w:r w:rsidR="00304425" w:rsidRPr="008357DD">
        <w:rPr>
          <w:rStyle w:val="Heading3Char"/>
        </w:rPr>
        <w:t>unctioning</w:t>
      </w:r>
      <w:r w:rsidR="00ED07B9" w:rsidRPr="008357DD">
        <w:rPr>
          <w:rStyle w:val="Heading3Char"/>
        </w:rPr>
        <w:t>.</w:t>
      </w:r>
      <w:r w:rsidR="00ED07B9" w:rsidRPr="008357DD">
        <w:t xml:space="preserve"> </w:t>
      </w:r>
      <w:r w:rsidR="005A26BF" w:rsidRPr="008357DD">
        <w:t xml:space="preserve">Functioning </w:t>
      </w:r>
      <w:r w:rsidR="005B584F" w:rsidRPr="008357DD">
        <w:t>describes</w:t>
      </w:r>
      <w:r w:rsidR="00851C2F" w:rsidRPr="008357DD">
        <w:t xml:space="preserve"> </w:t>
      </w:r>
      <w:r w:rsidR="004E7C7D" w:rsidRPr="008357DD">
        <w:t>a child’s</w:t>
      </w:r>
      <w:r w:rsidR="00851C2F" w:rsidRPr="008357DD">
        <w:t xml:space="preserve"> ability to engage in typical </w:t>
      </w:r>
      <w:r w:rsidR="008547EE" w:rsidRPr="008357DD">
        <w:t>activities</w:t>
      </w:r>
      <w:r w:rsidR="00E422FE" w:rsidRPr="008357DD">
        <w:t xml:space="preserve"> and meet role demands</w:t>
      </w:r>
      <w:r w:rsidR="008547EE" w:rsidRPr="008357DD">
        <w:t xml:space="preserve"> </w:t>
      </w:r>
      <w:r w:rsidR="00E422FE" w:rsidRPr="008357DD">
        <w:t>i</w:t>
      </w:r>
      <w:r w:rsidR="008547EE" w:rsidRPr="008357DD">
        <w:t>n</w:t>
      </w:r>
      <w:r w:rsidR="00E422FE" w:rsidRPr="008357DD">
        <w:t xml:space="preserve"> line with</w:t>
      </w:r>
      <w:r w:rsidR="008547EE" w:rsidRPr="008357DD">
        <w:t xml:space="preserve"> </w:t>
      </w:r>
      <w:r w:rsidR="001360C6" w:rsidRPr="008357DD">
        <w:t xml:space="preserve">age-specific </w:t>
      </w:r>
      <w:r w:rsidR="008547EE" w:rsidRPr="008357DD">
        <w:t>soci</w:t>
      </w:r>
      <w:r w:rsidR="00E422FE" w:rsidRPr="008357DD">
        <w:t>o-cultural</w:t>
      </w:r>
      <w:r w:rsidR="008547EE" w:rsidRPr="008357DD">
        <w:t xml:space="preserve"> </w:t>
      </w:r>
      <w:r w:rsidR="00E422FE" w:rsidRPr="008357DD">
        <w:t>norms</w:t>
      </w:r>
      <w:r w:rsidR="003C4252" w:rsidRPr="008357DD">
        <w:t xml:space="preserve"> </w:t>
      </w:r>
      <w:r w:rsidR="003C4252" w:rsidRPr="008357DD">
        <w:rPr>
          <w:noProof/>
        </w:rPr>
        <w:t>(3</w:t>
      </w:r>
      <w:r w:rsidR="00756E9A" w:rsidRPr="008357DD">
        <w:rPr>
          <w:noProof/>
        </w:rPr>
        <w:t>2</w:t>
      </w:r>
      <w:r w:rsidR="003C4252" w:rsidRPr="008357DD">
        <w:rPr>
          <w:noProof/>
        </w:rPr>
        <w:t>,3</w:t>
      </w:r>
      <w:r w:rsidR="00756E9A" w:rsidRPr="008357DD">
        <w:rPr>
          <w:noProof/>
        </w:rPr>
        <w:t>3</w:t>
      </w:r>
      <w:r w:rsidR="003C4252" w:rsidRPr="001E4DF2">
        <w:rPr>
          <w:noProof/>
        </w:rPr>
        <w:t>)</w:t>
      </w:r>
      <w:r w:rsidR="00E422FE" w:rsidRPr="001E4DF2">
        <w:t>.</w:t>
      </w:r>
      <w:r w:rsidR="00440BDB" w:rsidRPr="008357DD">
        <w:t xml:space="preserve"> </w:t>
      </w:r>
      <w:r w:rsidR="00EE7360" w:rsidRPr="008357DD">
        <w:t>None of the identified functioning measures fully satisfied t</w:t>
      </w:r>
      <w:r w:rsidR="00795635" w:rsidRPr="008357DD">
        <w:t>he Working Group</w:t>
      </w:r>
      <w:r w:rsidR="00EE7360" w:rsidRPr="008357DD">
        <w:t>’s requirements, and c</w:t>
      </w:r>
      <w:r w:rsidR="008D786B" w:rsidRPr="008357DD">
        <w:t>onsensus was reached on</w:t>
      </w:r>
      <w:r w:rsidR="008428E2" w:rsidRPr="008357DD">
        <w:t xml:space="preserve"> </w:t>
      </w:r>
      <w:r w:rsidR="00F40BCF" w:rsidRPr="008357DD">
        <w:t xml:space="preserve">mitigating this by </w:t>
      </w:r>
      <w:r w:rsidR="007C577F" w:rsidRPr="008357DD">
        <w:t>tracking</w:t>
      </w:r>
      <w:r w:rsidR="00440BDB" w:rsidRPr="008357DD">
        <w:t xml:space="preserve"> a broad concept of global functioning or health-related quality of life (HRQoL), </w:t>
      </w:r>
      <w:r w:rsidR="00727395" w:rsidRPr="008357DD">
        <w:t>as well as</w:t>
      </w:r>
      <w:r w:rsidR="008D786B" w:rsidRPr="008357DD">
        <w:t xml:space="preserve"> </w:t>
      </w:r>
      <w:r w:rsidR="00440BDB" w:rsidRPr="008357DD">
        <w:t xml:space="preserve">condition-specific functional impairment, through </w:t>
      </w:r>
      <w:r w:rsidR="00E93749" w:rsidRPr="008357DD">
        <w:t xml:space="preserve">short </w:t>
      </w:r>
      <w:r w:rsidR="00440BDB" w:rsidRPr="008357DD">
        <w:t xml:space="preserve">dedicated </w:t>
      </w:r>
      <w:r w:rsidR="008F5894" w:rsidRPr="008357DD">
        <w:t>measures of each concept</w:t>
      </w:r>
      <w:r w:rsidR="00E33A94" w:rsidRPr="008357DD">
        <w:t xml:space="preserve">. </w:t>
      </w:r>
      <w:bookmarkStart w:id="13" w:name="_Hlk24898706"/>
      <w:r w:rsidR="007D110B" w:rsidRPr="008357DD">
        <w:t>Generic measures allow for comparisons across conditions,</w:t>
      </w:r>
      <w:r w:rsidR="00C87E74" w:rsidRPr="008357DD">
        <w:t xml:space="preserve"> </w:t>
      </w:r>
      <w:r w:rsidR="00C849E2" w:rsidRPr="008357DD">
        <w:t>while condition-specific measures may be more sensitive to change</w:t>
      </w:r>
      <w:r w:rsidR="00541DEA" w:rsidRPr="008357DD">
        <w:t xml:space="preserve">. As per group consensus, </w:t>
      </w:r>
      <w:r w:rsidR="00772906" w:rsidRPr="008357DD">
        <w:t>measures had to cover</w:t>
      </w:r>
      <w:r w:rsidR="00B73025" w:rsidRPr="008357DD">
        <w:t xml:space="preserve"> psychosocial functioning, peer relationships, and sleep functioning</w:t>
      </w:r>
      <w:r w:rsidR="001D019F" w:rsidRPr="008357DD">
        <w:t>, at least at an item level</w:t>
      </w:r>
      <w:r w:rsidR="00653F8F" w:rsidRPr="008357DD">
        <w:t>, although s</w:t>
      </w:r>
      <w:r w:rsidR="00BE2518" w:rsidRPr="008357DD">
        <w:t>leep was eventually covered through the RCADS-25</w:t>
      </w:r>
      <w:r w:rsidR="001D019F" w:rsidRPr="008357DD">
        <w:t xml:space="preserve"> (</w:t>
      </w:r>
      <w:r w:rsidR="0061735C" w:rsidRPr="008357DD">
        <w:t xml:space="preserve">i.e., </w:t>
      </w:r>
      <w:r w:rsidR="001D019F" w:rsidRPr="008357DD">
        <w:t xml:space="preserve">item 8: </w:t>
      </w:r>
      <w:r w:rsidR="001D019F" w:rsidRPr="008357DD">
        <w:rPr>
          <w:i/>
          <w:iCs/>
        </w:rPr>
        <w:t>I have trouble sleeping</w:t>
      </w:r>
      <w:r w:rsidR="001D019F" w:rsidRPr="008357DD">
        <w:t xml:space="preserve">; and item 9, </w:t>
      </w:r>
      <w:r w:rsidR="001D019F" w:rsidRPr="008357DD">
        <w:rPr>
          <w:i/>
          <w:iCs/>
        </w:rPr>
        <w:t>I feel scared if I have to sleep on my own</w:t>
      </w:r>
      <w:r w:rsidR="001D019F" w:rsidRPr="008357DD">
        <w:t xml:space="preserve">). </w:t>
      </w:r>
    </w:p>
    <w:p w14:paraId="680F406B" w14:textId="334326D3" w:rsidR="00326C52" w:rsidRPr="008357DD" w:rsidRDefault="00E97BA1" w:rsidP="008C1934">
      <w:r w:rsidRPr="008357DD">
        <w:t>The K</w:t>
      </w:r>
      <w:r w:rsidR="007A5617" w:rsidRPr="008357DD">
        <w:t>IDSCREEN</w:t>
      </w:r>
      <w:r w:rsidRPr="008357DD">
        <w:t xml:space="preserve">-10 was selected </w:t>
      </w:r>
      <w:r w:rsidR="00C614CD" w:rsidRPr="008357DD">
        <w:t xml:space="preserve">as a generic measure of </w:t>
      </w:r>
      <w:r w:rsidR="00CC0301" w:rsidRPr="008357DD">
        <w:t xml:space="preserve">global </w:t>
      </w:r>
      <w:r w:rsidR="00C614CD" w:rsidRPr="008357DD">
        <w:t>functioning</w:t>
      </w:r>
      <w:r w:rsidR="0071186B" w:rsidRPr="008357DD">
        <w:t xml:space="preserve">, to be </w:t>
      </w:r>
      <w:r w:rsidR="00CC0301" w:rsidRPr="008357DD">
        <w:t>completed</w:t>
      </w:r>
      <w:r w:rsidR="0071186B" w:rsidRPr="008357DD">
        <w:t xml:space="preserve"> by </w:t>
      </w:r>
      <w:r w:rsidR="00CC0301" w:rsidRPr="008357DD">
        <w:t>CYP</w:t>
      </w:r>
      <w:r w:rsidR="0071186B" w:rsidRPr="008357DD">
        <w:t xml:space="preserve"> and </w:t>
      </w:r>
      <w:r w:rsidR="005F612B" w:rsidRPr="008357DD">
        <w:t>parent</w:t>
      </w:r>
      <w:r w:rsidR="0071186B" w:rsidRPr="008357DD">
        <w:t>s.</w:t>
      </w:r>
      <w:r w:rsidR="00C614CD" w:rsidRPr="008357DD">
        <w:t xml:space="preserve"> </w:t>
      </w:r>
      <w:r w:rsidR="006D6DEA" w:rsidRPr="008357DD">
        <w:t>This</w:t>
      </w:r>
      <w:r w:rsidR="005C323D" w:rsidRPr="008357DD">
        <w:t xml:space="preserve"> unidimensional </w:t>
      </w:r>
      <w:r w:rsidR="0071186B" w:rsidRPr="008357DD">
        <w:t xml:space="preserve">10-item </w:t>
      </w:r>
      <w:r w:rsidR="005C323D" w:rsidRPr="008357DD">
        <w:t>index of HRQoL</w:t>
      </w:r>
      <w:r w:rsidR="00AE7B61" w:rsidRPr="008357DD">
        <w:t xml:space="preserve"> </w:t>
      </w:r>
      <w:r w:rsidR="008D6F9C" w:rsidRPr="008357DD">
        <w:t>tracks</w:t>
      </w:r>
      <w:r w:rsidR="005E4D07" w:rsidRPr="008357DD">
        <w:t xml:space="preserve"> functioning in relation to physical health and energy levels, leisure activities, social and family relationships, and cognition </w:t>
      </w:r>
      <w:r w:rsidR="003C4252" w:rsidRPr="008357DD">
        <w:rPr>
          <w:noProof/>
        </w:rPr>
        <w:t>(3</w:t>
      </w:r>
      <w:r w:rsidR="00756E9A" w:rsidRPr="008357DD">
        <w:rPr>
          <w:noProof/>
        </w:rPr>
        <w:t>4</w:t>
      </w:r>
      <w:r w:rsidR="003C4252" w:rsidRPr="001E4DF2">
        <w:rPr>
          <w:noProof/>
        </w:rPr>
        <w:t>)</w:t>
      </w:r>
      <w:r w:rsidR="005C323D" w:rsidRPr="001E4DF2">
        <w:t xml:space="preserve">. </w:t>
      </w:r>
      <w:r w:rsidR="00891976" w:rsidRPr="008357DD">
        <w:t xml:space="preserve">The more comprehensive KIDSCREEN-52 was originally developed through a process of cross-cultural harmonisation </w:t>
      </w:r>
      <w:r w:rsidR="00C5396A" w:rsidRPr="008357DD">
        <w:t>involving</w:t>
      </w:r>
      <w:r w:rsidR="00891976" w:rsidRPr="008357DD">
        <w:t xml:space="preserve"> 13 European countries. </w:t>
      </w:r>
      <w:r w:rsidR="00C5396A" w:rsidRPr="008357DD">
        <w:t>Its 10-item short form has been applied in</w:t>
      </w:r>
      <w:r w:rsidR="000F6AB1" w:rsidRPr="008357DD">
        <w:t xml:space="preserve"> Asia,</w:t>
      </w:r>
      <w:r w:rsidR="00C5396A" w:rsidRPr="008357DD">
        <w:t xml:space="preserve"> </w:t>
      </w:r>
      <w:r w:rsidR="000F6AB1" w:rsidRPr="008357DD">
        <w:t xml:space="preserve">Eastern Africa, </w:t>
      </w:r>
      <w:r w:rsidR="00C5396A" w:rsidRPr="008357DD">
        <w:t xml:space="preserve">Europe, </w:t>
      </w:r>
      <w:r w:rsidR="00AE66A2" w:rsidRPr="008357DD">
        <w:t>North and Latin America</w:t>
      </w:r>
      <w:r w:rsidR="000F6AB1" w:rsidRPr="008357DD">
        <w:t xml:space="preserve">. </w:t>
      </w:r>
      <w:r w:rsidR="00BE7B0D" w:rsidRPr="008357DD">
        <w:t>Although</w:t>
      </w:r>
      <w:r w:rsidR="0071186B" w:rsidRPr="008357DD">
        <w:t xml:space="preserve"> originally designed for epidemiological studies, </w:t>
      </w:r>
      <w:r w:rsidR="00BE7B0D" w:rsidRPr="008357DD">
        <w:t xml:space="preserve">the KIDSCREEN-10 </w:t>
      </w:r>
      <w:r w:rsidR="00D63699" w:rsidRPr="008357DD">
        <w:t xml:space="preserve">has been shown to discriminate well between </w:t>
      </w:r>
      <w:r w:rsidR="006F2BA2" w:rsidRPr="008357DD">
        <w:t>CYP</w:t>
      </w:r>
      <w:r w:rsidR="00D63699" w:rsidRPr="008357DD">
        <w:t xml:space="preserve"> with high and low levels of functioning, with few ceiling or floor effects</w:t>
      </w:r>
      <w:r w:rsidR="001F11A8" w:rsidRPr="008357DD">
        <w:t xml:space="preserve"> </w:t>
      </w:r>
      <w:r w:rsidR="003C4252" w:rsidRPr="008357DD">
        <w:rPr>
          <w:noProof/>
        </w:rPr>
        <w:t>(3</w:t>
      </w:r>
      <w:r w:rsidR="00756E9A" w:rsidRPr="008357DD">
        <w:rPr>
          <w:noProof/>
        </w:rPr>
        <w:t>4</w:t>
      </w:r>
      <w:r w:rsidR="003C4252" w:rsidRPr="001E4DF2">
        <w:rPr>
          <w:noProof/>
        </w:rPr>
        <w:t>)</w:t>
      </w:r>
      <w:r w:rsidR="00B06902" w:rsidRPr="001E4DF2">
        <w:t>.</w:t>
      </w:r>
      <w:r w:rsidR="00653051" w:rsidRPr="008357DD">
        <w:t xml:space="preserve"> In addition</w:t>
      </w:r>
      <w:r w:rsidR="002E606E" w:rsidRPr="008357DD">
        <w:t xml:space="preserve"> to the KIDSCREEN-10</w:t>
      </w:r>
      <w:r w:rsidR="00653051" w:rsidRPr="008357DD">
        <w:t xml:space="preserve">, </w:t>
      </w:r>
      <w:r w:rsidR="00D92468" w:rsidRPr="008357DD">
        <w:t xml:space="preserve">the </w:t>
      </w:r>
      <w:r w:rsidR="005D14A6" w:rsidRPr="008357DD">
        <w:t xml:space="preserve">Children’s </w:t>
      </w:r>
      <w:r w:rsidR="005D14A6" w:rsidRPr="008357DD">
        <w:lastRenderedPageBreak/>
        <w:t>Global Assessment Scale</w:t>
      </w:r>
      <w:r w:rsidR="000532C2" w:rsidRPr="008357DD">
        <w:t xml:space="preserve"> (CGAS)</w:t>
      </w:r>
      <w:r w:rsidR="003460E2" w:rsidRPr="008357DD">
        <w:t xml:space="preserve"> </w:t>
      </w:r>
      <w:r w:rsidR="00653051" w:rsidRPr="008357DD">
        <w:t xml:space="preserve">was selected </w:t>
      </w:r>
      <w:r w:rsidR="003460E2" w:rsidRPr="008357DD">
        <w:t>as a brief clinician-rated measure of global functioning</w:t>
      </w:r>
      <w:r w:rsidR="00BE7B0D" w:rsidRPr="008357DD">
        <w:t xml:space="preserve"> </w:t>
      </w:r>
      <w:r w:rsidR="003C4252" w:rsidRPr="008357DD">
        <w:rPr>
          <w:noProof/>
        </w:rPr>
        <w:t>(</w:t>
      </w:r>
      <w:r w:rsidR="00924C4E" w:rsidRPr="008357DD">
        <w:rPr>
          <w:noProof/>
        </w:rPr>
        <w:t>3</w:t>
      </w:r>
      <w:r w:rsidR="00756E9A" w:rsidRPr="008357DD">
        <w:rPr>
          <w:noProof/>
        </w:rPr>
        <w:t>5</w:t>
      </w:r>
      <w:r w:rsidR="003C4252" w:rsidRPr="001E4DF2">
        <w:rPr>
          <w:noProof/>
        </w:rPr>
        <w:t>)</w:t>
      </w:r>
      <w:r w:rsidR="00BE7B0D" w:rsidRPr="001E4DF2">
        <w:t xml:space="preserve">. </w:t>
      </w:r>
      <w:r w:rsidR="00653051" w:rsidRPr="008357DD">
        <w:t>On this widely used measure, c</w:t>
      </w:r>
      <w:r w:rsidR="006C2050" w:rsidRPr="008357DD">
        <w:t xml:space="preserve">linicians </w:t>
      </w:r>
      <w:r w:rsidR="00F665EB" w:rsidRPr="008357DD">
        <w:t xml:space="preserve">preform a single rating by </w:t>
      </w:r>
      <w:r w:rsidR="006C2050" w:rsidRPr="008357DD">
        <w:t>locat</w:t>
      </w:r>
      <w:r w:rsidR="00F665EB" w:rsidRPr="008357DD">
        <w:t>ing</w:t>
      </w:r>
      <w:r w:rsidR="006C2050" w:rsidRPr="008357DD">
        <w:t xml:space="preserve"> </w:t>
      </w:r>
      <w:r w:rsidR="003460E2" w:rsidRPr="008357DD">
        <w:t>CYP</w:t>
      </w:r>
      <w:r w:rsidR="006C2050" w:rsidRPr="008357DD">
        <w:t xml:space="preserve"> on a scale from </w:t>
      </w:r>
      <w:r w:rsidR="00B85571" w:rsidRPr="008357DD">
        <w:t>1 to 100</w:t>
      </w:r>
      <w:r w:rsidR="000015A4" w:rsidRPr="008357DD">
        <w:t xml:space="preserve">, </w:t>
      </w:r>
      <w:r w:rsidR="0057597F" w:rsidRPr="008357DD">
        <w:t>placing</w:t>
      </w:r>
      <w:r w:rsidR="00F665EB" w:rsidRPr="008357DD">
        <w:t xml:space="preserve"> </w:t>
      </w:r>
      <w:r w:rsidR="00366591" w:rsidRPr="008357DD">
        <w:t xml:space="preserve">them </w:t>
      </w:r>
      <w:r w:rsidR="00B85571" w:rsidRPr="008357DD">
        <w:t>into one of ten categories, from 1</w:t>
      </w:r>
      <w:r w:rsidR="00475A51" w:rsidRPr="008357DD">
        <w:t xml:space="preserve"> – </w:t>
      </w:r>
      <w:r w:rsidR="00B85571" w:rsidRPr="008357DD">
        <w:t>10</w:t>
      </w:r>
      <w:r w:rsidR="00475A51" w:rsidRPr="008357DD">
        <w:t xml:space="preserve"> (</w:t>
      </w:r>
      <w:r w:rsidR="00475A51" w:rsidRPr="008357DD">
        <w:rPr>
          <w:i/>
          <w:iCs/>
        </w:rPr>
        <w:t>extremely impaired</w:t>
      </w:r>
      <w:r w:rsidR="00B85571" w:rsidRPr="008357DD">
        <w:t xml:space="preserve">) to </w:t>
      </w:r>
      <w:r w:rsidR="00475A51" w:rsidRPr="008357DD">
        <w:t>91 – 100 (</w:t>
      </w:r>
      <w:r w:rsidR="00B85571" w:rsidRPr="008357DD">
        <w:rPr>
          <w:i/>
          <w:iCs/>
        </w:rPr>
        <w:t>doing very well</w:t>
      </w:r>
      <w:r w:rsidR="00B85571" w:rsidRPr="008357DD">
        <w:t xml:space="preserve">). </w:t>
      </w:r>
    </w:p>
    <w:bookmarkEnd w:id="13"/>
    <w:p w14:paraId="751FA78D" w14:textId="3235399B" w:rsidR="00A83B92" w:rsidRPr="008357DD" w:rsidRDefault="0057597F" w:rsidP="00CD30A4">
      <w:r w:rsidRPr="008357DD">
        <w:t xml:space="preserve">The </w:t>
      </w:r>
      <w:r w:rsidR="00DF3150" w:rsidRPr="008357DD">
        <w:t xml:space="preserve">Children’s Anxiety Life Interference Scale </w:t>
      </w:r>
      <w:r w:rsidR="003C4252" w:rsidRPr="008357DD">
        <w:rPr>
          <w:noProof/>
        </w:rPr>
        <w:t>(CALIS; 3</w:t>
      </w:r>
      <w:r w:rsidR="00756E9A" w:rsidRPr="008357DD">
        <w:rPr>
          <w:noProof/>
        </w:rPr>
        <w:t>6</w:t>
      </w:r>
      <w:r w:rsidR="003C4252" w:rsidRPr="001E4DF2">
        <w:rPr>
          <w:noProof/>
        </w:rPr>
        <w:t>)</w:t>
      </w:r>
      <w:r w:rsidR="001620F6" w:rsidRPr="001E4DF2">
        <w:t xml:space="preserve"> </w:t>
      </w:r>
      <w:r w:rsidR="00C75614" w:rsidRPr="008357DD">
        <w:t xml:space="preserve">was selected </w:t>
      </w:r>
      <w:r w:rsidR="001620F6" w:rsidRPr="008357DD">
        <w:t xml:space="preserve">to measure </w:t>
      </w:r>
      <w:r w:rsidR="001A36A1" w:rsidRPr="008357DD">
        <w:t>condition-specific impairment</w:t>
      </w:r>
      <w:r w:rsidR="0084197C" w:rsidRPr="008357DD">
        <w:t xml:space="preserve"> via </w:t>
      </w:r>
      <w:r w:rsidR="00692AD9" w:rsidRPr="008357DD">
        <w:t xml:space="preserve">9 items (10 </w:t>
      </w:r>
      <w:r w:rsidR="00461C0F" w:rsidRPr="008357DD">
        <w:t>for t</w:t>
      </w:r>
      <w:r w:rsidR="00692AD9" w:rsidRPr="008357DD">
        <w:t>he parent version)</w:t>
      </w:r>
      <w:r w:rsidR="0084197C" w:rsidRPr="008357DD">
        <w:t xml:space="preserve"> that describe</w:t>
      </w:r>
      <w:r w:rsidR="00692AD9" w:rsidRPr="008357DD">
        <w:t xml:space="preserve"> instances </w:t>
      </w:r>
      <w:r w:rsidR="00461C0F" w:rsidRPr="008357DD">
        <w:t xml:space="preserve">of </w:t>
      </w:r>
      <w:r w:rsidR="00692AD9" w:rsidRPr="008357DD">
        <w:t>anxiety</w:t>
      </w:r>
      <w:r w:rsidR="00890BA6" w:rsidRPr="008357DD">
        <w:t xml:space="preserve"> </w:t>
      </w:r>
      <w:r w:rsidR="00692AD9" w:rsidRPr="008357DD">
        <w:t>impact</w:t>
      </w:r>
      <w:r w:rsidR="00461C0F" w:rsidRPr="008357DD">
        <w:t>ing</w:t>
      </w:r>
      <w:r w:rsidR="00692AD9" w:rsidRPr="008357DD">
        <w:t xml:space="preserve"> on functioning at home</w:t>
      </w:r>
      <w:r w:rsidR="00F619A4" w:rsidRPr="008357DD">
        <w:t xml:space="preserve">, at </w:t>
      </w:r>
      <w:r w:rsidR="00692AD9" w:rsidRPr="008357DD">
        <w:t xml:space="preserve">school, </w:t>
      </w:r>
      <w:r w:rsidR="00097DFB" w:rsidRPr="008357DD">
        <w:t>on social life, or</w:t>
      </w:r>
      <w:r w:rsidR="00E40275" w:rsidRPr="008357DD">
        <w:t xml:space="preserve"> on</w:t>
      </w:r>
      <w:r w:rsidR="00097DFB" w:rsidRPr="008357DD">
        <w:t xml:space="preserve"> activities. </w:t>
      </w:r>
      <w:r w:rsidR="00535837" w:rsidRPr="008357DD">
        <w:t xml:space="preserve">The CALIS currently only covers </w:t>
      </w:r>
      <w:r w:rsidR="0084197C" w:rsidRPr="008357DD">
        <w:t xml:space="preserve">anxiety-related </w:t>
      </w:r>
      <w:r w:rsidR="00535837" w:rsidRPr="008357DD">
        <w:t>impairment</w:t>
      </w:r>
      <w:r w:rsidR="00653F8F" w:rsidRPr="008357DD">
        <w:t>, and t</w:t>
      </w:r>
      <w:r w:rsidR="00BE2518" w:rsidRPr="008357DD">
        <w:t>he Working Group did not identify any e</w:t>
      </w:r>
      <w:r w:rsidR="006D71AA" w:rsidRPr="008357DD">
        <w:t>ligible</w:t>
      </w:r>
      <w:r w:rsidR="00BE2518" w:rsidRPr="008357DD">
        <w:t xml:space="preserve"> measure</w:t>
      </w:r>
      <w:r w:rsidR="006D71AA" w:rsidRPr="008357DD">
        <w:t xml:space="preserve"> that</w:t>
      </w:r>
      <w:r w:rsidR="008D6F9C" w:rsidRPr="008357DD">
        <w:t xml:space="preserve"> tracks </w:t>
      </w:r>
      <w:r w:rsidR="00BE2518" w:rsidRPr="008357DD">
        <w:t xml:space="preserve">depression-specific impairment, or </w:t>
      </w:r>
      <w:r w:rsidR="006D71AA" w:rsidRPr="008357DD">
        <w:t>captures</w:t>
      </w:r>
      <w:r w:rsidR="00BE2518" w:rsidRPr="008357DD">
        <w:t xml:space="preserve"> impairment from both anxiety and depression.</w:t>
      </w:r>
      <w:r w:rsidR="00DA6898" w:rsidRPr="008357DD">
        <w:t xml:space="preserve"> However, </w:t>
      </w:r>
      <w:r w:rsidR="00A83B92" w:rsidRPr="008357DD">
        <w:t>the CALIS author tea</w:t>
      </w:r>
      <w:r w:rsidR="00847CE4" w:rsidRPr="008357DD">
        <w:t>m recently revised</w:t>
      </w:r>
      <w:r w:rsidR="00CD30A4" w:rsidRPr="008357DD">
        <w:t xml:space="preserve"> the </w:t>
      </w:r>
      <w:r w:rsidR="004E3220" w:rsidRPr="008357DD">
        <w:t>measure</w:t>
      </w:r>
      <w:r w:rsidR="00CD30A4" w:rsidRPr="008357DD">
        <w:t xml:space="preserve"> </w:t>
      </w:r>
      <w:r w:rsidR="00847CE4" w:rsidRPr="008357DD">
        <w:t>to</w:t>
      </w:r>
      <w:r w:rsidR="00CD30A4" w:rsidRPr="008357DD">
        <w:t xml:space="preserve"> cover </w:t>
      </w:r>
      <w:r w:rsidR="00693805" w:rsidRPr="008357DD">
        <w:t xml:space="preserve">impairment </w:t>
      </w:r>
      <w:r w:rsidR="00FF5BEB" w:rsidRPr="008357DD">
        <w:t xml:space="preserve">from anxiety </w:t>
      </w:r>
      <w:r w:rsidR="00FF5BEB" w:rsidRPr="008357DD">
        <w:rPr>
          <w:i/>
          <w:iCs/>
        </w:rPr>
        <w:t>and</w:t>
      </w:r>
      <w:r w:rsidR="00FF5BEB" w:rsidRPr="008357DD">
        <w:t xml:space="preserve"> depression</w:t>
      </w:r>
      <w:r w:rsidR="00E93749" w:rsidRPr="008357DD">
        <w:t>, and a</w:t>
      </w:r>
      <w:r w:rsidR="00847CE4" w:rsidRPr="008357DD">
        <w:t xml:space="preserve"> validation study involving </w:t>
      </w:r>
      <w:r w:rsidR="004E3220" w:rsidRPr="008357DD">
        <w:t>children,</w:t>
      </w:r>
      <w:r w:rsidR="00847CE4" w:rsidRPr="008357DD">
        <w:t xml:space="preserve"> young people</w:t>
      </w:r>
      <w:r w:rsidR="004E3220" w:rsidRPr="008357DD">
        <w:t>, and parents</w:t>
      </w:r>
      <w:r w:rsidR="00847CE4" w:rsidRPr="008357DD">
        <w:t xml:space="preserve"> </w:t>
      </w:r>
      <w:r w:rsidR="004E3220" w:rsidRPr="008357DD">
        <w:t>in</w:t>
      </w:r>
      <w:r w:rsidR="00847CE4" w:rsidRPr="008357DD">
        <w:t xml:space="preserve"> community, school, and clinical settings is </w:t>
      </w:r>
      <w:r w:rsidR="00E93749" w:rsidRPr="008357DD">
        <w:t>ongoing</w:t>
      </w:r>
      <w:r w:rsidR="00847CE4" w:rsidRPr="008357DD">
        <w:t xml:space="preserve">. </w:t>
      </w:r>
      <w:r w:rsidR="00CD30A4" w:rsidRPr="008357DD">
        <w:t xml:space="preserve">As soon as </w:t>
      </w:r>
      <w:r w:rsidR="00702E70" w:rsidRPr="008357DD">
        <w:t>validation results</w:t>
      </w:r>
      <w:r w:rsidR="004E3220" w:rsidRPr="008357DD">
        <w:t xml:space="preserve"> become</w:t>
      </w:r>
      <w:r w:rsidR="00695084" w:rsidRPr="008357DD">
        <w:t xml:space="preserve"> </w:t>
      </w:r>
      <w:r w:rsidR="00702E70" w:rsidRPr="008357DD">
        <w:t xml:space="preserve">available, </w:t>
      </w:r>
      <w:r w:rsidR="00FC3579" w:rsidRPr="008357DD">
        <w:t>the Working Group</w:t>
      </w:r>
      <w:r w:rsidR="00695084" w:rsidRPr="008357DD">
        <w:t xml:space="preserve"> will</w:t>
      </w:r>
      <w:r w:rsidR="00693805" w:rsidRPr="008357DD">
        <w:t xml:space="preserve"> consider replacing the original CALIS</w:t>
      </w:r>
      <w:r w:rsidR="004E3220" w:rsidRPr="008357DD">
        <w:t xml:space="preserve"> with the revised Children’s Anxiety and Depression Life Interference Scale (CADLIS)</w:t>
      </w:r>
      <w:r w:rsidR="00480722" w:rsidRPr="008357DD">
        <w:t xml:space="preserve"> </w:t>
      </w:r>
      <w:r w:rsidR="00693805" w:rsidRPr="008357DD">
        <w:t>in the Standard Set</w:t>
      </w:r>
      <w:r w:rsidR="00702E70" w:rsidRPr="008357DD">
        <w:t>.</w:t>
      </w:r>
    </w:p>
    <w:p w14:paraId="6D11371D" w14:textId="7A19159F" w:rsidR="000338C7" w:rsidRPr="008357DD" w:rsidRDefault="000338C7" w:rsidP="008C1934">
      <w:pPr>
        <w:pStyle w:val="Heading2"/>
      </w:pPr>
      <w:r w:rsidRPr="008357DD">
        <w:t>Case</w:t>
      </w:r>
      <w:r w:rsidR="0047267A" w:rsidRPr="008357DD">
        <w:t>-</w:t>
      </w:r>
      <w:r w:rsidRPr="008357DD">
        <w:t xml:space="preserve">Mix </w:t>
      </w:r>
      <w:r w:rsidR="00494AE7" w:rsidRPr="008357DD">
        <w:t>Factors</w:t>
      </w:r>
      <w:r w:rsidR="0080139E" w:rsidRPr="008357DD">
        <w:t xml:space="preserve"> </w:t>
      </w:r>
    </w:p>
    <w:p w14:paraId="0744A93C" w14:textId="39D9207D" w:rsidR="000338C7" w:rsidRPr="008357DD" w:rsidRDefault="000338C7" w:rsidP="008C1934">
      <w:r w:rsidRPr="008357DD">
        <w:t>Th</w:t>
      </w:r>
      <w:r w:rsidR="00331477" w:rsidRPr="008357DD">
        <w:t>e</w:t>
      </w:r>
      <w:r w:rsidRPr="008357DD">
        <w:t xml:space="preserve"> </w:t>
      </w:r>
      <w:r w:rsidR="00A84265" w:rsidRPr="008357DD">
        <w:t>S</w:t>
      </w:r>
      <w:r w:rsidRPr="008357DD">
        <w:t xml:space="preserve">tandard </w:t>
      </w:r>
      <w:r w:rsidR="00A84265" w:rsidRPr="008357DD">
        <w:t>S</w:t>
      </w:r>
      <w:r w:rsidRPr="008357DD">
        <w:t>et aim</w:t>
      </w:r>
      <w:r w:rsidR="00E046E1" w:rsidRPr="008357DD">
        <w:t>s</w:t>
      </w:r>
      <w:r w:rsidRPr="008357DD">
        <w:t xml:space="preserve"> to facilitate comparisons and benchmarking of outcomes</w:t>
      </w:r>
      <w:r w:rsidR="001620F6" w:rsidRPr="008357DD">
        <w:t>, which</w:t>
      </w:r>
      <w:r w:rsidRPr="008357DD">
        <w:t xml:space="preserve"> requires the collection of additional data to adjust for variation in </w:t>
      </w:r>
      <w:r w:rsidR="00D54FB4" w:rsidRPr="008357DD">
        <w:t>populations and intervention settings</w:t>
      </w:r>
      <w:r w:rsidRPr="008357DD">
        <w:t xml:space="preserve">. </w:t>
      </w:r>
      <w:r w:rsidR="000C3EFB" w:rsidRPr="008357DD">
        <w:t xml:space="preserve">As per Working Group consensus, </w:t>
      </w:r>
      <w:r w:rsidR="00F619A4" w:rsidRPr="008357DD">
        <w:t>services should record</w:t>
      </w:r>
      <w:r w:rsidRPr="008357DD">
        <w:t xml:space="preserve"> demographic</w:t>
      </w:r>
      <w:r w:rsidR="00311BA2" w:rsidRPr="008357DD">
        <w:t xml:space="preserve">, </w:t>
      </w:r>
      <w:r w:rsidRPr="008357DD">
        <w:t>clinical, complexity, and intervention factors</w:t>
      </w:r>
      <w:r w:rsidR="000C3EFB" w:rsidRPr="008357DD">
        <w:t>, through</w:t>
      </w:r>
      <w:r w:rsidR="00983B32" w:rsidRPr="008357DD">
        <w:t xml:space="preserve"> a mix of</w:t>
      </w:r>
      <w:r w:rsidR="000C3EFB" w:rsidRPr="008357DD">
        <w:t xml:space="preserve"> self-</w:t>
      </w:r>
      <w:r w:rsidR="00983B32" w:rsidRPr="008357DD">
        <w:t xml:space="preserve">, </w:t>
      </w:r>
      <w:r w:rsidR="000C3EFB" w:rsidRPr="008357DD">
        <w:t>parent-</w:t>
      </w:r>
      <w:r w:rsidR="00983B32" w:rsidRPr="008357DD">
        <w:t>, and clinician-</w:t>
      </w:r>
      <w:r w:rsidR="000C3EFB" w:rsidRPr="008357DD">
        <w:t>report</w:t>
      </w:r>
      <w:r w:rsidR="00983B32" w:rsidRPr="008357DD">
        <w:t xml:space="preserve"> </w:t>
      </w:r>
      <w:r w:rsidR="00930C50" w:rsidRPr="008357DD">
        <w:t xml:space="preserve">(table 2). </w:t>
      </w:r>
      <w:r w:rsidR="007459A8" w:rsidRPr="008357DD">
        <w:t>Beyond the Working Group, t</w:t>
      </w:r>
      <w:r w:rsidR="005015B4" w:rsidRPr="008357DD">
        <w:t xml:space="preserve">he suggested case-mix factors were endorsed by more than 80% of </w:t>
      </w:r>
      <w:r w:rsidR="00A15F9E" w:rsidRPr="008357DD">
        <w:t>practitioners</w:t>
      </w:r>
      <w:r w:rsidR="000A5A6B" w:rsidRPr="008357DD">
        <w:t xml:space="preserve"> and researchers who provided feedback during the</w:t>
      </w:r>
      <w:r w:rsidR="005015B4" w:rsidRPr="008357DD">
        <w:t xml:space="preserve"> </w:t>
      </w:r>
      <w:r w:rsidR="00B7189A" w:rsidRPr="008357DD">
        <w:t>O</w:t>
      </w:r>
      <w:r w:rsidR="005015B4" w:rsidRPr="008357DD">
        <w:t xml:space="preserve">pen </w:t>
      </w:r>
      <w:r w:rsidR="00B7189A" w:rsidRPr="008357DD">
        <w:t>R</w:t>
      </w:r>
      <w:r w:rsidR="005015B4" w:rsidRPr="008357DD">
        <w:t>eview.</w:t>
      </w:r>
      <w:r w:rsidR="002B67DA" w:rsidRPr="008357DD">
        <w:t xml:space="preserve"> The</w:t>
      </w:r>
      <w:r w:rsidR="000A5A6B" w:rsidRPr="008357DD">
        <w:t>se factors</w:t>
      </w:r>
      <w:r w:rsidR="00FF6F60" w:rsidRPr="008357DD">
        <w:t xml:space="preserve"> </w:t>
      </w:r>
      <w:r w:rsidR="002B67DA" w:rsidRPr="008357DD">
        <w:t>represent a minimum that should be assessed by all those providing relevant care</w:t>
      </w:r>
      <w:r w:rsidR="003105B0" w:rsidRPr="008357DD">
        <w:t>, and s</w:t>
      </w:r>
      <w:r w:rsidR="002B67DA" w:rsidRPr="008357DD">
        <w:t xml:space="preserve">ervices may wish to add </w:t>
      </w:r>
      <w:r w:rsidR="008B1697" w:rsidRPr="008357DD">
        <w:t>other indicators to meet local information needs.</w:t>
      </w:r>
    </w:p>
    <w:p w14:paraId="351DFAFC" w14:textId="544CAC4D" w:rsidR="00C576F4" w:rsidRPr="008357DD" w:rsidRDefault="00C576F4" w:rsidP="008C1934">
      <w:r w:rsidRPr="008357DD">
        <w:rPr>
          <w:highlight w:val="yellow"/>
        </w:rPr>
        <w:t>Insert Table 2</w:t>
      </w:r>
    </w:p>
    <w:p w14:paraId="1AFB8979" w14:textId="3EEFB7B1" w:rsidR="00FB29AB" w:rsidRPr="008357DD" w:rsidRDefault="000338C7" w:rsidP="008C1934">
      <w:pPr>
        <w:rPr>
          <w:rFonts w:eastAsiaTheme="majorEastAsia"/>
        </w:rPr>
      </w:pPr>
      <w:r w:rsidRPr="008357DD">
        <w:rPr>
          <w:b/>
        </w:rPr>
        <w:t>Demographic factors</w:t>
      </w:r>
      <w:r w:rsidRPr="008357DD">
        <w:t>.</w:t>
      </w:r>
      <w:r w:rsidR="00A62D97" w:rsidRPr="008357DD">
        <w:t xml:space="preserve"> </w:t>
      </w:r>
      <w:r w:rsidR="00CD22B6" w:rsidRPr="008357DD">
        <w:t xml:space="preserve">The </w:t>
      </w:r>
      <w:r w:rsidR="00275091" w:rsidRPr="008357DD">
        <w:t>S</w:t>
      </w:r>
      <w:r w:rsidR="00CD22B6" w:rsidRPr="008357DD">
        <w:t>et recommends recording</w:t>
      </w:r>
      <w:r w:rsidR="00842BC9" w:rsidRPr="008357DD">
        <w:t xml:space="preserve"> </w:t>
      </w:r>
      <w:r w:rsidR="0017221E" w:rsidRPr="008357DD">
        <w:rPr>
          <w:lang w:eastAsia="en-US"/>
        </w:rPr>
        <w:t xml:space="preserve">age, </w:t>
      </w:r>
      <w:r w:rsidRPr="008357DD">
        <w:rPr>
          <w:lang w:eastAsia="en-US"/>
        </w:rPr>
        <w:t>gender, ethnic</w:t>
      </w:r>
      <w:r w:rsidR="00A80FC2" w:rsidRPr="008357DD">
        <w:rPr>
          <w:lang w:eastAsia="en-US"/>
        </w:rPr>
        <w:t xml:space="preserve"> minority status</w:t>
      </w:r>
      <w:r w:rsidRPr="008357DD">
        <w:rPr>
          <w:lang w:eastAsia="en-US"/>
        </w:rPr>
        <w:t xml:space="preserve">, socio-economics status, and the child’s living situation. </w:t>
      </w:r>
      <w:r w:rsidR="007F62AC" w:rsidRPr="008357DD">
        <w:rPr>
          <w:lang w:eastAsia="en-US"/>
        </w:rPr>
        <w:t>Se</w:t>
      </w:r>
      <w:r w:rsidR="00A80FC2" w:rsidRPr="008357DD">
        <w:rPr>
          <w:lang w:eastAsia="en-US"/>
        </w:rPr>
        <w:t xml:space="preserve">rvices should </w:t>
      </w:r>
      <w:r w:rsidR="007F62AC" w:rsidRPr="008357DD">
        <w:rPr>
          <w:lang w:eastAsia="en-US"/>
        </w:rPr>
        <w:t>record</w:t>
      </w:r>
      <w:r w:rsidR="002D11A6" w:rsidRPr="008357DD">
        <w:rPr>
          <w:lang w:eastAsia="en-US"/>
        </w:rPr>
        <w:t xml:space="preserve"> the </w:t>
      </w:r>
      <w:r w:rsidR="007F62AC" w:rsidRPr="008357DD">
        <w:rPr>
          <w:lang w:eastAsia="en-US"/>
        </w:rPr>
        <w:t xml:space="preserve">sex assigned at birth, </w:t>
      </w:r>
      <w:r w:rsidR="002D11A6" w:rsidRPr="008357DD">
        <w:rPr>
          <w:lang w:eastAsia="en-US"/>
        </w:rPr>
        <w:t xml:space="preserve">and </w:t>
      </w:r>
      <w:r w:rsidR="00FD6ACF" w:rsidRPr="008357DD">
        <w:rPr>
          <w:lang w:eastAsia="en-US"/>
        </w:rPr>
        <w:t xml:space="preserve">the </w:t>
      </w:r>
      <w:r w:rsidR="002D11A6" w:rsidRPr="008357DD">
        <w:rPr>
          <w:lang w:eastAsia="en-US"/>
        </w:rPr>
        <w:t>gender reported by</w:t>
      </w:r>
      <w:r w:rsidR="00A80FC2" w:rsidRPr="008357DD">
        <w:rPr>
          <w:lang w:eastAsia="en-US"/>
        </w:rPr>
        <w:t xml:space="preserve"> </w:t>
      </w:r>
      <w:r w:rsidR="00C2188A" w:rsidRPr="008357DD">
        <w:rPr>
          <w:lang w:eastAsia="en-US"/>
        </w:rPr>
        <w:t xml:space="preserve">CYP. </w:t>
      </w:r>
      <w:r w:rsidR="00FB29AB" w:rsidRPr="008357DD">
        <w:rPr>
          <w:lang w:eastAsia="en-US"/>
        </w:rPr>
        <w:t xml:space="preserve">Socio-economic status should be measured </w:t>
      </w:r>
      <w:r w:rsidR="00FD6ACF" w:rsidRPr="008357DD">
        <w:rPr>
          <w:lang w:eastAsia="en-US"/>
        </w:rPr>
        <w:t xml:space="preserve">by recording </w:t>
      </w:r>
      <w:r w:rsidR="00FD6ACF" w:rsidRPr="008357DD">
        <w:rPr>
          <w:rFonts w:eastAsia="Calibri"/>
          <w:lang w:eastAsia="en-US"/>
        </w:rPr>
        <w:t xml:space="preserve">the highest level of education completed by any of the CYP’s parents, as </w:t>
      </w:r>
      <w:r w:rsidR="00FB29AB" w:rsidRPr="008357DD">
        <w:rPr>
          <w:lang w:eastAsia="en-US"/>
        </w:rPr>
        <w:t>a</w:t>
      </w:r>
      <w:r w:rsidR="002D78B6" w:rsidRPr="008357DD">
        <w:rPr>
          <w:lang w:eastAsia="en-US"/>
        </w:rPr>
        <w:t xml:space="preserve"> widely</w:t>
      </w:r>
      <w:r w:rsidR="00FB29AB" w:rsidRPr="008357DD">
        <w:rPr>
          <w:lang w:eastAsia="en-US"/>
        </w:rPr>
        <w:t xml:space="preserve"> accepted prox</w:t>
      </w:r>
      <w:r w:rsidR="00CD22B6" w:rsidRPr="008357DD">
        <w:rPr>
          <w:lang w:eastAsia="en-US"/>
        </w:rPr>
        <w:t>y</w:t>
      </w:r>
      <w:r w:rsidR="002D11A6" w:rsidRPr="008357DD">
        <w:rPr>
          <w:lang w:eastAsia="en-US"/>
        </w:rPr>
        <w:t xml:space="preserve"> that</w:t>
      </w:r>
      <w:r w:rsidR="002D78B6" w:rsidRPr="008357DD">
        <w:rPr>
          <w:lang w:eastAsia="en-US"/>
        </w:rPr>
        <w:t xml:space="preserve"> can </w:t>
      </w:r>
      <w:r w:rsidR="00FB29AB" w:rsidRPr="008357DD">
        <w:rPr>
          <w:lang w:eastAsia="en-US"/>
        </w:rPr>
        <w:t xml:space="preserve">be </w:t>
      </w:r>
      <w:r w:rsidR="002D11A6" w:rsidRPr="008357DD">
        <w:rPr>
          <w:lang w:eastAsia="en-US"/>
        </w:rPr>
        <w:t xml:space="preserve">mapped onto </w:t>
      </w:r>
      <w:r w:rsidR="00FB29AB" w:rsidRPr="008357DD">
        <w:rPr>
          <w:lang w:eastAsia="en-US"/>
        </w:rPr>
        <w:t xml:space="preserve">the </w:t>
      </w:r>
      <w:r w:rsidR="00FB29AB" w:rsidRPr="008357DD">
        <w:rPr>
          <w:rFonts w:eastAsia="Calibri"/>
          <w:lang w:eastAsia="en-US"/>
        </w:rPr>
        <w:t xml:space="preserve">International Standard Classification of Education </w:t>
      </w:r>
      <w:r w:rsidR="002D11A6" w:rsidRPr="008357DD">
        <w:rPr>
          <w:rFonts w:eastAsia="Calibri"/>
          <w:lang w:eastAsia="en-US"/>
        </w:rPr>
        <w:t>for international comparisons</w:t>
      </w:r>
      <w:r w:rsidR="00195940" w:rsidRPr="008357DD">
        <w:rPr>
          <w:rFonts w:eastAsia="Calibri"/>
          <w:lang w:eastAsia="en-US"/>
        </w:rPr>
        <w:t xml:space="preserve"> </w:t>
      </w:r>
      <w:r w:rsidR="003C4252" w:rsidRPr="008357DD">
        <w:rPr>
          <w:rFonts w:eastAsia="Calibri"/>
          <w:noProof/>
          <w:lang w:eastAsia="en-US"/>
        </w:rPr>
        <w:t>(ISCED; 3</w:t>
      </w:r>
      <w:r w:rsidR="00756E9A" w:rsidRPr="008357DD">
        <w:rPr>
          <w:rFonts w:eastAsia="Calibri"/>
          <w:noProof/>
          <w:lang w:eastAsia="en-US"/>
        </w:rPr>
        <w:t>7</w:t>
      </w:r>
      <w:r w:rsidR="003C4252" w:rsidRPr="001E4DF2">
        <w:rPr>
          <w:rFonts w:eastAsia="Calibri"/>
          <w:noProof/>
          <w:lang w:eastAsia="en-US"/>
        </w:rPr>
        <w:t>)</w:t>
      </w:r>
      <w:r w:rsidR="002D11A6" w:rsidRPr="001E4DF2">
        <w:rPr>
          <w:rFonts w:eastAsia="Calibri"/>
          <w:lang w:eastAsia="en-US"/>
        </w:rPr>
        <w:t>.</w:t>
      </w:r>
      <w:r w:rsidR="00FB29AB" w:rsidRPr="008357DD">
        <w:rPr>
          <w:rFonts w:eastAsia="Calibri"/>
          <w:lang w:eastAsia="en-US"/>
        </w:rPr>
        <w:t xml:space="preserve"> </w:t>
      </w:r>
      <w:r w:rsidR="00AB19B9" w:rsidRPr="008357DD">
        <w:rPr>
          <w:lang w:eastAsia="en-US"/>
        </w:rPr>
        <w:t xml:space="preserve">The </w:t>
      </w:r>
      <w:r w:rsidR="003853D4" w:rsidRPr="008357DD">
        <w:rPr>
          <w:lang w:eastAsia="en-US"/>
        </w:rPr>
        <w:t>S</w:t>
      </w:r>
      <w:r w:rsidR="00AB19B9" w:rsidRPr="008357DD">
        <w:rPr>
          <w:lang w:eastAsia="en-US"/>
        </w:rPr>
        <w:t xml:space="preserve">et includes </w:t>
      </w:r>
      <w:r w:rsidR="003853D4" w:rsidRPr="008357DD">
        <w:rPr>
          <w:rFonts w:eastAsia="Calibri"/>
          <w:lang w:eastAsia="en-US"/>
        </w:rPr>
        <w:t>one question about CYP’s living situation, and</w:t>
      </w:r>
      <w:r w:rsidR="003853D4" w:rsidRPr="008357DD">
        <w:rPr>
          <w:lang w:eastAsia="en-US"/>
        </w:rPr>
        <w:t xml:space="preserve"> </w:t>
      </w:r>
      <w:r w:rsidR="00AB19B9" w:rsidRPr="008357DD">
        <w:rPr>
          <w:lang w:eastAsia="en-US"/>
        </w:rPr>
        <w:t>t</w:t>
      </w:r>
      <w:r w:rsidR="00FB29AB" w:rsidRPr="008357DD">
        <w:rPr>
          <w:rFonts w:eastAsia="Calibri"/>
          <w:lang w:eastAsia="en-US"/>
        </w:rPr>
        <w:t xml:space="preserve">wo </w:t>
      </w:r>
      <w:r w:rsidR="00C43EE1" w:rsidRPr="008357DD">
        <w:rPr>
          <w:rFonts w:eastAsia="Calibri"/>
          <w:lang w:eastAsia="en-US"/>
        </w:rPr>
        <w:t xml:space="preserve">questions </w:t>
      </w:r>
      <w:r w:rsidR="00FB29AB" w:rsidRPr="008357DD">
        <w:rPr>
          <w:rFonts w:eastAsia="Calibri"/>
          <w:lang w:eastAsia="en-US"/>
        </w:rPr>
        <w:t>captur</w:t>
      </w:r>
      <w:r w:rsidR="00AB19B9" w:rsidRPr="008357DD">
        <w:rPr>
          <w:rFonts w:eastAsia="Calibri"/>
          <w:lang w:eastAsia="en-US"/>
        </w:rPr>
        <w:t>ing</w:t>
      </w:r>
      <w:r w:rsidR="00FB29AB" w:rsidRPr="008357DD">
        <w:rPr>
          <w:rFonts w:eastAsia="Calibri"/>
          <w:lang w:eastAsia="en-US"/>
        </w:rPr>
        <w:t xml:space="preserve"> ethnic minority and marginalised group status </w:t>
      </w:r>
      <w:r w:rsidR="003853D4" w:rsidRPr="008357DD">
        <w:rPr>
          <w:rFonts w:eastAsia="Calibri"/>
          <w:lang w:eastAsia="en-US"/>
        </w:rPr>
        <w:t>via</w:t>
      </w:r>
      <w:r w:rsidR="00FB29AB" w:rsidRPr="008357DD">
        <w:rPr>
          <w:rFonts w:eastAsia="Calibri"/>
          <w:lang w:eastAsia="en-US"/>
        </w:rPr>
        <w:t xml:space="preserve"> self-report</w:t>
      </w:r>
      <w:r w:rsidR="00A0126C" w:rsidRPr="008357DD">
        <w:rPr>
          <w:rFonts w:eastAsia="Calibri"/>
          <w:lang w:eastAsia="en-US"/>
        </w:rPr>
        <w:t xml:space="preserve"> (table 2)</w:t>
      </w:r>
      <w:r w:rsidR="00720D5E" w:rsidRPr="008357DD">
        <w:rPr>
          <w:rFonts w:eastAsia="Calibri"/>
          <w:lang w:eastAsia="en-US"/>
        </w:rPr>
        <w:t xml:space="preserve">. </w:t>
      </w:r>
    </w:p>
    <w:p w14:paraId="1432575D" w14:textId="36D1CED6" w:rsidR="00301896" w:rsidRPr="008357DD" w:rsidRDefault="00301896" w:rsidP="008C1934">
      <w:r w:rsidRPr="008357DD">
        <w:rPr>
          <w:rStyle w:val="Heading3Char"/>
        </w:rPr>
        <w:t xml:space="preserve">Clinical </w:t>
      </w:r>
      <w:r w:rsidR="00004F5B" w:rsidRPr="008357DD">
        <w:rPr>
          <w:rStyle w:val="Heading3Char"/>
        </w:rPr>
        <w:t>f</w:t>
      </w:r>
      <w:r w:rsidRPr="008357DD">
        <w:rPr>
          <w:rStyle w:val="Heading3Char"/>
        </w:rPr>
        <w:t>actors.</w:t>
      </w:r>
      <w:r w:rsidRPr="008357DD">
        <w:t xml:space="preserve"> </w:t>
      </w:r>
      <w:r w:rsidR="007D27F1" w:rsidRPr="008357DD">
        <w:t>Several studies suggest that symptom burden, symptom duration, and the presence of comorbidities affect treatment response in CYP with depression or anxiety</w:t>
      </w:r>
      <w:r w:rsidR="006F6F6D" w:rsidRPr="008357DD">
        <w:t xml:space="preserve"> </w:t>
      </w:r>
      <w:r w:rsidR="003C4252" w:rsidRPr="008357DD">
        <w:rPr>
          <w:noProof/>
        </w:rPr>
        <w:t>(3</w:t>
      </w:r>
      <w:r w:rsidR="00756E9A" w:rsidRPr="008357DD">
        <w:rPr>
          <w:noProof/>
        </w:rPr>
        <w:t>8</w:t>
      </w:r>
      <w:r w:rsidR="003C4252" w:rsidRPr="008357DD">
        <w:rPr>
          <w:noProof/>
        </w:rPr>
        <w:t>–4</w:t>
      </w:r>
      <w:r w:rsidR="00756E9A" w:rsidRPr="008357DD">
        <w:rPr>
          <w:noProof/>
        </w:rPr>
        <w:t>7</w:t>
      </w:r>
      <w:r w:rsidR="003C4252" w:rsidRPr="001E4DF2">
        <w:rPr>
          <w:noProof/>
        </w:rPr>
        <w:t xml:space="preserve">; </w:t>
      </w:r>
      <w:r w:rsidR="00202470">
        <w:rPr>
          <w:noProof/>
        </w:rPr>
        <w:t>Appendix</w:t>
      </w:r>
      <w:r w:rsidR="0093095A" w:rsidRPr="001E4DF2">
        <w:rPr>
          <w:noProof/>
        </w:rPr>
        <w:t xml:space="preserve"> p</w:t>
      </w:r>
      <w:r w:rsidR="00677D5D">
        <w:rPr>
          <w:noProof/>
        </w:rPr>
        <w:t>g</w:t>
      </w:r>
      <w:r w:rsidR="0093095A" w:rsidRPr="008357DD">
        <w:rPr>
          <w:noProof/>
        </w:rPr>
        <w:t>. 17-18</w:t>
      </w:r>
      <w:r w:rsidR="003C4252" w:rsidRPr="008357DD">
        <w:rPr>
          <w:noProof/>
        </w:rPr>
        <w:t>)</w:t>
      </w:r>
      <w:r w:rsidRPr="008357DD">
        <w:t xml:space="preserve">. </w:t>
      </w:r>
      <w:r w:rsidR="00720D5E" w:rsidRPr="008357DD">
        <w:t xml:space="preserve">The group recommends </w:t>
      </w:r>
      <w:r w:rsidR="00124674" w:rsidRPr="008357DD">
        <w:t>recording</w:t>
      </w:r>
      <w:r w:rsidR="00720D5E" w:rsidRPr="008357DD">
        <w:t xml:space="preserve"> </w:t>
      </w:r>
      <w:r w:rsidRPr="008357DD">
        <w:t xml:space="preserve">principal and comorbid presenting problems by administering the 30 problem descriptions of the Current View Tool </w:t>
      </w:r>
      <w:r w:rsidR="003C4252" w:rsidRPr="008357DD">
        <w:rPr>
          <w:noProof/>
        </w:rPr>
        <w:t>(4</w:t>
      </w:r>
      <w:r w:rsidR="00756E9A" w:rsidRPr="008357DD">
        <w:rPr>
          <w:noProof/>
        </w:rPr>
        <w:t>8</w:t>
      </w:r>
      <w:r w:rsidR="003C4252" w:rsidRPr="008357DD">
        <w:rPr>
          <w:noProof/>
        </w:rPr>
        <w:t>)</w:t>
      </w:r>
      <w:r w:rsidRPr="008357DD">
        <w:t xml:space="preserve">. </w:t>
      </w:r>
      <w:bookmarkStart w:id="14" w:name="_Hlk46217512"/>
      <w:r w:rsidRPr="008357DD">
        <w:t xml:space="preserve">While not equivalent with formal diagnoses, these </w:t>
      </w:r>
      <w:r w:rsidR="00263C59" w:rsidRPr="008357DD">
        <w:t xml:space="preserve">broadly </w:t>
      </w:r>
      <w:r w:rsidRPr="008357DD">
        <w:t xml:space="preserve">align with the </w:t>
      </w:r>
      <w:r w:rsidR="00A0126C" w:rsidRPr="008357DD">
        <w:t>diagnostic categories of t</w:t>
      </w:r>
      <w:r w:rsidRPr="008357DD">
        <w:t xml:space="preserve">he </w:t>
      </w:r>
      <w:r w:rsidRPr="008357DD">
        <w:lastRenderedPageBreak/>
        <w:t>ICD</w:t>
      </w:r>
      <w:r w:rsidR="0080127F" w:rsidRPr="008357DD">
        <w:t>-</w:t>
      </w:r>
      <w:r w:rsidRPr="008357DD">
        <w:t xml:space="preserve">11 for pediatric populations </w:t>
      </w:r>
      <w:r w:rsidR="003C4252" w:rsidRPr="008357DD">
        <w:rPr>
          <w:noProof/>
        </w:rPr>
        <w:t>(</w:t>
      </w:r>
      <w:r w:rsidR="00756E9A" w:rsidRPr="008357DD">
        <w:rPr>
          <w:noProof/>
        </w:rPr>
        <w:t>49</w:t>
      </w:r>
      <w:r w:rsidR="003C4252" w:rsidRPr="001E4DF2">
        <w:rPr>
          <w:noProof/>
        </w:rPr>
        <w:t>)</w:t>
      </w:r>
      <w:r w:rsidRPr="001E4DF2">
        <w:t xml:space="preserve">. </w:t>
      </w:r>
      <w:bookmarkEnd w:id="14"/>
      <w:r w:rsidR="00124674" w:rsidRPr="008357DD">
        <w:t>ICHOM standards are available for recording symptom d</w:t>
      </w:r>
      <w:r w:rsidRPr="008357DD">
        <w:t xml:space="preserve">uration and prior service use (table </w:t>
      </w:r>
      <w:r w:rsidR="00FC70E9" w:rsidRPr="008357DD">
        <w:t>2</w:t>
      </w:r>
      <w:r w:rsidRPr="008357DD">
        <w:t>).</w:t>
      </w:r>
    </w:p>
    <w:p w14:paraId="5D44C7A7" w14:textId="5A4E6117" w:rsidR="00C962F4" w:rsidRPr="008357DD" w:rsidRDefault="00C962F4" w:rsidP="008C1934">
      <w:pPr>
        <w:rPr>
          <w:lang w:eastAsia="en-GB"/>
        </w:rPr>
      </w:pPr>
      <w:r w:rsidRPr="008357DD">
        <w:rPr>
          <w:rStyle w:val="Heading3Char"/>
        </w:rPr>
        <w:t xml:space="preserve">Complexity </w:t>
      </w:r>
      <w:r w:rsidR="00004F5B" w:rsidRPr="008357DD">
        <w:rPr>
          <w:rStyle w:val="Heading3Char"/>
        </w:rPr>
        <w:t>f</w:t>
      </w:r>
      <w:r w:rsidRPr="008357DD">
        <w:rPr>
          <w:rStyle w:val="Heading3Char"/>
        </w:rPr>
        <w:t>actors.</w:t>
      </w:r>
      <w:r w:rsidRPr="008357DD">
        <w:t xml:space="preserve"> </w:t>
      </w:r>
      <w:r w:rsidR="004807A2" w:rsidRPr="008357DD">
        <w:rPr>
          <w:lang w:eastAsia="en-GB"/>
        </w:rPr>
        <w:t>Research</w:t>
      </w:r>
      <w:r w:rsidRPr="008357DD">
        <w:rPr>
          <w:lang w:eastAsia="en-GB"/>
        </w:rPr>
        <w:t xml:space="preserve"> suggest</w:t>
      </w:r>
      <w:r w:rsidR="004807A2" w:rsidRPr="008357DD">
        <w:rPr>
          <w:lang w:eastAsia="en-GB"/>
        </w:rPr>
        <w:t>s</w:t>
      </w:r>
      <w:r w:rsidRPr="008357DD">
        <w:rPr>
          <w:lang w:eastAsia="en-GB"/>
        </w:rPr>
        <w:t xml:space="preserve"> that parental mental health influence</w:t>
      </w:r>
      <w:r w:rsidR="004807A2" w:rsidRPr="008357DD">
        <w:rPr>
          <w:lang w:eastAsia="en-GB"/>
        </w:rPr>
        <w:t>s</w:t>
      </w:r>
      <w:r w:rsidRPr="008357DD">
        <w:rPr>
          <w:lang w:eastAsia="en-GB"/>
        </w:rPr>
        <w:t xml:space="preserve"> treatment response in CYP</w:t>
      </w:r>
      <w:r w:rsidR="00E857D4" w:rsidRPr="008357DD">
        <w:rPr>
          <w:lang w:eastAsia="en-GB"/>
        </w:rPr>
        <w:t xml:space="preserve"> with anxiet</w:t>
      </w:r>
      <w:r w:rsidR="004B46E2" w:rsidRPr="008357DD">
        <w:rPr>
          <w:lang w:eastAsia="en-GB"/>
        </w:rPr>
        <w:t>y</w:t>
      </w:r>
      <w:r w:rsidR="00FD1376" w:rsidRPr="008357DD">
        <w:rPr>
          <w:lang w:eastAsia="en-GB"/>
        </w:rPr>
        <w:t xml:space="preserve">, </w:t>
      </w:r>
      <w:r w:rsidR="00E42216" w:rsidRPr="008357DD">
        <w:rPr>
          <w:lang w:eastAsia="en-GB"/>
        </w:rPr>
        <w:t xml:space="preserve">and </w:t>
      </w:r>
      <w:r w:rsidR="00FD1376" w:rsidRPr="008357DD">
        <w:rPr>
          <w:lang w:eastAsia="en-GB"/>
        </w:rPr>
        <w:t>depression</w:t>
      </w:r>
      <w:r w:rsidR="00052333" w:rsidRPr="008357DD">
        <w:rPr>
          <w:lang w:eastAsia="en-GB"/>
        </w:rPr>
        <w:t xml:space="preserve"> </w:t>
      </w:r>
      <w:r w:rsidR="001A745E" w:rsidRPr="008357DD">
        <w:rPr>
          <w:noProof/>
          <w:lang w:eastAsia="en-GB"/>
        </w:rPr>
        <w:t>(4</w:t>
      </w:r>
      <w:r w:rsidR="00756E9A" w:rsidRPr="008357DD">
        <w:rPr>
          <w:noProof/>
          <w:lang w:eastAsia="en-GB"/>
        </w:rPr>
        <w:t>3</w:t>
      </w:r>
      <w:r w:rsidR="001A745E" w:rsidRPr="001E4DF2">
        <w:rPr>
          <w:noProof/>
          <w:lang w:eastAsia="en-GB"/>
        </w:rPr>
        <w:t>,</w:t>
      </w:r>
      <w:r w:rsidR="000A7C91" w:rsidRPr="008357DD">
        <w:rPr>
          <w:noProof/>
          <w:lang w:eastAsia="en-GB"/>
        </w:rPr>
        <w:t>5</w:t>
      </w:r>
      <w:r w:rsidR="00756E9A" w:rsidRPr="008357DD">
        <w:rPr>
          <w:noProof/>
          <w:lang w:eastAsia="en-GB"/>
        </w:rPr>
        <w:t>0</w:t>
      </w:r>
      <w:r w:rsidR="0093095A" w:rsidRPr="008357DD">
        <w:rPr>
          <w:noProof/>
          <w:lang w:eastAsia="en-GB"/>
        </w:rPr>
        <w:t>-</w:t>
      </w:r>
      <w:r w:rsidR="001A745E" w:rsidRPr="008357DD">
        <w:rPr>
          <w:noProof/>
          <w:lang w:eastAsia="en-GB"/>
        </w:rPr>
        <w:t>5</w:t>
      </w:r>
      <w:r w:rsidR="00756E9A" w:rsidRPr="008357DD">
        <w:rPr>
          <w:noProof/>
          <w:lang w:eastAsia="en-GB"/>
        </w:rPr>
        <w:t>2</w:t>
      </w:r>
      <w:r w:rsidR="001A745E" w:rsidRPr="008357DD">
        <w:rPr>
          <w:noProof/>
          <w:lang w:eastAsia="en-GB"/>
        </w:rPr>
        <w:t xml:space="preserve">; </w:t>
      </w:r>
      <w:r w:rsidR="00202470">
        <w:rPr>
          <w:noProof/>
          <w:lang w:eastAsia="en-GB"/>
        </w:rPr>
        <w:t>Appendix</w:t>
      </w:r>
      <w:r w:rsidR="0093095A" w:rsidRPr="008357DD">
        <w:rPr>
          <w:noProof/>
          <w:lang w:eastAsia="en-GB"/>
        </w:rPr>
        <w:t xml:space="preserve"> p</w:t>
      </w:r>
      <w:r w:rsidR="00677D5D">
        <w:rPr>
          <w:noProof/>
          <w:lang w:eastAsia="en-GB"/>
        </w:rPr>
        <w:t>g</w:t>
      </w:r>
      <w:r w:rsidR="0093095A" w:rsidRPr="008357DD">
        <w:rPr>
          <w:noProof/>
          <w:lang w:eastAsia="en-GB"/>
        </w:rPr>
        <w:t>. 17-18</w:t>
      </w:r>
      <w:r w:rsidR="001A745E" w:rsidRPr="008357DD">
        <w:rPr>
          <w:noProof/>
          <w:lang w:eastAsia="en-GB"/>
        </w:rPr>
        <w:t>)</w:t>
      </w:r>
      <w:r w:rsidRPr="008357DD">
        <w:rPr>
          <w:lang w:eastAsia="en-GB"/>
        </w:rPr>
        <w:t xml:space="preserve">. </w:t>
      </w:r>
      <w:r w:rsidR="003D04FE" w:rsidRPr="008357DD">
        <w:rPr>
          <w:lang w:eastAsia="en-GB"/>
        </w:rPr>
        <w:t xml:space="preserve">The Set includes two </w:t>
      </w:r>
      <w:r w:rsidR="002C1567" w:rsidRPr="008357DD">
        <w:rPr>
          <w:lang w:eastAsia="en-GB"/>
        </w:rPr>
        <w:t>questions about</w:t>
      </w:r>
      <w:r w:rsidR="003D04FE" w:rsidRPr="008357DD">
        <w:rPr>
          <w:lang w:eastAsia="en-GB"/>
        </w:rPr>
        <w:t xml:space="preserve"> </w:t>
      </w:r>
      <w:r w:rsidR="002C1567" w:rsidRPr="008357DD">
        <w:rPr>
          <w:lang w:eastAsia="en-GB"/>
        </w:rPr>
        <w:t>experience</w:t>
      </w:r>
      <w:r w:rsidR="003D04FE" w:rsidRPr="008357DD">
        <w:rPr>
          <w:lang w:eastAsia="en-GB"/>
        </w:rPr>
        <w:t>s</w:t>
      </w:r>
      <w:r w:rsidR="002C1567" w:rsidRPr="008357DD">
        <w:rPr>
          <w:lang w:eastAsia="en-GB"/>
        </w:rPr>
        <w:t xml:space="preserve"> with or diagnos</w:t>
      </w:r>
      <w:r w:rsidR="003D04FE" w:rsidRPr="008357DD">
        <w:rPr>
          <w:lang w:eastAsia="en-GB"/>
        </w:rPr>
        <w:t>e</w:t>
      </w:r>
      <w:r w:rsidR="002C1567" w:rsidRPr="008357DD">
        <w:rPr>
          <w:lang w:eastAsia="en-GB"/>
        </w:rPr>
        <w:t xml:space="preserve">s of </w:t>
      </w:r>
      <w:r w:rsidR="00C13C64" w:rsidRPr="008357DD">
        <w:rPr>
          <w:lang w:eastAsia="en-GB"/>
        </w:rPr>
        <w:t xml:space="preserve">mental health problems in the immediate family, and prior use of mental health services by the reporting parent. </w:t>
      </w:r>
      <w:r w:rsidRPr="008357DD">
        <w:rPr>
          <w:lang w:eastAsia="en-GB"/>
        </w:rPr>
        <w:t xml:space="preserve">While </w:t>
      </w:r>
      <w:r w:rsidR="00040274" w:rsidRPr="008357DD">
        <w:rPr>
          <w:lang w:eastAsia="en-GB"/>
        </w:rPr>
        <w:t>evidence</w:t>
      </w:r>
      <w:r w:rsidRPr="008357DD">
        <w:rPr>
          <w:lang w:eastAsia="en-GB"/>
        </w:rPr>
        <w:t xml:space="preserve"> is limited and conflicting on the influence of adverse experiences</w:t>
      </w:r>
      <w:r w:rsidR="00632D23" w:rsidRPr="008357DD">
        <w:rPr>
          <w:lang w:eastAsia="en-GB"/>
        </w:rPr>
        <w:t xml:space="preserve"> (e.g., childhood maltreatment) </w:t>
      </w:r>
      <w:r w:rsidR="00C82F14" w:rsidRPr="008357DD">
        <w:rPr>
          <w:lang w:eastAsia="en-GB"/>
        </w:rPr>
        <w:t>on treatment response</w:t>
      </w:r>
      <w:r w:rsidR="001E4F4F" w:rsidRPr="008357DD">
        <w:rPr>
          <w:lang w:eastAsia="en-GB"/>
        </w:rPr>
        <w:t xml:space="preserve"> </w:t>
      </w:r>
      <w:r w:rsidR="003C4252" w:rsidRPr="008357DD">
        <w:rPr>
          <w:noProof/>
          <w:lang w:eastAsia="en-GB"/>
        </w:rPr>
        <w:t>(4</w:t>
      </w:r>
      <w:r w:rsidR="00756E9A" w:rsidRPr="008357DD">
        <w:rPr>
          <w:noProof/>
          <w:lang w:eastAsia="en-GB"/>
        </w:rPr>
        <w:t>3</w:t>
      </w:r>
      <w:r w:rsidR="003C4252" w:rsidRPr="008357DD">
        <w:rPr>
          <w:noProof/>
          <w:lang w:eastAsia="en-GB"/>
        </w:rPr>
        <w:t>,5</w:t>
      </w:r>
      <w:r w:rsidR="00756E9A" w:rsidRPr="008357DD">
        <w:rPr>
          <w:noProof/>
          <w:lang w:eastAsia="en-GB"/>
        </w:rPr>
        <w:t>3</w:t>
      </w:r>
      <w:r w:rsidR="003C4252" w:rsidRPr="001E4DF2">
        <w:rPr>
          <w:noProof/>
          <w:lang w:eastAsia="en-GB"/>
        </w:rPr>
        <w:t>)</w:t>
      </w:r>
      <w:r w:rsidRPr="001E4DF2">
        <w:rPr>
          <w:lang w:eastAsia="en-GB"/>
        </w:rPr>
        <w:t xml:space="preserve">, </w:t>
      </w:r>
      <w:r w:rsidR="00632D23" w:rsidRPr="008357DD">
        <w:rPr>
          <w:lang w:eastAsia="en-GB"/>
        </w:rPr>
        <w:t xml:space="preserve">the </w:t>
      </w:r>
      <w:r w:rsidR="00E42216" w:rsidRPr="008357DD">
        <w:rPr>
          <w:lang w:eastAsia="en-GB"/>
        </w:rPr>
        <w:t>Set</w:t>
      </w:r>
      <w:r w:rsidR="00632D23" w:rsidRPr="008357DD">
        <w:rPr>
          <w:lang w:eastAsia="en-GB"/>
        </w:rPr>
        <w:t xml:space="preserve"> </w:t>
      </w:r>
      <w:r w:rsidR="00D225D6" w:rsidRPr="008357DD">
        <w:rPr>
          <w:lang w:eastAsia="en-GB"/>
        </w:rPr>
        <w:t>recommends recording</w:t>
      </w:r>
      <w:r w:rsidR="00D8001A" w:rsidRPr="008357DD">
        <w:rPr>
          <w:lang w:eastAsia="en-GB"/>
        </w:rPr>
        <w:t xml:space="preserve"> </w:t>
      </w:r>
      <w:r w:rsidRPr="008357DD">
        <w:rPr>
          <w:lang w:eastAsia="en-GB"/>
        </w:rPr>
        <w:t xml:space="preserve">trauma history </w:t>
      </w:r>
      <w:r w:rsidR="00632D23" w:rsidRPr="008357DD">
        <w:rPr>
          <w:lang w:eastAsia="en-GB"/>
        </w:rPr>
        <w:t xml:space="preserve">via </w:t>
      </w:r>
      <w:r w:rsidR="00040274" w:rsidRPr="008357DD">
        <w:rPr>
          <w:lang w:eastAsia="en-GB"/>
        </w:rPr>
        <w:t xml:space="preserve">the </w:t>
      </w:r>
      <w:r w:rsidRPr="008357DD">
        <w:rPr>
          <w:i/>
          <w:iCs/>
          <w:lang w:eastAsia="en-GB"/>
        </w:rPr>
        <w:t>Selected Complexity Factors</w:t>
      </w:r>
      <w:r w:rsidRPr="008357DD">
        <w:rPr>
          <w:lang w:eastAsia="en-GB"/>
        </w:rPr>
        <w:t xml:space="preserve"> </w:t>
      </w:r>
      <w:r w:rsidR="00914882" w:rsidRPr="008357DD">
        <w:rPr>
          <w:lang w:eastAsia="en-GB"/>
        </w:rPr>
        <w:t>section</w:t>
      </w:r>
      <w:r w:rsidRPr="008357DD">
        <w:rPr>
          <w:lang w:eastAsia="en-GB"/>
        </w:rPr>
        <w:t xml:space="preserve"> of the Current View Tool</w:t>
      </w:r>
      <w:r w:rsidR="00402323" w:rsidRPr="008357DD">
        <w:rPr>
          <w:lang w:eastAsia="en-GB"/>
        </w:rPr>
        <w:t>. Here, clinicians can indicate a</w:t>
      </w:r>
      <w:r w:rsidR="00BB5465" w:rsidRPr="008357DD">
        <w:rPr>
          <w:lang w:eastAsia="en-GB"/>
        </w:rPr>
        <w:t xml:space="preserve"> range of adverse experiences</w:t>
      </w:r>
      <w:r w:rsidR="00402323" w:rsidRPr="008357DD">
        <w:rPr>
          <w:lang w:eastAsia="en-GB"/>
        </w:rPr>
        <w:t xml:space="preserve"> based </w:t>
      </w:r>
      <w:r w:rsidRPr="008357DD">
        <w:rPr>
          <w:lang w:eastAsia="en-GB"/>
        </w:rPr>
        <w:t>on</w:t>
      </w:r>
      <w:r w:rsidR="00E74417" w:rsidRPr="008357DD">
        <w:rPr>
          <w:lang w:eastAsia="en-GB"/>
        </w:rPr>
        <w:t xml:space="preserve"> available</w:t>
      </w:r>
      <w:r w:rsidRPr="008357DD">
        <w:rPr>
          <w:lang w:eastAsia="en-GB"/>
        </w:rPr>
        <w:t xml:space="preserve"> information. </w:t>
      </w:r>
      <w:r w:rsidR="00402323" w:rsidRPr="008357DD">
        <w:rPr>
          <w:lang w:eastAsia="en-GB"/>
        </w:rPr>
        <w:t>P</w:t>
      </w:r>
      <w:r w:rsidR="00DB1AFB" w:rsidRPr="008357DD">
        <w:rPr>
          <w:lang w:eastAsia="en-GB"/>
        </w:rPr>
        <w:t xml:space="preserve">roblems at school or work </w:t>
      </w:r>
      <w:r w:rsidR="00762E18" w:rsidRPr="008357DD">
        <w:rPr>
          <w:lang w:eastAsia="en-GB"/>
        </w:rPr>
        <w:t xml:space="preserve">should be tracked as </w:t>
      </w:r>
      <w:r w:rsidR="00DB1AFB" w:rsidRPr="008357DD">
        <w:rPr>
          <w:lang w:eastAsia="en-GB"/>
        </w:rPr>
        <w:t xml:space="preserve">additional complexity factors, </w:t>
      </w:r>
      <w:r w:rsidR="00C74C45" w:rsidRPr="008357DD">
        <w:rPr>
          <w:lang w:eastAsia="en-GB"/>
        </w:rPr>
        <w:t>using the</w:t>
      </w:r>
      <w:r w:rsidR="00DB1AFB" w:rsidRPr="008357DD">
        <w:rPr>
          <w:lang w:eastAsia="en-GB"/>
        </w:rPr>
        <w:t xml:space="preserve"> </w:t>
      </w:r>
      <w:r w:rsidR="00EA530A" w:rsidRPr="008357DD">
        <w:rPr>
          <w:lang w:eastAsia="en-GB"/>
        </w:rPr>
        <w:t xml:space="preserve">Current View </w:t>
      </w:r>
      <w:r w:rsidR="00E74417" w:rsidRPr="008357DD">
        <w:rPr>
          <w:lang w:eastAsia="en-GB"/>
        </w:rPr>
        <w:t>T</w:t>
      </w:r>
      <w:r w:rsidR="00EA530A" w:rsidRPr="008357DD">
        <w:rPr>
          <w:lang w:eastAsia="en-GB"/>
        </w:rPr>
        <w:t>ool.</w:t>
      </w:r>
    </w:p>
    <w:p w14:paraId="5D8D994A" w14:textId="05E6AE1C" w:rsidR="00C962F4" w:rsidRPr="008357DD" w:rsidRDefault="00C962F4" w:rsidP="008C1934">
      <w:pPr>
        <w:rPr>
          <w:rStyle w:val="Heading3Char"/>
        </w:rPr>
      </w:pPr>
      <w:r w:rsidRPr="008357DD">
        <w:rPr>
          <w:rStyle w:val="Heading3Char"/>
        </w:rPr>
        <w:t xml:space="preserve">Intervention Factors. </w:t>
      </w:r>
      <w:r w:rsidR="00452CC0" w:rsidRPr="008357DD">
        <w:rPr>
          <w:rStyle w:val="Heading3Char"/>
          <w:b w:val="0"/>
          <w:bCs w:val="0"/>
        </w:rPr>
        <w:t>Service</w:t>
      </w:r>
      <w:r w:rsidR="00C43EE1" w:rsidRPr="008357DD">
        <w:rPr>
          <w:rStyle w:val="Heading3Char"/>
          <w:b w:val="0"/>
          <w:bCs w:val="0"/>
        </w:rPr>
        <w:t>s</w:t>
      </w:r>
      <w:r w:rsidR="00452CC0" w:rsidRPr="008357DD">
        <w:rPr>
          <w:rStyle w:val="Heading3Char"/>
          <w:b w:val="0"/>
          <w:bCs w:val="0"/>
        </w:rPr>
        <w:t xml:space="preserve"> should collect i</w:t>
      </w:r>
      <w:r w:rsidRPr="008357DD">
        <w:rPr>
          <w:rStyle w:val="Heading3Char"/>
          <w:b w:val="0"/>
          <w:bCs w:val="0"/>
        </w:rPr>
        <w:t>nformation about the intervention approach, including</w:t>
      </w:r>
      <w:r w:rsidR="00452CC0" w:rsidRPr="008357DD">
        <w:rPr>
          <w:rStyle w:val="Heading3Char"/>
          <w:b w:val="0"/>
          <w:bCs w:val="0"/>
        </w:rPr>
        <w:t xml:space="preserve"> </w:t>
      </w:r>
      <w:r w:rsidRPr="008357DD">
        <w:rPr>
          <w:rStyle w:val="Heading3Char"/>
          <w:b w:val="0"/>
          <w:bCs w:val="0"/>
        </w:rPr>
        <w:t>intervention focus</w:t>
      </w:r>
      <w:r w:rsidR="00762E18" w:rsidRPr="008357DD">
        <w:rPr>
          <w:rStyle w:val="Heading3Char"/>
          <w:b w:val="0"/>
          <w:bCs w:val="0"/>
        </w:rPr>
        <w:t xml:space="preserve"> (i.e., in terms of who is actively involved)</w:t>
      </w:r>
      <w:r w:rsidRPr="008357DD">
        <w:rPr>
          <w:rStyle w:val="Heading3Char"/>
          <w:b w:val="0"/>
          <w:bCs w:val="0"/>
        </w:rPr>
        <w:t>, treatment modality</w:t>
      </w:r>
      <w:r w:rsidR="00881A3F" w:rsidRPr="008357DD">
        <w:rPr>
          <w:rStyle w:val="Heading3Char"/>
          <w:b w:val="0"/>
          <w:bCs w:val="0"/>
        </w:rPr>
        <w:t xml:space="preserve"> and prescribed medication</w:t>
      </w:r>
      <w:r w:rsidR="00762E18" w:rsidRPr="008357DD">
        <w:rPr>
          <w:rStyle w:val="Heading3Char"/>
          <w:b w:val="0"/>
          <w:bCs w:val="0"/>
        </w:rPr>
        <w:t xml:space="preserve"> (</w:t>
      </w:r>
      <w:r w:rsidR="00C80AE2" w:rsidRPr="008357DD">
        <w:rPr>
          <w:rStyle w:val="Heading3Char"/>
          <w:b w:val="0"/>
          <w:bCs w:val="0"/>
        </w:rPr>
        <w:t xml:space="preserve">i.e., </w:t>
      </w:r>
      <w:r w:rsidR="00762E18" w:rsidRPr="008357DD">
        <w:rPr>
          <w:rStyle w:val="Heading3Char"/>
          <w:b w:val="0"/>
          <w:bCs w:val="0"/>
        </w:rPr>
        <w:t>as per list</w:t>
      </w:r>
      <w:r w:rsidR="00881A3F" w:rsidRPr="008357DD">
        <w:rPr>
          <w:rStyle w:val="Heading3Char"/>
          <w:b w:val="0"/>
          <w:bCs w:val="0"/>
        </w:rPr>
        <w:t>s</w:t>
      </w:r>
      <w:r w:rsidR="00762E18" w:rsidRPr="008357DD">
        <w:rPr>
          <w:rStyle w:val="Heading3Char"/>
          <w:b w:val="0"/>
          <w:bCs w:val="0"/>
        </w:rPr>
        <w:t xml:space="preserve"> of options compiled by the Working Group and </w:t>
      </w:r>
      <w:r w:rsidR="00881A3F" w:rsidRPr="008357DD">
        <w:rPr>
          <w:rStyle w:val="Heading3Char"/>
          <w:b w:val="0"/>
          <w:bCs w:val="0"/>
        </w:rPr>
        <w:t>through</w:t>
      </w:r>
      <w:r w:rsidR="00762E18" w:rsidRPr="008357DD">
        <w:rPr>
          <w:rStyle w:val="Heading3Char"/>
          <w:b w:val="0"/>
          <w:bCs w:val="0"/>
        </w:rPr>
        <w:t xml:space="preserve"> Open Review</w:t>
      </w:r>
      <w:r w:rsidR="00881A3F" w:rsidRPr="008357DD">
        <w:rPr>
          <w:rStyle w:val="Heading3Char"/>
          <w:b w:val="0"/>
          <w:bCs w:val="0"/>
        </w:rPr>
        <w:t xml:space="preserve"> feedback</w:t>
      </w:r>
      <w:r w:rsidR="00762E18" w:rsidRPr="008357DD">
        <w:rPr>
          <w:rStyle w:val="Heading3Char"/>
          <w:b w:val="0"/>
          <w:bCs w:val="0"/>
        </w:rPr>
        <w:t>)</w:t>
      </w:r>
      <w:r w:rsidRPr="008357DD">
        <w:rPr>
          <w:rStyle w:val="Heading3Char"/>
          <w:b w:val="0"/>
          <w:bCs w:val="0"/>
        </w:rPr>
        <w:t>, and intervention setting</w:t>
      </w:r>
      <w:r w:rsidR="00C80AE2" w:rsidRPr="008357DD">
        <w:rPr>
          <w:rStyle w:val="Heading3Char"/>
          <w:b w:val="0"/>
          <w:bCs w:val="0"/>
        </w:rPr>
        <w:t xml:space="preserve"> (i.e., in terms of whether or not treatment was delivered via a digital platform or inpatient care, as opposed to other settings). </w:t>
      </w:r>
      <w:r w:rsidR="00067664" w:rsidRPr="008357DD">
        <w:rPr>
          <w:rStyle w:val="Heading3Char"/>
          <w:b w:val="0"/>
          <w:bCs w:val="0"/>
        </w:rPr>
        <w:t>S</w:t>
      </w:r>
      <w:r w:rsidR="008520DA" w:rsidRPr="008357DD">
        <w:rPr>
          <w:rStyle w:val="Heading3Char"/>
          <w:b w:val="0"/>
          <w:bCs w:val="0"/>
        </w:rPr>
        <w:t xml:space="preserve">ervices may wish to </w:t>
      </w:r>
      <w:r w:rsidR="00E74417" w:rsidRPr="008357DD">
        <w:rPr>
          <w:rStyle w:val="Heading3Char"/>
          <w:b w:val="0"/>
          <w:bCs w:val="0"/>
        </w:rPr>
        <w:t xml:space="preserve">record </w:t>
      </w:r>
      <w:r w:rsidR="005A1ECE" w:rsidRPr="008357DD">
        <w:rPr>
          <w:rStyle w:val="Heading3Char"/>
          <w:b w:val="0"/>
          <w:bCs w:val="0"/>
        </w:rPr>
        <w:t>additional</w:t>
      </w:r>
      <w:r w:rsidR="008520DA" w:rsidRPr="008357DD">
        <w:rPr>
          <w:rStyle w:val="Heading3Char"/>
          <w:b w:val="0"/>
          <w:bCs w:val="0"/>
        </w:rPr>
        <w:t xml:space="preserve"> </w:t>
      </w:r>
      <w:r w:rsidR="00E74417" w:rsidRPr="008357DD">
        <w:rPr>
          <w:rStyle w:val="Heading3Char"/>
          <w:b w:val="0"/>
          <w:bCs w:val="0"/>
        </w:rPr>
        <w:t xml:space="preserve">detail </w:t>
      </w:r>
      <w:r w:rsidR="008520DA" w:rsidRPr="008357DD">
        <w:rPr>
          <w:rStyle w:val="Heading3Char"/>
          <w:b w:val="0"/>
          <w:bCs w:val="0"/>
        </w:rPr>
        <w:t>on intervention characteristics to</w:t>
      </w:r>
      <w:r w:rsidR="00481272" w:rsidRPr="008357DD">
        <w:rPr>
          <w:rStyle w:val="Heading3Char"/>
          <w:b w:val="0"/>
          <w:bCs w:val="0"/>
        </w:rPr>
        <w:t xml:space="preserve"> meet</w:t>
      </w:r>
      <w:r w:rsidR="008520DA" w:rsidRPr="008357DD">
        <w:rPr>
          <w:rStyle w:val="Heading3Char"/>
          <w:b w:val="0"/>
          <w:bCs w:val="0"/>
        </w:rPr>
        <w:t xml:space="preserve"> local, regional, or national </w:t>
      </w:r>
      <w:r w:rsidR="00481272" w:rsidRPr="008357DD">
        <w:rPr>
          <w:rStyle w:val="Heading3Char"/>
          <w:b w:val="0"/>
          <w:bCs w:val="0"/>
        </w:rPr>
        <w:t>information needs</w:t>
      </w:r>
      <w:r w:rsidR="00067664" w:rsidRPr="008357DD">
        <w:rPr>
          <w:rStyle w:val="Heading3Char"/>
          <w:b w:val="0"/>
          <w:bCs w:val="0"/>
        </w:rPr>
        <w:t>.</w:t>
      </w:r>
    </w:p>
    <w:p w14:paraId="1C3E8700" w14:textId="4A68E007" w:rsidR="00EF36E5" w:rsidRPr="008357DD" w:rsidRDefault="00066F77" w:rsidP="008C1934">
      <w:pPr>
        <w:pStyle w:val="Heading2"/>
      </w:pPr>
      <w:r w:rsidRPr="008357DD">
        <w:t>Measurement Time Points</w:t>
      </w:r>
    </w:p>
    <w:p w14:paraId="25CDB9AF" w14:textId="73A2D8BD" w:rsidR="00EF36E5" w:rsidRPr="008357DD" w:rsidRDefault="00EF36E5" w:rsidP="008C1934">
      <w:r w:rsidRPr="008357DD">
        <w:t xml:space="preserve">Timelines for measurement are highly practical considerations, likely to vary substantially across services. The Standard Set makes a minimum recommendation (figure 2) for measuring outcomes over the full cycle of care, but encourages services to </w:t>
      </w:r>
      <w:r w:rsidR="00034670" w:rsidRPr="008357DD">
        <w:t>do so</w:t>
      </w:r>
      <w:r w:rsidRPr="008357DD">
        <w:t xml:space="preserve"> as often as is clinically helpful to inform decision-making, or to align with local or national data collection. The</w:t>
      </w:r>
      <w:r w:rsidR="00C74C45" w:rsidRPr="008357DD">
        <w:t xml:space="preserve"> suggested</w:t>
      </w:r>
      <w:r w:rsidRPr="008357DD">
        <w:t xml:space="preserve"> timepoints were widely endorsed by over 80% of practitioners and researchers participating in the Open Review. </w:t>
      </w:r>
    </w:p>
    <w:p w14:paraId="60592844" w14:textId="0BEFA2D3" w:rsidR="00EF36E5" w:rsidRPr="008357DD" w:rsidRDefault="00BB3FEF" w:rsidP="008C1934">
      <w:r w:rsidRPr="008357DD">
        <w:t xml:space="preserve">As per Working Group consensus, </w:t>
      </w:r>
      <w:r w:rsidR="00EF36E5" w:rsidRPr="008357DD">
        <w:t>all case</w:t>
      </w:r>
      <w:r w:rsidR="0047267A" w:rsidRPr="008357DD">
        <w:t>-</w:t>
      </w:r>
      <w:r w:rsidR="00EF36E5" w:rsidRPr="008357DD">
        <w:t>mix factors</w:t>
      </w:r>
      <w:r w:rsidRPr="008357DD">
        <w:t xml:space="preserve"> and</w:t>
      </w:r>
      <w:r w:rsidR="00EF36E5" w:rsidRPr="008357DD">
        <w:t xml:space="preserve"> outcomes </w:t>
      </w:r>
      <w:r w:rsidRPr="008357DD">
        <w:t xml:space="preserve">should </w:t>
      </w:r>
      <w:r w:rsidR="00EF36E5" w:rsidRPr="008357DD">
        <w:t xml:space="preserve">be measured </w:t>
      </w:r>
      <w:r w:rsidR="003D06B6" w:rsidRPr="008357DD">
        <w:t>a</w:t>
      </w:r>
      <w:r w:rsidR="00034670" w:rsidRPr="008357DD">
        <w:t>t</w:t>
      </w:r>
      <w:r w:rsidR="003D06B6" w:rsidRPr="008357DD">
        <w:t xml:space="preserve"> assessment</w:t>
      </w:r>
      <w:r w:rsidR="00EF36E5" w:rsidRPr="008357DD">
        <w:t xml:space="preserve"> or intake</w:t>
      </w:r>
      <w:r w:rsidR="00F0712D" w:rsidRPr="008357DD">
        <w:t xml:space="preserve"> (i.e., baseline)</w:t>
      </w:r>
      <w:r w:rsidR="00EF36E5" w:rsidRPr="008357DD">
        <w:t>, or as near to these time points as possible</w:t>
      </w:r>
      <w:r w:rsidR="003D06B6" w:rsidRPr="008357DD">
        <w:t xml:space="preserve"> where </w:t>
      </w:r>
      <w:r w:rsidR="00EF36E5" w:rsidRPr="008357DD">
        <w:t xml:space="preserve">services wish to </w:t>
      </w:r>
      <w:r w:rsidR="003D06B6" w:rsidRPr="008357DD">
        <w:t xml:space="preserve">collect </w:t>
      </w:r>
      <w:r w:rsidR="00EF36E5" w:rsidRPr="008357DD">
        <w:t>data at second contact</w:t>
      </w:r>
      <w:r w:rsidR="008F735B" w:rsidRPr="008357DD">
        <w:t xml:space="preserve"> (figure 2)</w:t>
      </w:r>
      <w:r w:rsidR="00EF36E5" w:rsidRPr="008357DD">
        <w:t xml:space="preserve">. </w:t>
      </w:r>
      <w:r w:rsidR="003D06B6" w:rsidRPr="008357DD">
        <w:t xml:space="preserve">As a guideline, </w:t>
      </w:r>
      <w:r w:rsidR="00EF36E5" w:rsidRPr="008357DD">
        <w:t>all outcome measures</w:t>
      </w:r>
      <w:r w:rsidR="003D06B6" w:rsidRPr="008357DD">
        <w:t xml:space="preserve"> should be administered</w:t>
      </w:r>
      <w:r w:rsidR="00EF36E5" w:rsidRPr="008357DD">
        <w:t xml:space="preserve"> every three months</w:t>
      </w:r>
      <w:r w:rsidR="000D4ABA" w:rsidRPr="008357DD">
        <w:t xml:space="preserve"> </w:t>
      </w:r>
      <w:r w:rsidR="00EF36E5" w:rsidRPr="008357DD">
        <w:t>following baseline. Services are encouraged to consider more frequent intervals, including session-by-session measurement</w:t>
      </w:r>
      <w:r w:rsidR="00F0712D" w:rsidRPr="008357DD">
        <w:t>, to</w:t>
      </w:r>
      <w:r w:rsidR="00EF36E5" w:rsidRPr="008357DD">
        <w:t xml:space="preserve"> help embed monitoring into the clinical process</w:t>
      </w:r>
      <w:r w:rsidR="001E4F4F" w:rsidRPr="008357DD">
        <w:t xml:space="preserve"> </w:t>
      </w:r>
      <w:r w:rsidR="003C4252" w:rsidRPr="008357DD">
        <w:rPr>
          <w:noProof/>
        </w:rPr>
        <w:t>(5</w:t>
      </w:r>
      <w:r w:rsidR="00756E9A" w:rsidRPr="008357DD">
        <w:rPr>
          <w:noProof/>
        </w:rPr>
        <w:t>4</w:t>
      </w:r>
      <w:r w:rsidR="003C4252" w:rsidRPr="008357DD">
        <w:rPr>
          <w:noProof/>
        </w:rPr>
        <w:t>)</w:t>
      </w:r>
      <w:r w:rsidR="001E4F4F" w:rsidRPr="008357DD">
        <w:t xml:space="preserve">, </w:t>
      </w:r>
      <w:r w:rsidR="00EF36E5" w:rsidRPr="008357DD">
        <w:t xml:space="preserve">and reduce the risk of missing data due to drop-out prior to follow-up. </w:t>
      </w:r>
      <w:r w:rsidR="000D4ABA" w:rsidRPr="008357DD">
        <w:t>T</w:t>
      </w:r>
      <w:r w:rsidR="00EF36E5" w:rsidRPr="008357DD">
        <w:t>he group recognises that effective session-by-session measurement requires well established systems</w:t>
      </w:r>
      <w:r w:rsidR="000D4ABA" w:rsidRPr="008357DD">
        <w:t xml:space="preserve"> </w:t>
      </w:r>
      <w:r w:rsidR="00EF36E5" w:rsidRPr="008357DD">
        <w:t xml:space="preserve">and can otherwise be perceived </w:t>
      </w:r>
      <w:r w:rsidR="004E6D02" w:rsidRPr="008357DD">
        <w:t>as unduly burdensome</w:t>
      </w:r>
      <w:r w:rsidR="00EF36E5" w:rsidRPr="008357DD">
        <w:t xml:space="preserve">. </w:t>
      </w:r>
    </w:p>
    <w:p w14:paraId="1F2A1924" w14:textId="387322CA" w:rsidR="00635C6F" w:rsidRPr="008357DD" w:rsidRDefault="00CF772E" w:rsidP="008C1934">
      <w:r w:rsidRPr="008357DD">
        <w:t>To mark the end of an active treatment cycle, o</w:t>
      </w:r>
      <w:r w:rsidR="000338C7" w:rsidRPr="008357DD">
        <w:t>utcomes should be measured</w:t>
      </w:r>
      <w:r w:rsidR="00172287" w:rsidRPr="008357DD">
        <w:t xml:space="preserve"> upon transition into </w:t>
      </w:r>
      <w:r w:rsidR="000338C7" w:rsidRPr="008357DD">
        <w:t>adult services</w:t>
      </w:r>
      <w:r w:rsidR="00260FA3" w:rsidRPr="008357DD">
        <w:t xml:space="preserve">, </w:t>
      </w:r>
      <w:r w:rsidR="00541C36" w:rsidRPr="008357DD">
        <w:t xml:space="preserve">into </w:t>
      </w:r>
      <w:r w:rsidR="000338C7" w:rsidRPr="008357DD">
        <w:t xml:space="preserve">a different level of </w:t>
      </w:r>
      <w:r w:rsidR="00172287" w:rsidRPr="008357DD">
        <w:t>care</w:t>
      </w:r>
      <w:r w:rsidR="000338C7" w:rsidRPr="008357DD">
        <w:t xml:space="preserve"> (e.g., from outpatient to inpatient care)</w:t>
      </w:r>
      <w:r w:rsidR="00541C36" w:rsidRPr="008357DD">
        <w:t>, or upon completion when no further activities are planned</w:t>
      </w:r>
      <w:r w:rsidR="008F735B" w:rsidRPr="008357DD">
        <w:t xml:space="preserve"> (figure 2)</w:t>
      </w:r>
      <w:r w:rsidR="00541C36" w:rsidRPr="008357DD">
        <w:t xml:space="preserve">. </w:t>
      </w:r>
      <w:r w:rsidRPr="008357DD">
        <w:t>O</w:t>
      </w:r>
      <w:r w:rsidR="000338C7" w:rsidRPr="008357DD">
        <w:t xml:space="preserve">utcomes should </w:t>
      </w:r>
      <w:r w:rsidRPr="008357DD">
        <w:t xml:space="preserve">then </w:t>
      </w:r>
      <w:r w:rsidR="000338C7" w:rsidRPr="008357DD">
        <w:t xml:space="preserve">be measured </w:t>
      </w:r>
      <w:r w:rsidRPr="008357DD">
        <w:t xml:space="preserve">again </w:t>
      </w:r>
      <w:r w:rsidR="00D2494B" w:rsidRPr="008357DD">
        <w:t>at</w:t>
      </w:r>
      <w:r w:rsidR="00260FA3" w:rsidRPr="008357DD">
        <w:t xml:space="preserve"> a</w:t>
      </w:r>
      <w:r w:rsidR="00CB4FF4" w:rsidRPr="008357DD">
        <w:t xml:space="preserve"> follow-up assessment</w:t>
      </w:r>
      <w:r w:rsidR="00FF4755" w:rsidRPr="008357DD">
        <w:t>,</w:t>
      </w:r>
      <w:r w:rsidR="00CB4FF4" w:rsidRPr="008357DD">
        <w:t xml:space="preserve"> one year </w:t>
      </w:r>
      <w:r w:rsidR="00282C13" w:rsidRPr="008357DD">
        <w:t xml:space="preserve">after </w:t>
      </w:r>
      <w:r w:rsidR="00881255" w:rsidRPr="008357DD">
        <w:t>baseline</w:t>
      </w:r>
      <w:r w:rsidR="000338C7" w:rsidRPr="008357DD">
        <w:t>.</w:t>
      </w:r>
      <w:r w:rsidR="00635C6F" w:rsidRPr="008357DD">
        <w:t xml:space="preserve"> </w:t>
      </w:r>
      <w:r w:rsidR="00FD059C" w:rsidRPr="008357DD">
        <w:t xml:space="preserve">This </w:t>
      </w:r>
      <w:r w:rsidR="00FD059C" w:rsidRPr="008357DD">
        <w:lastRenderedPageBreak/>
        <w:t>c</w:t>
      </w:r>
      <w:r w:rsidR="00260FA3" w:rsidRPr="008357DD">
        <w:t>an</w:t>
      </w:r>
      <w:r w:rsidR="00FD059C" w:rsidRPr="008357DD">
        <w:t xml:space="preserve"> enable important insights into longer-term outcomes, but </w:t>
      </w:r>
      <w:r w:rsidR="00620632" w:rsidRPr="008357DD">
        <w:t xml:space="preserve">may require </w:t>
      </w:r>
      <w:r w:rsidR="002E268B" w:rsidRPr="008357DD">
        <w:t>significant adjustment</w:t>
      </w:r>
      <w:r w:rsidR="00620632" w:rsidRPr="008357DD">
        <w:t>s</w:t>
      </w:r>
      <w:r w:rsidR="002E268B" w:rsidRPr="008357DD">
        <w:t xml:space="preserve"> to the way services are</w:t>
      </w:r>
      <w:r w:rsidR="00A41CF7" w:rsidRPr="008357DD">
        <w:t xml:space="preserve"> currently</w:t>
      </w:r>
      <w:r w:rsidR="002E268B" w:rsidRPr="008357DD">
        <w:t xml:space="preserve"> organised and </w:t>
      </w:r>
      <w:r w:rsidR="00620632" w:rsidRPr="008357DD">
        <w:t>funded</w:t>
      </w:r>
      <w:r w:rsidR="00FD059C" w:rsidRPr="008357DD">
        <w:t>.</w:t>
      </w:r>
      <w:r w:rsidR="00620632" w:rsidRPr="008357DD">
        <w:t xml:space="preserve"> </w:t>
      </w:r>
    </w:p>
    <w:p w14:paraId="3221939A" w14:textId="5E902596" w:rsidR="00AD0447" w:rsidRPr="008357DD" w:rsidRDefault="00AD0447" w:rsidP="008C1934">
      <w:r w:rsidRPr="008357DD">
        <w:rPr>
          <w:highlight w:val="yellow"/>
        </w:rPr>
        <w:t>Insert Figure 2.</w:t>
      </w:r>
    </w:p>
    <w:p w14:paraId="25B9248D" w14:textId="241C6F92" w:rsidR="001B5A75" w:rsidRPr="008357DD" w:rsidRDefault="001B5A75" w:rsidP="008C1934">
      <w:pPr>
        <w:pStyle w:val="Heading2"/>
      </w:pPr>
      <w:r w:rsidRPr="008357DD">
        <w:t>Strengths of the Standard Set</w:t>
      </w:r>
    </w:p>
    <w:p w14:paraId="4BF74489" w14:textId="4836040F" w:rsidR="00344A03" w:rsidRPr="008357DD" w:rsidRDefault="0007773E" w:rsidP="008C1934">
      <w:r w:rsidRPr="008357DD">
        <w:t xml:space="preserve">Of the Working Group’s 27 voting members, four were young adults between the ages of 18 and 24, </w:t>
      </w:r>
      <w:r w:rsidR="008B3E1C" w:rsidRPr="008357DD">
        <w:t xml:space="preserve">and two were parents. </w:t>
      </w:r>
      <w:r w:rsidR="000958A8" w:rsidRPr="008357DD">
        <w:t xml:space="preserve">This was the first ICHOM Working Group to involve young people with lived experience of service use – rather than just their parents – as full Working Group members at all stages of the consensus-building process, including the teleconferences, Delphi exercise, and subsequent surveys. </w:t>
      </w:r>
      <w:r w:rsidR="00482A8F" w:rsidRPr="008357DD">
        <w:t xml:space="preserve">While limited familiarity with outcome measurement has been described as a barrier to the meaningful participation </w:t>
      </w:r>
      <w:r w:rsidR="00C26354" w:rsidRPr="008357DD">
        <w:t xml:space="preserve">of lived-experience experts </w:t>
      </w:r>
      <w:r w:rsidR="003C4252" w:rsidRPr="008357DD">
        <w:rPr>
          <w:noProof/>
        </w:rPr>
        <w:t>(5</w:t>
      </w:r>
      <w:r w:rsidR="00756E9A" w:rsidRPr="008357DD">
        <w:rPr>
          <w:noProof/>
        </w:rPr>
        <w:t>5</w:t>
      </w:r>
      <w:r w:rsidR="003C4252" w:rsidRPr="008357DD">
        <w:rPr>
          <w:noProof/>
        </w:rPr>
        <w:t>)</w:t>
      </w:r>
      <w:r w:rsidR="00482A8F" w:rsidRPr="008357DD">
        <w:t xml:space="preserve">, </w:t>
      </w:r>
      <w:r w:rsidR="000B27F8" w:rsidRPr="008357DD">
        <w:t xml:space="preserve">the </w:t>
      </w:r>
      <w:r w:rsidR="00482A8F" w:rsidRPr="008357DD">
        <w:t xml:space="preserve">teleconferences </w:t>
      </w:r>
      <w:r w:rsidR="00344A03" w:rsidRPr="008357DD">
        <w:t xml:space="preserve">helped foster </w:t>
      </w:r>
      <w:r w:rsidR="00482A8F" w:rsidRPr="008357DD">
        <w:t xml:space="preserve">a common understanding </w:t>
      </w:r>
      <w:r w:rsidR="00344A03" w:rsidRPr="008357DD">
        <w:t>within the</w:t>
      </w:r>
      <w:r w:rsidR="00482A8F" w:rsidRPr="008357DD">
        <w:t xml:space="preserve"> </w:t>
      </w:r>
      <w:r w:rsidR="001C2386" w:rsidRPr="008357DD">
        <w:t>group</w:t>
      </w:r>
      <w:r w:rsidR="00482A8F" w:rsidRPr="008357DD">
        <w:t xml:space="preserve"> ahead of each round of voting. </w:t>
      </w:r>
      <w:r w:rsidR="00344A03" w:rsidRPr="008357DD">
        <w:t>T</w:t>
      </w:r>
      <w:r w:rsidR="00482A8F" w:rsidRPr="008357DD">
        <w:t xml:space="preserve">he </w:t>
      </w:r>
      <w:r w:rsidR="000B27F8" w:rsidRPr="008357DD">
        <w:t>W</w:t>
      </w:r>
      <w:r w:rsidR="00482A8F" w:rsidRPr="008357DD">
        <w:t xml:space="preserve">orking </w:t>
      </w:r>
      <w:r w:rsidR="000B27F8" w:rsidRPr="008357DD">
        <w:t>G</w:t>
      </w:r>
      <w:r w:rsidR="00482A8F" w:rsidRPr="008357DD">
        <w:t xml:space="preserve">roup chair (MW) solicited input from all </w:t>
      </w:r>
      <w:r w:rsidR="00344A03" w:rsidRPr="008357DD">
        <w:t xml:space="preserve">call </w:t>
      </w:r>
      <w:r w:rsidR="00482A8F" w:rsidRPr="008357DD">
        <w:t>participants</w:t>
      </w:r>
      <w:r w:rsidR="00277540" w:rsidRPr="008357DD">
        <w:t xml:space="preserve"> </w:t>
      </w:r>
      <w:r w:rsidR="00482A8F" w:rsidRPr="008357DD">
        <w:t>on all key discussion</w:t>
      </w:r>
      <w:r w:rsidR="00450E83" w:rsidRPr="008357DD">
        <w:t xml:space="preserve"> points</w:t>
      </w:r>
      <w:r w:rsidR="00482A8F" w:rsidRPr="008357DD">
        <w:t>, to promote equal participation and manage power imbalances.</w:t>
      </w:r>
      <w:r w:rsidR="00A772D9" w:rsidRPr="008357DD">
        <w:t xml:space="preserve"> </w:t>
      </w:r>
      <w:r w:rsidR="008B3E1C" w:rsidRPr="008357DD">
        <w:t xml:space="preserve">Additional feedback from </w:t>
      </w:r>
      <w:r w:rsidR="000B27F8" w:rsidRPr="008357DD">
        <w:t xml:space="preserve">a wider group of </w:t>
      </w:r>
      <w:r w:rsidR="008B3E1C" w:rsidRPr="008357DD">
        <w:t xml:space="preserve">young people and parents was sought </w:t>
      </w:r>
      <w:r w:rsidR="003967FF" w:rsidRPr="008357DD">
        <w:t xml:space="preserve">towards the end of the consensus-building process, </w:t>
      </w:r>
      <w:r w:rsidR="008B3E1C" w:rsidRPr="008357DD">
        <w:t>through the Open Review</w:t>
      </w:r>
      <w:r w:rsidR="003967FF" w:rsidRPr="008357DD">
        <w:t xml:space="preserve">. </w:t>
      </w:r>
      <w:r w:rsidR="00605FD6" w:rsidRPr="008357DD">
        <w:t xml:space="preserve">Variable </w:t>
      </w:r>
      <w:r w:rsidR="00A558AF" w:rsidRPr="008357DD">
        <w:t xml:space="preserve">requirements for ethical review </w:t>
      </w:r>
      <w:r w:rsidR="003967FF" w:rsidRPr="008357DD">
        <w:t xml:space="preserve">for this stakeholder group </w:t>
      </w:r>
      <w:r w:rsidR="00801210" w:rsidRPr="008357DD">
        <w:t>meant that th</w:t>
      </w:r>
      <w:r w:rsidR="003967FF" w:rsidRPr="008357DD">
        <w:t>e</w:t>
      </w:r>
      <w:r w:rsidR="00801210" w:rsidRPr="008357DD">
        <w:t xml:space="preserve"> survey </w:t>
      </w:r>
      <w:r w:rsidR="003967FF" w:rsidRPr="008357DD">
        <w:t>was only accessible</w:t>
      </w:r>
      <w:r w:rsidR="00801210" w:rsidRPr="008357DD">
        <w:t xml:space="preserve"> in </w:t>
      </w:r>
      <w:r w:rsidR="001441A1" w:rsidRPr="008357DD">
        <w:t xml:space="preserve">three </w:t>
      </w:r>
      <w:r w:rsidR="00801210" w:rsidRPr="008357DD">
        <w:t>countries</w:t>
      </w:r>
      <w:r w:rsidR="007A2ED1" w:rsidRPr="008357DD">
        <w:t xml:space="preserve">, </w:t>
      </w:r>
      <w:r w:rsidR="00801210" w:rsidRPr="008357DD">
        <w:t xml:space="preserve">while the professional survey was </w:t>
      </w:r>
      <w:r w:rsidR="003967FF" w:rsidRPr="008357DD">
        <w:t>accessible</w:t>
      </w:r>
      <w:r w:rsidR="00801210" w:rsidRPr="008357DD">
        <w:t xml:space="preserve"> globally</w:t>
      </w:r>
      <w:r w:rsidR="007A2ED1" w:rsidRPr="008357DD">
        <w:t xml:space="preserve">. This </w:t>
      </w:r>
      <w:r w:rsidR="00801210" w:rsidRPr="008357DD">
        <w:t>le</w:t>
      </w:r>
      <w:r w:rsidR="007A2ED1" w:rsidRPr="008357DD">
        <w:t>d</w:t>
      </w:r>
      <w:r w:rsidR="00801210" w:rsidRPr="008357DD">
        <w:t xml:space="preserve"> to a comparatively small sample</w:t>
      </w:r>
      <w:r w:rsidR="007A2ED1" w:rsidRPr="008357DD">
        <w:t xml:space="preserve"> of Open Review participants with lived experience</w:t>
      </w:r>
      <w:r w:rsidR="00801210" w:rsidRPr="008357DD">
        <w:t xml:space="preserve"> (</w:t>
      </w:r>
      <w:r w:rsidR="00801210" w:rsidRPr="008357DD">
        <w:rPr>
          <w:i/>
          <w:iCs/>
        </w:rPr>
        <w:t>N</w:t>
      </w:r>
      <w:r w:rsidR="00801210" w:rsidRPr="008357DD">
        <w:t xml:space="preserve"> = 24). </w:t>
      </w:r>
      <w:r w:rsidR="007A2ED1" w:rsidRPr="008357DD">
        <w:t xml:space="preserve">However, separate analysis and review of feedback from the professional and lived-experience surveys meant that the Working Group was able to consider </w:t>
      </w:r>
      <w:r w:rsidR="0039012E" w:rsidRPr="008357DD">
        <w:t xml:space="preserve">each </w:t>
      </w:r>
      <w:r w:rsidR="000B27F8" w:rsidRPr="008357DD">
        <w:t xml:space="preserve">feedback </w:t>
      </w:r>
      <w:r w:rsidR="007A2ED1" w:rsidRPr="008357DD">
        <w:t xml:space="preserve">stream </w:t>
      </w:r>
      <w:r w:rsidR="0039012E" w:rsidRPr="008357DD">
        <w:t>in its</w:t>
      </w:r>
      <w:r w:rsidR="000F59A5" w:rsidRPr="008357DD">
        <w:t xml:space="preserve"> own right.</w:t>
      </w:r>
    </w:p>
    <w:p w14:paraId="0D723153" w14:textId="7B8CDBC6" w:rsidR="00932F42" w:rsidRPr="008357DD" w:rsidRDefault="00932F42" w:rsidP="008C1934">
      <w:r w:rsidRPr="008357DD">
        <w:t xml:space="preserve">The </w:t>
      </w:r>
      <w:r w:rsidR="00344A03" w:rsidRPr="008357DD">
        <w:t>W</w:t>
      </w:r>
      <w:r w:rsidRPr="008357DD">
        <w:t xml:space="preserve">orking </w:t>
      </w:r>
      <w:r w:rsidR="00344A03" w:rsidRPr="008357DD">
        <w:t>G</w:t>
      </w:r>
      <w:r w:rsidRPr="008357DD">
        <w:t>roup included experts from low- and middle-income countries (LMIC</w:t>
      </w:r>
      <w:r w:rsidR="00B47C78" w:rsidRPr="008357DD">
        <w:t xml:space="preserve">, </w:t>
      </w:r>
      <w:r w:rsidR="00202470">
        <w:t>Appendix</w:t>
      </w:r>
      <w:r w:rsidR="00FE6119" w:rsidRPr="008357DD">
        <w:t xml:space="preserve"> p</w:t>
      </w:r>
      <w:r w:rsidR="00677D5D">
        <w:t>g</w:t>
      </w:r>
      <w:r w:rsidR="00FE6119" w:rsidRPr="008357DD">
        <w:t>.</w:t>
      </w:r>
      <w:r w:rsidR="00677D5D">
        <w:t xml:space="preserve"> </w:t>
      </w:r>
      <w:r w:rsidR="00FE6119" w:rsidRPr="008357DD">
        <w:t>3</w:t>
      </w:r>
      <w:r w:rsidRPr="008357DD">
        <w:t xml:space="preserve">), who have rarely been represented by similar initiatives to date </w:t>
      </w:r>
      <w:r w:rsidR="003C4252" w:rsidRPr="008357DD">
        <w:rPr>
          <w:noProof/>
        </w:rPr>
        <w:t>(5</w:t>
      </w:r>
      <w:r w:rsidR="00756E9A" w:rsidRPr="008357DD">
        <w:rPr>
          <w:noProof/>
        </w:rPr>
        <w:t>6</w:t>
      </w:r>
      <w:r w:rsidR="003C4252" w:rsidRPr="001E4DF2">
        <w:rPr>
          <w:noProof/>
        </w:rPr>
        <w:t>)</w:t>
      </w:r>
      <w:r w:rsidRPr="001E4DF2">
        <w:t xml:space="preserve">. While 90% of </w:t>
      </w:r>
      <w:r w:rsidR="00C26354" w:rsidRPr="008357DD">
        <w:t>CYP</w:t>
      </w:r>
      <w:r w:rsidRPr="008357DD">
        <w:t xml:space="preserve"> live in LMICs, 90% of research on youth mental health currently comes from high-income countries </w:t>
      </w:r>
      <w:r w:rsidR="003C4252" w:rsidRPr="008357DD">
        <w:rPr>
          <w:noProof/>
        </w:rPr>
        <w:t>(5</w:t>
      </w:r>
      <w:r w:rsidR="00756E9A" w:rsidRPr="008357DD">
        <w:rPr>
          <w:noProof/>
        </w:rPr>
        <w:t>7</w:t>
      </w:r>
      <w:r w:rsidR="003C4252" w:rsidRPr="001E4DF2">
        <w:rPr>
          <w:noProof/>
        </w:rPr>
        <w:t>)</w:t>
      </w:r>
      <w:r w:rsidRPr="001E4DF2">
        <w:t xml:space="preserve">. </w:t>
      </w:r>
      <w:r w:rsidR="00B47C78" w:rsidRPr="008357DD">
        <w:t>Experts from LMIC were also consulted through the Open Review (</w:t>
      </w:r>
      <w:r w:rsidR="00202470">
        <w:t xml:space="preserve">Appendix </w:t>
      </w:r>
      <w:r w:rsidR="00FE6119" w:rsidRPr="008357DD">
        <w:t>p</w:t>
      </w:r>
      <w:r w:rsidR="00677D5D">
        <w:t>g</w:t>
      </w:r>
      <w:r w:rsidR="00FE6119" w:rsidRPr="008357DD">
        <w:t>.</w:t>
      </w:r>
      <w:r w:rsidR="00677D5D">
        <w:t xml:space="preserve"> </w:t>
      </w:r>
      <w:r w:rsidR="00FE6119" w:rsidRPr="008357DD">
        <w:t>18</w:t>
      </w:r>
      <w:r w:rsidR="00B47C78" w:rsidRPr="008357DD">
        <w:t xml:space="preserve">). </w:t>
      </w:r>
      <w:r w:rsidRPr="008357DD">
        <w:t xml:space="preserve">A range of local needs, challenges, and cultural factors could thus be considered. </w:t>
      </w:r>
      <w:r w:rsidR="00344A03" w:rsidRPr="008357DD">
        <w:t xml:space="preserve">The high endorsement of the </w:t>
      </w:r>
      <w:r w:rsidR="00C63D00" w:rsidRPr="008357DD">
        <w:t xml:space="preserve">Standard </w:t>
      </w:r>
      <w:r w:rsidR="00344A03" w:rsidRPr="008357DD">
        <w:t>Set in the Open Review underscores its relevance and acceptability beyond the immediate Working Group.</w:t>
      </w:r>
    </w:p>
    <w:p w14:paraId="5F4D4654" w14:textId="77FCC7CD" w:rsidR="00461F16" w:rsidRPr="008357DD" w:rsidRDefault="00461F16" w:rsidP="008C1934">
      <w:pPr>
        <w:pStyle w:val="Heading2"/>
      </w:pPr>
      <w:r w:rsidRPr="008357DD">
        <w:t xml:space="preserve">Implementation </w:t>
      </w:r>
    </w:p>
    <w:p w14:paraId="7A00AA3D" w14:textId="629EFC89" w:rsidR="00852AA2" w:rsidRPr="008357DD" w:rsidRDefault="00F340F2" w:rsidP="008C1934">
      <w:r w:rsidRPr="008357DD">
        <w:t>W</w:t>
      </w:r>
      <w:r w:rsidR="004E7262" w:rsidRPr="008357DD">
        <w:t xml:space="preserve">orking </w:t>
      </w:r>
      <w:r w:rsidRPr="008357DD">
        <w:t>G</w:t>
      </w:r>
      <w:r w:rsidR="004E7262" w:rsidRPr="008357DD">
        <w:t xml:space="preserve">roup members </w:t>
      </w:r>
      <w:r w:rsidR="00F900FB" w:rsidRPr="008357DD">
        <w:t xml:space="preserve">will form a </w:t>
      </w:r>
      <w:r w:rsidR="00BB2897" w:rsidRPr="008357DD">
        <w:t xml:space="preserve">steering group </w:t>
      </w:r>
      <w:r w:rsidR="00F900FB" w:rsidRPr="008357DD">
        <w:t xml:space="preserve">to </w:t>
      </w:r>
      <w:r w:rsidR="00BB2897" w:rsidRPr="008357DD">
        <w:t>oversee</w:t>
      </w:r>
      <w:r w:rsidR="00F900FB" w:rsidRPr="008357DD">
        <w:t xml:space="preserve"> the Standard Set’s</w:t>
      </w:r>
      <w:r w:rsidR="00BB2897" w:rsidRPr="008357DD">
        <w:t xml:space="preserve"> implementation, and </w:t>
      </w:r>
      <w:r w:rsidR="00F900FB" w:rsidRPr="008357DD">
        <w:t xml:space="preserve">to </w:t>
      </w:r>
      <w:r w:rsidR="00BB2897" w:rsidRPr="008357DD">
        <w:t xml:space="preserve">review recommendations </w:t>
      </w:r>
      <w:r w:rsidR="004E7262" w:rsidRPr="008357DD">
        <w:t xml:space="preserve">in light of learning </w:t>
      </w:r>
      <w:r w:rsidR="00AF17D8" w:rsidRPr="008357DD">
        <w:t>from</w:t>
      </w:r>
      <w:r w:rsidR="004E7262" w:rsidRPr="008357DD">
        <w:t xml:space="preserve"> pilot initiatives </w:t>
      </w:r>
      <w:r w:rsidR="00894BB4" w:rsidRPr="008357DD">
        <w:t>and new</w:t>
      </w:r>
      <w:r w:rsidR="004E7262" w:rsidRPr="008357DD">
        <w:t xml:space="preserve"> developments in the field. </w:t>
      </w:r>
      <w:r w:rsidR="00461F16" w:rsidRPr="008357DD">
        <w:t>In health systems such as Australia, Canada, the Netherlands, the UK, or the US, the routine collection of outcome data is becoming increasingly embedded</w:t>
      </w:r>
      <w:r w:rsidR="00121595" w:rsidRPr="008357DD">
        <w:t xml:space="preserve"> </w:t>
      </w:r>
      <w:r w:rsidR="003C4252" w:rsidRPr="008357DD">
        <w:rPr>
          <w:noProof/>
        </w:rPr>
        <w:t>(5</w:t>
      </w:r>
      <w:r w:rsidR="00756E9A" w:rsidRPr="008357DD">
        <w:rPr>
          <w:noProof/>
        </w:rPr>
        <w:t>8</w:t>
      </w:r>
      <w:r w:rsidR="003C4252" w:rsidRPr="008357DD">
        <w:rPr>
          <w:noProof/>
        </w:rPr>
        <w:t>,</w:t>
      </w:r>
      <w:r w:rsidR="00756E9A" w:rsidRPr="008357DD">
        <w:rPr>
          <w:noProof/>
        </w:rPr>
        <w:t>59</w:t>
      </w:r>
      <w:r w:rsidR="003C4252" w:rsidRPr="008357DD">
        <w:rPr>
          <w:noProof/>
        </w:rPr>
        <w:t>)</w:t>
      </w:r>
      <w:r w:rsidR="006177C1" w:rsidRPr="008357DD">
        <w:t xml:space="preserve">, which </w:t>
      </w:r>
      <w:r w:rsidR="00461F16" w:rsidRPr="008357DD">
        <w:t>should facilitate the adoption of th</w:t>
      </w:r>
      <w:r w:rsidR="00B47C78" w:rsidRPr="008357DD">
        <w:t>e</w:t>
      </w:r>
      <w:r w:rsidR="00461F16" w:rsidRPr="008357DD">
        <w:t xml:space="preserve"> Standard Set, but can also cause issues of alignment w</w:t>
      </w:r>
      <w:r w:rsidR="0079466D" w:rsidRPr="008357DD">
        <w:t>ith existing</w:t>
      </w:r>
      <w:r w:rsidR="00461F16" w:rsidRPr="008357DD">
        <w:t xml:space="preserve"> local or national systems </w:t>
      </w:r>
      <w:r w:rsidR="0079466D" w:rsidRPr="008357DD">
        <w:rPr>
          <w:noProof/>
        </w:rPr>
        <w:t>(e.g., 6</w:t>
      </w:r>
      <w:r w:rsidR="00756E9A" w:rsidRPr="008357DD">
        <w:rPr>
          <w:noProof/>
        </w:rPr>
        <w:t>0</w:t>
      </w:r>
      <w:r w:rsidR="00DE0DDB" w:rsidRPr="008357DD">
        <w:rPr>
          <w:noProof/>
        </w:rPr>
        <w:t>,6</w:t>
      </w:r>
      <w:r w:rsidR="00756E9A" w:rsidRPr="008357DD">
        <w:rPr>
          <w:noProof/>
        </w:rPr>
        <w:t>1</w:t>
      </w:r>
      <w:r w:rsidR="0079466D" w:rsidRPr="008357DD">
        <w:rPr>
          <w:noProof/>
        </w:rPr>
        <w:t>)</w:t>
      </w:r>
      <w:r w:rsidR="00477A21" w:rsidRPr="001E4DF2">
        <w:t>.</w:t>
      </w:r>
      <w:r w:rsidR="008F1529" w:rsidRPr="001E4DF2">
        <w:t xml:space="preserve"> </w:t>
      </w:r>
      <w:r w:rsidR="00D66368" w:rsidRPr="008357DD">
        <w:t xml:space="preserve">As services </w:t>
      </w:r>
      <w:r w:rsidR="00C63D00" w:rsidRPr="008357DD">
        <w:t>adopt</w:t>
      </w:r>
      <w:r w:rsidR="00D66368" w:rsidRPr="008357DD">
        <w:t xml:space="preserve"> routine outcome monitoring, it is imperative that </w:t>
      </w:r>
      <w:r w:rsidR="00A1403C" w:rsidRPr="008357DD">
        <w:t>data is handled safely and securely, in accordance with relevant data protection frameworks, and that informed consent protocols are in place</w:t>
      </w:r>
      <w:r w:rsidR="0079466D" w:rsidRPr="008357DD">
        <w:t>.</w:t>
      </w:r>
    </w:p>
    <w:p w14:paraId="5A0CAFDE" w14:textId="10677E32" w:rsidR="00BF66C6" w:rsidRPr="008357DD" w:rsidRDefault="00B47C78" w:rsidP="008C1934">
      <w:r w:rsidRPr="001E4DF2">
        <w:lastRenderedPageBreak/>
        <w:t>This</w:t>
      </w:r>
      <w:r w:rsidR="004B155D" w:rsidRPr="008357DD">
        <w:t xml:space="preserve"> </w:t>
      </w:r>
      <w:r w:rsidR="006177C1" w:rsidRPr="008357DD">
        <w:t xml:space="preserve">Standard </w:t>
      </w:r>
      <w:r w:rsidR="004B155D" w:rsidRPr="008357DD">
        <w:t xml:space="preserve">Set was designed for clinical practice, and may or may not be suitable for </w:t>
      </w:r>
      <w:r w:rsidR="006177C1" w:rsidRPr="008357DD">
        <w:t xml:space="preserve">use in </w:t>
      </w:r>
      <w:r w:rsidR="004B155D" w:rsidRPr="008357DD">
        <w:t xml:space="preserve">clinical trials depending on </w:t>
      </w:r>
      <w:r w:rsidR="006177C1" w:rsidRPr="008357DD">
        <w:t xml:space="preserve">the </w:t>
      </w:r>
      <w:r w:rsidR="004B155D" w:rsidRPr="008357DD">
        <w:t>requirements and the type of intervention tested</w:t>
      </w:r>
      <w:r w:rsidR="006177C1" w:rsidRPr="008357DD">
        <w:t xml:space="preserve">. </w:t>
      </w:r>
      <w:r w:rsidR="003A5FE1" w:rsidRPr="008357DD">
        <w:t xml:space="preserve">Since work on this Standard Set has ended, the Wellcome Trust and the National Institute of Mental Health (NIMH) have recommend the RCADS-25 as an outcome measure for research with children and adolescents </w:t>
      </w:r>
      <w:r w:rsidR="00056660" w:rsidRPr="008357DD">
        <w:t>experiencing</w:t>
      </w:r>
      <w:r w:rsidR="003A5FE1" w:rsidRPr="008357DD">
        <w:t xml:space="preserve"> depression or anxiety, along with the PHQ-9</w:t>
      </w:r>
      <w:r w:rsidR="00811957" w:rsidRPr="008357DD">
        <w:t>,</w:t>
      </w:r>
      <w:r w:rsidR="003A5FE1" w:rsidRPr="008357DD">
        <w:t xml:space="preserve"> GAD-7</w:t>
      </w:r>
      <w:r w:rsidR="00811957" w:rsidRPr="008357DD">
        <w:t xml:space="preserve"> and WHODAS</w:t>
      </w:r>
      <w:r w:rsidR="003A5FE1" w:rsidRPr="008357DD">
        <w:t xml:space="preserve"> for older youth. </w:t>
      </w:r>
      <w:r w:rsidR="0020646C" w:rsidRPr="008357DD">
        <w:t>A</w:t>
      </w:r>
      <w:r w:rsidR="004B155D" w:rsidRPr="008357DD">
        <w:t xml:space="preserve"> </w:t>
      </w:r>
      <w:r w:rsidR="007D7400" w:rsidRPr="008357DD">
        <w:t xml:space="preserve">Standard Set </w:t>
      </w:r>
      <w:r w:rsidR="00E7570A" w:rsidRPr="008357DD">
        <w:t xml:space="preserve">specifically </w:t>
      </w:r>
      <w:r w:rsidR="007D7400" w:rsidRPr="008357DD">
        <w:t>for clinicial trials for adolescent depression is</w:t>
      </w:r>
      <w:r w:rsidR="00C91EA7" w:rsidRPr="008357DD">
        <w:t xml:space="preserve"> currently</w:t>
      </w:r>
      <w:r w:rsidR="007D7400" w:rsidRPr="008357DD">
        <w:t xml:space="preserve"> </w:t>
      </w:r>
      <w:r w:rsidR="00C91EA7" w:rsidRPr="008357DD">
        <w:t>under development</w:t>
      </w:r>
      <w:r w:rsidR="007D7400" w:rsidRPr="008357DD">
        <w:t xml:space="preserve"> at the Hospital for Sick Children in Toronto </w:t>
      </w:r>
      <w:r w:rsidR="00C03BC5" w:rsidRPr="008357DD">
        <w:rPr>
          <w:noProof/>
        </w:rPr>
        <w:t>(6</w:t>
      </w:r>
      <w:r w:rsidR="00756E9A" w:rsidRPr="008357DD">
        <w:rPr>
          <w:noProof/>
        </w:rPr>
        <w:t>2</w:t>
      </w:r>
      <w:r w:rsidR="00C03BC5" w:rsidRPr="008357DD">
        <w:rPr>
          <w:noProof/>
        </w:rPr>
        <w:t>)</w:t>
      </w:r>
      <w:r w:rsidR="00C03BC5" w:rsidRPr="008357DD">
        <w:t>.</w:t>
      </w:r>
      <w:r w:rsidR="007D7400" w:rsidRPr="008357DD">
        <w:t xml:space="preserve"> </w:t>
      </w:r>
      <w:r w:rsidR="00E81A9A" w:rsidRPr="008357DD">
        <w:t>T</w:t>
      </w:r>
      <w:r w:rsidR="00C05FA2" w:rsidRPr="008357DD">
        <w:t xml:space="preserve">he United Nations Children's Fund </w:t>
      </w:r>
      <w:r w:rsidR="00C03BC5" w:rsidRPr="008357DD">
        <w:rPr>
          <w:noProof/>
        </w:rPr>
        <w:t>(UNICEF; 6</w:t>
      </w:r>
      <w:r w:rsidR="00756E9A" w:rsidRPr="008357DD">
        <w:rPr>
          <w:noProof/>
        </w:rPr>
        <w:t>3</w:t>
      </w:r>
      <w:r w:rsidR="00C03BC5" w:rsidRPr="001E4DF2">
        <w:rPr>
          <w:noProof/>
        </w:rPr>
        <w:t>)</w:t>
      </w:r>
      <w:r w:rsidR="00E81A9A" w:rsidRPr="001E4DF2">
        <w:t xml:space="preserve"> is leading another complementary initiative </w:t>
      </w:r>
      <w:r w:rsidR="00F31984" w:rsidRPr="008357DD">
        <w:t>focusing</w:t>
      </w:r>
      <w:r w:rsidR="006312FD" w:rsidRPr="008357DD">
        <w:t xml:space="preserve"> on </w:t>
      </w:r>
      <w:r w:rsidR="004B155D" w:rsidRPr="008357DD">
        <w:t>measuring</w:t>
      </w:r>
      <w:r w:rsidR="00C05FA2" w:rsidRPr="008357DD">
        <w:t xml:space="preserve"> health outcomes for adolescents </w:t>
      </w:r>
      <w:r w:rsidR="00461F16" w:rsidRPr="008357DD">
        <w:t xml:space="preserve">with anxiety </w:t>
      </w:r>
      <w:r w:rsidR="0039372F" w:rsidRPr="008357DD">
        <w:t xml:space="preserve">or </w:t>
      </w:r>
      <w:r w:rsidR="00461F16" w:rsidRPr="008357DD">
        <w:t xml:space="preserve">depression in population surveys. </w:t>
      </w:r>
      <w:r w:rsidR="009E3267" w:rsidRPr="008357DD">
        <w:t xml:space="preserve">While there is a unique opportunity to encourage further harmonisation, a certain degree of divergence may persist in light of different priorities, processes, and methodologies (e.g., outcome measures for clinical trials do not need to be freely available). </w:t>
      </w:r>
      <w:r w:rsidR="00441A83" w:rsidRPr="008357DD">
        <w:t xml:space="preserve">The present work </w:t>
      </w:r>
      <w:r w:rsidR="00DE372E" w:rsidRPr="008357DD">
        <w:t xml:space="preserve">further </w:t>
      </w:r>
      <w:r w:rsidR="00441A83" w:rsidRPr="008357DD">
        <w:t xml:space="preserve">adds to existing </w:t>
      </w:r>
      <w:r w:rsidR="00DE372E" w:rsidRPr="008357DD">
        <w:t xml:space="preserve">review </w:t>
      </w:r>
      <w:r w:rsidR="00441A83" w:rsidRPr="008357DD">
        <w:t xml:space="preserve">efforts to identify meaningful, feasible, and acceptable outcome measures suitable for use </w:t>
      </w:r>
      <w:r w:rsidR="004B6097" w:rsidRPr="008357DD">
        <w:t xml:space="preserve">with CYP </w:t>
      </w:r>
      <w:r w:rsidR="00441A83" w:rsidRPr="008357DD">
        <w:t xml:space="preserve">in practice settings </w:t>
      </w:r>
      <w:r w:rsidR="00C03BC5" w:rsidRPr="008357DD">
        <w:rPr>
          <w:noProof/>
        </w:rPr>
        <w:t>(6</w:t>
      </w:r>
      <w:r w:rsidR="00756E9A" w:rsidRPr="008357DD">
        <w:rPr>
          <w:noProof/>
        </w:rPr>
        <w:t>4-</w:t>
      </w:r>
      <w:r w:rsidR="00C03BC5" w:rsidRPr="008357DD">
        <w:rPr>
          <w:noProof/>
        </w:rPr>
        <w:t>6</w:t>
      </w:r>
      <w:r w:rsidR="00756E9A" w:rsidRPr="008357DD">
        <w:rPr>
          <w:noProof/>
        </w:rPr>
        <w:t>8</w:t>
      </w:r>
      <w:r w:rsidR="00C03BC5" w:rsidRPr="008357DD">
        <w:rPr>
          <w:noProof/>
        </w:rPr>
        <w:t>)</w:t>
      </w:r>
      <w:r w:rsidR="00441A83" w:rsidRPr="008357DD">
        <w:t>.</w:t>
      </w:r>
      <w:r w:rsidR="00E356F4" w:rsidRPr="008357DD">
        <w:t xml:space="preserve"> </w:t>
      </w:r>
      <w:r w:rsidR="002766AC" w:rsidRPr="008357DD">
        <w:t xml:space="preserve">The steering group will </w:t>
      </w:r>
      <w:r w:rsidR="007C6193" w:rsidRPr="008357DD">
        <w:t>consider</w:t>
      </w:r>
      <w:r w:rsidR="002766AC" w:rsidRPr="008357DD">
        <w:t xml:space="preserve"> opportunities for alignment with </w:t>
      </w:r>
      <w:r w:rsidR="00E81A9A" w:rsidRPr="008357DD">
        <w:t xml:space="preserve">complementary </w:t>
      </w:r>
      <w:r w:rsidR="002766AC" w:rsidRPr="008357DD">
        <w:t>initiatives</w:t>
      </w:r>
      <w:r w:rsidR="00BB62C1" w:rsidRPr="008357DD">
        <w:t xml:space="preserve">, as well as </w:t>
      </w:r>
      <w:r w:rsidR="00F31984" w:rsidRPr="008357DD">
        <w:t xml:space="preserve">with </w:t>
      </w:r>
      <w:r w:rsidR="00BB62C1" w:rsidRPr="008357DD">
        <w:t xml:space="preserve">existing ICHOM Standard Sets, </w:t>
      </w:r>
      <w:r w:rsidR="00850A20" w:rsidRPr="008357DD">
        <w:t xml:space="preserve">for example </w:t>
      </w:r>
      <w:r w:rsidR="00F31984" w:rsidRPr="008357DD">
        <w:t>with a view to</w:t>
      </w:r>
      <w:r w:rsidR="00850A20" w:rsidRPr="008357DD">
        <w:t xml:space="preserve"> linking scores obtained from the </w:t>
      </w:r>
      <w:r w:rsidR="00F31984" w:rsidRPr="008357DD">
        <w:t>CYP</w:t>
      </w:r>
      <w:r w:rsidR="00850A20" w:rsidRPr="008357DD">
        <w:t xml:space="preserve"> and adult Sets for the purpose of longitudinal analysis </w:t>
      </w:r>
      <w:r w:rsidR="00C03BC5" w:rsidRPr="008357DD">
        <w:rPr>
          <w:noProof/>
        </w:rPr>
        <w:t xml:space="preserve">(e.g., </w:t>
      </w:r>
      <w:r w:rsidR="00756E9A" w:rsidRPr="008357DD">
        <w:rPr>
          <w:noProof/>
        </w:rPr>
        <w:t>69</w:t>
      </w:r>
      <w:r w:rsidR="00C03BC5" w:rsidRPr="001E4DF2">
        <w:rPr>
          <w:noProof/>
        </w:rPr>
        <w:t>)</w:t>
      </w:r>
      <w:r w:rsidR="00736A3D" w:rsidRPr="001E4DF2">
        <w:t>.</w:t>
      </w:r>
      <w:r w:rsidR="001463F9" w:rsidRPr="008357DD">
        <w:t xml:space="preserve"> </w:t>
      </w:r>
    </w:p>
    <w:tbl>
      <w:tblPr>
        <w:tblStyle w:val="TableGrid"/>
        <w:tblW w:w="0" w:type="auto"/>
        <w:tblLook w:val="04A0" w:firstRow="1" w:lastRow="0" w:firstColumn="1" w:lastColumn="0" w:noHBand="0" w:noVBand="1"/>
      </w:tblPr>
      <w:tblGrid>
        <w:gridCol w:w="9350"/>
      </w:tblGrid>
      <w:tr w:rsidR="001C2386" w:rsidRPr="008357DD" w14:paraId="233FD285" w14:textId="77777777" w:rsidTr="001C2386">
        <w:tc>
          <w:tcPr>
            <w:tcW w:w="9350" w:type="dxa"/>
          </w:tcPr>
          <w:p w14:paraId="68DCAA81" w14:textId="327565C2" w:rsidR="001C2386" w:rsidRPr="008357DD" w:rsidRDefault="00066F77" w:rsidP="008C1934">
            <w:pPr>
              <w:rPr>
                <w:b/>
                <w:bCs/>
              </w:rPr>
            </w:pPr>
            <w:r w:rsidRPr="008357DD">
              <w:rPr>
                <w:b/>
                <w:bCs/>
              </w:rPr>
              <w:t xml:space="preserve">Panel 3. </w:t>
            </w:r>
            <w:r w:rsidR="001C2386" w:rsidRPr="008357DD">
              <w:rPr>
                <w:b/>
                <w:bCs/>
              </w:rPr>
              <w:t>How to Access</w:t>
            </w:r>
            <w:r w:rsidR="008C1934" w:rsidRPr="008357DD">
              <w:rPr>
                <w:b/>
                <w:bCs/>
              </w:rPr>
              <w:t xml:space="preserve"> the</w:t>
            </w:r>
            <w:r w:rsidR="001C2386" w:rsidRPr="008357DD">
              <w:rPr>
                <w:b/>
                <w:bCs/>
              </w:rPr>
              <w:t xml:space="preserve"> Standard Set Resources</w:t>
            </w:r>
          </w:p>
          <w:p w14:paraId="20818108" w14:textId="0CFE9AA0" w:rsidR="00A75907" w:rsidRPr="008357DD" w:rsidRDefault="00651073" w:rsidP="00C2261C">
            <w:bookmarkStart w:id="15" w:name="_Hlk43719899"/>
            <w:r w:rsidRPr="008357DD">
              <w:t xml:space="preserve">A </w:t>
            </w:r>
            <w:r w:rsidR="00A75907" w:rsidRPr="008357DD">
              <w:t xml:space="preserve">Standard Set </w:t>
            </w:r>
            <w:r w:rsidR="001C2386" w:rsidRPr="008357DD">
              <w:t>reference guide</w:t>
            </w:r>
            <w:r w:rsidR="00A75907" w:rsidRPr="008357DD">
              <w:t>, flyer, and data dictionar</w:t>
            </w:r>
            <w:r w:rsidRPr="008357DD">
              <w:t>y</w:t>
            </w:r>
            <w:r w:rsidR="00A75907" w:rsidRPr="008357DD">
              <w:t xml:space="preserve"> </w:t>
            </w:r>
            <w:r w:rsidRPr="008357DD">
              <w:t xml:space="preserve">are available free of charge and </w:t>
            </w:r>
            <w:r w:rsidR="00A75907" w:rsidRPr="008357DD">
              <w:t>can be accessed via ICHOM Connect (www.connect.ichom.org).</w:t>
            </w:r>
            <w:r w:rsidR="001C2386" w:rsidRPr="008357DD">
              <w:t xml:space="preserve"> </w:t>
            </w:r>
            <w:r w:rsidR="00A75907" w:rsidRPr="008357DD">
              <w:t>The</w:t>
            </w:r>
            <w:r w:rsidRPr="008357DD">
              <w:t xml:space="preserve"> reference guide</w:t>
            </w:r>
            <w:r w:rsidR="00A75907" w:rsidRPr="008357DD">
              <w:t xml:space="preserve"> </w:t>
            </w:r>
            <w:r w:rsidR="001C2386" w:rsidRPr="008357DD">
              <w:t>define</w:t>
            </w:r>
            <w:r w:rsidRPr="008357DD">
              <w:t>s</w:t>
            </w:r>
            <w:r w:rsidR="001C2386" w:rsidRPr="008357DD">
              <w:t xml:space="preserve"> each outcome domain, and describe</w:t>
            </w:r>
            <w:r w:rsidRPr="008357DD">
              <w:t>s</w:t>
            </w:r>
            <w:r w:rsidR="001C2386" w:rsidRPr="008357DD">
              <w:t xml:space="preserve"> the recommended measures, case</w:t>
            </w:r>
            <w:r w:rsidR="0047267A" w:rsidRPr="008357DD">
              <w:t>-</w:t>
            </w:r>
            <w:r w:rsidR="001C2386" w:rsidRPr="008357DD">
              <w:t xml:space="preserve">mix </w:t>
            </w:r>
            <w:r w:rsidR="00D53C69" w:rsidRPr="008357DD">
              <w:t>factors,</w:t>
            </w:r>
            <w:r w:rsidR="001C2386" w:rsidRPr="008357DD">
              <w:t xml:space="preserve"> and time points. </w:t>
            </w:r>
            <w:bookmarkEnd w:id="15"/>
          </w:p>
        </w:tc>
      </w:tr>
    </w:tbl>
    <w:p w14:paraId="5136BA15" w14:textId="38B7A8D8" w:rsidR="000338C7" w:rsidRPr="008357DD" w:rsidRDefault="000338C7" w:rsidP="008C1934">
      <w:pPr>
        <w:pStyle w:val="Heading2"/>
      </w:pPr>
      <w:r w:rsidRPr="008357DD">
        <w:t>Limitations</w:t>
      </w:r>
      <w:r w:rsidR="00FC03CF" w:rsidRPr="008357DD">
        <w:t xml:space="preserve"> </w:t>
      </w:r>
      <w:r w:rsidR="006F5487" w:rsidRPr="008357DD">
        <w:t xml:space="preserve">and </w:t>
      </w:r>
      <w:r w:rsidR="00066F77" w:rsidRPr="008357DD">
        <w:t>A</w:t>
      </w:r>
      <w:r w:rsidR="006F5487" w:rsidRPr="008357DD">
        <w:t xml:space="preserve">reas for </w:t>
      </w:r>
      <w:r w:rsidR="00066F77" w:rsidRPr="008357DD">
        <w:t>F</w:t>
      </w:r>
      <w:r w:rsidR="006F5487" w:rsidRPr="008357DD">
        <w:t xml:space="preserve">uture </w:t>
      </w:r>
      <w:r w:rsidR="00066F77" w:rsidRPr="008357DD">
        <w:t>R</w:t>
      </w:r>
      <w:r w:rsidR="006F5487" w:rsidRPr="008357DD">
        <w:t>esearch</w:t>
      </w:r>
    </w:p>
    <w:p w14:paraId="740622F2" w14:textId="20CE73FD" w:rsidR="00F54691" w:rsidRPr="008357DD" w:rsidRDefault="00B77A49" w:rsidP="00C71CA0">
      <w:r w:rsidRPr="008357DD">
        <w:t>T</w:t>
      </w:r>
      <w:r w:rsidR="00C71CA0" w:rsidRPr="008357DD">
        <w:t xml:space="preserve">he scope of this Standard Set </w:t>
      </w:r>
      <w:r w:rsidRPr="008357DD">
        <w:t xml:space="preserve">is limited </w:t>
      </w:r>
      <w:r w:rsidR="00C71CA0" w:rsidRPr="008357DD">
        <w:t>to anxiety, depression, OCD, and PTSD</w:t>
      </w:r>
      <w:r w:rsidR="004A1077" w:rsidRPr="008357DD">
        <w:t xml:space="preserve">, and the Working Group </w:t>
      </w:r>
      <w:r w:rsidR="00373F3F" w:rsidRPr="008357DD">
        <w:t xml:space="preserve">has sought to make a </w:t>
      </w:r>
      <w:r w:rsidR="00373F3F" w:rsidRPr="008357DD">
        <w:rPr>
          <w:i/>
          <w:iCs/>
        </w:rPr>
        <w:t>minimum</w:t>
      </w:r>
      <w:r w:rsidR="00373F3F" w:rsidRPr="008357DD">
        <w:t xml:space="preserve"> recommendation focusing on core outcomes for these target disorders</w:t>
      </w:r>
      <w:r w:rsidR="004A1077" w:rsidRPr="008357DD">
        <w:t>. Clinical judgement is warranted in tracking additional symptoms over time that are not covered by the recommended outcome measures.</w:t>
      </w:r>
      <w:r w:rsidR="00373F3F" w:rsidRPr="008357DD">
        <w:t xml:space="preserve"> </w:t>
      </w:r>
      <w:r w:rsidR="004A1077" w:rsidRPr="008357DD">
        <w:t>T</w:t>
      </w:r>
      <w:r w:rsidR="00373F3F" w:rsidRPr="008357DD">
        <w:t xml:space="preserve">wo complementary ICHOM Standard Sets are currently under development that will focus on psychotic disorders (covering bipolar disorder), </w:t>
      </w:r>
      <w:r w:rsidR="0087124A" w:rsidRPr="008357DD">
        <w:t xml:space="preserve">personality disorders, </w:t>
      </w:r>
      <w:r w:rsidR="00373F3F" w:rsidRPr="008357DD">
        <w:t xml:space="preserve">and substance use and addictive behaviour </w:t>
      </w:r>
      <w:r w:rsidR="0087124A" w:rsidRPr="008357DD">
        <w:t xml:space="preserve">disorders </w:t>
      </w:r>
      <w:r w:rsidR="00373F3F" w:rsidRPr="008357DD">
        <w:t>in young people and adults. Th</w:t>
      </w:r>
      <w:r w:rsidR="008415E6" w:rsidRPr="008357DD">
        <w:t>e present Standard</w:t>
      </w:r>
      <w:r w:rsidR="00373F3F" w:rsidRPr="008357DD">
        <w:t xml:space="preserve"> Set captures t</w:t>
      </w:r>
      <w:r w:rsidR="00C71CA0" w:rsidRPr="008357DD">
        <w:t xml:space="preserve">he presence of </w:t>
      </w:r>
      <w:r w:rsidR="008415E6" w:rsidRPr="008357DD">
        <w:t xml:space="preserve">these and other </w:t>
      </w:r>
      <w:r w:rsidR="00C71CA0" w:rsidRPr="008357DD">
        <w:t xml:space="preserve">comorbid presenting problems </w:t>
      </w:r>
      <w:r w:rsidR="004A1077" w:rsidRPr="008357DD">
        <w:t xml:space="preserve">at baseline </w:t>
      </w:r>
      <w:r w:rsidR="004A11B5" w:rsidRPr="008357DD">
        <w:t>via the</w:t>
      </w:r>
      <w:r w:rsidR="00A14683" w:rsidRPr="008357DD">
        <w:t xml:space="preserve"> Current View screening tool</w:t>
      </w:r>
      <w:r w:rsidR="004A1077" w:rsidRPr="008357DD">
        <w:t>,</w:t>
      </w:r>
      <w:r w:rsidR="004A11B5" w:rsidRPr="008357DD">
        <w:t xml:space="preserve"> for the purpose of case-mix adjustment.</w:t>
      </w:r>
      <w:r w:rsidR="00A14683" w:rsidRPr="008357DD">
        <w:t xml:space="preserve"> </w:t>
      </w:r>
    </w:p>
    <w:p w14:paraId="6201C164" w14:textId="3ED2002D" w:rsidR="00574D00" w:rsidRPr="008357DD" w:rsidRDefault="009C3405" w:rsidP="008C1934">
      <w:r w:rsidRPr="008357DD">
        <w:t xml:space="preserve">This Standard Set was developed by a relatively small </w:t>
      </w:r>
      <w:r w:rsidR="007C6193" w:rsidRPr="008357DD">
        <w:t>W</w:t>
      </w:r>
      <w:r w:rsidRPr="008357DD">
        <w:t xml:space="preserve">orking </w:t>
      </w:r>
      <w:r w:rsidR="007C6193" w:rsidRPr="008357DD">
        <w:t>G</w:t>
      </w:r>
      <w:r w:rsidRPr="008357DD">
        <w:t>roup of consistent membership</w:t>
      </w:r>
      <w:r w:rsidR="007C6193" w:rsidRPr="008357DD">
        <w:t xml:space="preserve">, which convened </w:t>
      </w:r>
      <w:r w:rsidRPr="008357DD">
        <w:t xml:space="preserve">at frequent intervals. </w:t>
      </w:r>
      <w:r w:rsidR="0091146C" w:rsidRPr="008357DD">
        <w:t>T</w:t>
      </w:r>
      <w:r w:rsidR="00433C20" w:rsidRPr="008357DD">
        <w:t>here was</w:t>
      </w:r>
      <w:r w:rsidR="009D6211" w:rsidRPr="008357DD">
        <w:t xml:space="preserve"> no</w:t>
      </w:r>
      <w:r w:rsidR="00010048" w:rsidRPr="008357DD">
        <w:t>t</w:t>
      </w:r>
      <w:r w:rsidR="009D6211" w:rsidRPr="008357DD">
        <w:t xml:space="preserve"> complete</w:t>
      </w:r>
      <w:r w:rsidR="00433C20" w:rsidRPr="008357DD">
        <w:t xml:space="preserve"> parity in representation across different strata of experts</w:t>
      </w:r>
      <w:r w:rsidR="00EA0AE5" w:rsidRPr="008357DD">
        <w:t xml:space="preserve">, </w:t>
      </w:r>
      <w:r w:rsidR="00836460" w:rsidRPr="008357DD">
        <w:t xml:space="preserve">including </w:t>
      </w:r>
      <w:r w:rsidR="00A97A80" w:rsidRPr="008357DD">
        <w:t>CYP</w:t>
      </w:r>
      <w:r w:rsidR="00836460" w:rsidRPr="008357DD">
        <w:t xml:space="preserve"> and parents</w:t>
      </w:r>
      <w:r w:rsidR="0091146C" w:rsidRPr="008357DD">
        <w:t xml:space="preserve">. </w:t>
      </w:r>
      <w:r w:rsidR="00E040EB" w:rsidRPr="008357DD">
        <w:t>In future efforts, l</w:t>
      </w:r>
      <w:r w:rsidR="005430C8" w:rsidRPr="008357DD">
        <w:t>arge-scale Delphi-surveys</w:t>
      </w:r>
      <w:r w:rsidR="007F52F5" w:rsidRPr="008357DD">
        <w:t xml:space="preserve"> </w:t>
      </w:r>
      <w:r w:rsidR="00F30F23" w:rsidRPr="008357DD">
        <w:t>may be</w:t>
      </w:r>
      <w:r w:rsidR="005430C8" w:rsidRPr="008357DD">
        <w:t xml:space="preserve"> more suitable for consulting equal numbers of different stakeholder groups,</w:t>
      </w:r>
      <w:r w:rsidR="00546D35" w:rsidRPr="008357DD">
        <w:t xml:space="preserve"> albeit</w:t>
      </w:r>
      <w:r w:rsidR="005430C8" w:rsidRPr="008357DD">
        <w:t xml:space="preserve"> at the expense of more in-depth </w:t>
      </w:r>
      <w:r w:rsidR="00F30F23" w:rsidRPr="008357DD">
        <w:t>and continuous</w:t>
      </w:r>
      <w:r w:rsidR="005430C8" w:rsidRPr="008357DD">
        <w:t xml:space="preserve"> </w:t>
      </w:r>
      <w:r w:rsidR="00A97A80" w:rsidRPr="008357DD">
        <w:t xml:space="preserve">group </w:t>
      </w:r>
      <w:r w:rsidR="005430C8" w:rsidRPr="008357DD">
        <w:t xml:space="preserve">deliberation. </w:t>
      </w:r>
    </w:p>
    <w:p w14:paraId="02084A09" w14:textId="195DA5AD" w:rsidR="00C73B2B" w:rsidRPr="008357DD" w:rsidRDefault="00836460" w:rsidP="008C1934">
      <w:r w:rsidRPr="008357DD">
        <w:lastRenderedPageBreak/>
        <w:t xml:space="preserve">As per the </w:t>
      </w:r>
      <w:r w:rsidR="00C73B2B" w:rsidRPr="008357DD">
        <w:t>nature of consensus-building</w:t>
      </w:r>
      <w:r w:rsidRPr="008357DD">
        <w:t xml:space="preserve">, compromises had to be made and </w:t>
      </w:r>
      <w:r w:rsidR="00C73B2B" w:rsidRPr="008357DD">
        <w:t xml:space="preserve">not all individual views and priorities could be reflected in the final Standard Set. </w:t>
      </w:r>
      <w:r w:rsidR="00546D35" w:rsidRPr="008357DD">
        <w:t xml:space="preserve">For example, two additional outcome domains (i.e., </w:t>
      </w:r>
      <w:r w:rsidR="00546D35" w:rsidRPr="008357DD">
        <w:rPr>
          <w:i/>
          <w:iCs/>
        </w:rPr>
        <w:t>coping</w:t>
      </w:r>
      <w:r w:rsidR="00546D35" w:rsidRPr="008357DD">
        <w:t xml:space="preserve"> and </w:t>
      </w:r>
      <w:r w:rsidR="00546D35" w:rsidRPr="008357DD">
        <w:rPr>
          <w:i/>
          <w:iCs/>
        </w:rPr>
        <w:t>interference of treatment with daily life</w:t>
      </w:r>
      <w:r w:rsidR="00546D35" w:rsidRPr="008357DD">
        <w:t xml:space="preserve">) reached consensus amongst the </w:t>
      </w:r>
      <w:r w:rsidR="00447902" w:rsidRPr="008357DD">
        <w:t>g</w:t>
      </w:r>
      <w:r w:rsidR="00546D35" w:rsidRPr="008357DD">
        <w:t xml:space="preserve">roup’s service user representatives, but not within the wider </w:t>
      </w:r>
      <w:r w:rsidR="00447902" w:rsidRPr="008357DD">
        <w:t>g</w:t>
      </w:r>
      <w:r w:rsidR="00546D35" w:rsidRPr="008357DD">
        <w:t xml:space="preserve">roup. </w:t>
      </w:r>
      <w:r w:rsidR="00C73B2B" w:rsidRPr="008357DD">
        <w:t xml:space="preserve">To </w:t>
      </w:r>
      <w:r w:rsidR="00CA1106" w:rsidRPr="008357DD">
        <w:t xml:space="preserve">promote </w:t>
      </w:r>
      <w:r w:rsidR="00C73B2B" w:rsidRPr="008357DD">
        <w:t xml:space="preserve">person-centred </w:t>
      </w:r>
      <w:r w:rsidR="00E73B43" w:rsidRPr="008357DD">
        <w:t>care</w:t>
      </w:r>
      <w:r w:rsidR="00C73B2B" w:rsidRPr="008357DD">
        <w:t>, services may want to consider tracking additional outcomes based on shared decision-making with CYP and families, either through suitable standardised measures, or by including personalised outcome measure</w:t>
      </w:r>
      <w:r w:rsidR="009921A8" w:rsidRPr="008357DD">
        <w:t>s</w:t>
      </w:r>
      <w:r w:rsidR="00AE47D9" w:rsidRPr="008357DD">
        <w:t xml:space="preserve"> that track</w:t>
      </w:r>
      <w:r w:rsidR="00C46BFC" w:rsidRPr="008357DD">
        <w:t xml:space="preserve"> </w:t>
      </w:r>
      <w:r w:rsidR="00AE47D9" w:rsidRPr="008357DD">
        <w:t xml:space="preserve">progress </w:t>
      </w:r>
      <w:r w:rsidR="00574D00" w:rsidRPr="008357DD">
        <w:t>in relation to</w:t>
      </w:r>
      <w:r w:rsidR="00AE47D9" w:rsidRPr="008357DD">
        <w:t xml:space="preserve"> </w:t>
      </w:r>
      <w:r w:rsidR="00C46BFC" w:rsidRPr="008357DD">
        <w:t>idiosyncratic presenting problems or treatment goals</w:t>
      </w:r>
      <w:r w:rsidR="00D17233" w:rsidRPr="008357DD">
        <w:t xml:space="preserve"> </w:t>
      </w:r>
      <w:r w:rsidR="00C03BC5" w:rsidRPr="008357DD">
        <w:rPr>
          <w:noProof/>
        </w:rPr>
        <w:t>(</w:t>
      </w:r>
      <w:r w:rsidR="00DE0DDB" w:rsidRPr="008357DD">
        <w:rPr>
          <w:noProof/>
        </w:rPr>
        <w:t>7</w:t>
      </w:r>
      <w:r w:rsidR="006A5A02" w:rsidRPr="008357DD">
        <w:rPr>
          <w:noProof/>
        </w:rPr>
        <w:t>0</w:t>
      </w:r>
      <w:r w:rsidR="00C03BC5" w:rsidRPr="008357DD">
        <w:rPr>
          <w:noProof/>
        </w:rPr>
        <w:t>)</w:t>
      </w:r>
      <w:r w:rsidR="00C46BFC" w:rsidRPr="008357DD">
        <w:t>.</w:t>
      </w:r>
    </w:p>
    <w:p w14:paraId="1ABC87E0" w14:textId="5EFEEEE1" w:rsidR="00DB7C9F" w:rsidRPr="008357DD" w:rsidRDefault="00405CD2" w:rsidP="008C1934">
      <w:r w:rsidRPr="008357DD">
        <w:t>To promote uptake</w:t>
      </w:r>
      <w:r w:rsidR="00084FA4" w:rsidRPr="008357DD">
        <w:t xml:space="preserve"> of this Standard Set</w:t>
      </w:r>
      <w:r w:rsidRPr="008357DD">
        <w:t xml:space="preserve">, simplicity and feasibility </w:t>
      </w:r>
      <w:r w:rsidR="00574D00" w:rsidRPr="008357DD">
        <w:t xml:space="preserve">were prioritised </w:t>
      </w:r>
      <w:r w:rsidRPr="008357DD">
        <w:t xml:space="preserve">over detail and specificity. </w:t>
      </w:r>
      <w:r w:rsidR="00FA61BE" w:rsidRPr="008357DD">
        <w:t xml:space="preserve">Brief and </w:t>
      </w:r>
      <w:r w:rsidR="009E6F8A" w:rsidRPr="008357DD">
        <w:t>freel</w:t>
      </w:r>
      <w:r w:rsidR="00232ADF" w:rsidRPr="008357DD">
        <w:t xml:space="preserve">y available </w:t>
      </w:r>
      <w:r w:rsidR="00574D00" w:rsidRPr="008357DD">
        <w:t>instruments</w:t>
      </w:r>
      <w:r w:rsidR="00FA61BE" w:rsidRPr="008357DD">
        <w:t xml:space="preserve"> were prioritised over </w:t>
      </w:r>
      <w:r w:rsidR="0079755D" w:rsidRPr="008357DD">
        <w:t xml:space="preserve">more </w:t>
      </w:r>
      <w:r w:rsidR="00FA61BE" w:rsidRPr="008357DD">
        <w:t xml:space="preserve">complex and at times more established </w:t>
      </w:r>
      <w:r w:rsidR="009921A8" w:rsidRPr="008357DD">
        <w:t>ones</w:t>
      </w:r>
      <w:r w:rsidR="0079755D" w:rsidRPr="008357DD">
        <w:t>, and s</w:t>
      </w:r>
      <w:r w:rsidR="00FA61BE" w:rsidRPr="008357DD">
        <w:t xml:space="preserve">hort </w:t>
      </w:r>
      <w:r w:rsidR="00AC72D2" w:rsidRPr="008357DD">
        <w:t xml:space="preserve">forms </w:t>
      </w:r>
      <w:r w:rsidR="00FA61BE" w:rsidRPr="008357DD">
        <w:t>over long versions</w:t>
      </w:r>
      <w:r w:rsidR="00A62B6D" w:rsidRPr="008357DD">
        <w:t xml:space="preserve">. </w:t>
      </w:r>
      <w:r w:rsidR="00AD7DEF" w:rsidRPr="008357DD">
        <w:t xml:space="preserve">As </w:t>
      </w:r>
      <w:r w:rsidR="009921A8" w:rsidRPr="008357DD">
        <w:t>the former</w:t>
      </w:r>
      <w:r w:rsidR="00383B53" w:rsidRPr="008357DD">
        <w:t xml:space="preserve"> </w:t>
      </w:r>
      <w:r w:rsidR="008C4ED9" w:rsidRPr="008357DD">
        <w:t xml:space="preserve">tend </w:t>
      </w:r>
      <w:r w:rsidR="00383B53" w:rsidRPr="008357DD">
        <w:t xml:space="preserve">to be less widely validated than </w:t>
      </w:r>
      <w:r w:rsidR="009921A8" w:rsidRPr="008357DD">
        <w:t>the latter</w:t>
      </w:r>
      <w:r w:rsidR="000B0435" w:rsidRPr="008357DD">
        <w:t xml:space="preserve">, </w:t>
      </w:r>
      <w:r w:rsidR="00A54F8E" w:rsidRPr="008357DD">
        <w:t xml:space="preserve">it is </w:t>
      </w:r>
      <w:r w:rsidR="000B0435" w:rsidRPr="008357DD">
        <w:t>hope</w:t>
      </w:r>
      <w:r w:rsidR="00A54F8E" w:rsidRPr="008357DD">
        <w:t>d</w:t>
      </w:r>
      <w:r w:rsidR="000B0435" w:rsidRPr="008357DD">
        <w:t xml:space="preserve"> </w:t>
      </w:r>
      <w:r w:rsidR="00383B53" w:rsidRPr="008357DD">
        <w:t xml:space="preserve">that the Standard Set will accelerate validation efforts and generate new data </w:t>
      </w:r>
      <w:r w:rsidR="00851040" w:rsidRPr="008357DD">
        <w:t>on</w:t>
      </w:r>
      <w:r w:rsidR="00383B53" w:rsidRPr="008357DD">
        <w:t xml:space="preserve"> their </w:t>
      </w:r>
      <w:r w:rsidR="0038197E" w:rsidRPr="008357DD">
        <w:t xml:space="preserve">psychometric </w:t>
      </w:r>
      <w:r w:rsidR="00383B53" w:rsidRPr="008357DD">
        <w:t>properties</w:t>
      </w:r>
      <w:r w:rsidR="00A54F8E" w:rsidRPr="008357DD">
        <w:t xml:space="preserve"> </w:t>
      </w:r>
      <w:r w:rsidR="00C03BC5" w:rsidRPr="008357DD">
        <w:rPr>
          <w:noProof/>
        </w:rPr>
        <w:t>(e.g., 7</w:t>
      </w:r>
      <w:r w:rsidR="006A5A02" w:rsidRPr="008357DD">
        <w:rPr>
          <w:noProof/>
        </w:rPr>
        <w:t>1</w:t>
      </w:r>
      <w:r w:rsidR="00C03BC5" w:rsidRPr="001E4DF2">
        <w:rPr>
          <w:noProof/>
        </w:rPr>
        <w:t>)</w:t>
      </w:r>
      <w:r w:rsidR="00383B53" w:rsidRPr="001E4DF2">
        <w:t>.</w:t>
      </w:r>
      <w:r w:rsidR="00A54F8E" w:rsidRPr="008357DD">
        <w:t xml:space="preserve"> </w:t>
      </w:r>
      <w:r w:rsidR="001D31FD" w:rsidRPr="008357DD">
        <w:t xml:space="preserve">To maintain simplicity, the </w:t>
      </w:r>
      <w:r w:rsidR="0038197E" w:rsidRPr="008357DD">
        <w:t>Set</w:t>
      </w:r>
      <w:r w:rsidR="00AC72D2" w:rsidRPr="008357DD">
        <w:t xml:space="preserve"> </w:t>
      </w:r>
      <w:r w:rsidR="00C63345" w:rsidRPr="008357DD">
        <w:t xml:space="preserve">does </w:t>
      </w:r>
      <w:r w:rsidR="0038197E" w:rsidRPr="008357DD">
        <w:t xml:space="preserve">not recommend </w:t>
      </w:r>
      <w:r w:rsidR="00D56077" w:rsidRPr="008357DD">
        <w:t>separate measures for different age groups</w:t>
      </w:r>
      <w:r w:rsidR="00DD7EB0" w:rsidRPr="008357DD">
        <w:t xml:space="preserve">. </w:t>
      </w:r>
      <w:r w:rsidR="00852CBA" w:rsidRPr="008357DD">
        <w:t xml:space="preserve">While the selected measures </w:t>
      </w:r>
      <w:r w:rsidR="00851040" w:rsidRPr="008357DD">
        <w:t>have generally been</w:t>
      </w:r>
      <w:r w:rsidR="005746D0" w:rsidRPr="008357DD">
        <w:t xml:space="preserve"> validated in CYP aged </w:t>
      </w:r>
      <w:r w:rsidR="00852CBA" w:rsidRPr="008357DD">
        <w:t>6-18</w:t>
      </w:r>
      <w:r w:rsidR="005746D0" w:rsidRPr="008357DD">
        <w:t xml:space="preserve"> years</w:t>
      </w:r>
      <w:r w:rsidR="00852CBA" w:rsidRPr="008357DD">
        <w:t xml:space="preserve">, </w:t>
      </w:r>
      <w:r w:rsidR="00243429" w:rsidRPr="008357DD">
        <w:t xml:space="preserve">the </w:t>
      </w:r>
      <w:r w:rsidR="00D208D3" w:rsidRPr="008357DD">
        <w:t>S</w:t>
      </w:r>
      <w:r w:rsidR="00243429" w:rsidRPr="008357DD">
        <w:t xml:space="preserve">et </w:t>
      </w:r>
      <w:r w:rsidR="00D208D3" w:rsidRPr="008357DD">
        <w:t>is less specifically tailored to the experiences of</w:t>
      </w:r>
      <w:r w:rsidR="00243429" w:rsidRPr="008357DD">
        <w:t xml:space="preserve"> 18-24-year-olds</w:t>
      </w:r>
      <w:r w:rsidR="001B1265" w:rsidRPr="008357DD">
        <w:t>.</w:t>
      </w:r>
      <w:r w:rsidR="00E83B62" w:rsidRPr="008357DD">
        <w:t xml:space="preserve"> </w:t>
      </w:r>
      <w:r w:rsidR="004335D2" w:rsidRPr="008357DD">
        <w:t>As the</w:t>
      </w:r>
      <w:r w:rsidR="00173F37" w:rsidRPr="008357DD">
        <w:t xml:space="preserve"> Set</w:t>
      </w:r>
      <w:r w:rsidR="004335D2" w:rsidRPr="008357DD">
        <w:t xml:space="preserve"> moves into implementation, </w:t>
      </w:r>
      <w:r w:rsidR="001D31FD" w:rsidRPr="008357DD">
        <w:t xml:space="preserve">the steering group </w:t>
      </w:r>
      <w:r w:rsidR="00173F37" w:rsidRPr="008357DD">
        <w:t>will consider whether on balance, the gains from increased feasibility</w:t>
      </w:r>
      <w:r w:rsidR="001D31FD" w:rsidRPr="008357DD">
        <w:t xml:space="preserve"> can be seen to</w:t>
      </w:r>
      <w:r w:rsidR="00173F37" w:rsidRPr="008357DD">
        <w:t xml:space="preserve"> justify this de</w:t>
      </w:r>
      <w:r w:rsidR="00D208D3" w:rsidRPr="008357DD">
        <w:t>sign</w:t>
      </w:r>
      <w:r w:rsidR="004335D2" w:rsidRPr="008357DD">
        <w:t>.</w:t>
      </w:r>
      <w:r w:rsidR="00173F37" w:rsidRPr="008357DD">
        <w:t xml:space="preserve"> </w:t>
      </w:r>
    </w:p>
    <w:p w14:paraId="4BDEDF6A" w14:textId="751F1908" w:rsidR="00AF1196" w:rsidRPr="008357DD" w:rsidRDefault="009447DD">
      <w:r w:rsidRPr="008357DD">
        <w:t xml:space="preserve">None of the recommended measures are perfect. The goal was to identify the best-possible suite of instruments within </w:t>
      </w:r>
      <w:r w:rsidR="00084FA4" w:rsidRPr="008357DD">
        <w:t>the Working Group’s</w:t>
      </w:r>
      <w:r w:rsidRPr="008357DD">
        <w:t xml:space="preserve"> feasibility and psychometric criteria</w:t>
      </w:r>
      <w:r w:rsidR="003207D9" w:rsidRPr="008357DD">
        <w:t>, based on the evidence available at the time</w:t>
      </w:r>
      <w:r w:rsidRPr="008357DD">
        <w:t xml:space="preserve">, as a starting point for generating wider </w:t>
      </w:r>
      <w:r w:rsidR="002E3BFB" w:rsidRPr="008357DD">
        <w:t xml:space="preserve">insights into </w:t>
      </w:r>
      <w:r w:rsidRPr="008357DD">
        <w:t xml:space="preserve">how </w:t>
      </w:r>
      <w:r w:rsidR="008D6F9C" w:rsidRPr="008357DD">
        <w:t xml:space="preserve">outcome measurement </w:t>
      </w:r>
      <w:r w:rsidRPr="008357DD">
        <w:t xml:space="preserve">might be strengthened in the future. </w:t>
      </w:r>
      <w:r w:rsidR="00167D09" w:rsidRPr="008357DD">
        <w:t xml:space="preserve">While the Working Group considered sensitivity to change </w:t>
      </w:r>
      <w:r w:rsidR="00DE371A" w:rsidRPr="008357DD">
        <w:t>an essential measurement property to consider</w:t>
      </w:r>
      <w:r w:rsidR="00167D09" w:rsidRPr="008357DD">
        <w:t xml:space="preserve">, its appraisal was </w:t>
      </w:r>
      <w:r w:rsidR="000C3CC6" w:rsidRPr="008357DD">
        <w:t>limited by a general lack of d</w:t>
      </w:r>
      <w:r w:rsidRPr="008357DD">
        <w:t xml:space="preserve">ata and </w:t>
      </w:r>
      <w:r w:rsidR="00DE371A" w:rsidRPr="008357DD">
        <w:t xml:space="preserve">objective </w:t>
      </w:r>
      <w:r w:rsidRPr="008357DD">
        <w:t>appraisal guidelines</w:t>
      </w:r>
      <w:r w:rsidR="00912470" w:rsidRPr="008357DD">
        <w:t xml:space="preserve">. </w:t>
      </w:r>
      <w:r w:rsidR="00974B4F" w:rsidRPr="008357DD">
        <w:t xml:space="preserve">ISOQOL recommends that </w:t>
      </w:r>
      <w:r w:rsidR="00DE371A" w:rsidRPr="008357DD">
        <w:t xml:space="preserve">for longitudinal research </w:t>
      </w:r>
      <w:r w:rsidR="00974B4F" w:rsidRPr="008357DD">
        <w:t>patient-reported outcome measures “should have evidence of responsiveness, including empirical evidence of changes in scores consistent with predefined hypotheses</w:t>
      </w:r>
      <w:r w:rsidR="00B81942" w:rsidRPr="008357DD">
        <w:t>” about the expected treatment outcome</w:t>
      </w:r>
      <w:r w:rsidR="001E6B5B" w:rsidRPr="008357DD">
        <w:t xml:space="preserve"> </w:t>
      </w:r>
      <w:r w:rsidR="001E6B5B" w:rsidRPr="008357DD">
        <w:rPr>
          <w:noProof/>
        </w:rPr>
        <w:t>(2</w:t>
      </w:r>
      <w:r w:rsidR="006A5A02" w:rsidRPr="008357DD">
        <w:rPr>
          <w:noProof/>
        </w:rPr>
        <w:t>5</w:t>
      </w:r>
      <w:r w:rsidR="001E6B5B" w:rsidRPr="001E4DF2">
        <w:rPr>
          <w:noProof/>
        </w:rPr>
        <w:t>)</w:t>
      </w:r>
      <w:r w:rsidR="001E6B5B" w:rsidRPr="001E4DF2">
        <w:t xml:space="preserve">. </w:t>
      </w:r>
      <w:r w:rsidR="00704DD5" w:rsidRPr="008357DD">
        <w:t xml:space="preserve">While the Working Group considered such evidence where available, no </w:t>
      </w:r>
      <w:r w:rsidR="00466313" w:rsidRPr="008357DD">
        <w:t xml:space="preserve">standard </w:t>
      </w:r>
      <w:r w:rsidR="00704DD5" w:rsidRPr="008357DD">
        <w:t xml:space="preserve">thresholds </w:t>
      </w:r>
      <w:r w:rsidR="00AF1196" w:rsidRPr="008357DD">
        <w:t>could be applied</w:t>
      </w:r>
      <w:r w:rsidR="00B81942" w:rsidRPr="008357DD">
        <w:t xml:space="preserve"> to determine </w:t>
      </w:r>
      <w:r w:rsidR="00223C4D" w:rsidRPr="008357DD">
        <w:t xml:space="preserve">whether sensitivity was </w:t>
      </w:r>
      <w:r w:rsidR="00524FD5" w:rsidRPr="008357DD">
        <w:t>sufficient.</w:t>
      </w:r>
    </w:p>
    <w:p w14:paraId="67327E9A" w14:textId="45104C4E" w:rsidR="00F54691" w:rsidRPr="008357DD" w:rsidRDefault="009261F9" w:rsidP="009261F9">
      <w:r w:rsidRPr="008357DD">
        <w:t xml:space="preserve">An important area that could not be considered as part of the appraisal </w:t>
      </w:r>
      <w:r w:rsidR="009E0342" w:rsidRPr="008357DD">
        <w:t>is</w:t>
      </w:r>
      <w:r w:rsidRPr="008357DD">
        <w:t xml:space="preserve"> the measurement invariance of the selected tools across languages and cultural backgrounds, and the extent to which cultural differences may impact</w:t>
      </w:r>
      <w:r w:rsidR="009E0342" w:rsidRPr="008357DD">
        <w:t xml:space="preserve"> on</w:t>
      </w:r>
      <w:r w:rsidRPr="008357DD">
        <w:t xml:space="preserve"> the validity of the selected measurement instruments </w:t>
      </w:r>
      <w:r w:rsidRPr="008357DD">
        <w:rPr>
          <w:noProof/>
        </w:rPr>
        <w:t>(7</w:t>
      </w:r>
      <w:r w:rsidR="006A5A02" w:rsidRPr="008357DD">
        <w:rPr>
          <w:noProof/>
        </w:rPr>
        <w:t>2</w:t>
      </w:r>
      <w:r w:rsidRPr="001E4DF2">
        <w:rPr>
          <w:noProof/>
        </w:rPr>
        <w:t>)</w:t>
      </w:r>
      <w:r w:rsidRPr="001E4DF2">
        <w:t>.</w:t>
      </w:r>
      <w:r w:rsidRPr="008357DD">
        <w:t xml:space="preserve"> In the absence of invariance, comparisons between different groups are not fully meaningful, and </w:t>
      </w:r>
      <w:r w:rsidR="009E0342" w:rsidRPr="008357DD">
        <w:t>the Group</w:t>
      </w:r>
      <w:r w:rsidRPr="008357DD">
        <w:t xml:space="preserve"> hope</w:t>
      </w:r>
      <w:r w:rsidR="009E0342" w:rsidRPr="008357DD">
        <w:t>s</w:t>
      </w:r>
      <w:r w:rsidRPr="008357DD">
        <w:t xml:space="preserve"> that this initiative will enhance data availability and spur efforts to examine how consistently the recommended measures track their designated outcome concepts across cultural and language contexts. </w:t>
      </w:r>
    </w:p>
    <w:p w14:paraId="07B096EA" w14:textId="1F9A46E2" w:rsidR="009E0342" w:rsidRPr="008357DD" w:rsidRDefault="00524FD5">
      <w:r w:rsidRPr="008357DD">
        <w:t>T</w:t>
      </w:r>
      <w:r w:rsidR="00912470" w:rsidRPr="008357DD">
        <w:t>he</w:t>
      </w:r>
      <w:r w:rsidR="001E6B5B" w:rsidRPr="008357DD">
        <w:t xml:space="preserve"> Working Group</w:t>
      </w:r>
      <w:r w:rsidR="00912470" w:rsidRPr="008357DD">
        <w:t xml:space="preserve"> encountered challenges with</w:t>
      </w:r>
      <w:r w:rsidR="007925A4" w:rsidRPr="008357DD">
        <w:t xml:space="preserve"> identifying suitable measures of functioning</w:t>
      </w:r>
      <w:r w:rsidR="0065689A" w:rsidRPr="008357DD">
        <w:t xml:space="preserve">, with common issues </w:t>
      </w:r>
      <w:r w:rsidR="00912470" w:rsidRPr="008357DD">
        <w:t xml:space="preserve">including </w:t>
      </w:r>
      <w:r w:rsidR="007925A4" w:rsidRPr="008357DD">
        <w:t xml:space="preserve">overlap in item coverage between symptoms and functioning, a perceived overemphasis on bodily functions as opposed to psychosocial functioning, lack of validation across the full age span or in clinical populations, and cross-cultural validity. </w:t>
      </w:r>
      <w:r w:rsidR="003254BF" w:rsidRPr="008357DD">
        <w:t>Overall, a</w:t>
      </w:r>
      <w:r w:rsidR="000E20C6" w:rsidRPr="008357DD">
        <w:t xml:space="preserve">dditional research is needed to understand how suitable the </w:t>
      </w:r>
      <w:r w:rsidR="0065689A" w:rsidRPr="008357DD">
        <w:t xml:space="preserve">recommended measures </w:t>
      </w:r>
      <w:r w:rsidR="000E20C6" w:rsidRPr="008357DD">
        <w:t xml:space="preserve">are for </w:t>
      </w:r>
      <w:r w:rsidR="000E20C6" w:rsidRPr="008357DD">
        <w:lastRenderedPageBreak/>
        <w:t>capturing change over the course of treatment</w:t>
      </w:r>
      <w:r w:rsidR="003254BF" w:rsidRPr="008357DD">
        <w:t xml:space="preserve">, </w:t>
      </w:r>
      <w:r w:rsidR="00DA03A5" w:rsidRPr="008357DD">
        <w:t>and in</w:t>
      </w:r>
      <w:r w:rsidR="003254BF" w:rsidRPr="008357DD">
        <w:t xml:space="preserve"> different</w:t>
      </w:r>
      <w:r w:rsidR="000E20C6" w:rsidRPr="008357DD">
        <w:t xml:space="preserve"> real-world clinical settings</w:t>
      </w:r>
      <w:r w:rsidR="003254BF" w:rsidRPr="008357DD">
        <w:t xml:space="preserve"> </w:t>
      </w:r>
      <w:r w:rsidR="000E20C6" w:rsidRPr="008357DD">
        <w:t>(e.g. primary versus specialist care)</w:t>
      </w:r>
      <w:r w:rsidR="009E4DC1" w:rsidRPr="008357DD">
        <w:t>, and how acceptable the full question battery is to services and service users.</w:t>
      </w:r>
      <w:r w:rsidR="008F3D7D" w:rsidRPr="008357DD">
        <w:t xml:space="preserve"> </w:t>
      </w:r>
    </w:p>
    <w:p w14:paraId="5D1DD284" w14:textId="1D4C24AE" w:rsidR="00D973BF" w:rsidRPr="008357DD" w:rsidRDefault="006D3102" w:rsidP="008C1934">
      <w:pPr>
        <w:pStyle w:val="Heading1"/>
      </w:pPr>
      <w:r w:rsidRPr="008357DD">
        <w:t>Call for Action</w:t>
      </w:r>
    </w:p>
    <w:p w14:paraId="215139A3" w14:textId="7DF31B79" w:rsidR="00D26125" w:rsidRPr="008357DD" w:rsidRDefault="00F95CF6" w:rsidP="008C1934">
      <w:bookmarkStart w:id="16" w:name="_Hlk43741557"/>
      <w:r w:rsidRPr="008357DD">
        <w:t xml:space="preserve">This Standard Set </w:t>
      </w:r>
      <w:r w:rsidR="00346A83" w:rsidRPr="008357DD">
        <w:t xml:space="preserve">provides </w:t>
      </w:r>
      <w:r w:rsidR="00BE4877" w:rsidRPr="008357DD">
        <w:t>the first</w:t>
      </w:r>
      <w:r w:rsidR="00346A83" w:rsidRPr="008357DD">
        <w:t xml:space="preserve"> global guideline for promoting the quality and consistency of </w:t>
      </w:r>
      <w:r w:rsidR="00E630F9" w:rsidRPr="008357DD">
        <w:t>routine</w:t>
      </w:r>
      <w:r w:rsidRPr="008357DD">
        <w:t xml:space="preserve"> outcome measurement for </w:t>
      </w:r>
      <w:r w:rsidR="00C63345" w:rsidRPr="008357DD">
        <w:t>CYP</w:t>
      </w:r>
      <w:r w:rsidRPr="008357DD">
        <w:t xml:space="preserve"> with anxiety, depression, OCD, or PTSD. </w:t>
      </w:r>
      <w:r w:rsidR="005B7F8D" w:rsidRPr="008357DD">
        <w:t>It is person-centred and devised specifically for use</w:t>
      </w:r>
      <w:r w:rsidR="00567B5A" w:rsidRPr="008357DD">
        <w:t xml:space="preserve"> in clinical practice</w:t>
      </w:r>
      <w:r w:rsidR="00B342F4" w:rsidRPr="008357DD">
        <w:t xml:space="preserve">, with special attention given </w:t>
      </w:r>
      <w:r w:rsidR="005B7F8D" w:rsidRPr="008357DD">
        <w:t xml:space="preserve">to acceptability and feasibility, including in resource-poor contexts. </w:t>
      </w:r>
      <w:r w:rsidR="00BE4877" w:rsidRPr="008357DD">
        <w:t xml:space="preserve">It </w:t>
      </w:r>
      <w:r w:rsidR="00F74860" w:rsidRPr="008357DD">
        <w:t xml:space="preserve">also </w:t>
      </w:r>
      <w:r w:rsidR="00BE4877" w:rsidRPr="008357DD">
        <w:t>has great relevance to the provision of mental health care outside the health service system, such as in school</w:t>
      </w:r>
      <w:r w:rsidR="000A66C2" w:rsidRPr="008357DD">
        <w:t xml:space="preserve"> </w:t>
      </w:r>
      <w:r w:rsidR="00130AE2" w:rsidRPr="008357DD">
        <w:t>settings</w:t>
      </w:r>
      <w:r w:rsidR="000A66C2" w:rsidRPr="008357DD">
        <w:t xml:space="preserve">. </w:t>
      </w:r>
      <w:r w:rsidR="00567B5A" w:rsidRPr="008357DD">
        <w:t>It forms an essential step towards enhancing evidence on</w:t>
      </w:r>
      <w:r w:rsidR="00C63345" w:rsidRPr="008357DD">
        <w:t xml:space="preserve"> </w:t>
      </w:r>
      <w:r w:rsidR="00567B5A" w:rsidRPr="008357DD">
        <w:t>service effectiveness, enabling comparisons and benchmarking of results across care systems, and promoting care quality, in</w:t>
      </w:r>
      <w:r w:rsidR="001518CA" w:rsidRPr="008357DD">
        <w:t xml:space="preserve"> mobilising a comprehensive</w:t>
      </w:r>
      <w:r w:rsidR="006F282F" w:rsidRPr="008357DD">
        <w:t xml:space="preserve">, forceful, and evidence-based </w:t>
      </w:r>
      <w:r w:rsidR="001518CA" w:rsidRPr="008357DD">
        <w:t xml:space="preserve">response </w:t>
      </w:r>
      <w:r w:rsidR="00AA163C" w:rsidRPr="008357DD">
        <w:t xml:space="preserve">to </w:t>
      </w:r>
      <w:r w:rsidR="001518CA" w:rsidRPr="008357DD">
        <w:t xml:space="preserve">the global burden from </w:t>
      </w:r>
      <w:r w:rsidR="000B28BD" w:rsidRPr="008357DD">
        <w:t>anxiety and depression.</w:t>
      </w:r>
      <w:r w:rsidR="00E00E3C" w:rsidRPr="008357DD">
        <w:t xml:space="preserve"> Future research should </w:t>
      </w:r>
      <w:r w:rsidR="008E71C9" w:rsidRPr="008357DD">
        <w:t>continue to</w:t>
      </w:r>
      <w:r w:rsidR="00E00E3C" w:rsidRPr="008357DD">
        <w:t xml:space="preserve"> expand the evidence base </w:t>
      </w:r>
      <w:r w:rsidR="005405C6" w:rsidRPr="008357DD">
        <w:t>in relation to</w:t>
      </w:r>
      <w:r w:rsidR="00E00E3C" w:rsidRPr="008357DD">
        <w:t xml:space="preserve"> the sensitivity to change and measurement invariance </w:t>
      </w:r>
      <w:r w:rsidR="000114B0" w:rsidRPr="008357DD">
        <w:t>of</w:t>
      </w:r>
      <w:r w:rsidR="00E00E3C" w:rsidRPr="008357DD">
        <w:t xml:space="preserve"> the included measures</w:t>
      </w:r>
      <w:r w:rsidR="005405C6" w:rsidRPr="008357DD">
        <w:t xml:space="preserve">, </w:t>
      </w:r>
      <w:r w:rsidR="008E71C9" w:rsidRPr="008357DD">
        <w:t xml:space="preserve">and implementation initiatives </w:t>
      </w:r>
      <w:r w:rsidR="009378F5" w:rsidRPr="008357DD">
        <w:t>should</w:t>
      </w:r>
      <w:r w:rsidR="008E71C9" w:rsidRPr="008357DD">
        <w:t xml:space="preserve"> provide feedback on the relevance and acceptability of this recommendation to practitioners and service users. Both will be vital to ensure </w:t>
      </w:r>
      <w:r w:rsidR="0030774F" w:rsidRPr="008357DD">
        <w:t xml:space="preserve">that </w:t>
      </w:r>
      <w:r w:rsidR="008E71C9" w:rsidRPr="008357DD">
        <w:t>this Standard Set</w:t>
      </w:r>
      <w:r w:rsidR="009378F5" w:rsidRPr="008357DD">
        <w:t xml:space="preserve"> makes a viable recommendation that meaningfully captures change for CYP across contexts. </w:t>
      </w:r>
    </w:p>
    <w:bookmarkEnd w:id="7"/>
    <w:bookmarkEnd w:id="8"/>
    <w:bookmarkEnd w:id="16"/>
    <w:p w14:paraId="5C76BF40" w14:textId="011F38FF" w:rsidR="00350410" w:rsidRPr="00B77A90" w:rsidRDefault="00350410" w:rsidP="008C1934">
      <w:pPr>
        <w:pStyle w:val="SupplementTableHead"/>
      </w:pPr>
      <w:r w:rsidRPr="00B77A90">
        <w:lastRenderedPageBreak/>
        <w:t xml:space="preserve">Figure </w:t>
      </w:r>
      <w:r w:rsidRPr="00B77A90">
        <w:rPr>
          <w:noProof/>
        </w:rPr>
        <w:t>1</w:t>
      </w:r>
      <w:r w:rsidRPr="00B77A90">
        <w:t>. Working Group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9360"/>
      </w:tblGrid>
      <w:tr w:rsidR="00350410" w:rsidRPr="00B77A90" w14:paraId="0C9843E4" w14:textId="77777777" w:rsidTr="00A33949">
        <w:tc>
          <w:tcPr>
            <w:tcW w:w="9360" w:type="dxa"/>
          </w:tcPr>
          <w:p w14:paraId="5293D67C" w14:textId="1E1057E4" w:rsidR="00350410" w:rsidRPr="00B77A90" w:rsidRDefault="00AA239D" w:rsidP="008C1934">
            <w:r>
              <w:rPr>
                <w:noProof/>
              </w:rPr>
              <w:drawing>
                <wp:inline distT="0" distB="0" distL="0" distR="0" wp14:anchorId="4B9C6EE8" wp14:editId="733D9F2C">
                  <wp:extent cx="4213415" cy="693420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 Working Group Process.jpg"/>
                          <pic:cNvPicPr/>
                        </pic:nvPicPr>
                        <pic:blipFill rotWithShape="1">
                          <a:blip r:embed="rId18" cstate="print">
                            <a:extLst>
                              <a:ext uri="{28A0092B-C50C-407E-A947-70E740481C1C}">
                                <a14:useLocalDpi xmlns:a14="http://schemas.microsoft.com/office/drawing/2010/main" val="0"/>
                              </a:ext>
                            </a:extLst>
                          </a:blip>
                          <a:srcRect t="2894"/>
                          <a:stretch/>
                        </pic:blipFill>
                        <pic:spPr bwMode="auto">
                          <a:xfrm>
                            <a:off x="0" y="0"/>
                            <a:ext cx="4225318" cy="6953789"/>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34A640" w14:textId="5971F1A6" w:rsidR="00C576F4" w:rsidRPr="00B77A90" w:rsidRDefault="00350410" w:rsidP="00C2261C">
      <w:pPr>
        <w:spacing w:before="0"/>
        <w:sectPr w:rsidR="00C576F4" w:rsidRPr="00B77A90">
          <w:footnotePr>
            <w:pos w:val="beneathText"/>
          </w:footnotePr>
          <w:pgSz w:w="12240" w:h="15840"/>
          <w:pgMar w:top="1440" w:right="1440" w:bottom="1440" w:left="1440" w:header="720" w:footer="720" w:gutter="0"/>
          <w:cols w:space="720"/>
          <w:titlePg/>
          <w:docGrid w:linePitch="360"/>
        </w:sectPr>
      </w:pPr>
      <w:r w:rsidRPr="00B77A90">
        <w:rPr>
          <w:vertAlign w:val="superscript"/>
        </w:rPr>
        <w:t>a</w:t>
      </w:r>
      <w:r w:rsidRPr="00B77A90">
        <w:t xml:space="preserve"> </w:t>
      </w:r>
      <w:r w:rsidRPr="00C2261C">
        <w:rPr>
          <w:sz w:val="16"/>
          <w:szCs w:val="16"/>
        </w:rPr>
        <w:t xml:space="preserve">Shortlisted measures were reviewed against the minimum standards for patient-reported outcome measures recommended by the International Society for Quality of </w:t>
      </w:r>
      <w:r w:rsidRPr="00D53C69">
        <w:rPr>
          <w:sz w:val="16"/>
          <w:szCs w:val="16"/>
        </w:rPr>
        <w:t xml:space="preserve">Life Research </w:t>
      </w:r>
      <w:r w:rsidR="00904F0D" w:rsidRPr="00D53C69">
        <w:rPr>
          <w:noProof/>
          <w:sz w:val="16"/>
          <w:szCs w:val="16"/>
        </w:rPr>
        <w:t>(ISOQOL; 2</w:t>
      </w:r>
      <w:r w:rsidR="006623D7" w:rsidRPr="00D53C69">
        <w:rPr>
          <w:noProof/>
          <w:sz w:val="16"/>
          <w:szCs w:val="16"/>
        </w:rPr>
        <w:t>5</w:t>
      </w:r>
      <w:r w:rsidR="00904F0D" w:rsidRPr="00D53C69">
        <w:rPr>
          <w:noProof/>
          <w:sz w:val="16"/>
          <w:szCs w:val="16"/>
        </w:rPr>
        <w:t>)</w:t>
      </w:r>
      <w:r w:rsidRPr="00D53C69">
        <w:rPr>
          <w:sz w:val="16"/>
          <w:szCs w:val="16"/>
        </w:rPr>
        <w:t xml:space="preserve">. </w:t>
      </w:r>
    </w:p>
    <w:p w14:paraId="1A4B3208" w14:textId="77777777" w:rsidR="00C576F4" w:rsidRPr="007D27F1" w:rsidRDefault="00C576F4" w:rsidP="008C1934">
      <w:pPr>
        <w:pStyle w:val="Caption"/>
        <w:rPr>
          <w:b/>
          <w:bCs/>
          <w:i w:val="0"/>
          <w:iCs w:val="0"/>
        </w:rPr>
      </w:pPr>
      <w:bookmarkStart w:id="17" w:name="_Hlk35595393"/>
      <w:r w:rsidRPr="007D27F1">
        <w:rPr>
          <w:b/>
          <w:bCs/>
          <w:i w:val="0"/>
          <w:iCs w:val="0"/>
        </w:rPr>
        <w:lastRenderedPageBreak/>
        <w:t>Table 1. Overview of Recommended Outcome Measures and their Evaluation Criteria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1275"/>
        <w:gridCol w:w="143"/>
        <w:gridCol w:w="1843"/>
        <w:gridCol w:w="140"/>
        <w:gridCol w:w="993"/>
        <w:gridCol w:w="993"/>
        <w:gridCol w:w="1133"/>
        <w:gridCol w:w="993"/>
        <w:gridCol w:w="145"/>
        <w:gridCol w:w="1275"/>
        <w:gridCol w:w="1273"/>
        <w:gridCol w:w="1620"/>
      </w:tblGrid>
      <w:tr w:rsidR="00C576F4" w:rsidRPr="00AB212F" w14:paraId="29151C00" w14:textId="77777777" w:rsidTr="00A33949">
        <w:tc>
          <w:tcPr>
            <w:tcW w:w="438" w:type="pct"/>
            <w:tcBorders>
              <w:top w:val="single" w:sz="4" w:space="0" w:color="auto"/>
            </w:tcBorders>
          </w:tcPr>
          <w:p w14:paraId="51CB23CA" w14:textId="77777777" w:rsidR="00C576F4" w:rsidRPr="00AB212F" w:rsidRDefault="00C576F4" w:rsidP="00AB212F">
            <w:pPr>
              <w:pStyle w:val="Textintable"/>
            </w:pPr>
          </w:p>
        </w:tc>
        <w:tc>
          <w:tcPr>
            <w:tcW w:w="492" w:type="pct"/>
            <w:tcBorders>
              <w:top w:val="single" w:sz="4" w:space="0" w:color="auto"/>
            </w:tcBorders>
          </w:tcPr>
          <w:p w14:paraId="7928CFC6" w14:textId="77777777" w:rsidR="00C576F4" w:rsidRPr="00AB212F" w:rsidRDefault="00C576F4" w:rsidP="00AB212F">
            <w:pPr>
              <w:pStyle w:val="Textintable"/>
            </w:pPr>
          </w:p>
        </w:tc>
        <w:tc>
          <w:tcPr>
            <w:tcW w:w="55" w:type="pct"/>
            <w:tcBorders>
              <w:top w:val="single" w:sz="4" w:space="0" w:color="auto"/>
            </w:tcBorders>
          </w:tcPr>
          <w:p w14:paraId="2DB7E581" w14:textId="77777777" w:rsidR="00C576F4" w:rsidRPr="00AB212F" w:rsidRDefault="00C576F4" w:rsidP="00AB212F">
            <w:pPr>
              <w:pStyle w:val="Textintable"/>
            </w:pPr>
          </w:p>
        </w:tc>
        <w:tc>
          <w:tcPr>
            <w:tcW w:w="711" w:type="pct"/>
            <w:tcBorders>
              <w:top w:val="single" w:sz="4" w:space="0" w:color="auto"/>
              <w:bottom w:val="single" w:sz="4" w:space="0" w:color="auto"/>
            </w:tcBorders>
          </w:tcPr>
          <w:p w14:paraId="02EC4209" w14:textId="77777777" w:rsidR="00C576F4" w:rsidRPr="00AB212F" w:rsidRDefault="00C576F4" w:rsidP="00AB212F">
            <w:pPr>
              <w:pStyle w:val="Textintable"/>
              <w:rPr>
                <w:b/>
                <w:bCs/>
              </w:rPr>
            </w:pPr>
            <w:r w:rsidRPr="00AB212F">
              <w:rPr>
                <w:b/>
                <w:bCs/>
              </w:rPr>
              <w:t>Relevance</w:t>
            </w:r>
          </w:p>
        </w:tc>
        <w:tc>
          <w:tcPr>
            <w:tcW w:w="54" w:type="pct"/>
            <w:tcBorders>
              <w:top w:val="single" w:sz="4" w:space="0" w:color="auto"/>
            </w:tcBorders>
          </w:tcPr>
          <w:p w14:paraId="3CAE0147" w14:textId="77777777" w:rsidR="00C576F4" w:rsidRPr="00AB212F" w:rsidRDefault="00C576F4" w:rsidP="00AB212F">
            <w:pPr>
              <w:pStyle w:val="Textintable"/>
              <w:rPr>
                <w:b/>
                <w:bCs/>
              </w:rPr>
            </w:pPr>
          </w:p>
        </w:tc>
        <w:tc>
          <w:tcPr>
            <w:tcW w:w="1586" w:type="pct"/>
            <w:gridSpan w:val="4"/>
            <w:tcBorders>
              <w:top w:val="single" w:sz="4" w:space="0" w:color="auto"/>
              <w:bottom w:val="single" w:sz="4" w:space="0" w:color="auto"/>
            </w:tcBorders>
          </w:tcPr>
          <w:p w14:paraId="7A73C880" w14:textId="456F2658" w:rsidR="00C576F4" w:rsidRPr="00AB212F" w:rsidRDefault="00C576F4" w:rsidP="00AB212F">
            <w:pPr>
              <w:pStyle w:val="Textintable"/>
              <w:rPr>
                <w:b/>
                <w:bCs/>
              </w:rPr>
            </w:pPr>
            <w:r w:rsidRPr="00AB212F">
              <w:rPr>
                <w:b/>
                <w:bCs/>
              </w:rPr>
              <w:t>Feasibility</w:t>
            </w:r>
            <w:r w:rsidR="00F74860" w:rsidRPr="00AB212F">
              <w:rPr>
                <w:b/>
                <w:bCs/>
              </w:rPr>
              <w:t xml:space="preserve"> &amp; Acceptability</w:t>
            </w:r>
          </w:p>
        </w:tc>
        <w:tc>
          <w:tcPr>
            <w:tcW w:w="56" w:type="pct"/>
            <w:tcBorders>
              <w:top w:val="single" w:sz="4" w:space="0" w:color="auto"/>
            </w:tcBorders>
          </w:tcPr>
          <w:p w14:paraId="46DFC0D3" w14:textId="77777777" w:rsidR="00C576F4" w:rsidRPr="00AB212F" w:rsidRDefault="00C576F4" w:rsidP="00AB212F">
            <w:pPr>
              <w:pStyle w:val="Textintable"/>
              <w:rPr>
                <w:b/>
                <w:bCs/>
              </w:rPr>
            </w:pPr>
          </w:p>
        </w:tc>
        <w:tc>
          <w:tcPr>
            <w:tcW w:w="1608" w:type="pct"/>
            <w:gridSpan w:val="3"/>
            <w:tcBorders>
              <w:top w:val="single" w:sz="4" w:space="0" w:color="auto"/>
              <w:bottom w:val="single" w:sz="4" w:space="0" w:color="auto"/>
            </w:tcBorders>
          </w:tcPr>
          <w:p w14:paraId="10F52EE7" w14:textId="532F4985" w:rsidR="00C576F4" w:rsidRPr="00AB212F" w:rsidRDefault="00C576F4" w:rsidP="00AB212F">
            <w:pPr>
              <w:pStyle w:val="Textintable"/>
              <w:rPr>
                <w:b/>
                <w:bCs/>
              </w:rPr>
            </w:pPr>
            <w:r w:rsidRPr="00AB212F">
              <w:rPr>
                <w:b/>
                <w:bCs/>
              </w:rPr>
              <w:t xml:space="preserve">Psychometric </w:t>
            </w:r>
            <w:r w:rsidR="00F74860" w:rsidRPr="00AB212F">
              <w:rPr>
                <w:b/>
                <w:bCs/>
              </w:rPr>
              <w:t>Performance</w:t>
            </w:r>
            <w:r w:rsidRPr="00AB212F">
              <w:rPr>
                <w:b/>
                <w:bCs/>
              </w:rPr>
              <w:t xml:space="preserve"> </w:t>
            </w:r>
            <w:r w:rsidRPr="00123104">
              <w:rPr>
                <w:b/>
                <w:bCs/>
                <w:vertAlign w:val="superscript"/>
              </w:rPr>
              <w:t>a</w:t>
            </w:r>
          </w:p>
        </w:tc>
      </w:tr>
      <w:tr w:rsidR="00C576F4" w:rsidRPr="00AB212F" w14:paraId="67A6EBBA" w14:textId="77777777" w:rsidTr="00A33949">
        <w:trPr>
          <w:trHeight w:val="109"/>
        </w:trPr>
        <w:tc>
          <w:tcPr>
            <w:tcW w:w="438" w:type="pct"/>
          </w:tcPr>
          <w:p w14:paraId="29DFFBCD" w14:textId="77777777" w:rsidR="00C576F4" w:rsidRPr="00AB212F" w:rsidRDefault="00C576F4" w:rsidP="00AB212F">
            <w:pPr>
              <w:pStyle w:val="Textintable"/>
            </w:pPr>
          </w:p>
        </w:tc>
        <w:tc>
          <w:tcPr>
            <w:tcW w:w="492" w:type="pct"/>
          </w:tcPr>
          <w:p w14:paraId="10CBAC1C" w14:textId="77777777" w:rsidR="00C576F4" w:rsidRPr="00AB212F" w:rsidRDefault="00C576F4" w:rsidP="00AB212F">
            <w:pPr>
              <w:pStyle w:val="Textintable"/>
            </w:pPr>
          </w:p>
        </w:tc>
        <w:tc>
          <w:tcPr>
            <w:tcW w:w="55" w:type="pct"/>
          </w:tcPr>
          <w:p w14:paraId="70967055" w14:textId="77777777" w:rsidR="00C576F4" w:rsidRPr="00AB212F" w:rsidRDefault="00C576F4" w:rsidP="00AB212F">
            <w:pPr>
              <w:pStyle w:val="Textintable"/>
            </w:pPr>
          </w:p>
        </w:tc>
        <w:tc>
          <w:tcPr>
            <w:tcW w:w="711" w:type="pct"/>
            <w:tcBorders>
              <w:top w:val="single" w:sz="4" w:space="0" w:color="auto"/>
              <w:bottom w:val="single" w:sz="4" w:space="0" w:color="auto"/>
            </w:tcBorders>
          </w:tcPr>
          <w:p w14:paraId="566055A1" w14:textId="77777777" w:rsidR="00C576F4" w:rsidRPr="00AB212F" w:rsidRDefault="00C576F4" w:rsidP="00AB212F">
            <w:pPr>
              <w:pStyle w:val="Textintable"/>
              <w:rPr>
                <w:b/>
                <w:bCs/>
              </w:rPr>
            </w:pPr>
            <w:r w:rsidRPr="00AB212F">
              <w:rPr>
                <w:b/>
                <w:bCs/>
              </w:rPr>
              <w:t>Domain coverage</w:t>
            </w:r>
          </w:p>
        </w:tc>
        <w:tc>
          <w:tcPr>
            <w:tcW w:w="54" w:type="pct"/>
          </w:tcPr>
          <w:p w14:paraId="48C1D8EE" w14:textId="77777777" w:rsidR="00C576F4" w:rsidRPr="00AB212F" w:rsidRDefault="00C576F4" w:rsidP="00AB212F">
            <w:pPr>
              <w:pStyle w:val="Textintable"/>
              <w:rPr>
                <w:b/>
                <w:bCs/>
              </w:rPr>
            </w:pPr>
          </w:p>
        </w:tc>
        <w:tc>
          <w:tcPr>
            <w:tcW w:w="383" w:type="pct"/>
            <w:tcBorders>
              <w:top w:val="single" w:sz="4" w:space="0" w:color="auto"/>
              <w:bottom w:val="single" w:sz="4" w:space="0" w:color="auto"/>
            </w:tcBorders>
          </w:tcPr>
          <w:p w14:paraId="4FABFB53" w14:textId="77777777" w:rsidR="00C576F4" w:rsidRPr="00AB212F" w:rsidRDefault="00C576F4" w:rsidP="00AB212F">
            <w:pPr>
              <w:pStyle w:val="Textintable"/>
              <w:rPr>
                <w:b/>
                <w:bCs/>
              </w:rPr>
            </w:pPr>
            <w:r w:rsidRPr="00AB212F">
              <w:rPr>
                <w:b/>
                <w:bCs/>
              </w:rPr>
              <w:t>Short</w:t>
            </w:r>
          </w:p>
        </w:tc>
        <w:tc>
          <w:tcPr>
            <w:tcW w:w="383" w:type="pct"/>
            <w:tcBorders>
              <w:top w:val="single" w:sz="4" w:space="0" w:color="auto"/>
              <w:bottom w:val="single" w:sz="4" w:space="0" w:color="auto"/>
            </w:tcBorders>
          </w:tcPr>
          <w:p w14:paraId="13D58954" w14:textId="77777777" w:rsidR="00C576F4" w:rsidRPr="00AB212F" w:rsidRDefault="00C576F4" w:rsidP="00AB212F">
            <w:pPr>
              <w:pStyle w:val="Textintable"/>
              <w:rPr>
                <w:b/>
                <w:bCs/>
              </w:rPr>
            </w:pPr>
            <w:r w:rsidRPr="00AB212F">
              <w:rPr>
                <w:b/>
                <w:bCs/>
              </w:rPr>
              <w:t>Free</w:t>
            </w:r>
          </w:p>
        </w:tc>
        <w:tc>
          <w:tcPr>
            <w:tcW w:w="437" w:type="pct"/>
            <w:tcBorders>
              <w:top w:val="single" w:sz="4" w:space="0" w:color="auto"/>
              <w:bottom w:val="single" w:sz="4" w:space="0" w:color="auto"/>
            </w:tcBorders>
          </w:tcPr>
          <w:p w14:paraId="02021DC2" w14:textId="77777777" w:rsidR="00C576F4" w:rsidRPr="00AB212F" w:rsidRDefault="00C576F4" w:rsidP="00AB212F">
            <w:pPr>
              <w:pStyle w:val="Textintable"/>
              <w:rPr>
                <w:b/>
                <w:bCs/>
              </w:rPr>
            </w:pPr>
            <w:r w:rsidRPr="00AB212F">
              <w:rPr>
                <w:b/>
                <w:bCs/>
              </w:rPr>
              <w:t>Validated</w:t>
            </w:r>
          </w:p>
        </w:tc>
        <w:tc>
          <w:tcPr>
            <w:tcW w:w="383" w:type="pct"/>
            <w:tcBorders>
              <w:top w:val="single" w:sz="4" w:space="0" w:color="auto"/>
              <w:bottom w:val="single" w:sz="4" w:space="0" w:color="auto"/>
            </w:tcBorders>
          </w:tcPr>
          <w:p w14:paraId="263C3E78" w14:textId="77777777" w:rsidR="00C576F4" w:rsidRPr="00AB212F" w:rsidRDefault="00C576F4" w:rsidP="00AB212F">
            <w:pPr>
              <w:pStyle w:val="Textintable"/>
              <w:rPr>
                <w:b/>
                <w:bCs/>
              </w:rPr>
            </w:pPr>
            <w:r w:rsidRPr="00AB212F">
              <w:rPr>
                <w:b/>
                <w:bCs/>
              </w:rPr>
              <w:t>Translated</w:t>
            </w:r>
          </w:p>
        </w:tc>
        <w:tc>
          <w:tcPr>
            <w:tcW w:w="56" w:type="pct"/>
          </w:tcPr>
          <w:p w14:paraId="703554C4" w14:textId="77777777" w:rsidR="00C576F4" w:rsidRPr="00AB212F" w:rsidRDefault="00C576F4" w:rsidP="00AB212F">
            <w:pPr>
              <w:pStyle w:val="Textintable"/>
              <w:rPr>
                <w:b/>
                <w:bCs/>
              </w:rPr>
            </w:pPr>
          </w:p>
        </w:tc>
        <w:tc>
          <w:tcPr>
            <w:tcW w:w="492" w:type="pct"/>
            <w:tcBorders>
              <w:top w:val="single" w:sz="4" w:space="0" w:color="auto"/>
              <w:bottom w:val="single" w:sz="4" w:space="0" w:color="auto"/>
            </w:tcBorders>
          </w:tcPr>
          <w:p w14:paraId="4901C582" w14:textId="77777777" w:rsidR="00C576F4" w:rsidRPr="00AB212F" w:rsidRDefault="00C576F4" w:rsidP="00AB212F">
            <w:pPr>
              <w:pStyle w:val="Textintable"/>
              <w:rPr>
                <w:b/>
                <w:bCs/>
              </w:rPr>
            </w:pPr>
            <w:r w:rsidRPr="00AB212F">
              <w:rPr>
                <w:b/>
                <w:bCs/>
              </w:rPr>
              <w:t>Reliability</w:t>
            </w:r>
          </w:p>
        </w:tc>
        <w:tc>
          <w:tcPr>
            <w:tcW w:w="491" w:type="pct"/>
            <w:tcBorders>
              <w:top w:val="single" w:sz="4" w:space="0" w:color="auto"/>
              <w:bottom w:val="single" w:sz="4" w:space="0" w:color="auto"/>
            </w:tcBorders>
          </w:tcPr>
          <w:p w14:paraId="6402F20D" w14:textId="77777777" w:rsidR="00C576F4" w:rsidRPr="00AB212F" w:rsidRDefault="00C576F4" w:rsidP="00AB212F">
            <w:pPr>
              <w:pStyle w:val="Textintable"/>
              <w:rPr>
                <w:b/>
                <w:bCs/>
              </w:rPr>
            </w:pPr>
            <w:r w:rsidRPr="00AB212F">
              <w:rPr>
                <w:b/>
                <w:bCs/>
              </w:rPr>
              <w:t>Validity</w:t>
            </w:r>
          </w:p>
        </w:tc>
        <w:tc>
          <w:tcPr>
            <w:tcW w:w="625" w:type="pct"/>
            <w:tcBorders>
              <w:top w:val="single" w:sz="4" w:space="0" w:color="auto"/>
              <w:bottom w:val="single" w:sz="4" w:space="0" w:color="auto"/>
            </w:tcBorders>
          </w:tcPr>
          <w:p w14:paraId="600CD727" w14:textId="77777777" w:rsidR="00C576F4" w:rsidRPr="00AB212F" w:rsidRDefault="00C576F4" w:rsidP="00AB212F">
            <w:pPr>
              <w:pStyle w:val="Textintable"/>
              <w:rPr>
                <w:b/>
                <w:bCs/>
              </w:rPr>
            </w:pPr>
            <w:r w:rsidRPr="00AB212F">
              <w:rPr>
                <w:b/>
                <w:bCs/>
              </w:rPr>
              <w:t>Sensitivity to change</w:t>
            </w:r>
          </w:p>
        </w:tc>
      </w:tr>
      <w:tr w:rsidR="009B5BA0" w:rsidRPr="00AB212F" w14:paraId="3B78CCB6" w14:textId="77777777" w:rsidTr="00A33949">
        <w:trPr>
          <w:trHeight w:val="523"/>
        </w:trPr>
        <w:tc>
          <w:tcPr>
            <w:tcW w:w="438" w:type="pct"/>
            <w:vAlign w:val="bottom"/>
          </w:tcPr>
          <w:p w14:paraId="09AE2261" w14:textId="77777777" w:rsidR="009B5BA0" w:rsidRPr="00AB212F" w:rsidRDefault="009B5BA0" w:rsidP="009B5BA0">
            <w:pPr>
              <w:pStyle w:val="Textintable"/>
            </w:pPr>
            <w:r w:rsidRPr="00AB212F">
              <w:t>Outcome</w:t>
            </w:r>
          </w:p>
        </w:tc>
        <w:tc>
          <w:tcPr>
            <w:tcW w:w="492" w:type="pct"/>
            <w:vAlign w:val="bottom"/>
          </w:tcPr>
          <w:p w14:paraId="7869949D" w14:textId="77777777" w:rsidR="009B5BA0" w:rsidRPr="00AB212F" w:rsidRDefault="009B5BA0" w:rsidP="009B5BA0">
            <w:pPr>
              <w:pStyle w:val="Textintable"/>
            </w:pPr>
            <w:r w:rsidRPr="00AB212F">
              <w:t>Measure</w:t>
            </w:r>
          </w:p>
        </w:tc>
        <w:tc>
          <w:tcPr>
            <w:tcW w:w="55" w:type="pct"/>
          </w:tcPr>
          <w:p w14:paraId="05773FC7" w14:textId="77777777" w:rsidR="009B5BA0" w:rsidRPr="00AB212F" w:rsidRDefault="009B5BA0" w:rsidP="009B5BA0">
            <w:pPr>
              <w:pStyle w:val="Textintable"/>
            </w:pPr>
          </w:p>
        </w:tc>
        <w:tc>
          <w:tcPr>
            <w:tcW w:w="711" w:type="pct"/>
            <w:tcBorders>
              <w:top w:val="single" w:sz="4" w:space="0" w:color="auto"/>
            </w:tcBorders>
          </w:tcPr>
          <w:p w14:paraId="4AD668C5" w14:textId="7EF81AE6" w:rsidR="009B5BA0" w:rsidRPr="00AB212F" w:rsidRDefault="009B5BA0" w:rsidP="009B5BA0">
            <w:pPr>
              <w:pStyle w:val="Textintable"/>
            </w:pPr>
            <w:r>
              <w:t>Satisfactory domain coverage at subscale or item level</w:t>
            </w:r>
          </w:p>
        </w:tc>
        <w:tc>
          <w:tcPr>
            <w:tcW w:w="54" w:type="pct"/>
          </w:tcPr>
          <w:p w14:paraId="1E7E1F3E" w14:textId="77777777" w:rsidR="009B5BA0" w:rsidRPr="00AB212F" w:rsidRDefault="009B5BA0" w:rsidP="009B5BA0">
            <w:pPr>
              <w:pStyle w:val="Textintable"/>
            </w:pPr>
          </w:p>
        </w:tc>
        <w:tc>
          <w:tcPr>
            <w:tcW w:w="383" w:type="pct"/>
            <w:tcBorders>
              <w:top w:val="single" w:sz="4" w:space="0" w:color="auto"/>
              <w:bottom w:val="single" w:sz="4" w:space="0" w:color="auto"/>
            </w:tcBorders>
          </w:tcPr>
          <w:p w14:paraId="6781408C" w14:textId="77777777" w:rsidR="009B5BA0" w:rsidRPr="00AB212F" w:rsidRDefault="009B5BA0" w:rsidP="009B5BA0">
            <w:pPr>
              <w:pStyle w:val="Textintable"/>
            </w:pPr>
            <w:r w:rsidRPr="00AB212F">
              <w:t xml:space="preserve">&lt; 60 items / </w:t>
            </w:r>
          </w:p>
          <w:p w14:paraId="64962F72" w14:textId="77777777" w:rsidR="009B5BA0" w:rsidRPr="00AB212F" w:rsidRDefault="009B5BA0" w:rsidP="009B5BA0">
            <w:pPr>
              <w:pStyle w:val="Textintable"/>
            </w:pPr>
            <w:r w:rsidRPr="00AB212F">
              <w:t>&lt; 20 min</w:t>
            </w:r>
          </w:p>
        </w:tc>
        <w:tc>
          <w:tcPr>
            <w:tcW w:w="383" w:type="pct"/>
            <w:tcBorders>
              <w:top w:val="single" w:sz="4" w:space="0" w:color="auto"/>
              <w:bottom w:val="single" w:sz="4" w:space="0" w:color="auto"/>
            </w:tcBorders>
          </w:tcPr>
          <w:p w14:paraId="70A71A87" w14:textId="77777777" w:rsidR="009B5BA0" w:rsidRPr="00AB212F" w:rsidRDefault="009B5BA0" w:rsidP="009B5BA0">
            <w:pPr>
              <w:pStyle w:val="Textintable"/>
            </w:pPr>
            <w:r w:rsidRPr="00AB212F">
              <w:t xml:space="preserve">No licencing costs / restrictions </w:t>
            </w:r>
          </w:p>
        </w:tc>
        <w:tc>
          <w:tcPr>
            <w:tcW w:w="437" w:type="pct"/>
            <w:tcBorders>
              <w:top w:val="single" w:sz="4" w:space="0" w:color="auto"/>
              <w:bottom w:val="single" w:sz="4" w:space="0" w:color="auto"/>
            </w:tcBorders>
          </w:tcPr>
          <w:p w14:paraId="55B19F62" w14:textId="77777777" w:rsidR="009B5BA0" w:rsidRPr="00AB212F" w:rsidRDefault="009B5BA0" w:rsidP="009B5BA0">
            <w:pPr>
              <w:pStyle w:val="Textintable"/>
            </w:pPr>
            <w:r w:rsidRPr="00AB212F">
              <w:t>At least one validation in a CYP sample</w:t>
            </w:r>
          </w:p>
        </w:tc>
        <w:tc>
          <w:tcPr>
            <w:tcW w:w="383" w:type="pct"/>
            <w:tcBorders>
              <w:top w:val="single" w:sz="4" w:space="0" w:color="auto"/>
              <w:bottom w:val="single" w:sz="4" w:space="0" w:color="auto"/>
            </w:tcBorders>
          </w:tcPr>
          <w:p w14:paraId="1A3C53A3" w14:textId="70646BB9" w:rsidR="009B5BA0" w:rsidRPr="00AB212F" w:rsidRDefault="009B5BA0" w:rsidP="009B5BA0">
            <w:pPr>
              <w:pStyle w:val="Textintable"/>
            </w:pPr>
            <w:r w:rsidRPr="00AB212F">
              <w:t>&gt;1 language version available</w:t>
            </w:r>
          </w:p>
        </w:tc>
        <w:tc>
          <w:tcPr>
            <w:tcW w:w="56" w:type="pct"/>
          </w:tcPr>
          <w:p w14:paraId="1761504F" w14:textId="77777777" w:rsidR="009B5BA0" w:rsidRPr="00AB212F" w:rsidRDefault="009B5BA0" w:rsidP="009B5BA0">
            <w:pPr>
              <w:pStyle w:val="Textintable"/>
            </w:pPr>
          </w:p>
        </w:tc>
        <w:tc>
          <w:tcPr>
            <w:tcW w:w="492" w:type="pct"/>
            <w:tcBorders>
              <w:top w:val="single" w:sz="4" w:space="0" w:color="auto"/>
              <w:bottom w:val="single" w:sz="4" w:space="0" w:color="auto"/>
            </w:tcBorders>
          </w:tcPr>
          <w:p w14:paraId="0B52B41B" w14:textId="307CEF95" w:rsidR="009B5BA0" w:rsidRPr="00AB212F" w:rsidRDefault="009B5BA0" w:rsidP="009B5BA0">
            <w:pPr>
              <w:pStyle w:val="Textintable"/>
            </w:pPr>
            <w:r w:rsidRPr="00AB212F">
              <w:t>Test-retest reliability (TRT) or inter-rater reliability (IRR) ≥ 0.70</w:t>
            </w:r>
          </w:p>
        </w:tc>
        <w:tc>
          <w:tcPr>
            <w:tcW w:w="491" w:type="pct"/>
            <w:tcBorders>
              <w:top w:val="single" w:sz="4" w:space="0" w:color="auto"/>
              <w:bottom w:val="single" w:sz="4" w:space="0" w:color="auto"/>
            </w:tcBorders>
          </w:tcPr>
          <w:p w14:paraId="7ED41545" w14:textId="69810EEE" w:rsidR="009B5BA0" w:rsidRPr="00AB212F" w:rsidRDefault="009B5BA0" w:rsidP="009B5BA0">
            <w:pPr>
              <w:pStyle w:val="Textintable"/>
            </w:pPr>
            <w:r w:rsidRPr="00AB212F">
              <w:t>Internal consistency (e.g. Cronbach Alpha ≥ 0.70</w:t>
            </w:r>
          </w:p>
        </w:tc>
        <w:tc>
          <w:tcPr>
            <w:tcW w:w="625" w:type="pct"/>
            <w:tcBorders>
              <w:top w:val="single" w:sz="4" w:space="0" w:color="auto"/>
              <w:bottom w:val="single" w:sz="4" w:space="0" w:color="auto"/>
            </w:tcBorders>
          </w:tcPr>
          <w:p w14:paraId="2940F161" w14:textId="77777777" w:rsidR="009B5BA0" w:rsidRPr="00AB212F" w:rsidRDefault="009B5BA0" w:rsidP="009B5BA0">
            <w:pPr>
              <w:pStyle w:val="Textintable"/>
            </w:pPr>
            <w:r w:rsidRPr="00AB212F">
              <w:t>Any evidence of sensitivity to change</w:t>
            </w:r>
          </w:p>
        </w:tc>
      </w:tr>
      <w:tr w:rsidR="009B5BA0" w:rsidRPr="00AB212F" w14:paraId="2F322BD2" w14:textId="77777777" w:rsidTr="00A33949">
        <w:tc>
          <w:tcPr>
            <w:tcW w:w="438" w:type="pct"/>
            <w:tcBorders>
              <w:top w:val="single" w:sz="4" w:space="0" w:color="auto"/>
            </w:tcBorders>
          </w:tcPr>
          <w:p w14:paraId="24523DFB" w14:textId="77777777" w:rsidR="009B5BA0" w:rsidRPr="00D53C69" w:rsidRDefault="009B5BA0" w:rsidP="009B5BA0">
            <w:pPr>
              <w:pStyle w:val="Textintable"/>
              <w:rPr>
                <w:b/>
                <w:bCs/>
              </w:rPr>
            </w:pPr>
            <w:r w:rsidRPr="00D53C69">
              <w:rPr>
                <w:b/>
                <w:bCs/>
              </w:rPr>
              <w:t>Symptoms</w:t>
            </w:r>
          </w:p>
        </w:tc>
        <w:tc>
          <w:tcPr>
            <w:tcW w:w="492" w:type="pct"/>
            <w:tcBorders>
              <w:top w:val="single" w:sz="4" w:space="0" w:color="auto"/>
            </w:tcBorders>
          </w:tcPr>
          <w:p w14:paraId="02209430" w14:textId="77777777" w:rsidR="009B5BA0" w:rsidRPr="00D53C69" w:rsidRDefault="009B5BA0" w:rsidP="009B5BA0">
            <w:pPr>
              <w:pStyle w:val="Textintable"/>
            </w:pPr>
          </w:p>
        </w:tc>
        <w:tc>
          <w:tcPr>
            <w:tcW w:w="55" w:type="pct"/>
            <w:tcBorders>
              <w:top w:val="single" w:sz="4" w:space="0" w:color="auto"/>
            </w:tcBorders>
          </w:tcPr>
          <w:p w14:paraId="36E1AC49" w14:textId="77777777" w:rsidR="009B5BA0" w:rsidRPr="00D53C69" w:rsidRDefault="009B5BA0" w:rsidP="009B5BA0">
            <w:pPr>
              <w:pStyle w:val="Textintable"/>
            </w:pPr>
          </w:p>
        </w:tc>
        <w:tc>
          <w:tcPr>
            <w:tcW w:w="711" w:type="pct"/>
            <w:tcBorders>
              <w:top w:val="single" w:sz="4" w:space="0" w:color="auto"/>
            </w:tcBorders>
          </w:tcPr>
          <w:p w14:paraId="0A9B44DE" w14:textId="77777777" w:rsidR="009B5BA0" w:rsidRPr="00D53C69" w:rsidRDefault="009B5BA0" w:rsidP="009B5BA0">
            <w:pPr>
              <w:pStyle w:val="Textintable"/>
            </w:pPr>
          </w:p>
        </w:tc>
        <w:tc>
          <w:tcPr>
            <w:tcW w:w="54" w:type="pct"/>
            <w:tcBorders>
              <w:top w:val="single" w:sz="4" w:space="0" w:color="auto"/>
            </w:tcBorders>
          </w:tcPr>
          <w:p w14:paraId="01ADA2B0" w14:textId="77777777" w:rsidR="009B5BA0" w:rsidRPr="00D53C69" w:rsidRDefault="009B5BA0" w:rsidP="009B5BA0">
            <w:pPr>
              <w:pStyle w:val="Textintable"/>
            </w:pPr>
          </w:p>
        </w:tc>
        <w:tc>
          <w:tcPr>
            <w:tcW w:w="383" w:type="pct"/>
            <w:tcBorders>
              <w:top w:val="single" w:sz="4" w:space="0" w:color="auto"/>
            </w:tcBorders>
          </w:tcPr>
          <w:p w14:paraId="7D46E997" w14:textId="77777777" w:rsidR="009B5BA0" w:rsidRPr="00D53C69" w:rsidRDefault="009B5BA0" w:rsidP="009B5BA0">
            <w:pPr>
              <w:pStyle w:val="Textintable"/>
            </w:pPr>
          </w:p>
        </w:tc>
        <w:tc>
          <w:tcPr>
            <w:tcW w:w="383" w:type="pct"/>
            <w:tcBorders>
              <w:top w:val="single" w:sz="4" w:space="0" w:color="auto"/>
            </w:tcBorders>
          </w:tcPr>
          <w:p w14:paraId="247C33C8" w14:textId="77777777" w:rsidR="009B5BA0" w:rsidRPr="00D53C69" w:rsidRDefault="009B5BA0" w:rsidP="009B5BA0">
            <w:pPr>
              <w:pStyle w:val="Textintable"/>
            </w:pPr>
          </w:p>
        </w:tc>
        <w:tc>
          <w:tcPr>
            <w:tcW w:w="437" w:type="pct"/>
            <w:tcBorders>
              <w:top w:val="single" w:sz="4" w:space="0" w:color="auto"/>
            </w:tcBorders>
          </w:tcPr>
          <w:p w14:paraId="4BDB35AE" w14:textId="77777777" w:rsidR="009B5BA0" w:rsidRPr="00D53C69" w:rsidRDefault="009B5BA0" w:rsidP="009B5BA0">
            <w:pPr>
              <w:pStyle w:val="Textintable"/>
            </w:pPr>
          </w:p>
        </w:tc>
        <w:tc>
          <w:tcPr>
            <w:tcW w:w="383" w:type="pct"/>
            <w:tcBorders>
              <w:top w:val="single" w:sz="4" w:space="0" w:color="auto"/>
            </w:tcBorders>
          </w:tcPr>
          <w:p w14:paraId="33A72CA1" w14:textId="77777777" w:rsidR="009B5BA0" w:rsidRPr="00D53C69" w:rsidRDefault="009B5BA0" w:rsidP="009B5BA0">
            <w:pPr>
              <w:pStyle w:val="Textintable"/>
            </w:pPr>
          </w:p>
        </w:tc>
        <w:tc>
          <w:tcPr>
            <w:tcW w:w="56" w:type="pct"/>
            <w:tcBorders>
              <w:top w:val="single" w:sz="4" w:space="0" w:color="auto"/>
            </w:tcBorders>
          </w:tcPr>
          <w:p w14:paraId="2F67DCDA" w14:textId="77777777" w:rsidR="009B5BA0" w:rsidRPr="00D53C69" w:rsidRDefault="009B5BA0" w:rsidP="009B5BA0">
            <w:pPr>
              <w:pStyle w:val="Textintable"/>
            </w:pPr>
          </w:p>
        </w:tc>
        <w:tc>
          <w:tcPr>
            <w:tcW w:w="492" w:type="pct"/>
            <w:tcBorders>
              <w:top w:val="single" w:sz="4" w:space="0" w:color="auto"/>
            </w:tcBorders>
          </w:tcPr>
          <w:p w14:paraId="3E907229" w14:textId="77777777" w:rsidR="009B5BA0" w:rsidRPr="00D53C69" w:rsidRDefault="009B5BA0" w:rsidP="009B5BA0">
            <w:pPr>
              <w:pStyle w:val="Textintable"/>
            </w:pPr>
          </w:p>
        </w:tc>
        <w:tc>
          <w:tcPr>
            <w:tcW w:w="491" w:type="pct"/>
            <w:tcBorders>
              <w:top w:val="single" w:sz="4" w:space="0" w:color="auto"/>
            </w:tcBorders>
          </w:tcPr>
          <w:p w14:paraId="46785600" w14:textId="77777777" w:rsidR="009B5BA0" w:rsidRPr="00D53C69" w:rsidRDefault="009B5BA0" w:rsidP="009B5BA0">
            <w:pPr>
              <w:pStyle w:val="Textintable"/>
            </w:pPr>
          </w:p>
        </w:tc>
        <w:tc>
          <w:tcPr>
            <w:tcW w:w="625" w:type="pct"/>
            <w:tcBorders>
              <w:top w:val="single" w:sz="4" w:space="0" w:color="auto"/>
            </w:tcBorders>
          </w:tcPr>
          <w:p w14:paraId="1188264E" w14:textId="77777777" w:rsidR="009B5BA0" w:rsidRPr="00D53C69" w:rsidRDefault="009B5BA0" w:rsidP="009B5BA0">
            <w:pPr>
              <w:pStyle w:val="Textintable"/>
            </w:pPr>
          </w:p>
        </w:tc>
      </w:tr>
      <w:tr w:rsidR="009B5BA0" w:rsidRPr="00AB212F" w14:paraId="261D9EFD" w14:textId="77777777" w:rsidTr="00A33949">
        <w:tc>
          <w:tcPr>
            <w:tcW w:w="438" w:type="pct"/>
          </w:tcPr>
          <w:p w14:paraId="32C7D495" w14:textId="36ED973E" w:rsidR="009B5BA0" w:rsidRPr="00D53C69" w:rsidRDefault="009B5BA0" w:rsidP="009B5BA0">
            <w:pPr>
              <w:pStyle w:val="Textintable"/>
            </w:pPr>
            <w:r w:rsidRPr="00D53C69">
              <w:t xml:space="preserve">Anxiety &amp;  depression </w:t>
            </w:r>
          </w:p>
        </w:tc>
        <w:tc>
          <w:tcPr>
            <w:tcW w:w="492" w:type="pct"/>
          </w:tcPr>
          <w:p w14:paraId="373321EF" w14:textId="77777777" w:rsidR="009B5BA0" w:rsidRPr="00D53C69" w:rsidRDefault="009B5BA0" w:rsidP="009B5BA0">
            <w:pPr>
              <w:pStyle w:val="Textintable"/>
            </w:pPr>
            <w:r w:rsidRPr="00D53C69">
              <w:t>RCADS-25</w:t>
            </w:r>
          </w:p>
        </w:tc>
        <w:tc>
          <w:tcPr>
            <w:tcW w:w="55" w:type="pct"/>
          </w:tcPr>
          <w:p w14:paraId="3FA9A471" w14:textId="77777777" w:rsidR="009B5BA0" w:rsidRPr="00D53C69" w:rsidRDefault="009B5BA0" w:rsidP="009B5BA0">
            <w:pPr>
              <w:pStyle w:val="Textintable"/>
            </w:pPr>
          </w:p>
        </w:tc>
        <w:tc>
          <w:tcPr>
            <w:tcW w:w="711" w:type="pct"/>
          </w:tcPr>
          <w:p w14:paraId="6A165BFD" w14:textId="77777777" w:rsidR="009B5BA0" w:rsidRPr="00D53C69" w:rsidRDefault="009B5BA0" w:rsidP="009B5BA0">
            <w:pPr>
              <w:pStyle w:val="Textintable"/>
            </w:pPr>
            <w:r w:rsidRPr="00D53C69">
              <w:t>GAD; MDD; OCD; PD; SAD; SP</w:t>
            </w:r>
          </w:p>
        </w:tc>
        <w:tc>
          <w:tcPr>
            <w:tcW w:w="54" w:type="pct"/>
          </w:tcPr>
          <w:p w14:paraId="76D3EA0D" w14:textId="77777777" w:rsidR="009B5BA0" w:rsidRPr="00D53C69" w:rsidRDefault="009B5BA0" w:rsidP="009B5BA0">
            <w:pPr>
              <w:pStyle w:val="Textintable"/>
            </w:pPr>
          </w:p>
        </w:tc>
        <w:tc>
          <w:tcPr>
            <w:tcW w:w="383" w:type="pct"/>
          </w:tcPr>
          <w:p w14:paraId="3AC6D934" w14:textId="77777777" w:rsidR="009B5BA0" w:rsidRPr="00D53C69" w:rsidRDefault="009B5BA0" w:rsidP="009B5BA0">
            <w:pPr>
              <w:pStyle w:val="Textintable"/>
            </w:pPr>
            <w:r w:rsidRPr="00D53C69">
              <w:t>25 items</w:t>
            </w:r>
          </w:p>
          <w:p w14:paraId="798769B1" w14:textId="77777777" w:rsidR="009B5BA0" w:rsidRPr="00D53C69" w:rsidRDefault="009B5BA0" w:rsidP="009B5BA0">
            <w:pPr>
              <w:pStyle w:val="Textintable"/>
            </w:pPr>
            <w:r w:rsidRPr="00D53C69">
              <w:t>(&lt; 10 min)</w:t>
            </w:r>
          </w:p>
        </w:tc>
        <w:tc>
          <w:tcPr>
            <w:tcW w:w="383" w:type="pct"/>
          </w:tcPr>
          <w:p w14:paraId="5AEEA848" w14:textId="77777777" w:rsidR="009B5BA0" w:rsidRPr="00D53C69" w:rsidRDefault="009B5BA0" w:rsidP="009B5BA0">
            <w:pPr>
              <w:pStyle w:val="Textintable"/>
            </w:pPr>
            <w:r w:rsidRPr="00D53C69">
              <w:t>Yes</w:t>
            </w:r>
          </w:p>
        </w:tc>
        <w:tc>
          <w:tcPr>
            <w:tcW w:w="437" w:type="pct"/>
          </w:tcPr>
          <w:p w14:paraId="10BAAB19" w14:textId="77777777" w:rsidR="009B5BA0" w:rsidRPr="00D53C69" w:rsidRDefault="009B5BA0" w:rsidP="009B5BA0">
            <w:pPr>
              <w:pStyle w:val="Textintable"/>
            </w:pPr>
            <w:r w:rsidRPr="00D53C69">
              <w:t>Ages 6-18</w:t>
            </w:r>
          </w:p>
          <w:p w14:paraId="6442A8DC" w14:textId="77777777" w:rsidR="009B5BA0" w:rsidRPr="00D53C69" w:rsidRDefault="009B5BA0" w:rsidP="009B5BA0">
            <w:pPr>
              <w:pStyle w:val="Textintable"/>
            </w:pPr>
            <w:r w:rsidRPr="00D53C69">
              <w:t xml:space="preserve">cl. &amp; non-cl. </w:t>
            </w:r>
          </w:p>
        </w:tc>
        <w:tc>
          <w:tcPr>
            <w:tcW w:w="383" w:type="pct"/>
          </w:tcPr>
          <w:p w14:paraId="6C54E466" w14:textId="75D8B3E6" w:rsidR="009B5BA0" w:rsidRPr="00D53C69" w:rsidRDefault="009B5BA0" w:rsidP="009B5BA0">
            <w:pPr>
              <w:pStyle w:val="Textintable"/>
            </w:pPr>
            <w:r w:rsidRPr="00D53C69">
              <w:t>4</w:t>
            </w:r>
            <w:r w:rsidR="003D6C83" w:rsidRPr="00D53C69">
              <w:t xml:space="preserve"> </w:t>
            </w:r>
            <w:r w:rsidR="00A65F70" w:rsidRPr="00D53C69">
              <w:t xml:space="preserve">/16 </w:t>
            </w:r>
            <w:r w:rsidR="00242092" w:rsidRPr="00D53C69">
              <w:rPr>
                <w:vertAlign w:val="superscript"/>
              </w:rPr>
              <w:t>b</w:t>
            </w:r>
          </w:p>
        </w:tc>
        <w:tc>
          <w:tcPr>
            <w:tcW w:w="56" w:type="pct"/>
          </w:tcPr>
          <w:p w14:paraId="0FCB0D27" w14:textId="77777777" w:rsidR="009B5BA0" w:rsidRPr="00D53C69" w:rsidRDefault="009B5BA0" w:rsidP="009B5BA0">
            <w:pPr>
              <w:pStyle w:val="Textintable"/>
            </w:pPr>
          </w:p>
        </w:tc>
        <w:tc>
          <w:tcPr>
            <w:tcW w:w="492" w:type="pct"/>
          </w:tcPr>
          <w:p w14:paraId="7BC43A73" w14:textId="573C121A" w:rsidR="009B5BA0" w:rsidRPr="00D53C69" w:rsidRDefault="009B5BA0" w:rsidP="009B5BA0">
            <w:pPr>
              <w:pStyle w:val="Textintable"/>
            </w:pPr>
            <w:r w:rsidRPr="00D53C69">
              <w:t>TRT</w:t>
            </w:r>
            <w:r w:rsidR="004C6375" w:rsidRPr="00D53C69">
              <w:t xml:space="preserve"> </w:t>
            </w:r>
            <w:r w:rsidR="00C03BC5" w:rsidRPr="00D53C69">
              <w:rPr>
                <w:noProof/>
              </w:rPr>
              <w:t>(7</w:t>
            </w:r>
            <w:r w:rsidR="006A5A02" w:rsidRPr="00D53C69">
              <w:rPr>
                <w:noProof/>
              </w:rPr>
              <w:t>1</w:t>
            </w:r>
            <w:r w:rsidR="00C03BC5" w:rsidRPr="00D53C69">
              <w:rPr>
                <w:noProof/>
              </w:rPr>
              <w:t>)</w:t>
            </w:r>
          </w:p>
        </w:tc>
        <w:tc>
          <w:tcPr>
            <w:tcW w:w="491" w:type="pct"/>
          </w:tcPr>
          <w:p w14:paraId="32035134" w14:textId="31B64A4C" w:rsidR="009B5BA0" w:rsidRPr="00D53C69" w:rsidRDefault="009B5BA0" w:rsidP="009B5BA0">
            <w:pPr>
              <w:pStyle w:val="Textintable"/>
            </w:pPr>
            <w:r w:rsidRPr="00D53C69">
              <w:t>Yes</w:t>
            </w:r>
            <w:r w:rsidR="00BE6FCD" w:rsidRPr="00D53C69">
              <w:t xml:space="preserve"> </w:t>
            </w:r>
            <w:r w:rsidR="00C03BC5" w:rsidRPr="00D53C69">
              <w:rPr>
                <w:noProof/>
              </w:rPr>
              <w:t>(2</w:t>
            </w:r>
            <w:r w:rsidR="006A5A02" w:rsidRPr="00D53C69">
              <w:rPr>
                <w:noProof/>
              </w:rPr>
              <w:t>6</w:t>
            </w:r>
            <w:r w:rsidR="00C03BC5" w:rsidRPr="00D53C69">
              <w:rPr>
                <w:noProof/>
              </w:rPr>
              <w:t>,7</w:t>
            </w:r>
            <w:r w:rsidR="006A5A02" w:rsidRPr="00D53C69">
              <w:rPr>
                <w:noProof/>
              </w:rPr>
              <w:t>3</w:t>
            </w:r>
            <w:r w:rsidR="00C03BC5" w:rsidRPr="00D53C69">
              <w:rPr>
                <w:noProof/>
              </w:rPr>
              <w:t>)</w:t>
            </w:r>
          </w:p>
        </w:tc>
        <w:tc>
          <w:tcPr>
            <w:tcW w:w="625" w:type="pct"/>
          </w:tcPr>
          <w:p w14:paraId="444F0272" w14:textId="77777777" w:rsidR="009B5BA0" w:rsidRPr="00D53C69" w:rsidRDefault="009B5BA0" w:rsidP="009B5BA0">
            <w:pPr>
              <w:pStyle w:val="Textintable"/>
            </w:pPr>
            <w:r w:rsidRPr="00D53C69">
              <w:t>No evidence</w:t>
            </w:r>
          </w:p>
        </w:tc>
      </w:tr>
      <w:tr w:rsidR="009B5BA0" w:rsidRPr="00AB212F" w14:paraId="0BD0F34F" w14:textId="77777777" w:rsidTr="00A33949">
        <w:tc>
          <w:tcPr>
            <w:tcW w:w="438" w:type="pct"/>
          </w:tcPr>
          <w:p w14:paraId="59692600" w14:textId="77777777" w:rsidR="009B5BA0" w:rsidRPr="00D53C69" w:rsidRDefault="009B5BA0" w:rsidP="009B5BA0">
            <w:pPr>
              <w:pStyle w:val="Textintable"/>
            </w:pPr>
            <w:r w:rsidRPr="00D53C69">
              <w:t>OCD</w:t>
            </w:r>
          </w:p>
        </w:tc>
        <w:tc>
          <w:tcPr>
            <w:tcW w:w="492" w:type="pct"/>
          </w:tcPr>
          <w:p w14:paraId="31E3C2E4" w14:textId="77777777" w:rsidR="009B5BA0" w:rsidRPr="00D53C69" w:rsidRDefault="009B5BA0" w:rsidP="009B5BA0">
            <w:pPr>
              <w:pStyle w:val="Textintable"/>
            </w:pPr>
            <w:r w:rsidRPr="00D53C69">
              <w:t>OCI-CV</w:t>
            </w:r>
          </w:p>
        </w:tc>
        <w:tc>
          <w:tcPr>
            <w:tcW w:w="55" w:type="pct"/>
          </w:tcPr>
          <w:p w14:paraId="09B86618" w14:textId="77777777" w:rsidR="009B5BA0" w:rsidRPr="00D53C69" w:rsidRDefault="009B5BA0" w:rsidP="009B5BA0">
            <w:pPr>
              <w:pStyle w:val="Textintable"/>
            </w:pPr>
          </w:p>
        </w:tc>
        <w:tc>
          <w:tcPr>
            <w:tcW w:w="711" w:type="pct"/>
          </w:tcPr>
          <w:p w14:paraId="02316237" w14:textId="28DE1764" w:rsidR="009B5BA0" w:rsidRPr="00D53C69" w:rsidRDefault="009B5BA0" w:rsidP="009B5BA0">
            <w:pPr>
              <w:pStyle w:val="Textintable"/>
            </w:pPr>
            <w:r w:rsidRPr="00D53C69">
              <w:t>Doubting/checking; obsessing; hoarding; washing; ordering; neutralising</w:t>
            </w:r>
          </w:p>
        </w:tc>
        <w:tc>
          <w:tcPr>
            <w:tcW w:w="54" w:type="pct"/>
          </w:tcPr>
          <w:p w14:paraId="3B919400" w14:textId="77777777" w:rsidR="009B5BA0" w:rsidRPr="00D53C69" w:rsidRDefault="009B5BA0" w:rsidP="009B5BA0">
            <w:pPr>
              <w:pStyle w:val="Textintable"/>
            </w:pPr>
          </w:p>
        </w:tc>
        <w:tc>
          <w:tcPr>
            <w:tcW w:w="383" w:type="pct"/>
          </w:tcPr>
          <w:p w14:paraId="5AE78A6F" w14:textId="77777777" w:rsidR="009B5BA0" w:rsidRPr="00D53C69" w:rsidRDefault="009B5BA0" w:rsidP="009B5BA0">
            <w:pPr>
              <w:pStyle w:val="Textintable"/>
            </w:pPr>
            <w:r w:rsidRPr="00D53C69">
              <w:t>21 items</w:t>
            </w:r>
          </w:p>
          <w:p w14:paraId="7FB6AB46" w14:textId="77777777" w:rsidR="009B5BA0" w:rsidRPr="00D53C69" w:rsidRDefault="009B5BA0" w:rsidP="009B5BA0">
            <w:pPr>
              <w:pStyle w:val="Textintable"/>
            </w:pPr>
            <w:r w:rsidRPr="00D53C69">
              <w:t>(&lt; 10 min)</w:t>
            </w:r>
          </w:p>
        </w:tc>
        <w:tc>
          <w:tcPr>
            <w:tcW w:w="383" w:type="pct"/>
          </w:tcPr>
          <w:p w14:paraId="1DD58C4D" w14:textId="77777777" w:rsidR="009B5BA0" w:rsidRPr="00D53C69" w:rsidRDefault="009B5BA0" w:rsidP="009B5BA0">
            <w:pPr>
              <w:pStyle w:val="Textintable"/>
            </w:pPr>
            <w:r w:rsidRPr="00D53C69">
              <w:t>Yes</w:t>
            </w:r>
          </w:p>
        </w:tc>
        <w:tc>
          <w:tcPr>
            <w:tcW w:w="437" w:type="pct"/>
          </w:tcPr>
          <w:p w14:paraId="247420CB" w14:textId="77777777" w:rsidR="009B5BA0" w:rsidRPr="00D53C69" w:rsidRDefault="009B5BA0" w:rsidP="009B5BA0">
            <w:pPr>
              <w:pStyle w:val="Textintable"/>
            </w:pPr>
            <w:r w:rsidRPr="00D53C69">
              <w:t>Ages 6-18</w:t>
            </w:r>
          </w:p>
          <w:p w14:paraId="161AD5C7" w14:textId="77777777" w:rsidR="009B5BA0" w:rsidRPr="00D53C69" w:rsidRDefault="009B5BA0" w:rsidP="009B5BA0">
            <w:pPr>
              <w:pStyle w:val="Textintable"/>
            </w:pPr>
            <w:r w:rsidRPr="00D53C69">
              <w:t>cl. &amp; non-cl.</w:t>
            </w:r>
          </w:p>
        </w:tc>
        <w:tc>
          <w:tcPr>
            <w:tcW w:w="383" w:type="pct"/>
          </w:tcPr>
          <w:p w14:paraId="1E87F874" w14:textId="77777777" w:rsidR="009B5BA0" w:rsidRPr="00D53C69" w:rsidRDefault="009B5BA0" w:rsidP="009B5BA0">
            <w:pPr>
              <w:pStyle w:val="Textintable"/>
            </w:pPr>
            <w:r w:rsidRPr="00D53C69">
              <w:t>3+</w:t>
            </w:r>
          </w:p>
        </w:tc>
        <w:tc>
          <w:tcPr>
            <w:tcW w:w="56" w:type="pct"/>
          </w:tcPr>
          <w:p w14:paraId="615346B7" w14:textId="77777777" w:rsidR="009B5BA0" w:rsidRPr="00D53C69" w:rsidRDefault="009B5BA0" w:rsidP="009B5BA0">
            <w:pPr>
              <w:pStyle w:val="Textintable"/>
            </w:pPr>
          </w:p>
        </w:tc>
        <w:tc>
          <w:tcPr>
            <w:tcW w:w="492" w:type="pct"/>
          </w:tcPr>
          <w:p w14:paraId="52CCCCBF" w14:textId="28DC23D5" w:rsidR="009B5BA0" w:rsidRPr="00D53C69" w:rsidRDefault="009B5BA0" w:rsidP="009B5BA0">
            <w:pPr>
              <w:pStyle w:val="Textintable"/>
            </w:pPr>
            <w:r w:rsidRPr="00D53C69">
              <w:t>TRT</w:t>
            </w:r>
            <w:r w:rsidR="004C6375" w:rsidRPr="00D53C69">
              <w:t xml:space="preserve"> </w:t>
            </w:r>
            <w:r w:rsidR="00C03BC5" w:rsidRPr="00D53C69">
              <w:rPr>
                <w:noProof/>
              </w:rPr>
              <w:t>(</w:t>
            </w:r>
            <w:r w:rsidR="006A5A02" w:rsidRPr="00D53C69">
              <w:rPr>
                <w:noProof/>
              </w:rPr>
              <w:t>29</w:t>
            </w:r>
            <w:r w:rsidR="00C03BC5" w:rsidRPr="00D53C69">
              <w:rPr>
                <w:noProof/>
              </w:rPr>
              <w:t>,7</w:t>
            </w:r>
            <w:r w:rsidR="006A5A02" w:rsidRPr="00D53C69">
              <w:rPr>
                <w:noProof/>
              </w:rPr>
              <w:t>4</w:t>
            </w:r>
            <w:r w:rsidR="00C03BC5" w:rsidRPr="00D53C69">
              <w:rPr>
                <w:noProof/>
              </w:rPr>
              <w:t>–7</w:t>
            </w:r>
            <w:r w:rsidR="006A5A02" w:rsidRPr="00D53C69">
              <w:rPr>
                <w:noProof/>
              </w:rPr>
              <w:t>6</w:t>
            </w:r>
            <w:r w:rsidR="00C03BC5" w:rsidRPr="00D53C69">
              <w:rPr>
                <w:noProof/>
              </w:rPr>
              <w:t>)</w:t>
            </w:r>
          </w:p>
        </w:tc>
        <w:tc>
          <w:tcPr>
            <w:tcW w:w="491" w:type="pct"/>
          </w:tcPr>
          <w:p w14:paraId="15D7954E" w14:textId="66E049E9" w:rsidR="009B5BA0" w:rsidRPr="00D53C69" w:rsidRDefault="009B5BA0" w:rsidP="009B5BA0">
            <w:pPr>
              <w:pStyle w:val="Textintable"/>
            </w:pPr>
            <w:r w:rsidRPr="00D53C69">
              <w:t>Yes</w:t>
            </w:r>
            <w:r w:rsidR="00BE6FCD" w:rsidRPr="00D53C69">
              <w:t xml:space="preserve"> </w:t>
            </w:r>
            <w:r w:rsidR="00C03BC5" w:rsidRPr="00D53C69">
              <w:rPr>
                <w:noProof/>
              </w:rPr>
              <w:t>(</w:t>
            </w:r>
            <w:r w:rsidR="006A5A02" w:rsidRPr="00D53C69">
              <w:rPr>
                <w:noProof/>
              </w:rPr>
              <w:t>29</w:t>
            </w:r>
            <w:r w:rsidR="00C03BC5" w:rsidRPr="00D53C69">
              <w:rPr>
                <w:noProof/>
              </w:rPr>
              <w:t>,</w:t>
            </w:r>
            <w:r w:rsidR="006A5A02" w:rsidRPr="00D53C69">
              <w:rPr>
                <w:noProof/>
              </w:rPr>
              <w:t>74</w:t>
            </w:r>
            <w:r w:rsidR="00C03BC5" w:rsidRPr="00D53C69">
              <w:rPr>
                <w:noProof/>
              </w:rPr>
              <w:t>–7</w:t>
            </w:r>
            <w:r w:rsidR="006A5A02" w:rsidRPr="00D53C69">
              <w:rPr>
                <w:noProof/>
              </w:rPr>
              <w:t>8</w:t>
            </w:r>
            <w:r w:rsidR="00C03BC5" w:rsidRPr="00D53C69">
              <w:rPr>
                <w:noProof/>
              </w:rPr>
              <w:t>)</w:t>
            </w:r>
          </w:p>
        </w:tc>
        <w:tc>
          <w:tcPr>
            <w:tcW w:w="625" w:type="pct"/>
          </w:tcPr>
          <w:p w14:paraId="0A87839E" w14:textId="6608A649" w:rsidR="009B5BA0" w:rsidRPr="00D53C69" w:rsidRDefault="009B5BA0" w:rsidP="009B5BA0">
            <w:pPr>
              <w:pStyle w:val="Textintable"/>
            </w:pPr>
            <w:r w:rsidRPr="00D53C69">
              <w:t>Some evidence</w:t>
            </w:r>
            <w:r w:rsidR="00E3528F" w:rsidRPr="00D53C69">
              <w:t xml:space="preserve"> </w:t>
            </w:r>
            <w:r w:rsidR="00904F0D" w:rsidRPr="00D53C69">
              <w:rPr>
                <w:noProof/>
              </w:rPr>
              <w:t>(</w:t>
            </w:r>
            <w:r w:rsidR="006A5A02" w:rsidRPr="00D53C69">
              <w:rPr>
                <w:noProof/>
              </w:rPr>
              <w:t>29</w:t>
            </w:r>
            <w:r w:rsidR="00904F0D" w:rsidRPr="00D53C69">
              <w:rPr>
                <w:noProof/>
              </w:rPr>
              <w:t>)</w:t>
            </w:r>
          </w:p>
        </w:tc>
      </w:tr>
      <w:tr w:rsidR="009B5BA0" w:rsidRPr="00AB212F" w14:paraId="131D9E3F" w14:textId="77777777" w:rsidTr="00A33949">
        <w:tc>
          <w:tcPr>
            <w:tcW w:w="438" w:type="pct"/>
          </w:tcPr>
          <w:p w14:paraId="6A12C5EF" w14:textId="77777777" w:rsidR="009B5BA0" w:rsidRPr="00D53C69" w:rsidRDefault="009B5BA0" w:rsidP="009B5BA0">
            <w:pPr>
              <w:pStyle w:val="Textintable"/>
            </w:pPr>
            <w:r w:rsidRPr="00D53C69">
              <w:t>PTSD</w:t>
            </w:r>
          </w:p>
        </w:tc>
        <w:tc>
          <w:tcPr>
            <w:tcW w:w="492" w:type="pct"/>
          </w:tcPr>
          <w:p w14:paraId="6D40506A" w14:textId="77777777" w:rsidR="009B5BA0" w:rsidRPr="00D53C69" w:rsidRDefault="009B5BA0" w:rsidP="009B5BA0">
            <w:pPr>
              <w:pStyle w:val="Textintable"/>
            </w:pPr>
            <w:r w:rsidRPr="00D53C69">
              <w:t>CRIES-8</w:t>
            </w:r>
          </w:p>
        </w:tc>
        <w:tc>
          <w:tcPr>
            <w:tcW w:w="55" w:type="pct"/>
          </w:tcPr>
          <w:p w14:paraId="5759F69B" w14:textId="77777777" w:rsidR="009B5BA0" w:rsidRPr="00D53C69" w:rsidRDefault="009B5BA0" w:rsidP="009B5BA0">
            <w:pPr>
              <w:pStyle w:val="Textintable"/>
            </w:pPr>
          </w:p>
        </w:tc>
        <w:tc>
          <w:tcPr>
            <w:tcW w:w="711" w:type="pct"/>
          </w:tcPr>
          <w:p w14:paraId="31567B24" w14:textId="77777777" w:rsidR="009B5BA0" w:rsidRPr="00D53C69" w:rsidRDefault="009B5BA0" w:rsidP="009B5BA0">
            <w:pPr>
              <w:pStyle w:val="Textintable"/>
            </w:pPr>
            <w:r w:rsidRPr="00D53C69">
              <w:t>Intrusion; avoidance (hyperarousal)</w:t>
            </w:r>
          </w:p>
        </w:tc>
        <w:tc>
          <w:tcPr>
            <w:tcW w:w="54" w:type="pct"/>
          </w:tcPr>
          <w:p w14:paraId="5DBEDDF5" w14:textId="77777777" w:rsidR="009B5BA0" w:rsidRPr="00D53C69" w:rsidRDefault="009B5BA0" w:rsidP="009B5BA0">
            <w:pPr>
              <w:pStyle w:val="Textintable"/>
            </w:pPr>
          </w:p>
        </w:tc>
        <w:tc>
          <w:tcPr>
            <w:tcW w:w="383" w:type="pct"/>
          </w:tcPr>
          <w:p w14:paraId="7E55DD96" w14:textId="77777777" w:rsidR="009B5BA0" w:rsidRPr="00D53C69" w:rsidRDefault="009B5BA0" w:rsidP="009B5BA0">
            <w:pPr>
              <w:pStyle w:val="Textintable"/>
            </w:pPr>
            <w:r w:rsidRPr="00D53C69">
              <w:t>8 /13 items</w:t>
            </w:r>
          </w:p>
          <w:p w14:paraId="3F22BEAD" w14:textId="545DE0DC" w:rsidR="009B5BA0" w:rsidRPr="00D53C69" w:rsidRDefault="009B5BA0" w:rsidP="009B5BA0">
            <w:pPr>
              <w:pStyle w:val="Textintable"/>
            </w:pPr>
            <w:r w:rsidRPr="00D53C69">
              <w:t>(&lt; 5 min)</w:t>
            </w:r>
          </w:p>
        </w:tc>
        <w:tc>
          <w:tcPr>
            <w:tcW w:w="383" w:type="pct"/>
          </w:tcPr>
          <w:p w14:paraId="32F9BE00" w14:textId="77777777" w:rsidR="009B5BA0" w:rsidRPr="00D53C69" w:rsidRDefault="009B5BA0" w:rsidP="009B5BA0">
            <w:pPr>
              <w:pStyle w:val="Textintable"/>
            </w:pPr>
            <w:r w:rsidRPr="00D53C69">
              <w:t>Yes</w:t>
            </w:r>
          </w:p>
        </w:tc>
        <w:tc>
          <w:tcPr>
            <w:tcW w:w="437" w:type="pct"/>
          </w:tcPr>
          <w:p w14:paraId="31FAE6F5" w14:textId="77777777" w:rsidR="009B5BA0" w:rsidRPr="00D53C69" w:rsidRDefault="009B5BA0" w:rsidP="009B5BA0">
            <w:pPr>
              <w:pStyle w:val="Textintable"/>
            </w:pPr>
            <w:r w:rsidRPr="00D53C69">
              <w:t>Ages 7-18</w:t>
            </w:r>
          </w:p>
          <w:p w14:paraId="017B207F" w14:textId="77777777" w:rsidR="009B5BA0" w:rsidRPr="00D53C69" w:rsidRDefault="009B5BA0" w:rsidP="009B5BA0">
            <w:pPr>
              <w:pStyle w:val="Textintable"/>
            </w:pPr>
            <w:r w:rsidRPr="00D53C69">
              <w:t>cl. &amp; non-cl.</w:t>
            </w:r>
          </w:p>
        </w:tc>
        <w:tc>
          <w:tcPr>
            <w:tcW w:w="383" w:type="pct"/>
          </w:tcPr>
          <w:p w14:paraId="6B9A534B" w14:textId="77777777" w:rsidR="009B5BA0" w:rsidRPr="00D53C69" w:rsidRDefault="009B5BA0" w:rsidP="009B5BA0">
            <w:pPr>
              <w:pStyle w:val="Textintable"/>
            </w:pPr>
            <w:r w:rsidRPr="00D53C69">
              <w:t>27+</w:t>
            </w:r>
          </w:p>
        </w:tc>
        <w:tc>
          <w:tcPr>
            <w:tcW w:w="56" w:type="pct"/>
          </w:tcPr>
          <w:p w14:paraId="1A7A5611" w14:textId="77777777" w:rsidR="009B5BA0" w:rsidRPr="00D53C69" w:rsidRDefault="009B5BA0" w:rsidP="009B5BA0">
            <w:pPr>
              <w:pStyle w:val="Textintable"/>
            </w:pPr>
          </w:p>
        </w:tc>
        <w:tc>
          <w:tcPr>
            <w:tcW w:w="492" w:type="pct"/>
          </w:tcPr>
          <w:p w14:paraId="624485E4" w14:textId="56D0B38A" w:rsidR="009B5BA0" w:rsidRPr="00D53C69" w:rsidRDefault="009B5BA0" w:rsidP="009B5BA0">
            <w:pPr>
              <w:pStyle w:val="Textintable"/>
            </w:pPr>
            <w:r w:rsidRPr="00D53C69">
              <w:t>TRT</w:t>
            </w:r>
            <w:r w:rsidR="004C6375" w:rsidRPr="00D53C69">
              <w:t xml:space="preserve"> </w:t>
            </w:r>
            <w:r w:rsidR="00C03BC5" w:rsidRPr="00D53C69">
              <w:rPr>
                <w:noProof/>
              </w:rPr>
              <w:t>(</w:t>
            </w:r>
            <w:r w:rsidR="006A5A02" w:rsidRPr="00D53C69">
              <w:rPr>
                <w:noProof/>
              </w:rPr>
              <w:t>79</w:t>
            </w:r>
            <w:r w:rsidR="00C03BC5" w:rsidRPr="00D53C69">
              <w:rPr>
                <w:noProof/>
              </w:rPr>
              <w:t>)</w:t>
            </w:r>
          </w:p>
        </w:tc>
        <w:tc>
          <w:tcPr>
            <w:tcW w:w="491" w:type="pct"/>
          </w:tcPr>
          <w:p w14:paraId="79D1731C" w14:textId="3C6F4FA0" w:rsidR="009B5BA0" w:rsidRPr="00D53C69" w:rsidRDefault="009B5BA0" w:rsidP="009B5BA0">
            <w:pPr>
              <w:pStyle w:val="Textintable"/>
            </w:pPr>
            <w:r w:rsidRPr="00D53C69">
              <w:t>Yes</w:t>
            </w:r>
            <w:r w:rsidR="00BE6FCD" w:rsidRPr="00D53C69">
              <w:t xml:space="preserve"> </w:t>
            </w:r>
            <w:r w:rsidR="00C03BC5" w:rsidRPr="00D53C69">
              <w:rPr>
                <w:noProof/>
              </w:rPr>
              <w:t>(</w:t>
            </w:r>
            <w:r w:rsidR="006A5A02" w:rsidRPr="00D53C69">
              <w:rPr>
                <w:noProof/>
              </w:rPr>
              <w:t>79</w:t>
            </w:r>
            <w:r w:rsidR="00C03BC5" w:rsidRPr="00D53C69">
              <w:rPr>
                <w:noProof/>
              </w:rPr>
              <w:t>–8</w:t>
            </w:r>
            <w:r w:rsidR="006A5A02" w:rsidRPr="00D53C69">
              <w:rPr>
                <w:noProof/>
              </w:rPr>
              <w:t>1</w:t>
            </w:r>
            <w:r w:rsidR="00C03BC5" w:rsidRPr="00D53C69">
              <w:rPr>
                <w:noProof/>
              </w:rPr>
              <w:t>)</w:t>
            </w:r>
          </w:p>
        </w:tc>
        <w:tc>
          <w:tcPr>
            <w:tcW w:w="625" w:type="pct"/>
          </w:tcPr>
          <w:p w14:paraId="7339FFF7" w14:textId="154E77C2" w:rsidR="009B5BA0" w:rsidRPr="00D53C69" w:rsidRDefault="009B5BA0" w:rsidP="009B5BA0">
            <w:pPr>
              <w:pStyle w:val="Textintable"/>
            </w:pPr>
            <w:r w:rsidRPr="00D53C69">
              <w:t>Some evidence</w:t>
            </w:r>
            <w:r w:rsidR="00E3528F" w:rsidRPr="00D53C69">
              <w:t xml:space="preserve"> </w:t>
            </w:r>
            <w:r w:rsidR="00C03BC5" w:rsidRPr="00D53C69">
              <w:rPr>
                <w:noProof/>
              </w:rPr>
              <w:t>(8</w:t>
            </w:r>
            <w:r w:rsidR="006A5A02" w:rsidRPr="00D53C69">
              <w:rPr>
                <w:noProof/>
              </w:rPr>
              <w:t>2</w:t>
            </w:r>
            <w:r w:rsidR="00C03BC5" w:rsidRPr="00D53C69">
              <w:rPr>
                <w:noProof/>
              </w:rPr>
              <w:t>)</w:t>
            </w:r>
            <w:r w:rsidRPr="00D53C69">
              <w:t xml:space="preserve"> </w:t>
            </w:r>
            <w:r w:rsidR="00CE24CB" w:rsidRPr="00D53C69">
              <w:rPr>
                <w:vertAlign w:val="superscript"/>
              </w:rPr>
              <w:t>c</w:t>
            </w:r>
          </w:p>
        </w:tc>
      </w:tr>
      <w:tr w:rsidR="009B5BA0" w:rsidRPr="00D55DAD" w14:paraId="6966E5BF" w14:textId="77777777" w:rsidTr="00A24874">
        <w:tc>
          <w:tcPr>
            <w:tcW w:w="438" w:type="pct"/>
          </w:tcPr>
          <w:p w14:paraId="2D41DEBF" w14:textId="77777777" w:rsidR="009B5BA0" w:rsidRPr="00D53C69" w:rsidRDefault="009B5BA0" w:rsidP="009B5BA0">
            <w:pPr>
              <w:pStyle w:val="Textintable"/>
              <w:rPr>
                <w:sz w:val="12"/>
                <w:szCs w:val="12"/>
              </w:rPr>
            </w:pPr>
          </w:p>
        </w:tc>
        <w:tc>
          <w:tcPr>
            <w:tcW w:w="492" w:type="pct"/>
          </w:tcPr>
          <w:p w14:paraId="530B096C" w14:textId="77777777" w:rsidR="009B5BA0" w:rsidRPr="00D53C69" w:rsidRDefault="009B5BA0" w:rsidP="009B5BA0">
            <w:pPr>
              <w:pStyle w:val="Textintable"/>
              <w:rPr>
                <w:sz w:val="12"/>
                <w:szCs w:val="12"/>
              </w:rPr>
            </w:pPr>
          </w:p>
        </w:tc>
        <w:tc>
          <w:tcPr>
            <w:tcW w:w="55" w:type="pct"/>
          </w:tcPr>
          <w:p w14:paraId="69754B60" w14:textId="77777777" w:rsidR="009B5BA0" w:rsidRPr="00D53C69" w:rsidRDefault="009B5BA0" w:rsidP="009B5BA0">
            <w:pPr>
              <w:pStyle w:val="Textintable"/>
              <w:rPr>
                <w:sz w:val="12"/>
                <w:szCs w:val="12"/>
              </w:rPr>
            </w:pPr>
          </w:p>
        </w:tc>
        <w:tc>
          <w:tcPr>
            <w:tcW w:w="711" w:type="pct"/>
          </w:tcPr>
          <w:p w14:paraId="53D9853B" w14:textId="77777777" w:rsidR="009B5BA0" w:rsidRPr="00D53C69" w:rsidRDefault="009B5BA0" w:rsidP="009B5BA0">
            <w:pPr>
              <w:pStyle w:val="Textintable"/>
              <w:rPr>
                <w:sz w:val="12"/>
                <w:szCs w:val="12"/>
              </w:rPr>
            </w:pPr>
          </w:p>
        </w:tc>
        <w:tc>
          <w:tcPr>
            <w:tcW w:w="54" w:type="pct"/>
          </w:tcPr>
          <w:p w14:paraId="5AD8FCBA" w14:textId="77777777" w:rsidR="009B5BA0" w:rsidRPr="00D53C69" w:rsidRDefault="009B5BA0" w:rsidP="009B5BA0">
            <w:pPr>
              <w:pStyle w:val="Textintable"/>
              <w:rPr>
                <w:sz w:val="12"/>
                <w:szCs w:val="12"/>
              </w:rPr>
            </w:pPr>
          </w:p>
        </w:tc>
        <w:tc>
          <w:tcPr>
            <w:tcW w:w="383" w:type="pct"/>
          </w:tcPr>
          <w:p w14:paraId="516452AC" w14:textId="77777777" w:rsidR="009B5BA0" w:rsidRPr="00D53C69" w:rsidRDefault="009B5BA0" w:rsidP="009B5BA0">
            <w:pPr>
              <w:pStyle w:val="Textintable"/>
              <w:rPr>
                <w:sz w:val="12"/>
                <w:szCs w:val="12"/>
              </w:rPr>
            </w:pPr>
          </w:p>
        </w:tc>
        <w:tc>
          <w:tcPr>
            <w:tcW w:w="383" w:type="pct"/>
          </w:tcPr>
          <w:p w14:paraId="10C467EE" w14:textId="77777777" w:rsidR="009B5BA0" w:rsidRPr="00D53C69" w:rsidRDefault="009B5BA0" w:rsidP="009B5BA0">
            <w:pPr>
              <w:pStyle w:val="Textintable"/>
              <w:rPr>
                <w:sz w:val="12"/>
                <w:szCs w:val="12"/>
              </w:rPr>
            </w:pPr>
          </w:p>
        </w:tc>
        <w:tc>
          <w:tcPr>
            <w:tcW w:w="437" w:type="pct"/>
          </w:tcPr>
          <w:p w14:paraId="59D3C7F6" w14:textId="77777777" w:rsidR="009B5BA0" w:rsidRPr="00D53C69" w:rsidRDefault="009B5BA0" w:rsidP="009B5BA0">
            <w:pPr>
              <w:pStyle w:val="Textintable"/>
              <w:rPr>
                <w:sz w:val="12"/>
                <w:szCs w:val="12"/>
              </w:rPr>
            </w:pPr>
          </w:p>
        </w:tc>
        <w:tc>
          <w:tcPr>
            <w:tcW w:w="383" w:type="pct"/>
          </w:tcPr>
          <w:p w14:paraId="2CAB128B" w14:textId="77777777" w:rsidR="009B5BA0" w:rsidRPr="00D53C69" w:rsidRDefault="009B5BA0" w:rsidP="009B5BA0">
            <w:pPr>
              <w:pStyle w:val="Textintable"/>
              <w:rPr>
                <w:sz w:val="12"/>
                <w:szCs w:val="12"/>
              </w:rPr>
            </w:pPr>
          </w:p>
        </w:tc>
        <w:tc>
          <w:tcPr>
            <w:tcW w:w="56" w:type="pct"/>
          </w:tcPr>
          <w:p w14:paraId="39F320BC" w14:textId="77777777" w:rsidR="009B5BA0" w:rsidRPr="00D53C69" w:rsidRDefault="009B5BA0" w:rsidP="009B5BA0">
            <w:pPr>
              <w:pStyle w:val="Textintable"/>
              <w:rPr>
                <w:sz w:val="12"/>
                <w:szCs w:val="12"/>
              </w:rPr>
            </w:pPr>
          </w:p>
        </w:tc>
        <w:tc>
          <w:tcPr>
            <w:tcW w:w="492" w:type="pct"/>
          </w:tcPr>
          <w:p w14:paraId="3F3B95A7" w14:textId="77777777" w:rsidR="009B5BA0" w:rsidRPr="00D53C69" w:rsidRDefault="009B5BA0" w:rsidP="009B5BA0">
            <w:pPr>
              <w:pStyle w:val="Textintable"/>
              <w:rPr>
                <w:sz w:val="12"/>
                <w:szCs w:val="12"/>
              </w:rPr>
            </w:pPr>
          </w:p>
        </w:tc>
        <w:tc>
          <w:tcPr>
            <w:tcW w:w="491" w:type="pct"/>
          </w:tcPr>
          <w:p w14:paraId="6BE8FAD6" w14:textId="77777777" w:rsidR="009B5BA0" w:rsidRPr="00D53C69" w:rsidRDefault="009B5BA0" w:rsidP="009B5BA0">
            <w:pPr>
              <w:pStyle w:val="Textintable"/>
              <w:rPr>
                <w:sz w:val="12"/>
                <w:szCs w:val="12"/>
              </w:rPr>
            </w:pPr>
          </w:p>
        </w:tc>
        <w:tc>
          <w:tcPr>
            <w:tcW w:w="625" w:type="pct"/>
          </w:tcPr>
          <w:p w14:paraId="63EBD568" w14:textId="77777777" w:rsidR="009B5BA0" w:rsidRPr="00D53C69" w:rsidRDefault="009B5BA0" w:rsidP="009B5BA0">
            <w:pPr>
              <w:pStyle w:val="Textintable"/>
              <w:rPr>
                <w:sz w:val="12"/>
                <w:szCs w:val="12"/>
              </w:rPr>
            </w:pPr>
          </w:p>
        </w:tc>
      </w:tr>
      <w:tr w:rsidR="009B5BA0" w:rsidRPr="00AB212F" w14:paraId="4BCFF4F2" w14:textId="77777777" w:rsidTr="00A24874">
        <w:tc>
          <w:tcPr>
            <w:tcW w:w="438" w:type="pct"/>
          </w:tcPr>
          <w:p w14:paraId="57499481" w14:textId="77777777" w:rsidR="009B5BA0" w:rsidRPr="00D53C69" w:rsidRDefault="009B5BA0" w:rsidP="009B5BA0">
            <w:pPr>
              <w:pStyle w:val="Textintable"/>
              <w:rPr>
                <w:b/>
                <w:bCs/>
              </w:rPr>
            </w:pPr>
            <w:r w:rsidRPr="00D53C69">
              <w:rPr>
                <w:b/>
                <w:bCs/>
              </w:rPr>
              <w:t>Suicidal thoughts and behaviour</w:t>
            </w:r>
          </w:p>
        </w:tc>
        <w:tc>
          <w:tcPr>
            <w:tcW w:w="492" w:type="pct"/>
          </w:tcPr>
          <w:p w14:paraId="3CD304FC" w14:textId="77777777" w:rsidR="009B5BA0" w:rsidRPr="00D53C69" w:rsidRDefault="009B5BA0" w:rsidP="009B5BA0">
            <w:pPr>
              <w:pStyle w:val="Textintable"/>
            </w:pPr>
            <w:r w:rsidRPr="00D53C69">
              <w:t>C-SSRS</w:t>
            </w:r>
          </w:p>
        </w:tc>
        <w:tc>
          <w:tcPr>
            <w:tcW w:w="55" w:type="pct"/>
          </w:tcPr>
          <w:p w14:paraId="06731583" w14:textId="77777777" w:rsidR="009B5BA0" w:rsidRPr="00D53C69" w:rsidRDefault="009B5BA0" w:rsidP="009B5BA0">
            <w:pPr>
              <w:pStyle w:val="Textintable"/>
            </w:pPr>
          </w:p>
        </w:tc>
        <w:tc>
          <w:tcPr>
            <w:tcW w:w="711" w:type="pct"/>
          </w:tcPr>
          <w:p w14:paraId="080CED87" w14:textId="77777777" w:rsidR="009B5BA0" w:rsidRPr="00D53C69" w:rsidRDefault="009B5BA0" w:rsidP="009B5BA0">
            <w:pPr>
              <w:pStyle w:val="Textintable"/>
            </w:pPr>
            <w:r w:rsidRPr="00D53C69">
              <w:t>Severity of ideation; behaviour (attempts)</w:t>
            </w:r>
          </w:p>
        </w:tc>
        <w:tc>
          <w:tcPr>
            <w:tcW w:w="54" w:type="pct"/>
          </w:tcPr>
          <w:p w14:paraId="73010A97" w14:textId="77777777" w:rsidR="009B5BA0" w:rsidRPr="00D53C69" w:rsidRDefault="009B5BA0" w:rsidP="009B5BA0">
            <w:pPr>
              <w:pStyle w:val="Textintable"/>
            </w:pPr>
          </w:p>
        </w:tc>
        <w:tc>
          <w:tcPr>
            <w:tcW w:w="383" w:type="pct"/>
          </w:tcPr>
          <w:p w14:paraId="0A0025B1" w14:textId="77777777" w:rsidR="009B5BA0" w:rsidRPr="00D53C69" w:rsidRDefault="009B5BA0" w:rsidP="009B5BA0">
            <w:pPr>
              <w:pStyle w:val="Textintable"/>
            </w:pPr>
            <w:r w:rsidRPr="00D53C69">
              <w:t xml:space="preserve">3 or 6 items </w:t>
            </w:r>
            <w:r w:rsidRPr="00D53C69">
              <w:rPr>
                <w:vertAlign w:val="superscript"/>
              </w:rPr>
              <w:t>d</w:t>
            </w:r>
          </w:p>
          <w:p w14:paraId="42B29AE4" w14:textId="77777777" w:rsidR="009B5BA0" w:rsidRPr="00D53C69" w:rsidRDefault="009B5BA0" w:rsidP="009B5BA0">
            <w:pPr>
              <w:pStyle w:val="Textintable"/>
            </w:pPr>
            <w:r w:rsidRPr="00D53C69">
              <w:t>(&lt; 5 min)</w:t>
            </w:r>
          </w:p>
        </w:tc>
        <w:tc>
          <w:tcPr>
            <w:tcW w:w="383" w:type="pct"/>
          </w:tcPr>
          <w:p w14:paraId="58ED0161" w14:textId="77777777" w:rsidR="009B5BA0" w:rsidRPr="00D53C69" w:rsidRDefault="009B5BA0" w:rsidP="009B5BA0">
            <w:pPr>
              <w:pStyle w:val="Textintable"/>
            </w:pPr>
            <w:r w:rsidRPr="00D53C69">
              <w:t>Yes</w:t>
            </w:r>
          </w:p>
        </w:tc>
        <w:tc>
          <w:tcPr>
            <w:tcW w:w="437" w:type="pct"/>
          </w:tcPr>
          <w:p w14:paraId="175ADD4D" w14:textId="77777777" w:rsidR="009B5BA0" w:rsidRPr="00D53C69" w:rsidRDefault="009B5BA0" w:rsidP="009B5BA0">
            <w:pPr>
              <w:pStyle w:val="Textintable"/>
              <w:rPr>
                <w:lang w:val="fr-BE"/>
              </w:rPr>
            </w:pPr>
            <w:r w:rsidRPr="00D53C69">
              <w:rPr>
                <w:lang w:val="fr-BE"/>
              </w:rPr>
              <w:t>Ages 12-18 b</w:t>
            </w:r>
          </w:p>
          <w:p w14:paraId="13E89E81" w14:textId="77777777" w:rsidR="009B5BA0" w:rsidRPr="00D53C69" w:rsidRDefault="009B5BA0" w:rsidP="009B5BA0">
            <w:pPr>
              <w:pStyle w:val="Textintable"/>
              <w:rPr>
                <w:lang w:val="fr-BE"/>
              </w:rPr>
            </w:pPr>
            <w:r w:rsidRPr="00D53C69">
              <w:rPr>
                <w:lang w:val="fr-BE"/>
              </w:rPr>
              <w:t>cl. &amp; non-cl</w:t>
            </w:r>
          </w:p>
        </w:tc>
        <w:tc>
          <w:tcPr>
            <w:tcW w:w="383" w:type="pct"/>
          </w:tcPr>
          <w:p w14:paraId="5E1571EF" w14:textId="77777777" w:rsidR="009B5BA0" w:rsidRPr="00D53C69" w:rsidRDefault="009B5BA0" w:rsidP="009B5BA0">
            <w:pPr>
              <w:pStyle w:val="Textintable"/>
            </w:pPr>
            <w:r w:rsidRPr="00D53C69">
              <w:t>100+</w:t>
            </w:r>
          </w:p>
        </w:tc>
        <w:tc>
          <w:tcPr>
            <w:tcW w:w="56" w:type="pct"/>
          </w:tcPr>
          <w:p w14:paraId="77C0CB11" w14:textId="77777777" w:rsidR="009B5BA0" w:rsidRPr="00D53C69" w:rsidRDefault="009B5BA0" w:rsidP="009B5BA0">
            <w:pPr>
              <w:pStyle w:val="Textintable"/>
            </w:pPr>
          </w:p>
        </w:tc>
        <w:tc>
          <w:tcPr>
            <w:tcW w:w="492" w:type="pct"/>
          </w:tcPr>
          <w:p w14:paraId="3A3B44EF" w14:textId="7E54FDA7" w:rsidR="009B5BA0" w:rsidRPr="00D53C69" w:rsidRDefault="009B5BA0" w:rsidP="009B5BA0">
            <w:pPr>
              <w:pStyle w:val="Textintable"/>
            </w:pPr>
            <w:r w:rsidRPr="00D53C69">
              <w:t xml:space="preserve">IRR </w:t>
            </w:r>
            <w:r w:rsidR="00C03BC5" w:rsidRPr="00D53C69">
              <w:rPr>
                <w:noProof/>
              </w:rPr>
              <w:t>(8</w:t>
            </w:r>
            <w:r w:rsidR="006A5A02" w:rsidRPr="00D53C69">
              <w:rPr>
                <w:noProof/>
              </w:rPr>
              <w:t>3</w:t>
            </w:r>
            <w:r w:rsidR="00C03BC5" w:rsidRPr="00D53C69">
              <w:rPr>
                <w:noProof/>
              </w:rPr>
              <w:t>)</w:t>
            </w:r>
            <w:r w:rsidR="00BE6FCD" w:rsidRPr="00D53C69">
              <w:rPr>
                <w:vertAlign w:val="superscript"/>
              </w:rPr>
              <w:t xml:space="preserve"> </w:t>
            </w:r>
            <w:r w:rsidR="00BB0672" w:rsidRPr="00D53C69">
              <w:rPr>
                <w:vertAlign w:val="superscript"/>
              </w:rPr>
              <w:t>e</w:t>
            </w:r>
          </w:p>
        </w:tc>
        <w:tc>
          <w:tcPr>
            <w:tcW w:w="491" w:type="pct"/>
          </w:tcPr>
          <w:p w14:paraId="0ED0651C" w14:textId="1D93E801" w:rsidR="009B5BA0" w:rsidRPr="00D53C69" w:rsidRDefault="009B5BA0" w:rsidP="009B5BA0">
            <w:pPr>
              <w:pStyle w:val="Textintable"/>
            </w:pPr>
            <w:r w:rsidRPr="00D53C69">
              <w:t xml:space="preserve">Yes </w:t>
            </w:r>
            <w:r w:rsidR="00904F0D" w:rsidRPr="00D53C69">
              <w:rPr>
                <w:noProof/>
              </w:rPr>
              <w:t>(3</w:t>
            </w:r>
            <w:r w:rsidR="006A5A02" w:rsidRPr="00D53C69">
              <w:rPr>
                <w:noProof/>
              </w:rPr>
              <w:t>1</w:t>
            </w:r>
            <w:r w:rsidR="00904F0D" w:rsidRPr="00D53C69">
              <w:rPr>
                <w:noProof/>
              </w:rPr>
              <w:t>)</w:t>
            </w:r>
            <w:r w:rsidR="00BE6FCD" w:rsidRPr="00D53C69">
              <w:t xml:space="preserve"> </w:t>
            </w:r>
            <w:r w:rsidR="00BB0672" w:rsidRPr="00D53C69">
              <w:rPr>
                <w:vertAlign w:val="superscript"/>
              </w:rPr>
              <w:t>e</w:t>
            </w:r>
          </w:p>
        </w:tc>
        <w:tc>
          <w:tcPr>
            <w:tcW w:w="625" w:type="pct"/>
          </w:tcPr>
          <w:p w14:paraId="6BC3A64E" w14:textId="4E383D69" w:rsidR="009B5BA0" w:rsidRPr="00D53C69" w:rsidRDefault="009B5BA0" w:rsidP="009B5BA0">
            <w:pPr>
              <w:pStyle w:val="Textintable"/>
            </w:pPr>
            <w:r w:rsidRPr="00D53C69">
              <w:t xml:space="preserve">Some evidence </w:t>
            </w:r>
            <w:r w:rsidR="00904F0D" w:rsidRPr="00D53C69">
              <w:rPr>
                <w:noProof/>
              </w:rPr>
              <w:t>(3</w:t>
            </w:r>
            <w:r w:rsidR="006A5A02" w:rsidRPr="00D53C69">
              <w:rPr>
                <w:noProof/>
              </w:rPr>
              <w:t>1</w:t>
            </w:r>
            <w:r w:rsidR="00904F0D" w:rsidRPr="00D53C69">
              <w:rPr>
                <w:noProof/>
              </w:rPr>
              <w:t>)</w:t>
            </w:r>
            <w:r w:rsidR="00E3528F" w:rsidRPr="00D53C69">
              <w:t xml:space="preserve"> </w:t>
            </w:r>
            <w:r w:rsidR="00BB0672" w:rsidRPr="00D53C69">
              <w:rPr>
                <w:vertAlign w:val="superscript"/>
              </w:rPr>
              <w:t>e</w:t>
            </w:r>
          </w:p>
        </w:tc>
      </w:tr>
      <w:tr w:rsidR="009B5BA0" w:rsidRPr="00AB212F" w14:paraId="490D4B01" w14:textId="77777777" w:rsidTr="00A33949">
        <w:trPr>
          <w:trHeight w:val="23"/>
        </w:trPr>
        <w:tc>
          <w:tcPr>
            <w:tcW w:w="438" w:type="pct"/>
          </w:tcPr>
          <w:p w14:paraId="724C7F92" w14:textId="77777777" w:rsidR="009B5BA0" w:rsidRPr="00D53C69" w:rsidRDefault="009B5BA0" w:rsidP="009B5BA0">
            <w:pPr>
              <w:pStyle w:val="Textintable"/>
            </w:pPr>
            <w:r w:rsidRPr="00D53C69">
              <w:rPr>
                <w:b/>
                <w:bCs/>
              </w:rPr>
              <w:t>Functioning</w:t>
            </w:r>
          </w:p>
        </w:tc>
        <w:tc>
          <w:tcPr>
            <w:tcW w:w="492" w:type="pct"/>
          </w:tcPr>
          <w:p w14:paraId="7BC6F614" w14:textId="77777777" w:rsidR="009B5BA0" w:rsidRPr="00D53C69" w:rsidRDefault="009B5BA0" w:rsidP="009B5BA0">
            <w:pPr>
              <w:pStyle w:val="Textintable"/>
            </w:pPr>
          </w:p>
        </w:tc>
        <w:tc>
          <w:tcPr>
            <w:tcW w:w="55" w:type="pct"/>
          </w:tcPr>
          <w:p w14:paraId="1ADB48CA" w14:textId="77777777" w:rsidR="009B5BA0" w:rsidRPr="00D53C69" w:rsidRDefault="009B5BA0" w:rsidP="009B5BA0">
            <w:pPr>
              <w:pStyle w:val="Textintable"/>
            </w:pPr>
          </w:p>
        </w:tc>
        <w:tc>
          <w:tcPr>
            <w:tcW w:w="711" w:type="pct"/>
          </w:tcPr>
          <w:p w14:paraId="69843A08" w14:textId="77777777" w:rsidR="009B5BA0" w:rsidRPr="00D53C69" w:rsidRDefault="009B5BA0" w:rsidP="009B5BA0">
            <w:pPr>
              <w:pStyle w:val="Textintable"/>
            </w:pPr>
          </w:p>
        </w:tc>
        <w:tc>
          <w:tcPr>
            <w:tcW w:w="54" w:type="pct"/>
          </w:tcPr>
          <w:p w14:paraId="10B33E25" w14:textId="77777777" w:rsidR="009B5BA0" w:rsidRPr="00D53C69" w:rsidRDefault="009B5BA0" w:rsidP="009B5BA0">
            <w:pPr>
              <w:pStyle w:val="Textintable"/>
            </w:pPr>
          </w:p>
        </w:tc>
        <w:tc>
          <w:tcPr>
            <w:tcW w:w="383" w:type="pct"/>
          </w:tcPr>
          <w:p w14:paraId="4763C0DF" w14:textId="77777777" w:rsidR="009B5BA0" w:rsidRPr="00D53C69" w:rsidRDefault="009B5BA0" w:rsidP="009B5BA0">
            <w:pPr>
              <w:pStyle w:val="Textintable"/>
            </w:pPr>
          </w:p>
        </w:tc>
        <w:tc>
          <w:tcPr>
            <w:tcW w:w="383" w:type="pct"/>
          </w:tcPr>
          <w:p w14:paraId="58EB0406" w14:textId="77777777" w:rsidR="009B5BA0" w:rsidRPr="00D53C69" w:rsidRDefault="009B5BA0" w:rsidP="009B5BA0">
            <w:pPr>
              <w:pStyle w:val="Textintable"/>
            </w:pPr>
          </w:p>
        </w:tc>
        <w:tc>
          <w:tcPr>
            <w:tcW w:w="437" w:type="pct"/>
          </w:tcPr>
          <w:p w14:paraId="4B06524A" w14:textId="77777777" w:rsidR="009B5BA0" w:rsidRPr="00D53C69" w:rsidRDefault="009B5BA0" w:rsidP="009B5BA0">
            <w:pPr>
              <w:pStyle w:val="Textintable"/>
            </w:pPr>
          </w:p>
        </w:tc>
        <w:tc>
          <w:tcPr>
            <w:tcW w:w="383" w:type="pct"/>
          </w:tcPr>
          <w:p w14:paraId="4C8FC13D" w14:textId="77777777" w:rsidR="009B5BA0" w:rsidRPr="00D53C69" w:rsidRDefault="009B5BA0" w:rsidP="009B5BA0">
            <w:pPr>
              <w:pStyle w:val="Textintable"/>
            </w:pPr>
          </w:p>
        </w:tc>
        <w:tc>
          <w:tcPr>
            <w:tcW w:w="56" w:type="pct"/>
          </w:tcPr>
          <w:p w14:paraId="41F531A1" w14:textId="77777777" w:rsidR="009B5BA0" w:rsidRPr="00D53C69" w:rsidRDefault="009B5BA0" w:rsidP="009B5BA0">
            <w:pPr>
              <w:pStyle w:val="Textintable"/>
            </w:pPr>
          </w:p>
        </w:tc>
        <w:tc>
          <w:tcPr>
            <w:tcW w:w="492" w:type="pct"/>
          </w:tcPr>
          <w:p w14:paraId="767DB99D" w14:textId="77777777" w:rsidR="009B5BA0" w:rsidRPr="00D53C69" w:rsidRDefault="009B5BA0" w:rsidP="009B5BA0">
            <w:pPr>
              <w:pStyle w:val="Textintable"/>
            </w:pPr>
          </w:p>
        </w:tc>
        <w:tc>
          <w:tcPr>
            <w:tcW w:w="491" w:type="pct"/>
          </w:tcPr>
          <w:p w14:paraId="5046AADA" w14:textId="77777777" w:rsidR="009B5BA0" w:rsidRPr="00D53C69" w:rsidRDefault="009B5BA0" w:rsidP="009B5BA0">
            <w:pPr>
              <w:pStyle w:val="Textintable"/>
            </w:pPr>
          </w:p>
        </w:tc>
        <w:tc>
          <w:tcPr>
            <w:tcW w:w="625" w:type="pct"/>
          </w:tcPr>
          <w:p w14:paraId="42155FE9" w14:textId="77777777" w:rsidR="009B5BA0" w:rsidRPr="00D53C69" w:rsidRDefault="009B5BA0" w:rsidP="009B5BA0">
            <w:pPr>
              <w:pStyle w:val="Textintable"/>
            </w:pPr>
          </w:p>
        </w:tc>
      </w:tr>
      <w:tr w:rsidR="009B5BA0" w:rsidRPr="00AB212F" w14:paraId="042B370E" w14:textId="77777777" w:rsidTr="00A33949">
        <w:tc>
          <w:tcPr>
            <w:tcW w:w="438" w:type="pct"/>
          </w:tcPr>
          <w:p w14:paraId="1E034BA5" w14:textId="77777777" w:rsidR="009B5BA0" w:rsidRPr="00D53C69" w:rsidRDefault="009B5BA0" w:rsidP="009B5BA0">
            <w:pPr>
              <w:pStyle w:val="Textintable"/>
            </w:pPr>
            <w:r w:rsidRPr="00D53C69">
              <w:t>Global</w:t>
            </w:r>
          </w:p>
        </w:tc>
        <w:tc>
          <w:tcPr>
            <w:tcW w:w="492" w:type="pct"/>
          </w:tcPr>
          <w:p w14:paraId="7F79AA17" w14:textId="77777777" w:rsidR="009B5BA0" w:rsidRPr="00D53C69" w:rsidRDefault="009B5BA0" w:rsidP="009B5BA0">
            <w:pPr>
              <w:pStyle w:val="Textintable"/>
            </w:pPr>
            <w:r w:rsidRPr="00D53C69">
              <w:t>KIDSCREEN-10</w:t>
            </w:r>
          </w:p>
        </w:tc>
        <w:tc>
          <w:tcPr>
            <w:tcW w:w="55" w:type="pct"/>
          </w:tcPr>
          <w:p w14:paraId="797F3A8D" w14:textId="77777777" w:rsidR="009B5BA0" w:rsidRPr="00D53C69" w:rsidRDefault="009B5BA0" w:rsidP="009B5BA0">
            <w:pPr>
              <w:pStyle w:val="Textintable"/>
            </w:pPr>
          </w:p>
        </w:tc>
        <w:tc>
          <w:tcPr>
            <w:tcW w:w="711" w:type="pct"/>
          </w:tcPr>
          <w:p w14:paraId="20F6195A" w14:textId="77777777" w:rsidR="009B5BA0" w:rsidRPr="00D53C69" w:rsidRDefault="009B5BA0" w:rsidP="009B5BA0">
            <w:pPr>
              <w:pStyle w:val="Textintable"/>
            </w:pPr>
            <w:r w:rsidRPr="00D53C69">
              <w:t>Physical activity &amp; energy; emotions; leisure time and participation; relationships with parents &amp; peers; cognition; school</w:t>
            </w:r>
          </w:p>
        </w:tc>
        <w:tc>
          <w:tcPr>
            <w:tcW w:w="54" w:type="pct"/>
          </w:tcPr>
          <w:p w14:paraId="1C375B5A" w14:textId="77777777" w:rsidR="009B5BA0" w:rsidRPr="00D53C69" w:rsidRDefault="009B5BA0" w:rsidP="009B5BA0">
            <w:pPr>
              <w:pStyle w:val="Textintable"/>
            </w:pPr>
          </w:p>
        </w:tc>
        <w:tc>
          <w:tcPr>
            <w:tcW w:w="383" w:type="pct"/>
          </w:tcPr>
          <w:p w14:paraId="12B85461" w14:textId="77777777" w:rsidR="009B5BA0" w:rsidRPr="00D53C69" w:rsidRDefault="009B5BA0" w:rsidP="009B5BA0">
            <w:pPr>
              <w:pStyle w:val="Textintable"/>
            </w:pPr>
            <w:r w:rsidRPr="00D53C69">
              <w:t>10 items</w:t>
            </w:r>
          </w:p>
          <w:p w14:paraId="4489C80F" w14:textId="77777777" w:rsidR="009B5BA0" w:rsidRPr="00D53C69" w:rsidRDefault="009B5BA0" w:rsidP="009B5BA0">
            <w:pPr>
              <w:pStyle w:val="Textintable"/>
            </w:pPr>
            <w:r w:rsidRPr="00D53C69">
              <w:t>(&lt; 5 min)</w:t>
            </w:r>
          </w:p>
        </w:tc>
        <w:tc>
          <w:tcPr>
            <w:tcW w:w="383" w:type="pct"/>
          </w:tcPr>
          <w:p w14:paraId="74CCB17A" w14:textId="77777777" w:rsidR="009B5BA0" w:rsidRPr="00D53C69" w:rsidRDefault="009B5BA0" w:rsidP="009B5BA0">
            <w:pPr>
              <w:pStyle w:val="Textintable"/>
            </w:pPr>
            <w:r w:rsidRPr="00D53C69">
              <w:t>Yes</w:t>
            </w:r>
          </w:p>
        </w:tc>
        <w:tc>
          <w:tcPr>
            <w:tcW w:w="437" w:type="pct"/>
          </w:tcPr>
          <w:p w14:paraId="6BC180D7" w14:textId="77777777" w:rsidR="009B5BA0" w:rsidRPr="00D53C69" w:rsidRDefault="009B5BA0" w:rsidP="009B5BA0">
            <w:pPr>
              <w:pStyle w:val="Textintable"/>
            </w:pPr>
            <w:r w:rsidRPr="00D53C69">
              <w:t>Ages 8-18</w:t>
            </w:r>
          </w:p>
          <w:p w14:paraId="7978AB1E" w14:textId="77777777" w:rsidR="009B5BA0" w:rsidRPr="00D53C69" w:rsidRDefault="009B5BA0" w:rsidP="009B5BA0">
            <w:pPr>
              <w:pStyle w:val="Textintable"/>
            </w:pPr>
            <w:r w:rsidRPr="00D53C69">
              <w:t>non-cl.</w:t>
            </w:r>
          </w:p>
        </w:tc>
        <w:tc>
          <w:tcPr>
            <w:tcW w:w="383" w:type="pct"/>
          </w:tcPr>
          <w:p w14:paraId="25499736" w14:textId="77777777" w:rsidR="009B5BA0" w:rsidRPr="00D53C69" w:rsidRDefault="009B5BA0" w:rsidP="009B5BA0">
            <w:pPr>
              <w:pStyle w:val="Textintable"/>
            </w:pPr>
            <w:r w:rsidRPr="00D53C69">
              <w:t>22+</w:t>
            </w:r>
          </w:p>
        </w:tc>
        <w:tc>
          <w:tcPr>
            <w:tcW w:w="56" w:type="pct"/>
          </w:tcPr>
          <w:p w14:paraId="133AA918" w14:textId="77777777" w:rsidR="009B5BA0" w:rsidRPr="00D53C69" w:rsidRDefault="009B5BA0" w:rsidP="009B5BA0">
            <w:pPr>
              <w:pStyle w:val="Textintable"/>
            </w:pPr>
          </w:p>
        </w:tc>
        <w:tc>
          <w:tcPr>
            <w:tcW w:w="492" w:type="pct"/>
          </w:tcPr>
          <w:p w14:paraId="4C75B338" w14:textId="28841173" w:rsidR="009B5BA0" w:rsidRPr="00D53C69" w:rsidRDefault="009B5BA0" w:rsidP="009B5BA0">
            <w:pPr>
              <w:pStyle w:val="Textintable"/>
            </w:pPr>
            <w:r w:rsidRPr="00D53C69">
              <w:t>TRT</w:t>
            </w:r>
            <w:r w:rsidR="00BE6FCD" w:rsidRPr="00D53C69">
              <w:t xml:space="preserve"> </w:t>
            </w:r>
            <w:r w:rsidR="00C03BC5" w:rsidRPr="00D53C69">
              <w:rPr>
                <w:noProof/>
              </w:rPr>
              <w:t>(3</w:t>
            </w:r>
            <w:r w:rsidR="006A5A02" w:rsidRPr="00D53C69">
              <w:rPr>
                <w:noProof/>
              </w:rPr>
              <w:t>4</w:t>
            </w:r>
            <w:r w:rsidR="00C03BC5" w:rsidRPr="00D53C69">
              <w:rPr>
                <w:noProof/>
              </w:rPr>
              <w:t>,8</w:t>
            </w:r>
            <w:r w:rsidR="006A5A02" w:rsidRPr="00D53C69">
              <w:rPr>
                <w:noProof/>
              </w:rPr>
              <w:t>4</w:t>
            </w:r>
            <w:r w:rsidR="00C03BC5" w:rsidRPr="00D53C69">
              <w:rPr>
                <w:noProof/>
              </w:rPr>
              <w:t>)</w:t>
            </w:r>
          </w:p>
        </w:tc>
        <w:tc>
          <w:tcPr>
            <w:tcW w:w="491" w:type="pct"/>
          </w:tcPr>
          <w:p w14:paraId="5A693958" w14:textId="2A4F5AB2" w:rsidR="009B5BA0" w:rsidRPr="00D53C69" w:rsidRDefault="009B5BA0" w:rsidP="009B5BA0">
            <w:pPr>
              <w:pStyle w:val="Textintable"/>
            </w:pPr>
            <w:r w:rsidRPr="00D53C69">
              <w:t>Yes</w:t>
            </w:r>
            <w:r w:rsidR="00E3528F" w:rsidRPr="00D53C69">
              <w:rPr>
                <w:noProof/>
              </w:rPr>
              <w:t xml:space="preserve"> </w:t>
            </w:r>
            <w:r w:rsidR="00C03BC5" w:rsidRPr="00D53C69">
              <w:rPr>
                <w:noProof/>
              </w:rPr>
              <w:t>(3</w:t>
            </w:r>
            <w:r w:rsidR="006A5A02" w:rsidRPr="00D53C69">
              <w:rPr>
                <w:noProof/>
              </w:rPr>
              <w:t>4</w:t>
            </w:r>
            <w:r w:rsidR="00C03BC5" w:rsidRPr="00D53C69">
              <w:rPr>
                <w:noProof/>
              </w:rPr>
              <w:t>,8</w:t>
            </w:r>
            <w:r w:rsidR="006A5A02" w:rsidRPr="00D53C69">
              <w:rPr>
                <w:noProof/>
              </w:rPr>
              <w:t>4</w:t>
            </w:r>
            <w:r w:rsidR="00C03BC5" w:rsidRPr="00D53C69">
              <w:rPr>
                <w:noProof/>
              </w:rPr>
              <w:t>,8</w:t>
            </w:r>
            <w:r w:rsidR="006A5A02" w:rsidRPr="00D53C69">
              <w:rPr>
                <w:noProof/>
              </w:rPr>
              <w:t>5</w:t>
            </w:r>
            <w:r w:rsidR="00C03BC5" w:rsidRPr="00D53C69">
              <w:rPr>
                <w:noProof/>
              </w:rPr>
              <w:t>)</w:t>
            </w:r>
          </w:p>
        </w:tc>
        <w:tc>
          <w:tcPr>
            <w:tcW w:w="625" w:type="pct"/>
          </w:tcPr>
          <w:p w14:paraId="11C9C22F" w14:textId="77777777" w:rsidR="009B5BA0" w:rsidRPr="00D53C69" w:rsidRDefault="009B5BA0" w:rsidP="009B5BA0">
            <w:pPr>
              <w:pStyle w:val="Textintable"/>
            </w:pPr>
            <w:r w:rsidRPr="00D53C69">
              <w:t>No evidence</w:t>
            </w:r>
          </w:p>
        </w:tc>
      </w:tr>
      <w:tr w:rsidR="009B5BA0" w:rsidRPr="00AB212F" w14:paraId="4D2D938A" w14:textId="77777777" w:rsidTr="00A24874">
        <w:trPr>
          <w:trHeight w:val="426"/>
        </w:trPr>
        <w:tc>
          <w:tcPr>
            <w:tcW w:w="438" w:type="pct"/>
          </w:tcPr>
          <w:p w14:paraId="08EBCD7C" w14:textId="77777777" w:rsidR="009B5BA0" w:rsidRPr="00D53C69" w:rsidRDefault="009B5BA0" w:rsidP="009B5BA0">
            <w:pPr>
              <w:pStyle w:val="Textintable"/>
            </w:pPr>
            <w:r w:rsidRPr="00D53C69">
              <w:t>Global</w:t>
            </w:r>
          </w:p>
        </w:tc>
        <w:tc>
          <w:tcPr>
            <w:tcW w:w="492" w:type="pct"/>
          </w:tcPr>
          <w:p w14:paraId="5936C6C4" w14:textId="77777777" w:rsidR="009B5BA0" w:rsidRPr="00D53C69" w:rsidRDefault="009B5BA0" w:rsidP="009B5BA0">
            <w:pPr>
              <w:pStyle w:val="Textintable"/>
            </w:pPr>
            <w:r w:rsidRPr="00D53C69">
              <w:t>CGAS</w:t>
            </w:r>
          </w:p>
        </w:tc>
        <w:tc>
          <w:tcPr>
            <w:tcW w:w="55" w:type="pct"/>
          </w:tcPr>
          <w:p w14:paraId="25743A4D" w14:textId="77777777" w:rsidR="009B5BA0" w:rsidRPr="00D53C69" w:rsidRDefault="009B5BA0" w:rsidP="009B5BA0">
            <w:pPr>
              <w:pStyle w:val="Textintable"/>
            </w:pPr>
          </w:p>
        </w:tc>
        <w:tc>
          <w:tcPr>
            <w:tcW w:w="711" w:type="pct"/>
          </w:tcPr>
          <w:p w14:paraId="76ED616E" w14:textId="77777777" w:rsidR="009B5BA0" w:rsidRPr="00D53C69" w:rsidRDefault="009B5BA0" w:rsidP="009B5BA0">
            <w:pPr>
              <w:pStyle w:val="Textintable"/>
            </w:pPr>
            <w:r w:rsidRPr="00D53C69">
              <w:t>Global functioning</w:t>
            </w:r>
          </w:p>
        </w:tc>
        <w:tc>
          <w:tcPr>
            <w:tcW w:w="54" w:type="pct"/>
          </w:tcPr>
          <w:p w14:paraId="0BBFA16A" w14:textId="77777777" w:rsidR="009B5BA0" w:rsidRPr="00D53C69" w:rsidRDefault="009B5BA0" w:rsidP="009B5BA0">
            <w:pPr>
              <w:pStyle w:val="Textintable"/>
            </w:pPr>
          </w:p>
        </w:tc>
        <w:tc>
          <w:tcPr>
            <w:tcW w:w="383" w:type="pct"/>
          </w:tcPr>
          <w:p w14:paraId="51A01B13" w14:textId="77777777" w:rsidR="009B5BA0" w:rsidRPr="00D53C69" w:rsidRDefault="009B5BA0" w:rsidP="009B5BA0">
            <w:pPr>
              <w:pStyle w:val="Textintable"/>
            </w:pPr>
            <w:r w:rsidRPr="00D53C69">
              <w:t xml:space="preserve">1 item </w:t>
            </w:r>
          </w:p>
          <w:p w14:paraId="063B9141" w14:textId="77777777" w:rsidR="009B5BA0" w:rsidRPr="00D53C69" w:rsidRDefault="009B5BA0" w:rsidP="009B5BA0">
            <w:pPr>
              <w:pStyle w:val="Textintable"/>
            </w:pPr>
            <w:r w:rsidRPr="00D53C69">
              <w:t>(&lt; 5 min)</w:t>
            </w:r>
          </w:p>
        </w:tc>
        <w:tc>
          <w:tcPr>
            <w:tcW w:w="383" w:type="pct"/>
          </w:tcPr>
          <w:p w14:paraId="36402CED" w14:textId="77777777" w:rsidR="009B5BA0" w:rsidRPr="00D53C69" w:rsidRDefault="009B5BA0" w:rsidP="009B5BA0">
            <w:pPr>
              <w:pStyle w:val="Textintable"/>
            </w:pPr>
            <w:r w:rsidRPr="00D53C69">
              <w:t>Yes</w:t>
            </w:r>
          </w:p>
        </w:tc>
        <w:tc>
          <w:tcPr>
            <w:tcW w:w="437" w:type="pct"/>
          </w:tcPr>
          <w:p w14:paraId="5708506B" w14:textId="77777777" w:rsidR="009B5BA0" w:rsidRPr="00D53C69" w:rsidRDefault="009B5BA0" w:rsidP="009B5BA0">
            <w:pPr>
              <w:pStyle w:val="Textintable"/>
            </w:pPr>
            <w:r w:rsidRPr="00D53C69">
              <w:t>Ages 4-18</w:t>
            </w:r>
          </w:p>
        </w:tc>
        <w:tc>
          <w:tcPr>
            <w:tcW w:w="383" w:type="pct"/>
          </w:tcPr>
          <w:p w14:paraId="75020E48" w14:textId="77777777" w:rsidR="009B5BA0" w:rsidRPr="00D53C69" w:rsidRDefault="009B5BA0" w:rsidP="009B5BA0">
            <w:pPr>
              <w:pStyle w:val="Textintable"/>
            </w:pPr>
            <w:r w:rsidRPr="00D53C69">
              <w:t>2+</w:t>
            </w:r>
          </w:p>
        </w:tc>
        <w:tc>
          <w:tcPr>
            <w:tcW w:w="56" w:type="pct"/>
          </w:tcPr>
          <w:p w14:paraId="6AEAD232" w14:textId="77777777" w:rsidR="009B5BA0" w:rsidRPr="00D53C69" w:rsidRDefault="009B5BA0" w:rsidP="009B5BA0">
            <w:pPr>
              <w:pStyle w:val="Textintable"/>
            </w:pPr>
          </w:p>
        </w:tc>
        <w:tc>
          <w:tcPr>
            <w:tcW w:w="492" w:type="pct"/>
          </w:tcPr>
          <w:p w14:paraId="4D8EB3B0" w14:textId="517B1A71" w:rsidR="009B5BA0" w:rsidRPr="00D53C69" w:rsidRDefault="009B5BA0" w:rsidP="009B5BA0">
            <w:pPr>
              <w:pStyle w:val="Textintable"/>
            </w:pPr>
            <w:r w:rsidRPr="00D53C69">
              <w:t>IRR</w:t>
            </w:r>
            <w:r w:rsidR="00BE6FCD" w:rsidRPr="00D53C69">
              <w:t xml:space="preserve"> </w:t>
            </w:r>
            <w:r w:rsidR="00C03BC5" w:rsidRPr="00D53C69">
              <w:rPr>
                <w:noProof/>
              </w:rPr>
              <w:t>(3</w:t>
            </w:r>
            <w:r w:rsidR="006A5A02" w:rsidRPr="00D53C69">
              <w:rPr>
                <w:noProof/>
              </w:rPr>
              <w:t>4</w:t>
            </w:r>
            <w:r w:rsidR="00C03BC5" w:rsidRPr="00D53C69">
              <w:rPr>
                <w:noProof/>
              </w:rPr>
              <w:t>,8</w:t>
            </w:r>
            <w:r w:rsidR="006A5A02" w:rsidRPr="00D53C69">
              <w:rPr>
                <w:noProof/>
              </w:rPr>
              <w:t>6</w:t>
            </w:r>
            <w:r w:rsidR="00C03BC5" w:rsidRPr="00D53C69">
              <w:rPr>
                <w:noProof/>
              </w:rPr>
              <w:t>–8</w:t>
            </w:r>
            <w:r w:rsidR="006A5A02" w:rsidRPr="00D53C69">
              <w:rPr>
                <w:noProof/>
              </w:rPr>
              <w:t>8</w:t>
            </w:r>
            <w:r w:rsidR="00C03BC5" w:rsidRPr="00D53C69">
              <w:rPr>
                <w:noProof/>
              </w:rPr>
              <w:t>)</w:t>
            </w:r>
          </w:p>
          <w:p w14:paraId="76903396" w14:textId="24A67630" w:rsidR="009B5BA0" w:rsidRPr="00D53C69" w:rsidRDefault="009B5BA0" w:rsidP="009B5BA0">
            <w:pPr>
              <w:pStyle w:val="Textintable"/>
            </w:pPr>
            <w:r w:rsidRPr="00D53C69">
              <w:t>TRT</w:t>
            </w:r>
            <w:r w:rsidR="00BE6FCD" w:rsidRPr="00D53C69">
              <w:t xml:space="preserve"> </w:t>
            </w:r>
            <w:r w:rsidR="00C03BC5" w:rsidRPr="00D53C69">
              <w:rPr>
                <w:noProof/>
              </w:rPr>
              <w:t>(3</w:t>
            </w:r>
            <w:r w:rsidR="006A5A02" w:rsidRPr="00D53C69">
              <w:rPr>
                <w:noProof/>
              </w:rPr>
              <w:t>5</w:t>
            </w:r>
            <w:r w:rsidR="00C03BC5" w:rsidRPr="00D53C69">
              <w:rPr>
                <w:noProof/>
              </w:rPr>
              <w:t>,8</w:t>
            </w:r>
            <w:r w:rsidR="006A5A02" w:rsidRPr="00D53C69">
              <w:rPr>
                <w:noProof/>
              </w:rPr>
              <w:t>7</w:t>
            </w:r>
            <w:r w:rsidR="00C03BC5" w:rsidRPr="00D53C69">
              <w:rPr>
                <w:noProof/>
              </w:rPr>
              <w:t>)</w:t>
            </w:r>
          </w:p>
        </w:tc>
        <w:tc>
          <w:tcPr>
            <w:tcW w:w="491" w:type="pct"/>
          </w:tcPr>
          <w:p w14:paraId="1517FABB" w14:textId="77777777" w:rsidR="009B5BA0" w:rsidRPr="00D53C69" w:rsidRDefault="009B5BA0" w:rsidP="009B5BA0">
            <w:pPr>
              <w:pStyle w:val="Textintable"/>
            </w:pPr>
            <w:r w:rsidRPr="00D53C69">
              <w:t>N.A.</w:t>
            </w:r>
          </w:p>
        </w:tc>
        <w:tc>
          <w:tcPr>
            <w:tcW w:w="625" w:type="pct"/>
          </w:tcPr>
          <w:p w14:paraId="53FA8783" w14:textId="2110E17C" w:rsidR="009B5BA0" w:rsidRPr="00D53C69" w:rsidRDefault="009B5BA0" w:rsidP="009B5BA0">
            <w:pPr>
              <w:pStyle w:val="Textintable"/>
            </w:pPr>
            <w:r w:rsidRPr="00D53C69">
              <w:t>Some evidence</w:t>
            </w:r>
            <w:r w:rsidR="00E3528F" w:rsidRPr="00D53C69">
              <w:t xml:space="preserve"> </w:t>
            </w:r>
            <w:r w:rsidR="00C03BC5" w:rsidRPr="00D53C69">
              <w:rPr>
                <w:noProof/>
              </w:rPr>
              <w:t>(</w:t>
            </w:r>
            <w:r w:rsidR="006A5A02" w:rsidRPr="00D53C69">
              <w:rPr>
                <w:noProof/>
              </w:rPr>
              <w:t>89</w:t>
            </w:r>
            <w:r w:rsidR="00C03BC5" w:rsidRPr="00D53C69">
              <w:rPr>
                <w:noProof/>
              </w:rPr>
              <w:t>)</w:t>
            </w:r>
          </w:p>
        </w:tc>
      </w:tr>
      <w:tr w:rsidR="009B5BA0" w:rsidRPr="00AB212F" w14:paraId="7EDD06D2" w14:textId="77777777" w:rsidTr="00A24874">
        <w:trPr>
          <w:trHeight w:val="29"/>
        </w:trPr>
        <w:tc>
          <w:tcPr>
            <w:tcW w:w="438" w:type="pct"/>
            <w:tcBorders>
              <w:bottom w:val="single" w:sz="4" w:space="0" w:color="auto"/>
            </w:tcBorders>
          </w:tcPr>
          <w:p w14:paraId="68820500" w14:textId="77777777" w:rsidR="009B5BA0" w:rsidRPr="00D53C69" w:rsidRDefault="009B5BA0" w:rsidP="009B5BA0">
            <w:pPr>
              <w:pStyle w:val="Textintable"/>
            </w:pPr>
            <w:r w:rsidRPr="00D53C69">
              <w:t>Impact</w:t>
            </w:r>
          </w:p>
        </w:tc>
        <w:tc>
          <w:tcPr>
            <w:tcW w:w="492" w:type="pct"/>
            <w:tcBorders>
              <w:bottom w:val="single" w:sz="4" w:space="0" w:color="auto"/>
            </w:tcBorders>
          </w:tcPr>
          <w:p w14:paraId="5F06B21B" w14:textId="77777777" w:rsidR="009B5BA0" w:rsidRPr="00D53C69" w:rsidRDefault="009B5BA0" w:rsidP="009B5BA0">
            <w:pPr>
              <w:pStyle w:val="Textintable"/>
            </w:pPr>
            <w:r w:rsidRPr="00D53C69">
              <w:t>CALIS</w:t>
            </w:r>
          </w:p>
        </w:tc>
        <w:tc>
          <w:tcPr>
            <w:tcW w:w="55" w:type="pct"/>
            <w:tcBorders>
              <w:bottom w:val="single" w:sz="4" w:space="0" w:color="auto"/>
            </w:tcBorders>
          </w:tcPr>
          <w:p w14:paraId="1EEB9F3C" w14:textId="77777777" w:rsidR="009B5BA0" w:rsidRPr="00D53C69" w:rsidRDefault="009B5BA0" w:rsidP="009B5BA0">
            <w:pPr>
              <w:pStyle w:val="Textintable"/>
            </w:pPr>
          </w:p>
        </w:tc>
        <w:tc>
          <w:tcPr>
            <w:tcW w:w="711" w:type="pct"/>
            <w:tcBorders>
              <w:bottom w:val="single" w:sz="4" w:space="0" w:color="auto"/>
            </w:tcBorders>
          </w:tcPr>
          <w:p w14:paraId="50488A13" w14:textId="77777777" w:rsidR="009B5BA0" w:rsidRPr="00D53C69" w:rsidRDefault="009B5BA0" w:rsidP="009B5BA0">
            <w:pPr>
              <w:pStyle w:val="Textintable"/>
            </w:pPr>
            <w:r w:rsidRPr="00D53C69">
              <w:t>Enjoyable activities; relationships with siblings, parents, friends, peers; sports; schoolwork; distress</w:t>
            </w:r>
          </w:p>
        </w:tc>
        <w:tc>
          <w:tcPr>
            <w:tcW w:w="54" w:type="pct"/>
            <w:tcBorders>
              <w:bottom w:val="single" w:sz="4" w:space="0" w:color="auto"/>
            </w:tcBorders>
          </w:tcPr>
          <w:p w14:paraId="09E5ED79" w14:textId="77777777" w:rsidR="009B5BA0" w:rsidRPr="00D53C69" w:rsidRDefault="009B5BA0" w:rsidP="009B5BA0">
            <w:pPr>
              <w:pStyle w:val="Textintable"/>
            </w:pPr>
          </w:p>
        </w:tc>
        <w:tc>
          <w:tcPr>
            <w:tcW w:w="383" w:type="pct"/>
            <w:tcBorders>
              <w:bottom w:val="single" w:sz="4" w:space="0" w:color="auto"/>
            </w:tcBorders>
          </w:tcPr>
          <w:p w14:paraId="54D3E404" w14:textId="77777777" w:rsidR="009B5BA0" w:rsidRPr="00D53C69" w:rsidRDefault="009B5BA0" w:rsidP="009B5BA0">
            <w:pPr>
              <w:pStyle w:val="Textintable"/>
            </w:pPr>
            <w:r w:rsidRPr="00D53C69">
              <w:t xml:space="preserve">9/10 items </w:t>
            </w:r>
          </w:p>
          <w:p w14:paraId="5FDF5BF9" w14:textId="77777777" w:rsidR="009B5BA0" w:rsidRPr="00D53C69" w:rsidRDefault="009B5BA0" w:rsidP="009B5BA0">
            <w:pPr>
              <w:pStyle w:val="Textintable"/>
            </w:pPr>
            <w:r w:rsidRPr="00D53C69">
              <w:t>(&lt; 5 min)</w:t>
            </w:r>
          </w:p>
        </w:tc>
        <w:tc>
          <w:tcPr>
            <w:tcW w:w="383" w:type="pct"/>
            <w:tcBorders>
              <w:bottom w:val="single" w:sz="4" w:space="0" w:color="auto"/>
            </w:tcBorders>
          </w:tcPr>
          <w:p w14:paraId="16D8363A" w14:textId="77777777" w:rsidR="009B5BA0" w:rsidRPr="00D53C69" w:rsidRDefault="009B5BA0" w:rsidP="009B5BA0">
            <w:pPr>
              <w:pStyle w:val="Textintable"/>
            </w:pPr>
            <w:r w:rsidRPr="00D53C69">
              <w:t>Yes</w:t>
            </w:r>
          </w:p>
        </w:tc>
        <w:tc>
          <w:tcPr>
            <w:tcW w:w="437" w:type="pct"/>
            <w:tcBorders>
              <w:bottom w:val="single" w:sz="4" w:space="0" w:color="auto"/>
            </w:tcBorders>
          </w:tcPr>
          <w:p w14:paraId="7FA50F94" w14:textId="77777777" w:rsidR="009B5BA0" w:rsidRPr="00D53C69" w:rsidRDefault="009B5BA0" w:rsidP="009B5BA0">
            <w:pPr>
              <w:pStyle w:val="Textintable"/>
            </w:pPr>
            <w:r w:rsidRPr="00D53C69">
              <w:t>Ages 6-17</w:t>
            </w:r>
          </w:p>
          <w:p w14:paraId="7A53B006" w14:textId="77777777" w:rsidR="009B5BA0" w:rsidRPr="00D53C69" w:rsidRDefault="009B5BA0" w:rsidP="009B5BA0">
            <w:pPr>
              <w:pStyle w:val="Textintable"/>
            </w:pPr>
            <w:r w:rsidRPr="00D53C69">
              <w:t>cl. &amp; non-cl.</w:t>
            </w:r>
          </w:p>
        </w:tc>
        <w:tc>
          <w:tcPr>
            <w:tcW w:w="383" w:type="pct"/>
            <w:tcBorders>
              <w:bottom w:val="single" w:sz="4" w:space="0" w:color="auto"/>
            </w:tcBorders>
          </w:tcPr>
          <w:p w14:paraId="7794E1C5" w14:textId="77777777" w:rsidR="009B5BA0" w:rsidRPr="00D53C69" w:rsidRDefault="009B5BA0" w:rsidP="009B5BA0">
            <w:pPr>
              <w:pStyle w:val="Textintable"/>
            </w:pPr>
            <w:r w:rsidRPr="00D53C69">
              <w:t>7</w:t>
            </w:r>
          </w:p>
        </w:tc>
        <w:tc>
          <w:tcPr>
            <w:tcW w:w="56" w:type="pct"/>
            <w:tcBorders>
              <w:bottom w:val="single" w:sz="4" w:space="0" w:color="auto"/>
            </w:tcBorders>
          </w:tcPr>
          <w:p w14:paraId="25A62BB1" w14:textId="77777777" w:rsidR="009B5BA0" w:rsidRPr="00D53C69" w:rsidRDefault="009B5BA0" w:rsidP="009B5BA0">
            <w:pPr>
              <w:pStyle w:val="Textintable"/>
            </w:pPr>
          </w:p>
        </w:tc>
        <w:tc>
          <w:tcPr>
            <w:tcW w:w="492" w:type="pct"/>
            <w:tcBorders>
              <w:bottom w:val="single" w:sz="4" w:space="0" w:color="auto"/>
            </w:tcBorders>
          </w:tcPr>
          <w:p w14:paraId="72E6F925" w14:textId="1FA727EB" w:rsidR="009B5BA0" w:rsidRPr="00D53C69" w:rsidRDefault="009B5BA0" w:rsidP="00123104">
            <w:pPr>
              <w:pStyle w:val="Textintable"/>
              <w:tabs>
                <w:tab w:val="left" w:pos="675"/>
              </w:tabs>
            </w:pPr>
            <w:r w:rsidRPr="00D53C69">
              <w:t>TRT</w:t>
            </w:r>
            <w:r w:rsidR="00BE6FCD" w:rsidRPr="00D53C69">
              <w:t xml:space="preserve"> </w:t>
            </w:r>
            <w:r w:rsidR="003C4252" w:rsidRPr="00D53C69">
              <w:rPr>
                <w:noProof/>
              </w:rPr>
              <w:t>(3</w:t>
            </w:r>
            <w:r w:rsidR="006A5A02" w:rsidRPr="00D53C69">
              <w:rPr>
                <w:noProof/>
              </w:rPr>
              <w:t>6</w:t>
            </w:r>
            <w:r w:rsidR="003C4252" w:rsidRPr="00D53C69">
              <w:rPr>
                <w:noProof/>
              </w:rPr>
              <w:t>)</w:t>
            </w:r>
          </w:p>
        </w:tc>
        <w:tc>
          <w:tcPr>
            <w:tcW w:w="491" w:type="pct"/>
            <w:tcBorders>
              <w:bottom w:val="single" w:sz="4" w:space="0" w:color="auto"/>
            </w:tcBorders>
          </w:tcPr>
          <w:p w14:paraId="21F0E419" w14:textId="3006D44A" w:rsidR="009B5BA0" w:rsidRPr="00D53C69" w:rsidRDefault="009B5BA0" w:rsidP="009B5BA0">
            <w:pPr>
              <w:pStyle w:val="Textintable"/>
            </w:pPr>
            <w:r w:rsidRPr="00D53C69">
              <w:t>Yes</w:t>
            </w:r>
            <w:r w:rsidR="00E3528F" w:rsidRPr="00D53C69">
              <w:t xml:space="preserve"> </w:t>
            </w:r>
            <w:r w:rsidR="00C03BC5" w:rsidRPr="00D53C69">
              <w:rPr>
                <w:noProof/>
              </w:rPr>
              <w:t>(3</w:t>
            </w:r>
            <w:r w:rsidR="006A5A02" w:rsidRPr="00D53C69">
              <w:rPr>
                <w:noProof/>
              </w:rPr>
              <w:t>6</w:t>
            </w:r>
            <w:r w:rsidR="00C03BC5" w:rsidRPr="00D53C69">
              <w:rPr>
                <w:noProof/>
              </w:rPr>
              <w:t>,</w:t>
            </w:r>
            <w:r w:rsidR="0059150F" w:rsidRPr="00D53C69">
              <w:rPr>
                <w:noProof/>
              </w:rPr>
              <w:t>9</w:t>
            </w:r>
            <w:r w:rsidR="006A5A02" w:rsidRPr="00D53C69">
              <w:rPr>
                <w:noProof/>
              </w:rPr>
              <w:t>0</w:t>
            </w:r>
            <w:r w:rsidR="00C03BC5" w:rsidRPr="00D53C69">
              <w:rPr>
                <w:noProof/>
              </w:rPr>
              <w:t>,9</w:t>
            </w:r>
            <w:r w:rsidR="006A5A02" w:rsidRPr="00D53C69">
              <w:rPr>
                <w:noProof/>
              </w:rPr>
              <w:t>1</w:t>
            </w:r>
            <w:r w:rsidR="00C03BC5" w:rsidRPr="00D53C69">
              <w:rPr>
                <w:noProof/>
              </w:rPr>
              <w:t>)</w:t>
            </w:r>
          </w:p>
        </w:tc>
        <w:tc>
          <w:tcPr>
            <w:tcW w:w="625" w:type="pct"/>
            <w:tcBorders>
              <w:bottom w:val="single" w:sz="4" w:space="0" w:color="auto"/>
            </w:tcBorders>
          </w:tcPr>
          <w:p w14:paraId="316B5D0A" w14:textId="110AE18B" w:rsidR="009B5BA0" w:rsidRPr="00D53C69" w:rsidRDefault="009B5BA0" w:rsidP="009B5BA0">
            <w:pPr>
              <w:pStyle w:val="Textintable"/>
            </w:pPr>
            <w:r w:rsidRPr="00D53C69">
              <w:t>Some evidence</w:t>
            </w:r>
            <w:r w:rsidR="00E3528F" w:rsidRPr="00D53C69">
              <w:t xml:space="preserve"> </w:t>
            </w:r>
            <w:r w:rsidR="003C4252" w:rsidRPr="00D53C69">
              <w:rPr>
                <w:noProof/>
              </w:rPr>
              <w:t>(3</w:t>
            </w:r>
            <w:r w:rsidR="007868D9" w:rsidRPr="00D53C69">
              <w:rPr>
                <w:noProof/>
              </w:rPr>
              <w:t>6</w:t>
            </w:r>
            <w:r w:rsidR="003C4252" w:rsidRPr="00D53C69">
              <w:rPr>
                <w:noProof/>
              </w:rPr>
              <w:t>)</w:t>
            </w:r>
          </w:p>
        </w:tc>
      </w:tr>
    </w:tbl>
    <w:p w14:paraId="0E5BA6D1" w14:textId="4EBF574E" w:rsidR="00C576F4" w:rsidRPr="00677D5D" w:rsidRDefault="00C576F4" w:rsidP="00AB212F">
      <w:pPr>
        <w:spacing w:line="240" w:lineRule="auto"/>
        <w:rPr>
          <w:sz w:val="12"/>
          <w:szCs w:val="12"/>
        </w:rPr>
      </w:pPr>
      <w:r w:rsidRPr="00677D5D">
        <w:rPr>
          <w:i/>
          <w:iCs/>
          <w:sz w:val="12"/>
          <w:szCs w:val="12"/>
        </w:rPr>
        <w:t>Note.</w:t>
      </w:r>
      <w:r w:rsidRPr="00677D5D">
        <w:rPr>
          <w:sz w:val="12"/>
          <w:szCs w:val="12"/>
        </w:rPr>
        <w:t xml:space="preserve"> GAD = Generalized Anxiety Disorder; MDD = Major Depressive Disorder (MDD); OCD = Obsessive Compulsive Disorder; PD = Panic disorder; SAD = Separation Anxiety Disorder; SP = Social Phobia. </w:t>
      </w:r>
      <w:r w:rsidRPr="00677D5D">
        <w:rPr>
          <w:sz w:val="12"/>
          <w:szCs w:val="12"/>
          <w:vertAlign w:val="superscript"/>
        </w:rPr>
        <w:t>a</w:t>
      </w:r>
      <w:r w:rsidRPr="00677D5D">
        <w:rPr>
          <w:sz w:val="12"/>
          <w:szCs w:val="12"/>
        </w:rPr>
        <w:t xml:space="preserve"> These thresholds are based on the ISOQOL minimum standards for patient-reported outcome measures </w:t>
      </w:r>
      <w:r w:rsidR="00904F0D" w:rsidRPr="00677D5D">
        <w:rPr>
          <w:noProof/>
          <w:sz w:val="12"/>
          <w:szCs w:val="12"/>
        </w:rPr>
        <w:t>(</w:t>
      </w:r>
      <w:r w:rsidR="00904F0D" w:rsidRPr="00CF1DF7">
        <w:rPr>
          <w:noProof/>
          <w:sz w:val="12"/>
          <w:szCs w:val="12"/>
        </w:rPr>
        <w:t>2</w:t>
      </w:r>
      <w:r w:rsidR="006623D7" w:rsidRPr="00CF1DF7">
        <w:rPr>
          <w:noProof/>
          <w:sz w:val="12"/>
          <w:szCs w:val="12"/>
        </w:rPr>
        <w:t>5</w:t>
      </w:r>
      <w:r w:rsidR="00904F0D" w:rsidRPr="00677D5D">
        <w:rPr>
          <w:noProof/>
          <w:sz w:val="12"/>
          <w:szCs w:val="12"/>
        </w:rPr>
        <w:t>)</w:t>
      </w:r>
      <w:r w:rsidR="00242092" w:rsidRPr="00677D5D">
        <w:rPr>
          <w:sz w:val="12"/>
          <w:szCs w:val="12"/>
        </w:rPr>
        <w:t xml:space="preserve">. </w:t>
      </w:r>
      <w:r w:rsidR="00242092" w:rsidRPr="00677D5D">
        <w:rPr>
          <w:sz w:val="12"/>
          <w:szCs w:val="12"/>
          <w:vertAlign w:val="superscript"/>
        </w:rPr>
        <w:t>b</w:t>
      </w:r>
      <w:r w:rsidRPr="00677D5D">
        <w:rPr>
          <w:sz w:val="12"/>
          <w:szCs w:val="12"/>
        </w:rPr>
        <w:t xml:space="preserve"> </w:t>
      </w:r>
      <w:r w:rsidR="00242092" w:rsidRPr="00677D5D">
        <w:rPr>
          <w:sz w:val="12"/>
          <w:szCs w:val="12"/>
        </w:rPr>
        <w:t xml:space="preserve">The </w:t>
      </w:r>
      <w:r w:rsidR="001559B5" w:rsidRPr="00677D5D">
        <w:rPr>
          <w:sz w:val="12"/>
          <w:szCs w:val="12"/>
        </w:rPr>
        <w:t xml:space="preserve">RCADS-25 </w:t>
      </w:r>
      <w:r w:rsidR="00242092" w:rsidRPr="00677D5D">
        <w:rPr>
          <w:sz w:val="12"/>
          <w:szCs w:val="12"/>
        </w:rPr>
        <w:t>is currently available in four languages</w:t>
      </w:r>
      <w:r w:rsidR="00A65F70" w:rsidRPr="00677D5D">
        <w:rPr>
          <w:sz w:val="12"/>
          <w:szCs w:val="12"/>
        </w:rPr>
        <w:t xml:space="preserve"> on the source website (</w:t>
      </w:r>
      <w:r w:rsidR="004E0AD9" w:rsidRPr="00677D5D">
        <w:rPr>
          <w:sz w:val="12"/>
          <w:szCs w:val="12"/>
        </w:rPr>
        <w:t>see</w:t>
      </w:r>
      <w:r w:rsidR="00FE6119" w:rsidRPr="00677D5D">
        <w:rPr>
          <w:sz w:val="12"/>
          <w:szCs w:val="12"/>
        </w:rPr>
        <w:t xml:space="preserve"> Table S12</w:t>
      </w:r>
      <w:r w:rsidR="004E0AD9" w:rsidRPr="00677D5D">
        <w:rPr>
          <w:sz w:val="12"/>
          <w:szCs w:val="12"/>
        </w:rPr>
        <w:t xml:space="preserve">, </w:t>
      </w:r>
      <w:r w:rsidR="00202470">
        <w:rPr>
          <w:sz w:val="12"/>
          <w:szCs w:val="12"/>
        </w:rPr>
        <w:t>Appendix</w:t>
      </w:r>
      <w:r w:rsidR="004E0AD9" w:rsidRPr="00677D5D">
        <w:rPr>
          <w:sz w:val="12"/>
          <w:szCs w:val="12"/>
        </w:rPr>
        <w:t xml:space="preserve"> p</w:t>
      </w:r>
      <w:r w:rsidR="00677D5D" w:rsidRPr="00677D5D">
        <w:rPr>
          <w:sz w:val="12"/>
          <w:szCs w:val="12"/>
        </w:rPr>
        <w:t>g</w:t>
      </w:r>
      <w:r w:rsidR="004E0AD9" w:rsidRPr="00677D5D">
        <w:rPr>
          <w:sz w:val="12"/>
          <w:szCs w:val="12"/>
        </w:rPr>
        <w:t>. 22</w:t>
      </w:r>
      <w:r w:rsidR="00A65F70" w:rsidRPr="00677D5D">
        <w:rPr>
          <w:sz w:val="12"/>
          <w:szCs w:val="12"/>
        </w:rPr>
        <w:t>)</w:t>
      </w:r>
      <w:r w:rsidR="003D6C83" w:rsidRPr="00677D5D">
        <w:rPr>
          <w:sz w:val="12"/>
          <w:szCs w:val="12"/>
        </w:rPr>
        <w:t xml:space="preserve">, but the </w:t>
      </w:r>
      <w:r w:rsidR="006C2FA8" w:rsidRPr="00677D5D">
        <w:rPr>
          <w:sz w:val="12"/>
          <w:szCs w:val="12"/>
        </w:rPr>
        <w:t xml:space="preserve">47-item </w:t>
      </w:r>
      <w:r w:rsidR="00242092" w:rsidRPr="00677D5D">
        <w:rPr>
          <w:sz w:val="12"/>
          <w:szCs w:val="12"/>
        </w:rPr>
        <w:t xml:space="preserve">long form </w:t>
      </w:r>
      <w:r w:rsidR="001559B5" w:rsidRPr="00677D5D">
        <w:rPr>
          <w:sz w:val="12"/>
          <w:szCs w:val="12"/>
        </w:rPr>
        <w:t xml:space="preserve">is available in 16 languages, </w:t>
      </w:r>
      <w:r w:rsidR="006C2FA8" w:rsidRPr="00677D5D">
        <w:rPr>
          <w:sz w:val="12"/>
          <w:szCs w:val="12"/>
        </w:rPr>
        <w:t>so</w:t>
      </w:r>
      <w:r w:rsidR="003D6C83" w:rsidRPr="00677D5D">
        <w:rPr>
          <w:sz w:val="12"/>
          <w:szCs w:val="12"/>
        </w:rPr>
        <w:t xml:space="preserve"> that</w:t>
      </w:r>
      <w:r w:rsidR="006C2FA8" w:rsidRPr="00677D5D">
        <w:rPr>
          <w:sz w:val="12"/>
          <w:szCs w:val="12"/>
        </w:rPr>
        <w:t xml:space="preserve"> item-level translations are available in more than four languages for th</w:t>
      </w:r>
      <w:r w:rsidR="003D6C83" w:rsidRPr="00677D5D">
        <w:rPr>
          <w:sz w:val="12"/>
          <w:szCs w:val="12"/>
        </w:rPr>
        <w:t>ose</w:t>
      </w:r>
      <w:r w:rsidR="006C2FA8" w:rsidRPr="00677D5D">
        <w:rPr>
          <w:sz w:val="12"/>
          <w:szCs w:val="12"/>
        </w:rPr>
        <w:t xml:space="preserve"> items included in the RCADS-25</w:t>
      </w:r>
      <w:r w:rsidR="001559B5" w:rsidRPr="00677D5D">
        <w:rPr>
          <w:sz w:val="12"/>
          <w:szCs w:val="12"/>
        </w:rPr>
        <w:t>.</w:t>
      </w:r>
      <w:r w:rsidR="00242092" w:rsidRPr="00677D5D">
        <w:rPr>
          <w:sz w:val="12"/>
          <w:szCs w:val="12"/>
          <w:vertAlign w:val="superscript"/>
        </w:rPr>
        <w:t xml:space="preserve"> </w:t>
      </w:r>
      <w:r w:rsidR="007A2267" w:rsidRPr="00677D5D">
        <w:rPr>
          <w:sz w:val="12"/>
          <w:szCs w:val="12"/>
          <w:vertAlign w:val="superscript"/>
        </w:rPr>
        <w:t>b</w:t>
      </w:r>
      <w:r w:rsidR="007A2267" w:rsidRPr="00677D5D">
        <w:rPr>
          <w:sz w:val="12"/>
          <w:szCs w:val="12"/>
        </w:rPr>
        <w:t xml:space="preserve"> These validation studies tested a parent-report version only. </w:t>
      </w:r>
      <w:r w:rsidR="00242092" w:rsidRPr="00677D5D">
        <w:rPr>
          <w:sz w:val="12"/>
          <w:szCs w:val="12"/>
          <w:vertAlign w:val="superscript"/>
        </w:rPr>
        <w:t>c</w:t>
      </w:r>
      <w:r w:rsidRPr="00677D5D">
        <w:rPr>
          <w:sz w:val="12"/>
          <w:szCs w:val="12"/>
          <w:vertAlign w:val="superscript"/>
        </w:rPr>
        <w:t xml:space="preserve"> </w:t>
      </w:r>
      <w:r w:rsidRPr="00677D5D">
        <w:rPr>
          <w:sz w:val="12"/>
          <w:szCs w:val="12"/>
        </w:rPr>
        <w:t>These validation</w:t>
      </w:r>
      <w:r w:rsidRPr="00677D5D">
        <w:rPr>
          <w:sz w:val="12"/>
          <w:szCs w:val="12"/>
          <w:vertAlign w:val="superscript"/>
        </w:rPr>
        <w:t xml:space="preserve"> </w:t>
      </w:r>
      <w:r w:rsidRPr="00677D5D">
        <w:rPr>
          <w:sz w:val="12"/>
          <w:szCs w:val="12"/>
        </w:rPr>
        <w:t xml:space="preserve">studies tested a parent-report version only. </w:t>
      </w:r>
      <w:r w:rsidR="00242092" w:rsidRPr="00677D5D">
        <w:rPr>
          <w:sz w:val="12"/>
          <w:szCs w:val="12"/>
          <w:vertAlign w:val="superscript"/>
        </w:rPr>
        <w:t>d</w:t>
      </w:r>
      <w:r w:rsidRPr="00677D5D">
        <w:rPr>
          <w:sz w:val="12"/>
          <w:szCs w:val="12"/>
          <w:vertAlign w:val="superscript"/>
        </w:rPr>
        <w:t xml:space="preserve"> </w:t>
      </w:r>
      <w:r w:rsidR="00BB0672" w:rsidRPr="00677D5D">
        <w:rPr>
          <w:sz w:val="12"/>
          <w:szCs w:val="12"/>
        </w:rPr>
        <w:t xml:space="preserve">Two initial questions serve as screeners, with the three remaining severity items administered only to those endorsing the first two; all young people are asked about suicidal behaviour. </w:t>
      </w:r>
      <w:r w:rsidR="00BB0672" w:rsidRPr="00677D5D">
        <w:rPr>
          <w:sz w:val="12"/>
          <w:szCs w:val="12"/>
          <w:vertAlign w:val="superscript"/>
        </w:rPr>
        <w:t xml:space="preserve">e </w:t>
      </w:r>
      <w:proofErr w:type="gramStart"/>
      <w:r w:rsidRPr="00677D5D">
        <w:rPr>
          <w:sz w:val="12"/>
          <w:szCs w:val="12"/>
        </w:rPr>
        <w:t>To</w:t>
      </w:r>
      <w:proofErr w:type="gramEnd"/>
      <w:r w:rsidRPr="00677D5D">
        <w:rPr>
          <w:sz w:val="12"/>
          <w:szCs w:val="12"/>
        </w:rPr>
        <w:t xml:space="preserve"> the authors’ knowledge, the C-SSRS self-report screener had not been subject to a validation study in CYP at the time of writing. For the psychometric appraisal, studies assessing the psychometric properties of the severity subscale in the clinician-led C-SSRS semi-structured interview schedule were considered instead</w:t>
      </w:r>
      <w:r w:rsidR="00BB0672" w:rsidRPr="00677D5D">
        <w:rPr>
          <w:sz w:val="12"/>
          <w:szCs w:val="12"/>
        </w:rPr>
        <w:t>.</w:t>
      </w:r>
    </w:p>
    <w:p w14:paraId="3262B898" w14:textId="7A63FD26" w:rsidR="00C576F4" w:rsidRPr="00B77A90" w:rsidRDefault="00C576F4" w:rsidP="008C1934">
      <w:pPr>
        <w:pStyle w:val="SupplementTableHead"/>
      </w:pPr>
      <w:r w:rsidRPr="00B77A90">
        <w:rPr>
          <w:sz w:val="14"/>
          <w:szCs w:val="14"/>
        </w:rPr>
        <w:br w:type="page"/>
      </w:r>
      <w:bookmarkEnd w:id="17"/>
      <w:r w:rsidRPr="00B77A90">
        <w:lastRenderedPageBreak/>
        <w:t>Table 2. Case-Mix Factors in the Standard Set for Pediatric Anxiety, Depression, OCD, and PTSD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57" w:type="dxa"/>
        </w:tblCellMar>
        <w:tblLook w:val="04A0" w:firstRow="1" w:lastRow="0" w:firstColumn="1" w:lastColumn="0" w:noHBand="0" w:noVBand="1"/>
      </w:tblPr>
      <w:tblGrid>
        <w:gridCol w:w="1842"/>
        <w:gridCol w:w="2411"/>
        <w:gridCol w:w="6420"/>
        <w:gridCol w:w="384"/>
        <w:gridCol w:w="1903"/>
      </w:tblGrid>
      <w:tr w:rsidR="00C576F4" w:rsidRPr="00B77A90" w14:paraId="78A692F6" w14:textId="77777777" w:rsidTr="00A33949">
        <w:trPr>
          <w:tblHeader/>
        </w:trPr>
        <w:tc>
          <w:tcPr>
            <w:tcW w:w="711" w:type="pct"/>
            <w:tcBorders>
              <w:top w:val="single" w:sz="4" w:space="0" w:color="auto"/>
              <w:bottom w:val="single" w:sz="4" w:space="0" w:color="auto"/>
            </w:tcBorders>
          </w:tcPr>
          <w:p w14:paraId="10507683" w14:textId="77777777" w:rsidR="00C576F4" w:rsidRPr="00B77A90" w:rsidRDefault="00C576F4" w:rsidP="008C1934">
            <w:pPr>
              <w:pStyle w:val="TableFigure"/>
            </w:pPr>
          </w:p>
        </w:tc>
        <w:tc>
          <w:tcPr>
            <w:tcW w:w="930" w:type="pct"/>
            <w:tcBorders>
              <w:top w:val="single" w:sz="4" w:space="0" w:color="auto"/>
              <w:bottom w:val="single" w:sz="4" w:space="0" w:color="auto"/>
            </w:tcBorders>
          </w:tcPr>
          <w:p w14:paraId="79DF4A84" w14:textId="7A4ADC71" w:rsidR="00C576F4" w:rsidRPr="00B77A90" w:rsidRDefault="00C576F4" w:rsidP="008C1934">
            <w:pPr>
              <w:pStyle w:val="TableFigure"/>
            </w:pPr>
            <w:r w:rsidRPr="00B77A90">
              <w:t>Case</w:t>
            </w:r>
            <w:r w:rsidR="0047267A">
              <w:t>-</w:t>
            </w:r>
            <w:r w:rsidRPr="00B77A90">
              <w:t>mix factor</w:t>
            </w:r>
          </w:p>
        </w:tc>
        <w:tc>
          <w:tcPr>
            <w:tcW w:w="2477" w:type="pct"/>
            <w:tcBorders>
              <w:top w:val="single" w:sz="4" w:space="0" w:color="auto"/>
              <w:bottom w:val="single" w:sz="4" w:space="0" w:color="auto"/>
            </w:tcBorders>
          </w:tcPr>
          <w:p w14:paraId="063A9C5F" w14:textId="77777777" w:rsidR="00C576F4" w:rsidRPr="00B77A90" w:rsidRDefault="00C576F4" w:rsidP="008C1934">
            <w:pPr>
              <w:pStyle w:val="TableFigure"/>
            </w:pPr>
            <w:r w:rsidRPr="00B77A90">
              <w:t>Measure</w:t>
            </w:r>
          </w:p>
        </w:tc>
        <w:tc>
          <w:tcPr>
            <w:tcW w:w="148" w:type="pct"/>
            <w:tcBorders>
              <w:top w:val="single" w:sz="4" w:space="0" w:color="auto"/>
              <w:bottom w:val="single" w:sz="4" w:space="0" w:color="auto"/>
            </w:tcBorders>
          </w:tcPr>
          <w:p w14:paraId="118DAA14" w14:textId="77777777" w:rsidR="00C576F4" w:rsidRPr="00B77A90" w:rsidRDefault="00C576F4" w:rsidP="008C1934">
            <w:pPr>
              <w:pStyle w:val="TableFigure"/>
            </w:pPr>
          </w:p>
        </w:tc>
        <w:tc>
          <w:tcPr>
            <w:tcW w:w="734" w:type="pct"/>
            <w:tcBorders>
              <w:top w:val="single" w:sz="4" w:space="0" w:color="auto"/>
              <w:bottom w:val="single" w:sz="4" w:space="0" w:color="auto"/>
            </w:tcBorders>
          </w:tcPr>
          <w:p w14:paraId="02C27246" w14:textId="77777777" w:rsidR="00C576F4" w:rsidRPr="00B77A90" w:rsidRDefault="00C576F4" w:rsidP="008C1934">
            <w:pPr>
              <w:pStyle w:val="TableFigure"/>
            </w:pPr>
            <w:r w:rsidRPr="00B77A90">
              <w:t>Reporter</w:t>
            </w:r>
          </w:p>
        </w:tc>
      </w:tr>
      <w:tr w:rsidR="00C576F4" w:rsidRPr="00B77A90" w14:paraId="32DAAE7A" w14:textId="77777777" w:rsidTr="00A33949">
        <w:tc>
          <w:tcPr>
            <w:tcW w:w="711" w:type="pct"/>
            <w:tcBorders>
              <w:top w:val="single" w:sz="4" w:space="0" w:color="auto"/>
            </w:tcBorders>
          </w:tcPr>
          <w:p w14:paraId="2960D5AA" w14:textId="77777777" w:rsidR="00C576F4" w:rsidRPr="00B77A90" w:rsidRDefault="00C576F4" w:rsidP="008C1934">
            <w:pPr>
              <w:pStyle w:val="TableFigure"/>
            </w:pPr>
            <w:r w:rsidRPr="00B77A90">
              <w:t>Demographic factors</w:t>
            </w:r>
          </w:p>
        </w:tc>
        <w:tc>
          <w:tcPr>
            <w:tcW w:w="930" w:type="pct"/>
            <w:tcBorders>
              <w:top w:val="single" w:sz="4" w:space="0" w:color="auto"/>
            </w:tcBorders>
          </w:tcPr>
          <w:p w14:paraId="02F1B3B4" w14:textId="77777777" w:rsidR="00C576F4" w:rsidRPr="00B77A90" w:rsidRDefault="00C576F4" w:rsidP="008C1934">
            <w:pPr>
              <w:pStyle w:val="TableFigure"/>
            </w:pPr>
            <w:r w:rsidRPr="00B77A90">
              <w:t xml:space="preserve">Age </w:t>
            </w:r>
            <w:r w:rsidRPr="00B77A90">
              <w:rPr>
                <w:vertAlign w:val="superscript"/>
              </w:rPr>
              <w:t>a</w:t>
            </w:r>
          </w:p>
        </w:tc>
        <w:tc>
          <w:tcPr>
            <w:tcW w:w="2477" w:type="pct"/>
            <w:tcBorders>
              <w:top w:val="single" w:sz="4" w:space="0" w:color="auto"/>
            </w:tcBorders>
          </w:tcPr>
          <w:p w14:paraId="0D87A4CF" w14:textId="77777777" w:rsidR="00C576F4" w:rsidRPr="00B77A90" w:rsidRDefault="00C576F4" w:rsidP="008C1934">
            <w:pPr>
              <w:pStyle w:val="TableFigure"/>
            </w:pPr>
            <w:r w:rsidRPr="00B77A90">
              <w:t>Year of birth</w:t>
            </w:r>
          </w:p>
        </w:tc>
        <w:tc>
          <w:tcPr>
            <w:tcW w:w="148" w:type="pct"/>
            <w:tcBorders>
              <w:top w:val="single" w:sz="4" w:space="0" w:color="auto"/>
            </w:tcBorders>
          </w:tcPr>
          <w:p w14:paraId="27CA5752" w14:textId="77777777" w:rsidR="00C576F4" w:rsidRPr="00B77A90" w:rsidRDefault="00C576F4" w:rsidP="008C1934">
            <w:pPr>
              <w:pStyle w:val="TableFigure"/>
            </w:pPr>
          </w:p>
        </w:tc>
        <w:tc>
          <w:tcPr>
            <w:tcW w:w="734" w:type="pct"/>
            <w:tcBorders>
              <w:top w:val="single" w:sz="4" w:space="0" w:color="auto"/>
            </w:tcBorders>
          </w:tcPr>
          <w:p w14:paraId="18849F29" w14:textId="77777777" w:rsidR="00C576F4" w:rsidRPr="00B77A90" w:rsidRDefault="00C576F4" w:rsidP="008C1934">
            <w:pPr>
              <w:pStyle w:val="TableFigure"/>
            </w:pPr>
            <w:r w:rsidRPr="00B77A90">
              <w:t>CYP / parent</w:t>
            </w:r>
          </w:p>
        </w:tc>
      </w:tr>
      <w:tr w:rsidR="00C576F4" w:rsidRPr="00B77A90" w14:paraId="476FCBE9" w14:textId="77777777" w:rsidTr="00A33949">
        <w:tc>
          <w:tcPr>
            <w:tcW w:w="711" w:type="pct"/>
          </w:tcPr>
          <w:p w14:paraId="0A645C36" w14:textId="77777777" w:rsidR="00C576F4" w:rsidRPr="00B77A90" w:rsidRDefault="00C576F4" w:rsidP="008C1934">
            <w:pPr>
              <w:pStyle w:val="TableFigure"/>
            </w:pPr>
          </w:p>
        </w:tc>
        <w:tc>
          <w:tcPr>
            <w:tcW w:w="930" w:type="pct"/>
          </w:tcPr>
          <w:p w14:paraId="47322795" w14:textId="77777777" w:rsidR="00C576F4" w:rsidRPr="00B77A90" w:rsidRDefault="00C576F4" w:rsidP="008C1934">
            <w:pPr>
              <w:pStyle w:val="TableFigure"/>
            </w:pPr>
            <w:r w:rsidRPr="00B77A90">
              <w:t xml:space="preserve">Sex </w:t>
            </w:r>
            <w:r w:rsidRPr="00B77A90">
              <w:rPr>
                <w:vertAlign w:val="superscript"/>
              </w:rPr>
              <w:t>a</w:t>
            </w:r>
          </w:p>
        </w:tc>
        <w:tc>
          <w:tcPr>
            <w:tcW w:w="2477" w:type="pct"/>
          </w:tcPr>
          <w:p w14:paraId="6A256029" w14:textId="77777777" w:rsidR="00C576F4" w:rsidRPr="00B77A90" w:rsidRDefault="00C576F4" w:rsidP="008C1934">
            <w:pPr>
              <w:pStyle w:val="TableFigure"/>
            </w:pPr>
            <w:r w:rsidRPr="00B77A90">
              <w:t>Sex assigned at birth</w:t>
            </w:r>
          </w:p>
        </w:tc>
        <w:tc>
          <w:tcPr>
            <w:tcW w:w="148" w:type="pct"/>
          </w:tcPr>
          <w:p w14:paraId="36E6E75A" w14:textId="77777777" w:rsidR="00C576F4" w:rsidRPr="00B77A90" w:rsidRDefault="00C576F4" w:rsidP="008C1934">
            <w:pPr>
              <w:pStyle w:val="TableFigure"/>
            </w:pPr>
          </w:p>
        </w:tc>
        <w:tc>
          <w:tcPr>
            <w:tcW w:w="734" w:type="pct"/>
          </w:tcPr>
          <w:p w14:paraId="53463518" w14:textId="77777777" w:rsidR="00C576F4" w:rsidRPr="00B77A90" w:rsidRDefault="00C576F4" w:rsidP="008C1934">
            <w:pPr>
              <w:pStyle w:val="TableFigure"/>
            </w:pPr>
            <w:r w:rsidRPr="00B77A90">
              <w:t>CYP / parent</w:t>
            </w:r>
          </w:p>
        </w:tc>
      </w:tr>
      <w:tr w:rsidR="00C576F4" w:rsidRPr="00B77A90" w14:paraId="6642B37B" w14:textId="77777777" w:rsidTr="00A33949">
        <w:tc>
          <w:tcPr>
            <w:tcW w:w="711" w:type="pct"/>
          </w:tcPr>
          <w:p w14:paraId="26EE7C98" w14:textId="77777777" w:rsidR="00C576F4" w:rsidRPr="00B77A90" w:rsidRDefault="00C576F4" w:rsidP="008C1934">
            <w:pPr>
              <w:pStyle w:val="TableFigure"/>
            </w:pPr>
          </w:p>
        </w:tc>
        <w:tc>
          <w:tcPr>
            <w:tcW w:w="930" w:type="pct"/>
          </w:tcPr>
          <w:p w14:paraId="262E899E" w14:textId="77777777" w:rsidR="00C576F4" w:rsidRPr="00B77A90" w:rsidRDefault="00C576F4" w:rsidP="008C1934">
            <w:pPr>
              <w:pStyle w:val="TableFigure"/>
            </w:pPr>
            <w:r w:rsidRPr="00B77A90">
              <w:t>Gender Identity</w:t>
            </w:r>
          </w:p>
        </w:tc>
        <w:tc>
          <w:tcPr>
            <w:tcW w:w="2477" w:type="pct"/>
          </w:tcPr>
          <w:p w14:paraId="6262474A" w14:textId="77777777" w:rsidR="00C576F4" w:rsidRPr="00B77A90" w:rsidRDefault="00C576F4" w:rsidP="008C1934">
            <w:pPr>
              <w:pStyle w:val="TableFigure"/>
            </w:pPr>
            <w:r w:rsidRPr="00B77A90">
              <w:t>“Do you think of yourself as...?”</w:t>
            </w:r>
          </w:p>
        </w:tc>
        <w:tc>
          <w:tcPr>
            <w:tcW w:w="148" w:type="pct"/>
          </w:tcPr>
          <w:p w14:paraId="6F55DA5D" w14:textId="77777777" w:rsidR="00C576F4" w:rsidRPr="00B77A90" w:rsidRDefault="00C576F4" w:rsidP="008C1934">
            <w:pPr>
              <w:pStyle w:val="TableFigure"/>
            </w:pPr>
          </w:p>
        </w:tc>
        <w:tc>
          <w:tcPr>
            <w:tcW w:w="734" w:type="pct"/>
          </w:tcPr>
          <w:p w14:paraId="4BA724FC" w14:textId="77777777" w:rsidR="00C576F4" w:rsidRPr="00B77A90" w:rsidRDefault="00C576F4" w:rsidP="008C1934">
            <w:pPr>
              <w:pStyle w:val="TableFigure"/>
            </w:pPr>
            <w:r w:rsidRPr="00B77A90">
              <w:t>CYP</w:t>
            </w:r>
          </w:p>
        </w:tc>
      </w:tr>
      <w:tr w:rsidR="00C576F4" w:rsidRPr="00B77A90" w14:paraId="5B2ACF3D" w14:textId="77777777" w:rsidTr="00A33949">
        <w:tc>
          <w:tcPr>
            <w:tcW w:w="711" w:type="pct"/>
          </w:tcPr>
          <w:p w14:paraId="27EC7104" w14:textId="77777777" w:rsidR="00C576F4" w:rsidRPr="00B77A90" w:rsidRDefault="00C576F4" w:rsidP="008C1934">
            <w:pPr>
              <w:pStyle w:val="TableFigure"/>
            </w:pPr>
          </w:p>
        </w:tc>
        <w:tc>
          <w:tcPr>
            <w:tcW w:w="930" w:type="pct"/>
          </w:tcPr>
          <w:p w14:paraId="34B87F8B" w14:textId="77777777" w:rsidR="00C576F4" w:rsidRPr="00B77A90" w:rsidRDefault="00C576F4" w:rsidP="008C1934">
            <w:pPr>
              <w:pStyle w:val="TableFigure"/>
            </w:pPr>
            <w:r w:rsidRPr="00B77A90">
              <w:t>Parent or carer education</w:t>
            </w:r>
            <w:r w:rsidRPr="00B77A90">
              <w:rPr>
                <w:vertAlign w:val="superscript"/>
              </w:rPr>
              <w:t xml:space="preserve"> a</w:t>
            </w:r>
          </w:p>
        </w:tc>
        <w:tc>
          <w:tcPr>
            <w:tcW w:w="2477" w:type="pct"/>
          </w:tcPr>
          <w:p w14:paraId="2501D037" w14:textId="56C48872" w:rsidR="00C576F4" w:rsidRPr="00B77A90" w:rsidRDefault="00C576F4" w:rsidP="008C1934">
            <w:pPr>
              <w:pStyle w:val="TableFigure"/>
            </w:pPr>
            <w:r w:rsidRPr="00B77A90">
              <w:t xml:space="preserve">Highest level of education completed by </w:t>
            </w:r>
            <w:r w:rsidR="00627DE0">
              <w:t xml:space="preserve">any of the CYP’s </w:t>
            </w:r>
            <w:r w:rsidRPr="00B77A90">
              <w:t>parent</w:t>
            </w:r>
            <w:r w:rsidR="00627DE0">
              <w:t>s</w:t>
            </w:r>
            <w:r w:rsidRPr="00B77A90">
              <w:t xml:space="preserve"> or carer</w:t>
            </w:r>
            <w:r w:rsidR="00627DE0">
              <w:t>s</w:t>
            </w:r>
            <w:r w:rsidRPr="00B77A90">
              <w:t xml:space="preserve"> (ISCED Standards)</w:t>
            </w:r>
          </w:p>
        </w:tc>
        <w:tc>
          <w:tcPr>
            <w:tcW w:w="148" w:type="pct"/>
          </w:tcPr>
          <w:p w14:paraId="519D83DA" w14:textId="77777777" w:rsidR="00C576F4" w:rsidRPr="00B77A90" w:rsidRDefault="00C576F4" w:rsidP="008C1934">
            <w:pPr>
              <w:pStyle w:val="TableFigure"/>
            </w:pPr>
          </w:p>
        </w:tc>
        <w:tc>
          <w:tcPr>
            <w:tcW w:w="734" w:type="pct"/>
          </w:tcPr>
          <w:p w14:paraId="22D8330A" w14:textId="77777777" w:rsidR="00C576F4" w:rsidRPr="00B77A90" w:rsidRDefault="00C576F4" w:rsidP="008C1934">
            <w:pPr>
              <w:pStyle w:val="TableFigure"/>
            </w:pPr>
            <w:r w:rsidRPr="00B77A90">
              <w:t>CYP / parent</w:t>
            </w:r>
          </w:p>
        </w:tc>
      </w:tr>
      <w:tr w:rsidR="00C576F4" w:rsidRPr="00B77A90" w14:paraId="5F9DA089" w14:textId="77777777" w:rsidTr="00A33949">
        <w:tc>
          <w:tcPr>
            <w:tcW w:w="711" w:type="pct"/>
          </w:tcPr>
          <w:p w14:paraId="145D3160" w14:textId="77777777" w:rsidR="00C576F4" w:rsidRPr="00B77A90" w:rsidRDefault="00C576F4" w:rsidP="008C1934">
            <w:pPr>
              <w:pStyle w:val="TableFigure"/>
            </w:pPr>
          </w:p>
        </w:tc>
        <w:tc>
          <w:tcPr>
            <w:tcW w:w="930" w:type="pct"/>
          </w:tcPr>
          <w:p w14:paraId="563BFE06" w14:textId="77777777" w:rsidR="00C576F4" w:rsidRPr="00B77A90" w:rsidRDefault="00C576F4" w:rsidP="008C1934">
            <w:pPr>
              <w:pStyle w:val="TableFigure"/>
            </w:pPr>
            <w:r w:rsidRPr="00B77A90">
              <w:t>Ethnicity</w:t>
            </w:r>
          </w:p>
        </w:tc>
        <w:tc>
          <w:tcPr>
            <w:tcW w:w="2477" w:type="pct"/>
          </w:tcPr>
          <w:p w14:paraId="568D1753" w14:textId="77777777" w:rsidR="00C576F4" w:rsidRPr="00B77A90" w:rsidRDefault="00C576F4" w:rsidP="008C1934">
            <w:pPr>
              <w:pStyle w:val="TableFigure"/>
            </w:pPr>
            <w:r w:rsidRPr="00B77A90">
              <w:t>Do you consider yourself to be in an ethnic minority where you live?</w:t>
            </w:r>
          </w:p>
        </w:tc>
        <w:tc>
          <w:tcPr>
            <w:tcW w:w="148" w:type="pct"/>
          </w:tcPr>
          <w:p w14:paraId="7DC4C19C" w14:textId="77777777" w:rsidR="00C576F4" w:rsidRPr="00B77A90" w:rsidRDefault="00C576F4" w:rsidP="008C1934">
            <w:pPr>
              <w:pStyle w:val="TableFigure"/>
            </w:pPr>
          </w:p>
        </w:tc>
        <w:tc>
          <w:tcPr>
            <w:tcW w:w="734" w:type="pct"/>
          </w:tcPr>
          <w:p w14:paraId="0044848C" w14:textId="77777777" w:rsidR="00C576F4" w:rsidRPr="00B77A90" w:rsidRDefault="00C576F4" w:rsidP="008C1934">
            <w:pPr>
              <w:pStyle w:val="TableFigure"/>
            </w:pPr>
            <w:r w:rsidRPr="00B77A90">
              <w:t>CYP / parent</w:t>
            </w:r>
          </w:p>
        </w:tc>
      </w:tr>
      <w:tr w:rsidR="00C576F4" w:rsidRPr="00B77A90" w14:paraId="637B45C8" w14:textId="77777777" w:rsidTr="00A33949">
        <w:tc>
          <w:tcPr>
            <w:tcW w:w="711" w:type="pct"/>
          </w:tcPr>
          <w:p w14:paraId="3D249205" w14:textId="77777777" w:rsidR="00C576F4" w:rsidRPr="00B77A90" w:rsidRDefault="00C576F4" w:rsidP="008C1934">
            <w:pPr>
              <w:pStyle w:val="TableFigure"/>
            </w:pPr>
          </w:p>
        </w:tc>
        <w:tc>
          <w:tcPr>
            <w:tcW w:w="930" w:type="pct"/>
          </w:tcPr>
          <w:p w14:paraId="3F02A168" w14:textId="77777777" w:rsidR="00C576F4" w:rsidRPr="00B77A90" w:rsidRDefault="00C576F4" w:rsidP="008C1934">
            <w:pPr>
              <w:pStyle w:val="TableFigure"/>
            </w:pPr>
            <w:r w:rsidRPr="00B77A90">
              <w:t>Marginalised group status</w:t>
            </w:r>
          </w:p>
        </w:tc>
        <w:tc>
          <w:tcPr>
            <w:tcW w:w="2477" w:type="pct"/>
          </w:tcPr>
          <w:p w14:paraId="62F6F995" w14:textId="77777777" w:rsidR="00C576F4" w:rsidRPr="00B77A90" w:rsidRDefault="00C576F4" w:rsidP="008C1934">
            <w:pPr>
              <w:pStyle w:val="TableFigure"/>
            </w:pPr>
            <w:r w:rsidRPr="00B77A90">
              <w:t>Do you consider yourself to be a member of a marginalised group where you live?</w:t>
            </w:r>
          </w:p>
        </w:tc>
        <w:tc>
          <w:tcPr>
            <w:tcW w:w="148" w:type="pct"/>
          </w:tcPr>
          <w:p w14:paraId="37D1AB10" w14:textId="77777777" w:rsidR="00C576F4" w:rsidRPr="00B77A90" w:rsidRDefault="00C576F4" w:rsidP="008C1934">
            <w:pPr>
              <w:pStyle w:val="TableFigure"/>
            </w:pPr>
          </w:p>
        </w:tc>
        <w:tc>
          <w:tcPr>
            <w:tcW w:w="734" w:type="pct"/>
          </w:tcPr>
          <w:p w14:paraId="019C47CD" w14:textId="77777777" w:rsidR="00C576F4" w:rsidRPr="00B77A90" w:rsidRDefault="00C576F4" w:rsidP="008C1934">
            <w:pPr>
              <w:pStyle w:val="TableFigure"/>
            </w:pPr>
            <w:r w:rsidRPr="00B77A90">
              <w:t>CYP / parent</w:t>
            </w:r>
          </w:p>
        </w:tc>
      </w:tr>
      <w:tr w:rsidR="00C576F4" w:rsidRPr="00B77A90" w14:paraId="463395E8" w14:textId="77777777" w:rsidTr="00A33949">
        <w:tc>
          <w:tcPr>
            <w:tcW w:w="711" w:type="pct"/>
          </w:tcPr>
          <w:p w14:paraId="0B310059" w14:textId="77777777" w:rsidR="00C576F4" w:rsidRPr="00B77A90" w:rsidRDefault="00C576F4" w:rsidP="008C1934">
            <w:pPr>
              <w:pStyle w:val="TableFigure"/>
            </w:pPr>
          </w:p>
        </w:tc>
        <w:tc>
          <w:tcPr>
            <w:tcW w:w="930" w:type="pct"/>
          </w:tcPr>
          <w:p w14:paraId="71E70A7B" w14:textId="77777777" w:rsidR="00C576F4" w:rsidRPr="00B77A90" w:rsidRDefault="00C576F4" w:rsidP="008C1934">
            <w:pPr>
              <w:pStyle w:val="TableFigure"/>
            </w:pPr>
            <w:r w:rsidRPr="00B77A90">
              <w:t>Living situation</w:t>
            </w:r>
          </w:p>
        </w:tc>
        <w:tc>
          <w:tcPr>
            <w:tcW w:w="2477" w:type="pct"/>
          </w:tcPr>
          <w:p w14:paraId="4789FAB5" w14:textId="77777777" w:rsidR="00C576F4" w:rsidRPr="00B77A90" w:rsidRDefault="00C576F4" w:rsidP="008C1934">
            <w:pPr>
              <w:pStyle w:val="TableFigure"/>
            </w:pPr>
            <w:r w:rsidRPr="00B77A90">
              <w:t>Which of the following people live with you [your child] at your [their] home?</w:t>
            </w:r>
          </w:p>
        </w:tc>
        <w:tc>
          <w:tcPr>
            <w:tcW w:w="148" w:type="pct"/>
          </w:tcPr>
          <w:p w14:paraId="1363CC7F" w14:textId="77777777" w:rsidR="00C576F4" w:rsidRPr="00B77A90" w:rsidRDefault="00C576F4" w:rsidP="008C1934">
            <w:pPr>
              <w:pStyle w:val="TableFigure"/>
            </w:pPr>
          </w:p>
        </w:tc>
        <w:tc>
          <w:tcPr>
            <w:tcW w:w="734" w:type="pct"/>
          </w:tcPr>
          <w:p w14:paraId="76A8D656" w14:textId="77777777" w:rsidR="00C576F4" w:rsidRPr="00B77A90" w:rsidRDefault="00C576F4" w:rsidP="008C1934">
            <w:pPr>
              <w:pStyle w:val="TableFigure"/>
            </w:pPr>
            <w:r w:rsidRPr="00B77A90">
              <w:t>CYP / parent</w:t>
            </w:r>
          </w:p>
        </w:tc>
      </w:tr>
      <w:tr w:rsidR="00C576F4" w:rsidRPr="00B77A90" w14:paraId="702F177F" w14:textId="77777777" w:rsidTr="00A33949">
        <w:tc>
          <w:tcPr>
            <w:tcW w:w="711" w:type="pct"/>
          </w:tcPr>
          <w:p w14:paraId="440AB814" w14:textId="77777777" w:rsidR="00C576F4" w:rsidRPr="00B77A90" w:rsidRDefault="00C576F4" w:rsidP="008C1934">
            <w:pPr>
              <w:pStyle w:val="TableFigure"/>
            </w:pPr>
          </w:p>
        </w:tc>
        <w:tc>
          <w:tcPr>
            <w:tcW w:w="930" w:type="pct"/>
          </w:tcPr>
          <w:p w14:paraId="6A44A617" w14:textId="77777777" w:rsidR="00C576F4" w:rsidRPr="00B77A90" w:rsidRDefault="00C576F4" w:rsidP="008C1934">
            <w:pPr>
              <w:pStyle w:val="TableFigure"/>
            </w:pPr>
          </w:p>
        </w:tc>
        <w:tc>
          <w:tcPr>
            <w:tcW w:w="2477" w:type="pct"/>
          </w:tcPr>
          <w:p w14:paraId="66A49D7D" w14:textId="77777777" w:rsidR="00C576F4" w:rsidRPr="00B77A90" w:rsidRDefault="00C576F4" w:rsidP="008C1934">
            <w:pPr>
              <w:pStyle w:val="TableFigure"/>
            </w:pPr>
          </w:p>
        </w:tc>
        <w:tc>
          <w:tcPr>
            <w:tcW w:w="148" w:type="pct"/>
          </w:tcPr>
          <w:p w14:paraId="543ABC25" w14:textId="77777777" w:rsidR="00C576F4" w:rsidRPr="00B77A90" w:rsidRDefault="00C576F4" w:rsidP="008C1934">
            <w:pPr>
              <w:pStyle w:val="TableFigure"/>
            </w:pPr>
          </w:p>
        </w:tc>
        <w:tc>
          <w:tcPr>
            <w:tcW w:w="734" w:type="pct"/>
          </w:tcPr>
          <w:p w14:paraId="6C50BB52" w14:textId="77777777" w:rsidR="00C576F4" w:rsidRPr="00B77A90" w:rsidRDefault="00C576F4" w:rsidP="008C1934">
            <w:pPr>
              <w:pStyle w:val="TableFigure"/>
            </w:pPr>
          </w:p>
        </w:tc>
      </w:tr>
      <w:tr w:rsidR="00C576F4" w:rsidRPr="00B77A90" w14:paraId="20194B61" w14:textId="77777777" w:rsidTr="00A33949">
        <w:tc>
          <w:tcPr>
            <w:tcW w:w="711" w:type="pct"/>
          </w:tcPr>
          <w:p w14:paraId="59A553C1" w14:textId="77777777" w:rsidR="00C576F4" w:rsidRPr="00B77A90" w:rsidRDefault="00C576F4" w:rsidP="008C1934">
            <w:pPr>
              <w:pStyle w:val="TableFigure"/>
            </w:pPr>
            <w:r w:rsidRPr="00B77A90">
              <w:t>Clinical factors</w:t>
            </w:r>
          </w:p>
        </w:tc>
        <w:tc>
          <w:tcPr>
            <w:tcW w:w="930" w:type="pct"/>
          </w:tcPr>
          <w:p w14:paraId="368AED41" w14:textId="77777777" w:rsidR="00C576F4" w:rsidRPr="00B77A90" w:rsidRDefault="00C576F4" w:rsidP="008C1934">
            <w:pPr>
              <w:pStyle w:val="TableFigure"/>
            </w:pPr>
            <w:r w:rsidRPr="00B77A90">
              <w:t>Diagnoses and co-morbidities</w:t>
            </w:r>
          </w:p>
        </w:tc>
        <w:tc>
          <w:tcPr>
            <w:tcW w:w="2477" w:type="pct"/>
          </w:tcPr>
          <w:p w14:paraId="0ABC9DCC" w14:textId="77777777" w:rsidR="00C576F4" w:rsidRPr="00B77A90" w:rsidRDefault="00C576F4" w:rsidP="008C1934">
            <w:pPr>
              <w:pStyle w:val="TableFigure"/>
            </w:pPr>
            <w:r w:rsidRPr="00B77A90">
              <w:t>Measured via the provisional Problems' list of the Current View Tool</w:t>
            </w:r>
          </w:p>
        </w:tc>
        <w:tc>
          <w:tcPr>
            <w:tcW w:w="148" w:type="pct"/>
          </w:tcPr>
          <w:p w14:paraId="00FE6405" w14:textId="77777777" w:rsidR="00C576F4" w:rsidRPr="00B77A90" w:rsidRDefault="00C576F4" w:rsidP="008C1934">
            <w:pPr>
              <w:pStyle w:val="TableFigure"/>
            </w:pPr>
          </w:p>
        </w:tc>
        <w:tc>
          <w:tcPr>
            <w:tcW w:w="734" w:type="pct"/>
          </w:tcPr>
          <w:p w14:paraId="3A4FBD2D" w14:textId="77777777" w:rsidR="00C576F4" w:rsidRPr="00B77A90" w:rsidRDefault="00C576F4" w:rsidP="008C1934">
            <w:pPr>
              <w:pStyle w:val="TableFigure"/>
            </w:pPr>
            <w:r w:rsidRPr="00B77A90">
              <w:t xml:space="preserve">Clinician </w:t>
            </w:r>
          </w:p>
        </w:tc>
      </w:tr>
      <w:tr w:rsidR="00C576F4" w:rsidRPr="00B77A90" w14:paraId="195577A1" w14:textId="77777777" w:rsidTr="00A33949">
        <w:tc>
          <w:tcPr>
            <w:tcW w:w="711" w:type="pct"/>
          </w:tcPr>
          <w:p w14:paraId="056D99FD" w14:textId="77777777" w:rsidR="00C576F4" w:rsidRPr="00B77A90" w:rsidRDefault="00C576F4" w:rsidP="008C1934">
            <w:pPr>
              <w:pStyle w:val="TableFigure"/>
            </w:pPr>
          </w:p>
        </w:tc>
        <w:tc>
          <w:tcPr>
            <w:tcW w:w="930" w:type="pct"/>
          </w:tcPr>
          <w:p w14:paraId="58B938E7" w14:textId="77777777" w:rsidR="00C576F4" w:rsidRPr="00B77A90" w:rsidRDefault="00C576F4" w:rsidP="008C1934">
            <w:pPr>
              <w:pStyle w:val="TableFigure"/>
            </w:pPr>
            <w:r w:rsidRPr="00B77A90">
              <w:t xml:space="preserve">Duration of symptoms </w:t>
            </w:r>
            <w:r w:rsidRPr="00B77A90">
              <w:rPr>
                <w:vertAlign w:val="superscript"/>
              </w:rPr>
              <w:t>a</w:t>
            </w:r>
          </w:p>
        </w:tc>
        <w:tc>
          <w:tcPr>
            <w:tcW w:w="2477" w:type="pct"/>
          </w:tcPr>
          <w:p w14:paraId="54C8E662" w14:textId="77777777" w:rsidR="00C576F4" w:rsidRPr="00B77A90" w:rsidRDefault="00C576F4" w:rsidP="008C1934">
            <w:pPr>
              <w:pStyle w:val="TableFigure"/>
            </w:pPr>
            <w:r w:rsidRPr="00B77A90">
              <w:t>For how many months have you [your child] been experiencing [specific condition] symptoms?</w:t>
            </w:r>
          </w:p>
        </w:tc>
        <w:tc>
          <w:tcPr>
            <w:tcW w:w="148" w:type="pct"/>
          </w:tcPr>
          <w:p w14:paraId="3A3B3018" w14:textId="77777777" w:rsidR="00C576F4" w:rsidRPr="00B77A90" w:rsidRDefault="00C576F4" w:rsidP="008C1934">
            <w:pPr>
              <w:pStyle w:val="TableFigure"/>
            </w:pPr>
          </w:p>
        </w:tc>
        <w:tc>
          <w:tcPr>
            <w:tcW w:w="734" w:type="pct"/>
          </w:tcPr>
          <w:p w14:paraId="0BB0D12E" w14:textId="77777777" w:rsidR="00C576F4" w:rsidRPr="00B77A90" w:rsidRDefault="00C576F4" w:rsidP="008C1934">
            <w:pPr>
              <w:pStyle w:val="TableFigure"/>
            </w:pPr>
            <w:r w:rsidRPr="00B77A90">
              <w:t>CYP / parent</w:t>
            </w:r>
          </w:p>
        </w:tc>
      </w:tr>
      <w:tr w:rsidR="00C576F4" w:rsidRPr="00B77A90" w14:paraId="69358E34" w14:textId="77777777" w:rsidTr="00A33949">
        <w:tc>
          <w:tcPr>
            <w:tcW w:w="711" w:type="pct"/>
          </w:tcPr>
          <w:p w14:paraId="7EDB0B84" w14:textId="77777777" w:rsidR="00C576F4" w:rsidRPr="00B77A90" w:rsidRDefault="00C576F4" w:rsidP="008C1934">
            <w:pPr>
              <w:pStyle w:val="TableFigure"/>
            </w:pPr>
          </w:p>
        </w:tc>
        <w:tc>
          <w:tcPr>
            <w:tcW w:w="930" w:type="pct"/>
          </w:tcPr>
          <w:p w14:paraId="3455B15A" w14:textId="77777777" w:rsidR="00C576F4" w:rsidRPr="00B77A90" w:rsidRDefault="00C576F4" w:rsidP="008C1934">
            <w:pPr>
              <w:pStyle w:val="TableFigure"/>
            </w:pPr>
            <w:r w:rsidRPr="00B77A90">
              <w:t xml:space="preserve">Prior service use </w:t>
            </w:r>
          </w:p>
        </w:tc>
        <w:tc>
          <w:tcPr>
            <w:tcW w:w="2477" w:type="pct"/>
          </w:tcPr>
          <w:p w14:paraId="5681A0D6" w14:textId="77777777" w:rsidR="00C576F4" w:rsidRPr="00B77A90" w:rsidRDefault="00C576F4" w:rsidP="008C1934">
            <w:pPr>
              <w:pStyle w:val="TableFigure"/>
            </w:pPr>
            <w:r w:rsidRPr="00B77A90">
              <w:t>During the last year, did you [your child] receive any of the following treatments for [specific condition]?</w:t>
            </w:r>
          </w:p>
          <w:p w14:paraId="46041519" w14:textId="77777777" w:rsidR="00C576F4" w:rsidRPr="00B77A90" w:rsidRDefault="00C576F4" w:rsidP="008C1934">
            <w:pPr>
              <w:pStyle w:val="TableFigure"/>
            </w:pPr>
          </w:p>
          <w:p w14:paraId="25AA3461" w14:textId="77777777" w:rsidR="00C576F4" w:rsidRPr="00B77A90" w:rsidRDefault="00C576F4" w:rsidP="008C1934">
            <w:pPr>
              <w:pStyle w:val="TableFigure"/>
            </w:pPr>
            <w:r w:rsidRPr="00B77A90">
              <w:t xml:space="preserve">Complete separately for (a) medication, (b) psychotherapy, (c) other. </w:t>
            </w:r>
          </w:p>
        </w:tc>
        <w:tc>
          <w:tcPr>
            <w:tcW w:w="148" w:type="pct"/>
          </w:tcPr>
          <w:p w14:paraId="0DA82DFB" w14:textId="77777777" w:rsidR="00C576F4" w:rsidRPr="00B77A90" w:rsidRDefault="00C576F4" w:rsidP="008C1934">
            <w:pPr>
              <w:pStyle w:val="TableFigure"/>
            </w:pPr>
          </w:p>
        </w:tc>
        <w:tc>
          <w:tcPr>
            <w:tcW w:w="734" w:type="pct"/>
          </w:tcPr>
          <w:p w14:paraId="07F8A744" w14:textId="77777777" w:rsidR="00C576F4" w:rsidRPr="00B77A90" w:rsidRDefault="00C576F4" w:rsidP="008C1934">
            <w:pPr>
              <w:pStyle w:val="TableFigure"/>
            </w:pPr>
            <w:r w:rsidRPr="00B77A90">
              <w:t>CYP / parent</w:t>
            </w:r>
          </w:p>
        </w:tc>
      </w:tr>
      <w:tr w:rsidR="00C576F4" w:rsidRPr="00B77A90" w14:paraId="413BA1BB" w14:textId="77777777" w:rsidTr="00A33949">
        <w:tc>
          <w:tcPr>
            <w:tcW w:w="711" w:type="pct"/>
          </w:tcPr>
          <w:p w14:paraId="469D4B10" w14:textId="77777777" w:rsidR="00C576F4" w:rsidRPr="00B77A90" w:rsidRDefault="00C576F4" w:rsidP="008C1934">
            <w:pPr>
              <w:pStyle w:val="TableFigure"/>
            </w:pPr>
          </w:p>
        </w:tc>
        <w:tc>
          <w:tcPr>
            <w:tcW w:w="930" w:type="pct"/>
          </w:tcPr>
          <w:p w14:paraId="1B558D6A" w14:textId="77777777" w:rsidR="00C576F4" w:rsidRPr="00B77A90" w:rsidRDefault="00C576F4" w:rsidP="008C1934">
            <w:pPr>
              <w:pStyle w:val="TableFigure"/>
            </w:pPr>
          </w:p>
        </w:tc>
        <w:tc>
          <w:tcPr>
            <w:tcW w:w="2477" w:type="pct"/>
          </w:tcPr>
          <w:p w14:paraId="3C1EE4DD" w14:textId="77777777" w:rsidR="00C576F4" w:rsidRPr="00B77A90" w:rsidRDefault="00C576F4" w:rsidP="008C1934">
            <w:pPr>
              <w:pStyle w:val="TableFigure"/>
            </w:pPr>
          </w:p>
        </w:tc>
        <w:tc>
          <w:tcPr>
            <w:tcW w:w="148" w:type="pct"/>
          </w:tcPr>
          <w:p w14:paraId="083EC576" w14:textId="77777777" w:rsidR="00C576F4" w:rsidRPr="00B77A90" w:rsidRDefault="00C576F4" w:rsidP="008C1934">
            <w:pPr>
              <w:pStyle w:val="TableFigure"/>
            </w:pPr>
          </w:p>
        </w:tc>
        <w:tc>
          <w:tcPr>
            <w:tcW w:w="734" w:type="pct"/>
          </w:tcPr>
          <w:p w14:paraId="6B29E4CE" w14:textId="77777777" w:rsidR="00C576F4" w:rsidRPr="00B77A90" w:rsidRDefault="00C576F4" w:rsidP="008C1934">
            <w:pPr>
              <w:pStyle w:val="TableFigure"/>
            </w:pPr>
          </w:p>
        </w:tc>
      </w:tr>
      <w:tr w:rsidR="00C576F4" w:rsidRPr="00B77A90" w14:paraId="7898408A" w14:textId="77777777" w:rsidTr="00A33949">
        <w:tc>
          <w:tcPr>
            <w:tcW w:w="711" w:type="pct"/>
          </w:tcPr>
          <w:p w14:paraId="27B8562E" w14:textId="77777777" w:rsidR="00C576F4" w:rsidRPr="00B77A90" w:rsidRDefault="00C576F4" w:rsidP="008C1934">
            <w:pPr>
              <w:pStyle w:val="TableFigure"/>
            </w:pPr>
            <w:r w:rsidRPr="00B77A90">
              <w:t>Complexity factors</w:t>
            </w:r>
          </w:p>
        </w:tc>
        <w:tc>
          <w:tcPr>
            <w:tcW w:w="930" w:type="pct"/>
          </w:tcPr>
          <w:p w14:paraId="65CEF4FB" w14:textId="77777777" w:rsidR="00C576F4" w:rsidRPr="00B77A90" w:rsidRDefault="00C576F4" w:rsidP="008C1934">
            <w:pPr>
              <w:pStyle w:val="TableFigure"/>
            </w:pPr>
            <w:r w:rsidRPr="00B77A90">
              <w:t>Trauma history</w:t>
            </w:r>
          </w:p>
        </w:tc>
        <w:tc>
          <w:tcPr>
            <w:tcW w:w="2477" w:type="pct"/>
          </w:tcPr>
          <w:p w14:paraId="4F992BF5" w14:textId="77777777" w:rsidR="00C576F4" w:rsidRPr="00B77A90" w:rsidRDefault="00C576F4" w:rsidP="008C1934">
            <w:pPr>
              <w:pStyle w:val="TableFigure"/>
            </w:pPr>
            <w:r w:rsidRPr="00B77A90">
              <w:t>Measured via the ‘Selected Complexity Factors’ of the Current View Tool</w:t>
            </w:r>
          </w:p>
        </w:tc>
        <w:tc>
          <w:tcPr>
            <w:tcW w:w="148" w:type="pct"/>
          </w:tcPr>
          <w:p w14:paraId="423829A0" w14:textId="77777777" w:rsidR="00C576F4" w:rsidRPr="00B77A90" w:rsidRDefault="00C576F4" w:rsidP="008C1934">
            <w:pPr>
              <w:pStyle w:val="TableFigure"/>
            </w:pPr>
          </w:p>
        </w:tc>
        <w:tc>
          <w:tcPr>
            <w:tcW w:w="734" w:type="pct"/>
          </w:tcPr>
          <w:p w14:paraId="7FA1ADDF" w14:textId="77777777" w:rsidR="00C576F4" w:rsidRPr="00B77A90" w:rsidRDefault="00C576F4" w:rsidP="008C1934">
            <w:pPr>
              <w:pStyle w:val="TableFigure"/>
            </w:pPr>
            <w:r w:rsidRPr="00B77A90">
              <w:t>Clinician</w:t>
            </w:r>
          </w:p>
        </w:tc>
      </w:tr>
      <w:tr w:rsidR="00C576F4" w:rsidRPr="00B77A90" w14:paraId="7725F73A" w14:textId="77777777" w:rsidTr="00A33949">
        <w:tc>
          <w:tcPr>
            <w:tcW w:w="711" w:type="pct"/>
          </w:tcPr>
          <w:p w14:paraId="03F0EA25" w14:textId="77777777" w:rsidR="00C576F4" w:rsidRPr="00B77A90" w:rsidRDefault="00C576F4" w:rsidP="008C1934">
            <w:pPr>
              <w:pStyle w:val="TableFigure"/>
            </w:pPr>
          </w:p>
        </w:tc>
        <w:tc>
          <w:tcPr>
            <w:tcW w:w="930" w:type="pct"/>
          </w:tcPr>
          <w:p w14:paraId="4C53323B" w14:textId="77777777" w:rsidR="00C576F4" w:rsidRPr="00B77A90" w:rsidRDefault="00C576F4" w:rsidP="008C1934">
            <w:pPr>
              <w:pStyle w:val="TableFigure"/>
            </w:pPr>
            <w:r w:rsidRPr="00B77A90">
              <w:t xml:space="preserve">Parental mental health </w:t>
            </w:r>
          </w:p>
        </w:tc>
        <w:tc>
          <w:tcPr>
            <w:tcW w:w="2477" w:type="pct"/>
          </w:tcPr>
          <w:p w14:paraId="2EBAE264" w14:textId="77777777" w:rsidR="00C576F4" w:rsidRPr="00B77A90" w:rsidRDefault="00C576F4" w:rsidP="008C1934">
            <w:pPr>
              <w:pStyle w:val="TableFigure"/>
            </w:pPr>
            <w:r w:rsidRPr="00B77A90">
              <w:t>It is useful to know whether there is a family history of mental health problems. Have you, or anyone else in the immediate family, ever experienced, or been diagnosed with, any of the following conditions: anxiety, depression, substance abuse (for example, alcohol or drugs), schizophrenic disorder, personality disorder, somatoform disorder (unexplained physical symptoms), other)?</w:t>
            </w:r>
          </w:p>
        </w:tc>
        <w:tc>
          <w:tcPr>
            <w:tcW w:w="148" w:type="pct"/>
          </w:tcPr>
          <w:p w14:paraId="528BF1D1" w14:textId="77777777" w:rsidR="00C576F4" w:rsidRPr="00B77A90" w:rsidRDefault="00C576F4" w:rsidP="008C1934">
            <w:pPr>
              <w:pStyle w:val="TableFigure"/>
            </w:pPr>
          </w:p>
        </w:tc>
        <w:tc>
          <w:tcPr>
            <w:tcW w:w="734" w:type="pct"/>
          </w:tcPr>
          <w:p w14:paraId="5DC8B072" w14:textId="77777777" w:rsidR="00C576F4" w:rsidRPr="00B77A90" w:rsidRDefault="00C576F4" w:rsidP="008C1934">
            <w:pPr>
              <w:pStyle w:val="TableFigure"/>
            </w:pPr>
            <w:r w:rsidRPr="00B77A90">
              <w:t>Parent</w:t>
            </w:r>
          </w:p>
        </w:tc>
      </w:tr>
      <w:tr w:rsidR="00C576F4" w:rsidRPr="00B77A90" w14:paraId="43E465A1" w14:textId="77777777" w:rsidTr="00A33949">
        <w:tc>
          <w:tcPr>
            <w:tcW w:w="711" w:type="pct"/>
          </w:tcPr>
          <w:p w14:paraId="068A68E8" w14:textId="77777777" w:rsidR="00C576F4" w:rsidRPr="00B77A90" w:rsidRDefault="00C576F4" w:rsidP="008C1934">
            <w:pPr>
              <w:pStyle w:val="TableFigure"/>
            </w:pPr>
          </w:p>
        </w:tc>
        <w:tc>
          <w:tcPr>
            <w:tcW w:w="930" w:type="pct"/>
          </w:tcPr>
          <w:p w14:paraId="06E73113" w14:textId="77777777" w:rsidR="00C576F4" w:rsidRPr="00B77A90" w:rsidRDefault="00C576F4" w:rsidP="008C1934">
            <w:pPr>
              <w:pStyle w:val="TableFigure"/>
            </w:pPr>
            <w:r w:rsidRPr="00B77A90">
              <w:t>Parental service use</w:t>
            </w:r>
          </w:p>
        </w:tc>
        <w:tc>
          <w:tcPr>
            <w:tcW w:w="2477" w:type="pct"/>
          </w:tcPr>
          <w:p w14:paraId="6E52607E" w14:textId="77777777" w:rsidR="00C576F4" w:rsidRPr="00B77A90" w:rsidRDefault="00C576F4" w:rsidP="008C1934">
            <w:pPr>
              <w:pStyle w:val="TableFigure"/>
            </w:pPr>
            <w:r w:rsidRPr="00B77A90">
              <w:t>Have you ever sought help for your mental health?</w:t>
            </w:r>
          </w:p>
        </w:tc>
        <w:tc>
          <w:tcPr>
            <w:tcW w:w="148" w:type="pct"/>
          </w:tcPr>
          <w:p w14:paraId="694CC39F" w14:textId="77777777" w:rsidR="00C576F4" w:rsidRPr="00B77A90" w:rsidRDefault="00C576F4" w:rsidP="008C1934">
            <w:pPr>
              <w:pStyle w:val="TableFigure"/>
            </w:pPr>
          </w:p>
        </w:tc>
        <w:tc>
          <w:tcPr>
            <w:tcW w:w="734" w:type="pct"/>
          </w:tcPr>
          <w:p w14:paraId="40F9A2B9" w14:textId="77777777" w:rsidR="00C576F4" w:rsidRPr="00B77A90" w:rsidRDefault="00C576F4" w:rsidP="008C1934">
            <w:pPr>
              <w:pStyle w:val="TableFigure"/>
            </w:pPr>
            <w:r w:rsidRPr="00B77A90">
              <w:t>Parent</w:t>
            </w:r>
          </w:p>
        </w:tc>
      </w:tr>
      <w:tr w:rsidR="00C576F4" w:rsidRPr="00B77A90" w14:paraId="03F11F21" w14:textId="77777777" w:rsidTr="00A33949">
        <w:tc>
          <w:tcPr>
            <w:tcW w:w="711" w:type="pct"/>
          </w:tcPr>
          <w:p w14:paraId="2C1BA3D6" w14:textId="77777777" w:rsidR="00C576F4" w:rsidRPr="00B77A90" w:rsidRDefault="00C576F4" w:rsidP="008C1934">
            <w:pPr>
              <w:pStyle w:val="TableFigure"/>
            </w:pPr>
          </w:p>
        </w:tc>
        <w:tc>
          <w:tcPr>
            <w:tcW w:w="930" w:type="pct"/>
          </w:tcPr>
          <w:p w14:paraId="3B69141F" w14:textId="77777777" w:rsidR="00C576F4" w:rsidRPr="00B77A90" w:rsidRDefault="00C576F4" w:rsidP="008C1934">
            <w:pPr>
              <w:pStyle w:val="TableFigure"/>
            </w:pPr>
            <w:r w:rsidRPr="00B77A90">
              <w:t>Education/work difficulties</w:t>
            </w:r>
          </w:p>
        </w:tc>
        <w:tc>
          <w:tcPr>
            <w:tcW w:w="2477" w:type="pct"/>
          </w:tcPr>
          <w:p w14:paraId="4935B8C3" w14:textId="77777777" w:rsidR="00C576F4" w:rsidRPr="00B77A90" w:rsidRDefault="00C576F4" w:rsidP="008C1934">
            <w:pPr>
              <w:pStyle w:val="TableFigure"/>
            </w:pPr>
            <w:r w:rsidRPr="00B77A90">
              <w:t>Measured via the ‘Contextual Problems’ of the Current View Tool</w:t>
            </w:r>
          </w:p>
        </w:tc>
        <w:tc>
          <w:tcPr>
            <w:tcW w:w="148" w:type="pct"/>
          </w:tcPr>
          <w:p w14:paraId="2CFDDFF7" w14:textId="77777777" w:rsidR="00C576F4" w:rsidRPr="00B77A90" w:rsidRDefault="00C576F4" w:rsidP="008C1934">
            <w:pPr>
              <w:pStyle w:val="TableFigure"/>
            </w:pPr>
          </w:p>
        </w:tc>
        <w:tc>
          <w:tcPr>
            <w:tcW w:w="734" w:type="pct"/>
          </w:tcPr>
          <w:p w14:paraId="2285D961" w14:textId="77777777" w:rsidR="00C576F4" w:rsidRPr="00B77A90" w:rsidRDefault="00C576F4" w:rsidP="008C1934">
            <w:pPr>
              <w:pStyle w:val="TableFigure"/>
            </w:pPr>
            <w:r w:rsidRPr="00B77A90">
              <w:t>Clinician</w:t>
            </w:r>
          </w:p>
        </w:tc>
      </w:tr>
      <w:tr w:rsidR="00C576F4" w:rsidRPr="00B77A90" w14:paraId="0457CEC5" w14:textId="77777777" w:rsidTr="00A33949">
        <w:tc>
          <w:tcPr>
            <w:tcW w:w="711" w:type="pct"/>
          </w:tcPr>
          <w:p w14:paraId="5443F401" w14:textId="77777777" w:rsidR="00C576F4" w:rsidRPr="00B77A90" w:rsidRDefault="00C576F4" w:rsidP="008C1934">
            <w:pPr>
              <w:pStyle w:val="TableFigure"/>
            </w:pPr>
          </w:p>
        </w:tc>
        <w:tc>
          <w:tcPr>
            <w:tcW w:w="930" w:type="pct"/>
          </w:tcPr>
          <w:p w14:paraId="4DF49AFC" w14:textId="77777777" w:rsidR="00C576F4" w:rsidRPr="00B77A90" w:rsidRDefault="00C576F4" w:rsidP="008C1934">
            <w:pPr>
              <w:pStyle w:val="TableFigure"/>
            </w:pPr>
          </w:p>
        </w:tc>
        <w:tc>
          <w:tcPr>
            <w:tcW w:w="2477" w:type="pct"/>
          </w:tcPr>
          <w:p w14:paraId="3BEAA078" w14:textId="77777777" w:rsidR="00C576F4" w:rsidRPr="00B77A90" w:rsidRDefault="00C576F4" w:rsidP="008C1934">
            <w:pPr>
              <w:pStyle w:val="TableFigure"/>
            </w:pPr>
          </w:p>
        </w:tc>
        <w:tc>
          <w:tcPr>
            <w:tcW w:w="148" w:type="pct"/>
          </w:tcPr>
          <w:p w14:paraId="331AFD27" w14:textId="77777777" w:rsidR="00C576F4" w:rsidRPr="00B77A90" w:rsidRDefault="00C576F4" w:rsidP="008C1934">
            <w:pPr>
              <w:pStyle w:val="TableFigure"/>
            </w:pPr>
          </w:p>
        </w:tc>
        <w:tc>
          <w:tcPr>
            <w:tcW w:w="734" w:type="pct"/>
          </w:tcPr>
          <w:p w14:paraId="2D6E87AD" w14:textId="77777777" w:rsidR="00C576F4" w:rsidRPr="00B77A90" w:rsidRDefault="00C576F4" w:rsidP="008C1934">
            <w:pPr>
              <w:pStyle w:val="TableFigure"/>
            </w:pPr>
          </w:p>
        </w:tc>
      </w:tr>
      <w:tr w:rsidR="00C576F4" w:rsidRPr="00B77A90" w14:paraId="630C3C68" w14:textId="77777777" w:rsidTr="00A33949">
        <w:tc>
          <w:tcPr>
            <w:tcW w:w="711" w:type="pct"/>
          </w:tcPr>
          <w:p w14:paraId="37A403A7" w14:textId="77777777" w:rsidR="00C576F4" w:rsidRPr="00B77A90" w:rsidRDefault="00C576F4" w:rsidP="008C1934">
            <w:pPr>
              <w:pStyle w:val="TableFigure"/>
            </w:pPr>
            <w:r w:rsidRPr="00B77A90">
              <w:t>Intervention variables</w:t>
            </w:r>
          </w:p>
        </w:tc>
        <w:tc>
          <w:tcPr>
            <w:tcW w:w="930" w:type="pct"/>
          </w:tcPr>
          <w:p w14:paraId="2A2CFE54" w14:textId="77777777" w:rsidR="00C576F4" w:rsidRPr="00B77A90" w:rsidRDefault="00C576F4" w:rsidP="008C1934">
            <w:pPr>
              <w:pStyle w:val="TableFigure"/>
            </w:pPr>
            <w:r w:rsidRPr="00B77A90">
              <w:t>Intervention focus (i)</w:t>
            </w:r>
          </w:p>
        </w:tc>
        <w:tc>
          <w:tcPr>
            <w:tcW w:w="2477" w:type="pct"/>
          </w:tcPr>
          <w:p w14:paraId="1B259C22" w14:textId="77777777" w:rsidR="00C576F4" w:rsidRPr="00B77A90" w:rsidRDefault="00C576F4" w:rsidP="008C1934">
            <w:pPr>
              <w:pStyle w:val="TableFigure"/>
            </w:pPr>
            <w:r w:rsidRPr="00B77A90">
              <w:t>Who is actively involved in the intervention? Select all that apply.</w:t>
            </w:r>
          </w:p>
        </w:tc>
        <w:tc>
          <w:tcPr>
            <w:tcW w:w="148" w:type="pct"/>
          </w:tcPr>
          <w:p w14:paraId="0CE37FFF" w14:textId="77777777" w:rsidR="00C576F4" w:rsidRPr="00B77A90" w:rsidRDefault="00C576F4" w:rsidP="008C1934">
            <w:pPr>
              <w:pStyle w:val="TableFigure"/>
            </w:pPr>
          </w:p>
        </w:tc>
        <w:tc>
          <w:tcPr>
            <w:tcW w:w="734" w:type="pct"/>
          </w:tcPr>
          <w:p w14:paraId="0EB22398" w14:textId="77777777" w:rsidR="00C576F4" w:rsidRPr="00B77A90" w:rsidRDefault="00C576F4" w:rsidP="008C1934">
            <w:pPr>
              <w:pStyle w:val="TableFigure"/>
            </w:pPr>
            <w:r w:rsidRPr="00B77A90">
              <w:t>Clinician</w:t>
            </w:r>
          </w:p>
        </w:tc>
      </w:tr>
      <w:tr w:rsidR="00C576F4" w:rsidRPr="00B77A90" w14:paraId="2A7B9875" w14:textId="77777777" w:rsidTr="00A33949">
        <w:tc>
          <w:tcPr>
            <w:tcW w:w="711" w:type="pct"/>
          </w:tcPr>
          <w:p w14:paraId="677658D7" w14:textId="77777777" w:rsidR="00C576F4" w:rsidRPr="00B77A90" w:rsidRDefault="00C576F4" w:rsidP="008C1934">
            <w:pPr>
              <w:pStyle w:val="TableFigure"/>
            </w:pPr>
          </w:p>
        </w:tc>
        <w:tc>
          <w:tcPr>
            <w:tcW w:w="930" w:type="pct"/>
          </w:tcPr>
          <w:p w14:paraId="423B21FF" w14:textId="77777777" w:rsidR="00C576F4" w:rsidRPr="00B77A90" w:rsidRDefault="00C576F4" w:rsidP="008C1934">
            <w:pPr>
              <w:pStyle w:val="TableFigure"/>
            </w:pPr>
            <w:r w:rsidRPr="00B77A90">
              <w:t>Intervention focus (ii)</w:t>
            </w:r>
          </w:p>
        </w:tc>
        <w:tc>
          <w:tcPr>
            <w:tcW w:w="2477" w:type="pct"/>
          </w:tcPr>
          <w:p w14:paraId="71941112" w14:textId="77777777" w:rsidR="00C576F4" w:rsidRPr="00B77A90" w:rsidRDefault="00C576F4" w:rsidP="008C1934">
            <w:pPr>
              <w:pStyle w:val="TableFigure"/>
            </w:pPr>
            <w:r w:rsidRPr="00B77A90">
              <w:t>Is the intervention delivered to an individual child / family, or to a group of children / families?</w:t>
            </w:r>
          </w:p>
        </w:tc>
        <w:tc>
          <w:tcPr>
            <w:tcW w:w="148" w:type="pct"/>
          </w:tcPr>
          <w:p w14:paraId="585FCCC9" w14:textId="77777777" w:rsidR="00C576F4" w:rsidRPr="00B77A90" w:rsidRDefault="00C576F4" w:rsidP="008C1934">
            <w:pPr>
              <w:pStyle w:val="TableFigure"/>
            </w:pPr>
          </w:p>
        </w:tc>
        <w:tc>
          <w:tcPr>
            <w:tcW w:w="734" w:type="pct"/>
          </w:tcPr>
          <w:p w14:paraId="6E400E90" w14:textId="77777777" w:rsidR="00C576F4" w:rsidRPr="00B77A90" w:rsidRDefault="00C576F4" w:rsidP="008C1934">
            <w:pPr>
              <w:pStyle w:val="TableFigure"/>
            </w:pPr>
            <w:r w:rsidRPr="00B77A90">
              <w:t>Clinician</w:t>
            </w:r>
          </w:p>
        </w:tc>
      </w:tr>
      <w:tr w:rsidR="00C576F4" w:rsidRPr="00B77A90" w14:paraId="3567EC47" w14:textId="77777777" w:rsidTr="00A33949">
        <w:tc>
          <w:tcPr>
            <w:tcW w:w="711" w:type="pct"/>
          </w:tcPr>
          <w:p w14:paraId="62949AF1" w14:textId="77777777" w:rsidR="00C576F4" w:rsidRPr="00B77A90" w:rsidRDefault="00C576F4" w:rsidP="008C1934">
            <w:pPr>
              <w:pStyle w:val="TableFigure"/>
            </w:pPr>
          </w:p>
        </w:tc>
        <w:tc>
          <w:tcPr>
            <w:tcW w:w="930" w:type="pct"/>
          </w:tcPr>
          <w:p w14:paraId="7A08F29A" w14:textId="77777777" w:rsidR="00C576F4" w:rsidRPr="00B77A90" w:rsidRDefault="00C576F4" w:rsidP="008C1934">
            <w:pPr>
              <w:pStyle w:val="TableFigure"/>
            </w:pPr>
            <w:r w:rsidRPr="00B77A90">
              <w:t>Intervention approach</w:t>
            </w:r>
          </w:p>
        </w:tc>
        <w:tc>
          <w:tcPr>
            <w:tcW w:w="2477" w:type="pct"/>
          </w:tcPr>
          <w:p w14:paraId="44500318" w14:textId="77777777" w:rsidR="00C576F4" w:rsidRPr="00B77A90" w:rsidRDefault="00C576F4" w:rsidP="008C1934">
            <w:pPr>
              <w:pStyle w:val="TableFigure"/>
            </w:pPr>
            <w:r w:rsidRPr="00B77A90">
              <w:t>What is the treatment approach?</w:t>
            </w:r>
          </w:p>
          <w:p w14:paraId="4C938104" w14:textId="77777777" w:rsidR="00C576F4" w:rsidRPr="00B77A90" w:rsidRDefault="00C576F4" w:rsidP="008C1934">
            <w:pPr>
              <w:pStyle w:val="TableFigure"/>
            </w:pPr>
            <w:r w:rsidRPr="00B77A90">
              <w:t>(Select all that apply)</w:t>
            </w:r>
          </w:p>
        </w:tc>
        <w:tc>
          <w:tcPr>
            <w:tcW w:w="148" w:type="pct"/>
          </w:tcPr>
          <w:p w14:paraId="51C9535D" w14:textId="77777777" w:rsidR="00C576F4" w:rsidRPr="00B77A90" w:rsidRDefault="00C576F4" w:rsidP="008C1934">
            <w:pPr>
              <w:pStyle w:val="TableFigure"/>
            </w:pPr>
          </w:p>
        </w:tc>
        <w:tc>
          <w:tcPr>
            <w:tcW w:w="734" w:type="pct"/>
          </w:tcPr>
          <w:p w14:paraId="338FF99E" w14:textId="77777777" w:rsidR="00C576F4" w:rsidRPr="00B77A90" w:rsidRDefault="00C576F4" w:rsidP="008C1934">
            <w:pPr>
              <w:pStyle w:val="TableFigure"/>
            </w:pPr>
            <w:r w:rsidRPr="00B77A90">
              <w:t>Clinician</w:t>
            </w:r>
          </w:p>
        </w:tc>
      </w:tr>
      <w:tr w:rsidR="00C576F4" w:rsidRPr="00B77A90" w14:paraId="41C6B0A9" w14:textId="77777777" w:rsidTr="00A33949">
        <w:tc>
          <w:tcPr>
            <w:tcW w:w="711" w:type="pct"/>
          </w:tcPr>
          <w:p w14:paraId="6EE03D60" w14:textId="77777777" w:rsidR="00C576F4" w:rsidRPr="00B77A90" w:rsidRDefault="00C576F4" w:rsidP="008C1934">
            <w:pPr>
              <w:pStyle w:val="TableFigure"/>
            </w:pPr>
          </w:p>
        </w:tc>
        <w:tc>
          <w:tcPr>
            <w:tcW w:w="930" w:type="pct"/>
          </w:tcPr>
          <w:p w14:paraId="2B9F870F" w14:textId="77777777" w:rsidR="00C576F4" w:rsidRPr="00B77A90" w:rsidRDefault="00C576F4" w:rsidP="008C1934">
            <w:pPr>
              <w:pStyle w:val="TableFigure"/>
            </w:pPr>
            <w:r w:rsidRPr="00B77A90">
              <w:t>Prescribed medication</w:t>
            </w:r>
          </w:p>
        </w:tc>
        <w:tc>
          <w:tcPr>
            <w:tcW w:w="2477" w:type="pct"/>
          </w:tcPr>
          <w:p w14:paraId="220D159B" w14:textId="77777777" w:rsidR="00C576F4" w:rsidRPr="00B77A90" w:rsidRDefault="00C576F4" w:rsidP="008C1934">
            <w:pPr>
              <w:pStyle w:val="TableFigure"/>
            </w:pPr>
            <w:r w:rsidRPr="00B77A90">
              <w:t>What type of medication is prescribed?</w:t>
            </w:r>
          </w:p>
          <w:p w14:paraId="6B0295E6" w14:textId="77777777" w:rsidR="00C576F4" w:rsidRPr="00B77A90" w:rsidRDefault="00C576F4" w:rsidP="008C1934">
            <w:pPr>
              <w:pStyle w:val="TableFigure"/>
            </w:pPr>
            <w:r w:rsidRPr="00B77A90">
              <w:t>(Select all that apply)</w:t>
            </w:r>
          </w:p>
        </w:tc>
        <w:tc>
          <w:tcPr>
            <w:tcW w:w="148" w:type="pct"/>
          </w:tcPr>
          <w:p w14:paraId="5D3D9A67" w14:textId="77777777" w:rsidR="00C576F4" w:rsidRPr="00B77A90" w:rsidRDefault="00C576F4" w:rsidP="008C1934">
            <w:pPr>
              <w:pStyle w:val="TableFigure"/>
            </w:pPr>
          </w:p>
        </w:tc>
        <w:tc>
          <w:tcPr>
            <w:tcW w:w="734" w:type="pct"/>
          </w:tcPr>
          <w:p w14:paraId="1F595961" w14:textId="77777777" w:rsidR="00C576F4" w:rsidRPr="00B77A90" w:rsidRDefault="00C576F4" w:rsidP="008C1934">
            <w:pPr>
              <w:pStyle w:val="TableFigure"/>
            </w:pPr>
            <w:r w:rsidRPr="00B77A90">
              <w:t>Clinician</w:t>
            </w:r>
          </w:p>
        </w:tc>
      </w:tr>
      <w:tr w:rsidR="00C576F4" w:rsidRPr="00B77A90" w14:paraId="0DC19351" w14:textId="77777777" w:rsidTr="00A33949">
        <w:tc>
          <w:tcPr>
            <w:tcW w:w="711" w:type="pct"/>
          </w:tcPr>
          <w:p w14:paraId="7E7415BD" w14:textId="77777777" w:rsidR="00C576F4" w:rsidRPr="00B77A90" w:rsidRDefault="00C576F4" w:rsidP="008C1934">
            <w:pPr>
              <w:pStyle w:val="TableFigure"/>
            </w:pPr>
          </w:p>
        </w:tc>
        <w:tc>
          <w:tcPr>
            <w:tcW w:w="930" w:type="pct"/>
          </w:tcPr>
          <w:p w14:paraId="4672E567" w14:textId="77777777" w:rsidR="00C576F4" w:rsidRPr="00B77A90" w:rsidRDefault="00C576F4" w:rsidP="008C1934">
            <w:pPr>
              <w:pStyle w:val="TableFigure"/>
            </w:pPr>
            <w:r w:rsidRPr="00B77A90">
              <w:t>Intervention setting (i)</w:t>
            </w:r>
          </w:p>
        </w:tc>
        <w:tc>
          <w:tcPr>
            <w:tcW w:w="2477" w:type="pct"/>
          </w:tcPr>
          <w:p w14:paraId="40D77011" w14:textId="77777777" w:rsidR="00C576F4" w:rsidRPr="00B77A90" w:rsidRDefault="00C576F4" w:rsidP="008C1934">
            <w:pPr>
              <w:pStyle w:val="TableFigure"/>
            </w:pPr>
            <w:r w:rsidRPr="00B77A90">
              <w:t>Does this intervention involve an overnight stay at an institution providing mental health support?</w:t>
            </w:r>
          </w:p>
        </w:tc>
        <w:tc>
          <w:tcPr>
            <w:tcW w:w="148" w:type="pct"/>
          </w:tcPr>
          <w:p w14:paraId="23F3193D" w14:textId="77777777" w:rsidR="00C576F4" w:rsidRPr="00B77A90" w:rsidRDefault="00C576F4" w:rsidP="008C1934">
            <w:pPr>
              <w:pStyle w:val="TableFigure"/>
            </w:pPr>
          </w:p>
        </w:tc>
        <w:tc>
          <w:tcPr>
            <w:tcW w:w="734" w:type="pct"/>
          </w:tcPr>
          <w:p w14:paraId="401C0390" w14:textId="77777777" w:rsidR="00C576F4" w:rsidRPr="00B77A90" w:rsidRDefault="00C576F4" w:rsidP="008C1934">
            <w:pPr>
              <w:pStyle w:val="TableFigure"/>
            </w:pPr>
            <w:r w:rsidRPr="00B77A90">
              <w:t>Clinician</w:t>
            </w:r>
          </w:p>
        </w:tc>
      </w:tr>
      <w:tr w:rsidR="00C576F4" w:rsidRPr="00B77A90" w14:paraId="5F7D9652" w14:textId="77777777" w:rsidTr="00A33949">
        <w:tc>
          <w:tcPr>
            <w:tcW w:w="711" w:type="pct"/>
            <w:tcBorders>
              <w:bottom w:val="single" w:sz="4" w:space="0" w:color="auto"/>
            </w:tcBorders>
          </w:tcPr>
          <w:p w14:paraId="563D4265" w14:textId="77777777" w:rsidR="00C576F4" w:rsidRPr="00B77A90" w:rsidRDefault="00C576F4" w:rsidP="008C1934">
            <w:pPr>
              <w:pStyle w:val="TableFigure"/>
            </w:pPr>
          </w:p>
        </w:tc>
        <w:tc>
          <w:tcPr>
            <w:tcW w:w="930" w:type="pct"/>
            <w:tcBorders>
              <w:bottom w:val="single" w:sz="4" w:space="0" w:color="auto"/>
            </w:tcBorders>
          </w:tcPr>
          <w:p w14:paraId="072910D6" w14:textId="77777777" w:rsidR="00C576F4" w:rsidRPr="00B77A90" w:rsidRDefault="00C576F4" w:rsidP="008C1934">
            <w:pPr>
              <w:pStyle w:val="TableFigure"/>
            </w:pPr>
            <w:r w:rsidRPr="00B77A90">
              <w:t>Intervention setting (ii)</w:t>
            </w:r>
          </w:p>
        </w:tc>
        <w:tc>
          <w:tcPr>
            <w:tcW w:w="2477" w:type="pct"/>
            <w:tcBorders>
              <w:bottom w:val="single" w:sz="4" w:space="0" w:color="auto"/>
            </w:tcBorders>
          </w:tcPr>
          <w:p w14:paraId="4D7783AF" w14:textId="77777777" w:rsidR="00C576F4" w:rsidRPr="00B77A90" w:rsidRDefault="00C576F4" w:rsidP="008C1934">
            <w:pPr>
              <w:pStyle w:val="TableFigure"/>
            </w:pPr>
            <w:r w:rsidRPr="00B77A90">
              <w:t>Does this intervention involve the use of a digital platform?</w:t>
            </w:r>
          </w:p>
        </w:tc>
        <w:tc>
          <w:tcPr>
            <w:tcW w:w="148" w:type="pct"/>
            <w:tcBorders>
              <w:bottom w:val="single" w:sz="4" w:space="0" w:color="auto"/>
            </w:tcBorders>
          </w:tcPr>
          <w:p w14:paraId="7D03B546" w14:textId="77777777" w:rsidR="00C576F4" w:rsidRPr="00B77A90" w:rsidRDefault="00C576F4" w:rsidP="008C1934">
            <w:pPr>
              <w:pStyle w:val="TableFigure"/>
            </w:pPr>
          </w:p>
        </w:tc>
        <w:tc>
          <w:tcPr>
            <w:tcW w:w="734" w:type="pct"/>
            <w:tcBorders>
              <w:bottom w:val="single" w:sz="4" w:space="0" w:color="auto"/>
            </w:tcBorders>
          </w:tcPr>
          <w:p w14:paraId="124E436E" w14:textId="77777777" w:rsidR="00C576F4" w:rsidRPr="00B77A90" w:rsidRDefault="00C576F4" w:rsidP="008C1934">
            <w:pPr>
              <w:pStyle w:val="TableFigure"/>
            </w:pPr>
            <w:r w:rsidRPr="00B77A90">
              <w:t>Clinician</w:t>
            </w:r>
          </w:p>
        </w:tc>
      </w:tr>
    </w:tbl>
    <w:p w14:paraId="1E6561B9" w14:textId="5969AAF6" w:rsidR="00C576F4" w:rsidRPr="00B77A90" w:rsidRDefault="00C576F4" w:rsidP="008C1934">
      <w:pPr>
        <w:pStyle w:val="TableFigure"/>
        <w:rPr>
          <w:sz w:val="14"/>
          <w:szCs w:val="14"/>
        </w:rPr>
        <w:sectPr w:rsidR="00C576F4" w:rsidRPr="00B77A90" w:rsidSect="00E10C63">
          <w:footnotePr>
            <w:pos w:val="beneathText"/>
          </w:footnotePr>
          <w:pgSz w:w="15840" w:h="12240" w:orient="landscape"/>
          <w:pgMar w:top="1440" w:right="1440" w:bottom="1440" w:left="1440" w:header="720" w:footer="720" w:gutter="0"/>
          <w:cols w:space="720"/>
          <w:titlePg/>
          <w:docGrid w:linePitch="360"/>
        </w:sectPr>
      </w:pPr>
      <w:r w:rsidRPr="00B77A90">
        <w:rPr>
          <w:vertAlign w:val="superscript"/>
        </w:rPr>
        <w:t>a</w:t>
      </w:r>
      <w:r w:rsidRPr="00B77A90">
        <w:t xml:space="preserve"> Variables defined and operationalised as per an existing ICHOM standard. More detailed descriptions of each variable, as well as response options can be consulted in the reference guide for the Standard Set, at </w:t>
      </w:r>
      <w:r w:rsidR="00AC5E94" w:rsidRPr="004830D1">
        <w:t>https://www.ichom.org/portfolio/anxiety-depression-ocd-and-ptsd-in-children-and-young-people/</w:t>
      </w:r>
      <w:r w:rsidR="00AC5E94" w:rsidRPr="00B77A90">
        <w:t>.</w:t>
      </w:r>
      <w:r w:rsidR="003671EC">
        <w:t xml:space="preserve"> </w:t>
      </w:r>
    </w:p>
    <w:p w14:paraId="26AC663B" w14:textId="3FF3351F" w:rsidR="00AD0447" w:rsidRPr="007D27F1" w:rsidRDefault="00AD0447" w:rsidP="008C1934">
      <w:pPr>
        <w:rPr>
          <w:b/>
          <w:bCs/>
        </w:rPr>
      </w:pPr>
      <w:r w:rsidRPr="007D27F1">
        <w:rPr>
          <w:b/>
          <w:bCs/>
        </w:rPr>
        <w:lastRenderedPageBreak/>
        <w:t xml:space="preserve">Figure 2. Timeline </w:t>
      </w:r>
      <w:r w:rsidR="007D27F1">
        <w:rPr>
          <w:b/>
          <w:bCs/>
        </w:rPr>
        <w:t>for</w:t>
      </w:r>
      <w:r w:rsidRPr="007D27F1">
        <w:rPr>
          <w:b/>
          <w:bCs/>
        </w:rPr>
        <w:t xml:space="preserve"> data collection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D0447" w:rsidRPr="00B77A90" w14:paraId="6778C2A7" w14:textId="77777777" w:rsidTr="00A33949">
        <w:tc>
          <w:tcPr>
            <w:tcW w:w="9360" w:type="dxa"/>
          </w:tcPr>
          <w:p w14:paraId="3EDAB5AF" w14:textId="77777777" w:rsidR="00AD0447" w:rsidRPr="00B77A90" w:rsidRDefault="00AD0447" w:rsidP="008C1934">
            <w:r w:rsidRPr="00B77A90">
              <w:rPr>
                <w:noProof/>
              </w:rPr>
              <w:drawing>
                <wp:inline distT="0" distB="0" distL="0" distR="0" wp14:anchorId="3E6B8E03" wp14:editId="3F33F19D">
                  <wp:extent cx="5649931" cy="2809875"/>
                  <wp:effectExtent l="0" t="0" r="8255"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 Points Revised 2020-02-08.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83255" cy="2826448"/>
                          </a:xfrm>
                          <a:prstGeom prst="rect">
                            <a:avLst/>
                          </a:prstGeom>
                        </pic:spPr>
                      </pic:pic>
                    </a:graphicData>
                  </a:graphic>
                </wp:inline>
              </w:drawing>
            </w:r>
          </w:p>
        </w:tc>
      </w:tr>
    </w:tbl>
    <w:p w14:paraId="1ED076D5" w14:textId="77777777" w:rsidR="00AD0447" w:rsidRPr="00B77A90" w:rsidRDefault="00AD0447" w:rsidP="008C1934"/>
    <w:p w14:paraId="19B96E5F" w14:textId="3792A4BE" w:rsidR="00075790" w:rsidRPr="00B77A90" w:rsidRDefault="00075790" w:rsidP="008C1934">
      <w:pPr>
        <w:sectPr w:rsidR="00075790" w:rsidRPr="00B77A90" w:rsidSect="007A409C">
          <w:footnotePr>
            <w:pos w:val="beneathText"/>
          </w:footnotePr>
          <w:pgSz w:w="12240" w:h="15840"/>
          <w:pgMar w:top="1440" w:right="1440" w:bottom="1440" w:left="1440" w:header="720" w:footer="720" w:gutter="0"/>
          <w:cols w:space="720"/>
          <w:titlePg/>
          <w:docGrid w:linePitch="360"/>
        </w:sectPr>
      </w:pPr>
    </w:p>
    <w:p w14:paraId="64D25A8D" w14:textId="7335A394" w:rsidR="003778E7" w:rsidRPr="00B77A90" w:rsidRDefault="00B16011" w:rsidP="008C1934">
      <w:pPr>
        <w:pStyle w:val="Heading1"/>
        <w:rPr>
          <w:noProof/>
        </w:rPr>
      </w:pPr>
      <w:r w:rsidRPr="00B77A90">
        <w:rPr>
          <w:noProof/>
        </w:rPr>
        <w:lastRenderedPageBreak/>
        <w:t>References</w:t>
      </w:r>
    </w:p>
    <w:p w14:paraId="4A79A620" w14:textId="064A4E21"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bookmarkStart w:id="18" w:name="_Hlk35593322"/>
      <w:r w:rsidRPr="00C95A25">
        <w:rPr>
          <w:rFonts w:ascii="Times New Roman" w:hAnsi="Times New Roman" w:cs="Times New Roman"/>
          <w:noProof/>
          <w:szCs w:val="24"/>
        </w:rPr>
        <w:t xml:space="preserve">1. </w:t>
      </w:r>
      <w:r w:rsidRPr="00C95A25">
        <w:rPr>
          <w:rFonts w:ascii="Times New Roman" w:hAnsi="Times New Roman" w:cs="Times New Roman"/>
          <w:noProof/>
          <w:szCs w:val="24"/>
        </w:rPr>
        <w:tab/>
        <w:t xml:space="preserve">World Health Organization. Depression and Other Common Mental Disorders: Global Health Estimates [Internet]. Geneva; 2017. Available from: </w:t>
      </w:r>
      <w:hyperlink r:id="rId20" w:history="1">
        <w:r w:rsidR="00D55DAD" w:rsidRPr="00BA418C">
          <w:rPr>
            <w:rStyle w:val="Hyperlink"/>
            <w:rFonts w:ascii="Times New Roman" w:hAnsi="Times New Roman" w:cs="Times New Roman"/>
            <w:noProof/>
            <w:szCs w:val="24"/>
          </w:rPr>
          <w:t>https://apps.who.int/iris/bitstream/handle/10665/254610/WHO-MSD-MER-2017.2-eng.pdf</w:t>
        </w:r>
      </w:hyperlink>
      <w:r w:rsidR="00D55DAD">
        <w:rPr>
          <w:rFonts w:ascii="Times New Roman" w:hAnsi="Times New Roman" w:cs="Times New Roman"/>
          <w:noProof/>
          <w:szCs w:val="24"/>
        </w:rPr>
        <w:t xml:space="preserve"> [10/01/2020].</w:t>
      </w:r>
    </w:p>
    <w:p w14:paraId="37E6E348" w14:textId="77777777"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 xml:space="preserve">2. </w:t>
      </w:r>
      <w:r w:rsidRPr="00C95A25">
        <w:rPr>
          <w:rFonts w:ascii="Times New Roman" w:hAnsi="Times New Roman" w:cs="Times New Roman"/>
          <w:noProof/>
          <w:szCs w:val="24"/>
        </w:rPr>
        <w:tab/>
        <w:t xml:space="preserve">Kessler RC, Amminger GP, Aguilar-Gaxiola S, Alonso J, Lee S, Üstün TB. Age of onset of mental disorders: A review of recent literature. Curr Opin Psychiatry. 2007;20(4):359–64. </w:t>
      </w:r>
    </w:p>
    <w:p w14:paraId="2FAA09D7" w14:textId="77777777"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 xml:space="preserve">3. </w:t>
      </w:r>
      <w:r w:rsidRPr="00C95A25">
        <w:rPr>
          <w:rFonts w:ascii="Times New Roman" w:hAnsi="Times New Roman" w:cs="Times New Roman"/>
          <w:noProof/>
          <w:szCs w:val="24"/>
        </w:rPr>
        <w:tab/>
        <w:t xml:space="preserve">Albano AM, Chorpita BF, Barlow DH. Childhood anxiety disorders. In: Mash EJ, Barkley RA, editors. Child psychopathology. 2nd ed. New York, NY, US: The Guilford Press; 2003. p. 279–329. </w:t>
      </w:r>
    </w:p>
    <w:p w14:paraId="294837ED" w14:textId="77777777"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 xml:space="preserve">4. </w:t>
      </w:r>
      <w:r w:rsidRPr="00C95A25">
        <w:rPr>
          <w:rFonts w:ascii="Times New Roman" w:hAnsi="Times New Roman" w:cs="Times New Roman"/>
          <w:noProof/>
          <w:szCs w:val="24"/>
        </w:rPr>
        <w:tab/>
        <w:t xml:space="preserve">Clayborne ZM, Varin M, Colman I. Systematic Review and Meta-Analysis: Adolescent Depression and Long-Term Psychosocial Outcomes. J Am Acad Child Adolesc Psychiatry. 2019;58(1):72–9. </w:t>
      </w:r>
    </w:p>
    <w:p w14:paraId="52964920" w14:textId="77777777"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 xml:space="preserve">5. </w:t>
      </w:r>
      <w:r w:rsidRPr="00C95A25">
        <w:rPr>
          <w:rFonts w:ascii="Times New Roman" w:hAnsi="Times New Roman" w:cs="Times New Roman"/>
          <w:noProof/>
          <w:szCs w:val="24"/>
        </w:rPr>
        <w:tab/>
        <w:t xml:space="preserve">Jorm AF, Patten SB, Brugha TS, Mojtabai R. Has increased provision of treatment reduced the prevalence of common mental disorders? Review of the evidence from four countries. World Psychiatry. 2017;16(1):90–9. </w:t>
      </w:r>
    </w:p>
    <w:p w14:paraId="6A803C25" w14:textId="290CC181"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 xml:space="preserve">6. </w:t>
      </w:r>
      <w:r w:rsidRPr="00C95A25">
        <w:rPr>
          <w:rFonts w:ascii="Times New Roman" w:hAnsi="Times New Roman" w:cs="Times New Roman"/>
          <w:noProof/>
          <w:szCs w:val="24"/>
        </w:rPr>
        <w:tab/>
        <w:t>Boswell JF, Kraus DR, Miller SD, Lambert MJ. Implementing routine outcome monitoring in clinical practice: Benefits, challenges, and solutions. Psychother Res. 2015;25(1):6–19.</w:t>
      </w:r>
    </w:p>
    <w:p w14:paraId="54904A61" w14:textId="7B36BC58"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 xml:space="preserve">7. </w:t>
      </w:r>
      <w:r w:rsidRPr="00C95A25">
        <w:rPr>
          <w:rFonts w:ascii="Times New Roman" w:hAnsi="Times New Roman" w:cs="Times New Roman"/>
          <w:noProof/>
          <w:szCs w:val="24"/>
        </w:rPr>
        <w:tab/>
        <w:t>Scott K, Lewis CC. Using measurement-based care to enhance any treatment. Cogn Behav Pract</w:t>
      </w:r>
      <w:r w:rsidR="00064D3F">
        <w:rPr>
          <w:rFonts w:ascii="Times New Roman" w:hAnsi="Times New Roman" w:cs="Times New Roman"/>
          <w:noProof/>
          <w:szCs w:val="24"/>
        </w:rPr>
        <w:t xml:space="preserve">. </w:t>
      </w:r>
      <w:r w:rsidRPr="00C95A25">
        <w:rPr>
          <w:rFonts w:ascii="Times New Roman" w:hAnsi="Times New Roman" w:cs="Times New Roman"/>
          <w:noProof/>
          <w:szCs w:val="24"/>
        </w:rPr>
        <w:t>2015 22(1):49–59.</w:t>
      </w:r>
    </w:p>
    <w:p w14:paraId="3E825D81" w14:textId="77777777"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 xml:space="preserve">8. </w:t>
      </w:r>
      <w:r w:rsidRPr="00C95A25">
        <w:rPr>
          <w:rFonts w:ascii="Times New Roman" w:hAnsi="Times New Roman" w:cs="Times New Roman"/>
          <w:noProof/>
          <w:szCs w:val="24"/>
        </w:rPr>
        <w:tab/>
        <w:t xml:space="preserve">Barkham M, Mellor-Clark J. Bridging Evidence-Based Practice and Practice-Based Evidence: Psychological Therapies. Clin Psychol Psychother. 2003;10:319–27. </w:t>
      </w:r>
    </w:p>
    <w:p w14:paraId="2A49F7C7" w14:textId="77777777"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 xml:space="preserve">9. </w:t>
      </w:r>
      <w:r w:rsidRPr="00C95A25">
        <w:rPr>
          <w:rFonts w:ascii="Times New Roman" w:hAnsi="Times New Roman" w:cs="Times New Roman"/>
          <w:noProof/>
          <w:szCs w:val="24"/>
        </w:rPr>
        <w:tab/>
        <w:t xml:space="preserve">Bickman L. A Measurement Feedback System (MFS) Is Necessary to Improve Mental Health Outcomes. J Am Acad Child Adolesc Psychiatry. 2008;47(10):1114–9. </w:t>
      </w:r>
    </w:p>
    <w:p w14:paraId="72B365EE" w14:textId="4F6C12B6"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 xml:space="preserve">10. </w:t>
      </w:r>
      <w:r w:rsidRPr="00C95A25">
        <w:rPr>
          <w:rFonts w:ascii="Times New Roman" w:hAnsi="Times New Roman" w:cs="Times New Roman"/>
          <w:noProof/>
          <w:szCs w:val="24"/>
        </w:rPr>
        <w:tab/>
        <w:t>Bear HA, Edbrooke-Childs J, Norton S, Krause KR, Wolpert M. Systematic Review and Meta-analysis: Outcomes of Routine Specialist Mental Health Care for Young People With Depression and/or Anxiety</w:t>
      </w:r>
      <w:r w:rsidR="002F0285">
        <w:rPr>
          <w:rFonts w:ascii="Times New Roman" w:hAnsi="Times New Roman" w:cs="Times New Roman"/>
          <w:noProof/>
          <w:szCs w:val="24"/>
        </w:rPr>
        <w:t xml:space="preserve"> </w:t>
      </w:r>
      <w:r w:rsidR="002F0285" w:rsidRPr="002F0285">
        <w:rPr>
          <w:rFonts w:ascii="Times New Roman" w:hAnsi="Times New Roman" w:cs="Times New Roman"/>
          <w:noProof/>
          <w:szCs w:val="24"/>
        </w:rPr>
        <w:t>[published online ahead of print, 2019 Dec 24]. J Am Acad Child Adolesc Psychiatry. 2019;S0890-8567(19)32234-8</w:t>
      </w:r>
      <w:r w:rsidR="002F0285">
        <w:rPr>
          <w:rFonts w:ascii="Times New Roman" w:hAnsi="Times New Roman" w:cs="Times New Roman"/>
          <w:noProof/>
          <w:szCs w:val="24"/>
        </w:rPr>
        <w:t>.</w:t>
      </w:r>
      <w:r w:rsidRPr="00C95A25">
        <w:rPr>
          <w:rFonts w:ascii="Times New Roman" w:hAnsi="Times New Roman" w:cs="Times New Roman"/>
          <w:noProof/>
          <w:szCs w:val="24"/>
        </w:rPr>
        <w:t xml:space="preserve"> </w:t>
      </w:r>
    </w:p>
    <w:p w14:paraId="675A5717" w14:textId="77777777" w:rsidR="00C95A25" w:rsidRPr="001C454D" w:rsidRDefault="00C95A25" w:rsidP="00C95A25">
      <w:pPr>
        <w:widowControl w:val="0"/>
        <w:autoSpaceDE w:val="0"/>
        <w:autoSpaceDN w:val="0"/>
        <w:adjustRightInd w:val="0"/>
        <w:ind w:left="640" w:hanging="640"/>
        <w:rPr>
          <w:rFonts w:ascii="Times New Roman" w:hAnsi="Times New Roman" w:cs="Times New Roman"/>
          <w:noProof/>
          <w:szCs w:val="24"/>
          <w:lang w:val="de-DE"/>
        </w:rPr>
      </w:pPr>
      <w:r w:rsidRPr="00C95A25">
        <w:rPr>
          <w:rFonts w:ascii="Times New Roman" w:hAnsi="Times New Roman" w:cs="Times New Roman"/>
          <w:noProof/>
          <w:szCs w:val="24"/>
        </w:rPr>
        <w:t xml:space="preserve">11. </w:t>
      </w:r>
      <w:r w:rsidRPr="00C95A25">
        <w:rPr>
          <w:rFonts w:ascii="Times New Roman" w:hAnsi="Times New Roman" w:cs="Times New Roman"/>
          <w:noProof/>
          <w:szCs w:val="24"/>
        </w:rPr>
        <w:tab/>
        <w:t xml:space="preserve">Clarke M, Williamson PR. Core outcome sets and systematic reviews. </w:t>
      </w:r>
      <w:r w:rsidRPr="001C454D">
        <w:rPr>
          <w:rFonts w:ascii="Times New Roman" w:hAnsi="Times New Roman" w:cs="Times New Roman"/>
          <w:noProof/>
          <w:szCs w:val="24"/>
          <w:lang w:val="de-DE"/>
        </w:rPr>
        <w:t xml:space="preserve">Syst Rev. 2016;5(1):11. </w:t>
      </w:r>
    </w:p>
    <w:p w14:paraId="0FCC0279" w14:textId="77777777"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4A1A12">
        <w:rPr>
          <w:rFonts w:ascii="Times New Roman" w:hAnsi="Times New Roman" w:cs="Times New Roman"/>
          <w:noProof/>
          <w:szCs w:val="24"/>
          <w:lang w:val="de-DE"/>
        </w:rPr>
        <w:t xml:space="preserve">12. </w:t>
      </w:r>
      <w:r w:rsidRPr="004A1A12">
        <w:rPr>
          <w:rFonts w:ascii="Times New Roman" w:hAnsi="Times New Roman" w:cs="Times New Roman"/>
          <w:noProof/>
          <w:szCs w:val="24"/>
          <w:lang w:val="de-DE"/>
        </w:rPr>
        <w:tab/>
        <w:t xml:space="preserve">Obbarius A, van Maasakkers L, Baer L, Clark DM, Crocker AG, de Beurs E, et al. </w:t>
      </w:r>
      <w:r w:rsidRPr="00C95A25">
        <w:rPr>
          <w:rFonts w:ascii="Times New Roman" w:hAnsi="Times New Roman" w:cs="Times New Roman"/>
          <w:noProof/>
          <w:szCs w:val="24"/>
        </w:rPr>
        <w:t xml:space="preserve">Standardization of health outcomes assessment for depression and anxiety: recommendations from the ICHOM Depression and Anxiety Working Group. Qual Life Res. 2017;26(12):3211–25. </w:t>
      </w:r>
    </w:p>
    <w:p w14:paraId="20878BC3" w14:textId="009315E7" w:rsidR="00C95A25" w:rsidRPr="003D3EB3" w:rsidRDefault="00C95A25" w:rsidP="00C95A25">
      <w:pPr>
        <w:widowControl w:val="0"/>
        <w:autoSpaceDE w:val="0"/>
        <w:autoSpaceDN w:val="0"/>
        <w:adjustRightInd w:val="0"/>
        <w:ind w:left="640" w:hanging="640"/>
        <w:rPr>
          <w:rFonts w:ascii="Times New Roman" w:hAnsi="Times New Roman" w:cs="Times New Roman"/>
          <w:noProof/>
          <w:szCs w:val="24"/>
          <w:lang w:val="de-DE"/>
        </w:rPr>
      </w:pPr>
      <w:r w:rsidRPr="00C95A25">
        <w:rPr>
          <w:rFonts w:ascii="Times New Roman" w:hAnsi="Times New Roman" w:cs="Times New Roman"/>
          <w:noProof/>
          <w:szCs w:val="24"/>
        </w:rPr>
        <w:lastRenderedPageBreak/>
        <w:t xml:space="preserve">13. </w:t>
      </w:r>
      <w:r w:rsidRPr="00C95A25">
        <w:rPr>
          <w:rFonts w:ascii="Times New Roman" w:hAnsi="Times New Roman" w:cs="Times New Roman"/>
          <w:noProof/>
          <w:szCs w:val="24"/>
        </w:rPr>
        <w:tab/>
        <w:t xml:space="preserve">Porter ME. What Is Value in Health Care? </w:t>
      </w:r>
      <w:r w:rsidRPr="003D3EB3">
        <w:rPr>
          <w:rFonts w:ascii="Times New Roman" w:hAnsi="Times New Roman" w:cs="Times New Roman"/>
          <w:noProof/>
          <w:szCs w:val="24"/>
          <w:lang w:val="de-DE"/>
        </w:rPr>
        <w:t xml:space="preserve">N Engl J Med. 2010;363(26):2477–81. </w:t>
      </w:r>
    </w:p>
    <w:p w14:paraId="0B098D56" w14:textId="23EF4E9A"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3D3EB3">
        <w:rPr>
          <w:rFonts w:ascii="Times New Roman" w:hAnsi="Times New Roman" w:cs="Times New Roman"/>
          <w:noProof/>
          <w:szCs w:val="24"/>
          <w:lang w:val="de-DE"/>
        </w:rPr>
        <w:t xml:space="preserve">14. </w:t>
      </w:r>
      <w:r w:rsidRPr="003D3EB3">
        <w:rPr>
          <w:rFonts w:ascii="Times New Roman" w:hAnsi="Times New Roman" w:cs="Times New Roman"/>
          <w:noProof/>
          <w:szCs w:val="24"/>
          <w:lang w:val="de-DE"/>
        </w:rPr>
        <w:tab/>
        <w:t xml:space="preserve">Kazdin AE. </w:t>
      </w:r>
      <w:r w:rsidRPr="00C95A25">
        <w:rPr>
          <w:rFonts w:ascii="Times New Roman" w:hAnsi="Times New Roman" w:cs="Times New Roman"/>
          <w:noProof/>
          <w:szCs w:val="24"/>
        </w:rPr>
        <w:t>The Meanings and Measurement of Clinical Significance. J Consult Clin Psychol</w:t>
      </w:r>
      <w:r w:rsidR="0002528D">
        <w:rPr>
          <w:rFonts w:ascii="Times New Roman" w:hAnsi="Times New Roman" w:cs="Times New Roman"/>
          <w:noProof/>
          <w:szCs w:val="24"/>
        </w:rPr>
        <w:t>.</w:t>
      </w:r>
      <w:r w:rsidRPr="00C95A25">
        <w:rPr>
          <w:rFonts w:ascii="Times New Roman" w:hAnsi="Times New Roman" w:cs="Times New Roman"/>
          <w:noProof/>
          <w:szCs w:val="24"/>
        </w:rPr>
        <w:t xml:space="preserve"> 1999;67(3):332–9.</w:t>
      </w:r>
    </w:p>
    <w:p w14:paraId="087FD963" w14:textId="72257397"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 xml:space="preserve">15. </w:t>
      </w:r>
      <w:r w:rsidRPr="00C95A25">
        <w:rPr>
          <w:rFonts w:ascii="Times New Roman" w:hAnsi="Times New Roman" w:cs="Times New Roman"/>
          <w:noProof/>
          <w:szCs w:val="24"/>
        </w:rPr>
        <w:tab/>
        <w:t>Spitzer RL, Kroenke K, Williams JBW, Löwe B. A brief measure for assessing generalized anxiety disorder: The GAD-7. Arch Intern Med. 2006 May 22;166(10):1092–7.</w:t>
      </w:r>
    </w:p>
    <w:p w14:paraId="2BC366D6" w14:textId="5D0BFAA7" w:rsidR="00C95A25" w:rsidRPr="001E4DF2"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 xml:space="preserve">16. </w:t>
      </w:r>
      <w:r w:rsidRPr="00C95A25">
        <w:rPr>
          <w:rFonts w:ascii="Times New Roman" w:hAnsi="Times New Roman" w:cs="Times New Roman"/>
          <w:noProof/>
          <w:szCs w:val="24"/>
        </w:rPr>
        <w:tab/>
        <w:t xml:space="preserve">Spitzer RL, Kroenke K, Williams JBW. Validation and utility of a self-report version of PRIME-MD: The PHQ Primary Care Study. </w:t>
      </w:r>
      <w:r w:rsidRPr="001E4DF2">
        <w:rPr>
          <w:rFonts w:ascii="Times New Roman" w:hAnsi="Times New Roman" w:cs="Times New Roman"/>
          <w:noProof/>
          <w:szCs w:val="24"/>
        </w:rPr>
        <w:t xml:space="preserve">J Am Med Assoc. 1999;282(18):1737–44. </w:t>
      </w:r>
    </w:p>
    <w:p w14:paraId="1486A895" w14:textId="0CFE1F7E" w:rsidR="0070526E" w:rsidRPr="0070526E" w:rsidRDefault="0070526E" w:rsidP="0070526E">
      <w:pPr>
        <w:widowControl w:val="0"/>
        <w:autoSpaceDE w:val="0"/>
        <w:autoSpaceDN w:val="0"/>
        <w:adjustRightInd w:val="0"/>
        <w:ind w:left="640" w:hanging="640"/>
        <w:rPr>
          <w:rFonts w:ascii="Times New Roman" w:hAnsi="Times New Roman" w:cs="Times New Roman"/>
          <w:noProof/>
          <w:szCs w:val="24"/>
        </w:rPr>
      </w:pPr>
      <w:r w:rsidRPr="0070526E">
        <w:rPr>
          <w:rFonts w:ascii="Times New Roman" w:hAnsi="Times New Roman" w:cs="Times New Roman"/>
          <w:noProof/>
          <w:szCs w:val="24"/>
        </w:rPr>
        <w:t xml:space="preserve">17. </w:t>
      </w:r>
      <w:r w:rsidRPr="0070526E">
        <w:rPr>
          <w:rFonts w:ascii="Times New Roman" w:hAnsi="Times New Roman" w:cs="Times New Roman"/>
          <w:noProof/>
          <w:szCs w:val="24"/>
        </w:rPr>
        <w:tab/>
        <w:t xml:space="preserve">Üstün T, Chatterji S, Kostanjsek N, Rehm J, Kennedy C, Epping-Jordan J, et al. Developing the World Health Organization disability assessment schedule 2.0. Bull World Health Organ. 2010;88(11):815–23. </w:t>
      </w:r>
    </w:p>
    <w:p w14:paraId="024CD83E" w14:textId="6002A128" w:rsidR="00C95A25" w:rsidRDefault="00C95A25" w:rsidP="00C95A25">
      <w:pPr>
        <w:widowControl w:val="0"/>
        <w:autoSpaceDE w:val="0"/>
        <w:autoSpaceDN w:val="0"/>
        <w:adjustRightInd w:val="0"/>
        <w:ind w:left="640" w:hanging="640"/>
        <w:rPr>
          <w:rFonts w:ascii="Times New Roman" w:hAnsi="Times New Roman" w:cs="Times New Roman"/>
          <w:noProof/>
          <w:szCs w:val="24"/>
        </w:rPr>
      </w:pPr>
      <w:r w:rsidRPr="001E4DF2">
        <w:rPr>
          <w:rFonts w:ascii="Times New Roman" w:hAnsi="Times New Roman" w:cs="Times New Roman"/>
          <w:noProof/>
          <w:szCs w:val="24"/>
        </w:rPr>
        <w:t>1</w:t>
      </w:r>
      <w:r w:rsidR="0070526E" w:rsidRPr="001E4DF2">
        <w:rPr>
          <w:rFonts w:ascii="Times New Roman" w:hAnsi="Times New Roman" w:cs="Times New Roman"/>
          <w:noProof/>
          <w:szCs w:val="24"/>
        </w:rPr>
        <w:t>8</w:t>
      </w:r>
      <w:r w:rsidRPr="001E4DF2">
        <w:rPr>
          <w:rFonts w:ascii="Times New Roman" w:hAnsi="Times New Roman" w:cs="Times New Roman"/>
          <w:noProof/>
          <w:szCs w:val="24"/>
        </w:rPr>
        <w:t xml:space="preserve">. </w:t>
      </w:r>
      <w:r w:rsidRPr="001E4DF2">
        <w:rPr>
          <w:rFonts w:ascii="Times New Roman" w:hAnsi="Times New Roman" w:cs="Times New Roman"/>
          <w:noProof/>
          <w:szCs w:val="24"/>
        </w:rPr>
        <w:tab/>
        <w:t xml:space="preserve">Regier DA, Kuhl EA, Kupfer DJ. </w:t>
      </w:r>
      <w:r w:rsidRPr="00C95A25">
        <w:rPr>
          <w:rFonts w:ascii="Times New Roman" w:hAnsi="Times New Roman" w:cs="Times New Roman"/>
          <w:noProof/>
          <w:szCs w:val="24"/>
        </w:rPr>
        <w:t xml:space="preserve">The DSM-5: Classification and criteria changes. World Psychiatry. 2013;12(2):92–8. </w:t>
      </w:r>
    </w:p>
    <w:p w14:paraId="777D3AF2" w14:textId="21F08865" w:rsidR="007E734C" w:rsidRPr="00C95A25" w:rsidRDefault="007E734C" w:rsidP="007E734C">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1</w:t>
      </w:r>
      <w:r w:rsidR="0070526E">
        <w:rPr>
          <w:rFonts w:ascii="Times New Roman" w:hAnsi="Times New Roman" w:cs="Times New Roman"/>
          <w:noProof/>
          <w:szCs w:val="24"/>
        </w:rPr>
        <w:t>9</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De Los Reyes A, Augenstein TM, Wang M, Thomas SA, Drabick DAG, Burgers DE, et al. The validity of the multi-informant approach to assessing child and adolescent mental health. Psychol Bull. 2015;141(4):858–900. </w:t>
      </w:r>
    </w:p>
    <w:p w14:paraId="1A4B512C" w14:textId="62513571" w:rsidR="007E734C" w:rsidRDefault="0070526E" w:rsidP="007E734C">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20</w:t>
      </w:r>
      <w:r w:rsidR="007E734C" w:rsidRPr="00C95A25">
        <w:rPr>
          <w:rFonts w:ascii="Times New Roman" w:hAnsi="Times New Roman" w:cs="Times New Roman"/>
          <w:noProof/>
          <w:szCs w:val="24"/>
        </w:rPr>
        <w:t xml:space="preserve">. </w:t>
      </w:r>
      <w:r w:rsidR="007E734C" w:rsidRPr="00C95A25">
        <w:rPr>
          <w:rFonts w:ascii="Times New Roman" w:hAnsi="Times New Roman" w:cs="Times New Roman"/>
          <w:noProof/>
          <w:szCs w:val="24"/>
        </w:rPr>
        <w:tab/>
        <w:t xml:space="preserve">Weisz JR, Kuppens S, Ng MY, Eckshtain D, Ugueto AM, Vaughn-Coaxum R, et al. What five decades of research tells us about the effects of youth psychological therapy: A multilevel meta-analysis and implications for science and practice. Vol. 72, American Psychologist. American Psychological Association; 2017. p. 79–117. </w:t>
      </w:r>
    </w:p>
    <w:p w14:paraId="5675D72E" w14:textId="1891A605" w:rsidR="007E734C" w:rsidRDefault="007E734C" w:rsidP="007E734C">
      <w:pPr>
        <w:widowControl w:val="0"/>
        <w:autoSpaceDE w:val="0"/>
        <w:autoSpaceDN w:val="0"/>
        <w:adjustRightInd w:val="0"/>
        <w:ind w:left="640" w:hanging="640"/>
        <w:rPr>
          <w:rFonts w:ascii="Times New Roman" w:hAnsi="Times New Roman" w:cs="Times New Roman"/>
          <w:noProof/>
          <w:szCs w:val="24"/>
        </w:rPr>
      </w:pPr>
      <w:r w:rsidRPr="00D53C69">
        <w:rPr>
          <w:rFonts w:ascii="Times New Roman" w:hAnsi="Times New Roman" w:cs="Times New Roman"/>
          <w:noProof/>
          <w:szCs w:val="24"/>
        </w:rPr>
        <w:t>2</w:t>
      </w:r>
      <w:r w:rsidR="0070526E" w:rsidRPr="00D53C69">
        <w:rPr>
          <w:rFonts w:ascii="Times New Roman" w:hAnsi="Times New Roman" w:cs="Times New Roman"/>
          <w:noProof/>
          <w:szCs w:val="24"/>
        </w:rPr>
        <w:t>1.</w:t>
      </w:r>
      <w:r w:rsidRPr="00D53C69">
        <w:rPr>
          <w:rFonts w:ascii="Times New Roman" w:hAnsi="Times New Roman" w:cs="Times New Roman"/>
          <w:noProof/>
          <w:szCs w:val="24"/>
        </w:rPr>
        <w:t xml:space="preserve"> </w:t>
      </w:r>
      <w:r w:rsidRPr="00D53C69">
        <w:rPr>
          <w:rFonts w:ascii="Times New Roman" w:hAnsi="Times New Roman" w:cs="Times New Roman"/>
          <w:noProof/>
          <w:szCs w:val="24"/>
        </w:rPr>
        <w:tab/>
        <w:t>Creswell C, Waite P, Hudson J. Practitioner Review: Anxiety disorders in children and young people – assessment and treatment. J Child Psychol Psychiatry Allied Discip. 2020; 61(6): 628-643.</w:t>
      </w:r>
    </w:p>
    <w:p w14:paraId="59107459" w14:textId="5FED62B5" w:rsidR="00C95A25" w:rsidRPr="00C95A25" w:rsidRDefault="007E734C"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2</w:t>
      </w:r>
      <w:r w:rsidR="0070526E">
        <w:rPr>
          <w:rFonts w:ascii="Times New Roman" w:hAnsi="Times New Roman" w:cs="Times New Roman"/>
          <w:noProof/>
          <w:szCs w:val="24"/>
        </w:rPr>
        <w:t>2</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Linstone HA, Turoff M. The Delphi Method: Techniques and Applications. Reading, MA: Adison Wesley; 1975. </w:t>
      </w:r>
    </w:p>
    <w:p w14:paraId="674C7284" w14:textId="30F0982A" w:rsidR="00C95A25" w:rsidRPr="00C95A25" w:rsidRDefault="007E734C"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2</w:t>
      </w:r>
      <w:r w:rsidR="00D80E61">
        <w:rPr>
          <w:rFonts w:ascii="Times New Roman" w:hAnsi="Times New Roman" w:cs="Times New Roman"/>
          <w:noProof/>
          <w:szCs w:val="24"/>
        </w:rPr>
        <w:t>3</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Prinsen CAC, Vohra S, Rose MR, Boers M, Tugwell P, Clarke M, et al. How to select outcome measurement instruments for outcomes included in a “Core Outcome Set” - a practical guideline. Trials</w:t>
      </w:r>
      <w:r w:rsidR="0002528D">
        <w:rPr>
          <w:rFonts w:ascii="Times New Roman" w:hAnsi="Times New Roman" w:cs="Times New Roman"/>
          <w:noProof/>
          <w:szCs w:val="24"/>
        </w:rPr>
        <w:t xml:space="preserve">. </w:t>
      </w:r>
      <w:r w:rsidR="00C95A25" w:rsidRPr="00C95A25">
        <w:rPr>
          <w:rFonts w:ascii="Times New Roman" w:hAnsi="Times New Roman" w:cs="Times New Roman"/>
          <w:noProof/>
          <w:szCs w:val="24"/>
        </w:rPr>
        <w:t>2016;17(1):1–10.</w:t>
      </w:r>
    </w:p>
    <w:p w14:paraId="7AD23047" w14:textId="190A5801"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2</w:t>
      </w:r>
      <w:r w:rsidR="00D80E61">
        <w:rPr>
          <w:rFonts w:ascii="Times New Roman" w:hAnsi="Times New Roman" w:cs="Times New Roman"/>
          <w:noProof/>
          <w:szCs w:val="24"/>
        </w:rPr>
        <w:t>4</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Williamson PR, Altman DG, Bagley H, Barnes KL, Blazeby JM, Brookes ST, et al. The COMET Handbook: Version 1.0. Trials. 2017;18(Suppl 3):1–50. </w:t>
      </w:r>
    </w:p>
    <w:p w14:paraId="6C931D6F" w14:textId="3CDEE28C"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2</w:t>
      </w:r>
      <w:r w:rsidR="00D80E61">
        <w:rPr>
          <w:rFonts w:ascii="Times New Roman" w:hAnsi="Times New Roman" w:cs="Times New Roman"/>
          <w:noProof/>
          <w:szCs w:val="24"/>
        </w:rPr>
        <w:t>5</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Reeve BB, Wyrwich KW, Wu AW, Velikova G, Terwee CB, Snyder CF, et al. ISOQOL recommends minimum standards for patient-reported outcome measures used in patient-centered outcomes and </w:t>
      </w:r>
      <w:r w:rsidRPr="00C95A25">
        <w:rPr>
          <w:rFonts w:ascii="Times New Roman" w:hAnsi="Times New Roman" w:cs="Times New Roman"/>
          <w:noProof/>
          <w:szCs w:val="24"/>
        </w:rPr>
        <w:lastRenderedPageBreak/>
        <w:t xml:space="preserve">comparative effectiveness research. Qual Life Res. 2013;22(8):1889–905. </w:t>
      </w:r>
    </w:p>
    <w:p w14:paraId="0D8FF579" w14:textId="00513B87"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2</w:t>
      </w:r>
      <w:r w:rsidR="007868D9">
        <w:rPr>
          <w:rFonts w:ascii="Times New Roman" w:hAnsi="Times New Roman" w:cs="Times New Roman"/>
          <w:noProof/>
          <w:szCs w:val="24"/>
        </w:rPr>
        <w:t>6</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Ebesutani C, Reise SP, Chorpita BF, Ale C, Regan J, Young J, et al. The Revised Child Anxiety and Depression Scale-Short Version: Scale reduction via exploratory bifactor modeling of the broad anxiety factor. Psychol Assess. 2012;24(4):833–45. </w:t>
      </w:r>
    </w:p>
    <w:p w14:paraId="66C8D1DC" w14:textId="476564A3"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2</w:t>
      </w:r>
      <w:r w:rsidR="007868D9">
        <w:rPr>
          <w:rFonts w:ascii="Times New Roman" w:hAnsi="Times New Roman" w:cs="Times New Roman"/>
          <w:noProof/>
          <w:szCs w:val="24"/>
        </w:rPr>
        <w:t>7</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Chorpita BF, Yim L, Moffitt C, Umemoto LA, Francis SE. Assessment of symptoms of DSM-IV anxiety and depression in children: A revised child anxiety and depression scale. Behav Res Ther. 2000;38(8):835–55. </w:t>
      </w:r>
    </w:p>
    <w:p w14:paraId="4127D9E3" w14:textId="17D29CB5"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2</w:t>
      </w:r>
      <w:r w:rsidR="007868D9">
        <w:rPr>
          <w:rFonts w:ascii="Times New Roman" w:hAnsi="Times New Roman" w:cs="Times New Roman"/>
          <w:noProof/>
          <w:szCs w:val="24"/>
        </w:rPr>
        <w:t>8</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Piqueras JA, Martín-Vivar M, Sandin B, San Luis C, Pineda D. The Revised Child Anxiety and Depression Scale: A systematic review and reliability generalization meta-analysis. J Affect Disord. 2017;218:153–69. </w:t>
      </w:r>
    </w:p>
    <w:p w14:paraId="30DEA1B2" w14:textId="7850A1A0" w:rsidR="00C95A25" w:rsidRPr="00C95A25" w:rsidRDefault="007868D9"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29</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Foa EB, Coles M, Huppert JD, Pasupuleti R V., Franklin ME, March J. Development and Validation of a Child Version of the Obsessive Compulsive Inventory. Behav Ther. 2010;41(1):121–32. </w:t>
      </w:r>
    </w:p>
    <w:p w14:paraId="67EE0766" w14:textId="48558257" w:rsidR="00C95A25" w:rsidRPr="00C95A25" w:rsidRDefault="00180363"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3</w:t>
      </w:r>
      <w:r w:rsidR="007868D9">
        <w:rPr>
          <w:rFonts w:ascii="Times New Roman" w:hAnsi="Times New Roman" w:cs="Times New Roman"/>
          <w:noProof/>
          <w:szCs w:val="24"/>
        </w:rPr>
        <w:t>0</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Yule W. Anxiety, Depression and Post‐Traumatic Stress in Childhood. In: Sclare I, editor. Child Psychology Portfolio. Windsor, England: NFER‐Nelson; 1997. </w:t>
      </w:r>
    </w:p>
    <w:p w14:paraId="319EB6D0" w14:textId="13763054"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3</w:t>
      </w:r>
      <w:r w:rsidR="007868D9">
        <w:rPr>
          <w:rFonts w:ascii="Times New Roman" w:hAnsi="Times New Roman" w:cs="Times New Roman"/>
          <w:noProof/>
          <w:szCs w:val="24"/>
        </w:rPr>
        <w:t>1</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Posner K, Brown GK, Stanley B, Brent DA, Yershova K V., Oquendo MA, et al. The Columbia-suicide severity rating scale: Initial validity and internal consistency findings from three multisite studies with adolescents and adults. Am J Psychiatry. 2011;168(12):1266–77. </w:t>
      </w:r>
    </w:p>
    <w:p w14:paraId="30D80C7A" w14:textId="3828CF7F"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3</w:t>
      </w:r>
      <w:r w:rsidR="007868D9">
        <w:rPr>
          <w:rFonts w:ascii="Times New Roman" w:hAnsi="Times New Roman" w:cs="Times New Roman"/>
          <w:noProof/>
          <w:szCs w:val="24"/>
        </w:rPr>
        <w:t>2</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Hoagwood KE, Jensen PS, Petti T, Burns BJ. Outcomes of mental health care for children and adolescents: I. A comprehensive conceptual model. J Am Acad Child Adolesc Psychiatry. 1996;35(8):1055–63. </w:t>
      </w:r>
    </w:p>
    <w:p w14:paraId="6B635FA9" w14:textId="10AD11D5"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3</w:t>
      </w:r>
      <w:r w:rsidR="007868D9">
        <w:rPr>
          <w:rFonts w:ascii="Times New Roman" w:hAnsi="Times New Roman" w:cs="Times New Roman"/>
          <w:noProof/>
          <w:szCs w:val="24"/>
        </w:rPr>
        <w:t>3</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Rapee RM, Bögels SM, Van Der Sluis CM, Craske MG, Ollendick T. Annual research review: Conceptualising functional impairment in children and adolescents. J Child Psychol Psychiatry Allied Discip. 2012;53(5):454–68. </w:t>
      </w:r>
    </w:p>
    <w:p w14:paraId="5E59D133" w14:textId="5A91D1EC"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3</w:t>
      </w:r>
      <w:r w:rsidR="007868D9">
        <w:rPr>
          <w:rFonts w:ascii="Times New Roman" w:hAnsi="Times New Roman" w:cs="Times New Roman"/>
          <w:noProof/>
          <w:szCs w:val="24"/>
        </w:rPr>
        <w:t>4</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Ravens-Sieberer U, Erhart M, Rajmil L, Herdman M, Auquier P, Bruil J, et al. Reliability, construct and criterion validity of the KIDSCREEN-10 score: A short measure for children and adolescents’ well-being and health-related quality of life. Qual Life Res. 2010;19(10):1487–500. </w:t>
      </w:r>
    </w:p>
    <w:p w14:paraId="36BB86A4" w14:textId="272F37C2"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3</w:t>
      </w:r>
      <w:r w:rsidR="007868D9">
        <w:rPr>
          <w:rFonts w:ascii="Times New Roman" w:hAnsi="Times New Roman" w:cs="Times New Roman"/>
          <w:noProof/>
          <w:szCs w:val="24"/>
        </w:rPr>
        <w:t>5</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Shaffer D, Gould MS, Brasic J, Fisher P, Aluwahlia S, Bird H. A Children’s Global Assessment Scale (CGAS). Arch Gen Psychiatry. 1983;40(11):1228–31. </w:t>
      </w:r>
    </w:p>
    <w:p w14:paraId="532917BF" w14:textId="597ACBF7"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3</w:t>
      </w:r>
      <w:r w:rsidR="007868D9">
        <w:rPr>
          <w:rFonts w:ascii="Times New Roman" w:hAnsi="Times New Roman" w:cs="Times New Roman"/>
          <w:noProof/>
          <w:szCs w:val="24"/>
        </w:rPr>
        <w:t>6</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Lyneham HJ, Sburlati ES, Abbott MJ, Rapee RM, Hudson JL, Tolin DF, et al. Psychometric properties of the Child Anxiety Life Interference Scale (CALIS). J Anxiety Disord. 2013;27(7):711–9. </w:t>
      </w:r>
    </w:p>
    <w:p w14:paraId="6A80CFE1" w14:textId="56EFAF4D"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3</w:t>
      </w:r>
      <w:r w:rsidR="007868D9">
        <w:rPr>
          <w:rFonts w:ascii="Times New Roman" w:hAnsi="Times New Roman" w:cs="Times New Roman"/>
          <w:noProof/>
          <w:szCs w:val="24"/>
        </w:rPr>
        <w:t>7</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UNESCO Institute of Statistics. International Standard Classification of Education: ISCED 2011 [Internet]. </w:t>
      </w:r>
      <w:r w:rsidRPr="00C95A25">
        <w:rPr>
          <w:rFonts w:ascii="Times New Roman" w:hAnsi="Times New Roman" w:cs="Times New Roman"/>
          <w:noProof/>
          <w:szCs w:val="24"/>
        </w:rPr>
        <w:lastRenderedPageBreak/>
        <w:t xml:space="preserve">Montreal, PQ, Canada; 2012. Available from: </w:t>
      </w:r>
      <w:hyperlink r:id="rId21" w:history="1">
        <w:r w:rsidR="00526AF5" w:rsidRPr="00BA418C">
          <w:rPr>
            <w:rStyle w:val="Hyperlink"/>
            <w:rFonts w:ascii="Times New Roman" w:hAnsi="Times New Roman" w:cs="Times New Roman"/>
            <w:noProof/>
            <w:szCs w:val="24"/>
          </w:rPr>
          <w:t>http://uis.unesco.org/sites/default/files/documents/international-standard-classification-of-education-isced-2011-en.pdf</w:t>
        </w:r>
      </w:hyperlink>
      <w:r w:rsidR="00526AF5">
        <w:rPr>
          <w:rFonts w:ascii="Times New Roman" w:hAnsi="Times New Roman" w:cs="Times New Roman"/>
          <w:noProof/>
          <w:szCs w:val="24"/>
        </w:rPr>
        <w:t xml:space="preserve"> [18/06/2020].</w:t>
      </w:r>
    </w:p>
    <w:p w14:paraId="6AB3CE3E" w14:textId="4424FE61"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3</w:t>
      </w:r>
      <w:r w:rsidR="007868D9">
        <w:rPr>
          <w:rFonts w:ascii="Times New Roman" w:hAnsi="Times New Roman" w:cs="Times New Roman"/>
          <w:noProof/>
          <w:szCs w:val="24"/>
        </w:rPr>
        <w:t>8</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Southam-Gerow MA, Kendall PC, Weersing VR. Examining outcome variability: Correlates of treatment response in a child and adolescent anxiety clinic. J Clin Child Psychol. 2001;30(3):422–36. </w:t>
      </w:r>
    </w:p>
    <w:p w14:paraId="0EFC02C2" w14:textId="5809AD24" w:rsidR="00C95A25" w:rsidRPr="00C95A25" w:rsidRDefault="007868D9"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39</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Berman SL, Weems CF, Silverman WK, Kurtines WM. Predictors of outcome in exposure-based cognitive and behavioral treatments for phobic and anxiety disorders in children. Behav Ther. 2000;31(4):713–31. </w:t>
      </w:r>
    </w:p>
    <w:p w14:paraId="750284F8" w14:textId="06443225" w:rsidR="00C95A25" w:rsidRPr="00C95A25" w:rsidRDefault="00180363"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4</w:t>
      </w:r>
      <w:r w:rsidR="007868D9">
        <w:rPr>
          <w:rFonts w:ascii="Times New Roman" w:hAnsi="Times New Roman" w:cs="Times New Roman"/>
          <w:noProof/>
          <w:szCs w:val="24"/>
        </w:rPr>
        <w:t>0</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Liber JM, Van Widenfelt BM, Van Der Leeden AJM, Goedhart AW, Utens EMWJ, Treffers PDA. The relation of severity and comorbidity to treatment outcome with cognitive behavioral therapy for childhood anxiety disorders. J Abnorm Child Psychol. 2010;38(5):683–94. </w:t>
      </w:r>
    </w:p>
    <w:p w14:paraId="7CB41CA5" w14:textId="014476C8"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4</w:t>
      </w:r>
      <w:r w:rsidR="007868D9">
        <w:rPr>
          <w:rFonts w:ascii="Times New Roman" w:hAnsi="Times New Roman" w:cs="Times New Roman"/>
          <w:noProof/>
          <w:szCs w:val="24"/>
        </w:rPr>
        <w:t>1</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Emslie GJ, Kennard BD, Mayes TL. Predictors of treatment response in adolescent depression. Psychiatr Ann. 2011;41(4):212–9. </w:t>
      </w:r>
    </w:p>
    <w:p w14:paraId="24BBDE34" w14:textId="3A8D991E"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4</w:t>
      </w:r>
      <w:r w:rsidR="007868D9">
        <w:rPr>
          <w:rFonts w:ascii="Times New Roman" w:hAnsi="Times New Roman" w:cs="Times New Roman"/>
          <w:noProof/>
          <w:szCs w:val="24"/>
        </w:rPr>
        <w:t>2</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Lundkvist-Houndoumadi I, Hougaard E, Thastum M. Pre-treatment child and family characteristics as predictors of outcome in cognitive behavioural therapy for youth anxiety disorders. Nord J Psychiatry. 2014;68(8):524–35. </w:t>
      </w:r>
    </w:p>
    <w:p w14:paraId="564838E5" w14:textId="6537F228"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1C454D">
        <w:rPr>
          <w:rFonts w:ascii="Times New Roman" w:hAnsi="Times New Roman" w:cs="Times New Roman"/>
          <w:noProof/>
          <w:szCs w:val="24"/>
        </w:rPr>
        <w:t>4</w:t>
      </w:r>
      <w:r w:rsidR="007868D9" w:rsidRPr="001C454D">
        <w:rPr>
          <w:rFonts w:ascii="Times New Roman" w:hAnsi="Times New Roman" w:cs="Times New Roman"/>
          <w:noProof/>
          <w:szCs w:val="24"/>
        </w:rPr>
        <w:t>3</w:t>
      </w:r>
      <w:r w:rsidRPr="001C454D">
        <w:rPr>
          <w:rFonts w:ascii="Times New Roman" w:hAnsi="Times New Roman" w:cs="Times New Roman"/>
          <w:noProof/>
          <w:szCs w:val="24"/>
        </w:rPr>
        <w:t xml:space="preserve">. </w:t>
      </w:r>
      <w:r w:rsidRPr="001C454D">
        <w:rPr>
          <w:rFonts w:ascii="Times New Roman" w:hAnsi="Times New Roman" w:cs="Times New Roman"/>
          <w:noProof/>
          <w:szCs w:val="24"/>
        </w:rPr>
        <w:tab/>
        <w:t xml:space="preserve">Brent DA, Kolko DJ, Birmaher B, Baugher M, Bridge J, Roth C, et al. </w:t>
      </w:r>
      <w:r w:rsidRPr="00C95A25">
        <w:rPr>
          <w:rFonts w:ascii="Times New Roman" w:hAnsi="Times New Roman" w:cs="Times New Roman"/>
          <w:noProof/>
          <w:szCs w:val="24"/>
        </w:rPr>
        <w:t xml:space="preserve">Predictors of treatment efficacy in a clinical trial of three psychosocial treatments for adolescent depression. J Am Acad Child Adolesc Psychiatry. 1998;37(9):906–14. </w:t>
      </w:r>
    </w:p>
    <w:p w14:paraId="2BBB9863" w14:textId="2E51E12B"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4</w:t>
      </w:r>
      <w:r w:rsidR="007868D9">
        <w:rPr>
          <w:rFonts w:ascii="Times New Roman" w:hAnsi="Times New Roman" w:cs="Times New Roman"/>
          <w:noProof/>
          <w:szCs w:val="24"/>
        </w:rPr>
        <w:t>4</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Rapee RM, Lyneham HJ, Hudson JL, Kangas M, Wuthrich VM, Schniering CA. Effect of comorbidity on treatment of anxious children and adolescents: Results from a large, combined sample. J Am Acad Child Adolesc Psychiatry. 2013;52(1):47–56. </w:t>
      </w:r>
    </w:p>
    <w:p w14:paraId="56D1D6B8" w14:textId="1637F309"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4</w:t>
      </w:r>
      <w:r w:rsidR="007868D9">
        <w:rPr>
          <w:rFonts w:ascii="Times New Roman" w:hAnsi="Times New Roman" w:cs="Times New Roman"/>
          <w:noProof/>
          <w:szCs w:val="24"/>
        </w:rPr>
        <w:t>5</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Storch EA, Merlo LJ, Larson MJ, Geffken GR, Lehmkuhl HD, Jacob ML, et al. Impact of comorbidity on cognitive-behavioral therapy response in pediatric obsessive-compulsive disorder. J Am Acad Child Adolesc Psychiatry. 2008;47(5):583–92. </w:t>
      </w:r>
    </w:p>
    <w:p w14:paraId="4B2738FE" w14:textId="7B734D86"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4</w:t>
      </w:r>
      <w:r w:rsidR="007868D9">
        <w:rPr>
          <w:rFonts w:ascii="Times New Roman" w:hAnsi="Times New Roman" w:cs="Times New Roman"/>
          <w:noProof/>
          <w:szCs w:val="24"/>
        </w:rPr>
        <w:t>6</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Skriner LC, Chu BC, Kaplan M, Bodden DHM, Bögels SM, Kendall PC, et al. Trajectories and predictors of response in youth anxiety CBT: Integrative data analysis. J Consult Clin Psychol. 2019;87(2):198–211. </w:t>
      </w:r>
    </w:p>
    <w:p w14:paraId="3AC2548C" w14:textId="117202CC"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4</w:t>
      </w:r>
      <w:r w:rsidR="007868D9">
        <w:rPr>
          <w:rFonts w:ascii="Times New Roman" w:hAnsi="Times New Roman" w:cs="Times New Roman"/>
          <w:noProof/>
          <w:szCs w:val="24"/>
        </w:rPr>
        <w:t>7</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Hudson JL, Keers R, Roberts S, Coleman JRI, Breen G, Arendt K, et al. Clinical predictors of response to cognitive-behavioral therapy in pediatric anxiety disorders: The genes for treatment (GxT) study. J Am Acad Child Adolesc Psychiatry. 2015;54(6):454–63. </w:t>
      </w:r>
    </w:p>
    <w:p w14:paraId="4C324464" w14:textId="5DE1FBFD"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lastRenderedPageBreak/>
        <w:t>4</w:t>
      </w:r>
      <w:r w:rsidR="007868D9">
        <w:rPr>
          <w:rFonts w:ascii="Times New Roman" w:hAnsi="Times New Roman" w:cs="Times New Roman"/>
          <w:noProof/>
          <w:szCs w:val="24"/>
        </w:rPr>
        <w:t>8</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Jones M, Hopkins K, Kyrke-Smith R, Davies R, Vostanis P, Wolpert M. Current view tool: Completion guide. London, United Kingdom: CAMHS Press; 2013. </w:t>
      </w:r>
    </w:p>
    <w:p w14:paraId="3F769FBF" w14:textId="57AE1CE5" w:rsidR="00C95A25" w:rsidRPr="00C95A25" w:rsidRDefault="007868D9"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49</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World Health Organization. International Classification of Diseases for Mortality and Morbidity Statistics (11th Revision) [Internet]. 2018 [cited 2019 Oct 15]. Available from: </w:t>
      </w:r>
      <w:hyperlink r:id="rId22" w:history="1">
        <w:r w:rsidR="00706B13" w:rsidRPr="00BA418C">
          <w:rPr>
            <w:rStyle w:val="Hyperlink"/>
            <w:rFonts w:ascii="Times New Roman" w:hAnsi="Times New Roman" w:cs="Times New Roman"/>
            <w:noProof/>
            <w:szCs w:val="24"/>
          </w:rPr>
          <w:t>https://icd.who.int/browse11/l-m/en</w:t>
        </w:r>
      </w:hyperlink>
      <w:r w:rsidR="00706B13">
        <w:rPr>
          <w:rFonts w:ascii="Times New Roman" w:hAnsi="Times New Roman" w:cs="Times New Roman"/>
          <w:noProof/>
          <w:szCs w:val="24"/>
        </w:rPr>
        <w:t xml:space="preserve"> [18/06/2020].</w:t>
      </w:r>
    </w:p>
    <w:p w14:paraId="44DB400C" w14:textId="4D975FCC" w:rsidR="00C95A25" w:rsidRPr="00C95A25" w:rsidRDefault="00180363"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5</w:t>
      </w:r>
      <w:r w:rsidR="007868D9">
        <w:rPr>
          <w:rFonts w:ascii="Times New Roman" w:hAnsi="Times New Roman" w:cs="Times New Roman"/>
          <w:noProof/>
          <w:szCs w:val="24"/>
        </w:rPr>
        <w:t>0</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Bodden DHM, Bögels SM, Nauta MH, De Haan E, Ringrose J, Appelboom C, et al. Child versus family cognitive-behavioral therapy in clinically anxious youth: An efficacy and partial effectiveness study. J Am Acad Child Adolesc Psychiatry. 2008;47(12):1384–94. </w:t>
      </w:r>
    </w:p>
    <w:p w14:paraId="1D8D4BFC" w14:textId="4342F072" w:rsidR="006B6ABE" w:rsidRPr="00D31BCF" w:rsidRDefault="00C95A25" w:rsidP="00BF6ED5">
      <w:pPr>
        <w:ind w:left="450" w:hanging="450"/>
        <w:rPr>
          <w:rFonts w:ascii="Verdana" w:hAnsi="Verdana"/>
        </w:rPr>
      </w:pPr>
      <w:r w:rsidRPr="00C95A25">
        <w:rPr>
          <w:rFonts w:ascii="Times New Roman" w:hAnsi="Times New Roman" w:cs="Times New Roman"/>
          <w:noProof/>
          <w:szCs w:val="24"/>
        </w:rPr>
        <w:t>5</w:t>
      </w:r>
      <w:r w:rsidR="007868D9">
        <w:rPr>
          <w:rFonts w:ascii="Times New Roman" w:hAnsi="Times New Roman" w:cs="Times New Roman"/>
          <w:noProof/>
          <w:szCs w:val="24"/>
        </w:rPr>
        <w:t>1</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Aggelosopoulou A, Roussi-Vergou C, Zafeiropoulou M. “Anxioussaure”: A CBT psychoeducational programme for children’s anxiety. Programme development and pilot study.</w:t>
      </w:r>
      <w:r w:rsidR="00BF6ED5">
        <w:rPr>
          <w:rFonts w:ascii="Times New Roman" w:hAnsi="Times New Roman" w:cs="Times New Roman"/>
          <w:noProof/>
          <w:szCs w:val="24"/>
        </w:rPr>
        <w:t xml:space="preserve"> </w:t>
      </w:r>
      <w:r w:rsidR="006B6ABE">
        <w:t xml:space="preserve">Psychol. J. Hell. Psychol. Soc. </w:t>
      </w:r>
      <w:r w:rsidR="00BF6ED5">
        <w:t xml:space="preserve">2012; </w:t>
      </w:r>
      <w:r w:rsidR="006B6ABE">
        <w:t>19</w:t>
      </w:r>
      <w:r w:rsidR="00BF6ED5">
        <w:t>(3)</w:t>
      </w:r>
      <w:r w:rsidR="006B6ABE">
        <w:t>:245–262</w:t>
      </w:r>
    </w:p>
    <w:p w14:paraId="4ABAC0D6" w14:textId="7A0F2F5C"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5</w:t>
      </w:r>
      <w:r w:rsidR="007868D9">
        <w:rPr>
          <w:rFonts w:ascii="Times New Roman" w:hAnsi="Times New Roman" w:cs="Times New Roman"/>
          <w:noProof/>
          <w:szCs w:val="24"/>
        </w:rPr>
        <w:t>2</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Legerstee JS, Huizink AC, van Gastel W, Liber JM, Treffers PDA, Verhulst FC, et al. Maternal anxiety predicts favourable treatment outcomes in anxiety-disordered adolescents. Acta Psychiatr Scand. 2008;117(4):289–98. </w:t>
      </w:r>
    </w:p>
    <w:p w14:paraId="7984B312" w14:textId="3398D67B"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5</w:t>
      </w:r>
      <w:r w:rsidR="007868D9">
        <w:rPr>
          <w:rFonts w:ascii="Times New Roman" w:hAnsi="Times New Roman" w:cs="Times New Roman"/>
          <w:noProof/>
          <w:szCs w:val="24"/>
        </w:rPr>
        <w:t>3</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Nanni V, Uher R, Danese A. Childhood maltreatment predicts unfavorable course of illness and treatment outcome in depression: A meta-analysis. Am J Psychiatry. 2012;169(2):141–51. </w:t>
      </w:r>
    </w:p>
    <w:p w14:paraId="72D6B7DE" w14:textId="0969027B"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5</w:t>
      </w:r>
      <w:r w:rsidR="007868D9">
        <w:rPr>
          <w:rFonts w:ascii="Times New Roman" w:hAnsi="Times New Roman" w:cs="Times New Roman"/>
          <w:noProof/>
          <w:szCs w:val="24"/>
        </w:rPr>
        <w:t>4</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Batty MJ, Moldavsky M, Foroushani PS, Pass S, Marriott M, Sayal K, et al. Implementing routine outcome measures in child and adolescent mental health services: From present to future practice. Child Adolesc Ment Health. 2013;18(2):82–7. </w:t>
      </w:r>
    </w:p>
    <w:p w14:paraId="3258A314" w14:textId="1C90DB56"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5</w:t>
      </w:r>
      <w:r w:rsidR="007868D9">
        <w:rPr>
          <w:rFonts w:ascii="Times New Roman" w:hAnsi="Times New Roman" w:cs="Times New Roman"/>
          <w:noProof/>
          <w:szCs w:val="24"/>
        </w:rPr>
        <w:t>5</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Chevance A, Tran VT, Ravaud P. Improving the generalizability and credibility of core outcome sets (COSs) by a large and international participation of diverse stakeholders. J Clin Epidemiol. 2020 Jan;1–8. </w:t>
      </w:r>
    </w:p>
    <w:p w14:paraId="0D75119B" w14:textId="7C3B43FC"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5</w:t>
      </w:r>
      <w:r w:rsidR="007868D9">
        <w:rPr>
          <w:rFonts w:ascii="Times New Roman" w:hAnsi="Times New Roman" w:cs="Times New Roman"/>
          <w:noProof/>
          <w:szCs w:val="24"/>
        </w:rPr>
        <w:t>6</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Davis K, Gorst SL, Harman N, Smith V, Gargon E, Altman DG, et al. Choosing important health outcomes for comparative effectiveness research: An updated systematic review and involvement of low and middle income countries. PLoS One. 2018;13(2):1–14. </w:t>
      </w:r>
    </w:p>
    <w:p w14:paraId="5F312AE4" w14:textId="08AC2146"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5</w:t>
      </w:r>
      <w:r w:rsidR="007868D9">
        <w:rPr>
          <w:rFonts w:ascii="Times New Roman" w:hAnsi="Times New Roman" w:cs="Times New Roman"/>
          <w:noProof/>
          <w:szCs w:val="24"/>
        </w:rPr>
        <w:t>7</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Kieling C, Rohde LA. Child and Adolescent Mental Health Research Across the Globe. J Am Acad Child Adolesc Psychiatry. 2012;51(9):945–7. </w:t>
      </w:r>
    </w:p>
    <w:p w14:paraId="7C4766E2" w14:textId="4E851E52"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5</w:t>
      </w:r>
      <w:r w:rsidR="007868D9">
        <w:rPr>
          <w:rFonts w:ascii="Times New Roman" w:hAnsi="Times New Roman" w:cs="Times New Roman"/>
          <w:noProof/>
          <w:szCs w:val="24"/>
        </w:rPr>
        <w:t>8</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Trauer T. Outcome Measurement in Mental Health: Theory and Practice. Cambridge, England: Cambridge University Press; 2010. </w:t>
      </w:r>
    </w:p>
    <w:p w14:paraId="5A42E82E" w14:textId="7E2BD6C5" w:rsidR="00C95A25" w:rsidRPr="00C95A25" w:rsidRDefault="007868D9"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59</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Delespaul PAEG. Routine outcome measurement in the Netherlands-A focus on benchmarking. Int Rev </w:t>
      </w:r>
      <w:r w:rsidR="00C95A25" w:rsidRPr="00C95A25">
        <w:rPr>
          <w:rFonts w:ascii="Times New Roman" w:hAnsi="Times New Roman" w:cs="Times New Roman"/>
          <w:noProof/>
          <w:szCs w:val="24"/>
        </w:rPr>
        <w:lastRenderedPageBreak/>
        <w:t xml:space="preserve">Psychiatry. 2015;27(4):320–8. </w:t>
      </w:r>
    </w:p>
    <w:p w14:paraId="53D2251F" w14:textId="72DB36F4" w:rsidR="00C95A25" w:rsidRPr="00C95A25" w:rsidRDefault="00180363"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6</w:t>
      </w:r>
      <w:r w:rsidR="007868D9">
        <w:rPr>
          <w:rFonts w:ascii="Times New Roman" w:hAnsi="Times New Roman" w:cs="Times New Roman"/>
          <w:noProof/>
          <w:szCs w:val="24"/>
        </w:rPr>
        <w:t>0</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Department of Health and Ageing. Mental Health National Outcomes and Casemix Collection: Overview of Clinician-Rated and Consumer Self-Report Measures V1.50 [Internet]. Canberra; 2003. Available from: </w:t>
      </w:r>
      <w:hyperlink r:id="rId23" w:history="1">
        <w:r w:rsidR="00816BE8" w:rsidRPr="00BA418C">
          <w:rPr>
            <w:rStyle w:val="Hyperlink"/>
            <w:rFonts w:ascii="Times New Roman" w:hAnsi="Times New Roman" w:cs="Times New Roman"/>
            <w:noProof/>
            <w:szCs w:val="24"/>
          </w:rPr>
          <w:t>https://www.amhocn.org/sites/default/files/publication_files/mhnocc_overview_doha.pdf</w:t>
        </w:r>
      </w:hyperlink>
      <w:r w:rsidR="00816BE8">
        <w:rPr>
          <w:rFonts w:ascii="Times New Roman" w:hAnsi="Times New Roman" w:cs="Times New Roman"/>
          <w:noProof/>
          <w:szCs w:val="24"/>
        </w:rPr>
        <w:t xml:space="preserve"> [18/06/2020].</w:t>
      </w:r>
    </w:p>
    <w:p w14:paraId="3FE6EC21" w14:textId="5ED8245A"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6</w:t>
      </w:r>
      <w:r w:rsidR="007868D9">
        <w:rPr>
          <w:rFonts w:ascii="Times New Roman" w:hAnsi="Times New Roman" w:cs="Times New Roman"/>
          <w:noProof/>
          <w:szCs w:val="24"/>
        </w:rPr>
        <w:t>1</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National Quality Forum. Measure Applications Partnership, 201</w:t>
      </w:r>
      <w:r w:rsidR="00816BE8">
        <w:rPr>
          <w:rFonts w:ascii="Times New Roman" w:hAnsi="Times New Roman" w:cs="Times New Roman"/>
          <w:noProof/>
          <w:szCs w:val="24"/>
        </w:rPr>
        <w:t>9</w:t>
      </w:r>
      <w:r w:rsidRPr="00C95A25">
        <w:rPr>
          <w:rFonts w:ascii="Times New Roman" w:hAnsi="Times New Roman" w:cs="Times New Roman"/>
          <w:noProof/>
          <w:szCs w:val="24"/>
        </w:rPr>
        <w:t xml:space="preserve"> [Internet]. 201</w:t>
      </w:r>
      <w:r w:rsidR="00816BE8">
        <w:rPr>
          <w:rFonts w:ascii="Times New Roman" w:hAnsi="Times New Roman" w:cs="Times New Roman"/>
          <w:noProof/>
          <w:szCs w:val="24"/>
        </w:rPr>
        <w:t>9</w:t>
      </w:r>
      <w:r w:rsidRPr="00C95A25">
        <w:rPr>
          <w:rFonts w:ascii="Times New Roman" w:hAnsi="Times New Roman" w:cs="Times New Roman"/>
          <w:noProof/>
          <w:szCs w:val="24"/>
        </w:rPr>
        <w:t xml:space="preserve">. Available from: </w:t>
      </w:r>
      <w:hyperlink r:id="rId24" w:history="1">
        <w:r w:rsidR="00816BE8">
          <w:rPr>
            <w:rStyle w:val="Hyperlink"/>
          </w:rPr>
          <w:t>https://www.qualityforum.org/Setting_Priorities/Partnership/Measure_Applications_Partnership.aspx</w:t>
        </w:r>
      </w:hyperlink>
      <w:r w:rsidR="00816BE8">
        <w:t xml:space="preserve"> [22/06/2020].</w:t>
      </w:r>
    </w:p>
    <w:p w14:paraId="18FD8DF9" w14:textId="0B6A3372" w:rsidR="00C95A25" w:rsidRPr="004A1A12" w:rsidRDefault="00C95A25" w:rsidP="00C95A25">
      <w:pPr>
        <w:widowControl w:val="0"/>
        <w:autoSpaceDE w:val="0"/>
        <w:autoSpaceDN w:val="0"/>
        <w:adjustRightInd w:val="0"/>
        <w:ind w:left="640" w:hanging="640"/>
        <w:rPr>
          <w:rFonts w:ascii="Times New Roman" w:hAnsi="Times New Roman" w:cs="Times New Roman"/>
          <w:noProof/>
          <w:color w:val="FF0000"/>
          <w:szCs w:val="24"/>
        </w:rPr>
      </w:pPr>
      <w:r w:rsidRPr="00D53C69">
        <w:rPr>
          <w:rFonts w:ascii="Times New Roman" w:hAnsi="Times New Roman" w:cs="Times New Roman"/>
          <w:noProof/>
          <w:szCs w:val="24"/>
        </w:rPr>
        <w:t>6</w:t>
      </w:r>
      <w:r w:rsidR="007868D9" w:rsidRPr="00D53C69">
        <w:rPr>
          <w:rFonts w:ascii="Times New Roman" w:hAnsi="Times New Roman" w:cs="Times New Roman"/>
          <w:noProof/>
          <w:szCs w:val="24"/>
        </w:rPr>
        <w:t>2</w:t>
      </w:r>
      <w:r w:rsidRPr="00D53C69">
        <w:rPr>
          <w:rFonts w:ascii="Times New Roman" w:hAnsi="Times New Roman" w:cs="Times New Roman"/>
          <w:noProof/>
          <w:szCs w:val="24"/>
        </w:rPr>
        <w:t xml:space="preserve">. </w:t>
      </w:r>
      <w:r w:rsidRPr="00D53C69">
        <w:rPr>
          <w:rFonts w:ascii="Times New Roman" w:hAnsi="Times New Roman" w:cs="Times New Roman"/>
          <w:noProof/>
          <w:szCs w:val="24"/>
        </w:rPr>
        <w:tab/>
        <w:t xml:space="preserve">Monga S, Monsour A, Stallwood E, Desai R, Cleverley K, Courtney D, et al. Core Outcome Set Development for Adolescent Major Depressive Disorder Clinical Trials: A Registered Report. J Am Acad Child Adolesc Psychiatry. </w:t>
      </w:r>
      <w:r w:rsidR="007D1E0A" w:rsidRPr="00D53C69">
        <w:rPr>
          <w:rFonts w:ascii="Times New Roman" w:hAnsi="Times New Roman" w:cs="Times New Roman"/>
          <w:noProof/>
          <w:szCs w:val="24"/>
        </w:rPr>
        <w:t>Forthcoming 2020</w:t>
      </w:r>
      <w:r w:rsidR="001E4DF2" w:rsidRPr="00D53C69">
        <w:rPr>
          <w:rFonts w:ascii="Times New Roman" w:hAnsi="Times New Roman" w:cs="Times New Roman"/>
          <w:noProof/>
          <w:szCs w:val="24"/>
        </w:rPr>
        <w:t>.</w:t>
      </w:r>
      <w:r w:rsidRPr="00C95A25">
        <w:rPr>
          <w:rFonts w:ascii="Times New Roman" w:hAnsi="Times New Roman" w:cs="Times New Roman"/>
          <w:noProof/>
          <w:szCs w:val="24"/>
        </w:rPr>
        <w:t xml:space="preserve"> </w:t>
      </w:r>
    </w:p>
    <w:p w14:paraId="523C5715" w14:textId="044448B3"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6</w:t>
      </w:r>
      <w:r w:rsidR="007868D9">
        <w:rPr>
          <w:rFonts w:ascii="Times New Roman" w:hAnsi="Times New Roman" w:cs="Times New Roman"/>
          <w:noProof/>
          <w:szCs w:val="24"/>
        </w:rPr>
        <w:t>3</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UNICEF. Measurement of Mental Health Among Adolescents at the Population Level (MMAP): An Overview [Internet]. 2019</w:t>
      </w:r>
      <w:r w:rsidR="007D1E0A">
        <w:rPr>
          <w:rFonts w:ascii="Times New Roman" w:hAnsi="Times New Roman" w:cs="Times New Roman"/>
          <w:noProof/>
          <w:szCs w:val="24"/>
        </w:rPr>
        <w:t xml:space="preserve">. </w:t>
      </w:r>
      <w:r w:rsidRPr="00C95A25">
        <w:rPr>
          <w:rFonts w:ascii="Times New Roman" w:hAnsi="Times New Roman" w:cs="Times New Roman"/>
          <w:noProof/>
          <w:szCs w:val="24"/>
        </w:rPr>
        <w:t xml:space="preserve">Available from: </w:t>
      </w:r>
      <w:hyperlink r:id="rId25" w:history="1">
        <w:r w:rsidR="007D1E0A" w:rsidRPr="00BA418C">
          <w:rPr>
            <w:rStyle w:val="Hyperlink"/>
            <w:rFonts w:ascii="Times New Roman" w:hAnsi="Times New Roman" w:cs="Times New Roman"/>
            <w:noProof/>
            <w:szCs w:val="24"/>
          </w:rPr>
          <w:t>https://data.unicef.org/wp-content/uploads/2018/02/Mental-health-measurement_MMAP_overview_UNICEF.pdf</w:t>
        </w:r>
      </w:hyperlink>
      <w:r w:rsidR="007D1E0A">
        <w:rPr>
          <w:rFonts w:ascii="Times New Roman" w:hAnsi="Times New Roman" w:cs="Times New Roman"/>
          <w:noProof/>
          <w:szCs w:val="24"/>
        </w:rPr>
        <w:t xml:space="preserve"> [06/12/2019].</w:t>
      </w:r>
    </w:p>
    <w:p w14:paraId="6FE5A15C" w14:textId="4AA5BBEA"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6</w:t>
      </w:r>
      <w:r w:rsidR="007868D9">
        <w:rPr>
          <w:rFonts w:ascii="Times New Roman" w:hAnsi="Times New Roman" w:cs="Times New Roman"/>
          <w:noProof/>
          <w:szCs w:val="24"/>
        </w:rPr>
        <w:t>4</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Myers K, Winters NC. Ten-Year Review of Rating Scales. II: Scales for Internalizing Disorders. J Am Acad Child Adolesc Psychiatry. 2002;41(6):634–59. </w:t>
      </w:r>
    </w:p>
    <w:p w14:paraId="576C335E" w14:textId="5326E563"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6</w:t>
      </w:r>
      <w:r w:rsidR="007868D9">
        <w:rPr>
          <w:rFonts w:ascii="Times New Roman" w:hAnsi="Times New Roman" w:cs="Times New Roman"/>
          <w:noProof/>
          <w:szCs w:val="24"/>
        </w:rPr>
        <w:t>5</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Winters NC, Collett BR, Myers KM. Ten-year review of rating scales, VII: Scales assessing functional impairment. J Am Acad Child Adolesc Psychiatry</w:t>
      </w:r>
      <w:r w:rsidR="007D1E0A">
        <w:rPr>
          <w:rFonts w:ascii="Times New Roman" w:hAnsi="Times New Roman" w:cs="Times New Roman"/>
          <w:noProof/>
          <w:szCs w:val="24"/>
        </w:rPr>
        <w:t xml:space="preserve">. </w:t>
      </w:r>
      <w:r w:rsidRPr="00C95A25">
        <w:rPr>
          <w:rFonts w:ascii="Times New Roman" w:hAnsi="Times New Roman" w:cs="Times New Roman"/>
          <w:noProof/>
          <w:szCs w:val="24"/>
        </w:rPr>
        <w:t>2005;44(4):309–38.</w:t>
      </w:r>
    </w:p>
    <w:p w14:paraId="6CFB7B2E" w14:textId="163AD797"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6</w:t>
      </w:r>
      <w:r w:rsidR="007868D9">
        <w:rPr>
          <w:rFonts w:ascii="Times New Roman" w:hAnsi="Times New Roman" w:cs="Times New Roman"/>
          <w:noProof/>
          <w:szCs w:val="24"/>
        </w:rPr>
        <w:t>6</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Becker-Haimes EM, Tabachnick AR, Last BS, Stewart RE, Hasan-Granier A, Beidas RS. Evidence Base Update for Brief, Free, and Accessible Youth Mental Health Measures. J Clin Child Adolesc Psychol</w:t>
      </w:r>
      <w:r w:rsidR="007D1E0A">
        <w:rPr>
          <w:rFonts w:ascii="Times New Roman" w:hAnsi="Times New Roman" w:cs="Times New Roman"/>
          <w:noProof/>
          <w:szCs w:val="24"/>
        </w:rPr>
        <w:t>.</w:t>
      </w:r>
      <w:r w:rsidRPr="00C95A25">
        <w:rPr>
          <w:rFonts w:ascii="Times New Roman" w:hAnsi="Times New Roman" w:cs="Times New Roman"/>
          <w:noProof/>
          <w:szCs w:val="24"/>
        </w:rPr>
        <w:t xml:space="preserve"> 2020;49(1):1–17.</w:t>
      </w:r>
    </w:p>
    <w:p w14:paraId="06B19258" w14:textId="6A6D806A"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6</w:t>
      </w:r>
      <w:r w:rsidR="007868D9">
        <w:rPr>
          <w:rFonts w:ascii="Times New Roman" w:hAnsi="Times New Roman" w:cs="Times New Roman"/>
          <w:noProof/>
          <w:szCs w:val="24"/>
        </w:rPr>
        <w:t>7</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Beidas RS, Stewart RE, Walsh L, Lucas S, Downey MM, Jackson K, et al. Free, brief, and validated: Standardized instruments for low-resource mental health settings. Cogn Behav Pract. 2015;22(1):5–19. </w:t>
      </w:r>
    </w:p>
    <w:p w14:paraId="6547EC8B" w14:textId="05E44411"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6</w:t>
      </w:r>
      <w:r w:rsidR="007868D9">
        <w:rPr>
          <w:rFonts w:ascii="Times New Roman" w:hAnsi="Times New Roman" w:cs="Times New Roman"/>
          <w:noProof/>
          <w:szCs w:val="24"/>
        </w:rPr>
        <w:t>8</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Mash EJ, Hunsley J. Evidence-based assessment of child and adolescent disorders: Issues and challenges. J Clin Child Adolesc Psychol. 2005;34(3):362–79. </w:t>
      </w:r>
    </w:p>
    <w:p w14:paraId="134A81A4" w14:textId="18513E7E" w:rsidR="00C95A25" w:rsidRPr="00C95A25" w:rsidRDefault="007868D9"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69</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Reeve BB, Thissen D, DeWalt DA, Huang I-C, Liu Y, Magnus B, et al. Linkage between the PROMIS® pediatric and adult emotional distress measures. Qual Life Res. 2016;25(4):823–33. </w:t>
      </w:r>
    </w:p>
    <w:p w14:paraId="2C5C2EB2" w14:textId="7FD73638" w:rsidR="00C95A25" w:rsidRPr="00C95A25" w:rsidRDefault="00180363"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rPr>
        <w:t>7</w:t>
      </w:r>
      <w:r w:rsidR="007868D9">
        <w:rPr>
          <w:rFonts w:ascii="Times New Roman" w:hAnsi="Times New Roman" w:cs="Times New Roman"/>
          <w:noProof/>
          <w:szCs w:val="24"/>
        </w:rPr>
        <w:t>0</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Sales CMD. Seeing the person in the patient: Making the case for individualized PROMs in mental health care. Curr Psychiatry Rev</w:t>
      </w:r>
      <w:r w:rsidR="0090367E">
        <w:rPr>
          <w:rFonts w:ascii="Times New Roman" w:hAnsi="Times New Roman" w:cs="Times New Roman"/>
          <w:noProof/>
          <w:szCs w:val="24"/>
        </w:rPr>
        <w:t xml:space="preserve">. </w:t>
      </w:r>
      <w:r w:rsidR="00C95A25" w:rsidRPr="00C95A25">
        <w:rPr>
          <w:rFonts w:ascii="Times New Roman" w:hAnsi="Times New Roman" w:cs="Times New Roman"/>
          <w:noProof/>
          <w:szCs w:val="24"/>
        </w:rPr>
        <w:t>2017;13(3):184–7.</w:t>
      </w:r>
    </w:p>
    <w:p w14:paraId="67782C64" w14:textId="7E48095C"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lastRenderedPageBreak/>
        <w:t>7</w:t>
      </w:r>
      <w:r w:rsidR="007868D9">
        <w:rPr>
          <w:rFonts w:ascii="Times New Roman" w:hAnsi="Times New Roman" w:cs="Times New Roman"/>
          <w:noProof/>
          <w:szCs w:val="24"/>
        </w:rPr>
        <w:t>1</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Klaufus L, Verlinden E, Van Der Wal M, Kösters M, Cuijpers P, Chinapaw M. Psychometric evaluation of two short versions of the Revised Child Anxiety and Depression Scale. BMC Psychiatry. 2020;20(1):1–12. </w:t>
      </w:r>
    </w:p>
    <w:p w14:paraId="084BEE58" w14:textId="2C9C1AEA"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7</w:t>
      </w:r>
      <w:r w:rsidR="007868D9">
        <w:rPr>
          <w:rFonts w:ascii="Times New Roman" w:hAnsi="Times New Roman" w:cs="Times New Roman"/>
          <w:noProof/>
          <w:szCs w:val="24"/>
        </w:rPr>
        <w:t>2</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L. Milfont T, Fischer R. Testing measurement invariance across groups: applications in cross-cultural research. Int J Psychol Res. 2010;3(1):111–30. </w:t>
      </w:r>
    </w:p>
    <w:p w14:paraId="64035CAA" w14:textId="7BC14CA9"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7</w:t>
      </w:r>
      <w:r w:rsidR="007868D9">
        <w:rPr>
          <w:rFonts w:ascii="Times New Roman" w:hAnsi="Times New Roman" w:cs="Times New Roman"/>
          <w:noProof/>
          <w:szCs w:val="24"/>
        </w:rPr>
        <w:t>3</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Bagheri Z, Akbari M, Jafari P, Huedo-medina TB. Assessing the measurement invariance of the RCADS-25 questionnaire across gender and child–parent dyads in the presence of multilevel data. Qual Life Res. 2019;28(3):829–40. </w:t>
      </w:r>
    </w:p>
    <w:p w14:paraId="7006D686" w14:textId="41A6DE70" w:rsidR="00C95A25" w:rsidRPr="003D3EB3" w:rsidRDefault="00C95A25" w:rsidP="00C95A25">
      <w:pPr>
        <w:widowControl w:val="0"/>
        <w:autoSpaceDE w:val="0"/>
        <w:autoSpaceDN w:val="0"/>
        <w:adjustRightInd w:val="0"/>
        <w:ind w:left="640" w:hanging="640"/>
        <w:rPr>
          <w:rFonts w:ascii="Times New Roman" w:hAnsi="Times New Roman" w:cs="Times New Roman"/>
          <w:noProof/>
          <w:szCs w:val="24"/>
          <w:lang w:val="pt-BR"/>
        </w:rPr>
      </w:pPr>
      <w:r w:rsidRPr="00C95A25">
        <w:rPr>
          <w:rFonts w:ascii="Times New Roman" w:hAnsi="Times New Roman" w:cs="Times New Roman"/>
          <w:noProof/>
          <w:szCs w:val="24"/>
        </w:rPr>
        <w:t>7</w:t>
      </w:r>
      <w:r w:rsidR="007868D9">
        <w:rPr>
          <w:rFonts w:ascii="Times New Roman" w:hAnsi="Times New Roman" w:cs="Times New Roman"/>
          <w:noProof/>
          <w:szCs w:val="24"/>
        </w:rPr>
        <w:t>4</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Rodríguez-Jiménez T, Piqueras JA, Lázaro L, Moreno E, Ortiz AG, Godoy A. Metric invariance, reliability, and validity of the Child Version of the Obsessive Compulsive Inventory (OCI-CV) in community and clinical samples. </w:t>
      </w:r>
      <w:r w:rsidRPr="003D3EB3">
        <w:rPr>
          <w:rFonts w:ascii="Times New Roman" w:hAnsi="Times New Roman" w:cs="Times New Roman"/>
          <w:noProof/>
          <w:szCs w:val="24"/>
          <w:lang w:val="pt-BR"/>
        </w:rPr>
        <w:t xml:space="preserve">J Obsessive Compuls Relat Disord. 2016;9:1–8. </w:t>
      </w:r>
    </w:p>
    <w:p w14:paraId="5160BAAE" w14:textId="39B05005"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3D3EB3">
        <w:rPr>
          <w:rFonts w:ascii="Times New Roman" w:hAnsi="Times New Roman" w:cs="Times New Roman"/>
          <w:noProof/>
          <w:szCs w:val="24"/>
          <w:lang w:val="pt-BR"/>
        </w:rPr>
        <w:t>7</w:t>
      </w:r>
      <w:r w:rsidR="007868D9">
        <w:rPr>
          <w:rFonts w:ascii="Times New Roman" w:hAnsi="Times New Roman" w:cs="Times New Roman"/>
          <w:noProof/>
          <w:szCs w:val="24"/>
          <w:lang w:val="pt-BR"/>
        </w:rPr>
        <w:t>5</w:t>
      </w:r>
      <w:r w:rsidRPr="003D3EB3">
        <w:rPr>
          <w:rFonts w:ascii="Times New Roman" w:hAnsi="Times New Roman" w:cs="Times New Roman"/>
          <w:noProof/>
          <w:szCs w:val="24"/>
          <w:lang w:val="pt-BR"/>
        </w:rPr>
        <w:t xml:space="preserve">. </w:t>
      </w:r>
      <w:r w:rsidRPr="003D3EB3">
        <w:rPr>
          <w:rFonts w:ascii="Times New Roman" w:hAnsi="Times New Roman" w:cs="Times New Roman"/>
          <w:noProof/>
          <w:szCs w:val="24"/>
          <w:lang w:val="pt-BR"/>
        </w:rPr>
        <w:tab/>
        <w:t xml:space="preserve">Rosa-Alcázar AI, Ruiz-García B, Iniesta-Sepúlveda M, López-Pina JA, Rosa-Alcázar Á, Parada-Navas JL. </w:t>
      </w:r>
      <w:r w:rsidRPr="00C95A25">
        <w:rPr>
          <w:rFonts w:ascii="Times New Roman" w:hAnsi="Times New Roman" w:cs="Times New Roman"/>
          <w:noProof/>
          <w:szCs w:val="24"/>
        </w:rPr>
        <w:t xml:space="preserve">Obsessive Compulsive Inventory-Child Version (OCI-CV) in a Spanish community sample of children and adolescents. Psicothema. 2014;26(2):174–9. </w:t>
      </w:r>
    </w:p>
    <w:p w14:paraId="06E6838D" w14:textId="3BFAA7C8"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7</w:t>
      </w:r>
      <w:r w:rsidR="007868D9">
        <w:rPr>
          <w:rFonts w:ascii="Times New Roman" w:hAnsi="Times New Roman" w:cs="Times New Roman"/>
          <w:noProof/>
          <w:szCs w:val="24"/>
        </w:rPr>
        <w:t>6</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Martínez-González AE, Rodríguez-Jiménez T, Piqueras JA, Vera-Villarroel P, Godoy A. Psychometric properties of the obsessive-compulsive Inventory-Child Version (OCI-CV) in Chilean children and adolescents. PLoS One. 2015;10(8):1–12. </w:t>
      </w:r>
    </w:p>
    <w:p w14:paraId="54515FA2" w14:textId="1A0386F0"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7</w:t>
      </w:r>
      <w:r w:rsidR="007868D9">
        <w:rPr>
          <w:rFonts w:ascii="Times New Roman" w:hAnsi="Times New Roman" w:cs="Times New Roman"/>
          <w:noProof/>
          <w:szCs w:val="24"/>
        </w:rPr>
        <w:t>7</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Jones AM, De Nadai AS, Arnold EB, McGuire JF, Lewin AB, Murphy TK, et al. Psychometric properties of the obsessive compulsive inventory: Child version in children and adolescents with obsessive-compulsive disorder. Child Psychiatry Hum Dev. 2013;44(1):137–51. </w:t>
      </w:r>
    </w:p>
    <w:p w14:paraId="50CEB885" w14:textId="145C7284"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7</w:t>
      </w:r>
      <w:r w:rsidR="007868D9">
        <w:rPr>
          <w:rFonts w:ascii="Times New Roman" w:hAnsi="Times New Roman" w:cs="Times New Roman"/>
          <w:noProof/>
          <w:szCs w:val="24"/>
        </w:rPr>
        <w:t>8</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Opakunle T, Aloba O, Akinsulore A. Obsessive compulsive inventory – child version (OCI-CV): Confirmatory factor analysis, reliability, validity and correlates among nigerian adolescents. Malawi Med J. 2018;30(4):262–9. </w:t>
      </w:r>
    </w:p>
    <w:p w14:paraId="2589AB06" w14:textId="158660A2" w:rsidR="00C95A25" w:rsidRPr="003D3EB3" w:rsidRDefault="007868D9" w:rsidP="00C95A25">
      <w:pPr>
        <w:widowControl w:val="0"/>
        <w:autoSpaceDE w:val="0"/>
        <w:autoSpaceDN w:val="0"/>
        <w:adjustRightInd w:val="0"/>
        <w:ind w:left="640" w:hanging="640"/>
        <w:rPr>
          <w:rFonts w:ascii="Times New Roman" w:hAnsi="Times New Roman" w:cs="Times New Roman"/>
          <w:noProof/>
          <w:szCs w:val="24"/>
          <w:lang w:val="pt-BR"/>
        </w:rPr>
      </w:pPr>
      <w:r>
        <w:rPr>
          <w:rFonts w:ascii="Times New Roman" w:hAnsi="Times New Roman" w:cs="Times New Roman"/>
          <w:noProof/>
          <w:szCs w:val="24"/>
        </w:rPr>
        <w:t>79</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Verlinden E, van Meijel EPM, Opmeer BC, Beer R, de Roos C, Bicanic IAE, et al. Characteristics of the children’s revised impact of event scale in a clinically referred dutch sample. </w:t>
      </w:r>
      <w:r w:rsidR="00C95A25" w:rsidRPr="001C454D">
        <w:rPr>
          <w:rFonts w:ascii="Times New Roman" w:hAnsi="Times New Roman" w:cs="Times New Roman"/>
          <w:noProof/>
          <w:szCs w:val="24"/>
          <w:lang w:val="pt-BR"/>
        </w:rPr>
        <w:t xml:space="preserve">J Trauma Stress. </w:t>
      </w:r>
      <w:r w:rsidR="00C95A25" w:rsidRPr="003D3EB3">
        <w:rPr>
          <w:rFonts w:ascii="Times New Roman" w:hAnsi="Times New Roman" w:cs="Times New Roman"/>
          <w:noProof/>
          <w:szCs w:val="24"/>
          <w:lang w:val="pt-BR"/>
        </w:rPr>
        <w:t xml:space="preserve">2014;27(3):338–44. </w:t>
      </w:r>
    </w:p>
    <w:p w14:paraId="2D72BD74" w14:textId="5F35DCE0" w:rsidR="00C95A25" w:rsidRPr="00C95A25" w:rsidRDefault="007868D9"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lang w:val="pt-BR"/>
        </w:rPr>
        <w:t>80</w:t>
      </w:r>
      <w:r w:rsidR="00C95A25" w:rsidRPr="003D3EB3">
        <w:rPr>
          <w:rFonts w:ascii="Times New Roman" w:hAnsi="Times New Roman" w:cs="Times New Roman"/>
          <w:noProof/>
          <w:szCs w:val="24"/>
          <w:lang w:val="pt-BR"/>
        </w:rPr>
        <w:t xml:space="preserve">. </w:t>
      </w:r>
      <w:r w:rsidR="00C95A25" w:rsidRPr="003D3EB3">
        <w:rPr>
          <w:rFonts w:ascii="Times New Roman" w:hAnsi="Times New Roman" w:cs="Times New Roman"/>
          <w:noProof/>
          <w:szCs w:val="24"/>
          <w:lang w:val="pt-BR"/>
        </w:rPr>
        <w:tab/>
        <w:t xml:space="preserve">Magalhães S de S, Miranda DK, de Paula JJ, de Miranda DM, Romano-Silva MA, Malloy-Diniz LF. </w:t>
      </w:r>
      <w:r w:rsidR="00C95A25" w:rsidRPr="00C95A25">
        <w:rPr>
          <w:rFonts w:ascii="Times New Roman" w:hAnsi="Times New Roman" w:cs="Times New Roman"/>
          <w:noProof/>
          <w:szCs w:val="24"/>
        </w:rPr>
        <w:t xml:space="preserve">Psychometric properties of a Brazilian portuguese version of the children’s revised impact of event scale (CRIES-8). Rev Psiquiatr Clin. 2018;45(2):27–32. </w:t>
      </w:r>
    </w:p>
    <w:p w14:paraId="25DACE6E" w14:textId="306755CB"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8</w:t>
      </w:r>
      <w:r w:rsidR="007868D9">
        <w:rPr>
          <w:rFonts w:ascii="Times New Roman" w:hAnsi="Times New Roman" w:cs="Times New Roman"/>
          <w:noProof/>
          <w:szCs w:val="24"/>
        </w:rPr>
        <w:t>1</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Salari R, Malekian C, Linck L, Kristiansson R, Sarkadi A. Screening for PTSD symptoms in unaccompanied </w:t>
      </w:r>
      <w:r w:rsidRPr="00C95A25">
        <w:rPr>
          <w:rFonts w:ascii="Times New Roman" w:hAnsi="Times New Roman" w:cs="Times New Roman"/>
          <w:noProof/>
          <w:szCs w:val="24"/>
        </w:rPr>
        <w:lastRenderedPageBreak/>
        <w:t xml:space="preserve">refugee minors: A test of the CRIES-8 questionnaire in routine care. Scand J Public Health. 2017;45(6):605–11. </w:t>
      </w:r>
    </w:p>
    <w:p w14:paraId="562E09C8" w14:textId="07530D1D"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8</w:t>
      </w:r>
      <w:r w:rsidR="007868D9">
        <w:rPr>
          <w:rFonts w:ascii="Times New Roman" w:hAnsi="Times New Roman" w:cs="Times New Roman"/>
          <w:noProof/>
          <w:szCs w:val="24"/>
        </w:rPr>
        <w:t>2</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Gigengack MR, Hein IM, Lindeboom R, Lindauer RJL. Increasing Resource Parents’ Sensitivity towards Child Posttraumatic Stress Symptoms: a Descriptive Study on a Trauma-Informed Resource Parent Training. J Child Adolesc Trauma. 2019;12(1):23–9. </w:t>
      </w:r>
    </w:p>
    <w:p w14:paraId="3F3A23DC" w14:textId="182AC623"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8</w:t>
      </w:r>
      <w:r w:rsidR="007868D9">
        <w:rPr>
          <w:rFonts w:ascii="Times New Roman" w:hAnsi="Times New Roman" w:cs="Times New Roman"/>
          <w:noProof/>
          <w:szCs w:val="24"/>
        </w:rPr>
        <w:t>3</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Kilincaslan A, Gunes A, Eskin M, Madan A. Linguistic adaptation and psychometric properties of the Columbia-Suicide Severity Rating Scale among a heterogeneous sample of adolescents in Turkey. Int J Psychiatry Med. 2019;54(2):115–32. </w:t>
      </w:r>
    </w:p>
    <w:p w14:paraId="347E7F79" w14:textId="3BFFF3D3"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8</w:t>
      </w:r>
      <w:r w:rsidR="007868D9">
        <w:rPr>
          <w:rFonts w:ascii="Times New Roman" w:hAnsi="Times New Roman" w:cs="Times New Roman"/>
          <w:noProof/>
          <w:szCs w:val="24"/>
        </w:rPr>
        <w:t>4</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Nik-Azin A, Shairi MR, Naeinian MR, Sadeghpour A. The health-related quality of life index kidscreen-10: Confirmatory factor analysis, convergent validity and reliability in a sample of Iranian students. Child Indic Res. 2014;7(2):407–20. </w:t>
      </w:r>
    </w:p>
    <w:p w14:paraId="73ED028C" w14:textId="6539A796"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8</w:t>
      </w:r>
      <w:r w:rsidR="007868D9">
        <w:rPr>
          <w:rFonts w:ascii="Times New Roman" w:hAnsi="Times New Roman" w:cs="Times New Roman"/>
          <w:noProof/>
          <w:szCs w:val="24"/>
        </w:rPr>
        <w:t>5</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Stevanovic D, Tadic I, Novakovic T, Kisic-Tepavcevic D, Ravens-Sieberer U. Evaluating the Serbian version of the KIDSCREEN quality-of-life questionnaires: Reliability, validity, and agreement between children’s and parents’ ratings. Qual Life Res. 2013;22(7):1729–37. </w:t>
      </w:r>
    </w:p>
    <w:p w14:paraId="66879A89" w14:textId="6FDF1FB3"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8</w:t>
      </w:r>
      <w:r w:rsidR="007868D9">
        <w:rPr>
          <w:rFonts w:ascii="Times New Roman" w:hAnsi="Times New Roman" w:cs="Times New Roman"/>
          <w:noProof/>
          <w:szCs w:val="24"/>
        </w:rPr>
        <w:t>6</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Weissman MM, Warner V, Fendrich M. Applying Impairment Criteria to Children’s Psychiatric Diagnosis. J Am Acad Child Adolesc Psychiatry. 1990;29(5):789–95. </w:t>
      </w:r>
    </w:p>
    <w:p w14:paraId="7B406656" w14:textId="5DCFF9AE"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8</w:t>
      </w:r>
      <w:r w:rsidR="007868D9">
        <w:rPr>
          <w:rFonts w:ascii="Times New Roman" w:hAnsi="Times New Roman" w:cs="Times New Roman"/>
          <w:noProof/>
          <w:szCs w:val="24"/>
        </w:rPr>
        <w:t>7</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Bird HR. Further Measures of the Psychometric Properties of the Children’s Global Assessment Scale. Arch Gen Psychiatry. 1987;44(9):821. </w:t>
      </w:r>
    </w:p>
    <w:p w14:paraId="70A2F902" w14:textId="0EAA7888" w:rsidR="00C95A25" w:rsidRPr="00C95A25" w:rsidRDefault="00C95A25" w:rsidP="00C95A25">
      <w:pPr>
        <w:widowControl w:val="0"/>
        <w:autoSpaceDE w:val="0"/>
        <w:autoSpaceDN w:val="0"/>
        <w:adjustRightInd w:val="0"/>
        <w:ind w:left="640" w:hanging="640"/>
        <w:rPr>
          <w:rFonts w:ascii="Times New Roman" w:hAnsi="Times New Roman" w:cs="Times New Roman"/>
          <w:noProof/>
          <w:szCs w:val="24"/>
        </w:rPr>
      </w:pPr>
      <w:r w:rsidRPr="00C95A25">
        <w:rPr>
          <w:rFonts w:ascii="Times New Roman" w:hAnsi="Times New Roman" w:cs="Times New Roman"/>
          <w:noProof/>
          <w:szCs w:val="24"/>
        </w:rPr>
        <w:t>8</w:t>
      </w:r>
      <w:r w:rsidR="007868D9">
        <w:rPr>
          <w:rFonts w:ascii="Times New Roman" w:hAnsi="Times New Roman" w:cs="Times New Roman"/>
          <w:noProof/>
          <w:szCs w:val="24"/>
        </w:rPr>
        <w:t>8</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Dyrborg J, Warborg Larsen F, Nielsen S, Byman J, Buhl Nielsen B, Gautrè-Delay F. The Children’s Global Assessment Scale (CGAS) and Global Assessment of Psychosocial Disability (GAPD) in clinical practice - Substance and reliability as judged by intraclass correlations. Eur Child Adolesc Psychiatry. 2000;9(3):195–201. </w:t>
      </w:r>
    </w:p>
    <w:p w14:paraId="3737C706" w14:textId="47363948" w:rsidR="00C95A25" w:rsidRPr="003D3EB3" w:rsidRDefault="007868D9" w:rsidP="00C95A25">
      <w:pPr>
        <w:widowControl w:val="0"/>
        <w:autoSpaceDE w:val="0"/>
        <w:autoSpaceDN w:val="0"/>
        <w:adjustRightInd w:val="0"/>
        <w:ind w:left="640" w:hanging="640"/>
        <w:rPr>
          <w:rFonts w:ascii="Times New Roman" w:hAnsi="Times New Roman" w:cs="Times New Roman"/>
          <w:noProof/>
          <w:szCs w:val="24"/>
          <w:lang w:val="pt-BR"/>
        </w:rPr>
      </w:pPr>
      <w:r>
        <w:rPr>
          <w:rFonts w:ascii="Times New Roman" w:hAnsi="Times New Roman" w:cs="Times New Roman"/>
          <w:noProof/>
          <w:szCs w:val="24"/>
        </w:rPr>
        <w:t>89</w:t>
      </w:r>
      <w:r w:rsidR="00C95A25" w:rsidRPr="00C95A25">
        <w:rPr>
          <w:rFonts w:ascii="Times New Roman" w:hAnsi="Times New Roman" w:cs="Times New Roman"/>
          <w:noProof/>
          <w:szCs w:val="24"/>
        </w:rPr>
        <w:t xml:space="preserve">. </w:t>
      </w:r>
      <w:r w:rsidR="00C95A25" w:rsidRPr="00C95A25">
        <w:rPr>
          <w:rFonts w:ascii="Times New Roman" w:hAnsi="Times New Roman" w:cs="Times New Roman"/>
          <w:noProof/>
          <w:szCs w:val="24"/>
        </w:rPr>
        <w:tab/>
        <w:t xml:space="preserve">Sourander A, Helenius H, Piha J. Child psychiatric short-term inpatient treatment: CGAS as follow-up measure. </w:t>
      </w:r>
      <w:r w:rsidR="00C95A25" w:rsidRPr="003D3EB3">
        <w:rPr>
          <w:rFonts w:ascii="Times New Roman" w:hAnsi="Times New Roman" w:cs="Times New Roman"/>
          <w:noProof/>
          <w:szCs w:val="24"/>
          <w:lang w:val="pt-BR"/>
        </w:rPr>
        <w:t xml:space="preserve">Child Psychiatry Hum Dev. 1996;27(2):93–104. </w:t>
      </w:r>
    </w:p>
    <w:p w14:paraId="71DB1069" w14:textId="06404AB0" w:rsidR="00C95A25" w:rsidRPr="00C95A25" w:rsidRDefault="00180363" w:rsidP="00C95A25">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noProof/>
          <w:szCs w:val="24"/>
          <w:lang w:val="pt-BR"/>
        </w:rPr>
        <w:t>9</w:t>
      </w:r>
      <w:r w:rsidR="007868D9">
        <w:rPr>
          <w:rFonts w:ascii="Times New Roman" w:hAnsi="Times New Roman" w:cs="Times New Roman"/>
          <w:noProof/>
          <w:szCs w:val="24"/>
          <w:lang w:val="pt-BR"/>
        </w:rPr>
        <w:t>0</w:t>
      </w:r>
      <w:r w:rsidR="00C95A25" w:rsidRPr="003D3EB3">
        <w:rPr>
          <w:rFonts w:ascii="Times New Roman" w:hAnsi="Times New Roman" w:cs="Times New Roman"/>
          <w:noProof/>
          <w:szCs w:val="24"/>
          <w:lang w:val="pt-BR"/>
        </w:rPr>
        <w:t xml:space="preserve">. </w:t>
      </w:r>
      <w:r w:rsidR="00C95A25" w:rsidRPr="003D3EB3">
        <w:rPr>
          <w:rFonts w:ascii="Times New Roman" w:hAnsi="Times New Roman" w:cs="Times New Roman"/>
          <w:noProof/>
          <w:szCs w:val="24"/>
          <w:lang w:val="pt-BR"/>
        </w:rPr>
        <w:tab/>
        <w:t xml:space="preserve">Orgilés M, Fernández-Martínez I, Morales A, Melero S, Espada JP. </w:t>
      </w:r>
      <w:r w:rsidR="00C95A25" w:rsidRPr="00C95A25">
        <w:rPr>
          <w:rFonts w:ascii="Times New Roman" w:hAnsi="Times New Roman" w:cs="Times New Roman"/>
          <w:noProof/>
          <w:szCs w:val="24"/>
        </w:rPr>
        <w:t xml:space="preserve">Spanish Validation of the Child Anxiety Life Interference Scale (CALIS-C): Psychometric Properties, Factorial Structure and Factorial Invariance Across Gender. Child Psychiatry Hum Dev. 2019;50(5):756–63. </w:t>
      </w:r>
    </w:p>
    <w:p w14:paraId="6125D5C2" w14:textId="6B7DF902" w:rsidR="007A409C" w:rsidRPr="00B77A90" w:rsidRDefault="00C95A25" w:rsidP="007868D9">
      <w:pPr>
        <w:widowControl w:val="0"/>
        <w:autoSpaceDE w:val="0"/>
        <w:autoSpaceDN w:val="0"/>
        <w:adjustRightInd w:val="0"/>
        <w:ind w:left="640" w:hanging="640"/>
      </w:pPr>
      <w:r w:rsidRPr="00C95A25">
        <w:rPr>
          <w:rFonts w:ascii="Times New Roman" w:hAnsi="Times New Roman" w:cs="Times New Roman"/>
          <w:noProof/>
          <w:szCs w:val="24"/>
        </w:rPr>
        <w:t>9</w:t>
      </w:r>
      <w:r w:rsidR="007868D9">
        <w:rPr>
          <w:rFonts w:ascii="Times New Roman" w:hAnsi="Times New Roman" w:cs="Times New Roman"/>
          <w:noProof/>
          <w:szCs w:val="24"/>
        </w:rPr>
        <w:t>1</w:t>
      </w:r>
      <w:r w:rsidRPr="00C95A25">
        <w:rPr>
          <w:rFonts w:ascii="Times New Roman" w:hAnsi="Times New Roman" w:cs="Times New Roman"/>
          <w:noProof/>
          <w:szCs w:val="24"/>
        </w:rPr>
        <w:t xml:space="preserve">. </w:t>
      </w:r>
      <w:r w:rsidRPr="00C95A25">
        <w:rPr>
          <w:rFonts w:ascii="Times New Roman" w:hAnsi="Times New Roman" w:cs="Times New Roman"/>
          <w:noProof/>
          <w:szCs w:val="24"/>
        </w:rPr>
        <w:tab/>
        <w:t xml:space="preserve">Marques T, Pereira AI, Pedro M, Russo V, Goes AR, Barros L. Preliminary analysis of the Portuguese version of the child anxiety life interference scale. Psicol Reflex e Crit. 2015;28(3):454–62. </w:t>
      </w:r>
      <w:bookmarkEnd w:id="18"/>
    </w:p>
    <w:sectPr w:rsidR="007A409C" w:rsidRPr="00B77A90" w:rsidSect="007A409C">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6B4F1" w14:textId="77777777" w:rsidR="00344626" w:rsidRDefault="00344626" w:rsidP="008C1934">
      <w:r>
        <w:separator/>
      </w:r>
    </w:p>
    <w:p w14:paraId="6EC839E5" w14:textId="77777777" w:rsidR="00344626" w:rsidRDefault="00344626" w:rsidP="008C1934"/>
    <w:p w14:paraId="1261F6D0" w14:textId="77777777" w:rsidR="00344626" w:rsidRDefault="00344626"/>
  </w:endnote>
  <w:endnote w:type="continuationSeparator" w:id="0">
    <w:p w14:paraId="48ABF9CA" w14:textId="77777777" w:rsidR="00344626" w:rsidRDefault="00344626" w:rsidP="008C1934">
      <w:r>
        <w:continuationSeparator/>
      </w:r>
    </w:p>
    <w:p w14:paraId="089A834B" w14:textId="77777777" w:rsidR="00344626" w:rsidRDefault="00344626" w:rsidP="008C1934"/>
    <w:p w14:paraId="2AAB7D9C" w14:textId="77777777" w:rsidR="00344626" w:rsidRDefault="00344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7401025"/>
      <w:docPartObj>
        <w:docPartGallery w:val="Page Numbers (Bottom of Page)"/>
        <w:docPartUnique/>
      </w:docPartObj>
    </w:sdtPr>
    <w:sdtEndPr>
      <w:rPr>
        <w:noProof/>
      </w:rPr>
    </w:sdtEndPr>
    <w:sdtContent>
      <w:p w14:paraId="65E86A53" w14:textId="697341B4" w:rsidR="000D0F49" w:rsidRDefault="000D0F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EB792" w14:textId="77777777" w:rsidR="000D0F49" w:rsidRDefault="000D0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687605"/>
      <w:docPartObj>
        <w:docPartGallery w:val="Page Numbers (Bottom of Page)"/>
        <w:docPartUnique/>
      </w:docPartObj>
    </w:sdtPr>
    <w:sdtEndPr>
      <w:rPr>
        <w:noProof/>
      </w:rPr>
    </w:sdtEndPr>
    <w:sdtContent>
      <w:p w14:paraId="26765B1C" w14:textId="6C8E4886" w:rsidR="000D0F49" w:rsidRDefault="000D0F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EDF254" w14:textId="77777777" w:rsidR="000D0F49" w:rsidRDefault="000D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A7AF1" w14:textId="77777777" w:rsidR="00344626" w:rsidRDefault="00344626" w:rsidP="005F4D5C">
      <w:pPr>
        <w:spacing w:line="240" w:lineRule="auto"/>
      </w:pPr>
      <w:r>
        <w:separator/>
      </w:r>
    </w:p>
    <w:p w14:paraId="685B5992" w14:textId="77777777" w:rsidR="00344626" w:rsidRDefault="00344626"/>
  </w:footnote>
  <w:footnote w:type="continuationSeparator" w:id="0">
    <w:p w14:paraId="6BB838A4" w14:textId="77777777" w:rsidR="00344626" w:rsidRDefault="00344626" w:rsidP="005F4D5C">
      <w:pPr>
        <w:spacing w:line="240" w:lineRule="auto"/>
      </w:pPr>
      <w:r>
        <w:continuationSeparator/>
      </w:r>
    </w:p>
    <w:p w14:paraId="1561E03F" w14:textId="77777777" w:rsidR="00344626" w:rsidRDefault="00344626"/>
  </w:footnote>
  <w:footnote w:type="continuationNotice" w:id="1">
    <w:p w14:paraId="66A8819D" w14:textId="77777777" w:rsidR="00344626" w:rsidRPr="005F4D5C" w:rsidRDefault="00344626" w:rsidP="005F4D5C">
      <w:pPr>
        <w:pStyle w:val="Footer"/>
      </w:pPr>
    </w:p>
    <w:p w14:paraId="6981412B" w14:textId="77777777" w:rsidR="00344626" w:rsidRDefault="00344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65B47" w14:textId="041382C2" w:rsidR="00C90E9E" w:rsidRDefault="00C90E9E">
    <w:pPr>
      <w:pStyle w:val="Header"/>
    </w:pPr>
    <w:r w:rsidRPr="00C90E9E">
      <w:t>RUNNING HEAD: MEASURING RESPONSE TO CLINICAL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2B327" w14:textId="39EF8484" w:rsidR="00C90E9E" w:rsidRDefault="00C90E9E">
    <w:pPr>
      <w:pStyle w:val="Header"/>
    </w:pPr>
    <w:r w:rsidRPr="00C90E9E">
      <w:t>RUNNING HEAD: MEASURING RESPONSE TO CLINICAL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8502" w14:textId="1367192F" w:rsidR="000D0F49" w:rsidRDefault="00344626" w:rsidP="008C1934">
    <w:pPr>
      <w:pStyle w:val="Header"/>
    </w:pPr>
    <w:sdt>
      <w:sdtPr>
        <w:rPr>
          <w:rStyle w:val="Strong"/>
        </w:rPr>
        <w:alias w:val="Running head"/>
        <w:tag w:val=""/>
        <w:id w:val="-691765696"/>
        <w:placeholder>
          <w:docPart w:val="32BC3CF5A288475FB4C72B466AA6BCBA"/>
        </w:placeholde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0D0F49">
          <w:rPr>
            <w:rStyle w:val="Strong"/>
          </w:rPr>
          <w:t>MEASURING RESPONSE TO CLINICAL CARE</w:t>
        </w:r>
      </w:sdtContent>
    </w:sdt>
    <w:r w:rsidR="000D0F49">
      <w:rPr>
        <w:rStyle w:val="Strong"/>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5C158" w14:textId="458AC98B" w:rsidR="000D0F49" w:rsidRDefault="000D0F49" w:rsidP="008C1934">
    <w:pPr>
      <w:pStyle w:val="Header"/>
      <w:rPr>
        <w:rStyle w:val="Strong"/>
      </w:rPr>
    </w:pPr>
    <w:r w:rsidRPr="00A15070">
      <w:rPr>
        <w:rStyle w:val="Strong"/>
      </w:rPr>
      <w:t>MEASURING RESPONSE TO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6D2216E8"/>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54021C1"/>
    <w:multiLevelType w:val="hybridMultilevel"/>
    <w:tmpl w:val="4AA03980"/>
    <w:lvl w:ilvl="0" w:tplc="5798C966">
      <w:start w:val="1"/>
      <w:numFmt w:val="bullet"/>
      <w:lvlText w:val="•"/>
      <w:lvlJc w:val="left"/>
      <w:pPr>
        <w:tabs>
          <w:tab w:val="num" w:pos="720"/>
        </w:tabs>
        <w:ind w:left="720" w:hanging="360"/>
      </w:pPr>
      <w:rPr>
        <w:rFonts w:ascii="Arial" w:hAnsi="Arial" w:hint="default"/>
      </w:rPr>
    </w:lvl>
    <w:lvl w:ilvl="1" w:tplc="EC8E9E50" w:tentative="1">
      <w:start w:val="1"/>
      <w:numFmt w:val="bullet"/>
      <w:lvlText w:val="•"/>
      <w:lvlJc w:val="left"/>
      <w:pPr>
        <w:tabs>
          <w:tab w:val="num" w:pos="1440"/>
        </w:tabs>
        <w:ind w:left="1440" w:hanging="360"/>
      </w:pPr>
      <w:rPr>
        <w:rFonts w:ascii="Arial" w:hAnsi="Arial" w:hint="default"/>
      </w:rPr>
    </w:lvl>
    <w:lvl w:ilvl="2" w:tplc="F8F682CC">
      <w:start w:val="1"/>
      <w:numFmt w:val="bullet"/>
      <w:lvlText w:val="•"/>
      <w:lvlJc w:val="left"/>
      <w:pPr>
        <w:tabs>
          <w:tab w:val="num" w:pos="2160"/>
        </w:tabs>
        <w:ind w:left="2160" w:hanging="360"/>
      </w:pPr>
      <w:rPr>
        <w:rFonts w:ascii="Arial" w:hAnsi="Arial" w:hint="default"/>
      </w:rPr>
    </w:lvl>
    <w:lvl w:ilvl="3" w:tplc="74CE5E24" w:tentative="1">
      <w:start w:val="1"/>
      <w:numFmt w:val="bullet"/>
      <w:lvlText w:val="•"/>
      <w:lvlJc w:val="left"/>
      <w:pPr>
        <w:tabs>
          <w:tab w:val="num" w:pos="2880"/>
        </w:tabs>
        <w:ind w:left="2880" w:hanging="360"/>
      </w:pPr>
      <w:rPr>
        <w:rFonts w:ascii="Arial" w:hAnsi="Arial" w:hint="default"/>
      </w:rPr>
    </w:lvl>
    <w:lvl w:ilvl="4" w:tplc="DE12D38A" w:tentative="1">
      <w:start w:val="1"/>
      <w:numFmt w:val="bullet"/>
      <w:lvlText w:val="•"/>
      <w:lvlJc w:val="left"/>
      <w:pPr>
        <w:tabs>
          <w:tab w:val="num" w:pos="3600"/>
        </w:tabs>
        <w:ind w:left="3600" w:hanging="360"/>
      </w:pPr>
      <w:rPr>
        <w:rFonts w:ascii="Arial" w:hAnsi="Arial" w:hint="default"/>
      </w:rPr>
    </w:lvl>
    <w:lvl w:ilvl="5" w:tplc="049E6732" w:tentative="1">
      <w:start w:val="1"/>
      <w:numFmt w:val="bullet"/>
      <w:lvlText w:val="•"/>
      <w:lvlJc w:val="left"/>
      <w:pPr>
        <w:tabs>
          <w:tab w:val="num" w:pos="4320"/>
        </w:tabs>
        <w:ind w:left="4320" w:hanging="360"/>
      </w:pPr>
      <w:rPr>
        <w:rFonts w:ascii="Arial" w:hAnsi="Arial" w:hint="default"/>
      </w:rPr>
    </w:lvl>
    <w:lvl w:ilvl="6" w:tplc="435C9BAA" w:tentative="1">
      <w:start w:val="1"/>
      <w:numFmt w:val="bullet"/>
      <w:lvlText w:val="•"/>
      <w:lvlJc w:val="left"/>
      <w:pPr>
        <w:tabs>
          <w:tab w:val="num" w:pos="5040"/>
        </w:tabs>
        <w:ind w:left="5040" w:hanging="360"/>
      </w:pPr>
      <w:rPr>
        <w:rFonts w:ascii="Arial" w:hAnsi="Arial" w:hint="default"/>
      </w:rPr>
    </w:lvl>
    <w:lvl w:ilvl="7" w:tplc="3C260E16" w:tentative="1">
      <w:start w:val="1"/>
      <w:numFmt w:val="bullet"/>
      <w:lvlText w:val="•"/>
      <w:lvlJc w:val="left"/>
      <w:pPr>
        <w:tabs>
          <w:tab w:val="num" w:pos="5760"/>
        </w:tabs>
        <w:ind w:left="5760" w:hanging="360"/>
      </w:pPr>
      <w:rPr>
        <w:rFonts w:ascii="Arial" w:hAnsi="Arial" w:hint="default"/>
      </w:rPr>
    </w:lvl>
    <w:lvl w:ilvl="8" w:tplc="D39ECC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091A3C"/>
    <w:multiLevelType w:val="hybridMultilevel"/>
    <w:tmpl w:val="2F4CBD2C"/>
    <w:lvl w:ilvl="0" w:tplc="BC94E996">
      <w:start w:val="1"/>
      <w:numFmt w:val="bullet"/>
      <w:lvlText w:val="•"/>
      <w:lvlJc w:val="left"/>
      <w:pPr>
        <w:tabs>
          <w:tab w:val="num" w:pos="720"/>
        </w:tabs>
        <w:ind w:left="720" w:hanging="360"/>
      </w:pPr>
      <w:rPr>
        <w:rFonts w:ascii="Arial" w:hAnsi="Arial" w:hint="default"/>
      </w:rPr>
    </w:lvl>
    <w:lvl w:ilvl="1" w:tplc="A8E85F3A" w:tentative="1">
      <w:start w:val="1"/>
      <w:numFmt w:val="bullet"/>
      <w:lvlText w:val="•"/>
      <w:lvlJc w:val="left"/>
      <w:pPr>
        <w:tabs>
          <w:tab w:val="num" w:pos="1440"/>
        </w:tabs>
        <w:ind w:left="1440" w:hanging="360"/>
      </w:pPr>
      <w:rPr>
        <w:rFonts w:ascii="Arial" w:hAnsi="Arial" w:hint="default"/>
      </w:rPr>
    </w:lvl>
    <w:lvl w:ilvl="2" w:tplc="A482AAC2" w:tentative="1">
      <w:start w:val="1"/>
      <w:numFmt w:val="bullet"/>
      <w:lvlText w:val="•"/>
      <w:lvlJc w:val="left"/>
      <w:pPr>
        <w:tabs>
          <w:tab w:val="num" w:pos="2160"/>
        </w:tabs>
        <w:ind w:left="2160" w:hanging="360"/>
      </w:pPr>
      <w:rPr>
        <w:rFonts w:ascii="Arial" w:hAnsi="Arial" w:hint="default"/>
      </w:rPr>
    </w:lvl>
    <w:lvl w:ilvl="3" w:tplc="4036A56E" w:tentative="1">
      <w:start w:val="1"/>
      <w:numFmt w:val="bullet"/>
      <w:lvlText w:val="•"/>
      <w:lvlJc w:val="left"/>
      <w:pPr>
        <w:tabs>
          <w:tab w:val="num" w:pos="2880"/>
        </w:tabs>
        <w:ind w:left="2880" w:hanging="360"/>
      </w:pPr>
      <w:rPr>
        <w:rFonts w:ascii="Arial" w:hAnsi="Arial" w:hint="default"/>
      </w:rPr>
    </w:lvl>
    <w:lvl w:ilvl="4" w:tplc="02B2B4FC" w:tentative="1">
      <w:start w:val="1"/>
      <w:numFmt w:val="bullet"/>
      <w:lvlText w:val="•"/>
      <w:lvlJc w:val="left"/>
      <w:pPr>
        <w:tabs>
          <w:tab w:val="num" w:pos="3600"/>
        </w:tabs>
        <w:ind w:left="3600" w:hanging="360"/>
      </w:pPr>
      <w:rPr>
        <w:rFonts w:ascii="Arial" w:hAnsi="Arial" w:hint="default"/>
      </w:rPr>
    </w:lvl>
    <w:lvl w:ilvl="5" w:tplc="ACFE21B0" w:tentative="1">
      <w:start w:val="1"/>
      <w:numFmt w:val="bullet"/>
      <w:lvlText w:val="•"/>
      <w:lvlJc w:val="left"/>
      <w:pPr>
        <w:tabs>
          <w:tab w:val="num" w:pos="4320"/>
        </w:tabs>
        <w:ind w:left="4320" w:hanging="360"/>
      </w:pPr>
      <w:rPr>
        <w:rFonts w:ascii="Arial" w:hAnsi="Arial" w:hint="default"/>
      </w:rPr>
    </w:lvl>
    <w:lvl w:ilvl="6" w:tplc="DA628A02" w:tentative="1">
      <w:start w:val="1"/>
      <w:numFmt w:val="bullet"/>
      <w:lvlText w:val="•"/>
      <w:lvlJc w:val="left"/>
      <w:pPr>
        <w:tabs>
          <w:tab w:val="num" w:pos="5040"/>
        </w:tabs>
        <w:ind w:left="5040" w:hanging="360"/>
      </w:pPr>
      <w:rPr>
        <w:rFonts w:ascii="Arial" w:hAnsi="Arial" w:hint="default"/>
      </w:rPr>
    </w:lvl>
    <w:lvl w:ilvl="7" w:tplc="F1B666E0" w:tentative="1">
      <w:start w:val="1"/>
      <w:numFmt w:val="bullet"/>
      <w:lvlText w:val="•"/>
      <w:lvlJc w:val="left"/>
      <w:pPr>
        <w:tabs>
          <w:tab w:val="num" w:pos="5760"/>
        </w:tabs>
        <w:ind w:left="5760" w:hanging="360"/>
      </w:pPr>
      <w:rPr>
        <w:rFonts w:ascii="Arial" w:hAnsi="Arial" w:hint="default"/>
      </w:rPr>
    </w:lvl>
    <w:lvl w:ilvl="8" w:tplc="FAC29A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904091"/>
    <w:multiLevelType w:val="hybridMultilevel"/>
    <w:tmpl w:val="CE08A2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056800"/>
    <w:multiLevelType w:val="hybridMultilevel"/>
    <w:tmpl w:val="70EA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E5696"/>
    <w:multiLevelType w:val="hybridMultilevel"/>
    <w:tmpl w:val="7F321F72"/>
    <w:lvl w:ilvl="0" w:tplc="C37054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4055CD"/>
    <w:multiLevelType w:val="hybridMultilevel"/>
    <w:tmpl w:val="BB4A768A"/>
    <w:lvl w:ilvl="0" w:tplc="17FEE27C">
      <w:start w:val="1"/>
      <w:numFmt w:val="bullet"/>
      <w:lvlText w:val="•"/>
      <w:lvlJc w:val="left"/>
      <w:pPr>
        <w:tabs>
          <w:tab w:val="num" w:pos="720"/>
        </w:tabs>
        <w:ind w:left="720" w:hanging="360"/>
      </w:pPr>
      <w:rPr>
        <w:rFonts w:ascii="Arial" w:hAnsi="Arial" w:hint="default"/>
      </w:rPr>
    </w:lvl>
    <w:lvl w:ilvl="1" w:tplc="3398B66C" w:tentative="1">
      <w:start w:val="1"/>
      <w:numFmt w:val="bullet"/>
      <w:lvlText w:val="•"/>
      <w:lvlJc w:val="left"/>
      <w:pPr>
        <w:tabs>
          <w:tab w:val="num" w:pos="1440"/>
        </w:tabs>
        <w:ind w:left="1440" w:hanging="360"/>
      </w:pPr>
      <w:rPr>
        <w:rFonts w:ascii="Arial" w:hAnsi="Arial" w:hint="default"/>
      </w:rPr>
    </w:lvl>
    <w:lvl w:ilvl="2" w:tplc="0148A7CC" w:tentative="1">
      <w:start w:val="1"/>
      <w:numFmt w:val="bullet"/>
      <w:lvlText w:val="•"/>
      <w:lvlJc w:val="left"/>
      <w:pPr>
        <w:tabs>
          <w:tab w:val="num" w:pos="2160"/>
        </w:tabs>
        <w:ind w:left="2160" w:hanging="360"/>
      </w:pPr>
      <w:rPr>
        <w:rFonts w:ascii="Arial" w:hAnsi="Arial" w:hint="default"/>
      </w:rPr>
    </w:lvl>
    <w:lvl w:ilvl="3" w:tplc="AFDAD648" w:tentative="1">
      <w:start w:val="1"/>
      <w:numFmt w:val="bullet"/>
      <w:lvlText w:val="•"/>
      <w:lvlJc w:val="left"/>
      <w:pPr>
        <w:tabs>
          <w:tab w:val="num" w:pos="2880"/>
        </w:tabs>
        <w:ind w:left="2880" w:hanging="360"/>
      </w:pPr>
      <w:rPr>
        <w:rFonts w:ascii="Arial" w:hAnsi="Arial" w:hint="default"/>
      </w:rPr>
    </w:lvl>
    <w:lvl w:ilvl="4" w:tplc="3D0C6158" w:tentative="1">
      <w:start w:val="1"/>
      <w:numFmt w:val="bullet"/>
      <w:lvlText w:val="•"/>
      <w:lvlJc w:val="left"/>
      <w:pPr>
        <w:tabs>
          <w:tab w:val="num" w:pos="3600"/>
        </w:tabs>
        <w:ind w:left="3600" w:hanging="360"/>
      </w:pPr>
      <w:rPr>
        <w:rFonts w:ascii="Arial" w:hAnsi="Arial" w:hint="default"/>
      </w:rPr>
    </w:lvl>
    <w:lvl w:ilvl="5" w:tplc="DA8823B0" w:tentative="1">
      <w:start w:val="1"/>
      <w:numFmt w:val="bullet"/>
      <w:lvlText w:val="•"/>
      <w:lvlJc w:val="left"/>
      <w:pPr>
        <w:tabs>
          <w:tab w:val="num" w:pos="4320"/>
        </w:tabs>
        <w:ind w:left="4320" w:hanging="360"/>
      </w:pPr>
      <w:rPr>
        <w:rFonts w:ascii="Arial" w:hAnsi="Arial" w:hint="default"/>
      </w:rPr>
    </w:lvl>
    <w:lvl w:ilvl="6" w:tplc="694E36A8" w:tentative="1">
      <w:start w:val="1"/>
      <w:numFmt w:val="bullet"/>
      <w:lvlText w:val="•"/>
      <w:lvlJc w:val="left"/>
      <w:pPr>
        <w:tabs>
          <w:tab w:val="num" w:pos="5040"/>
        </w:tabs>
        <w:ind w:left="5040" w:hanging="360"/>
      </w:pPr>
      <w:rPr>
        <w:rFonts w:ascii="Arial" w:hAnsi="Arial" w:hint="default"/>
      </w:rPr>
    </w:lvl>
    <w:lvl w:ilvl="7" w:tplc="1382DAF0" w:tentative="1">
      <w:start w:val="1"/>
      <w:numFmt w:val="bullet"/>
      <w:lvlText w:val="•"/>
      <w:lvlJc w:val="left"/>
      <w:pPr>
        <w:tabs>
          <w:tab w:val="num" w:pos="5760"/>
        </w:tabs>
        <w:ind w:left="5760" w:hanging="360"/>
      </w:pPr>
      <w:rPr>
        <w:rFonts w:ascii="Arial" w:hAnsi="Arial" w:hint="default"/>
      </w:rPr>
    </w:lvl>
    <w:lvl w:ilvl="8" w:tplc="D7FC96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7D7DF2"/>
    <w:multiLevelType w:val="hybridMultilevel"/>
    <w:tmpl w:val="6C821D80"/>
    <w:lvl w:ilvl="0" w:tplc="5FBAD1D4">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F83A2D"/>
    <w:multiLevelType w:val="hybridMultilevel"/>
    <w:tmpl w:val="61A8D042"/>
    <w:lvl w:ilvl="0" w:tplc="2BAA6724">
      <w:numFmt w:val="bullet"/>
      <w:pStyle w:val="Subtitle"/>
      <w:lvlText w:val="•"/>
      <w:lvlJc w:val="left"/>
      <w:pPr>
        <w:ind w:left="1080" w:hanging="72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96598"/>
    <w:multiLevelType w:val="hybridMultilevel"/>
    <w:tmpl w:val="E0164EA6"/>
    <w:lvl w:ilvl="0" w:tplc="51C4268A">
      <w:start w:val="6"/>
      <w:numFmt w:val="bullet"/>
      <w:lvlText w:val="-"/>
      <w:lvlJc w:val="left"/>
      <w:pPr>
        <w:ind w:left="720" w:hanging="360"/>
      </w:pPr>
      <w:rPr>
        <w:rFonts w:ascii="Corbel" w:eastAsiaTheme="minorEastAsia" w:hAnsi="Corbel" w:cs="Corbe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214FB"/>
    <w:multiLevelType w:val="hybridMultilevel"/>
    <w:tmpl w:val="343A1788"/>
    <w:lvl w:ilvl="0" w:tplc="3FC021C0">
      <w:start w:val="1"/>
      <w:numFmt w:val="bullet"/>
      <w:lvlText w:val="o"/>
      <w:lvlJc w:val="left"/>
      <w:pPr>
        <w:tabs>
          <w:tab w:val="num" w:pos="720"/>
        </w:tabs>
        <w:ind w:left="720" w:hanging="360"/>
      </w:pPr>
      <w:rPr>
        <w:rFonts w:ascii="Courier New" w:hAnsi="Courier New" w:hint="default"/>
      </w:rPr>
    </w:lvl>
    <w:lvl w:ilvl="1" w:tplc="079AE502">
      <w:start w:val="1"/>
      <w:numFmt w:val="bullet"/>
      <w:lvlText w:val="o"/>
      <w:lvlJc w:val="left"/>
      <w:pPr>
        <w:tabs>
          <w:tab w:val="num" w:pos="1440"/>
        </w:tabs>
        <w:ind w:left="1440" w:hanging="360"/>
      </w:pPr>
      <w:rPr>
        <w:rFonts w:ascii="Courier New" w:hAnsi="Courier New" w:hint="default"/>
      </w:rPr>
    </w:lvl>
    <w:lvl w:ilvl="2" w:tplc="1972865E" w:tentative="1">
      <w:start w:val="1"/>
      <w:numFmt w:val="bullet"/>
      <w:lvlText w:val="o"/>
      <w:lvlJc w:val="left"/>
      <w:pPr>
        <w:tabs>
          <w:tab w:val="num" w:pos="2160"/>
        </w:tabs>
        <w:ind w:left="2160" w:hanging="360"/>
      </w:pPr>
      <w:rPr>
        <w:rFonts w:ascii="Courier New" w:hAnsi="Courier New" w:hint="default"/>
      </w:rPr>
    </w:lvl>
    <w:lvl w:ilvl="3" w:tplc="596ABC38" w:tentative="1">
      <w:start w:val="1"/>
      <w:numFmt w:val="bullet"/>
      <w:lvlText w:val="o"/>
      <w:lvlJc w:val="left"/>
      <w:pPr>
        <w:tabs>
          <w:tab w:val="num" w:pos="2880"/>
        </w:tabs>
        <w:ind w:left="2880" w:hanging="360"/>
      </w:pPr>
      <w:rPr>
        <w:rFonts w:ascii="Courier New" w:hAnsi="Courier New" w:hint="default"/>
      </w:rPr>
    </w:lvl>
    <w:lvl w:ilvl="4" w:tplc="3C68BB7E" w:tentative="1">
      <w:start w:val="1"/>
      <w:numFmt w:val="bullet"/>
      <w:lvlText w:val="o"/>
      <w:lvlJc w:val="left"/>
      <w:pPr>
        <w:tabs>
          <w:tab w:val="num" w:pos="3600"/>
        </w:tabs>
        <w:ind w:left="3600" w:hanging="360"/>
      </w:pPr>
      <w:rPr>
        <w:rFonts w:ascii="Courier New" w:hAnsi="Courier New" w:hint="default"/>
      </w:rPr>
    </w:lvl>
    <w:lvl w:ilvl="5" w:tplc="5836A180" w:tentative="1">
      <w:start w:val="1"/>
      <w:numFmt w:val="bullet"/>
      <w:lvlText w:val="o"/>
      <w:lvlJc w:val="left"/>
      <w:pPr>
        <w:tabs>
          <w:tab w:val="num" w:pos="4320"/>
        </w:tabs>
        <w:ind w:left="4320" w:hanging="360"/>
      </w:pPr>
      <w:rPr>
        <w:rFonts w:ascii="Courier New" w:hAnsi="Courier New" w:hint="default"/>
      </w:rPr>
    </w:lvl>
    <w:lvl w:ilvl="6" w:tplc="4816D564" w:tentative="1">
      <w:start w:val="1"/>
      <w:numFmt w:val="bullet"/>
      <w:lvlText w:val="o"/>
      <w:lvlJc w:val="left"/>
      <w:pPr>
        <w:tabs>
          <w:tab w:val="num" w:pos="5040"/>
        </w:tabs>
        <w:ind w:left="5040" w:hanging="360"/>
      </w:pPr>
      <w:rPr>
        <w:rFonts w:ascii="Courier New" w:hAnsi="Courier New" w:hint="default"/>
      </w:rPr>
    </w:lvl>
    <w:lvl w:ilvl="7" w:tplc="D9066A94" w:tentative="1">
      <w:start w:val="1"/>
      <w:numFmt w:val="bullet"/>
      <w:lvlText w:val="o"/>
      <w:lvlJc w:val="left"/>
      <w:pPr>
        <w:tabs>
          <w:tab w:val="num" w:pos="5760"/>
        </w:tabs>
        <w:ind w:left="5760" w:hanging="360"/>
      </w:pPr>
      <w:rPr>
        <w:rFonts w:ascii="Courier New" w:hAnsi="Courier New" w:hint="default"/>
      </w:rPr>
    </w:lvl>
    <w:lvl w:ilvl="8" w:tplc="4CE20F8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44E37790"/>
    <w:multiLevelType w:val="hybridMultilevel"/>
    <w:tmpl w:val="69A41F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D1018F6"/>
    <w:multiLevelType w:val="multilevel"/>
    <w:tmpl w:val="9CE8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C1714"/>
    <w:multiLevelType w:val="hybridMultilevel"/>
    <w:tmpl w:val="29A895E8"/>
    <w:lvl w:ilvl="0" w:tplc="ABCAD6A6">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ED2BD4"/>
    <w:multiLevelType w:val="hybridMultilevel"/>
    <w:tmpl w:val="61AEDB6E"/>
    <w:lvl w:ilvl="0" w:tplc="C4F202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8205CE"/>
    <w:multiLevelType w:val="hybridMultilevel"/>
    <w:tmpl w:val="B52612C2"/>
    <w:lvl w:ilvl="0" w:tplc="51C4268A">
      <w:start w:val="6"/>
      <w:numFmt w:val="bullet"/>
      <w:lvlText w:val="-"/>
      <w:lvlJc w:val="left"/>
      <w:pPr>
        <w:ind w:left="720" w:hanging="360"/>
      </w:pPr>
      <w:rPr>
        <w:rFonts w:ascii="Corbel" w:eastAsiaTheme="minorEastAsia" w:hAnsi="Corbel" w:cs="Corbe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26E85"/>
    <w:multiLevelType w:val="hybridMultilevel"/>
    <w:tmpl w:val="43E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6A7D23"/>
    <w:multiLevelType w:val="hybridMultilevel"/>
    <w:tmpl w:val="D9065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7574794"/>
    <w:multiLevelType w:val="hybridMultilevel"/>
    <w:tmpl w:val="FA203C94"/>
    <w:lvl w:ilvl="0" w:tplc="B810F5B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95DBD"/>
    <w:multiLevelType w:val="hybridMultilevel"/>
    <w:tmpl w:val="D2EE8430"/>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94077"/>
    <w:multiLevelType w:val="hybridMultilevel"/>
    <w:tmpl w:val="3F6470D0"/>
    <w:lvl w:ilvl="0" w:tplc="ABCAD6A6">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33"/>
  </w:num>
  <w:num w:numId="13">
    <w:abstractNumId w:val="24"/>
  </w:num>
  <w:num w:numId="14">
    <w:abstractNumId w:val="21"/>
  </w:num>
  <w:num w:numId="15">
    <w:abstractNumId w:val="32"/>
  </w:num>
  <w:num w:numId="16">
    <w:abstractNumId w:val="17"/>
  </w:num>
  <w:num w:numId="17">
    <w:abstractNumId w:val="9"/>
  </w:num>
  <w:num w:numId="18">
    <w:abstractNumId w:val="19"/>
  </w:num>
  <w:num w:numId="19">
    <w:abstractNumId w:val="15"/>
  </w:num>
  <w:num w:numId="20">
    <w:abstractNumId w:val="20"/>
  </w:num>
  <w:num w:numId="21">
    <w:abstractNumId w:val="18"/>
  </w:num>
  <w:num w:numId="22">
    <w:abstractNumId w:val="26"/>
  </w:num>
  <w:num w:numId="23">
    <w:abstractNumId w:val="11"/>
  </w:num>
  <w:num w:numId="24">
    <w:abstractNumId w:val="13"/>
  </w:num>
  <w:num w:numId="25">
    <w:abstractNumId w:val="29"/>
  </w:num>
  <w:num w:numId="26">
    <w:abstractNumId w:val="22"/>
  </w:num>
  <w:num w:numId="27">
    <w:abstractNumId w:val="14"/>
  </w:num>
  <w:num w:numId="28">
    <w:abstractNumId w:val="9"/>
  </w:num>
  <w:num w:numId="29">
    <w:abstractNumId w:val="16"/>
  </w:num>
  <w:num w:numId="30">
    <w:abstractNumId w:val="25"/>
  </w:num>
  <w:num w:numId="31">
    <w:abstractNumId w:val="31"/>
  </w:num>
  <w:num w:numId="32">
    <w:abstractNumId w:val="23"/>
  </w:num>
  <w:num w:numId="33">
    <w:abstractNumId w:val="30"/>
  </w:num>
  <w:num w:numId="34">
    <w:abstractNumId w:val="2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27"/>
  <w:characterSpacingControl w:val="doNotCompress"/>
  <w:hdrShapeDefaults>
    <o:shapedefaults v:ext="edit" spidmax="2049"/>
  </w:hdrShapeDefaults>
  <w:footnotePr>
    <w:pos w:val="beneathText"/>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03"/>
    <w:rsid w:val="0000094E"/>
    <w:rsid w:val="00000B3C"/>
    <w:rsid w:val="00000C18"/>
    <w:rsid w:val="00000E9C"/>
    <w:rsid w:val="000015A4"/>
    <w:rsid w:val="000023FF"/>
    <w:rsid w:val="00002964"/>
    <w:rsid w:val="00003935"/>
    <w:rsid w:val="00003C10"/>
    <w:rsid w:val="000042DD"/>
    <w:rsid w:val="00004B31"/>
    <w:rsid w:val="00004F5B"/>
    <w:rsid w:val="0000506A"/>
    <w:rsid w:val="000051E7"/>
    <w:rsid w:val="000054D4"/>
    <w:rsid w:val="00010048"/>
    <w:rsid w:val="000104D8"/>
    <w:rsid w:val="00010807"/>
    <w:rsid w:val="00010E18"/>
    <w:rsid w:val="000114B0"/>
    <w:rsid w:val="00012377"/>
    <w:rsid w:val="00012AB3"/>
    <w:rsid w:val="00012F9F"/>
    <w:rsid w:val="00013B39"/>
    <w:rsid w:val="00013EBD"/>
    <w:rsid w:val="00013FBF"/>
    <w:rsid w:val="000149B7"/>
    <w:rsid w:val="000150C4"/>
    <w:rsid w:val="0001518D"/>
    <w:rsid w:val="00015505"/>
    <w:rsid w:val="0001564C"/>
    <w:rsid w:val="00015B00"/>
    <w:rsid w:val="00016034"/>
    <w:rsid w:val="00016045"/>
    <w:rsid w:val="00016E13"/>
    <w:rsid w:val="00017912"/>
    <w:rsid w:val="00020A05"/>
    <w:rsid w:val="00020B3F"/>
    <w:rsid w:val="00020F60"/>
    <w:rsid w:val="00021C92"/>
    <w:rsid w:val="0002225E"/>
    <w:rsid w:val="00022FBF"/>
    <w:rsid w:val="00023262"/>
    <w:rsid w:val="00023599"/>
    <w:rsid w:val="0002360D"/>
    <w:rsid w:val="00023BF2"/>
    <w:rsid w:val="0002528D"/>
    <w:rsid w:val="00025969"/>
    <w:rsid w:val="00025C34"/>
    <w:rsid w:val="0002652A"/>
    <w:rsid w:val="00026A24"/>
    <w:rsid w:val="00026EEE"/>
    <w:rsid w:val="000277EB"/>
    <w:rsid w:val="00027C58"/>
    <w:rsid w:val="00027F29"/>
    <w:rsid w:val="00030138"/>
    <w:rsid w:val="0003015F"/>
    <w:rsid w:val="00030BBF"/>
    <w:rsid w:val="00030E26"/>
    <w:rsid w:val="00030FA0"/>
    <w:rsid w:val="0003115E"/>
    <w:rsid w:val="00032910"/>
    <w:rsid w:val="00033668"/>
    <w:rsid w:val="000338C7"/>
    <w:rsid w:val="00034670"/>
    <w:rsid w:val="00035DC9"/>
    <w:rsid w:val="00035EB1"/>
    <w:rsid w:val="00036A01"/>
    <w:rsid w:val="0003738B"/>
    <w:rsid w:val="00040274"/>
    <w:rsid w:val="00041F57"/>
    <w:rsid w:val="0004236B"/>
    <w:rsid w:val="000433FC"/>
    <w:rsid w:val="00043970"/>
    <w:rsid w:val="000449F6"/>
    <w:rsid w:val="00044D8C"/>
    <w:rsid w:val="00045F56"/>
    <w:rsid w:val="000462F5"/>
    <w:rsid w:val="00046538"/>
    <w:rsid w:val="00046E2F"/>
    <w:rsid w:val="00047E8A"/>
    <w:rsid w:val="00051D52"/>
    <w:rsid w:val="0005232A"/>
    <w:rsid w:val="00052333"/>
    <w:rsid w:val="00052477"/>
    <w:rsid w:val="000524AC"/>
    <w:rsid w:val="000532C2"/>
    <w:rsid w:val="00055160"/>
    <w:rsid w:val="000558BF"/>
    <w:rsid w:val="00055C97"/>
    <w:rsid w:val="00056660"/>
    <w:rsid w:val="000567BC"/>
    <w:rsid w:val="000612FB"/>
    <w:rsid w:val="00061465"/>
    <w:rsid w:val="000618AF"/>
    <w:rsid w:val="00061DEE"/>
    <w:rsid w:val="00062C4D"/>
    <w:rsid w:val="00064D3F"/>
    <w:rsid w:val="00064E3A"/>
    <w:rsid w:val="0006538A"/>
    <w:rsid w:val="00065FDA"/>
    <w:rsid w:val="000661BD"/>
    <w:rsid w:val="00066521"/>
    <w:rsid w:val="00066799"/>
    <w:rsid w:val="00066D73"/>
    <w:rsid w:val="00066DAB"/>
    <w:rsid w:val="00066F77"/>
    <w:rsid w:val="00067120"/>
    <w:rsid w:val="00067664"/>
    <w:rsid w:val="000704F2"/>
    <w:rsid w:val="000705A1"/>
    <w:rsid w:val="00070B2D"/>
    <w:rsid w:val="00070D3D"/>
    <w:rsid w:val="000714DD"/>
    <w:rsid w:val="00072A2D"/>
    <w:rsid w:val="00072BCF"/>
    <w:rsid w:val="0007391F"/>
    <w:rsid w:val="000745A4"/>
    <w:rsid w:val="00074E26"/>
    <w:rsid w:val="00075774"/>
    <w:rsid w:val="00075790"/>
    <w:rsid w:val="00075B70"/>
    <w:rsid w:val="000767E4"/>
    <w:rsid w:val="00076BEF"/>
    <w:rsid w:val="00076C85"/>
    <w:rsid w:val="00077523"/>
    <w:rsid w:val="0007773E"/>
    <w:rsid w:val="00077E3E"/>
    <w:rsid w:val="000801AC"/>
    <w:rsid w:val="00081915"/>
    <w:rsid w:val="00082433"/>
    <w:rsid w:val="000825FF"/>
    <w:rsid w:val="00082F32"/>
    <w:rsid w:val="000830EF"/>
    <w:rsid w:val="0008349E"/>
    <w:rsid w:val="0008354A"/>
    <w:rsid w:val="000838C7"/>
    <w:rsid w:val="00083D93"/>
    <w:rsid w:val="00084174"/>
    <w:rsid w:val="00084370"/>
    <w:rsid w:val="00084B36"/>
    <w:rsid w:val="00084FA4"/>
    <w:rsid w:val="00085673"/>
    <w:rsid w:val="00085C61"/>
    <w:rsid w:val="00085EA6"/>
    <w:rsid w:val="00085FD7"/>
    <w:rsid w:val="0008687C"/>
    <w:rsid w:val="00086A15"/>
    <w:rsid w:val="00086C26"/>
    <w:rsid w:val="00091188"/>
    <w:rsid w:val="00092781"/>
    <w:rsid w:val="00092864"/>
    <w:rsid w:val="00093124"/>
    <w:rsid w:val="00093497"/>
    <w:rsid w:val="00093698"/>
    <w:rsid w:val="00094292"/>
    <w:rsid w:val="00094586"/>
    <w:rsid w:val="000950E0"/>
    <w:rsid w:val="000953BC"/>
    <w:rsid w:val="000958A8"/>
    <w:rsid w:val="00096BAF"/>
    <w:rsid w:val="00096FCA"/>
    <w:rsid w:val="00097D97"/>
    <w:rsid w:val="00097DF4"/>
    <w:rsid w:val="00097DFB"/>
    <w:rsid w:val="000A14C9"/>
    <w:rsid w:val="000A1938"/>
    <w:rsid w:val="000A1A85"/>
    <w:rsid w:val="000A1A9A"/>
    <w:rsid w:val="000A1C37"/>
    <w:rsid w:val="000A1CD3"/>
    <w:rsid w:val="000A2803"/>
    <w:rsid w:val="000A2D10"/>
    <w:rsid w:val="000A2EAF"/>
    <w:rsid w:val="000A2EC5"/>
    <w:rsid w:val="000A3ECA"/>
    <w:rsid w:val="000A415B"/>
    <w:rsid w:val="000A4BEE"/>
    <w:rsid w:val="000A5381"/>
    <w:rsid w:val="000A54D7"/>
    <w:rsid w:val="000A57DF"/>
    <w:rsid w:val="000A5A6B"/>
    <w:rsid w:val="000A66B3"/>
    <w:rsid w:val="000A66C2"/>
    <w:rsid w:val="000A7C91"/>
    <w:rsid w:val="000B0435"/>
    <w:rsid w:val="000B0AAE"/>
    <w:rsid w:val="000B1A46"/>
    <w:rsid w:val="000B27F8"/>
    <w:rsid w:val="000B28BD"/>
    <w:rsid w:val="000B374C"/>
    <w:rsid w:val="000B6E51"/>
    <w:rsid w:val="000B7513"/>
    <w:rsid w:val="000B7522"/>
    <w:rsid w:val="000B780A"/>
    <w:rsid w:val="000B7F3A"/>
    <w:rsid w:val="000C1E09"/>
    <w:rsid w:val="000C27A5"/>
    <w:rsid w:val="000C27B9"/>
    <w:rsid w:val="000C2EBA"/>
    <w:rsid w:val="000C30BC"/>
    <w:rsid w:val="000C340D"/>
    <w:rsid w:val="000C3514"/>
    <w:rsid w:val="000C3CC6"/>
    <w:rsid w:val="000C3EFB"/>
    <w:rsid w:val="000C3F55"/>
    <w:rsid w:val="000C50A7"/>
    <w:rsid w:val="000C5851"/>
    <w:rsid w:val="000C5BD7"/>
    <w:rsid w:val="000C78A3"/>
    <w:rsid w:val="000C7BCE"/>
    <w:rsid w:val="000D010B"/>
    <w:rsid w:val="000D0F49"/>
    <w:rsid w:val="000D1993"/>
    <w:rsid w:val="000D1B32"/>
    <w:rsid w:val="000D2243"/>
    <w:rsid w:val="000D25EB"/>
    <w:rsid w:val="000D3359"/>
    <w:rsid w:val="000D33A8"/>
    <w:rsid w:val="000D3EA1"/>
    <w:rsid w:val="000D3F41"/>
    <w:rsid w:val="000D4ABA"/>
    <w:rsid w:val="000D6DB1"/>
    <w:rsid w:val="000D713F"/>
    <w:rsid w:val="000D7286"/>
    <w:rsid w:val="000D77A4"/>
    <w:rsid w:val="000D790D"/>
    <w:rsid w:val="000E07FD"/>
    <w:rsid w:val="000E13BF"/>
    <w:rsid w:val="000E1972"/>
    <w:rsid w:val="000E199D"/>
    <w:rsid w:val="000E1DF9"/>
    <w:rsid w:val="000E20C6"/>
    <w:rsid w:val="000E38A9"/>
    <w:rsid w:val="000E43F0"/>
    <w:rsid w:val="000E4C30"/>
    <w:rsid w:val="000E58FE"/>
    <w:rsid w:val="000E69BA"/>
    <w:rsid w:val="000E728F"/>
    <w:rsid w:val="000E76CC"/>
    <w:rsid w:val="000F002E"/>
    <w:rsid w:val="000F1B37"/>
    <w:rsid w:val="000F32D2"/>
    <w:rsid w:val="000F3B01"/>
    <w:rsid w:val="000F54F7"/>
    <w:rsid w:val="000F59A5"/>
    <w:rsid w:val="000F59FE"/>
    <w:rsid w:val="000F5D82"/>
    <w:rsid w:val="000F5EDA"/>
    <w:rsid w:val="000F6AB1"/>
    <w:rsid w:val="000F6FC9"/>
    <w:rsid w:val="000F722E"/>
    <w:rsid w:val="000F796E"/>
    <w:rsid w:val="0010048E"/>
    <w:rsid w:val="00100536"/>
    <w:rsid w:val="00100CDB"/>
    <w:rsid w:val="0010192E"/>
    <w:rsid w:val="001024F8"/>
    <w:rsid w:val="00102A09"/>
    <w:rsid w:val="001038FF"/>
    <w:rsid w:val="00103E11"/>
    <w:rsid w:val="00104D8F"/>
    <w:rsid w:val="00105045"/>
    <w:rsid w:val="001056DF"/>
    <w:rsid w:val="001064F6"/>
    <w:rsid w:val="001066C1"/>
    <w:rsid w:val="00106BBB"/>
    <w:rsid w:val="001077E5"/>
    <w:rsid w:val="001108FA"/>
    <w:rsid w:val="001112E3"/>
    <w:rsid w:val="00111956"/>
    <w:rsid w:val="0011210A"/>
    <w:rsid w:val="00112542"/>
    <w:rsid w:val="001126F2"/>
    <w:rsid w:val="00114156"/>
    <w:rsid w:val="001142E6"/>
    <w:rsid w:val="001158DA"/>
    <w:rsid w:val="00120077"/>
    <w:rsid w:val="001209AC"/>
    <w:rsid w:val="00120E23"/>
    <w:rsid w:val="00120E2A"/>
    <w:rsid w:val="00120FCF"/>
    <w:rsid w:val="00121595"/>
    <w:rsid w:val="00121854"/>
    <w:rsid w:val="00122869"/>
    <w:rsid w:val="00122B62"/>
    <w:rsid w:val="00122E13"/>
    <w:rsid w:val="00123104"/>
    <w:rsid w:val="0012449C"/>
    <w:rsid w:val="001244D1"/>
    <w:rsid w:val="00124674"/>
    <w:rsid w:val="00125A2A"/>
    <w:rsid w:val="001260B7"/>
    <w:rsid w:val="00126374"/>
    <w:rsid w:val="00126B4B"/>
    <w:rsid w:val="00127FAC"/>
    <w:rsid w:val="001307AC"/>
    <w:rsid w:val="00130AE2"/>
    <w:rsid w:val="00130D09"/>
    <w:rsid w:val="0013229F"/>
    <w:rsid w:val="001324ED"/>
    <w:rsid w:val="00132522"/>
    <w:rsid w:val="001326DE"/>
    <w:rsid w:val="00132AE9"/>
    <w:rsid w:val="00132C3C"/>
    <w:rsid w:val="00133D69"/>
    <w:rsid w:val="00133DA0"/>
    <w:rsid w:val="00133F23"/>
    <w:rsid w:val="00134552"/>
    <w:rsid w:val="0013478A"/>
    <w:rsid w:val="001360A1"/>
    <w:rsid w:val="001360C6"/>
    <w:rsid w:val="0013655B"/>
    <w:rsid w:val="00136FDA"/>
    <w:rsid w:val="00137A9D"/>
    <w:rsid w:val="00137E39"/>
    <w:rsid w:val="00140629"/>
    <w:rsid w:val="001413DC"/>
    <w:rsid w:val="00141E12"/>
    <w:rsid w:val="0014232C"/>
    <w:rsid w:val="0014264E"/>
    <w:rsid w:val="00142AB9"/>
    <w:rsid w:val="00142C49"/>
    <w:rsid w:val="001441A1"/>
    <w:rsid w:val="00144FC7"/>
    <w:rsid w:val="001451FB"/>
    <w:rsid w:val="001462DD"/>
    <w:rsid w:val="001463F9"/>
    <w:rsid w:val="00147152"/>
    <w:rsid w:val="001479BF"/>
    <w:rsid w:val="00150F6D"/>
    <w:rsid w:val="001518CA"/>
    <w:rsid w:val="00153BA0"/>
    <w:rsid w:val="00153D33"/>
    <w:rsid w:val="001547FE"/>
    <w:rsid w:val="001559B5"/>
    <w:rsid w:val="00156A4B"/>
    <w:rsid w:val="00157026"/>
    <w:rsid w:val="001571A4"/>
    <w:rsid w:val="00157ACD"/>
    <w:rsid w:val="00160E03"/>
    <w:rsid w:val="00160EE9"/>
    <w:rsid w:val="00162042"/>
    <w:rsid w:val="001620F6"/>
    <w:rsid w:val="00162202"/>
    <w:rsid w:val="00162F9D"/>
    <w:rsid w:val="00163639"/>
    <w:rsid w:val="00163B16"/>
    <w:rsid w:val="00163EFF"/>
    <w:rsid w:val="00163F3B"/>
    <w:rsid w:val="001641C2"/>
    <w:rsid w:val="001648D2"/>
    <w:rsid w:val="00164E91"/>
    <w:rsid w:val="0016527C"/>
    <w:rsid w:val="00166DE8"/>
    <w:rsid w:val="00166E8D"/>
    <w:rsid w:val="001677B7"/>
    <w:rsid w:val="00167B6F"/>
    <w:rsid w:val="00167D09"/>
    <w:rsid w:val="001705EA"/>
    <w:rsid w:val="00170896"/>
    <w:rsid w:val="00171810"/>
    <w:rsid w:val="0017221E"/>
    <w:rsid w:val="00172287"/>
    <w:rsid w:val="001729A8"/>
    <w:rsid w:val="00173AA0"/>
    <w:rsid w:val="00173D54"/>
    <w:rsid w:val="00173F37"/>
    <w:rsid w:val="00173FC5"/>
    <w:rsid w:val="001742E3"/>
    <w:rsid w:val="001743FF"/>
    <w:rsid w:val="0017455D"/>
    <w:rsid w:val="00174CAE"/>
    <w:rsid w:val="001754DB"/>
    <w:rsid w:val="001756E1"/>
    <w:rsid w:val="00175978"/>
    <w:rsid w:val="00176465"/>
    <w:rsid w:val="00177922"/>
    <w:rsid w:val="00177BFE"/>
    <w:rsid w:val="00177C39"/>
    <w:rsid w:val="00180306"/>
    <w:rsid w:val="00180363"/>
    <w:rsid w:val="00180DCE"/>
    <w:rsid w:val="00181ED6"/>
    <w:rsid w:val="00182ABE"/>
    <w:rsid w:val="00182F38"/>
    <w:rsid w:val="00183193"/>
    <w:rsid w:val="001835B0"/>
    <w:rsid w:val="00183CFB"/>
    <w:rsid w:val="001845CF"/>
    <w:rsid w:val="00184692"/>
    <w:rsid w:val="00184FA3"/>
    <w:rsid w:val="00185DBD"/>
    <w:rsid w:val="00187071"/>
    <w:rsid w:val="00187780"/>
    <w:rsid w:val="001909E7"/>
    <w:rsid w:val="00191081"/>
    <w:rsid w:val="001920D5"/>
    <w:rsid w:val="00192562"/>
    <w:rsid w:val="0019487C"/>
    <w:rsid w:val="00194D3C"/>
    <w:rsid w:val="00195940"/>
    <w:rsid w:val="001960D6"/>
    <w:rsid w:val="00197107"/>
    <w:rsid w:val="0019726F"/>
    <w:rsid w:val="001A077D"/>
    <w:rsid w:val="001A1D36"/>
    <w:rsid w:val="001A2104"/>
    <w:rsid w:val="001A272B"/>
    <w:rsid w:val="001A2880"/>
    <w:rsid w:val="001A2C94"/>
    <w:rsid w:val="001A36A1"/>
    <w:rsid w:val="001A444F"/>
    <w:rsid w:val="001A4559"/>
    <w:rsid w:val="001A6776"/>
    <w:rsid w:val="001A6D00"/>
    <w:rsid w:val="001A6E93"/>
    <w:rsid w:val="001A745E"/>
    <w:rsid w:val="001A7803"/>
    <w:rsid w:val="001A7D99"/>
    <w:rsid w:val="001B0052"/>
    <w:rsid w:val="001B02F3"/>
    <w:rsid w:val="001B0B34"/>
    <w:rsid w:val="001B1265"/>
    <w:rsid w:val="001B1818"/>
    <w:rsid w:val="001B1C2F"/>
    <w:rsid w:val="001B223B"/>
    <w:rsid w:val="001B23CC"/>
    <w:rsid w:val="001B242F"/>
    <w:rsid w:val="001B28EA"/>
    <w:rsid w:val="001B3803"/>
    <w:rsid w:val="001B3D63"/>
    <w:rsid w:val="001B3DB4"/>
    <w:rsid w:val="001B4DA5"/>
    <w:rsid w:val="001B5A75"/>
    <w:rsid w:val="001B5B49"/>
    <w:rsid w:val="001B6383"/>
    <w:rsid w:val="001B6418"/>
    <w:rsid w:val="001B660A"/>
    <w:rsid w:val="001B764D"/>
    <w:rsid w:val="001B7A57"/>
    <w:rsid w:val="001B7C18"/>
    <w:rsid w:val="001B7F4D"/>
    <w:rsid w:val="001B7FFD"/>
    <w:rsid w:val="001C0909"/>
    <w:rsid w:val="001C19FF"/>
    <w:rsid w:val="001C2386"/>
    <w:rsid w:val="001C29F8"/>
    <w:rsid w:val="001C2A75"/>
    <w:rsid w:val="001C2DE0"/>
    <w:rsid w:val="001C2E66"/>
    <w:rsid w:val="001C3228"/>
    <w:rsid w:val="001C33D4"/>
    <w:rsid w:val="001C41C3"/>
    <w:rsid w:val="001C42DF"/>
    <w:rsid w:val="001C454D"/>
    <w:rsid w:val="001C4701"/>
    <w:rsid w:val="001C4E65"/>
    <w:rsid w:val="001C63BC"/>
    <w:rsid w:val="001C66C9"/>
    <w:rsid w:val="001C73F3"/>
    <w:rsid w:val="001D019F"/>
    <w:rsid w:val="001D075F"/>
    <w:rsid w:val="001D07C9"/>
    <w:rsid w:val="001D0D82"/>
    <w:rsid w:val="001D261B"/>
    <w:rsid w:val="001D2D0C"/>
    <w:rsid w:val="001D30A6"/>
    <w:rsid w:val="001D31FD"/>
    <w:rsid w:val="001D4046"/>
    <w:rsid w:val="001D44BA"/>
    <w:rsid w:val="001D4FCF"/>
    <w:rsid w:val="001D50D3"/>
    <w:rsid w:val="001D53E2"/>
    <w:rsid w:val="001D6EA8"/>
    <w:rsid w:val="001D7EB6"/>
    <w:rsid w:val="001E0179"/>
    <w:rsid w:val="001E04E4"/>
    <w:rsid w:val="001E0C52"/>
    <w:rsid w:val="001E0ED7"/>
    <w:rsid w:val="001E1156"/>
    <w:rsid w:val="001E2C46"/>
    <w:rsid w:val="001E2FE4"/>
    <w:rsid w:val="001E3668"/>
    <w:rsid w:val="001E3F3E"/>
    <w:rsid w:val="001E4280"/>
    <w:rsid w:val="001E4325"/>
    <w:rsid w:val="001E4DF2"/>
    <w:rsid w:val="001E4F4F"/>
    <w:rsid w:val="001E5C88"/>
    <w:rsid w:val="001E6712"/>
    <w:rsid w:val="001E6B5B"/>
    <w:rsid w:val="001E6CEA"/>
    <w:rsid w:val="001E6E33"/>
    <w:rsid w:val="001E7654"/>
    <w:rsid w:val="001F01AA"/>
    <w:rsid w:val="001F0597"/>
    <w:rsid w:val="001F0604"/>
    <w:rsid w:val="001F0623"/>
    <w:rsid w:val="001F0CB0"/>
    <w:rsid w:val="001F11A8"/>
    <w:rsid w:val="001F1312"/>
    <w:rsid w:val="001F1A4F"/>
    <w:rsid w:val="001F2227"/>
    <w:rsid w:val="001F2F7F"/>
    <w:rsid w:val="001F3066"/>
    <w:rsid w:val="001F559C"/>
    <w:rsid w:val="001F7BF6"/>
    <w:rsid w:val="00200CBE"/>
    <w:rsid w:val="00200FDA"/>
    <w:rsid w:val="0020235E"/>
    <w:rsid w:val="00202470"/>
    <w:rsid w:val="00202505"/>
    <w:rsid w:val="002032E3"/>
    <w:rsid w:val="00203527"/>
    <w:rsid w:val="0020393E"/>
    <w:rsid w:val="00203ECC"/>
    <w:rsid w:val="0020646C"/>
    <w:rsid w:val="002067B3"/>
    <w:rsid w:val="00207BE9"/>
    <w:rsid w:val="00207F50"/>
    <w:rsid w:val="002105B2"/>
    <w:rsid w:val="002116AE"/>
    <w:rsid w:val="00211AE2"/>
    <w:rsid w:val="002129FB"/>
    <w:rsid w:val="00212AA9"/>
    <w:rsid w:val="00213304"/>
    <w:rsid w:val="002138EB"/>
    <w:rsid w:val="002156CB"/>
    <w:rsid w:val="00216454"/>
    <w:rsid w:val="00217447"/>
    <w:rsid w:val="00220830"/>
    <w:rsid w:val="0022180F"/>
    <w:rsid w:val="00221983"/>
    <w:rsid w:val="002219AB"/>
    <w:rsid w:val="002221FF"/>
    <w:rsid w:val="00223056"/>
    <w:rsid w:val="0022390F"/>
    <w:rsid w:val="0022391A"/>
    <w:rsid w:val="002239B6"/>
    <w:rsid w:val="00223C4D"/>
    <w:rsid w:val="00224391"/>
    <w:rsid w:val="00224F6C"/>
    <w:rsid w:val="00225332"/>
    <w:rsid w:val="002257AE"/>
    <w:rsid w:val="00227477"/>
    <w:rsid w:val="00227BF6"/>
    <w:rsid w:val="002304EB"/>
    <w:rsid w:val="0023097E"/>
    <w:rsid w:val="00230B48"/>
    <w:rsid w:val="00231181"/>
    <w:rsid w:val="0023162E"/>
    <w:rsid w:val="00231ECA"/>
    <w:rsid w:val="00232ADF"/>
    <w:rsid w:val="0023311D"/>
    <w:rsid w:val="00233197"/>
    <w:rsid w:val="00233FDA"/>
    <w:rsid w:val="00234FF4"/>
    <w:rsid w:val="0023549B"/>
    <w:rsid w:val="00236C3A"/>
    <w:rsid w:val="00236F5D"/>
    <w:rsid w:val="00237050"/>
    <w:rsid w:val="00240369"/>
    <w:rsid w:val="002415D8"/>
    <w:rsid w:val="002415F8"/>
    <w:rsid w:val="00242092"/>
    <w:rsid w:val="00242A46"/>
    <w:rsid w:val="00243429"/>
    <w:rsid w:val="0024342F"/>
    <w:rsid w:val="002438CB"/>
    <w:rsid w:val="00244C21"/>
    <w:rsid w:val="002450C8"/>
    <w:rsid w:val="00246484"/>
    <w:rsid w:val="0024661A"/>
    <w:rsid w:val="0024698D"/>
    <w:rsid w:val="00246D51"/>
    <w:rsid w:val="00247C4A"/>
    <w:rsid w:val="00250543"/>
    <w:rsid w:val="00250BDD"/>
    <w:rsid w:val="002531E6"/>
    <w:rsid w:val="002534ED"/>
    <w:rsid w:val="002536AD"/>
    <w:rsid w:val="00254772"/>
    <w:rsid w:val="0025486F"/>
    <w:rsid w:val="00254966"/>
    <w:rsid w:val="00254B50"/>
    <w:rsid w:val="00254C5E"/>
    <w:rsid w:val="002554B9"/>
    <w:rsid w:val="00255A83"/>
    <w:rsid w:val="00255C5D"/>
    <w:rsid w:val="00255F00"/>
    <w:rsid w:val="00257065"/>
    <w:rsid w:val="002601FC"/>
    <w:rsid w:val="00260B03"/>
    <w:rsid w:val="00260FA3"/>
    <w:rsid w:val="002611ED"/>
    <w:rsid w:val="00262F3C"/>
    <w:rsid w:val="00263454"/>
    <w:rsid w:val="00263C59"/>
    <w:rsid w:val="0026476F"/>
    <w:rsid w:val="002648B7"/>
    <w:rsid w:val="00264C4B"/>
    <w:rsid w:val="00265536"/>
    <w:rsid w:val="00265CB9"/>
    <w:rsid w:val="00267234"/>
    <w:rsid w:val="00267BB7"/>
    <w:rsid w:val="002708A7"/>
    <w:rsid w:val="0027161E"/>
    <w:rsid w:val="00271A59"/>
    <w:rsid w:val="002722FE"/>
    <w:rsid w:val="0027245E"/>
    <w:rsid w:val="00273710"/>
    <w:rsid w:val="002737A7"/>
    <w:rsid w:val="00273C29"/>
    <w:rsid w:val="00273D76"/>
    <w:rsid w:val="0027475D"/>
    <w:rsid w:val="00274EF9"/>
    <w:rsid w:val="00275091"/>
    <w:rsid w:val="002765F9"/>
    <w:rsid w:val="002766AC"/>
    <w:rsid w:val="002770A9"/>
    <w:rsid w:val="002773DC"/>
    <w:rsid w:val="00277540"/>
    <w:rsid w:val="0027762D"/>
    <w:rsid w:val="00277D19"/>
    <w:rsid w:val="002806C9"/>
    <w:rsid w:val="00280E29"/>
    <w:rsid w:val="002810BF"/>
    <w:rsid w:val="0028146A"/>
    <w:rsid w:val="0028187F"/>
    <w:rsid w:val="00281BF6"/>
    <w:rsid w:val="00281BFD"/>
    <w:rsid w:val="002820BC"/>
    <w:rsid w:val="00282649"/>
    <w:rsid w:val="00282C13"/>
    <w:rsid w:val="00283C05"/>
    <w:rsid w:val="002845A6"/>
    <w:rsid w:val="00284F82"/>
    <w:rsid w:val="002858C0"/>
    <w:rsid w:val="00285C27"/>
    <w:rsid w:val="00285DEB"/>
    <w:rsid w:val="00285E60"/>
    <w:rsid w:val="00287BA8"/>
    <w:rsid w:val="002902F1"/>
    <w:rsid w:val="00290335"/>
    <w:rsid w:val="00290579"/>
    <w:rsid w:val="00290738"/>
    <w:rsid w:val="002919F0"/>
    <w:rsid w:val="00292303"/>
    <w:rsid w:val="00292932"/>
    <w:rsid w:val="00292FAB"/>
    <w:rsid w:val="00293090"/>
    <w:rsid w:val="00293829"/>
    <w:rsid w:val="002943B2"/>
    <w:rsid w:val="002945C9"/>
    <w:rsid w:val="002949F4"/>
    <w:rsid w:val="00295FD7"/>
    <w:rsid w:val="00296239"/>
    <w:rsid w:val="00296715"/>
    <w:rsid w:val="00297008"/>
    <w:rsid w:val="002973F3"/>
    <w:rsid w:val="002A03D6"/>
    <w:rsid w:val="002A1FD6"/>
    <w:rsid w:val="002A2279"/>
    <w:rsid w:val="002A3669"/>
    <w:rsid w:val="002A48FC"/>
    <w:rsid w:val="002A4F87"/>
    <w:rsid w:val="002A52B9"/>
    <w:rsid w:val="002A5305"/>
    <w:rsid w:val="002A56F2"/>
    <w:rsid w:val="002A5AFB"/>
    <w:rsid w:val="002A5EDB"/>
    <w:rsid w:val="002A6DE0"/>
    <w:rsid w:val="002A79D7"/>
    <w:rsid w:val="002B03C9"/>
    <w:rsid w:val="002B29A8"/>
    <w:rsid w:val="002B2F6F"/>
    <w:rsid w:val="002B3208"/>
    <w:rsid w:val="002B3D70"/>
    <w:rsid w:val="002B4B79"/>
    <w:rsid w:val="002B53C0"/>
    <w:rsid w:val="002B5589"/>
    <w:rsid w:val="002B66D0"/>
    <w:rsid w:val="002B67DA"/>
    <w:rsid w:val="002B6BA4"/>
    <w:rsid w:val="002B6C85"/>
    <w:rsid w:val="002B7521"/>
    <w:rsid w:val="002B7FAE"/>
    <w:rsid w:val="002C06E7"/>
    <w:rsid w:val="002C0CAB"/>
    <w:rsid w:val="002C1197"/>
    <w:rsid w:val="002C1567"/>
    <w:rsid w:val="002C2B09"/>
    <w:rsid w:val="002C346D"/>
    <w:rsid w:val="002C4433"/>
    <w:rsid w:val="002C454E"/>
    <w:rsid w:val="002C476E"/>
    <w:rsid w:val="002C4F0C"/>
    <w:rsid w:val="002C6D87"/>
    <w:rsid w:val="002C72D2"/>
    <w:rsid w:val="002C7346"/>
    <w:rsid w:val="002C7512"/>
    <w:rsid w:val="002C75DB"/>
    <w:rsid w:val="002C7A47"/>
    <w:rsid w:val="002C7FD6"/>
    <w:rsid w:val="002D0D03"/>
    <w:rsid w:val="002D0D07"/>
    <w:rsid w:val="002D11A6"/>
    <w:rsid w:val="002D2270"/>
    <w:rsid w:val="002D2C39"/>
    <w:rsid w:val="002D3C5D"/>
    <w:rsid w:val="002D4089"/>
    <w:rsid w:val="002D6413"/>
    <w:rsid w:val="002D78B6"/>
    <w:rsid w:val="002D7DF1"/>
    <w:rsid w:val="002E07AD"/>
    <w:rsid w:val="002E24E1"/>
    <w:rsid w:val="002E268B"/>
    <w:rsid w:val="002E38DE"/>
    <w:rsid w:val="002E3BFB"/>
    <w:rsid w:val="002E3E4F"/>
    <w:rsid w:val="002E4354"/>
    <w:rsid w:val="002E48AB"/>
    <w:rsid w:val="002E4AFC"/>
    <w:rsid w:val="002E606E"/>
    <w:rsid w:val="002E6182"/>
    <w:rsid w:val="002E6910"/>
    <w:rsid w:val="002E6EE8"/>
    <w:rsid w:val="002E7117"/>
    <w:rsid w:val="002E74EC"/>
    <w:rsid w:val="002E75B9"/>
    <w:rsid w:val="002F0285"/>
    <w:rsid w:val="002F132E"/>
    <w:rsid w:val="002F4D32"/>
    <w:rsid w:val="002F6FB4"/>
    <w:rsid w:val="002F775C"/>
    <w:rsid w:val="002F77D4"/>
    <w:rsid w:val="002F7A65"/>
    <w:rsid w:val="002F7AA9"/>
    <w:rsid w:val="003000D4"/>
    <w:rsid w:val="0030049A"/>
    <w:rsid w:val="00300CB9"/>
    <w:rsid w:val="00301896"/>
    <w:rsid w:val="00301EF8"/>
    <w:rsid w:val="0030247C"/>
    <w:rsid w:val="00303783"/>
    <w:rsid w:val="00303DDB"/>
    <w:rsid w:val="00303ED3"/>
    <w:rsid w:val="00303F5B"/>
    <w:rsid w:val="00304425"/>
    <w:rsid w:val="00304C39"/>
    <w:rsid w:val="00304E36"/>
    <w:rsid w:val="003052DE"/>
    <w:rsid w:val="0030546A"/>
    <w:rsid w:val="0030606F"/>
    <w:rsid w:val="0030680D"/>
    <w:rsid w:val="00306B8D"/>
    <w:rsid w:val="0030749F"/>
    <w:rsid w:val="0030758B"/>
    <w:rsid w:val="0030774F"/>
    <w:rsid w:val="00307BB2"/>
    <w:rsid w:val="00307BC2"/>
    <w:rsid w:val="00307CA7"/>
    <w:rsid w:val="003105B0"/>
    <w:rsid w:val="00310B3D"/>
    <w:rsid w:val="00311776"/>
    <w:rsid w:val="00311BA2"/>
    <w:rsid w:val="00311D1A"/>
    <w:rsid w:val="00311D6D"/>
    <w:rsid w:val="0031201B"/>
    <w:rsid w:val="00312CCC"/>
    <w:rsid w:val="00313131"/>
    <w:rsid w:val="00313B1D"/>
    <w:rsid w:val="0031434A"/>
    <w:rsid w:val="00314614"/>
    <w:rsid w:val="003147B6"/>
    <w:rsid w:val="00314DBB"/>
    <w:rsid w:val="0031657D"/>
    <w:rsid w:val="00317F48"/>
    <w:rsid w:val="00320002"/>
    <w:rsid w:val="003202AF"/>
    <w:rsid w:val="00320563"/>
    <w:rsid w:val="003207D9"/>
    <w:rsid w:val="003220F9"/>
    <w:rsid w:val="00322AE3"/>
    <w:rsid w:val="0032320E"/>
    <w:rsid w:val="003244C0"/>
    <w:rsid w:val="003247A0"/>
    <w:rsid w:val="00324AB8"/>
    <w:rsid w:val="003254BF"/>
    <w:rsid w:val="00325515"/>
    <w:rsid w:val="003260D3"/>
    <w:rsid w:val="00326368"/>
    <w:rsid w:val="00326620"/>
    <w:rsid w:val="00326C52"/>
    <w:rsid w:val="003277F4"/>
    <w:rsid w:val="003278E9"/>
    <w:rsid w:val="00327E78"/>
    <w:rsid w:val="00331477"/>
    <w:rsid w:val="0033197C"/>
    <w:rsid w:val="00332198"/>
    <w:rsid w:val="003327CB"/>
    <w:rsid w:val="00332ABB"/>
    <w:rsid w:val="0033361E"/>
    <w:rsid w:val="00333FBB"/>
    <w:rsid w:val="0033494F"/>
    <w:rsid w:val="00335536"/>
    <w:rsid w:val="00335C6B"/>
    <w:rsid w:val="003366BF"/>
    <w:rsid w:val="00336857"/>
    <w:rsid w:val="0033707D"/>
    <w:rsid w:val="00337C7B"/>
    <w:rsid w:val="00340E5F"/>
    <w:rsid w:val="00342DF4"/>
    <w:rsid w:val="00343446"/>
    <w:rsid w:val="003434C2"/>
    <w:rsid w:val="00344626"/>
    <w:rsid w:val="00344A03"/>
    <w:rsid w:val="00344BB4"/>
    <w:rsid w:val="003453C0"/>
    <w:rsid w:val="003460E2"/>
    <w:rsid w:val="003464B1"/>
    <w:rsid w:val="00346A83"/>
    <w:rsid w:val="00347A07"/>
    <w:rsid w:val="00350251"/>
    <w:rsid w:val="00350410"/>
    <w:rsid w:val="0035080D"/>
    <w:rsid w:val="0035106C"/>
    <w:rsid w:val="003515DB"/>
    <w:rsid w:val="00352041"/>
    <w:rsid w:val="0035308A"/>
    <w:rsid w:val="00353BAA"/>
    <w:rsid w:val="00354C3F"/>
    <w:rsid w:val="00355DC2"/>
    <w:rsid w:val="00355DCA"/>
    <w:rsid w:val="0035732A"/>
    <w:rsid w:val="00357859"/>
    <w:rsid w:val="0036011A"/>
    <w:rsid w:val="00360A70"/>
    <w:rsid w:val="00361144"/>
    <w:rsid w:val="00361700"/>
    <w:rsid w:val="003625A1"/>
    <w:rsid w:val="00363BA5"/>
    <w:rsid w:val="00363BB9"/>
    <w:rsid w:val="00364065"/>
    <w:rsid w:val="00364E1C"/>
    <w:rsid w:val="00365252"/>
    <w:rsid w:val="00366324"/>
    <w:rsid w:val="003664AE"/>
    <w:rsid w:val="00366591"/>
    <w:rsid w:val="00367148"/>
    <w:rsid w:val="003671EC"/>
    <w:rsid w:val="00367ABF"/>
    <w:rsid w:val="00370508"/>
    <w:rsid w:val="0037079D"/>
    <w:rsid w:val="003708D4"/>
    <w:rsid w:val="00370B48"/>
    <w:rsid w:val="00370E9E"/>
    <w:rsid w:val="00371A20"/>
    <w:rsid w:val="00371F83"/>
    <w:rsid w:val="00372F0E"/>
    <w:rsid w:val="0037389C"/>
    <w:rsid w:val="00373F3F"/>
    <w:rsid w:val="00373FE7"/>
    <w:rsid w:val="003745DC"/>
    <w:rsid w:val="00374C1F"/>
    <w:rsid w:val="00375242"/>
    <w:rsid w:val="0037542A"/>
    <w:rsid w:val="003766AD"/>
    <w:rsid w:val="003778E7"/>
    <w:rsid w:val="00377FD8"/>
    <w:rsid w:val="00380E83"/>
    <w:rsid w:val="003811A3"/>
    <w:rsid w:val="00381890"/>
    <w:rsid w:val="0038197E"/>
    <w:rsid w:val="003827DB"/>
    <w:rsid w:val="00383B53"/>
    <w:rsid w:val="00383C5D"/>
    <w:rsid w:val="00384773"/>
    <w:rsid w:val="00384C73"/>
    <w:rsid w:val="003853D4"/>
    <w:rsid w:val="00385C43"/>
    <w:rsid w:val="003878C5"/>
    <w:rsid w:val="00387F34"/>
    <w:rsid w:val="0039012E"/>
    <w:rsid w:val="0039027B"/>
    <w:rsid w:val="003908FB"/>
    <w:rsid w:val="00390BA7"/>
    <w:rsid w:val="003911CD"/>
    <w:rsid w:val="00391E34"/>
    <w:rsid w:val="00391ECC"/>
    <w:rsid w:val="003921A6"/>
    <w:rsid w:val="00392D61"/>
    <w:rsid w:val="00393247"/>
    <w:rsid w:val="0039372F"/>
    <w:rsid w:val="00394A7F"/>
    <w:rsid w:val="00395D17"/>
    <w:rsid w:val="003967FF"/>
    <w:rsid w:val="0039688B"/>
    <w:rsid w:val="00396B22"/>
    <w:rsid w:val="00397617"/>
    <w:rsid w:val="003979E7"/>
    <w:rsid w:val="00397EDC"/>
    <w:rsid w:val="003A04EA"/>
    <w:rsid w:val="003A1A25"/>
    <w:rsid w:val="003A26FB"/>
    <w:rsid w:val="003A27A4"/>
    <w:rsid w:val="003A36A5"/>
    <w:rsid w:val="003A588B"/>
    <w:rsid w:val="003A5CF7"/>
    <w:rsid w:val="003A5FE1"/>
    <w:rsid w:val="003A6734"/>
    <w:rsid w:val="003A6AF1"/>
    <w:rsid w:val="003A7B47"/>
    <w:rsid w:val="003B0E33"/>
    <w:rsid w:val="003B0E42"/>
    <w:rsid w:val="003B0F2A"/>
    <w:rsid w:val="003B2052"/>
    <w:rsid w:val="003B2252"/>
    <w:rsid w:val="003B2F81"/>
    <w:rsid w:val="003B3EC4"/>
    <w:rsid w:val="003B498E"/>
    <w:rsid w:val="003B501B"/>
    <w:rsid w:val="003B5135"/>
    <w:rsid w:val="003B541B"/>
    <w:rsid w:val="003B7315"/>
    <w:rsid w:val="003B7650"/>
    <w:rsid w:val="003B7E60"/>
    <w:rsid w:val="003C085F"/>
    <w:rsid w:val="003C0AF0"/>
    <w:rsid w:val="003C0F1F"/>
    <w:rsid w:val="003C12C9"/>
    <w:rsid w:val="003C246B"/>
    <w:rsid w:val="003C24A5"/>
    <w:rsid w:val="003C255D"/>
    <w:rsid w:val="003C3C72"/>
    <w:rsid w:val="003C4252"/>
    <w:rsid w:val="003C43BB"/>
    <w:rsid w:val="003C4801"/>
    <w:rsid w:val="003C4DC3"/>
    <w:rsid w:val="003C6A2D"/>
    <w:rsid w:val="003C743B"/>
    <w:rsid w:val="003D04FE"/>
    <w:rsid w:val="003D06B6"/>
    <w:rsid w:val="003D0C92"/>
    <w:rsid w:val="003D1096"/>
    <w:rsid w:val="003D12C1"/>
    <w:rsid w:val="003D1620"/>
    <w:rsid w:val="003D1ACA"/>
    <w:rsid w:val="003D1D5F"/>
    <w:rsid w:val="003D2941"/>
    <w:rsid w:val="003D2CF3"/>
    <w:rsid w:val="003D2F61"/>
    <w:rsid w:val="003D32AD"/>
    <w:rsid w:val="003D3ABC"/>
    <w:rsid w:val="003D3EB3"/>
    <w:rsid w:val="003D3F43"/>
    <w:rsid w:val="003D50BA"/>
    <w:rsid w:val="003D50E5"/>
    <w:rsid w:val="003D52F2"/>
    <w:rsid w:val="003D59B6"/>
    <w:rsid w:val="003D61E0"/>
    <w:rsid w:val="003D6352"/>
    <w:rsid w:val="003D6413"/>
    <w:rsid w:val="003D6C83"/>
    <w:rsid w:val="003D78A4"/>
    <w:rsid w:val="003D7C33"/>
    <w:rsid w:val="003E04E6"/>
    <w:rsid w:val="003E17F7"/>
    <w:rsid w:val="003E19B9"/>
    <w:rsid w:val="003E259D"/>
    <w:rsid w:val="003E412B"/>
    <w:rsid w:val="003E423C"/>
    <w:rsid w:val="003E4954"/>
    <w:rsid w:val="003E54E4"/>
    <w:rsid w:val="003E6677"/>
    <w:rsid w:val="003E6BF9"/>
    <w:rsid w:val="003E6E57"/>
    <w:rsid w:val="003E7F30"/>
    <w:rsid w:val="003F0486"/>
    <w:rsid w:val="003F0EE5"/>
    <w:rsid w:val="003F0FA4"/>
    <w:rsid w:val="003F1605"/>
    <w:rsid w:val="003F29D7"/>
    <w:rsid w:val="003F2D48"/>
    <w:rsid w:val="003F3FB4"/>
    <w:rsid w:val="003F5282"/>
    <w:rsid w:val="003F57A9"/>
    <w:rsid w:val="003F6289"/>
    <w:rsid w:val="003F6704"/>
    <w:rsid w:val="003F67FB"/>
    <w:rsid w:val="003F68F4"/>
    <w:rsid w:val="003F79DB"/>
    <w:rsid w:val="003F7B56"/>
    <w:rsid w:val="0040008C"/>
    <w:rsid w:val="004001BA"/>
    <w:rsid w:val="00400377"/>
    <w:rsid w:val="00401887"/>
    <w:rsid w:val="00402323"/>
    <w:rsid w:val="004056D3"/>
    <w:rsid w:val="00405CD2"/>
    <w:rsid w:val="0040650C"/>
    <w:rsid w:val="00406DC1"/>
    <w:rsid w:val="004073C2"/>
    <w:rsid w:val="00407828"/>
    <w:rsid w:val="00410CCD"/>
    <w:rsid w:val="00411B3C"/>
    <w:rsid w:val="00411C2F"/>
    <w:rsid w:val="0041234B"/>
    <w:rsid w:val="00412BCA"/>
    <w:rsid w:val="00413625"/>
    <w:rsid w:val="00413E49"/>
    <w:rsid w:val="004147D0"/>
    <w:rsid w:val="00415089"/>
    <w:rsid w:val="00415237"/>
    <w:rsid w:val="0041566A"/>
    <w:rsid w:val="00415B97"/>
    <w:rsid w:val="004163A0"/>
    <w:rsid w:val="004163CD"/>
    <w:rsid w:val="00416906"/>
    <w:rsid w:val="00416C59"/>
    <w:rsid w:val="004171F3"/>
    <w:rsid w:val="00417A01"/>
    <w:rsid w:val="004200F3"/>
    <w:rsid w:val="00420986"/>
    <w:rsid w:val="004216A6"/>
    <w:rsid w:val="00421716"/>
    <w:rsid w:val="00421923"/>
    <w:rsid w:val="0042240D"/>
    <w:rsid w:val="00422B7C"/>
    <w:rsid w:val="00422D6C"/>
    <w:rsid w:val="00423126"/>
    <w:rsid w:val="00423CFA"/>
    <w:rsid w:val="00424197"/>
    <w:rsid w:val="0042486A"/>
    <w:rsid w:val="00425B38"/>
    <w:rsid w:val="00426656"/>
    <w:rsid w:val="00426F97"/>
    <w:rsid w:val="00427320"/>
    <w:rsid w:val="00427A49"/>
    <w:rsid w:val="00427CB4"/>
    <w:rsid w:val="00430701"/>
    <w:rsid w:val="00430899"/>
    <w:rsid w:val="00431037"/>
    <w:rsid w:val="004319DC"/>
    <w:rsid w:val="00431D04"/>
    <w:rsid w:val="004327B8"/>
    <w:rsid w:val="00433012"/>
    <w:rsid w:val="004335D2"/>
    <w:rsid w:val="004339A7"/>
    <w:rsid w:val="00433C20"/>
    <w:rsid w:val="00433F5D"/>
    <w:rsid w:val="00435259"/>
    <w:rsid w:val="00435E80"/>
    <w:rsid w:val="00436006"/>
    <w:rsid w:val="00437302"/>
    <w:rsid w:val="004400C4"/>
    <w:rsid w:val="00440B80"/>
    <w:rsid w:val="00440BDB"/>
    <w:rsid w:val="00440C3C"/>
    <w:rsid w:val="00440F54"/>
    <w:rsid w:val="00441A83"/>
    <w:rsid w:val="00441EAA"/>
    <w:rsid w:val="00442B85"/>
    <w:rsid w:val="004436AC"/>
    <w:rsid w:val="004455C5"/>
    <w:rsid w:val="00446024"/>
    <w:rsid w:val="00447902"/>
    <w:rsid w:val="00450E83"/>
    <w:rsid w:val="00451E90"/>
    <w:rsid w:val="00452CC0"/>
    <w:rsid w:val="00453097"/>
    <w:rsid w:val="0045415E"/>
    <w:rsid w:val="00454CD1"/>
    <w:rsid w:val="00454D2B"/>
    <w:rsid w:val="004560BA"/>
    <w:rsid w:val="00456827"/>
    <w:rsid w:val="0045685D"/>
    <w:rsid w:val="004571BE"/>
    <w:rsid w:val="004574D6"/>
    <w:rsid w:val="00457675"/>
    <w:rsid w:val="004607B0"/>
    <w:rsid w:val="004607EF"/>
    <w:rsid w:val="00460838"/>
    <w:rsid w:val="004619CB"/>
    <w:rsid w:val="00461ABE"/>
    <w:rsid w:val="00461C0F"/>
    <w:rsid w:val="00461F16"/>
    <w:rsid w:val="004637F0"/>
    <w:rsid w:val="00464971"/>
    <w:rsid w:val="00465204"/>
    <w:rsid w:val="00465AF6"/>
    <w:rsid w:val="00465B88"/>
    <w:rsid w:val="004662F2"/>
    <w:rsid w:val="00466313"/>
    <w:rsid w:val="00466FCE"/>
    <w:rsid w:val="0046718F"/>
    <w:rsid w:val="00467332"/>
    <w:rsid w:val="00467431"/>
    <w:rsid w:val="0046762F"/>
    <w:rsid w:val="00467695"/>
    <w:rsid w:val="00472115"/>
    <w:rsid w:val="0047267A"/>
    <w:rsid w:val="004727E0"/>
    <w:rsid w:val="004739A4"/>
    <w:rsid w:val="0047497A"/>
    <w:rsid w:val="00475A4B"/>
    <w:rsid w:val="00475A51"/>
    <w:rsid w:val="004767C6"/>
    <w:rsid w:val="00477A21"/>
    <w:rsid w:val="00477A27"/>
    <w:rsid w:val="00477DD1"/>
    <w:rsid w:val="00480722"/>
    <w:rsid w:val="004807A2"/>
    <w:rsid w:val="00480871"/>
    <w:rsid w:val="00480F03"/>
    <w:rsid w:val="0048114D"/>
    <w:rsid w:val="00481272"/>
    <w:rsid w:val="004813C1"/>
    <w:rsid w:val="00481524"/>
    <w:rsid w:val="004816E6"/>
    <w:rsid w:val="00482A8F"/>
    <w:rsid w:val="00482CA4"/>
    <w:rsid w:val="004830D1"/>
    <w:rsid w:val="00483C60"/>
    <w:rsid w:val="00483DB9"/>
    <w:rsid w:val="00484414"/>
    <w:rsid w:val="00484EFE"/>
    <w:rsid w:val="00485224"/>
    <w:rsid w:val="00485BF6"/>
    <w:rsid w:val="0048656A"/>
    <w:rsid w:val="00486628"/>
    <w:rsid w:val="00486635"/>
    <w:rsid w:val="0048786A"/>
    <w:rsid w:val="00490B41"/>
    <w:rsid w:val="00490C0E"/>
    <w:rsid w:val="00491853"/>
    <w:rsid w:val="0049272A"/>
    <w:rsid w:val="00492815"/>
    <w:rsid w:val="0049298D"/>
    <w:rsid w:val="00492D54"/>
    <w:rsid w:val="00494AE7"/>
    <w:rsid w:val="00495190"/>
    <w:rsid w:val="004966CA"/>
    <w:rsid w:val="00496701"/>
    <w:rsid w:val="00496811"/>
    <w:rsid w:val="00496EBC"/>
    <w:rsid w:val="004972FD"/>
    <w:rsid w:val="0049789A"/>
    <w:rsid w:val="004978AA"/>
    <w:rsid w:val="004A1077"/>
    <w:rsid w:val="004A11B5"/>
    <w:rsid w:val="004A1A12"/>
    <w:rsid w:val="004A340C"/>
    <w:rsid w:val="004A359F"/>
    <w:rsid w:val="004A372D"/>
    <w:rsid w:val="004A41C7"/>
    <w:rsid w:val="004A43B5"/>
    <w:rsid w:val="004A4C37"/>
    <w:rsid w:val="004A5954"/>
    <w:rsid w:val="004A5BBE"/>
    <w:rsid w:val="004A5E3D"/>
    <w:rsid w:val="004A67BB"/>
    <w:rsid w:val="004A6FB1"/>
    <w:rsid w:val="004A7628"/>
    <w:rsid w:val="004A7B75"/>
    <w:rsid w:val="004A7C05"/>
    <w:rsid w:val="004B0C34"/>
    <w:rsid w:val="004B1523"/>
    <w:rsid w:val="004B155D"/>
    <w:rsid w:val="004B2B1E"/>
    <w:rsid w:val="004B2D10"/>
    <w:rsid w:val="004B3669"/>
    <w:rsid w:val="004B46E2"/>
    <w:rsid w:val="004B4883"/>
    <w:rsid w:val="004B4BCE"/>
    <w:rsid w:val="004B4E2E"/>
    <w:rsid w:val="004B56E6"/>
    <w:rsid w:val="004B5CA3"/>
    <w:rsid w:val="004B5F2F"/>
    <w:rsid w:val="004B6097"/>
    <w:rsid w:val="004B6BE4"/>
    <w:rsid w:val="004B71E2"/>
    <w:rsid w:val="004B76C5"/>
    <w:rsid w:val="004C042A"/>
    <w:rsid w:val="004C0B2D"/>
    <w:rsid w:val="004C1475"/>
    <w:rsid w:val="004C1B34"/>
    <w:rsid w:val="004C2425"/>
    <w:rsid w:val="004C2796"/>
    <w:rsid w:val="004C3841"/>
    <w:rsid w:val="004C517C"/>
    <w:rsid w:val="004C6375"/>
    <w:rsid w:val="004C6E63"/>
    <w:rsid w:val="004C75F2"/>
    <w:rsid w:val="004C7B93"/>
    <w:rsid w:val="004C7D22"/>
    <w:rsid w:val="004D02DF"/>
    <w:rsid w:val="004D187D"/>
    <w:rsid w:val="004D1D19"/>
    <w:rsid w:val="004D2DC2"/>
    <w:rsid w:val="004D4BC5"/>
    <w:rsid w:val="004D6053"/>
    <w:rsid w:val="004D616B"/>
    <w:rsid w:val="004D64F9"/>
    <w:rsid w:val="004D6674"/>
    <w:rsid w:val="004D7E9D"/>
    <w:rsid w:val="004E0AD9"/>
    <w:rsid w:val="004E1F02"/>
    <w:rsid w:val="004E260F"/>
    <w:rsid w:val="004E26B7"/>
    <w:rsid w:val="004E2BE0"/>
    <w:rsid w:val="004E2E98"/>
    <w:rsid w:val="004E31BC"/>
    <w:rsid w:val="004E3220"/>
    <w:rsid w:val="004E4018"/>
    <w:rsid w:val="004E6421"/>
    <w:rsid w:val="004E6C41"/>
    <w:rsid w:val="004E6D02"/>
    <w:rsid w:val="004E7262"/>
    <w:rsid w:val="004E747D"/>
    <w:rsid w:val="004E784C"/>
    <w:rsid w:val="004E7893"/>
    <w:rsid w:val="004E7C7D"/>
    <w:rsid w:val="004F179F"/>
    <w:rsid w:val="004F1D7A"/>
    <w:rsid w:val="004F22BC"/>
    <w:rsid w:val="004F22C2"/>
    <w:rsid w:val="004F2432"/>
    <w:rsid w:val="004F3CD4"/>
    <w:rsid w:val="004F451A"/>
    <w:rsid w:val="004F4E3F"/>
    <w:rsid w:val="004F4EC6"/>
    <w:rsid w:val="004F5C1A"/>
    <w:rsid w:val="004F6570"/>
    <w:rsid w:val="004F76C1"/>
    <w:rsid w:val="00500427"/>
    <w:rsid w:val="005012C6"/>
    <w:rsid w:val="005015B4"/>
    <w:rsid w:val="0050176C"/>
    <w:rsid w:val="00501AC1"/>
    <w:rsid w:val="00502314"/>
    <w:rsid w:val="00504C45"/>
    <w:rsid w:val="005057EB"/>
    <w:rsid w:val="00505E13"/>
    <w:rsid w:val="00505E2B"/>
    <w:rsid w:val="0051010C"/>
    <w:rsid w:val="005103D2"/>
    <w:rsid w:val="00510E0E"/>
    <w:rsid w:val="00511382"/>
    <w:rsid w:val="00511DF1"/>
    <w:rsid w:val="0051381E"/>
    <w:rsid w:val="0051381F"/>
    <w:rsid w:val="005142D7"/>
    <w:rsid w:val="005142FE"/>
    <w:rsid w:val="00514764"/>
    <w:rsid w:val="005169AA"/>
    <w:rsid w:val="00516CA6"/>
    <w:rsid w:val="00516E06"/>
    <w:rsid w:val="00517630"/>
    <w:rsid w:val="00517729"/>
    <w:rsid w:val="00520497"/>
    <w:rsid w:val="00521C08"/>
    <w:rsid w:val="0052237D"/>
    <w:rsid w:val="005241E3"/>
    <w:rsid w:val="005249FF"/>
    <w:rsid w:val="00524A89"/>
    <w:rsid w:val="00524FD5"/>
    <w:rsid w:val="005251EE"/>
    <w:rsid w:val="00525738"/>
    <w:rsid w:val="00525BCB"/>
    <w:rsid w:val="00526554"/>
    <w:rsid w:val="00526AF5"/>
    <w:rsid w:val="00526FAF"/>
    <w:rsid w:val="0052714A"/>
    <w:rsid w:val="0052740E"/>
    <w:rsid w:val="005279BD"/>
    <w:rsid w:val="005312C5"/>
    <w:rsid w:val="00532079"/>
    <w:rsid w:val="0053289D"/>
    <w:rsid w:val="00533170"/>
    <w:rsid w:val="005334D4"/>
    <w:rsid w:val="005341E7"/>
    <w:rsid w:val="00534335"/>
    <w:rsid w:val="0053474C"/>
    <w:rsid w:val="00535837"/>
    <w:rsid w:val="00535E16"/>
    <w:rsid w:val="00535F19"/>
    <w:rsid w:val="00536617"/>
    <w:rsid w:val="005366CD"/>
    <w:rsid w:val="00537914"/>
    <w:rsid w:val="005403D7"/>
    <w:rsid w:val="005405C6"/>
    <w:rsid w:val="00541149"/>
    <w:rsid w:val="00541C36"/>
    <w:rsid w:val="00541DEA"/>
    <w:rsid w:val="00542A86"/>
    <w:rsid w:val="00542AF5"/>
    <w:rsid w:val="00542BBA"/>
    <w:rsid w:val="005430C8"/>
    <w:rsid w:val="00543B34"/>
    <w:rsid w:val="00544E8A"/>
    <w:rsid w:val="00546836"/>
    <w:rsid w:val="00546D35"/>
    <w:rsid w:val="00546FAC"/>
    <w:rsid w:val="00547E5C"/>
    <w:rsid w:val="00547EA3"/>
    <w:rsid w:val="00550FC6"/>
    <w:rsid w:val="00551A02"/>
    <w:rsid w:val="00551EA8"/>
    <w:rsid w:val="0055349F"/>
    <w:rsid w:val="005534FA"/>
    <w:rsid w:val="00553F11"/>
    <w:rsid w:val="00554FEC"/>
    <w:rsid w:val="005554DF"/>
    <w:rsid w:val="00555AA2"/>
    <w:rsid w:val="00555E0B"/>
    <w:rsid w:val="00556EBC"/>
    <w:rsid w:val="00557251"/>
    <w:rsid w:val="0055742E"/>
    <w:rsid w:val="00557ECA"/>
    <w:rsid w:val="005601FC"/>
    <w:rsid w:val="0056136B"/>
    <w:rsid w:val="005627CA"/>
    <w:rsid w:val="00562D14"/>
    <w:rsid w:val="0056403F"/>
    <w:rsid w:val="00564968"/>
    <w:rsid w:val="00564DA2"/>
    <w:rsid w:val="00564E94"/>
    <w:rsid w:val="00565657"/>
    <w:rsid w:val="00566585"/>
    <w:rsid w:val="00566841"/>
    <w:rsid w:val="005671B3"/>
    <w:rsid w:val="0056781E"/>
    <w:rsid w:val="00567B5A"/>
    <w:rsid w:val="00567B6C"/>
    <w:rsid w:val="00567C91"/>
    <w:rsid w:val="00567DD6"/>
    <w:rsid w:val="005701B0"/>
    <w:rsid w:val="005704F4"/>
    <w:rsid w:val="00570F59"/>
    <w:rsid w:val="00571C54"/>
    <w:rsid w:val="00571C95"/>
    <w:rsid w:val="00571CEB"/>
    <w:rsid w:val="00571E18"/>
    <w:rsid w:val="00572A88"/>
    <w:rsid w:val="00572B9C"/>
    <w:rsid w:val="00572D08"/>
    <w:rsid w:val="00573385"/>
    <w:rsid w:val="00574283"/>
    <w:rsid w:val="005746D0"/>
    <w:rsid w:val="00574952"/>
    <w:rsid w:val="00574D00"/>
    <w:rsid w:val="0057524E"/>
    <w:rsid w:val="005753C2"/>
    <w:rsid w:val="0057597F"/>
    <w:rsid w:val="00575A42"/>
    <w:rsid w:val="00575C5A"/>
    <w:rsid w:val="00576535"/>
    <w:rsid w:val="0057665D"/>
    <w:rsid w:val="00576726"/>
    <w:rsid w:val="00577AB9"/>
    <w:rsid w:val="005802E3"/>
    <w:rsid w:val="00581244"/>
    <w:rsid w:val="005821D8"/>
    <w:rsid w:val="00582233"/>
    <w:rsid w:val="005824CD"/>
    <w:rsid w:val="00583981"/>
    <w:rsid w:val="0058407A"/>
    <w:rsid w:val="00584B12"/>
    <w:rsid w:val="00585BF1"/>
    <w:rsid w:val="005860CF"/>
    <w:rsid w:val="00587177"/>
    <w:rsid w:val="005871AD"/>
    <w:rsid w:val="005873CE"/>
    <w:rsid w:val="005875D4"/>
    <w:rsid w:val="00587E56"/>
    <w:rsid w:val="00587F0C"/>
    <w:rsid w:val="00587F2E"/>
    <w:rsid w:val="005903BD"/>
    <w:rsid w:val="00590971"/>
    <w:rsid w:val="0059150F"/>
    <w:rsid w:val="005918C6"/>
    <w:rsid w:val="00592B7F"/>
    <w:rsid w:val="0059361C"/>
    <w:rsid w:val="00594461"/>
    <w:rsid w:val="00595C7D"/>
    <w:rsid w:val="0059778E"/>
    <w:rsid w:val="005A039D"/>
    <w:rsid w:val="005A120A"/>
    <w:rsid w:val="005A17B6"/>
    <w:rsid w:val="005A1ECE"/>
    <w:rsid w:val="005A2306"/>
    <w:rsid w:val="005A2459"/>
    <w:rsid w:val="005A267B"/>
    <w:rsid w:val="005A26BF"/>
    <w:rsid w:val="005A2878"/>
    <w:rsid w:val="005A2C34"/>
    <w:rsid w:val="005A39AE"/>
    <w:rsid w:val="005A5805"/>
    <w:rsid w:val="005A6088"/>
    <w:rsid w:val="005A68D9"/>
    <w:rsid w:val="005A71DB"/>
    <w:rsid w:val="005A7515"/>
    <w:rsid w:val="005A7625"/>
    <w:rsid w:val="005B03C3"/>
    <w:rsid w:val="005B048A"/>
    <w:rsid w:val="005B07D8"/>
    <w:rsid w:val="005B0CC6"/>
    <w:rsid w:val="005B137A"/>
    <w:rsid w:val="005B3E6C"/>
    <w:rsid w:val="005B559A"/>
    <w:rsid w:val="005B584F"/>
    <w:rsid w:val="005B58D9"/>
    <w:rsid w:val="005B592E"/>
    <w:rsid w:val="005B6161"/>
    <w:rsid w:val="005B68A9"/>
    <w:rsid w:val="005B69FD"/>
    <w:rsid w:val="005B6B71"/>
    <w:rsid w:val="005B6C1F"/>
    <w:rsid w:val="005B723A"/>
    <w:rsid w:val="005B7948"/>
    <w:rsid w:val="005B79DE"/>
    <w:rsid w:val="005B7F8D"/>
    <w:rsid w:val="005C0E18"/>
    <w:rsid w:val="005C2A85"/>
    <w:rsid w:val="005C323D"/>
    <w:rsid w:val="005C43AF"/>
    <w:rsid w:val="005C4F07"/>
    <w:rsid w:val="005C5C61"/>
    <w:rsid w:val="005C5F1A"/>
    <w:rsid w:val="005C6C17"/>
    <w:rsid w:val="005C6E76"/>
    <w:rsid w:val="005C76E1"/>
    <w:rsid w:val="005C7A9F"/>
    <w:rsid w:val="005D0582"/>
    <w:rsid w:val="005D0AF1"/>
    <w:rsid w:val="005D0C38"/>
    <w:rsid w:val="005D14A6"/>
    <w:rsid w:val="005D27B1"/>
    <w:rsid w:val="005D2B62"/>
    <w:rsid w:val="005D3185"/>
    <w:rsid w:val="005D357D"/>
    <w:rsid w:val="005D3A03"/>
    <w:rsid w:val="005D3F5C"/>
    <w:rsid w:val="005D4160"/>
    <w:rsid w:val="005D466C"/>
    <w:rsid w:val="005D469F"/>
    <w:rsid w:val="005D4DD1"/>
    <w:rsid w:val="005D4F80"/>
    <w:rsid w:val="005D5375"/>
    <w:rsid w:val="005E02D8"/>
    <w:rsid w:val="005E19E9"/>
    <w:rsid w:val="005E27E0"/>
    <w:rsid w:val="005E2A7E"/>
    <w:rsid w:val="005E3B7B"/>
    <w:rsid w:val="005E3BFC"/>
    <w:rsid w:val="005E3D96"/>
    <w:rsid w:val="005E4D07"/>
    <w:rsid w:val="005E4D29"/>
    <w:rsid w:val="005E5522"/>
    <w:rsid w:val="005E6CEE"/>
    <w:rsid w:val="005E727F"/>
    <w:rsid w:val="005E7426"/>
    <w:rsid w:val="005F03CB"/>
    <w:rsid w:val="005F03EC"/>
    <w:rsid w:val="005F242E"/>
    <w:rsid w:val="005F2746"/>
    <w:rsid w:val="005F34BF"/>
    <w:rsid w:val="005F36C7"/>
    <w:rsid w:val="005F39C9"/>
    <w:rsid w:val="005F43CA"/>
    <w:rsid w:val="005F48F9"/>
    <w:rsid w:val="005F4D5C"/>
    <w:rsid w:val="005F5431"/>
    <w:rsid w:val="005F5714"/>
    <w:rsid w:val="005F5964"/>
    <w:rsid w:val="005F59A0"/>
    <w:rsid w:val="005F5A11"/>
    <w:rsid w:val="005F5DBB"/>
    <w:rsid w:val="005F6016"/>
    <w:rsid w:val="005F612B"/>
    <w:rsid w:val="005F70EB"/>
    <w:rsid w:val="00600037"/>
    <w:rsid w:val="00601C7D"/>
    <w:rsid w:val="00602858"/>
    <w:rsid w:val="00602BD1"/>
    <w:rsid w:val="006031F8"/>
    <w:rsid w:val="00603258"/>
    <w:rsid w:val="00603750"/>
    <w:rsid w:val="0060455D"/>
    <w:rsid w:val="00604AC2"/>
    <w:rsid w:val="00605AAE"/>
    <w:rsid w:val="00605E3C"/>
    <w:rsid w:val="00605FD6"/>
    <w:rsid w:val="006064E1"/>
    <w:rsid w:val="006066B0"/>
    <w:rsid w:val="00606CCD"/>
    <w:rsid w:val="00607445"/>
    <w:rsid w:val="00607BF8"/>
    <w:rsid w:val="00610711"/>
    <w:rsid w:val="00610A93"/>
    <w:rsid w:val="00610DC6"/>
    <w:rsid w:val="00611178"/>
    <w:rsid w:val="006121C1"/>
    <w:rsid w:val="0061253C"/>
    <w:rsid w:val="006137E0"/>
    <w:rsid w:val="006141C4"/>
    <w:rsid w:val="00614C7B"/>
    <w:rsid w:val="006156F6"/>
    <w:rsid w:val="006163F8"/>
    <w:rsid w:val="00616D3E"/>
    <w:rsid w:val="0061735C"/>
    <w:rsid w:val="00617706"/>
    <w:rsid w:val="006177C1"/>
    <w:rsid w:val="0062004B"/>
    <w:rsid w:val="006203E5"/>
    <w:rsid w:val="00620632"/>
    <w:rsid w:val="00623595"/>
    <w:rsid w:val="00623D1C"/>
    <w:rsid w:val="00624FE2"/>
    <w:rsid w:val="00625BD7"/>
    <w:rsid w:val="00625F90"/>
    <w:rsid w:val="006262B8"/>
    <w:rsid w:val="00626C8D"/>
    <w:rsid w:val="00627DE0"/>
    <w:rsid w:val="006303A3"/>
    <w:rsid w:val="006312FD"/>
    <w:rsid w:val="0063259D"/>
    <w:rsid w:val="00632D23"/>
    <w:rsid w:val="00633641"/>
    <w:rsid w:val="00633B08"/>
    <w:rsid w:val="00635438"/>
    <w:rsid w:val="0063596F"/>
    <w:rsid w:val="00635C6F"/>
    <w:rsid w:val="006360BF"/>
    <w:rsid w:val="006367C2"/>
    <w:rsid w:val="00636BFD"/>
    <w:rsid w:val="00636E44"/>
    <w:rsid w:val="006371AA"/>
    <w:rsid w:val="006374CE"/>
    <w:rsid w:val="00637FC4"/>
    <w:rsid w:val="006407E7"/>
    <w:rsid w:val="00640E8A"/>
    <w:rsid w:val="006410E2"/>
    <w:rsid w:val="006410F5"/>
    <w:rsid w:val="00641B6D"/>
    <w:rsid w:val="00642846"/>
    <w:rsid w:val="00642970"/>
    <w:rsid w:val="00642A8F"/>
    <w:rsid w:val="006444F1"/>
    <w:rsid w:val="00644754"/>
    <w:rsid w:val="00644CDA"/>
    <w:rsid w:val="00645281"/>
    <w:rsid w:val="006458AF"/>
    <w:rsid w:val="0064605B"/>
    <w:rsid w:val="006464A7"/>
    <w:rsid w:val="00646778"/>
    <w:rsid w:val="006474B9"/>
    <w:rsid w:val="006477BF"/>
    <w:rsid w:val="00650345"/>
    <w:rsid w:val="00651073"/>
    <w:rsid w:val="00653051"/>
    <w:rsid w:val="00653724"/>
    <w:rsid w:val="00653F40"/>
    <w:rsid w:val="00653F8F"/>
    <w:rsid w:val="006543CF"/>
    <w:rsid w:val="00654872"/>
    <w:rsid w:val="00654D83"/>
    <w:rsid w:val="00655A5C"/>
    <w:rsid w:val="00655B6A"/>
    <w:rsid w:val="006561CB"/>
    <w:rsid w:val="00656255"/>
    <w:rsid w:val="0065689A"/>
    <w:rsid w:val="0066143C"/>
    <w:rsid w:val="00662040"/>
    <w:rsid w:val="0066212A"/>
    <w:rsid w:val="006623D7"/>
    <w:rsid w:val="006637A0"/>
    <w:rsid w:val="00664F6B"/>
    <w:rsid w:val="006652C3"/>
    <w:rsid w:val="00665692"/>
    <w:rsid w:val="006668B5"/>
    <w:rsid w:val="00667130"/>
    <w:rsid w:val="0066767D"/>
    <w:rsid w:val="00667F61"/>
    <w:rsid w:val="00670C46"/>
    <w:rsid w:val="006713E0"/>
    <w:rsid w:val="00671A84"/>
    <w:rsid w:val="006725D7"/>
    <w:rsid w:val="00672A13"/>
    <w:rsid w:val="00672AA6"/>
    <w:rsid w:val="00673015"/>
    <w:rsid w:val="00673D90"/>
    <w:rsid w:val="006742E6"/>
    <w:rsid w:val="00674A17"/>
    <w:rsid w:val="00674C36"/>
    <w:rsid w:val="006755EE"/>
    <w:rsid w:val="00675CB2"/>
    <w:rsid w:val="00675D04"/>
    <w:rsid w:val="00675D45"/>
    <w:rsid w:val="006771A2"/>
    <w:rsid w:val="006779AE"/>
    <w:rsid w:val="006779D5"/>
    <w:rsid w:val="00677D5D"/>
    <w:rsid w:val="00677D67"/>
    <w:rsid w:val="00677DCA"/>
    <w:rsid w:val="00677F0F"/>
    <w:rsid w:val="0068180F"/>
    <w:rsid w:val="006830D1"/>
    <w:rsid w:val="006836DD"/>
    <w:rsid w:val="00683A53"/>
    <w:rsid w:val="00683C4C"/>
    <w:rsid w:val="00683CD4"/>
    <w:rsid w:val="00684531"/>
    <w:rsid w:val="00684D8C"/>
    <w:rsid w:val="006853E1"/>
    <w:rsid w:val="0068564F"/>
    <w:rsid w:val="0068580F"/>
    <w:rsid w:val="00685CF2"/>
    <w:rsid w:val="006879C3"/>
    <w:rsid w:val="00687AD9"/>
    <w:rsid w:val="0069059D"/>
    <w:rsid w:val="00691A83"/>
    <w:rsid w:val="00691BD1"/>
    <w:rsid w:val="00692514"/>
    <w:rsid w:val="00692695"/>
    <w:rsid w:val="00692AD9"/>
    <w:rsid w:val="00693805"/>
    <w:rsid w:val="00693811"/>
    <w:rsid w:val="00694932"/>
    <w:rsid w:val="00695084"/>
    <w:rsid w:val="00695202"/>
    <w:rsid w:val="00695D53"/>
    <w:rsid w:val="00696C55"/>
    <w:rsid w:val="006970A3"/>
    <w:rsid w:val="006A1B58"/>
    <w:rsid w:val="006A1BA3"/>
    <w:rsid w:val="006A1C1E"/>
    <w:rsid w:val="006A1F7F"/>
    <w:rsid w:val="006A2348"/>
    <w:rsid w:val="006A266D"/>
    <w:rsid w:val="006A393A"/>
    <w:rsid w:val="006A48B8"/>
    <w:rsid w:val="006A54B9"/>
    <w:rsid w:val="006A5A02"/>
    <w:rsid w:val="006A6243"/>
    <w:rsid w:val="006A64E6"/>
    <w:rsid w:val="006A6CE6"/>
    <w:rsid w:val="006A7085"/>
    <w:rsid w:val="006A7316"/>
    <w:rsid w:val="006B04DC"/>
    <w:rsid w:val="006B0726"/>
    <w:rsid w:val="006B07F4"/>
    <w:rsid w:val="006B0F6F"/>
    <w:rsid w:val="006B125A"/>
    <w:rsid w:val="006B374C"/>
    <w:rsid w:val="006B41C9"/>
    <w:rsid w:val="006B433E"/>
    <w:rsid w:val="006B48FC"/>
    <w:rsid w:val="006B50DD"/>
    <w:rsid w:val="006B553B"/>
    <w:rsid w:val="006B585A"/>
    <w:rsid w:val="006B6520"/>
    <w:rsid w:val="006B6923"/>
    <w:rsid w:val="006B6ABE"/>
    <w:rsid w:val="006B6BBF"/>
    <w:rsid w:val="006C003F"/>
    <w:rsid w:val="006C0442"/>
    <w:rsid w:val="006C0476"/>
    <w:rsid w:val="006C140B"/>
    <w:rsid w:val="006C18F1"/>
    <w:rsid w:val="006C2050"/>
    <w:rsid w:val="006C2A38"/>
    <w:rsid w:val="006C2C2F"/>
    <w:rsid w:val="006C2FA8"/>
    <w:rsid w:val="006C3C78"/>
    <w:rsid w:val="006C3DE6"/>
    <w:rsid w:val="006C3DF3"/>
    <w:rsid w:val="006C4009"/>
    <w:rsid w:val="006C4304"/>
    <w:rsid w:val="006C4671"/>
    <w:rsid w:val="006C473B"/>
    <w:rsid w:val="006C4A2D"/>
    <w:rsid w:val="006C5080"/>
    <w:rsid w:val="006C52E4"/>
    <w:rsid w:val="006C571D"/>
    <w:rsid w:val="006C5DF3"/>
    <w:rsid w:val="006C625F"/>
    <w:rsid w:val="006C7053"/>
    <w:rsid w:val="006D0020"/>
    <w:rsid w:val="006D01EC"/>
    <w:rsid w:val="006D020D"/>
    <w:rsid w:val="006D2A73"/>
    <w:rsid w:val="006D2D53"/>
    <w:rsid w:val="006D3102"/>
    <w:rsid w:val="006D3DBA"/>
    <w:rsid w:val="006D4107"/>
    <w:rsid w:val="006D47CF"/>
    <w:rsid w:val="006D4B67"/>
    <w:rsid w:val="006D4E96"/>
    <w:rsid w:val="006D66BB"/>
    <w:rsid w:val="006D6BF6"/>
    <w:rsid w:val="006D6DEA"/>
    <w:rsid w:val="006D7072"/>
    <w:rsid w:val="006D7172"/>
    <w:rsid w:val="006D71AA"/>
    <w:rsid w:val="006E15E2"/>
    <w:rsid w:val="006E1AC6"/>
    <w:rsid w:val="006E1B61"/>
    <w:rsid w:val="006E1B9F"/>
    <w:rsid w:val="006E1BB4"/>
    <w:rsid w:val="006E1C01"/>
    <w:rsid w:val="006E1CFB"/>
    <w:rsid w:val="006E2225"/>
    <w:rsid w:val="006E2512"/>
    <w:rsid w:val="006E2A04"/>
    <w:rsid w:val="006E3CC2"/>
    <w:rsid w:val="006E3D03"/>
    <w:rsid w:val="006E4885"/>
    <w:rsid w:val="006E6F08"/>
    <w:rsid w:val="006E770D"/>
    <w:rsid w:val="006F07D0"/>
    <w:rsid w:val="006F0DAA"/>
    <w:rsid w:val="006F0E84"/>
    <w:rsid w:val="006F1222"/>
    <w:rsid w:val="006F1E3D"/>
    <w:rsid w:val="006F282F"/>
    <w:rsid w:val="006F2BA2"/>
    <w:rsid w:val="006F2C71"/>
    <w:rsid w:val="006F310B"/>
    <w:rsid w:val="006F3229"/>
    <w:rsid w:val="006F3293"/>
    <w:rsid w:val="006F4320"/>
    <w:rsid w:val="006F5487"/>
    <w:rsid w:val="006F59AF"/>
    <w:rsid w:val="006F5DBD"/>
    <w:rsid w:val="006F6DA9"/>
    <w:rsid w:val="006F6F6D"/>
    <w:rsid w:val="006F70C9"/>
    <w:rsid w:val="006F723E"/>
    <w:rsid w:val="0070064F"/>
    <w:rsid w:val="0070107D"/>
    <w:rsid w:val="007012EF"/>
    <w:rsid w:val="00702043"/>
    <w:rsid w:val="00702251"/>
    <w:rsid w:val="00702E70"/>
    <w:rsid w:val="007046FF"/>
    <w:rsid w:val="00704A2D"/>
    <w:rsid w:val="00704DD5"/>
    <w:rsid w:val="00705005"/>
    <w:rsid w:val="0070526E"/>
    <w:rsid w:val="00705698"/>
    <w:rsid w:val="00705C4F"/>
    <w:rsid w:val="00706B13"/>
    <w:rsid w:val="00706F05"/>
    <w:rsid w:val="00711417"/>
    <w:rsid w:val="0071165C"/>
    <w:rsid w:val="0071186B"/>
    <w:rsid w:val="00711A33"/>
    <w:rsid w:val="00711BB9"/>
    <w:rsid w:val="00712486"/>
    <w:rsid w:val="00713925"/>
    <w:rsid w:val="00713FBE"/>
    <w:rsid w:val="0071511F"/>
    <w:rsid w:val="007151B9"/>
    <w:rsid w:val="007151F3"/>
    <w:rsid w:val="00715FBB"/>
    <w:rsid w:val="00716FE9"/>
    <w:rsid w:val="0071718A"/>
    <w:rsid w:val="00717D73"/>
    <w:rsid w:val="00717F90"/>
    <w:rsid w:val="007201E0"/>
    <w:rsid w:val="0072048C"/>
    <w:rsid w:val="00720D5E"/>
    <w:rsid w:val="0072123E"/>
    <w:rsid w:val="00721516"/>
    <w:rsid w:val="0072163E"/>
    <w:rsid w:val="0072166F"/>
    <w:rsid w:val="007216A7"/>
    <w:rsid w:val="0072188C"/>
    <w:rsid w:val="00722B38"/>
    <w:rsid w:val="0072499D"/>
    <w:rsid w:val="00724D7B"/>
    <w:rsid w:val="007256A7"/>
    <w:rsid w:val="007265E8"/>
    <w:rsid w:val="00726A55"/>
    <w:rsid w:val="00727395"/>
    <w:rsid w:val="00727AB5"/>
    <w:rsid w:val="00730863"/>
    <w:rsid w:val="0073140A"/>
    <w:rsid w:val="007315E4"/>
    <w:rsid w:val="00731E51"/>
    <w:rsid w:val="007326BF"/>
    <w:rsid w:val="007326C9"/>
    <w:rsid w:val="00732F72"/>
    <w:rsid w:val="00733F05"/>
    <w:rsid w:val="00733F2B"/>
    <w:rsid w:val="0073497B"/>
    <w:rsid w:val="00735142"/>
    <w:rsid w:val="0073519E"/>
    <w:rsid w:val="007352D6"/>
    <w:rsid w:val="007353AE"/>
    <w:rsid w:val="00735DCC"/>
    <w:rsid w:val="00736A3D"/>
    <w:rsid w:val="00736AD1"/>
    <w:rsid w:val="00736EA0"/>
    <w:rsid w:val="00740841"/>
    <w:rsid w:val="00740D41"/>
    <w:rsid w:val="0074138B"/>
    <w:rsid w:val="007427F0"/>
    <w:rsid w:val="00742C0D"/>
    <w:rsid w:val="00742CA8"/>
    <w:rsid w:val="007431E1"/>
    <w:rsid w:val="00743506"/>
    <w:rsid w:val="00743F1F"/>
    <w:rsid w:val="0074460F"/>
    <w:rsid w:val="00744BF0"/>
    <w:rsid w:val="00744BF2"/>
    <w:rsid w:val="00744D2B"/>
    <w:rsid w:val="00744E10"/>
    <w:rsid w:val="0074559D"/>
    <w:rsid w:val="007459A8"/>
    <w:rsid w:val="00745C93"/>
    <w:rsid w:val="00747B32"/>
    <w:rsid w:val="00750156"/>
    <w:rsid w:val="00750E46"/>
    <w:rsid w:val="00751696"/>
    <w:rsid w:val="00751C27"/>
    <w:rsid w:val="00751CFC"/>
    <w:rsid w:val="00751F08"/>
    <w:rsid w:val="007523C0"/>
    <w:rsid w:val="00752EB4"/>
    <w:rsid w:val="00753178"/>
    <w:rsid w:val="0075368E"/>
    <w:rsid w:val="00753730"/>
    <w:rsid w:val="00753D4D"/>
    <w:rsid w:val="00754112"/>
    <w:rsid w:val="00754235"/>
    <w:rsid w:val="00754A36"/>
    <w:rsid w:val="00754FE3"/>
    <w:rsid w:val="007554E9"/>
    <w:rsid w:val="00755853"/>
    <w:rsid w:val="00755FEA"/>
    <w:rsid w:val="007561EF"/>
    <w:rsid w:val="00756E9A"/>
    <w:rsid w:val="0076136D"/>
    <w:rsid w:val="007618FD"/>
    <w:rsid w:val="00762883"/>
    <w:rsid w:val="00762E18"/>
    <w:rsid w:val="007638CB"/>
    <w:rsid w:val="007645E5"/>
    <w:rsid w:val="00764A3D"/>
    <w:rsid w:val="00765043"/>
    <w:rsid w:val="00765A45"/>
    <w:rsid w:val="00766240"/>
    <w:rsid w:val="00766645"/>
    <w:rsid w:val="00767B0E"/>
    <w:rsid w:val="00770CEF"/>
    <w:rsid w:val="00771739"/>
    <w:rsid w:val="00771CF6"/>
    <w:rsid w:val="00772861"/>
    <w:rsid w:val="00772906"/>
    <w:rsid w:val="00772F84"/>
    <w:rsid w:val="007730AE"/>
    <w:rsid w:val="00773A5B"/>
    <w:rsid w:val="007742C4"/>
    <w:rsid w:val="00775797"/>
    <w:rsid w:val="00776E4A"/>
    <w:rsid w:val="00780505"/>
    <w:rsid w:val="00781134"/>
    <w:rsid w:val="00782544"/>
    <w:rsid w:val="00783839"/>
    <w:rsid w:val="00783B5D"/>
    <w:rsid w:val="007868D9"/>
    <w:rsid w:val="00786B84"/>
    <w:rsid w:val="0078716F"/>
    <w:rsid w:val="007874BA"/>
    <w:rsid w:val="00787EF8"/>
    <w:rsid w:val="00790217"/>
    <w:rsid w:val="0079132C"/>
    <w:rsid w:val="00791F0C"/>
    <w:rsid w:val="00792584"/>
    <w:rsid w:val="007925A4"/>
    <w:rsid w:val="007927E2"/>
    <w:rsid w:val="00793258"/>
    <w:rsid w:val="007935C9"/>
    <w:rsid w:val="00793DAC"/>
    <w:rsid w:val="0079466D"/>
    <w:rsid w:val="00794827"/>
    <w:rsid w:val="00795635"/>
    <w:rsid w:val="00795C55"/>
    <w:rsid w:val="00795D5B"/>
    <w:rsid w:val="00795D5D"/>
    <w:rsid w:val="00795EC5"/>
    <w:rsid w:val="00795FE9"/>
    <w:rsid w:val="00796195"/>
    <w:rsid w:val="00796BE3"/>
    <w:rsid w:val="0079755D"/>
    <w:rsid w:val="00797962"/>
    <w:rsid w:val="007A160C"/>
    <w:rsid w:val="007A1A11"/>
    <w:rsid w:val="007A1A92"/>
    <w:rsid w:val="007A1D93"/>
    <w:rsid w:val="007A2267"/>
    <w:rsid w:val="007A2DC3"/>
    <w:rsid w:val="007A2ED1"/>
    <w:rsid w:val="007A3AA4"/>
    <w:rsid w:val="007A409C"/>
    <w:rsid w:val="007A5617"/>
    <w:rsid w:val="007A60C5"/>
    <w:rsid w:val="007A6478"/>
    <w:rsid w:val="007A648E"/>
    <w:rsid w:val="007A6B4C"/>
    <w:rsid w:val="007A7504"/>
    <w:rsid w:val="007A76D3"/>
    <w:rsid w:val="007B163B"/>
    <w:rsid w:val="007B270E"/>
    <w:rsid w:val="007B2727"/>
    <w:rsid w:val="007B31D1"/>
    <w:rsid w:val="007B483D"/>
    <w:rsid w:val="007B5E4F"/>
    <w:rsid w:val="007B5F66"/>
    <w:rsid w:val="007B5FDB"/>
    <w:rsid w:val="007B63C4"/>
    <w:rsid w:val="007B6E9F"/>
    <w:rsid w:val="007B6F8B"/>
    <w:rsid w:val="007B796B"/>
    <w:rsid w:val="007B79E2"/>
    <w:rsid w:val="007C1243"/>
    <w:rsid w:val="007C1AF1"/>
    <w:rsid w:val="007C1D12"/>
    <w:rsid w:val="007C25AB"/>
    <w:rsid w:val="007C2814"/>
    <w:rsid w:val="007C3BEC"/>
    <w:rsid w:val="007C43EB"/>
    <w:rsid w:val="007C4496"/>
    <w:rsid w:val="007C4D0E"/>
    <w:rsid w:val="007C577F"/>
    <w:rsid w:val="007C5E14"/>
    <w:rsid w:val="007C6113"/>
    <w:rsid w:val="007C6193"/>
    <w:rsid w:val="007C6BBA"/>
    <w:rsid w:val="007C6D01"/>
    <w:rsid w:val="007C74D3"/>
    <w:rsid w:val="007C786A"/>
    <w:rsid w:val="007D110B"/>
    <w:rsid w:val="007D1170"/>
    <w:rsid w:val="007D1E0A"/>
    <w:rsid w:val="007D25D5"/>
    <w:rsid w:val="007D27F1"/>
    <w:rsid w:val="007D37BB"/>
    <w:rsid w:val="007D44C5"/>
    <w:rsid w:val="007D4B2B"/>
    <w:rsid w:val="007D4C46"/>
    <w:rsid w:val="007D540B"/>
    <w:rsid w:val="007D547E"/>
    <w:rsid w:val="007D7400"/>
    <w:rsid w:val="007D7C08"/>
    <w:rsid w:val="007E0FB7"/>
    <w:rsid w:val="007E10F9"/>
    <w:rsid w:val="007E1379"/>
    <w:rsid w:val="007E1DBA"/>
    <w:rsid w:val="007E2949"/>
    <w:rsid w:val="007E40E1"/>
    <w:rsid w:val="007E46B3"/>
    <w:rsid w:val="007E5CBC"/>
    <w:rsid w:val="007E6F4E"/>
    <w:rsid w:val="007E712E"/>
    <w:rsid w:val="007E734C"/>
    <w:rsid w:val="007E7577"/>
    <w:rsid w:val="007E75D7"/>
    <w:rsid w:val="007E7B2A"/>
    <w:rsid w:val="007F0138"/>
    <w:rsid w:val="007F029A"/>
    <w:rsid w:val="007F0645"/>
    <w:rsid w:val="007F08DE"/>
    <w:rsid w:val="007F0C5E"/>
    <w:rsid w:val="007F115C"/>
    <w:rsid w:val="007F2523"/>
    <w:rsid w:val="007F2611"/>
    <w:rsid w:val="007F4A10"/>
    <w:rsid w:val="007F4BB7"/>
    <w:rsid w:val="007F52F5"/>
    <w:rsid w:val="007F57C0"/>
    <w:rsid w:val="007F62AC"/>
    <w:rsid w:val="007F62CF"/>
    <w:rsid w:val="007F785D"/>
    <w:rsid w:val="007F7998"/>
    <w:rsid w:val="007F7F2D"/>
    <w:rsid w:val="00800262"/>
    <w:rsid w:val="008002C0"/>
    <w:rsid w:val="0080103B"/>
    <w:rsid w:val="00801210"/>
    <w:rsid w:val="0080127F"/>
    <w:rsid w:val="0080139E"/>
    <w:rsid w:val="008013C2"/>
    <w:rsid w:val="0080182B"/>
    <w:rsid w:val="00801C50"/>
    <w:rsid w:val="00802682"/>
    <w:rsid w:val="00802718"/>
    <w:rsid w:val="00803886"/>
    <w:rsid w:val="0080391F"/>
    <w:rsid w:val="00804B1A"/>
    <w:rsid w:val="00805038"/>
    <w:rsid w:val="0080516D"/>
    <w:rsid w:val="008056C8"/>
    <w:rsid w:val="00805938"/>
    <w:rsid w:val="00807D31"/>
    <w:rsid w:val="0081100F"/>
    <w:rsid w:val="00811957"/>
    <w:rsid w:val="00811B1A"/>
    <w:rsid w:val="00813250"/>
    <w:rsid w:val="0081496C"/>
    <w:rsid w:val="0081663F"/>
    <w:rsid w:val="0081699F"/>
    <w:rsid w:val="00816BE8"/>
    <w:rsid w:val="00817BF0"/>
    <w:rsid w:val="00821252"/>
    <w:rsid w:val="00821370"/>
    <w:rsid w:val="00822216"/>
    <w:rsid w:val="00822951"/>
    <w:rsid w:val="00824BFC"/>
    <w:rsid w:val="00824CB7"/>
    <w:rsid w:val="00824FC4"/>
    <w:rsid w:val="00825066"/>
    <w:rsid w:val="00826285"/>
    <w:rsid w:val="0082658A"/>
    <w:rsid w:val="00826A4B"/>
    <w:rsid w:val="00826CF6"/>
    <w:rsid w:val="00827282"/>
    <w:rsid w:val="00827889"/>
    <w:rsid w:val="00827F82"/>
    <w:rsid w:val="00830C72"/>
    <w:rsid w:val="00830F4F"/>
    <w:rsid w:val="00831066"/>
    <w:rsid w:val="008318EB"/>
    <w:rsid w:val="00831D48"/>
    <w:rsid w:val="00832543"/>
    <w:rsid w:val="008325C8"/>
    <w:rsid w:val="008351F3"/>
    <w:rsid w:val="008357DD"/>
    <w:rsid w:val="00835DF2"/>
    <w:rsid w:val="0083638C"/>
    <w:rsid w:val="00836460"/>
    <w:rsid w:val="0083791D"/>
    <w:rsid w:val="0084039D"/>
    <w:rsid w:val="00840906"/>
    <w:rsid w:val="008415E6"/>
    <w:rsid w:val="0084197C"/>
    <w:rsid w:val="008428E2"/>
    <w:rsid w:val="00842BC9"/>
    <w:rsid w:val="00843F46"/>
    <w:rsid w:val="008440C3"/>
    <w:rsid w:val="0084467E"/>
    <w:rsid w:val="008469E8"/>
    <w:rsid w:val="00847CE4"/>
    <w:rsid w:val="008508CC"/>
    <w:rsid w:val="00850A20"/>
    <w:rsid w:val="00851040"/>
    <w:rsid w:val="00851C2F"/>
    <w:rsid w:val="00851F6A"/>
    <w:rsid w:val="008520DA"/>
    <w:rsid w:val="0085258B"/>
    <w:rsid w:val="00852AA2"/>
    <w:rsid w:val="00852B57"/>
    <w:rsid w:val="00852CBA"/>
    <w:rsid w:val="00853029"/>
    <w:rsid w:val="0085382C"/>
    <w:rsid w:val="008547EE"/>
    <w:rsid w:val="008548FF"/>
    <w:rsid w:val="00854C01"/>
    <w:rsid w:val="00854FDF"/>
    <w:rsid w:val="00854FF6"/>
    <w:rsid w:val="00855578"/>
    <w:rsid w:val="00855B02"/>
    <w:rsid w:val="0085609D"/>
    <w:rsid w:val="0085617D"/>
    <w:rsid w:val="00856821"/>
    <w:rsid w:val="00856A3E"/>
    <w:rsid w:val="00856B74"/>
    <w:rsid w:val="00857071"/>
    <w:rsid w:val="008579A6"/>
    <w:rsid w:val="008614EE"/>
    <w:rsid w:val="00861653"/>
    <w:rsid w:val="00861C67"/>
    <w:rsid w:val="00861CD4"/>
    <w:rsid w:val="00861FAA"/>
    <w:rsid w:val="0086358E"/>
    <w:rsid w:val="008642C0"/>
    <w:rsid w:val="00865F0E"/>
    <w:rsid w:val="008661F6"/>
    <w:rsid w:val="00866203"/>
    <w:rsid w:val="00866DED"/>
    <w:rsid w:val="00866E0C"/>
    <w:rsid w:val="008674A5"/>
    <w:rsid w:val="00870C46"/>
    <w:rsid w:val="0087124A"/>
    <w:rsid w:val="0087137C"/>
    <w:rsid w:val="0087168B"/>
    <w:rsid w:val="00871CC5"/>
    <w:rsid w:val="00872304"/>
    <w:rsid w:val="00872971"/>
    <w:rsid w:val="0087345E"/>
    <w:rsid w:val="00873E43"/>
    <w:rsid w:val="00873EF0"/>
    <w:rsid w:val="008744B8"/>
    <w:rsid w:val="00875004"/>
    <w:rsid w:val="00875D72"/>
    <w:rsid w:val="0087723E"/>
    <w:rsid w:val="008772AF"/>
    <w:rsid w:val="00877398"/>
    <w:rsid w:val="008774B4"/>
    <w:rsid w:val="00877683"/>
    <w:rsid w:val="00881255"/>
    <w:rsid w:val="00881822"/>
    <w:rsid w:val="00881A3F"/>
    <w:rsid w:val="008822F3"/>
    <w:rsid w:val="00882664"/>
    <w:rsid w:val="00882B5C"/>
    <w:rsid w:val="00882E40"/>
    <w:rsid w:val="00883353"/>
    <w:rsid w:val="00884D3C"/>
    <w:rsid w:val="00884EFF"/>
    <w:rsid w:val="00884F22"/>
    <w:rsid w:val="008854DA"/>
    <w:rsid w:val="00885F2C"/>
    <w:rsid w:val="00886AC3"/>
    <w:rsid w:val="008875FC"/>
    <w:rsid w:val="008879EC"/>
    <w:rsid w:val="00890BA6"/>
    <w:rsid w:val="00890EB9"/>
    <w:rsid w:val="00891976"/>
    <w:rsid w:val="00892307"/>
    <w:rsid w:val="008927A4"/>
    <w:rsid w:val="00892F58"/>
    <w:rsid w:val="00893A19"/>
    <w:rsid w:val="008941B1"/>
    <w:rsid w:val="0089437E"/>
    <w:rsid w:val="00894AD5"/>
    <w:rsid w:val="00894BB4"/>
    <w:rsid w:val="00894DFE"/>
    <w:rsid w:val="00895CC5"/>
    <w:rsid w:val="00896571"/>
    <w:rsid w:val="00896DBD"/>
    <w:rsid w:val="008977BF"/>
    <w:rsid w:val="00897A94"/>
    <w:rsid w:val="00897B2C"/>
    <w:rsid w:val="00897CF6"/>
    <w:rsid w:val="008A0DEA"/>
    <w:rsid w:val="008A138C"/>
    <w:rsid w:val="008A187A"/>
    <w:rsid w:val="008A2164"/>
    <w:rsid w:val="008A272A"/>
    <w:rsid w:val="008A4C12"/>
    <w:rsid w:val="008A51EA"/>
    <w:rsid w:val="008A5887"/>
    <w:rsid w:val="008A5C09"/>
    <w:rsid w:val="008A67A9"/>
    <w:rsid w:val="008A723C"/>
    <w:rsid w:val="008A7A18"/>
    <w:rsid w:val="008A7D27"/>
    <w:rsid w:val="008B05F6"/>
    <w:rsid w:val="008B0CC8"/>
    <w:rsid w:val="008B1697"/>
    <w:rsid w:val="008B23BF"/>
    <w:rsid w:val="008B23CE"/>
    <w:rsid w:val="008B33E5"/>
    <w:rsid w:val="008B3408"/>
    <w:rsid w:val="008B3E1C"/>
    <w:rsid w:val="008B4802"/>
    <w:rsid w:val="008B5B9E"/>
    <w:rsid w:val="008B5BB6"/>
    <w:rsid w:val="008B67B1"/>
    <w:rsid w:val="008B6B0C"/>
    <w:rsid w:val="008B71CE"/>
    <w:rsid w:val="008B7FD7"/>
    <w:rsid w:val="008C07FD"/>
    <w:rsid w:val="008C0B40"/>
    <w:rsid w:val="008C1274"/>
    <w:rsid w:val="008C1934"/>
    <w:rsid w:val="008C272F"/>
    <w:rsid w:val="008C2FFB"/>
    <w:rsid w:val="008C32F0"/>
    <w:rsid w:val="008C47B5"/>
    <w:rsid w:val="008C4874"/>
    <w:rsid w:val="008C4ED9"/>
    <w:rsid w:val="008C5323"/>
    <w:rsid w:val="008C613F"/>
    <w:rsid w:val="008C625C"/>
    <w:rsid w:val="008C67BB"/>
    <w:rsid w:val="008D07BD"/>
    <w:rsid w:val="008D1320"/>
    <w:rsid w:val="008D1442"/>
    <w:rsid w:val="008D1BE9"/>
    <w:rsid w:val="008D256F"/>
    <w:rsid w:val="008D26D6"/>
    <w:rsid w:val="008D2811"/>
    <w:rsid w:val="008D3326"/>
    <w:rsid w:val="008D3D7C"/>
    <w:rsid w:val="008D3E7D"/>
    <w:rsid w:val="008D57AE"/>
    <w:rsid w:val="008D5F2D"/>
    <w:rsid w:val="008D6F9C"/>
    <w:rsid w:val="008D7607"/>
    <w:rsid w:val="008D786B"/>
    <w:rsid w:val="008E04F5"/>
    <w:rsid w:val="008E1198"/>
    <w:rsid w:val="008E1FEF"/>
    <w:rsid w:val="008E2A39"/>
    <w:rsid w:val="008E3469"/>
    <w:rsid w:val="008E3B3E"/>
    <w:rsid w:val="008E3BAE"/>
    <w:rsid w:val="008E4237"/>
    <w:rsid w:val="008E4257"/>
    <w:rsid w:val="008E54FA"/>
    <w:rsid w:val="008E5526"/>
    <w:rsid w:val="008E5B2E"/>
    <w:rsid w:val="008E62FD"/>
    <w:rsid w:val="008E6AAB"/>
    <w:rsid w:val="008E6B1C"/>
    <w:rsid w:val="008E6C39"/>
    <w:rsid w:val="008E6FBD"/>
    <w:rsid w:val="008E71C9"/>
    <w:rsid w:val="008E732D"/>
    <w:rsid w:val="008F098B"/>
    <w:rsid w:val="008F0A58"/>
    <w:rsid w:val="008F0C51"/>
    <w:rsid w:val="008F1529"/>
    <w:rsid w:val="008F1BC3"/>
    <w:rsid w:val="008F28F4"/>
    <w:rsid w:val="008F334C"/>
    <w:rsid w:val="008F3D7D"/>
    <w:rsid w:val="008F4344"/>
    <w:rsid w:val="008F4F72"/>
    <w:rsid w:val="008F56B0"/>
    <w:rsid w:val="008F5894"/>
    <w:rsid w:val="008F5F69"/>
    <w:rsid w:val="008F6CBD"/>
    <w:rsid w:val="008F6E34"/>
    <w:rsid w:val="008F735B"/>
    <w:rsid w:val="0090074D"/>
    <w:rsid w:val="009007F4"/>
    <w:rsid w:val="00902271"/>
    <w:rsid w:val="00902A06"/>
    <w:rsid w:val="0090367E"/>
    <w:rsid w:val="00903882"/>
    <w:rsid w:val="00903DEB"/>
    <w:rsid w:val="0090407A"/>
    <w:rsid w:val="0090444E"/>
    <w:rsid w:val="00904F0D"/>
    <w:rsid w:val="0090509A"/>
    <w:rsid w:val="00906408"/>
    <w:rsid w:val="00910692"/>
    <w:rsid w:val="00910A97"/>
    <w:rsid w:val="00910E3B"/>
    <w:rsid w:val="0091146C"/>
    <w:rsid w:val="0091158A"/>
    <w:rsid w:val="00911655"/>
    <w:rsid w:val="00912470"/>
    <w:rsid w:val="00912570"/>
    <w:rsid w:val="00913AAB"/>
    <w:rsid w:val="00913B4E"/>
    <w:rsid w:val="009140CC"/>
    <w:rsid w:val="00914882"/>
    <w:rsid w:val="00914E57"/>
    <w:rsid w:val="009152D6"/>
    <w:rsid w:val="0091649C"/>
    <w:rsid w:val="00916F7C"/>
    <w:rsid w:val="009170AC"/>
    <w:rsid w:val="0091759D"/>
    <w:rsid w:val="0092034F"/>
    <w:rsid w:val="00920E4C"/>
    <w:rsid w:val="009218FF"/>
    <w:rsid w:val="00923BCA"/>
    <w:rsid w:val="0092402F"/>
    <w:rsid w:val="0092420E"/>
    <w:rsid w:val="00924C4E"/>
    <w:rsid w:val="00924E82"/>
    <w:rsid w:val="00925A13"/>
    <w:rsid w:val="00925C3D"/>
    <w:rsid w:val="009261F9"/>
    <w:rsid w:val="00927437"/>
    <w:rsid w:val="009274E6"/>
    <w:rsid w:val="00927C98"/>
    <w:rsid w:val="0093095A"/>
    <w:rsid w:val="00930B5E"/>
    <w:rsid w:val="00930C50"/>
    <w:rsid w:val="009311F1"/>
    <w:rsid w:val="00931F65"/>
    <w:rsid w:val="00931F70"/>
    <w:rsid w:val="00932F42"/>
    <w:rsid w:val="009330E2"/>
    <w:rsid w:val="00933382"/>
    <w:rsid w:val="0093343D"/>
    <w:rsid w:val="0093429C"/>
    <w:rsid w:val="0093496C"/>
    <w:rsid w:val="00935E0F"/>
    <w:rsid w:val="00936917"/>
    <w:rsid w:val="00936F0E"/>
    <w:rsid w:val="009373E5"/>
    <w:rsid w:val="009378F5"/>
    <w:rsid w:val="009405E6"/>
    <w:rsid w:val="00940754"/>
    <w:rsid w:val="009408A6"/>
    <w:rsid w:val="0094149E"/>
    <w:rsid w:val="009423C4"/>
    <w:rsid w:val="0094296A"/>
    <w:rsid w:val="00942E34"/>
    <w:rsid w:val="0094353D"/>
    <w:rsid w:val="009438D3"/>
    <w:rsid w:val="00943A77"/>
    <w:rsid w:val="00943D10"/>
    <w:rsid w:val="009440CE"/>
    <w:rsid w:val="009447DD"/>
    <w:rsid w:val="00945217"/>
    <w:rsid w:val="009456AA"/>
    <w:rsid w:val="00945B06"/>
    <w:rsid w:val="00945DAF"/>
    <w:rsid w:val="00946C2E"/>
    <w:rsid w:val="00947851"/>
    <w:rsid w:val="00947E9F"/>
    <w:rsid w:val="00947FE9"/>
    <w:rsid w:val="00952190"/>
    <w:rsid w:val="0095232A"/>
    <w:rsid w:val="009528F8"/>
    <w:rsid w:val="00953D17"/>
    <w:rsid w:val="00954164"/>
    <w:rsid w:val="009553AC"/>
    <w:rsid w:val="00955540"/>
    <w:rsid w:val="00956860"/>
    <w:rsid w:val="009572E7"/>
    <w:rsid w:val="009576A9"/>
    <w:rsid w:val="00957C00"/>
    <w:rsid w:val="00957E35"/>
    <w:rsid w:val="00960938"/>
    <w:rsid w:val="009613DA"/>
    <w:rsid w:val="009615E5"/>
    <w:rsid w:val="0096160C"/>
    <w:rsid w:val="009617D0"/>
    <w:rsid w:val="0096188D"/>
    <w:rsid w:val="00961F1A"/>
    <w:rsid w:val="00962631"/>
    <w:rsid w:val="009626E1"/>
    <w:rsid w:val="009626E9"/>
    <w:rsid w:val="00962CE6"/>
    <w:rsid w:val="00962D48"/>
    <w:rsid w:val="00962F5E"/>
    <w:rsid w:val="00963044"/>
    <w:rsid w:val="00964967"/>
    <w:rsid w:val="00967833"/>
    <w:rsid w:val="00967E2A"/>
    <w:rsid w:val="00970D4A"/>
    <w:rsid w:val="00970FEE"/>
    <w:rsid w:val="009713D2"/>
    <w:rsid w:val="00971A0F"/>
    <w:rsid w:val="00971CED"/>
    <w:rsid w:val="00972B29"/>
    <w:rsid w:val="00972F9C"/>
    <w:rsid w:val="00973343"/>
    <w:rsid w:val="00973E19"/>
    <w:rsid w:val="009741A7"/>
    <w:rsid w:val="009743C0"/>
    <w:rsid w:val="00974852"/>
    <w:rsid w:val="00974900"/>
    <w:rsid w:val="00974B4F"/>
    <w:rsid w:val="00975999"/>
    <w:rsid w:val="00975E43"/>
    <w:rsid w:val="00976027"/>
    <w:rsid w:val="00976D9A"/>
    <w:rsid w:val="00977A0A"/>
    <w:rsid w:val="009817E8"/>
    <w:rsid w:val="00981A2B"/>
    <w:rsid w:val="00983189"/>
    <w:rsid w:val="00983B32"/>
    <w:rsid w:val="009846B4"/>
    <w:rsid w:val="0098565E"/>
    <w:rsid w:val="009856D4"/>
    <w:rsid w:val="0098578A"/>
    <w:rsid w:val="009866F9"/>
    <w:rsid w:val="00987A14"/>
    <w:rsid w:val="00987E89"/>
    <w:rsid w:val="0099089D"/>
    <w:rsid w:val="0099202D"/>
    <w:rsid w:val="009921A8"/>
    <w:rsid w:val="009927E2"/>
    <w:rsid w:val="009930EE"/>
    <w:rsid w:val="00993214"/>
    <w:rsid w:val="00994AC2"/>
    <w:rsid w:val="00994BCE"/>
    <w:rsid w:val="0099594C"/>
    <w:rsid w:val="00996323"/>
    <w:rsid w:val="009965CB"/>
    <w:rsid w:val="0099661B"/>
    <w:rsid w:val="00996E7F"/>
    <w:rsid w:val="0099734E"/>
    <w:rsid w:val="00997479"/>
    <w:rsid w:val="0099757E"/>
    <w:rsid w:val="00997C51"/>
    <w:rsid w:val="009A0426"/>
    <w:rsid w:val="009A238E"/>
    <w:rsid w:val="009A25A8"/>
    <w:rsid w:val="009A2C52"/>
    <w:rsid w:val="009A4B62"/>
    <w:rsid w:val="009A4F03"/>
    <w:rsid w:val="009A52A8"/>
    <w:rsid w:val="009A5B1B"/>
    <w:rsid w:val="009A6099"/>
    <w:rsid w:val="009A642B"/>
    <w:rsid w:val="009A6A3B"/>
    <w:rsid w:val="009B00B1"/>
    <w:rsid w:val="009B0652"/>
    <w:rsid w:val="009B07DA"/>
    <w:rsid w:val="009B08DA"/>
    <w:rsid w:val="009B14AF"/>
    <w:rsid w:val="009B2069"/>
    <w:rsid w:val="009B43A9"/>
    <w:rsid w:val="009B4590"/>
    <w:rsid w:val="009B4A6E"/>
    <w:rsid w:val="009B5496"/>
    <w:rsid w:val="009B5BA0"/>
    <w:rsid w:val="009B62EF"/>
    <w:rsid w:val="009B6C89"/>
    <w:rsid w:val="009B7EB0"/>
    <w:rsid w:val="009C10F5"/>
    <w:rsid w:val="009C1AFB"/>
    <w:rsid w:val="009C2E8A"/>
    <w:rsid w:val="009C2F09"/>
    <w:rsid w:val="009C2F98"/>
    <w:rsid w:val="009C3405"/>
    <w:rsid w:val="009C37B6"/>
    <w:rsid w:val="009C38CC"/>
    <w:rsid w:val="009C3906"/>
    <w:rsid w:val="009C4343"/>
    <w:rsid w:val="009C4552"/>
    <w:rsid w:val="009C587C"/>
    <w:rsid w:val="009C5963"/>
    <w:rsid w:val="009C6904"/>
    <w:rsid w:val="009C71FF"/>
    <w:rsid w:val="009C796B"/>
    <w:rsid w:val="009D0AE7"/>
    <w:rsid w:val="009D0C54"/>
    <w:rsid w:val="009D0CE9"/>
    <w:rsid w:val="009D15B1"/>
    <w:rsid w:val="009D1BD6"/>
    <w:rsid w:val="009D1C21"/>
    <w:rsid w:val="009D2F52"/>
    <w:rsid w:val="009D44D7"/>
    <w:rsid w:val="009D48EE"/>
    <w:rsid w:val="009D5FA5"/>
    <w:rsid w:val="009D5FD9"/>
    <w:rsid w:val="009D6211"/>
    <w:rsid w:val="009D62F8"/>
    <w:rsid w:val="009D6DDD"/>
    <w:rsid w:val="009D7803"/>
    <w:rsid w:val="009E0342"/>
    <w:rsid w:val="009E2114"/>
    <w:rsid w:val="009E26B1"/>
    <w:rsid w:val="009E3267"/>
    <w:rsid w:val="009E3356"/>
    <w:rsid w:val="009E4B12"/>
    <w:rsid w:val="009E4DC1"/>
    <w:rsid w:val="009E5276"/>
    <w:rsid w:val="009E5813"/>
    <w:rsid w:val="009E6774"/>
    <w:rsid w:val="009E6D33"/>
    <w:rsid w:val="009E6F8A"/>
    <w:rsid w:val="009E708D"/>
    <w:rsid w:val="009E7F6C"/>
    <w:rsid w:val="009F0985"/>
    <w:rsid w:val="009F1131"/>
    <w:rsid w:val="009F2A1A"/>
    <w:rsid w:val="009F3E1F"/>
    <w:rsid w:val="009F4144"/>
    <w:rsid w:val="009F4CA9"/>
    <w:rsid w:val="009F536B"/>
    <w:rsid w:val="009F553B"/>
    <w:rsid w:val="009F5E24"/>
    <w:rsid w:val="009F69B1"/>
    <w:rsid w:val="009F7F36"/>
    <w:rsid w:val="00A008DA"/>
    <w:rsid w:val="00A00B5B"/>
    <w:rsid w:val="00A00CCD"/>
    <w:rsid w:val="00A0126C"/>
    <w:rsid w:val="00A013B4"/>
    <w:rsid w:val="00A014CE"/>
    <w:rsid w:val="00A01647"/>
    <w:rsid w:val="00A03AB6"/>
    <w:rsid w:val="00A03B4E"/>
    <w:rsid w:val="00A041CC"/>
    <w:rsid w:val="00A05E3F"/>
    <w:rsid w:val="00A05F53"/>
    <w:rsid w:val="00A06444"/>
    <w:rsid w:val="00A07331"/>
    <w:rsid w:val="00A075E9"/>
    <w:rsid w:val="00A104AD"/>
    <w:rsid w:val="00A10701"/>
    <w:rsid w:val="00A10986"/>
    <w:rsid w:val="00A109F2"/>
    <w:rsid w:val="00A113B9"/>
    <w:rsid w:val="00A1197A"/>
    <w:rsid w:val="00A12105"/>
    <w:rsid w:val="00A1291B"/>
    <w:rsid w:val="00A135FF"/>
    <w:rsid w:val="00A136FA"/>
    <w:rsid w:val="00A13B95"/>
    <w:rsid w:val="00A1403C"/>
    <w:rsid w:val="00A14683"/>
    <w:rsid w:val="00A14AC9"/>
    <w:rsid w:val="00A14D6D"/>
    <w:rsid w:val="00A15070"/>
    <w:rsid w:val="00A151E5"/>
    <w:rsid w:val="00A156F8"/>
    <w:rsid w:val="00A15BF3"/>
    <w:rsid w:val="00A15F9E"/>
    <w:rsid w:val="00A16941"/>
    <w:rsid w:val="00A16AF3"/>
    <w:rsid w:val="00A16B00"/>
    <w:rsid w:val="00A16D2A"/>
    <w:rsid w:val="00A202CC"/>
    <w:rsid w:val="00A211ED"/>
    <w:rsid w:val="00A2171D"/>
    <w:rsid w:val="00A2181F"/>
    <w:rsid w:val="00A21C20"/>
    <w:rsid w:val="00A225E4"/>
    <w:rsid w:val="00A2285E"/>
    <w:rsid w:val="00A22C90"/>
    <w:rsid w:val="00A23365"/>
    <w:rsid w:val="00A23DFE"/>
    <w:rsid w:val="00A243B0"/>
    <w:rsid w:val="00A24874"/>
    <w:rsid w:val="00A24BD1"/>
    <w:rsid w:val="00A25D96"/>
    <w:rsid w:val="00A2627A"/>
    <w:rsid w:val="00A309E4"/>
    <w:rsid w:val="00A30B9A"/>
    <w:rsid w:val="00A31017"/>
    <w:rsid w:val="00A32554"/>
    <w:rsid w:val="00A3298C"/>
    <w:rsid w:val="00A32B0F"/>
    <w:rsid w:val="00A32ECC"/>
    <w:rsid w:val="00A33949"/>
    <w:rsid w:val="00A33AC2"/>
    <w:rsid w:val="00A33E76"/>
    <w:rsid w:val="00A34A9E"/>
    <w:rsid w:val="00A35694"/>
    <w:rsid w:val="00A35B62"/>
    <w:rsid w:val="00A35E7D"/>
    <w:rsid w:val="00A36372"/>
    <w:rsid w:val="00A36A2E"/>
    <w:rsid w:val="00A36C88"/>
    <w:rsid w:val="00A37503"/>
    <w:rsid w:val="00A3751B"/>
    <w:rsid w:val="00A4074D"/>
    <w:rsid w:val="00A41474"/>
    <w:rsid w:val="00A417AE"/>
    <w:rsid w:val="00A41CF7"/>
    <w:rsid w:val="00A427A1"/>
    <w:rsid w:val="00A429A4"/>
    <w:rsid w:val="00A42D04"/>
    <w:rsid w:val="00A42EC8"/>
    <w:rsid w:val="00A4362E"/>
    <w:rsid w:val="00A43D0A"/>
    <w:rsid w:val="00A43FE7"/>
    <w:rsid w:val="00A4429D"/>
    <w:rsid w:val="00A4464C"/>
    <w:rsid w:val="00A45351"/>
    <w:rsid w:val="00A46C17"/>
    <w:rsid w:val="00A47985"/>
    <w:rsid w:val="00A5121D"/>
    <w:rsid w:val="00A515F4"/>
    <w:rsid w:val="00A52693"/>
    <w:rsid w:val="00A528E8"/>
    <w:rsid w:val="00A52C1E"/>
    <w:rsid w:val="00A52D6C"/>
    <w:rsid w:val="00A5313C"/>
    <w:rsid w:val="00A5328D"/>
    <w:rsid w:val="00A5383B"/>
    <w:rsid w:val="00A54F8E"/>
    <w:rsid w:val="00A550FD"/>
    <w:rsid w:val="00A555C3"/>
    <w:rsid w:val="00A5571A"/>
    <w:rsid w:val="00A558AF"/>
    <w:rsid w:val="00A56F06"/>
    <w:rsid w:val="00A578FB"/>
    <w:rsid w:val="00A57A4C"/>
    <w:rsid w:val="00A62B6D"/>
    <w:rsid w:val="00A62D97"/>
    <w:rsid w:val="00A63253"/>
    <w:rsid w:val="00A64AA5"/>
    <w:rsid w:val="00A64CF3"/>
    <w:rsid w:val="00A65F70"/>
    <w:rsid w:val="00A663D6"/>
    <w:rsid w:val="00A667BF"/>
    <w:rsid w:val="00A6793C"/>
    <w:rsid w:val="00A67C9F"/>
    <w:rsid w:val="00A72E96"/>
    <w:rsid w:val="00A73BD1"/>
    <w:rsid w:val="00A73D31"/>
    <w:rsid w:val="00A74436"/>
    <w:rsid w:val="00A7472E"/>
    <w:rsid w:val="00A74F36"/>
    <w:rsid w:val="00A74FB0"/>
    <w:rsid w:val="00A7513F"/>
    <w:rsid w:val="00A75773"/>
    <w:rsid w:val="00A75907"/>
    <w:rsid w:val="00A75BCA"/>
    <w:rsid w:val="00A772D9"/>
    <w:rsid w:val="00A7769D"/>
    <w:rsid w:val="00A8034E"/>
    <w:rsid w:val="00A804CD"/>
    <w:rsid w:val="00A80503"/>
    <w:rsid w:val="00A80FC2"/>
    <w:rsid w:val="00A811C2"/>
    <w:rsid w:val="00A82088"/>
    <w:rsid w:val="00A82673"/>
    <w:rsid w:val="00A828DC"/>
    <w:rsid w:val="00A82D62"/>
    <w:rsid w:val="00A83B92"/>
    <w:rsid w:val="00A840D5"/>
    <w:rsid w:val="00A84265"/>
    <w:rsid w:val="00A844D8"/>
    <w:rsid w:val="00A8457A"/>
    <w:rsid w:val="00A85978"/>
    <w:rsid w:val="00A860CE"/>
    <w:rsid w:val="00A87262"/>
    <w:rsid w:val="00A876BB"/>
    <w:rsid w:val="00A90578"/>
    <w:rsid w:val="00A90DB3"/>
    <w:rsid w:val="00A91127"/>
    <w:rsid w:val="00A914F5"/>
    <w:rsid w:val="00A93625"/>
    <w:rsid w:val="00A93DA0"/>
    <w:rsid w:val="00A94BA9"/>
    <w:rsid w:val="00A94ED6"/>
    <w:rsid w:val="00A95498"/>
    <w:rsid w:val="00A95558"/>
    <w:rsid w:val="00A966C8"/>
    <w:rsid w:val="00A9685D"/>
    <w:rsid w:val="00A968F0"/>
    <w:rsid w:val="00A9702B"/>
    <w:rsid w:val="00A97A80"/>
    <w:rsid w:val="00AA068A"/>
    <w:rsid w:val="00AA07DC"/>
    <w:rsid w:val="00AA163C"/>
    <w:rsid w:val="00AA1EB2"/>
    <w:rsid w:val="00AA239D"/>
    <w:rsid w:val="00AA26EB"/>
    <w:rsid w:val="00AA296F"/>
    <w:rsid w:val="00AA33B5"/>
    <w:rsid w:val="00AA3F90"/>
    <w:rsid w:val="00AA4F23"/>
    <w:rsid w:val="00AA611B"/>
    <w:rsid w:val="00AA664D"/>
    <w:rsid w:val="00AA6BBF"/>
    <w:rsid w:val="00AA7232"/>
    <w:rsid w:val="00AB02A3"/>
    <w:rsid w:val="00AB0452"/>
    <w:rsid w:val="00AB056E"/>
    <w:rsid w:val="00AB05E3"/>
    <w:rsid w:val="00AB0DA1"/>
    <w:rsid w:val="00AB142D"/>
    <w:rsid w:val="00AB15C1"/>
    <w:rsid w:val="00AB19B9"/>
    <w:rsid w:val="00AB212F"/>
    <w:rsid w:val="00AB220E"/>
    <w:rsid w:val="00AB36F3"/>
    <w:rsid w:val="00AB39DE"/>
    <w:rsid w:val="00AB3EA4"/>
    <w:rsid w:val="00AB47F3"/>
    <w:rsid w:val="00AB481B"/>
    <w:rsid w:val="00AB4D8D"/>
    <w:rsid w:val="00AB51B2"/>
    <w:rsid w:val="00AB51F9"/>
    <w:rsid w:val="00AB55E6"/>
    <w:rsid w:val="00AB6120"/>
    <w:rsid w:val="00AB6B6B"/>
    <w:rsid w:val="00AB7788"/>
    <w:rsid w:val="00AC0A83"/>
    <w:rsid w:val="00AC17CB"/>
    <w:rsid w:val="00AC1B4E"/>
    <w:rsid w:val="00AC22A9"/>
    <w:rsid w:val="00AC2AE3"/>
    <w:rsid w:val="00AC3209"/>
    <w:rsid w:val="00AC32FC"/>
    <w:rsid w:val="00AC4673"/>
    <w:rsid w:val="00AC4C28"/>
    <w:rsid w:val="00AC5E94"/>
    <w:rsid w:val="00AC7163"/>
    <w:rsid w:val="00AC72D2"/>
    <w:rsid w:val="00AD031C"/>
    <w:rsid w:val="00AD0447"/>
    <w:rsid w:val="00AD14D9"/>
    <w:rsid w:val="00AD18FF"/>
    <w:rsid w:val="00AD1A68"/>
    <w:rsid w:val="00AD1D88"/>
    <w:rsid w:val="00AD1E6B"/>
    <w:rsid w:val="00AD3DE2"/>
    <w:rsid w:val="00AD515C"/>
    <w:rsid w:val="00AD69B1"/>
    <w:rsid w:val="00AD7324"/>
    <w:rsid w:val="00AD74D0"/>
    <w:rsid w:val="00AD7A59"/>
    <w:rsid w:val="00AD7DEF"/>
    <w:rsid w:val="00AE085F"/>
    <w:rsid w:val="00AE093C"/>
    <w:rsid w:val="00AE1A4A"/>
    <w:rsid w:val="00AE1A60"/>
    <w:rsid w:val="00AE1AC4"/>
    <w:rsid w:val="00AE20EC"/>
    <w:rsid w:val="00AE3EF5"/>
    <w:rsid w:val="00AE446F"/>
    <w:rsid w:val="00AE4538"/>
    <w:rsid w:val="00AE47D9"/>
    <w:rsid w:val="00AE4C64"/>
    <w:rsid w:val="00AE5A6B"/>
    <w:rsid w:val="00AE6535"/>
    <w:rsid w:val="00AE66A2"/>
    <w:rsid w:val="00AE6A05"/>
    <w:rsid w:val="00AE7B61"/>
    <w:rsid w:val="00AF0783"/>
    <w:rsid w:val="00AF1196"/>
    <w:rsid w:val="00AF163C"/>
    <w:rsid w:val="00AF171F"/>
    <w:rsid w:val="00AF17D8"/>
    <w:rsid w:val="00AF32E2"/>
    <w:rsid w:val="00AF3855"/>
    <w:rsid w:val="00AF3A90"/>
    <w:rsid w:val="00AF3E62"/>
    <w:rsid w:val="00AF3EFD"/>
    <w:rsid w:val="00AF5006"/>
    <w:rsid w:val="00AF5160"/>
    <w:rsid w:val="00AF5AD2"/>
    <w:rsid w:val="00AF5FED"/>
    <w:rsid w:val="00AF67A4"/>
    <w:rsid w:val="00AF6A47"/>
    <w:rsid w:val="00AF7F62"/>
    <w:rsid w:val="00B0070E"/>
    <w:rsid w:val="00B009DC"/>
    <w:rsid w:val="00B012A8"/>
    <w:rsid w:val="00B016D9"/>
    <w:rsid w:val="00B02CB6"/>
    <w:rsid w:val="00B04D1E"/>
    <w:rsid w:val="00B04EBC"/>
    <w:rsid w:val="00B050C6"/>
    <w:rsid w:val="00B05306"/>
    <w:rsid w:val="00B05D6F"/>
    <w:rsid w:val="00B068DE"/>
    <w:rsid w:val="00B06900"/>
    <w:rsid w:val="00B06902"/>
    <w:rsid w:val="00B06F1C"/>
    <w:rsid w:val="00B06FA9"/>
    <w:rsid w:val="00B0756F"/>
    <w:rsid w:val="00B106B6"/>
    <w:rsid w:val="00B12176"/>
    <w:rsid w:val="00B12578"/>
    <w:rsid w:val="00B1383C"/>
    <w:rsid w:val="00B13892"/>
    <w:rsid w:val="00B144D7"/>
    <w:rsid w:val="00B1567F"/>
    <w:rsid w:val="00B16011"/>
    <w:rsid w:val="00B160C5"/>
    <w:rsid w:val="00B163AE"/>
    <w:rsid w:val="00B16B59"/>
    <w:rsid w:val="00B16F6C"/>
    <w:rsid w:val="00B207B9"/>
    <w:rsid w:val="00B216FA"/>
    <w:rsid w:val="00B21C3A"/>
    <w:rsid w:val="00B21E39"/>
    <w:rsid w:val="00B22772"/>
    <w:rsid w:val="00B2335C"/>
    <w:rsid w:val="00B23C53"/>
    <w:rsid w:val="00B23EF9"/>
    <w:rsid w:val="00B24444"/>
    <w:rsid w:val="00B26508"/>
    <w:rsid w:val="00B2660A"/>
    <w:rsid w:val="00B26958"/>
    <w:rsid w:val="00B2738A"/>
    <w:rsid w:val="00B306BA"/>
    <w:rsid w:val="00B30ADE"/>
    <w:rsid w:val="00B30E6B"/>
    <w:rsid w:val="00B320CF"/>
    <w:rsid w:val="00B32C58"/>
    <w:rsid w:val="00B33611"/>
    <w:rsid w:val="00B342F4"/>
    <w:rsid w:val="00B35629"/>
    <w:rsid w:val="00B368D5"/>
    <w:rsid w:val="00B3737C"/>
    <w:rsid w:val="00B37ECF"/>
    <w:rsid w:val="00B406C8"/>
    <w:rsid w:val="00B40735"/>
    <w:rsid w:val="00B418C1"/>
    <w:rsid w:val="00B419DC"/>
    <w:rsid w:val="00B45915"/>
    <w:rsid w:val="00B4637D"/>
    <w:rsid w:val="00B463F1"/>
    <w:rsid w:val="00B46BCF"/>
    <w:rsid w:val="00B4756F"/>
    <w:rsid w:val="00B47C73"/>
    <w:rsid w:val="00B47C78"/>
    <w:rsid w:val="00B50099"/>
    <w:rsid w:val="00B50785"/>
    <w:rsid w:val="00B50921"/>
    <w:rsid w:val="00B515E7"/>
    <w:rsid w:val="00B51AB8"/>
    <w:rsid w:val="00B521C8"/>
    <w:rsid w:val="00B522FB"/>
    <w:rsid w:val="00B526C0"/>
    <w:rsid w:val="00B52876"/>
    <w:rsid w:val="00B53475"/>
    <w:rsid w:val="00B5386E"/>
    <w:rsid w:val="00B54F3C"/>
    <w:rsid w:val="00B5500A"/>
    <w:rsid w:val="00B554D2"/>
    <w:rsid w:val="00B56001"/>
    <w:rsid w:val="00B564CB"/>
    <w:rsid w:val="00B57D1A"/>
    <w:rsid w:val="00B618FE"/>
    <w:rsid w:val="00B63E37"/>
    <w:rsid w:val="00B64473"/>
    <w:rsid w:val="00B6488A"/>
    <w:rsid w:val="00B64BA0"/>
    <w:rsid w:val="00B64CD8"/>
    <w:rsid w:val="00B64F9F"/>
    <w:rsid w:val="00B650E8"/>
    <w:rsid w:val="00B66FB3"/>
    <w:rsid w:val="00B670B7"/>
    <w:rsid w:val="00B6711E"/>
    <w:rsid w:val="00B673F6"/>
    <w:rsid w:val="00B67BA5"/>
    <w:rsid w:val="00B67BEF"/>
    <w:rsid w:val="00B70134"/>
    <w:rsid w:val="00B70CC2"/>
    <w:rsid w:val="00B7152B"/>
    <w:rsid w:val="00B716F6"/>
    <w:rsid w:val="00B7189A"/>
    <w:rsid w:val="00B72062"/>
    <w:rsid w:val="00B73025"/>
    <w:rsid w:val="00B73E1C"/>
    <w:rsid w:val="00B74A8F"/>
    <w:rsid w:val="00B75359"/>
    <w:rsid w:val="00B75E20"/>
    <w:rsid w:val="00B75F41"/>
    <w:rsid w:val="00B77388"/>
    <w:rsid w:val="00B777A7"/>
    <w:rsid w:val="00B77A49"/>
    <w:rsid w:val="00B77A90"/>
    <w:rsid w:val="00B77BFE"/>
    <w:rsid w:val="00B77D58"/>
    <w:rsid w:val="00B80370"/>
    <w:rsid w:val="00B80EEE"/>
    <w:rsid w:val="00B8171F"/>
    <w:rsid w:val="00B81942"/>
    <w:rsid w:val="00B823AA"/>
    <w:rsid w:val="00B838EA"/>
    <w:rsid w:val="00B84282"/>
    <w:rsid w:val="00B85294"/>
    <w:rsid w:val="00B85571"/>
    <w:rsid w:val="00B86322"/>
    <w:rsid w:val="00B87042"/>
    <w:rsid w:val="00B90E21"/>
    <w:rsid w:val="00B90E25"/>
    <w:rsid w:val="00B91FCC"/>
    <w:rsid w:val="00B936A8"/>
    <w:rsid w:val="00B94443"/>
    <w:rsid w:val="00B94A81"/>
    <w:rsid w:val="00B9524D"/>
    <w:rsid w:val="00B97368"/>
    <w:rsid w:val="00B97903"/>
    <w:rsid w:val="00B97E16"/>
    <w:rsid w:val="00BA05EB"/>
    <w:rsid w:val="00BA131A"/>
    <w:rsid w:val="00BA2D08"/>
    <w:rsid w:val="00BA4323"/>
    <w:rsid w:val="00BA45DB"/>
    <w:rsid w:val="00BA5BDD"/>
    <w:rsid w:val="00BA688F"/>
    <w:rsid w:val="00BA7F9C"/>
    <w:rsid w:val="00BB00FD"/>
    <w:rsid w:val="00BB04D3"/>
    <w:rsid w:val="00BB0672"/>
    <w:rsid w:val="00BB0A79"/>
    <w:rsid w:val="00BB0B65"/>
    <w:rsid w:val="00BB1D33"/>
    <w:rsid w:val="00BB2547"/>
    <w:rsid w:val="00BB2897"/>
    <w:rsid w:val="00BB2A45"/>
    <w:rsid w:val="00BB2C53"/>
    <w:rsid w:val="00BB31A6"/>
    <w:rsid w:val="00BB3604"/>
    <w:rsid w:val="00BB3F6F"/>
    <w:rsid w:val="00BB3FEF"/>
    <w:rsid w:val="00BB5022"/>
    <w:rsid w:val="00BB50DF"/>
    <w:rsid w:val="00BB5373"/>
    <w:rsid w:val="00BB5465"/>
    <w:rsid w:val="00BB5703"/>
    <w:rsid w:val="00BB5FAE"/>
    <w:rsid w:val="00BB62C1"/>
    <w:rsid w:val="00BB6A49"/>
    <w:rsid w:val="00BB6B20"/>
    <w:rsid w:val="00BC138A"/>
    <w:rsid w:val="00BC23FF"/>
    <w:rsid w:val="00BC2CEB"/>
    <w:rsid w:val="00BC4481"/>
    <w:rsid w:val="00BC56EF"/>
    <w:rsid w:val="00BC6008"/>
    <w:rsid w:val="00BC6623"/>
    <w:rsid w:val="00BC7332"/>
    <w:rsid w:val="00BC7921"/>
    <w:rsid w:val="00BD16AA"/>
    <w:rsid w:val="00BD2B93"/>
    <w:rsid w:val="00BD3E32"/>
    <w:rsid w:val="00BD4181"/>
    <w:rsid w:val="00BD45A3"/>
    <w:rsid w:val="00BD6C05"/>
    <w:rsid w:val="00BD7087"/>
    <w:rsid w:val="00BD7BEE"/>
    <w:rsid w:val="00BD7F40"/>
    <w:rsid w:val="00BE07C1"/>
    <w:rsid w:val="00BE0B00"/>
    <w:rsid w:val="00BE1602"/>
    <w:rsid w:val="00BE17FD"/>
    <w:rsid w:val="00BE230F"/>
    <w:rsid w:val="00BE2518"/>
    <w:rsid w:val="00BE2743"/>
    <w:rsid w:val="00BE2CB7"/>
    <w:rsid w:val="00BE4877"/>
    <w:rsid w:val="00BE4BE7"/>
    <w:rsid w:val="00BE68CE"/>
    <w:rsid w:val="00BE6FCD"/>
    <w:rsid w:val="00BE712C"/>
    <w:rsid w:val="00BE7321"/>
    <w:rsid w:val="00BE7653"/>
    <w:rsid w:val="00BE7B0D"/>
    <w:rsid w:val="00BE7D3F"/>
    <w:rsid w:val="00BF08FD"/>
    <w:rsid w:val="00BF0AE4"/>
    <w:rsid w:val="00BF1AE9"/>
    <w:rsid w:val="00BF2893"/>
    <w:rsid w:val="00BF2CA0"/>
    <w:rsid w:val="00BF2CF1"/>
    <w:rsid w:val="00BF3988"/>
    <w:rsid w:val="00BF4184"/>
    <w:rsid w:val="00BF476C"/>
    <w:rsid w:val="00BF4A4E"/>
    <w:rsid w:val="00BF5393"/>
    <w:rsid w:val="00BF6078"/>
    <w:rsid w:val="00BF628C"/>
    <w:rsid w:val="00BF66C6"/>
    <w:rsid w:val="00BF6ED5"/>
    <w:rsid w:val="00BF720F"/>
    <w:rsid w:val="00BF7905"/>
    <w:rsid w:val="00C00101"/>
    <w:rsid w:val="00C00397"/>
    <w:rsid w:val="00C00B06"/>
    <w:rsid w:val="00C013F3"/>
    <w:rsid w:val="00C01927"/>
    <w:rsid w:val="00C02777"/>
    <w:rsid w:val="00C02AF4"/>
    <w:rsid w:val="00C0346A"/>
    <w:rsid w:val="00C034B2"/>
    <w:rsid w:val="00C03562"/>
    <w:rsid w:val="00C036E7"/>
    <w:rsid w:val="00C03BC5"/>
    <w:rsid w:val="00C03C75"/>
    <w:rsid w:val="00C0456C"/>
    <w:rsid w:val="00C05253"/>
    <w:rsid w:val="00C05796"/>
    <w:rsid w:val="00C05A6A"/>
    <w:rsid w:val="00C05AE8"/>
    <w:rsid w:val="00C05DAE"/>
    <w:rsid w:val="00C05FA2"/>
    <w:rsid w:val="00C05FA5"/>
    <w:rsid w:val="00C0601E"/>
    <w:rsid w:val="00C061D8"/>
    <w:rsid w:val="00C07330"/>
    <w:rsid w:val="00C10319"/>
    <w:rsid w:val="00C10752"/>
    <w:rsid w:val="00C10D13"/>
    <w:rsid w:val="00C115AC"/>
    <w:rsid w:val="00C11AC1"/>
    <w:rsid w:val="00C121A2"/>
    <w:rsid w:val="00C121A9"/>
    <w:rsid w:val="00C12B56"/>
    <w:rsid w:val="00C12FBE"/>
    <w:rsid w:val="00C13C64"/>
    <w:rsid w:val="00C13D50"/>
    <w:rsid w:val="00C14A29"/>
    <w:rsid w:val="00C15513"/>
    <w:rsid w:val="00C16116"/>
    <w:rsid w:val="00C16954"/>
    <w:rsid w:val="00C16E91"/>
    <w:rsid w:val="00C17262"/>
    <w:rsid w:val="00C20B8D"/>
    <w:rsid w:val="00C20D4A"/>
    <w:rsid w:val="00C2123A"/>
    <w:rsid w:val="00C215BC"/>
    <w:rsid w:val="00C2188A"/>
    <w:rsid w:val="00C21FB0"/>
    <w:rsid w:val="00C21FBA"/>
    <w:rsid w:val="00C221E7"/>
    <w:rsid w:val="00C2261C"/>
    <w:rsid w:val="00C22BBE"/>
    <w:rsid w:val="00C23170"/>
    <w:rsid w:val="00C25158"/>
    <w:rsid w:val="00C26354"/>
    <w:rsid w:val="00C264BE"/>
    <w:rsid w:val="00C264E8"/>
    <w:rsid w:val="00C26D40"/>
    <w:rsid w:val="00C2767E"/>
    <w:rsid w:val="00C278BE"/>
    <w:rsid w:val="00C27A96"/>
    <w:rsid w:val="00C27E9C"/>
    <w:rsid w:val="00C311F0"/>
    <w:rsid w:val="00C31A01"/>
    <w:rsid w:val="00C31A73"/>
    <w:rsid w:val="00C31D30"/>
    <w:rsid w:val="00C33A02"/>
    <w:rsid w:val="00C33E08"/>
    <w:rsid w:val="00C33E13"/>
    <w:rsid w:val="00C33ED2"/>
    <w:rsid w:val="00C34A8C"/>
    <w:rsid w:val="00C35761"/>
    <w:rsid w:val="00C35DAE"/>
    <w:rsid w:val="00C3616F"/>
    <w:rsid w:val="00C367FF"/>
    <w:rsid w:val="00C36B2D"/>
    <w:rsid w:val="00C37010"/>
    <w:rsid w:val="00C37078"/>
    <w:rsid w:val="00C40CD0"/>
    <w:rsid w:val="00C40D92"/>
    <w:rsid w:val="00C4114C"/>
    <w:rsid w:val="00C43EE1"/>
    <w:rsid w:val="00C43FC4"/>
    <w:rsid w:val="00C4494C"/>
    <w:rsid w:val="00C44AF6"/>
    <w:rsid w:val="00C44B18"/>
    <w:rsid w:val="00C4583E"/>
    <w:rsid w:val="00C45CA6"/>
    <w:rsid w:val="00C46BFC"/>
    <w:rsid w:val="00C46C24"/>
    <w:rsid w:val="00C474BD"/>
    <w:rsid w:val="00C47AD9"/>
    <w:rsid w:val="00C47D1B"/>
    <w:rsid w:val="00C5085A"/>
    <w:rsid w:val="00C50F0F"/>
    <w:rsid w:val="00C519C7"/>
    <w:rsid w:val="00C51B72"/>
    <w:rsid w:val="00C51ED6"/>
    <w:rsid w:val="00C526D9"/>
    <w:rsid w:val="00C52B64"/>
    <w:rsid w:val="00C52FC0"/>
    <w:rsid w:val="00C53874"/>
    <w:rsid w:val="00C5396A"/>
    <w:rsid w:val="00C53E3E"/>
    <w:rsid w:val="00C54543"/>
    <w:rsid w:val="00C55911"/>
    <w:rsid w:val="00C5593C"/>
    <w:rsid w:val="00C56BE6"/>
    <w:rsid w:val="00C576F4"/>
    <w:rsid w:val="00C577A8"/>
    <w:rsid w:val="00C60A21"/>
    <w:rsid w:val="00C614CD"/>
    <w:rsid w:val="00C61817"/>
    <w:rsid w:val="00C61DD7"/>
    <w:rsid w:val="00C62D28"/>
    <w:rsid w:val="00C62EAE"/>
    <w:rsid w:val="00C63345"/>
    <w:rsid w:val="00C63748"/>
    <w:rsid w:val="00C639BC"/>
    <w:rsid w:val="00C63D00"/>
    <w:rsid w:val="00C63D5A"/>
    <w:rsid w:val="00C63DB9"/>
    <w:rsid w:val="00C66FEF"/>
    <w:rsid w:val="00C676BA"/>
    <w:rsid w:val="00C67C19"/>
    <w:rsid w:val="00C700EE"/>
    <w:rsid w:val="00C70481"/>
    <w:rsid w:val="00C70FE1"/>
    <w:rsid w:val="00C713ED"/>
    <w:rsid w:val="00C71CA0"/>
    <w:rsid w:val="00C7272A"/>
    <w:rsid w:val="00C729E8"/>
    <w:rsid w:val="00C73B2B"/>
    <w:rsid w:val="00C73B8C"/>
    <w:rsid w:val="00C73D28"/>
    <w:rsid w:val="00C743D2"/>
    <w:rsid w:val="00C74C45"/>
    <w:rsid w:val="00C75596"/>
    <w:rsid w:val="00C75614"/>
    <w:rsid w:val="00C75E10"/>
    <w:rsid w:val="00C762A8"/>
    <w:rsid w:val="00C763E1"/>
    <w:rsid w:val="00C76880"/>
    <w:rsid w:val="00C772B9"/>
    <w:rsid w:val="00C7736A"/>
    <w:rsid w:val="00C779C3"/>
    <w:rsid w:val="00C80444"/>
    <w:rsid w:val="00C80AE2"/>
    <w:rsid w:val="00C81A44"/>
    <w:rsid w:val="00C81F5A"/>
    <w:rsid w:val="00C81FFA"/>
    <w:rsid w:val="00C82468"/>
    <w:rsid w:val="00C82F14"/>
    <w:rsid w:val="00C849E2"/>
    <w:rsid w:val="00C860C5"/>
    <w:rsid w:val="00C878E7"/>
    <w:rsid w:val="00C87B50"/>
    <w:rsid w:val="00C87E74"/>
    <w:rsid w:val="00C87EE8"/>
    <w:rsid w:val="00C90731"/>
    <w:rsid w:val="00C90E9E"/>
    <w:rsid w:val="00C91EA7"/>
    <w:rsid w:val="00C92805"/>
    <w:rsid w:val="00C93235"/>
    <w:rsid w:val="00C94210"/>
    <w:rsid w:val="00C95A25"/>
    <w:rsid w:val="00C95D0B"/>
    <w:rsid w:val="00C962F4"/>
    <w:rsid w:val="00C97664"/>
    <w:rsid w:val="00C97957"/>
    <w:rsid w:val="00CA00CD"/>
    <w:rsid w:val="00CA08F5"/>
    <w:rsid w:val="00CA0C54"/>
    <w:rsid w:val="00CA1106"/>
    <w:rsid w:val="00CA3088"/>
    <w:rsid w:val="00CA5D22"/>
    <w:rsid w:val="00CA6803"/>
    <w:rsid w:val="00CA68E7"/>
    <w:rsid w:val="00CA786B"/>
    <w:rsid w:val="00CB02A9"/>
    <w:rsid w:val="00CB1463"/>
    <w:rsid w:val="00CB16F8"/>
    <w:rsid w:val="00CB3E84"/>
    <w:rsid w:val="00CB4094"/>
    <w:rsid w:val="00CB4222"/>
    <w:rsid w:val="00CB4242"/>
    <w:rsid w:val="00CB44DD"/>
    <w:rsid w:val="00CB4D0A"/>
    <w:rsid w:val="00CB4FF4"/>
    <w:rsid w:val="00CB5291"/>
    <w:rsid w:val="00CB52E4"/>
    <w:rsid w:val="00CB5454"/>
    <w:rsid w:val="00CB5CCE"/>
    <w:rsid w:val="00CB600B"/>
    <w:rsid w:val="00CB6A07"/>
    <w:rsid w:val="00CB6F37"/>
    <w:rsid w:val="00CB6FB3"/>
    <w:rsid w:val="00CB7686"/>
    <w:rsid w:val="00CB77EC"/>
    <w:rsid w:val="00CC0288"/>
    <w:rsid w:val="00CC0301"/>
    <w:rsid w:val="00CC04D3"/>
    <w:rsid w:val="00CC05EA"/>
    <w:rsid w:val="00CC1CD8"/>
    <w:rsid w:val="00CC1DD8"/>
    <w:rsid w:val="00CC2B43"/>
    <w:rsid w:val="00CC33AA"/>
    <w:rsid w:val="00CC4050"/>
    <w:rsid w:val="00CC4064"/>
    <w:rsid w:val="00CC4899"/>
    <w:rsid w:val="00CC493D"/>
    <w:rsid w:val="00CC4B18"/>
    <w:rsid w:val="00CC4F84"/>
    <w:rsid w:val="00CC673A"/>
    <w:rsid w:val="00CC6DB4"/>
    <w:rsid w:val="00CD1A34"/>
    <w:rsid w:val="00CD22B6"/>
    <w:rsid w:val="00CD2575"/>
    <w:rsid w:val="00CD2657"/>
    <w:rsid w:val="00CD30A4"/>
    <w:rsid w:val="00CD3501"/>
    <w:rsid w:val="00CD3B46"/>
    <w:rsid w:val="00CD3DB8"/>
    <w:rsid w:val="00CD45C9"/>
    <w:rsid w:val="00CD45F3"/>
    <w:rsid w:val="00CD475E"/>
    <w:rsid w:val="00CD4E9B"/>
    <w:rsid w:val="00CD5191"/>
    <w:rsid w:val="00CD5ACC"/>
    <w:rsid w:val="00CD6463"/>
    <w:rsid w:val="00CD6591"/>
    <w:rsid w:val="00CD6929"/>
    <w:rsid w:val="00CD6E39"/>
    <w:rsid w:val="00CD733D"/>
    <w:rsid w:val="00CD7C75"/>
    <w:rsid w:val="00CE00B9"/>
    <w:rsid w:val="00CE04F5"/>
    <w:rsid w:val="00CE112B"/>
    <w:rsid w:val="00CE11F9"/>
    <w:rsid w:val="00CE24CB"/>
    <w:rsid w:val="00CE2F8D"/>
    <w:rsid w:val="00CE3837"/>
    <w:rsid w:val="00CE3A08"/>
    <w:rsid w:val="00CE4121"/>
    <w:rsid w:val="00CE47C9"/>
    <w:rsid w:val="00CE4F38"/>
    <w:rsid w:val="00CE564F"/>
    <w:rsid w:val="00CE6B69"/>
    <w:rsid w:val="00CE7BE4"/>
    <w:rsid w:val="00CE7C36"/>
    <w:rsid w:val="00CF1B88"/>
    <w:rsid w:val="00CF1C22"/>
    <w:rsid w:val="00CF1DF7"/>
    <w:rsid w:val="00CF315A"/>
    <w:rsid w:val="00CF339C"/>
    <w:rsid w:val="00CF350D"/>
    <w:rsid w:val="00CF38A6"/>
    <w:rsid w:val="00CF3941"/>
    <w:rsid w:val="00CF3D05"/>
    <w:rsid w:val="00CF4871"/>
    <w:rsid w:val="00CF50B8"/>
    <w:rsid w:val="00CF5193"/>
    <w:rsid w:val="00CF6E91"/>
    <w:rsid w:val="00CF772E"/>
    <w:rsid w:val="00CF78EC"/>
    <w:rsid w:val="00D0017B"/>
    <w:rsid w:val="00D002A9"/>
    <w:rsid w:val="00D013EC"/>
    <w:rsid w:val="00D01573"/>
    <w:rsid w:val="00D017C0"/>
    <w:rsid w:val="00D02DAA"/>
    <w:rsid w:val="00D03B0A"/>
    <w:rsid w:val="00D05739"/>
    <w:rsid w:val="00D05859"/>
    <w:rsid w:val="00D06AE9"/>
    <w:rsid w:val="00D10009"/>
    <w:rsid w:val="00D10AD4"/>
    <w:rsid w:val="00D11770"/>
    <w:rsid w:val="00D12259"/>
    <w:rsid w:val="00D1323E"/>
    <w:rsid w:val="00D15B35"/>
    <w:rsid w:val="00D15C28"/>
    <w:rsid w:val="00D16159"/>
    <w:rsid w:val="00D16552"/>
    <w:rsid w:val="00D17233"/>
    <w:rsid w:val="00D179D5"/>
    <w:rsid w:val="00D2074C"/>
    <w:rsid w:val="00D208D3"/>
    <w:rsid w:val="00D20F69"/>
    <w:rsid w:val="00D21501"/>
    <w:rsid w:val="00D220BC"/>
    <w:rsid w:val="00D2228B"/>
    <w:rsid w:val="00D22521"/>
    <w:rsid w:val="00D225D6"/>
    <w:rsid w:val="00D23475"/>
    <w:rsid w:val="00D2494B"/>
    <w:rsid w:val="00D2499A"/>
    <w:rsid w:val="00D257CA"/>
    <w:rsid w:val="00D26125"/>
    <w:rsid w:val="00D26299"/>
    <w:rsid w:val="00D2635E"/>
    <w:rsid w:val="00D26543"/>
    <w:rsid w:val="00D2695F"/>
    <w:rsid w:val="00D26A59"/>
    <w:rsid w:val="00D274E1"/>
    <w:rsid w:val="00D27800"/>
    <w:rsid w:val="00D27FCC"/>
    <w:rsid w:val="00D30568"/>
    <w:rsid w:val="00D30B91"/>
    <w:rsid w:val="00D30CBA"/>
    <w:rsid w:val="00D31172"/>
    <w:rsid w:val="00D324AD"/>
    <w:rsid w:val="00D32992"/>
    <w:rsid w:val="00D32B3A"/>
    <w:rsid w:val="00D333C3"/>
    <w:rsid w:val="00D33A75"/>
    <w:rsid w:val="00D34237"/>
    <w:rsid w:val="00D344BD"/>
    <w:rsid w:val="00D345BF"/>
    <w:rsid w:val="00D346D4"/>
    <w:rsid w:val="00D34875"/>
    <w:rsid w:val="00D34897"/>
    <w:rsid w:val="00D34936"/>
    <w:rsid w:val="00D34CBD"/>
    <w:rsid w:val="00D34D19"/>
    <w:rsid w:val="00D359C9"/>
    <w:rsid w:val="00D35B29"/>
    <w:rsid w:val="00D371D2"/>
    <w:rsid w:val="00D377FD"/>
    <w:rsid w:val="00D37E50"/>
    <w:rsid w:val="00D400EB"/>
    <w:rsid w:val="00D404AB"/>
    <w:rsid w:val="00D404BF"/>
    <w:rsid w:val="00D40FCF"/>
    <w:rsid w:val="00D41C09"/>
    <w:rsid w:val="00D42645"/>
    <w:rsid w:val="00D43897"/>
    <w:rsid w:val="00D4431B"/>
    <w:rsid w:val="00D44F84"/>
    <w:rsid w:val="00D4531C"/>
    <w:rsid w:val="00D47EE0"/>
    <w:rsid w:val="00D47F37"/>
    <w:rsid w:val="00D5006B"/>
    <w:rsid w:val="00D50D04"/>
    <w:rsid w:val="00D515F9"/>
    <w:rsid w:val="00D51E5C"/>
    <w:rsid w:val="00D52090"/>
    <w:rsid w:val="00D533A0"/>
    <w:rsid w:val="00D5370D"/>
    <w:rsid w:val="00D53BE2"/>
    <w:rsid w:val="00D53C69"/>
    <w:rsid w:val="00D53FB9"/>
    <w:rsid w:val="00D54385"/>
    <w:rsid w:val="00D54FB4"/>
    <w:rsid w:val="00D5595A"/>
    <w:rsid w:val="00D559CF"/>
    <w:rsid w:val="00D55DAD"/>
    <w:rsid w:val="00D56077"/>
    <w:rsid w:val="00D565A2"/>
    <w:rsid w:val="00D57963"/>
    <w:rsid w:val="00D60057"/>
    <w:rsid w:val="00D611FB"/>
    <w:rsid w:val="00D62E7E"/>
    <w:rsid w:val="00D635A2"/>
    <w:rsid w:val="00D63699"/>
    <w:rsid w:val="00D63FD8"/>
    <w:rsid w:val="00D648F6"/>
    <w:rsid w:val="00D65A90"/>
    <w:rsid w:val="00D66148"/>
    <w:rsid w:val="00D66368"/>
    <w:rsid w:val="00D66984"/>
    <w:rsid w:val="00D66A7D"/>
    <w:rsid w:val="00D66AEF"/>
    <w:rsid w:val="00D66DC1"/>
    <w:rsid w:val="00D66E20"/>
    <w:rsid w:val="00D67BDC"/>
    <w:rsid w:val="00D704A1"/>
    <w:rsid w:val="00D707B4"/>
    <w:rsid w:val="00D709EA"/>
    <w:rsid w:val="00D71012"/>
    <w:rsid w:val="00D71079"/>
    <w:rsid w:val="00D719AD"/>
    <w:rsid w:val="00D71B02"/>
    <w:rsid w:val="00D71E61"/>
    <w:rsid w:val="00D72D2D"/>
    <w:rsid w:val="00D7387D"/>
    <w:rsid w:val="00D73DD9"/>
    <w:rsid w:val="00D761A5"/>
    <w:rsid w:val="00D76BE2"/>
    <w:rsid w:val="00D76E51"/>
    <w:rsid w:val="00D77658"/>
    <w:rsid w:val="00D77969"/>
    <w:rsid w:val="00D8001A"/>
    <w:rsid w:val="00D8012E"/>
    <w:rsid w:val="00D80D9E"/>
    <w:rsid w:val="00D80E61"/>
    <w:rsid w:val="00D81544"/>
    <w:rsid w:val="00D829E0"/>
    <w:rsid w:val="00D8354C"/>
    <w:rsid w:val="00D83D20"/>
    <w:rsid w:val="00D83F3B"/>
    <w:rsid w:val="00D85B68"/>
    <w:rsid w:val="00D8602B"/>
    <w:rsid w:val="00D8603F"/>
    <w:rsid w:val="00D86C36"/>
    <w:rsid w:val="00D87B55"/>
    <w:rsid w:val="00D87FA1"/>
    <w:rsid w:val="00D904A2"/>
    <w:rsid w:val="00D90557"/>
    <w:rsid w:val="00D909BF"/>
    <w:rsid w:val="00D910E7"/>
    <w:rsid w:val="00D9186D"/>
    <w:rsid w:val="00D91C4A"/>
    <w:rsid w:val="00D92468"/>
    <w:rsid w:val="00D92A19"/>
    <w:rsid w:val="00D93846"/>
    <w:rsid w:val="00D938BA"/>
    <w:rsid w:val="00D9401E"/>
    <w:rsid w:val="00D95EC3"/>
    <w:rsid w:val="00D96A50"/>
    <w:rsid w:val="00D96EE1"/>
    <w:rsid w:val="00D973BF"/>
    <w:rsid w:val="00D97E02"/>
    <w:rsid w:val="00DA03A5"/>
    <w:rsid w:val="00DA042A"/>
    <w:rsid w:val="00DA09D6"/>
    <w:rsid w:val="00DA1914"/>
    <w:rsid w:val="00DA1925"/>
    <w:rsid w:val="00DA223F"/>
    <w:rsid w:val="00DA2A3B"/>
    <w:rsid w:val="00DA321F"/>
    <w:rsid w:val="00DA3567"/>
    <w:rsid w:val="00DA3C09"/>
    <w:rsid w:val="00DA3D25"/>
    <w:rsid w:val="00DA4234"/>
    <w:rsid w:val="00DA472E"/>
    <w:rsid w:val="00DA47C1"/>
    <w:rsid w:val="00DA5978"/>
    <w:rsid w:val="00DA6898"/>
    <w:rsid w:val="00DA70F8"/>
    <w:rsid w:val="00DA7AC0"/>
    <w:rsid w:val="00DB027E"/>
    <w:rsid w:val="00DB06FF"/>
    <w:rsid w:val="00DB1191"/>
    <w:rsid w:val="00DB1AC2"/>
    <w:rsid w:val="00DB1AFB"/>
    <w:rsid w:val="00DB1F44"/>
    <w:rsid w:val="00DB213D"/>
    <w:rsid w:val="00DB276D"/>
    <w:rsid w:val="00DB2AB3"/>
    <w:rsid w:val="00DB369F"/>
    <w:rsid w:val="00DB4445"/>
    <w:rsid w:val="00DB45E1"/>
    <w:rsid w:val="00DB4701"/>
    <w:rsid w:val="00DB60CA"/>
    <w:rsid w:val="00DB7C9F"/>
    <w:rsid w:val="00DC036B"/>
    <w:rsid w:val="00DC055E"/>
    <w:rsid w:val="00DC06CF"/>
    <w:rsid w:val="00DC09D7"/>
    <w:rsid w:val="00DC14A7"/>
    <w:rsid w:val="00DC1A53"/>
    <w:rsid w:val="00DC2E9F"/>
    <w:rsid w:val="00DC3140"/>
    <w:rsid w:val="00DC3441"/>
    <w:rsid w:val="00DC3EC3"/>
    <w:rsid w:val="00DC506F"/>
    <w:rsid w:val="00DC6AA9"/>
    <w:rsid w:val="00DC7322"/>
    <w:rsid w:val="00DD0221"/>
    <w:rsid w:val="00DD0DBA"/>
    <w:rsid w:val="00DD0FC7"/>
    <w:rsid w:val="00DD1395"/>
    <w:rsid w:val="00DD175E"/>
    <w:rsid w:val="00DD268D"/>
    <w:rsid w:val="00DD4454"/>
    <w:rsid w:val="00DD44A9"/>
    <w:rsid w:val="00DD5502"/>
    <w:rsid w:val="00DD559F"/>
    <w:rsid w:val="00DD5D3B"/>
    <w:rsid w:val="00DD62A9"/>
    <w:rsid w:val="00DD6B0E"/>
    <w:rsid w:val="00DD7784"/>
    <w:rsid w:val="00DD797D"/>
    <w:rsid w:val="00DD7D50"/>
    <w:rsid w:val="00DD7EB0"/>
    <w:rsid w:val="00DE045D"/>
    <w:rsid w:val="00DE08D2"/>
    <w:rsid w:val="00DE09D7"/>
    <w:rsid w:val="00DE0DDB"/>
    <w:rsid w:val="00DE14DC"/>
    <w:rsid w:val="00DE1C68"/>
    <w:rsid w:val="00DE322D"/>
    <w:rsid w:val="00DE371A"/>
    <w:rsid w:val="00DE372E"/>
    <w:rsid w:val="00DE378A"/>
    <w:rsid w:val="00DE41A7"/>
    <w:rsid w:val="00DE46AF"/>
    <w:rsid w:val="00DE4E2C"/>
    <w:rsid w:val="00DE7285"/>
    <w:rsid w:val="00DE7431"/>
    <w:rsid w:val="00DE74BD"/>
    <w:rsid w:val="00DE7C45"/>
    <w:rsid w:val="00DF0075"/>
    <w:rsid w:val="00DF2633"/>
    <w:rsid w:val="00DF2C4B"/>
    <w:rsid w:val="00DF3150"/>
    <w:rsid w:val="00DF3B12"/>
    <w:rsid w:val="00DF3F20"/>
    <w:rsid w:val="00DF3FAA"/>
    <w:rsid w:val="00E00C57"/>
    <w:rsid w:val="00E00D74"/>
    <w:rsid w:val="00E00DF4"/>
    <w:rsid w:val="00E00E3C"/>
    <w:rsid w:val="00E01141"/>
    <w:rsid w:val="00E01C8F"/>
    <w:rsid w:val="00E01EBE"/>
    <w:rsid w:val="00E034FA"/>
    <w:rsid w:val="00E03B78"/>
    <w:rsid w:val="00E040EB"/>
    <w:rsid w:val="00E04546"/>
    <w:rsid w:val="00E046E1"/>
    <w:rsid w:val="00E04BAF"/>
    <w:rsid w:val="00E04CD7"/>
    <w:rsid w:val="00E05083"/>
    <w:rsid w:val="00E0539F"/>
    <w:rsid w:val="00E055B6"/>
    <w:rsid w:val="00E05DC8"/>
    <w:rsid w:val="00E078CC"/>
    <w:rsid w:val="00E0794F"/>
    <w:rsid w:val="00E07A34"/>
    <w:rsid w:val="00E10BB9"/>
    <w:rsid w:val="00E10C63"/>
    <w:rsid w:val="00E10D7D"/>
    <w:rsid w:val="00E1257D"/>
    <w:rsid w:val="00E14D3A"/>
    <w:rsid w:val="00E1621B"/>
    <w:rsid w:val="00E173FD"/>
    <w:rsid w:val="00E17613"/>
    <w:rsid w:val="00E20F86"/>
    <w:rsid w:val="00E21366"/>
    <w:rsid w:val="00E22780"/>
    <w:rsid w:val="00E228EF"/>
    <w:rsid w:val="00E23725"/>
    <w:rsid w:val="00E23C1A"/>
    <w:rsid w:val="00E23FE1"/>
    <w:rsid w:val="00E24821"/>
    <w:rsid w:val="00E24C0B"/>
    <w:rsid w:val="00E24CA0"/>
    <w:rsid w:val="00E25990"/>
    <w:rsid w:val="00E2655D"/>
    <w:rsid w:val="00E267D4"/>
    <w:rsid w:val="00E26B81"/>
    <w:rsid w:val="00E27811"/>
    <w:rsid w:val="00E3162F"/>
    <w:rsid w:val="00E31A8E"/>
    <w:rsid w:val="00E31F8B"/>
    <w:rsid w:val="00E32003"/>
    <w:rsid w:val="00E3249B"/>
    <w:rsid w:val="00E32AF4"/>
    <w:rsid w:val="00E33172"/>
    <w:rsid w:val="00E336C7"/>
    <w:rsid w:val="00E33A94"/>
    <w:rsid w:val="00E3456C"/>
    <w:rsid w:val="00E34593"/>
    <w:rsid w:val="00E3528F"/>
    <w:rsid w:val="00E356F4"/>
    <w:rsid w:val="00E357BC"/>
    <w:rsid w:val="00E36461"/>
    <w:rsid w:val="00E36EE6"/>
    <w:rsid w:val="00E371C5"/>
    <w:rsid w:val="00E40264"/>
    <w:rsid w:val="00E40275"/>
    <w:rsid w:val="00E40B26"/>
    <w:rsid w:val="00E40B2F"/>
    <w:rsid w:val="00E40C88"/>
    <w:rsid w:val="00E416D0"/>
    <w:rsid w:val="00E419BF"/>
    <w:rsid w:val="00E42216"/>
    <w:rsid w:val="00E422FE"/>
    <w:rsid w:val="00E42732"/>
    <w:rsid w:val="00E4275F"/>
    <w:rsid w:val="00E42C6E"/>
    <w:rsid w:val="00E462C5"/>
    <w:rsid w:val="00E4656C"/>
    <w:rsid w:val="00E46F09"/>
    <w:rsid w:val="00E470B7"/>
    <w:rsid w:val="00E504EA"/>
    <w:rsid w:val="00E50AAA"/>
    <w:rsid w:val="00E511C8"/>
    <w:rsid w:val="00E51F0D"/>
    <w:rsid w:val="00E52961"/>
    <w:rsid w:val="00E537CF"/>
    <w:rsid w:val="00E55122"/>
    <w:rsid w:val="00E55273"/>
    <w:rsid w:val="00E553D0"/>
    <w:rsid w:val="00E5680F"/>
    <w:rsid w:val="00E56D3A"/>
    <w:rsid w:val="00E570FB"/>
    <w:rsid w:val="00E57142"/>
    <w:rsid w:val="00E5748C"/>
    <w:rsid w:val="00E6004D"/>
    <w:rsid w:val="00E602DA"/>
    <w:rsid w:val="00E60803"/>
    <w:rsid w:val="00E61484"/>
    <w:rsid w:val="00E61D52"/>
    <w:rsid w:val="00E62C55"/>
    <w:rsid w:val="00E62C5D"/>
    <w:rsid w:val="00E630F9"/>
    <w:rsid w:val="00E643E1"/>
    <w:rsid w:val="00E64E5B"/>
    <w:rsid w:val="00E6562E"/>
    <w:rsid w:val="00E65AD3"/>
    <w:rsid w:val="00E66185"/>
    <w:rsid w:val="00E66F91"/>
    <w:rsid w:val="00E678F7"/>
    <w:rsid w:val="00E67B73"/>
    <w:rsid w:val="00E705A5"/>
    <w:rsid w:val="00E70CC6"/>
    <w:rsid w:val="00E70FED"/>
    <w:rsid w:val="00E7225E"/>
    <w:rsid w:val="00E72869"/>
    <w:rsid w:val="00E73492"/>
    <w:rsid w:val="00E73B43"/>
    <w:rsid w:val="00E73B9A"/>
    <w:rsid w:val="00E74417"/>
    <w:rsid w:val="00E74E57"/>
    <w:rsid w:val="00E75493"/>
    <w:rsid w:val="00E7570A"/>
    <w:rsid w:val="00E75BE5"/>
    <w:rsid w:val="00E767C5"/>
    <w:rsid w:val="00E76CBE"/>
    <w:rsid w:val="00E77DE7"/>
    <w:rsid w:val="00E77F0A"/>
    <w:rsid w:val="00E80358"/>
    <w:rsid w:val="00E81978"/>
    <w:rsid w:val="00E819BF"/>
    <w:rsid w:val="00E81A9A"/>
    <w:rsid w:val="00E82A08"/>
    <w:rsid w:val="00E83B62"/>
    <w:rsid w:val="00E84573"/>
    <w:rsid w:val="00E84B01"/>
    <w:rsid w:val="00E852A5"/>
    <w:rsid w:val="00E8563E"/>
    <w:rsid w:val="00E857D4"/>
    <w:rsid w:val="00E86153"/>
    <w:rsid w:val="00E877C1"/>
    <w:rsid w:val="00E87F81"/>
    <w:rsid w:val="00E90D8B"/>
    <w:rsid w:val="00E91350"/>
    <w:rsid w:val="00E919CC"/>
    <w:rsid w:val="00E91E6C"/>
    <w:rsid w:val="00E921F4"/>
    <w:rsid w:val="00E92E08"/>
    <w:rsid w:val="00E93749"/>
    <w:rsid w:val="00E9379E"/>
    <w:rsid w:val="00E94489"/>
    <w:rsid w:val="00E94A0C"/>
    <w:rsid w:val="00E94EFD"/>
    <w:rsid w:val="00E95BCD"/>
    <w:rsid w:val="00E96380"/>
    <w:rsid w:val="00E969AC"/>
    <w:rsid w:val="00E9753C"/>
    <w:rsid w:val="00E97BA1"/>
    <w:rsid w:val="00EA0AE5"/>
    <w:rsid w:val="00EA0C6F"/>
    <w:rsid w:val="00EA3385"/>
    <w:rsid w:val="00EA3E9A"/>
    <w:rsid w:val="00EA3F95"/>
    <w:rsid w:val="00EA530A"/>
    <w:rsid w:val="00EA56B4"/>
    <w:rsid w:val="00EA5C04"/>
    <w:rsid w:val="00EA62D5"/>
    <w:rsid w:val="00EA6779"/>
    <w:rsid w:val="00EA7A8E"/>
    <w:rsid w:val="00EA7CAB"/>
    <w:rsid w:val="00EB12A0"/>
    <w:rsid w:val="00EB1D31"/>
    <w:rsid w:val="00EB2913"/>
    <w:rsid w:val="00EB29F7"/>
    <w:rsid w:val="00EB2A1B"/>
    <w:rsid w:val="00EB2E64"/>
    <w:rsid w:val="00EB412F"/>
    <w:rsid w:val="00EB4833"/>
    <w:rsid w:val="00EB6CA5"/>
    <w:rsid w:val="00EC01D2"/>
    <w:rsid w:val="00EC0331"/>
    <w:rsid w:val="00EC0BDE"/>
    <w:rsid w:val="00EC1A24"/>
    <w:rsid w:val="00EC26D3"/>
    <w:rsid w:val="00EC2C7E"/>
    <w:rsid w:val="00EC2C9C"/>
    <w:rsid w:val="00EC30F7"/>
    <w:rsid w:val="00EC4BF6"/>
    <w:rsid w:val="00EC5550"/>
    <w:rsid w:val="00EC5DF9"/>
    <w:rsid w:val="00EC6A3F"/>
    <w:rsid w:val="00EC7414"/>
    <w:rsid w:val="00EC77C9"/>
    <w:rsid w:val="00ED07B9"/>
    <w:rsid w:val="00ED0E7D"/>
    <w:rsid w:val="00ED16BD"/>
    <w:rsid w:val="00ED22EE"/>
    <w:rsid w:val="00ED2744"/>
    <w:rsid w:val="00ED2994"/>
    <w:rsid w:val="00ED2A5C"/>
    <w:rsid w:val="00ED3041"/>
    <w:rsid w:val="00ED3138"/>
    <w:rsid w:val="00ED3C04"/>
    <w:rsid w:val="00ED5234"/>
    <w:rsid w:val="00ED62C5"/>
    <w:rsid w:val="00ED672C"/>
    <w:rsid w:val="00ED7256"/>
    <w:rsid w:val="00ED76D4"/>
    <w:rsid w:val="00EE010F"/>
    <w:rsid w:val="00EE03FE"/>
    <w:rsid w:val="00EE08D4"/>
    <w:rsid w:val="00EE0949"/>
    <w:rsid w:val="00EE0AA3"/>
    <w:rsid w:val="00EE132F"/>
    <w:rsid w:val="00EE1837"/>
    <w:rsid w:val="00EE20B5"/>
    <w:rsid w:val="00EE21F7"/>
    <w:rsid w:val="00EE3E18"/>
    <w:rsid w:val="00EE406D"/>
    <w:rsid w:val="00EE4277"/>
    <w:rsid w:val="00EE44F4"/>
    <w:rsid w:val="00EE4E14"/>
    <w:rsid w:val="00EE4F96"/>
    <w:rsid w:val="00EE5C6E"/>
    <w:rsid w:val="00EE5F97"/>
    <w:rsid w:val="00EE6B00"/>
    <w:rsid w:val="00EE7360"/>
    <w:rsid w:val="00EE7850"/>
    <w:rsid w:val="00EE7AB8"/>
    <w:rsid w:val="00EE7BAD"/>
    <w:rsid w:val="00EF0444"/>
    <w:rsid w:val="00EF0CC3"/>
    <w:rsid w:val="00EF0DD6"/>
    <w:rsid w:val="00EF1037"/>
    <w:rsid w:val="00EF25D2"/>
    <w:rsid w:val="00EF36E2"/>
    <w:rsid w:val="00EF36E5"/>
    <w:rsid w:val="00EF43AF"/>
    <w:rsid w:val="00EF5028"/>
    <w:rsid w:val="00EF5191"/>
    <w:rsid w:val="00EF573F"/>
    <w:rsid w:val="00EF725B"/>
    <w:rsid w:val="00EF7A7C"/>
    <w:rsid w:val="00EF7AA2"/>
    <w:rsid w:val="00F01F9E"/>
    <w:rsid w:val="00F02813"/>
    <w:rsid w:val="00F03828"/>
    <w:rsid w:val="00F04E84"/>
    <w:rsid w:val="00F054EB"/>
    <w:rsid w:val="00F05FAA"/>
    <w:rsid w:val="00F07012"/>
    <w:rsid w:val="00F0712D"/>
    <w:rsid w:val="00F0731B"/>
    <w:rsid w:val="00F1088E"/>
    <w:rsid w:val="00F1149B"/>
    <w:rsid w:val="00F11E5B"/>
    <w:rsid w:val="00F12EEB"/>
    <w:rsid w:val="00F1365D"/>
    <w:rsid w:val="00F142F8"/>
    <w:rsid w:val="00F145A8"/>
    <w:rsid w:val="00F152C7"/>
    <w:rsid w:val="00F176BB"/>
    <w:rsid w:val="00F21154"/>
    <w:rsid w:val="00F216F4"/>
    <w:rsid w:val="00F22676"/>
    <w:rsid w:val="00F22776"/>
    <w:rsid w:val="00F22E3E"/>
    <w:rsid w:val="00F23429"/>
    <w:rsid w:val="00F23499"/>
    <w:rsid w:val="00F23BAC"/>
    <w:rsid w:val="00F23E94"/>
    <w:rsid w:val="00F24411"/>
    <w:rsid w:val="00F24718"/>
    <w:rsid w:val="00F25079"/>
    <w:rsid w:val="00F25E63"/>
    <w:rsid w:val="00F26E68"/>
    <w:rsid w:val="00F271B5"/>
    <w:rsid w:val="00F30098"/>
    <w:rsid w:val="00F30F23"/>
    <w:rsid w:val="00F310FF"/>
    <w:rsid w:val="00F31984"/>
    <w:rsid w:val="00F329F1"/>
    <w:rsid w:val="00F32CFE"/>
    <w:rsid w:val="00F32D72"/>
    <w:rsid w:val="00F32E3A"/>
    <w:rsid w:val="00F32E7D"/>
    <w:rsid w:val="00F335E2"/>
    <w:rsid w:val="00F33B43"/>
    <w:rsid w:val="00F340F2"/>
    <w:rsid w:val="00F34176"/>
    <w:rsid w:val="00F3445E"/>
    <w:rsid w:val="00F35B7E"/>
    <w:rsid w:val="00F360ED"/>
    <w:rsid w:val="00F36355"/>
    <w:rsid w:val="00F36CC8"/>
    <w:rsid w:val="00F379B7"/>
    <w:rsid w:val="00F401F0"/>
    <w:rsid w:val="00F40BCF"/>
    <w:rsid w:val="00F40FB2"/>
    <w:rsid w:val="00F41A72"/>
    <w:rsid w:val="00F41CDD"/>
    <w:rsid w:val="00F41E29"/>
    <w:rsid w:val="00F4201B"/>
    <w:rsid w:val="00F42DD7"/>
    <w:rsid w:val="00F43942"/>
    <w:rsid w:val="00F44FDF"/>
    <w:rsid w:val="00F4527D"/>
    <w:rsid w:val="00F453C2"/>
    <w:rsid w:val="00F47A57"/>
    <w:rsid w:val="00F47EE6"/>
    <w:rsid w:val="00F47FA3"/>
    <w:rsid w:val="00F500CC"/>
    <w:rsid w:val="00F50714"/>
    <w:rsid w:val="00F50853"/>
    <w:rsid w:val="00F50C35"/>
    <w:rsid w:val="00F50FF8"/>
    <w:rsid w:val="00F5196D"/>
    <w:rsid w:val="00F51DAD"/>
    <w:rsid w:val="00F525FA"/>
    <w:rsid w:val="00F53822"/>
    <w:rsid w:val="00F53C2F"/>
    <w:rsid w:val="00F54308"/>
    <w:rsid w:val="00F54548"/>
    <w:rsid w:val="00F54691"/>
    <w:rsid w:val="00F56208"/>
    <w:rsid w:val="00F57C84"/>
    <w:rsid w:val="00F60084"/>
    <w:rsid w:val="00F60508"/>
    <w:rsid w:val="00F61190"/>
    <w:rsid w:val="00F619A4"/>
    <w:rsid w:val="00F61A6E"/>
    <w:rsid w:val="00F61B1E"/>
    <w:rsid w:val="00F61BEE"/>
    <w:rsid w:val="00F61DAE"/>
    <w:rsid w:val="00F629DD"/>
    <w:rsid w:val="00F630E5"/>
    <w:rsid w:val="00F631D7"/>
    <w:rsid w:val="00F63E1E"/>
    <w:rsid w:val="00F64668"/>
    <w:rsid w:val="00F654ED"/>
    <w:rsid w:val="00F66303"/>
    <w:rsid w:val="00F66506"/>
    <w:rsid w:val="00F665EB"/>
    <w:rsid w:val="00F67818"/>
    <w:rsid w:val="00F70D19"/>
    <w:rsid w:val="00F710D3"/>
    <w:rsid w:val="00F711DD"/>
    <w:rsid w:val="00F71553"/>
    <w:rsid w:val="00F7256D"/>
    <w:rsid w:val="00F7357E"/>
    <w:rsid w:val="00F73F5D"/>
    <w:rsid w:val="00F74860"/>
    <w:rsid w:val="00F74FF4"/>
    <w:rsid w:val="00F76BFE"/>
    <w:rsid w:val="00F772D1"/>
    <w:rsid w:val="00F7749B"/>
    <w:rsid w:val="00F77A50"/>
    <w:rsid w:val="00F8081F"/>
    <w:rsid w:val="00F81029"/>
    <w:rsid w:val="00F8119C"/>
    <w:rsid w:val="00F81D5E"/>
    <w:rsid w:val="00F82F20"/>
    <w:rsid w:val="00F83D7A"/>
    <w:rsid w:val="00F84302"/>
    <w:rsid w:val="00F84B4C"/>
    <w:rsid w:val="00F85230"/>
    <w:rsid w:val="00F87409"/>
    <w:rsid w:val="00F900FB"/>
    <w:rsid w:val="00F90710"/>
    <w:rsid w:val="00F9093C"/>
    <w:rsid w:val="00F90C5C"/>
    <w:rsid w:val="00F91BC2"/>
    <w:rsid w:val="00F920A5"/>
    <w:rsid w:val="00F92AC1"/>
    <w:rsid w:val="00F941E6"/>
    <w:rsid w:val="00F94306"/>
    <w:rsid w:val="00F944D9"/>
    <w:rsid w:val="00F9492D"/>
    <w:rsid w:val="00F95959"/>
    <w:rsid w:val="00F95AFD"/>
    <w:rsid w:val="00F95CF6"/>
    <w:rsid w:val="00F968A6"/>
    <w:rsid w:val="00F97226"/>
    <w:rsid w:val="00FA00C9"/>
    <w:rsid w:val="00FA09BD"/>
    <w:rsid w:val="00FA0BF8"/>
    <w:rsid w:val="00FA143D"/>
    <w:rsid w:val="00FA2B01"/>
    <w:rsid w:val="00FA3F49"/>
    <w:rsid w:val="00FA4592"/>
    <w:rsid w:val="00FA57F1"/>
    <w:rsid w:val="00FA5845"/>
    <w:rsid w:val="00FA6042"/>
    <w:rsid w:val="00FA61BE"/>
    <w:rsid w:val="00FA6696"/>
    <w:rsid w:val="00FA70EA"/>
    <w:rsid w:val="00FA73CC"/>
    <w:rsid w:val="00FB0510"/>
    <w:rsid w:val="00FB0F91"/>
    <w:rsid w:val="00FB0FF6"/>
    <w:rsid w:val="00FB13C9"/>
    <w:rsid w:val="00FB2259"/>
    <w:rsid w:val="00FB24F0"/>
    <w:rsid w:val="00FB2850"/>
    <w:rsid w:val="00FB29AB"/>
    <w:rsid w:val="00FB2C40"/>
    <w:rsid w:val="00FB3094"/>
    <w:rsid w:val="00FB3369"/>
    <w:rsid w:val="00FB3969"/>
    <w:rsid w:val="00FB39B4"/>
    <w:rsid w:val="00FB3ABF"/>
    <w:rsid w:val="00FB3E71"/>
    <w:rsid w:val="00FB4A7B"/>
    <w:rsid w:val="00FB4F9C"/>
    <w:rsid w:val="00FB5AC6"/>
    <w:rsid w:val="00FB5D35"/>
    <w:rsid w:val="00FB6335"/>
    <w:rsid w:val="00FB6CA5"/>
    <w:rsid w:val="00FB6E64"/>
    <w:rsid w:val="00FB7494"/>
    <w:rsid w:val="00FB799B"/>
    <w:rsid w:val="00FB7D63"/>
    <w:rsid w:val="00FB7FB4"/>
    <w:rsid w:val="00FC03CF"/>
    <w:rsid w:val="00FC06B6"/>
    <w:rsid w:val="00FC0FB1"/>
    <w:rsid w:val="00FC3362"/>
    <w:rsid w:val="00FC3579"/>
    <w:rsid w:val="00FC3BAE"/>
    <w:rsid w:val="00FC3F30"/>
    <w:rsid w:val="00FC51F7"/>
    <w:rsid w:val="00FC6017"/>
    <w:rsid w:val="00FC6029"/>
    <w:rsid w:val="00FC6560"/>
    <w:rsid w:val="00FC671F"/>
    <w:rsid w:val="00FC686E"/>
    <w:rsid w:val="00FC70E9"/>
    <w:rsid w:val="00FD0003"/>
    <w:rsid w:val="00FD059C"/>
    <w:rsid w:val="00FD0823"/>
    <w:rsid w:val="00FD0EC2"/>
    <w:rsid w:val="00FD1303"/>
    <w:rsid w:val="00FD1376"/>
    <w:rsid w:val="00FD18FA"/>
    <w:rsid w:val="00FD1996"/>
    <w:rsid w:val="00FD222A"/>
    <w:rsid w:val="00FD2B8B"/>
    <w:rsid w:val="00FD2EB7"/>
    <w:rsid w:val="00FD3D4C"/>
    <w:rsid w:val="00FD497F"/>
    <w:rsid w:val="00FD4B00"/>
    <w:rsid w:val="00FD4E28"/>
    <w:rsid w:val="00FD5D6B"/>
    <w:rsid w:val="00FD667F"/>
    <w:rsid w:val="00FD6710"/>
    <w:rsid w:val="00FD6928"/>
    <w:rsid w:val="00FD6ACF"/>
    <w:rsid w:val="00FE0855"/>
    <w:rsid w:val="00FE11DC"/>
    <w:rsid w:val="00FE16B5"/>
    <w:rsid w:val="00FE1A48"/>
    <w:rsid w:val="00FE2BC8"/>
    <w:rsid w:val="00FE2F69"/>
    <w:rsid w:val="00FE2F6E"/>
    <w:rsid w:val="00FE3666"/>
    <w:rsid w:val="00FE3EC7"/>
    <w:rsid w:val="00FE3F77"/>
    <w:rsid w:val="00FE44B0"/>
    <w:rsid w:val="00FE4C35"/>
    <w:rsid w:val="00FE6119"/>
    <w:rsid w:val="00FE746E"/>
    <w:rsid w:val="00FE7FCD"/>
    <w:rsid w:val="00FF0C06"/>
    <w:rsid w:val="00FF0DE0"/>
    <w:rsid w:val="00FF2002"/>
    <w:rsid w:val="00FF2714"/>
    <w:rsid w:val="00FF414F"/>
    <w:rsid w:val="00FF434F"/>
    <w:rsid w:val="00FF43DB"/>
    <w:rsid w:val="00FF4755"/>
    <w:rsid w:val="00FF5565"/>
    <w:rsid w:val="00FF5BEB"/>
    <w:rsid w:val="00FF60C8"/>
    <w:rsid w:val="00FF6D75"/>
    <w:rsid w:val="00FF6F31"/>
    <w:rsid w:val="00FF6F60"/>
    <w:rsid w:val="00FF723F"/>
    <w:rsid w:val="00FF7448"/>
    <w:rsid w:val="00FF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96DBD"/>
  <w15:docId w15:val="{6C2F8B8C-78C2-458B-97AA-FCB670E3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34"/>
    <w:pPr>
      <w:spacing w:before="120" w:after="240" w:line="360" w:lineRule="auto"/>
      <w:ind w:firstLine="0"/>
      <w:jc w:val="both"/>
    </w:pPr>
    <w:rPr>
      <w:kern w:val="24"/>
      <w:sz w:val="20"/>
      <w:szCs w:val="20"/>
      <w:lang w:val="en-GB"/>
    </w:rPr>
  </w:style>
  <w:style w:type="paragraph" w:styleId="Heading1">
    <w:name w:val="heading 1"/>
    <w:basedOn w:val="Normal"/>
    <w:next w:val="Normal"/>
    <w:link w:val="Heading1Char"/>
    <w:uiPriority w:val="4"/>
    <w:qFormat/>
    <w:rsid w:val="009A6A3B"/>
    <w:pPr>
      <w:keepNext/>
      <w:keepLines/>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9A6A3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pPr>
    <w:rPr>
      <w:i/>
      <w:iCs/>
      <w:color w:val="595959" w:themeColor="text1" w:themeTint="A6"/>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rPr>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ind w:left="36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ind w:left="36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ind w:left="360"/>
    </w:pPr>
    <w:rPr>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link w:val="CaptionChar"/>
    <w:uiPriority w:val="35"/>
    <w:unhideWhenUsed/>
    <w:qFormat/>
    <w:rsid w:val="00FF2002"/>
    <w:pPr>
      <w:spacing w:after="200" w:line="240" w:lineRule="auto"/>
    </w:pPr>
    <w:rPr>
      <w:i/>
      <w:iCs/>
      <w:color w:val="000000" w:themeColor="text2"/>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rsid w:val="00FF2002"/>
    <w:pPr>
      <w:spacing w:line="240" w:lineRule="auto"/>
    </w:pPr>
  </w:style>
  <w:style w:type="character" w:customStyle="1" w:styleId="CommentTextChar">
    <w:name w:val="Comment Text Char"/>
    <w:basedOn w:val="DefaultParagraphFont"/>
    <w:link w:val="CommentText"/>
    <w:uiPriority w:val="99"/>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unhideWhenUsed/>
    <w:rsid w:val="00FF2002"/>
    <w:pPr>
      <w:spacing w:line="240" w:lineRule="auto"/>
    </w:pPr>
  </w:style>
  <w:style w:type="character" w:customStyle="1" w:styleId="FootnoteTextChar">
    <w:name w:val="Footnote Text Char"/>
    <w:basedOn w:val="DefaultParagraphFont"/>
    <w:link w:val="FootnoteText"/>
    <w:uiPriority w:val="99"/>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pPr>
    <w:rPr>
      <w:rFonts w:asciiTheme="majorHAnsi" w:eastAsiaTheme="majorEastAsia" w:hAnsiTheme="majorHAnsi" w:cstheme="majorBidi"/>
    </w:rPr>
  </w:style>
  <w:style w:type="paragraph" w:styleId="Footer">
    <w:name w:val="footer"/>
    <w:basedOn w:val="Normal"/>
    <w:link w:val="FooterChar"/>
    <w:uiPriority w:val="99"/>
    <w:unhideWhenUsed/>
    <w:rsid w:val="008002C0"/>
    <w:pPr>
      <w:spacing w:line="240" w:lineRule="auto"/>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pPr>
  </w:style>
  <w:style w:type="paragraph" w:styleId="Index2">
    <w:name w:val="index 2"/>
    <w:basedOn w:val="Normal"/>
    <w:next w:val="Normal"/>
    <w:autoRedefine/>
    <w:uiPriority w:val="99"/>
    <w:semiHidden/>
    <w:unhideWhenUsed/>
    <w:pPr>
      <w:spacing w:line="240" w:lineRule="auto"/>
      <w:ind w:left="480"/>
    </w:pPr>
  </w:style>
  <w:style w:type="paragraph" w:styleId="Index3">
    <w:name w:val="index 3"/>
    <w:basedOn w:val="Normal"/>
    <w:next w:val="Normal"/>
    <w:autoRedefine/>
    <w:uiPriority w:val="99"/>
    <w:semiHidden/>
    <w:unhideWhenUsed/>
    <w:pPr>
      <w:spacing w:line="240" w:lineRule="auto"/>
      <w:ind w:left="720"/>
    </w:pPr>
  </w:style>
  <w:style w:type="paragraph" w:styleId="Index4">
    <w:name w:val="index 4"/>
    <w:basedOn w:val="Normal"/>
    <w:next w:val="Normal"/>
    <w:autoRedefine/>
    <w:uiPriority w:val="99"/>
    <w:semiHidden/>
    <w:unhideWhenUsed/>
    <w:pPr>
      <w:spacing w:line="240" w:lineRule="auto"/>
      <w:ind w:left="960"/>
    </w:pPr>
  </w:style>
  <w:style w:type="paragraph" w:styleId="Index5">
    <w:name w:val="index 5"/>
    <w:basedOn w:val="Normal"/>
    <w:next w:val="Normal"/>
    <w:autoRedefine/>
    <w:uiPriority w:val="99"/>
    <w:semiHidden/>
    <w:unhideWhenUsed/>
    <w:pPr>
      <w:spacing w:line="240" w:lineRule="auto"/>
      <w:ind w:left="1200"/>
    </w:pPr>
  </w:style>
  <w:style w:type="paragraph" w:styleId="Index6">
    <w:name w:val="index 6"/>
    <w:basedOn w:val="Normal"/>
    <w:next w:val="Normal"/>
    <w:autoRedefine/>
    <w:uiPriority w:val="99"/>
    <w:semiHidden/>
    <w:unhideWhenUsed/>
    <w:pPr>
      <w:spacing w:line="240" w:lineRule="auto"/>
      <w:ind w:left="1440"/>
    </w:pPr>
  </w:style>
  <w:style w:type="paragraph" w:styleId="Index7">
    <w:name w:val="index 7"/>
    <w:basedOn w:val="Normal"/>
    <w:next w:val="Normal"/>
    <w:autoRedefine/>
    <w:uiPriority w:val="99"/>
    <w:semiHidden/>
    <w:unhideWhenUsed/>
    <w:pPr>
      <w:spacing w:line="240" w:lineRule="auto"/>
      <w:ind w:left="1680"/>
    </w:pPr>
  </w:style>
  <w:style w:type="paragraph" w:styleId="Index8">
    <w:name w:val="index 8"/>
    <w:basedOn w:val="Normal"/>
    <w:next w:val="Normal"/>
    <w:autoRedefine/>
    <w:uiPriority w:val="99"/>
    <w:semiHidden/>
    <w:unhideWhenUsed/>
    <w:pPr>
      <w:spacing w:line="240" w:lineRule="auto"/>
      <w:ind w:left="1920"/>
    </w:pPr>
  </w:style>
  <w:style w:type="paragraph" w:styleId="Index9">
    <w:name w:val="index 9"/>
    <w:basedOn w:val="Normal"/>
    <w:next w:val="Normal"/>
    <w:autoRedefine/>
    <w:uiPriority w:val="99"/>
    <w:semiHidden/>
    <w:unhideWhenUsed/>
    <w:pPr>
      <w:spacing w:line="240" w:lineRule="auto"/>
      <w:ind w:left="21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contextualSpacing/>
    </w:pPr>
  </w:style>
  <w:style w:type="paragraph" w:styleId="List2">
    <w:name w:val="List 2"/>
    <w:basedOn w:val="Normal"/>
    <w:uiPriority w:val="99"/>
    <w:semiHidden/>
    <w:unhideWhenUsed/>
    <w:pPr>
      <w:ind w:left="720"/>
      <w:contextualSpacing/>
    </w:pPr>
  </w:style>
  <w:style w:type="paragraph" w:styleId="List3">
    <w:name w:val="List 3"/>
    <w:basedOn w:val="Normal"/>
    <w:uiPriority w:val="99"/>
    <w:semiHidden/>
    <w:unhideWhenUsed/>
    <w:pPr>
      <w:ind w:left="1080"/>
      <w:contextualSpacing/>
    </w:pPr>
  </w:style>
  <w:style w:type="paragraph" w:styleId="List4">
    <w:name w:val="List 4"/>
    <w:basedOn w:val="Normal"/>
    <w:uiPriority w:val="99"/>
    <w:semiHidden/>
    <w:unhideWhenUsed/>
    <w:pPr>
      <w:ind w:left="1440"/>
      <w:contextualSpacing/>
    </w:pPr>
  </w:style>
  <w:style w:type="paragraph" w:styleId="List5">
    <w:name w:val="List 5"/>
    <w:basedOn w:val="Normal"/>
    <w:uiPriority w:val="99"/>
    <w:semiHidden/>
    <w:unhideWhenUsed/>
    <w:pPr>
      <w:ind w:left="180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ind w:left="360"/>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pPr>
      <w:ind w:left="1080"/>
      <w:contextualSpacing/>
    </w:pPr>
  </w:style>
  <w:style w:type="paragraph" w:styleId="ListContinue4">
    <w:name w:val="List Continue 4"/>
    <w:basedOn w:val="Normal"/>
    <w:uiPriority w:val="99"/>
    <w:semiHidden/>
    <w:unhideWhenUsed/>
    <w:pPr>
      <w:ind w:left="1440"/>
      <w:contextualSpacing/>
    </w:pPr>
  </w:style>
  <w:style w:type="paragraph" w:styleId="ListContinue5">
    <w:name w:val="List Continue 5"/>
    <w:basedOn w:val="Normal"/>
    <w:uiPriority w:val="99"/>
    <w:semiHidden/>
    <w:unhideWhenUsed/>
    <w:pPr>
      <w:ind w:left="180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pPr>
    <w:rPr>
      <w:rFonts w:ascii="Consolas" w:hAnsi="Consolas" w:cs="Consolas"/>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pPr>
  </w:style>
  <w:style w:type="paragraph" w:styleId="TableofFigures">
    <w:name w:val="table of figures"/>
    <w:basedOn w:val="Normal"/>
    <w:next w:val="Normal"/>
    <w:uiPriority w:val="99"/>
    <w:unhideWhenUsed/>
  </w:style>
  <w:style w:type="paragraph" w:styleId="TOAHeading">
    <w:name w:val="toa heading"/>
    <w:basedOn w:val="Normal"/>
    <w:next w:val="Normal"/>
    <w:uiPriority w:val="99"/>
    <w:semiHidden/>
    <w:unhideWhenUsed/>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ewparagraph"/>
    <w:uiPriority w:val="39"/>
    <w:qFormat/>
    <w:rsid w:val="00F60084"/>
    <w:pPr>
      <w:spacing w:before="0" w:after="0" w:line="240" w:lineRule="auto"/>
    </w:pPr>
    <w:rPr>
      <w:sz w:val="16"/>
      <w:szCs w:val="16"/>
    </w:rPr>
  </w:style>
  <w:style w:type="table" w:customStyle="1" w:styleId="PlainTable11">
    <w:name w:val="Plain Table 1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jc w:val="center"/>
    </w:pPr>
  </w:style>
  <w:style w:type="character" w:styleId="Hyperlink">
    <w:name w:val="Hyperlink"/>
    <w:basedOn w:val="DefaultParagraphFont"/>
    <w:uiPriority w:val="99"/>
    <w:unhideWhenUsed/>
    <w:rsid w:val="00A966C8"/>
    <w:rPr>
      <w:color w:val="0070C0"/>
      <w:u w:val="single"/>
    </w:rPr>
  </w:style>
  <w:style w:type="character" w:customStyle="1" w:styleId="UnresolvedMention1">
    <w:name w:val="Unresolved Mention1"/>
    <w:basedOn w:val="DefaultParagraphFont"/>
    <w:uiPriority w:val="99"/>
    <w:semiHidden/>
    <w:unhideWhenUsed/>
    <w:rsid w:val="0030758B"/>
    <w:rPr>
      <w:color w:val="605E5C"/>
      <w:shd w:val="clear" w:color="auto" w:fill="E1DFDD"/>
    </w:rPr>
  </w:style>
  <w:style w:type="paragraph" w:customStyle="1" w:styleId="Newparagraph">
    <w:name w:val="New paragraph"/>
    <w:basedOn w:val="Normal"/>
    <w:rsid w:val="005F5714"/>
    <w:rPr>
      <w:rFonts w:ascii="Times New Roman" w:eastAsia="Times New Roman" w:hAnsi="Times New Roman" w:cs="Times New Roman"/>
      <w:color w:val="000000" w:themeColor="text1"/>
      <w:kern w:val="0"/>
      <w:lang w:eastAsia="en-US"/>
    </w:rPr>
  </w:style>
  <w:style w:type="paragraph" w:styleId="Subtitle">
    <w:name w:val="Subtitle"/>
    <w:aliases w:val="Outline"/>
    <w:basedOn w:val="ListParagraph"/>
    <w:next w:val="ListParagraph"/>
    <w:link w:val="SubtitleChar"/>
    <w:uiPriority w:val="11"/>
    <w:qFormat/>
    <w:rsid w:val="000338C7"/>
    <w:pPr>
      <w:numPr>
        <w:numId w:val="16"/>
      </w:numPr>
      <w:spacing w:line="276" w:lineRule="auto"/>
      <w:contextualSpacing w:val="0"/>
    </w:pPr>
    <w:rPr>
      <w:rFonts w:ascii="Times New Roman" w:eastAsia="Times New Roman" w:hAnsi="Times New Roman" w:cs="Times New Roman"/>
      <w:color w:val="000000" w:themeColor="text1"/>
      <w:kern w:val="0"/>
      <w:lang w:eastAsia="en-GB"/>
    </w:rPr>
  </w:style>
  <w:style w:type="character" w:customStyle="1" w:styleId="SubtitleChar">
    <w:name w:val="Subtitle Char"/>
    <w:aliases w:val="Outline Char"/>
    <w:basedOn w:val="DefaultParagraphFont"/>
    <w:link w:val="Subtitle"/>
    <w:uiPriority w:val="11"/>
    <w:rsid w:val="000338C7"/>
    <w:rPr>
      <w:rFonts w:ascii="Times New Roman" w:eastAsia="Times New Roman" w:hAnsi="Times New Roman" w:cs="Times New Roman"/>
      <w:color w:val="000000" w:themeColor="text1"/>
      <w:lang w:val="en-GB" w:eastAsia="en-GB"/>
    </w:rPr>
  </w:style>
  <w:style w:type="paragraph" w:styleId="Revision">
    <w:name w:val="Revision"/>
    <w:hidden/>
    <w:uiPriority w:val="99"/>
    <w:semiHidden/>
    <w:rsid w:val="005E2A7E"/>
    <w:pPr>
      <w:spacing w:line="240" w:lineRule="auto"/>
      <w:ind w:firstLine="0"/>
    </w:pPr>
    <w:rPr>
      <w:kern w:val="24"/>
      <w:lang w:val="en-GB"/>
    </w:rPr>
  </w:style>
  <w:style w:type="paragraph" w:customStyle="1" w:styleId="Default">
    <w:name w:val="Default"/>
    <w:rsid w:val="00D324AD"/>
    <w:pPr>
      <w:autoSpaceDE w:val="0"/>
      <w:autoSpaceDN w:val="0"/>
      <w:adjustRightInd w:val="0"/>
      <w:spacing w:line="240" w:lineRule="auto"/>
      <w:ind w:firstLine="0"/>
    </w:pPr>
    <w:rPr>
      <w:rFonts w:ascii="Corbel" w:hAnsi="Corbel" w:cs="Corbel"/>
      <w:color w:val="000000"/>
      <w:lang w:val="en-GB"/>
    </w:rPr>
  </w:style>
  <w:style w:type="paragraph" w:customStyle="1" w:styleId="EndNoteBibliography">
    <w:name w:val="EndNote Bibliography"/>
    <w:basedOn w:val="Normal"/>
    <w:link w:val="EndNoteBibliographyChar"/>
    <w:rsid w:val="00802682"/>
    <w:pPr>
      <w:spacing w:before="0" w:after="160" w:line="240" w:lineRule="auto"/>
    </w:pPr>
    <w:rPr>
      <w:rFonts w:ascii="Calibri" w:eastAsiaTheme="minorHAnsi" w:hAnsi="Calibri" w:cs="Calibri"/>
      <w:noProof/>
      <w:kern w:val="0"/>
      <w:lang w:val="en-US" w:eastAsia="en-US"/>
    </w:rPr>
  </w:style>
  <w:style w:type="character" w:customStyle="1" w:styleId="EndNoteBibliographyChar">
    <w:name w:val="EndNote Bibliography Char"/>
    <w:basedOn w:val="DefaultParagraphFont"/>
    <w:link w:val="EndNoteBibliography"/>
    <w:rsid w:val="00802682"/>
    <w:rPr>
      <w:rFonts w:ascii="Calibri" w:eastAsiaTheme="minorHAnsi" w:hAnsi="Calibri" w:cs="Calibri"/>
      <w:noProof/>
      <w:sz w:val="22"/>
      <w:szCs w:val="22"/>
      <w:lang w:eastAsia="en-US"/>
    </w:rPr>
  </w:style>
  <w:style w:type="character" w:styleId="UnresolvedMention">
    <w:name w:val="Unresolved Mention"/>
    <w:basedOn w:val="DefaultParagraphFont"/>
    <w:uiPriority w:val="99"/>
    <w:semiHidden/>
    <w:unhideWhenUsed/>
    <w:rsid w:val="0020393E"/>
    <w:rPr>
      <w:color w:val="605E5C"/>
      <w:shd w:val="clear" w:color="auto" w:fill="E1DFDD"/>
    </w:rPr>
  </w:style>
  <w:style w:type="paragraph" w:customStyle="1" w:styleId="SupplementTableHead">
    <w:name w:val="Supplement Table Head"/>
    <w:basedOn w:val="Caption"/>
    <w:link w:val="SupplementTableHeadChar"/>
    <w:qFormat/>
    <w:rsid w:val="00F23E94"/>
    <w:pPr>
      <w:keepNext/>
    </w:pPr>
    <w:rPr>
      <w:b/>
      <w:i w:val="0"/>
      <w:szCs w:val="20"/>
    </w:rPr>
  </w:style>
  <w:style w:type="character" w:customStyle="1" w:styleId="CaptionChar">
    <w:name w:val="Caption Char"/>
    <w:basedOn w:val="DefaultParagraphFont"/>
    <w:link w:val="Caption"/>
    <w:uiPriority w:val="35"/>
    <w:rsid w:val="00F23E94"/>
    <w:rPr>
      <w:i/>
      <w:iCs/>
      <w:color w:val="000000" w:themeColor="text2"/>
      <w:kern w:val="24"/>
      <w:sz w:val="22"/>
      <w:szCs w:val="18"/>
      <w:lang w:val="en-GB"/>
    </w:rPr>
  </w:style>
  <w:style w:type="character" w:customStyle="1" w:styleId="SupplementTableHeadChar">
    <w:name w:val="Supplement Table Head Char"/>
    <w:basedOn w:val="CaptionChar"/>
    <w:link w:val="SupplementTableHead"/>
    <w:rsid w:val="00F23E94"/>
    <w:rPr>
      <w:b/>
      <w:i w:val="0"/>
      <w:iCs/>
      <w:color w:val="000000" w:themeColor="text2"/>
      <w:kern w:val="24"/>
      <w:sz w:val="20"/>
      <w:szCs w:val="20"/>
      <w:lang w:val="en-GB"/>
    </w:rPr>
  </w:style>
  <w:style w:type="paragraph" w:customStyle="1" w:styleId="Authorsandaffiliations">
    <w:name w:val="Authors and affiliations"/>
    <w:basedOn w:val="Title2"/>
    <w:qFormat/>
    <w:rsid w:val="00417A01"/>
    <w:pPr>
      <w:spacing w:before="0" w:after="0" w:line="240" w:lineRule="auto"/>
      <w:jc w:val="left"/>
    </w:pPr>
    <w:rPr>
      <w:b/>
    </w:rPr>
  </w:style>
  <w:style w:type="paragraph" w:customStyle="1" w:styleId="Affiliations">
    <w:name w:val="Affiliations"/>
    <w:basedOn w:val="Title2"/>
    <w:qFormat/>
    <w:rsid w:val="00125A2A"/>
    <w:pPr>
      <w:spacing w:before="0" w:after="0" w:line="240" w:lineRule="auto"/>
      <w:jc w:val="left"/>
    </w:pPr>
    <w:rPr>
      <w:bCs/>
      <w:lang w:val="de-DE"/>
    </w:rPr>
  </w:style>
  <w:style w:type="paragraph" w:customStyle="1" w:styleId="Textintable">
    <w:name w:val="Text in table"/>
    <w:basedOn w:val="Normal"/>
    <w:qFormat/>
    <w:rsid w:val="00AB212F"/>
    <w:pPr>
      <w:spacing w:before="0" w:after="0" w:line="240" w:lineRule="auto"/>
      <w:jc w:val="lef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9941">
      <w:bodyDiv w:val="1"/>
      <w:marLeft w:val="0"/>
      <w:marRight w:val="0"/>
      <w:marTop w:val="0"/>
      <w:marBottom w:val="0"/>
      <w:divBdr>
        <w:top w:val="none" w:sz="0" w:space="0" w:color="auto"/>
        <w:left w:val="none" w:sz="0" w:space="0" w:color="auto"/>
        <w:bottom w:val="none" w:sz="0" w:space="0" w:color="auto"/>
        <w:right w:val="none" w:sz="0" w:space="0" w:color="auto"/>
      </w:divBdr>
      <w:divsChild>
        <w:div w:id="1192837138">
          <w:marLeft w:val="446"/>
          <w:marRight w:val="0"/>
          <w:marTop w:val="0"/>
          <w:marBottom w:val="0"/>
          <w:divBdr>
            <w:top w:val="none" w:sz="0" w:space="0" w:color="auto"/>
            <w:left w:val="none" w:sz="0" w:space="0" w:color="auto"/>
            <w:bottom w:val="none" w:sz="0" w:space="0" w:color="auto"/>
            <w:right w:val="none" w:sz="0" w:space="0" w:color="auto"/>
          </w:divBdr>
        </w:div>
        <w:div w:id="1704090760">
          <w:marLeft w:val="446"/>
          <w:marRight w:val="0"/>
          <w:marTop w:val="0"/>
          <w:marBottom w:val="0"/>
          <w:divBdr>
            <w:top w:val="none" w:sz="0" w:space="0" w:color="auto"/>
            <w:left w:val="none" w:sz="0" w:space="0" w:color="auto"/>
            <w:bottom w:val="none" w:sz="0" w:space="0" w:color="auto"/>
            <w:right w:val="none" w:sz="0" w:space="0" w:color="auto"/>
          </w:divBdr>
        </w:div>
        <w:div w:id="1841890910">
          <w:marLeft w:val="446"/>
          <w:marRight w:val="0"/>
          <w:marTop w:val="0"/>
          <w:marBottom w:val="0"/>
          <w:divBdr>
            <w:top w:val="none" w:sz="0" w:space="0" w:color="auto"/>
            <w:left w:val="none" w:sz="0" w:space="0" w:color="auto"/>
            <w:bottom w:val="none" w:sz="0" w:space="0" w:color="auto"/>
            <w:right w:val="none" w:sz="0" w:space="0" w:color="auto"/>
          </w:divBdr>
        </w:div>
        <w:div w:id="1877351605">
          <w:marLeft w:val="446"/>
          <w:marRight w:val="0"/>
          <w:marTop w:val="0"/>
          <w:marBottom w:val="0"/>
          <w:divBdr>
            <w:top w:val="none" w:sz="0" w:space="0" w:color="auto"/>
            <w:left w:val="none" w:sz="0" w:space="0" w:color="auto"/>
            <w:bottom w:val="none" w:sz="0" w:space="0" w:color="auto"/>
            <w:right w:val="none" w:sz="0" w:space="0" w:color="auto"/>
          </w:divBdr>
        </w:div>
      </w:divsChild>
    </w:div>
    <w:div w:id="105151751">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4903991">
      <w:bodyDiv w:val="1"/>
      <w:marLeft w:val="0"/>
      <w:marRight w:val="0"/>
      <w:marTop w:val="0"/>
      <w:marBottom w:val="0"/>
      <w:divBdr>
        <w:top w:val="none" w:sz="0" w:space="0" w:color="auto"/>
        <w:left w:val="none" w:sz="0" w:space="0" w:color="auto"/>
        <w:bottom w:val="none" w:sz="0" w:space="0" w:color="auto"/>
        <w:right w:val="none" w:sz="0" w:space="0" w:color="auto"/>
      </w:divBdr>
      <w:divsChild>
        <w:div w:id="402064066">
          <w:marLeft w:val="446"/>
          <w:marRight w:val="0"/>
          <w:marTop w:val="0"/>
          <w:marBottom w:val="0"/>
          <w:divBdr>
            <w:top w:val="none" w:sz="0" w:space="0" w:color="auto"/>
            <w:left w:val="none" w:sz="0" w:space="0" w:color="auto"/>
            <w:bottom w:val="none" w:sz="0" w:space="0" w:color="auto"/>
            <w:right w:val="none" w:sz="0" w:space="0" w:color="auto"/>
          </w:divBdr>
        </w:div>
        <w:div w:id="913130476">
          <w:marLeft w:val="446"/>
          <w:marRight w:val="0"/>
          <w:marTop w:val="0"/>
          <w:marBottom w:val="0"/>
          <w:divBdr>
            <w:top w:val="none" w:sz="0" w:space="0" w:color="auto"/>
            <w:left w:val="none" w:sz="0" w:space="0" w:color="auto"/>
            <w:bottom w:val="none" w:sz="0" w:space="0" w:color="auto"/>
            <w:right w:val="none" w:sz="0" w:space="0" w:color="auto"/>
          </w:divBdr>
        </w:div>
        <w:div w:id="1141920199">
          <w:marLeft w:val="446"/>
          <w:marRight w:val="0"/>
          <w:marTop w:val="0"/>
          <w:marBottom w:val="0"/>
          <w:divBdr>
            <w:top w:val="none" w:sz="0" w:space="0" w:color="auto"/>
            <w:left w:val="none" w:sz="0" w:space="0" w:color="auto"/>
            <w:bottom w:val="none" w:sz="0" w:space="0" w:color="auto"/>
            <w:right w:val="none" w:sz="0" w:space="0" w:color="auto"/>
          </w:divBdr>
        </w:div>
        <w:div w:id="1339770575">
          <w:marLeft w:val="446"/>
          <w:marRight w:val="0"/>
          <w:marTop w:val="0"/>
          <w:marBottom w:val="0"/>
          <w:divBdr>
            <w:top w:val="none" w:sz="0" w:space="0" w:color="auto"/>
            <w:left w:val="none" w:sz="0" w:space="0" w:color="auto"/>
            <w:bottom w:val="none" w:sz="0" w:space="0" w:color="auto"/>
            <w:right w:val="none" w:sz="0" w:space="0" w:color="auto"/>
          </w:divBdr>
        </w:div>
        <w:div w:id="1630091391">
          <w:marLeft w:val="446"/>
          <w:marRight w:val="0"/>
          <w:marTop w:val="0"/>
          <w:marBottom w:val="0"/>
          <w:divBdr>
            <w:top w:val="none" w:sz="0" w:space="0" w:color="auto"/>
            <w:left w:val="none" w:sz="0" w:space="0" w:color="auto"/>
            <w:bottom w:val="none" w:sz="0" w:space="0" w:color="auto"/>
            <w:right w:val="none" w:sz="0" w:space="0" w:color="auto"/>
          </w:divBdr>
        </w:div>
        <w:div w:id="2014186674">
          <w:marLeft w:val="446"/>
          <w:marRight w:val="0"/>
          <w:marTop w:val="0"/>
          <w:marBottom w:val="0"/>
          <w:divBdr>
            <w:top w:val="none" w:sz="0" w:space="0" w:color="auto"/>
            <w:left w:val="none" w:sz="0" w:space="0" w:color="auto"/>
            <w:bottom w:val="none" w:sz="0" w:space="0" w:color="auto"/>
            <w:right w:val="none" w:sz="0" w:space="0" w:color="auto"/>
          </w:divBdr>
        </w:div>
      </w:divsChild>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6686173">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09278705">
      <w:bodyDiv w:val="1"/>
      <w:marLeft w:val="0"/>
      <w:marRight w:val="0"/>
      <w:marTop w:val="0"/>
      <w:marBottom w:val="0"/>
      <w:divBdr>
        <w:top w:val="none" w:sz="0" w:space="0" w:color="auto"/>
        <w:left w:val="none" w:sz="0" w:space="0" w:color="auto"/>
        <w:bottom w:val="none" w:sz="0" w:space="0" w:color="auto"/>
        <w:right w:val="none" w:sz="0" w:space="0" w:color="auto"/>
      </w:divBdr>
      <w:divsChild>
        <w:div w:id="152843221">
          <w:marLeft w:val="720"/>
          <w:marRight w:val="0"/>
          <w:marTop w:val="0"/>
          <w:marBottom w:val="0"/>
          <w:divBdr>
            <w:top w:val="none" w:sz="0" w:space="0" w:color="auto"/>
            <w:left w:val="none" w:sz="0" w:space="0" w:color="auto"/>
            <w:bottom w:val="none" w:sz="0" w:space="0" w:color="auto"/>
            <w:right w:val="none" w:sz="0" w:space="0" w:color="auto"/>
          </w:divBdr>
        </w:div>
        <w:div w:id="156893214">
          <w:marLeft w:val="720"/>
          <w:marRight w:val="0"/>
          <w:marTop w:val="0"/>
          <w:marBottom w:val="0"/>
          <w:divBdr>
            <w:top w:val="none" w:sz="0" w:space="0" w:color="auto"/>
            <w:left w:val="none" w:sz="0" w:space="0" w:color="auto"/>
            <w:bottom w:val="none" w:sz="0" w:space="0" w:color="auto"/>
            <w:right w:val="none" w:sz="0" w:space="0" w:color="auto"/>
          </w:divBdr>
        </w:div>
        <w:div w:id="1494877377">
          <w:marLeft w:val="2160"/>
          <w:marRight w:val="0"/>
          <w:marTop w:val="0"/>
          <w:marBottom w:val="0"/>
          <w:divBdr>
            <w:top w:val="none" w:sz="0" w:space="0" w:color="auto"/>
            <w:left w:val="none" w:sz="0" w:space="0" w:color="auto"/>
            <w:bottom w:val="none" w:sz="0" w:space="0" w:color="auto"/>
            <w:right w:val="none" w:sz="0" w:space="0" w:color="auto"/>
          </w:divBdr>
        </w:div>
        <w:div w:id="1264724953">
          <w:marLeft w:val="2160"/>
          <w:marRight w:val="0"/>
          <w:marTop w:val="0"/>
          <w:marBottom w:val="0"/>
          <w:divBdr>
            <w:top w:val="none" w:sz="0" w:space="0" w:color="auto"/>
            <w:left w:val="none" w:sz="0" w:space="0" w:color="auto"/>
            <w:bottom w:val="none" w:sz="0" w:space="0" w:color="auto"/>
            <w:right w:val="none" w:sz="0" w:space="0" w:color="auto"/>
          </w:divBdr>
        </w:div>
        <w:div w:id="356933192">
          <w:marLeft w:val="2160"/>
          <w:marRight w:val="0"/>
          <w:marTop w:val="0"/>
          <w:marBottom w:val="0"/>
          <w:divBdr>
            <w:top w:val="none" w:sz="0" w:space="0" w:color="auto"/>
            <w:left w:val="none" w:sz="0" w:space="0" w:color="auto"/>
            <w:bottom w:val="none" w:sz="0" w:space="0" w:color="auto"/>
            <w:right w:val="none" w:sz="0" w:space="0" w:color="auto"/>
          </w:divBdr>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13495306">
      <w:bodyDiv w:val="1"/>
      <w:marLeft w:val="0"/>
      <w:marRight w:val="0"/>
      <w:marTop w:val="0"/>
      <w:marBottom w:val="0"/>
      <w:divBdr>
        <w:top w:val="none" w:sz="0" w:space="0" w:color="auto"/>
        <w:left w:val="none" w:sz="0" w:space="0" w:color="auto"/>
        <w:bottom w:val="none" w:sz="0" w:space="0" w:color="auto"/>
        <w:right w:val="none" w:sz="0" w:space="0" w:color="auto"/>
      </w:divBdr>
    </w:div>
    <w:div w:id="627204253">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0548483">
      <w:bodyDiv w:val="1"/>
      <w:marLeft w:val="0"/>
      <w:marRight w:val="0"/>
      <w:marTop w:val="0"/>
      <w:marBottom w:val="0"/>
      <w:divBdr>
        <w:top w:val="none" w:sz="0" w:space="0" w:color="auto"/>
        <w:left w:val="none" w:sz="0" w:space="0" w:color="auto"/>
        <w:bottom w:val="none" w:sz="0" w:space="0" w:color="auto"/>
        <w:right w:val="none" w:sz="0" w:space="0" w:color="auto"/>
      </w:divBdr>
      <w:divsChild>
        <w:div w:id="69541571">
          <w:marLeft w:val="648"/>
          <w:marRight w:val="0"/>
          <w:marTop w:val="0"/>
          <w:marBottom w:val="0"/>
          <w:divBdr>
            <w:top w:val="none" w:sz="0" w:space="0" w:color="auto"/>
            <w:left w:val="none" w:sz="0" w:space="0" w:color="auto"/>
            <w:bottom w:val="none" w:sz="0" w:space="0" w:color="auto"/>
            <w:right w:val="none" w:sz="0" w:space="0" w:color="auto"/>
          </w:divBdr>
        </w:div>
        <w:div w:id="1249341459">
          <w:marLeft w:val="648"/>
          <w:marRight w:val="0"/>
          <w:marTop w:val="0"/>
          <w:marBottom w:val="0"/>
          <w:divBdr>
            <w:top w:val="none" w:sz="0" w:space="0" w:color="auto"/>
            <w:left w:val="none" w:sz="0" w:space="0" w:color="auto"/>
            <w:bottom w:val="none" w:sz="0" w:space="0" w:color="auto"/>
            <w:right w:val="none" w:sz="0" w:space="0" w:color="auto"/>
          </w:divBdr>
        </w:div>
        <w:div w:id="1425767291">
          <w:marLeft w:val="648"/>
          <w:marRight w:val="0"/>
          <w:marTop w:val="0"/>
          <w:marBottom w:val="0"/>
          <w:divBdr>
            <w:top w:val="none" w:sz="0" w:space="0" w:color="auto"/>
            <w:left w:val="none" w:sz="0" w:space="0" w:color="auto"/>
            <w:bottom w:val="none" w:sz="0" w:space="0" w:color="auto"/>
            <w:right w:val="none" w:sz="0" w:space="0" w:color="auto"/>
          </w:divBdr>
        </w:div>
      </w:divsChild>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40057936">
      <w:bodyDiv w:val="1"/>
      <w:marLeft w:val="0"/>
      <w:marRight w:val="0"/>
      <w:marTop w:val="0"/>
      <w:marBottom w:val="0"/>
      <w:divBdr>
        <w:top w:val="none" w:sz="0" w:space="0" w:color="auto"/>
        <w:left w:val="none" w:sz="0" w:space="0" w:color="auto"/>
        <w:bottom w:val="none" w:sz="0" w:space="0" w:color="auto"/>
        <w:right w:val="none" w:sz="0" w:space="0" w:color="auto"/>
      </w:divBdr>
    </w:div>
    <w:div w:id="770974645">
      <w:bodyDiv w:val="1"/>
      <w:marLeft w:val="0"/>
      <w:marRight w:val="0"/>
      <w:marTop w:val="0"/>
      <w:marBottom w:val="0"/>
      <w:divBdr>
        <w:top w:val="none" w:sz="0" w:space="0" w:color="auto"/>
        <w:left w:val="none" w:sz="0" w:space="0" w:color="auto"/>
        <w:bottom w:val="none" w:sz="0" w:space="0" w:color="auto"/>
        <w:right w:val="none" w:sz="0" w:space="0" w:color="auto"/>
      </w:divBdr>
    </w:div>
    <w:div w:id="940650811">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29917180">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94688293">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86425475">
      <w:bodyDiv w:val="1"/>
      <w:marLeft w:val="0"/>
      <w:marRight w:val="0"/>
      <w:marTop w:val="0"/>
      <w:marBottom w:val="0"/>
      <w:divBdr>
        <w:top w:val="none" w:sz="0" w:space="0" w:color="auto"/>
        <w:left w:val="none" w:sz="0" w:space="0" w:color="auto"/>
        <w:bottom w:val="none" w:sz="0" w:space="0" w:color="auto"/>
        <w:right w:val="none" w:sz="0" w:space="0" w:color="auto"/>
      </w:divBdr>
      <w:divsChild>
        <w:div w:id="627979091">
          <w:marLeft w:val="562"/>
          <w:marRight w:val="0"/>
          <w:marTop w:val="0"/>
          <w:marBottom w:val="0"/>
          <w:divBdr>
            <w:top w:val="none" w:sz="0" w:space="0" w:color="auto"/>
            <w:left w:val="none" w:sz="0" w:space="0" w:color="auto"/>
            <w:bottom w:val="none" w:sz="0" w:space="0" w:color="auto"/>
            <w:right w:val="none" w:sz="0" w:space="0" w:color="auto"/>
          </w:divBdr>
        </w:div>
        <w:div w:id="614407061">
          <w:marLeft w:val="562"/>
          <w:marRight w:val="0"/>
          <w:marTop w:val="0"/>
          <w:marBottom w:val="0"/>
          <w:divBdr>
            <w:top w:val="none" w:sz="0" w:space="0" w:color="auto"/>
            <w:left w:val="none" w:sz="0" w:space="0" w:color="auto"/>
            <w:bottom w:val="none" w:sz="0" w:space="0" w:color="auto"/>
            <w:right w:val="none" w:sz="0" w:space="0" w:color="auto"/>
          </w:divBdr>
        </w:div>
        <w:div w:id="1104770645">
          <w:marLeft w:val="562"/>
          <w:marRight w:val="0"/>
          <w:marTop w:val="0"/>
          <w:marBottom w:val="0"/>
          <w:divBdr>
            <w:top w:val="none" w:sz="0" w:space="0" w:color="auto"/>
            <w:left w:val="none" w:sz="0" w:space="0" w:color="auto"/>
            <w:bottom w:val="none" w:sz="0" w:space="0" w:color="auto"/>
            <w:right w:val="none" w:sz="0" w:space="0" w:color="auto"/>
          </w:divBdr>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3928249">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20337477">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87274934">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28829782">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1441356">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uis.unesco.org/sites/default/files/documents/international-standard-classification-of-education-isced-2011-en.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data.unicef.org/wp-content/uploads/2018/02/Mental-health-measurement_MMAP_overview_UNICEF.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pps.who.int/iris/bitstream/handle/10665/254610/WHO-MSD-MER-2017.2-eng.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qualityforum.org/Setting_Priorities/Partnership/Measure_Applications_Partnership.asp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mhocn.org/sites/default/files/publication_files/mhnocc_overview_doha.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icd.who.int/browse11/l-m/en"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BC3CF5A288475FB4C72B466AA6BCBA"/>
        <w:category>
          <w:name w:val="General"/>
          <w:gallery w:val="placeholder"/>
        </w:category>
        <w:types>
          <w:type w:val="bbPlcHdr"/>
        </w:types>
        <w:behaviors>
          <w:behavior w:val="content"/>
        </w:behaviors>
        <w:guid w:val="{A74D9C9A-B356-4ECD-9713-9246EC8A2F85}"/>
      </w:docPartPr>
      <w:docPartBody>
        <w:p w:rsidR="00387B04" w:rsidRDefault="009038CE">
          <w:pPr>
            <w:pStyle w:val="32BC3CF5A288475FB4C72B466AA6BCBA"/>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71F"/>
    <w:rsid w:val="00024CFB"/>
    <w:rsid w:val="000516D6"/>
    <w:rsid w:val="000525E1"/>
    <w:rsid w:val="00064AD8"/>
    <w:rsid w:val="000848C2"/>
    <w:rsid w:val="00094E03"/>
    <w:rsid w:val="000A1955"/>
    <w:rsid w:val="000A701D"/>
    <w:rsid w:val="000C497A"/>
    <w:rsid w:val="000F5E27"/>
    <w:rsid w:val="0013189A"/>
    <w:rsid w:val="00187285"/>
    <w:rsid w:val="001959F6"/>
    <w:rsid w:val="001C62F2"/>
    <w:rsid w:val="001F0284"/>
    <w:rsid w:val="002320F6"/>
    <w:rsid w:val="00240E97"/>
    <w:rsid w:val="0024452C"/>
    <w:rsid w:val="002B3F85"/>
    <w:rsid w:val="002C2976"/>
    <w:rsid w:val="00312A25"/>
    <w:rsid w:val="00317136"/>
    <w:rsid w:val="00352A69"/>
    <w:rsid w:val="00354C31"/>
    <w:rsid w:val="00380B10"/>
    <w:rsid w:val="00382EC7"/>
    <w:rsid w:val="0038519C"/>
    <w:rsid w:val="00387B04"/>
    <w:rsid w:val="003A65CE"/>
    <w:rsid w:val="003D3B2E"/>
    <w:rsid w:val="003F1075"/>
    <w:rsid w:val="00416A19"/>
    <w:rsid w:val="00447FEF"/>
    <w:rsid w:val="0045188C"/>
    <w:rsid w:val="0047458A"/>
    <w:rsid w:val="00481B98"/>
    <w:rsid w:val="004F492C"/>
    <w:rsid w:val="00503CB9"/>
    <w:rsid w:val="00513EFC"/>
    <w:rsid w:val="00552F60"/>
    <w:rsid w:val="00554BD0"/>
    <w:rsid w:val="005F098D"/>
    <w:rsid w:val="005F383B"/>
    <w:rsid w:val="00630557"/>
    <w:rsid w:val="00651401"/>
    <w:rsid w:val="00670F37"/>
    <w:rsid w:val="006C020E"/>
    <w:rsid w:val="006E0FCC"/>
    <w:rsid w:val="006E29A2"/>
    <w:rsid w:val="00713FA9"/>
    <w:rsid w:val="0078658D"/>
    <w:rsid w:val="007E171F"/>
    <w:rsid w:val="007F2273"/>
    <w:rsid w:val="007F5160"/>
    <w:rsid w:val="00842505"/>
    <w:rsid w:val="00880191"/>
    <w:rsid w:val="008A4770"/>
    <w:rsid w:val="008C28A1"/>
    <w:rsid w:val="009038CE"/>
    <w:rsid w:val="00996FA3"/>
    <w:rsid w:val="00997E57"/>
    <w:rsid w:val="009A50D8"/>
    <w:rsid w:val="009C2992"/>
    <w:rsid w:val="00A01132"/>
    <w:rsid w:val="00A43C57"/>
    <w:rsid w:val="00A455EC"/>
    <w:rsid w:val="00A522B3"/>
    <w:rsid w:val="00A5385E"/>
    <w:rsid w:val="00A8333F"/>
    <w:rsid w:val="00A941E0"/>
    <w:rsid w:val="00A94ABB"/>
    <w:rsid w:val="00AC2560"/>
    <w:rsid w:val="00AD20B1"/>
    <w:rsid w:val="00AE15A3"/>
    <w:rsid w:val="00B01B3D"/>
    <w:rsid w:val="00B12E0B"/>
    <w:rsid w:val="00B23228"/>
    <w:rsid w:val="00B248E0"/>
    <w:rsid w:val="00B34789"/>
    <w:rsid w:val="00B73DF1"/>
    <w:rsid w:val="00BC3567"/>
    <w:rsid w:val="00BF36A8"/>
    <w:rsid w:val="00C011D6"/>
    <w:rsid w:val="00C13161"/>
    <w:rsid w:val="00C2253B"/>
    <w:rsid w:val="00C271FC"/>
    <w:rsid w:val="00C33AEC"/>
    <w:rsid w:val="00C37288"/>
    <w:rsid w:val="00C45659"/>
    <w:rsid w:val="00CC100D"/>
    <w:rsid w:val="00CC1B85"/>
    <w:rsid w:val="00CE2A0C"/>
    <w:rsid w:val="00D033D4"/>
    <w:rsid w:val="00D0391C"/>
    <w:rsid w:val="00D13204"/>
    <w:rsid w:val="00D20514"/>
    <w:rsid w:val="00D457AA"/>
    <w:rsid w:val="00D6470F"/>
    <w:rsid w:val="00D70F14"/>
    <w:rsid w:val="00D73471"/>
    <w:rsid w:val="00DA7E03"/>
    <w:rsid w:val="00DB2DD6"/>
    <w:rsid w:val="00DD6FBC"/>
    <w:rsid w:val="00DF7CD4"/>
    <w:rsid w:val="00E04F68"/>
    <w:rsid w:val="00E276DE"/>
    <w:rsid w:val="00E34D8A"/>
    <w:rsid w:val="00E470B7"/>
    <w:rsid w:val="00E54E6A"/>
    <w:rsid w:val="00EA4DCC"/>
    <w:rsid w:val="00EB4620"/>
    <w:rsid w:val="00ED0905"/>
    <w:rsid w:val="00EE57B5"/>
    <w:rsid w:val="00F25B83"/>
    <w:rsid w:val="00F54E2B"/>
    <w:rsid w:val="00F726C6"/>
    <w:rsid w:val="00F91A21"/>
    <w:rsid w:val="00F94196"/>
    <w:rsid w:val="00FA0D4C"/>
    <w:rsid w:val="00FA2A37"/>
    <w:rsid w:val="00FC5B08"/>
    <w:rsid w:val="00FD0753"/>
    <w:rsid w:val="00FE329A"/>
    <w:rsid w:val="00FE4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4EA6B420A4B29844302E56F0F76CA">
    <w:name w:val="D644EA6B420A4B29844302E56F0F76CA"/>
  </w:style>
  <w:style w:type="paragraph" w:customStyle="1" w:styleId="EF2FD8CF5C824E039636F80C5963C47F">
    <w:name w:val="EF2FD8CF5C824E039636F80C5963C47F"/>
  </w:style>
  <w:style w:type="paragraph" w:customStyle="1" w:styleId="A858F4C125AA41B6B04A57372AB2CDD3">
    <w:name w:val="A858F4C125AA41B6B04A57372AB2CDD3"/>
  </w:style>
  <w:style w:type="paragraph" w:customStyle="1" w:styleId="5E3572267C8E465A8D3F46552C92C44E">
    <w:name w:val="5E3572267C8E465A8D3F46552C92C44E"/>
  </w:style>
  <w:style w:type="paragraph" w:customStyle="1" w:styleId="983A7A26EDCF4AE0A356974BBCE12243">
    <w:name w:val="983A7A26EDCF4AE0A356974BBCE12243"/>
  </w:style>
  <w:style w:type="paragraph" w:customStyle="1" w:styleId="8ADCD3CF96E646B888DE9124CD572D3A">
    <w:name w:val="8ADCD3CF96E646B888DE9124CD572D3A"/>
  </w:style>
  <w:style w:type="character" w:styleId="Emphasis">
    <w:name w:val="Emphasis"/>
    <w:basedOn w:val="DefaultParagraphFont"/>
    <w:uiPriority w:val="4"/>
    <w:unhideWhenUsed/>
    <w:qFormat/>
    <w:rPr>
      <w:i/>
      <w:iCs/>
    </w:rPr>
  </w:style>
  <w:style w:type="paragraph" w:customStyle="1" w:styleId="00048BF9062D4E1B869DA5F67BE62268">
    <w:name w:val="00048BF9062D4E1B869DA5F67BE62268"/>
  </w:style>
  <w:style w:type="paragraph" w:customStyle="1" w:styleId="7BF845D674A740BFA7F57D48ED3E31C6">
    <w:name w:val="7BF845D674A740BFA7F57D48ED3E31C6"/>
  </w:style>
  <w:style w:type="paragraph" w:customStyle="1" w:styleId="3FC078AB95BB467BBAABB4631CB16ACD">
    <w:name w:val="3FC078AB95BB467BBAABB4631CB16ACD"/>
  </w:style>
  <w:style w:type="paragraph" w:customStyle="1" w:styleId="5132BE41B4BA40F590D3803C171879C3">
    <w:name w:val="5132BE41B4BA40F590D3803C171879C3"/>
  </w:style>
  <w:style w:type="paragraph" w:customStyle="1" w:styleId="C4870664656A4ACA889B6168DC6DEA3B">
    <w:name w:val="C4870664656A4ACA889B6168DC6DEA3B"/>
  </w:style>
  <w:style w:type="paragraph" w:customStyle="1" w:styleId="1EA607BDB15E4837A67B9D22FB3C59EB">
    <w:name w:val="1EA607BDB15E4837A67B9D22FB3C59EB"/>
  </w:style>
  <w:style w:type="paragraph" w:customStyle="1" w:styleId="7DD933EE36A243AAB478484A442D1A5B">
    <w:name w:val="7DD933EE36A243AAB478484A442D1A5B"/>
  </w:style>
  <w:style w:type="paragraph" w:customStyle="1" w:styleId="D7EF12470C284692A162A427AACD61C0">
    <w:name w:val="D7EF12470C284692A162A427AACD61C0"/>
  </w:style>
  <w:style w:type="paragraph" w:customStyle="1" w:styleId="73B94F656B5045048AE4E05BE5F2C863">
    <w:name w:val="73B94F656B5045048AE4E05BE5F2C863"/>
  </w:style>
  <w:style w:type="paragraph" w:customStyle="1" w:styleId="422072129E8C49D8AE36B9E146272496">
    <w:name w:val="422072129E8C49D8AE36B9E146272496"/>
  </w:style>
  <w:style w:type="paragraph" w:customStyle="1" w:styleId="FFF11D706C23409781B96B42AE087065">
    <w:name w:val="FFF11D706C23409781B96B42AE087065"/>
  </w:style>
  <w:style w:type="paragraph" w:customStyle="1" w:styleId="E6ED3046FBC048C9A103FDB0B3930717">
    <w:name w:val="E6ED3046FBC048C9A103FDB0B3930717"/>
  </w:style>
  <w:style w:type="paragraph" w:customStyle="1" w:styleId="3EFFA2E6B4634D1AB8405DB0DBACB7F4">
    <w:name w:val="3EFFA2E6B4634D1AB8405DB0DBACB7F4"/>
  </w:style>
  <w:style w:type="paragraph" w:customStyle="1" w:styleId="8567EB6B012B4823A11A489105A79E00">
    <w:name w:val="8567EB6B012B4823A11A489105A79E00"/>
  </w:style>
  <w:style w:type="paragraph" w:customStyle="1" w:styleId="B616D64255594AB3BB763122E295C49A">
    <w:name w:val="B616D64255594AB3BB763122E295C49A"/>
  </w:style>
  <w:style w:type="paragraph" w:customStyle="1" w:styleId="C2032794547F44B38D7278AFE8311B8B">
    <w:name w:val="C2032794547F44B38D7278AFE8311B8B"/>
  </w:style>
  <w:style w:type="paragraph" w:customStyle="1" w:styleId="CC7651A4983B43B8BA153E4E87E86860">
    <w:name w:val="CC7651A4983B43B8BA153E4E87E86860"/>
  </w:style>
  <w:style w:type="paragraph" w:customStyle="1" w:styleId="423AF462DA9544A4B889FFA1C0C0E13B">
    <w:name w:val="423AF462DA9544A4B889FFA1C0C0E13B"/>
  </w:style>
  <w:style w:type="paragraph" w:customStyle="1" w:styleId="7670BBF5192A48EEA42F1A5F603E63B5">
    <w:name w:val="7670BBF5192A48EEA42F1A5F603E63B5"/>
  </w:style>
  <w:style w:type="paragraph" w:customStyle="1" w:styleId="F41FBB5224C147EEB528A87AD1A9C333">
    <w:name w:val="F41FBB5224C147EEB528A87AD1A9C333"/>
  </w:style>
  <w:style w:type="paragraph" w:customStyle="1" w:styleId="B9E4CCA42C8240108D1FC619FD7133C4">
    <w:name w:val="B9E4CCA42C8240108D1FC619FD7133C4"/>
  </w:style>
  <w:style w:type="paragraph" w:customStyle="1" w:styleId="ADE32A17562D492CA6455DE68BC7DE8B">
    <w:name w:val="ADE32A17562D492CA6455DE68BC7DE8B"/>
  </w:style>
  <w:style w:type="paragraph" w:customStyle="1" w:styleId="9F52E11335404B9289843A879BA9E73F">
    <w:name w:val="9F52E11335404B9289843A879BA9E73F"/>
  </w:style>
  <w:style w:type="paragraph" w:customStyle="1" w:styleId="5A2A8A60DB0041D8B53439E4822412F1">
    <w:name w:val="5A2A8A60DB0041D8B53439E4822412F1"/>
  </w:style>
  <w:style w:type="paragraph" w:customStyle="1" w:styleId="832AE13239DA4818B57EF8B326DAA287">
    <w:name w:val="832AE13239DA4818B57EF8B326DAA287"/>
  </w:style>
  <w:style w:type="paragraph" w:customStyle="1" w:styleId="48A46A2C0001466FA23B9E438D53E3CB">
    <w:name w:val="48A46A2C0001466FA23B9E438D53E3CB"/>
  </w:style>
  <w:style w:type="paragraph" w:customStyle="1" w:styleId="3C80744DC4554EE593800890A851EF03">
    <w:name w:val="3C80744DC4554EE593800890A851EF03"/>
  </w:style>
  <w:style w:type="paragraph" w:customStyle="1" w:styleId="C7D948E5F6B14F15BB22D670E766C44A">
    <w:name w:val="C7D948E5F6B14F15BB22D670E766C44A"/>
  </w:style>
  <w:style w:type="paragraph" w:customStyle="1" w:styleId="04863273E23D4B26B18500AD7A4BE4CB">
    <w:name w:val="04863273E23D4B26B18500AD7A4BE4CB"/>
  </w:style>
  <w:style w:type="paragraph" w:customStyle="1" w:styleId="CB909549CAB5436BB6F7A1EEF335CE8D">
    <w:name w:val="CB909549CAB5436BB6F7A1EEF335CE8D"/>
  </w:style>
  <w:style w:type="paragraph" w:customStyle="1" w:styleId="AE212C0BE6E343E69C9FA125C93CD760">
    <w:name w:val="AE212C0BE6E343E69C9FA125C93CD760"/>
  </w:style>
  <w:style w:type="paragraph" w:customStyle="1" w:styleId="4B406EE685C34D1BA990496B0ECEC732">
    <w:name w:val="4B406EE685C34D1BA990496B0ECEC732"/>
  </w:style>
  <w:style w:type="paragraph" w:customStyle="1" w:styleId="41FA806513C843E9A9406A2ED9E48633">
    <w:name w:val="41FA806513C843E9A9406A2ED9E48633"/>
  </w:style>
  <w:style w:type="paragraph" w:customStyle="1" w:styleId="396A1EB4C8D64EB381B3645C2F670160">
    <w:name w:val="396A1EB4C8D64EB381B3645C2F670160"/>
  </w:style>
  <w:style w:type="paragraph" w:customStyle="1" w:styleId="10351B2B32174E8C829445923830AF4D">
    <w:name w:val="10351B2B32174E8C829445923830AF4D"/>
  </w:style>
  <w:style w:type="paragraph" w:customStyle="1" w:styleId="29BA93754719438DB6A310AB6F144907">
    <w:name w:val="29BA93754719438DB6A310AB6F144907"/>
  </w:style>
  <w:style w:type="paragraph" w:customStyle="1" w:styleId="5743F590B74F40B8876259D1C5C2CED6">
    <w:name w:val="5743F590B74F40B8876259D1C5C2CED6"/>
  </w:style>
  <w:style w:type="paragraph" w:customStyle="1" w:styleId="68694CE32F5A42EDB68FE66385DADD53">
    <w:name w:val="68694CE32F5A42EDB68FE66385DADD53"/>
  </w:style>
  <w:style w:type="paragraph" w:customStyle="1" w:styleId="C27F167E3CD7488BAB8672AF0D70DCC2">
    <w:name w:val="C27F167E3CD7488BAB8672AF0D70DCC2"/>
  </w:style>
  <w:style w:type="paragraph" w:customStyle="1" w:styleId="F789A4174F734D84BE464B6E3E8C6EAF">
    <w:name w:val="F789A4174F734D84BE464B6E3E8C6EAF"/>
  </w:style>
  <w:style w:type="paragraph" w:customStyle="1" w:styleId="AF862F7C187B4BC28CBB369241052537">
    <w:name w:val="AF862F7C187B4BC28CBB369241052537"/>
  </w:style>
  <w:style w:type="paragraph" w:customStyle="1" w:styleId="47654B25FAEF4DE997ADC14E223AAFD1">
    <w:name w:val="47654B25FAEF4DE997ADC14E223AAFD1"/>
  </w:style>
  <w:style w:type="paragraph" w:customStyle="1" w:styleId="060C05C6EA9A46F280ACC64FBB996073">
    <w:name w:val="060C05C6EA9A46F280ACC64FBB996073"/>
  </w:style>
  <w:style w:type="paragraph" w:customStyle="1" w:styleId="2AF22AAAC0C0442A88A8E327231E810D">
    <w:name w:val="2AF22AAAC0C0442A88A8E327231E810D"/>
  </w:style>
  <w:style w:type="paragraph" w:customStyle="1" w:styleId="9E643FF0EE504C5582CFC3D2C408679C">
    <w:name w:val="9E643FF0EE504C5582CFC3D2C408679C"/>
  </w:style>
  <w:style w:type="paragraph" w:customStyle="1" w:styleId="8C9E8C19FC98403483F25D0D5C97448B">
    <w:name w:val="8C9E8C19FC98403483F25D0D5C97448B"/>
  </w:style>
  <w:style w:type="paragraph" w:customStyle="1" w:styleId="2018305D8BAF4BFA831A0EAD28AE3372">
    <w:name w:val="2018305D8BAF4BFA831A0EAD28AE3372"/>
  </w:style>
  <w:style w:type="paragraph" w:customStyle="1" w:styleId="7280A321D2F642E48030DE4B181F34AF">
    <w:name w:val="7280A321D2F642E48030DE4B181F34AF"/>
  </w:style>
  <w:style w:type="paragraph" w:customStyle="1" w:styleId="33DCF3E8AC0B49CCB1AD94F29FE88ABD">
    <w:name w:val="33DCF3E8AC0B49CCB1AD94F29FE88ABD"/>
  </w:style>
  <w:style w:type="paragraph" w:customStyle="1" w:styleId="D6F1747779754877BE67B5DA40FCB053">
    <w:name w:val="D6F1747779754877BE67B5DA40FCB053"/>
  </w:style>
  <w:style w:type="paragraph" w:customStyle="1" w:styleId="4A5090D193CF4D6ABE5D7751FBD4FFCA">
    <w:name w:val="4A5090D193CF4D6ABE5D7751FBD4FFCA"/>
  </w:style>
  <w:style w:type="paragraph" w:customStyle="1" w:styleId="13B7B2E95AD946AD9A46ADB7BF31EFB2">
    <w:name w:val="13B7B2E95AD946AD9A46ADB7BF31EFB2"/>
  </w:style>
  <w:style w:type="paragraph" w:customStyle="1" w:styleId="3AB2CF07370B400DB30B0F8F5A9273D2">
    <w:name w:val="3AB2CF07370B400DB30B0F8F5A9273D2"/>
  </w:style>
  <w:style w:type="paragraph" w:customStyle="1" w:styleId="F32881CB29D54F2A9F3DE6449EBC8FAE">
    <w:name w:val="F32881CB29D54F2A9F3DE6449EBC8FAE"/>
  </w:style>
  <w:style w:type="paragraph" w:customStyle="1" w:styleId="3B8C2BA3DDC740F69DAEC62B74176047">
    <w:name w:val="3B8C2BA3DDC740F69DAEC62B74176047"/>
  </w:style>
  <w:style w:type="paragraph" w:customStyle="1" w:styleId="32BC3CF5A288475FB4C72B466AA6BCBA">
    <w:name w:val="32BC3CF5A288475FB4C72B466AA6BCBA"/>
  </w:style>
  <w:style w:type="paragraph" w:customStyle="1" w:styleId="CD5D350ACEF040A6ACAD9FCC43A51D0B">
    <w:name w:val="CD5D350ACEF040A6ACAD9FCC43A51D0B"/>
  </w:style>
  <w:style w:type="paragraph" w:customStyle="1" w:styleId="77D581BDA9BD450B932B01EDD14C9690">
    <w:name w:val="77D581BDA9BD450B932B01EDD14C9690"/>
    <w:rsid w:val="007E171F"/>
  </w:style>
  <w:style w:type="paragraph" w:customStyle="1" w:styleId="6BCF09DBC1A14BD9B45DB26543B5A09D">
    <w:name w:val="6BCF09DBC1A14BD9B45DB26543B5A09D"/>
    <w:rsid w:val="009A50D8"/>
  </w:style>
  <w:style w:type="paragraph" w:customStyle="1" w:styleId="A71F5008F1A340FBB775D025D55BACE0">
    <w:name w:val="A71F5008F1A340FBB775D025D55BACE0"/>
    <w:rsid w:val="00B01B3D"/>
  </w:style>
  <w:style w:type="paragraph" w:customStyle="1" w:styleId="FF71DB45D4594B2EBA02D35D96FAAB78">
    <w:name w:val="FF71DB45D4594B2EBA02D35D96FAAB78"/>
    <w:rsid w:val="00B01B3D"/>
  </w:style>
  <w:style w:type="paragraph" w:customStyle="1" w:styleId="D1707894F2E24BF1ADEF42C81713BEAB">
    <w:name w:val="D1707894F2E24BF1ADEF42C81713BEAB"/>
    <w:rsid w:val="00A43C57"/>
  </w:style>
  <w:style w:type="paragraph" w:customStyle="1" w:styleId="0C4E4527414F41749AAEEDC27CF02FD5">
    <w:name w:val="0C4E4527414F41749AAEEDC27CF02FD5"/>
    <w:rsid w:val="00A43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MEASURING RESPONSE TO CLINICAL CARE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D0A1C851B9C94B99FF4449E2A391E6" ma:contentTypeVersion="12" ma:contentTypeDescription="Create a new document." ma:contentTypeScope="" ma:versionID="601b8ef5282bee1434ebce0c445e1763">
  <xsd:schema xmlns:xsd="http://www.w3.org/2001/XMLSchema" xmlns:xs="http://www.w3.org/2001/XMLSchema" xmlns:p="http://schemas.microsoft.com/office/2006/metadata/properties" xmlns:ns3="1ab671df-3e1f-4812-b118-a5f211f714f5" xmlns:ns4="527885d6-19cd-45fd-9a1b-17da07a60c3d" targetNamespace="http://schemas.microsoft.com/office/2006/metadata/properties" ma:root="true" ma:fieldsID="3ff228267dd54144263bf0330f276151" ns3:_="" ns4:_="">
    <xsd:import namespace="1ab671df-3e1f-4812-b118-a5f211f714f5"/>
    <xsd:import namespace="527885d6-19cd-45fd-9a1b-17da07a60c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671df-3e1f-4812-b118-a5f211f71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7885d6-19cd-45fd-9a1b-17da07a60c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F620DC-6513-47C7-83FF-2A5FB6EFC0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B73D5-AF45-2E4E-A604-3DDF768DB636}">
  <ds:schemaRefs>
    <ds:schemaRef ds:uri="http://schemas.openxmlformats.org/officeDocument/2006/bibliography"/>
  </ds:schemaRefs>
</ds:datastoreItem>
</file>

<file path=customXml/itemProps4.xml><?xml version="1.0" encoding="utf-8"?>
<ds:datastoreItem xmlns:ds="http://schemas.openxmlformats.org/officeDocument/2006/customXml" ds:itemID="{2EE12EE0-C11D-4F97-A240-016DC0027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671df-3e1f-4812-b118-a5f211f714f5"/>
    <ds:schemaRef ds:uri="527885d6-19cd-45fd-9a1b-17da07a60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3FF77F-CC22-4ABA-8A3C-2930482C7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10548</Words>
  <Characters>60124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 Krause</dc:creator>
  <cp:keywords/>
  <cp:lastModifiedBy>Karolin Krause</cp:lastModifiedBy>
  <cp:revision>4</cp:revision>
  <cp:lastPrinted>2020-01-08T16:10:00Z</cp:lastPrinted>
  <dcterms:created xsi:type="dcterms:W3CDTF">2020-07-27T10:27:00Z</dcterms:created>
  <dcterms:modified xsi:type="dcterms:W3CDTF">2020-07-27T10:57:00Z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0x01010089D0A1C851B9C94B99FF4449E2A391E6</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http://www.zotero.org/styles/bmj-open</vt:lpwstr>
  </property>
  <property fmtid="{D5CDD505-2E9C-101B-9397-08002B2CF9AE}" pid="8" name="Mendeley Recent Style Name 2_1">
    <vt:lpwstr>BMJ Open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http://www.zotero.org/styles/springer-basic-brackets</vt:lpwstr>
  </property>
  <property fmtid="{D5CDD505-2E9C-101B-9397-08002B2CF9AE}" pid="20" name="Mendeley Recent Style Name 8_1">
    <vt:lpwstr>Springer - Basic (numeric, brackets)</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98f254a8-3101-3419-8130-d5ae5656f4b4</vt:lpwstr>
  </property>
  <property fmtid="{D5CDD505-2E9C-101B-9397-08002B2CF9AE}" pid="25" name="Mendeley Citation Style_1">
    <vt:lpwstr>http://www.zotero.org/styles/vancouver</vt:lpwstr>
  </property>
</Properties>
</file>