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7AE" w:rsidRPr="00644468" w:rsidRDefault="0013003F" w:rsidP="00A937AE">
      <w:pPr>
        <w:rPr>
          <w:b/>
          <w:sz w:val="24"/>
        </w:rPr>
      </w:pPr>
      <w:r>
        <w:rPr>
          <w:b/>
          <w:sz w:val="24"/>
        </w:rPr>
        <w:t>E</w:t>
      </w:r>
      <w:r w:rsidR="00A937AE" w:rsidRPr="00644468">
        <w:rPr>
          <w:b/>
          <w:sz w:val="24"/>
        </w:rPr>
        <w:t>poxyeicosatrienoic acids</w:t>
      </w:r>
      <w:r w:rsidR="003206C4">
        <w:rPr>
          <w:b/>
          <w:sz w:val="24"/>
        </w:rPr>
        <w:t xml:space="preserve"> </w:t>
      </w:r>
      <w:r w:rsidR="00CB582C">
        <w:rPr>
          <w:b/>
          <w:sz w:val="24"/>
        </w:rPr>
        <w:t xml:space="preserve">protect pancreatic beta cells </w:t>
      </w:r>
      <w:r w:rsidR="00A937AE" w:rsidRPr="00644468">
        <w:rPr>
          <w:b/>
          <w:sz w:val="24"/>
        </w:rPr>
        <w:t>against pro-inflammatory cytokine</w:t>
      </w:r>
      <w:r w:rsidR="00CF21DF">
        <w:rPr>
          <w:b/>
          <w:sz w:val="24"/>
        </w:rPr>
        <w:t xml:space="preserve"> </w:t>
      </w:r>
      <w:r w:rsidR="00A937AE" w:rsidRPr="00644468">
        <w:rPr>
          <w:b/>
          <w:sz w:val="24"/>
        </w:rPr>
        <w:t>toxicity</w:t>
      </w:r>
      <w:r w:rsidR="00A937AE">
        <w:rPr>
          <w:b/>
          <w:sz w:val="24"/>
        </w:rPr>
        <w:t>.</w:t>
      </w:r>
    </w:p>
    <w:p w:rsidR="00A937AE" w:rsidRDefault="00A937AE" w:rsidP="00BC3627">
      <w:pPr>
        <w:spacing w:line="480" w:lineRule="auto"/>
        <w:rPr>
          <w:rFonts w:ascii="Arial" w:hAnsi="Arial" w:cs="Arial"/>
          <w:b/>
        </w:rPr>
      </w:pPr>
    </w:p>
    <w:p w:rsidR="00200B21" w:rsidRDefault="00200B21" w:rsidP="00BC3627">
      <w:pPr>
        <w:spacing w:line="480" w:lineRule="auto"/>
        <w:rPr>
          <w:rFonts w:ascii="Arial" w:hAnsi="Arial" w:cs="Arial"/>
        </w:rPr>
      </w:pPr>
      <w:r>
        <w:rPr>
          <w:rFonts w:ascii="Arial" w:hAnsi="Arial" w:cs="Arial"/>
        </w:rPr>
        <w:t>D. Grimes</w:t>
      </w:r>
      <w:r w:rsidR="00CB582C">
        <w:rPr>
          <w:rFonts w:ascii="Arial" w:hAnsi="Arial" w:cs="Arial"/>
        </w:rPr>
        <w:t xml:space="preserve"> and </w:t>
      </w:r>
      <w:r>
        <w:rPr>
          <w:rFonts w:ascii="Arial" w:hAnsi="Arial" w:cs="Arial"/>
        </w:rPr>
        <w:t xml:space="preserve">D. </w:t>
      </w:r>
      <w:r w:rsidR="00CB582C">
        <w:rPr>
          <w:rFonts w:ascii="Arial" w:hAnsi="Arial" w:cs="Arial"/>
        </w:rPr>
        <w:t>Watson.</w:t>
      </w:r>
    </w:p>
    <w:p w:rsidR="00A937AE" w:rsidRDefault="00CB582C" w:rsidP="00BC3627">
      <w:pPr>
        <w:spacing w:line="480" w:lineRule="auto"/>
        <w:rPr>
          <w:rFonts w:ascii="Arial" w:hAnsi="Arial" w:cs="Arial"/>
        </w:rPr>
      </w:pPr>
      <w:bookmarkStart w:id="0" w:name="_GoBack"/>
      <w:bookmarkEnd w:id="0"/>
      <w:r>
        <w:rPr>
          <w:rFonts w:ascii="Arial" w:hAnsi="Arial" w:cs="Arial"/>
        </w:rPr>
        <w:t>School of Life Sciences, Keele University, Staffordshire, UK.</w:t>
      </w:r>
    </w:p>
    <w:p w:rsidR="003206C4" w:rsidRDefault="003206C4" w:rsidP="00BC3627">
      <w:pPr>
        <w:spacing w:line="480" w:lineRule="auto"/>
        <w:rPr>
          <w:rFonts w:ascii="Arial" w:hAnsi="Arial" w:cs="Arial"/>
        </w:rPr>
      </w:pPr>
    </w:p>
    <w:p w:rsidR="00CB582C" w:rsidRDefault="00CB582C" w:rsidP="00CB582C">
      <w:pPr>
        <w:spacing w:after="0" w:line="240" w:lineRule="auto"/>
        <w:rPr>
          <w:rFonts w:ascii="Arial" w:hAnsi="Arial" w:cs="Arial"/>
        </w:rPr>
      </w:pPr>
      <w:r>
        <w:rPr>
          <w:rFonts w:ascii="Arial" w:hAnsi="Arial" w:cs="Arial"/>
        </w:rPr>
        <w:t>*Corresponding author</w:t>
      </w:r>
      <w:r w:rsidR="003206C4">
        <w:rPr>
          <w:rFonts w:ascii="Arial" w:hAnsi="Arial" w:cs="Arial"/>
        </w:rPr>
        <w:t>:</w:t>
      </w:r>
    </w:p>
    <w:p w:rsidR="00CB582C" w:rsidRDefault="00CB582C" w:rsidP="00CB582C">
      <w:pPr>
        <w:spacing w:after="0" w:line="240" w:lineRule="auto"/>
        <w:rPr>
          <w:rFonts w:ascii="Arial" w:hAnsi="Arial" w:cs="Arial"/>
        </w:rPr>
      </w:pPr>
    </w:p>
    <w:p w:rsidR="00CB582C" w:rsidRDefault="00CB582C" w:rsidP="00CB582C">
      <w:pPr>
        <w:spacing w:after="0" w:line="240" w:lineRule="auto"/>
        <w:rPr>
          <w:rFonts w:ascii="Arial" w:hAnsi="Arial" w:cs="Arial"/>
        </w:rPr>
      </w:pPr>
      <w:r>
        <w:rPr>
          <w:rFonts w:ascii="Arial" w:hAnsi="Arial" w:cs="Arial"/>
        </w:rPr>
        <w:t>Dr David Watson</w:t>
      </w:r>
    </w:p>
    <w:p w:rsidR="00CB582C" w:rsidRDefault="00CB582C" w:rsidP="00CB582C">
      <w:pPr>
        <w:spacing w:after="0" w:line="240" w:lineRule="auto"/>
        <w:rPr>
          <w:rFonts w:ascii="Arial" w:hAnsi="Arial" w:cs="Arial"/>
        </w:rPr>
      </w:pPr>
      <w:r>
        <w:rPr>
          <w:rFonts w:ascii="Arial" w:hAnsi="Arial" w:cs="Arial"/>
        </w:rPr>
        <w:t>School of Life Sciences, Keele University, Staffordshire, ST5 5BG</w:t>
      </w:r>
    </w:p>
    <w:p w:rsidR="00CB582C" w:rsidRDefault="00CB582C" w:rsidP="00CB582C">
      <w:pPr>
        <w:spacing w:after="0" w:line="240" w:lineRule="auto"/>
        <w:rPr>
          <w:rFonts w:ascii="Arial" w:hAnsi="Arial" w:cs="Arial"/>
        </w:rPr>
      </w:pPr>
    </w:p>
    <w:p w:rsidR="00CB582C" w:rsidRDefault="00CB582C" w:rsidP="00CB582C">
      <w:pPr>
        <w:spacing w:after="0" w:line="240" w:lineRule="auto"/>
        <w:rPr>
          <w:rFonts w:ascii="Arial" w:hAnsi="Arial" w:cs="Arial"/>
        </w:rPr>
      </w:pPr>
    </w:p>
    <w:p w:rsidR="00CB582C" w:rsidRDefault="00CB582C" w:rsidP="00CB582C">
      <w:pPr>
        <w:spacing w:after="0" w:line="240" w:lineRule="auto"/>
        <w:rPr>
          <w:rFonts w:ascii="Arial" w:hAnsi="Arial" w:cs="Arial"/>
        </w:rPr>
      </w:pPr>
    </w:p>
    <w:p w:rsidR="00CB582C" w:rsidRDefault="00CB582C" w:rsidP="00CB582C">
      <w:pPr>
        <w:spacing w:after="0" w:line="240" w:lineRule="auto"/>
        <w:rPr>
          <w:rFonts w:ascii="Arial" w:hAnsi="Arial" w:cs="Arial"/>
        </w:rPr>
      </w:pPr>
    </w:p>
    <w:p w:rsidR="00CB582C" w:rsidRDefault="00CB582C" w:rsidP="00CB582C">
      <w:pPr>
        <w:spacing w:after="0" w:line="240" w:lineRule="auto"/>
        <w:rPr>
          <w:rFonts w:ascii="Arial" w:hAnsi="Arial" w:cs="Arial"/>
        </w:rPr>
      </w:pPr>
    </w:p>
    <w:p w:rsidR="00CB582C" w:rsidRDefault="00CB582C" w:rsidP="00CB582C">
      <w:pPr>
        <w:spacing w:after="0" w:line="240" w:lineRule="auto"/>
        <w:rPr>
          <w:rFonts w:ascii="Arial" w:hAnsi="Arial" w:cs="Arial"/>
        </w:rPr>
      </w:pPr>
    </w:p>
    <w:p w:rsidR="00CB582C" w:rsidRDefault="00612C64" w:rsidP="00CB582C">
      <w:pPr>
        <w:spacing w:after="0" w:line="240" w:lineRule="auto"/>
        <w:rPr>
          <w:rFonts w:ascii="Arial" w:hAnsi="Arial" w:cs="Arial"/>
          <w:b/>
        </w:rPr>
      </w:pPr>
      <w:r>
        <w:rPr>
          <w:rFonts w:ascii="Arial" w:hAnsi="Arial" w:cs="Arial"/>
          <w:b/>
        </w:rPr>
        <w:t>Funding</w:t>
      </w:r>
    </w:p>
    <w:p w:rsidR="00612C64" w:rsidRDefault="00612C64" w:rsidP="00CB582C">
      <w:pPr>
        <w:spacing w:after="0" w:line="240" w:lineRule="auto"/>
        <w:rPr>
          <w:rFonts w:ascii="Arial" w:hAnsi="Arial" w:cs="Arial"/>
          <w:b/>
        </w:rPr>
      </w:pPr>
    </w:p>
    <w:p w:rsidR="00612C64" w:rsidRPr="00612C64" w:rsidRDefault="00E2646B" w:rsidP="00CB582C">
      <w:pPr>
        <w:spacing w:after="0" w:line="240" w:lineRule="auto"/>
        <w:rPr>
          <w:rFonts w:ascii="Arial" w:hAnsi="Arial" w:cs="Arial"/>
        </w:rPr>
      </w:pPr>
      <w:r>
        <w:rPr>
          <w:rFonts w:ascii="Arial" w:hAnsi="Arial" w:cs="Arial"/>
        </w:rPr>
        <w:t>Daniel Grimes was supported with a studentship from</w:t>
      </w:r>
      <w:r w:rsidR="00612C64" w:rsidRPr="00612C64">
        <w:rPr>
          <w:rFonts w:ascii="Arial" w:hAnsi="Arial" w:cs="Arial"/>
        </w:rPr>
        <w:t xml:space="preserve"> the Faculty of Natural Science</w:t>
      </w:r>
      <w:r w:rsidR="000662A2">
        <w:rPr>
          <w:rFonts w:ascii="Arial" w:hAnsi="Arial" w:cs="Arial"/>
        </w:rPr>
        <w:t>s</w:t>
      </w:r>
      <w:r w:rsidR="00612C64" w:rsidRPr="00612C64">
        <w:rPr>
          <w:rFonts w:ascii="Arial" w:hAnsi="Arial" w:cs="Arial"/>
        </w:rPr>
        <w:t>, Keele University.</w:t>
      </w:r>
      <w:r w:rsidR="0018271C">
        <w:rPr>
          <w:rFonts w:ascii="Arial" w:hAnsi="Arial" w:cs="Arial"/>
        </w:rPr>
        <w:t xml:space="preserve"> </w:t>
      </w:r>
      <w:r w:rsidR="0018271C" w:rsidRPr="0018271C">
        <w:rPr>
          <w:rFonts w:ascii="Arial" w:hAnsi="Arial" w:cs="Arial"/>
        </w:rPr>
        <w:t>This research did not receive any specific grant from funding agencies in the public, commercial, or not-for-profit sectors.</w:t>
      </w:r>
    </w:p>
    <w:p w:rsidR="00CB582C" w:rsidRDefault="00CB582C" w:rsidP="00CB582C">
      <w:pPr>
        <w:spacing w:after="0" w:line="240" w:lineRule="auto"/>
        <w:rPr>
          <w:rFonts w:ascii="Arial" w:hAnsi="Arial" w:cs="Arial"/>
        </w:rPr>
      </w:pPr>
    </w:p>
    <w:p w:rsidR="00CB582C" w:rsidRDefault="00CB582C" w:rsidP="00CB582C">
      <w:pPr>
        <w:spacing w:after="0" w:line="240" w:lineRule="auto"/>
        <w:rPr>
          <w:rFonts w:ascii="Arial" w:hAnsi="Arial" w:cs="Arial"/>
        </w:rPr>
      </w:pPr>
    </w:p>
    <w:p w:rsidR="00CB582C" w:rsidRDefault="00CB582C" w:rsidP="00CB582C">
      <w:pPr>
        <w:spacing w:after="0" w:line="240" w:lineRule="auto"/>
        <w:rPr>
          <w:rFonts w:ascii="Arial" w:hAnsi="Arial" w:cs="Arial"/>
        </w:rPr>
      </w:pPr>
    </w:p>
    <w:p w:rsidR="00CB582C" w:rsidRDefault="00CB582C" w:rsidP="00CB582C">
      <w:pPr>
        <w:spacing w:after="0" w:line="240" w:lineRule="auto"/>
        <w:rPr>
          <w:rFonts w:ascii="Arial" w:hAnsi="Arial" w:cs="Arial"/>
        </w:rPr>
      </w:pPr>
    </w:p>
    <w:p w:rsidR="00CB582C" w:rsidRDefault="00CB582C" w:rsidP="00CB582C">
      <w:pPr>
        <w:spacing w:after="0" w:line="240" w:lineRule="auto"/>
        <w:rPr>
          <w:rFonts w:ascii="Arial" w:hAnsi="Arial" w:cs="Arial"/>
        </w:rPr>
      </w:pPr>
    </w:p>
    <w:p w:rsidR="00CB582C" w:rsidRDefault="00CB582C" w:rsidP="00CB582C">
      <w:pPr>
        <w:spacing w:after="0" w:line="240" w:lineRule="auto"/>
        <w:rPr>
          <w:rFonts w:ascii="Arial" w:hAnsi="Arial" w:cs="Arial"/>
        </w:rPr>
      </w:pPr>
    </w:p>
    <w:p w:rsidR="00CB582C" w:rsidRDefault="00CB582C" w:rsidP="00CB582C">
      <w:pPr>
        <w:spacing w:after="0" w:line="240" w:lineRule="auto"/>
        <w:rPr>
          <w:rFonts w:ascii="Arial" w:hAnsi="Arial" w:cs="Arial"/>
        </w:rPr>
      </w:pPr>
    </w:p>
    <w:p w:rsidR="00CB582C" w:rsidRDefault="00CB582C" w:rsidP="00CB582C">
      <w:pPr>
        <w:spacing w:after="0" w:line="240" w:lineRule="auto"/>
        <w:rPr>
          <w:rFonts w:ascii="Arial" w:hAnsi="Arial" w:cs="Arial"/>
        </w:rPr>
      </w:pPr>
    </w:p>
    <w:p w:rsidR="00CB582C" w:rsidRDefault="00CB582C" w:rsidP="00CB582C">
      <w:pPr>
        <w:spacing w:after="0" w:line="240" w:lineRule="auto"/>
        <w:rPr>
          <w:rFonts w:ascii="Arial" w:hAnsi="Arial" w:cs="Arial"/>
        </w:rPr>
      </w:pPr>
    </w:p>
    <w:p w:rsidR="00CB582C" w:rsidRDefault="00CB582C" w:rsidP="00CB582C">
      <w:pPr>
        <w:spacing w:after="0" w:line="240" w:lineRule="auto"/>
        <w:rPr>
          <w:rFonts w:ascii="Arial" w:hAnsi="Arial" w:cs="Arial"/>
        </w:rPr>
      </w:pPr>
    </w:p>
    <w:p w:rsidR="00CB582C" w:rsidRDefault="00CB582C" w:rsidP="00CB582C">
      <w:pPr>
        <w:spacing w:after="0" w:line="240" w:lineRule="auto"/>
        <w:rPr>
          <w:rFonts w:ascii="Arial" w:hAnsi="Arial" w:cs="Arial"/>
        </w:rPr>
      </w:pPr>
    </w:p>
    <w:p w:rsidR="00CB582C" w:rsidRDefault="00CB582C" w:rsidP="00CB582C">
      <w:pPr>
        <w:spacing w:after="0" w:line="240" w:lineRule="auto"/>
        <w:rPr>
          <w:rFonts w:ascii="Arial" w:hAnsi="Arial" w:cs="Arial"/>
        </w:rPr>
      </w:pPr>
    </w:p>
    <w:p w:rsidR="00CB582C" w:rsidRDefault="00CB582C" w:rsidP="00CB582C">
      <w:pPr>
        <w:spacing w:after="0" w:line="240" w:lineRule="auto"/>
        <w:rPr>
          <w:rFonts w:ascii="Arial" w:hAnsi="Arial" w:cs="Arial"/>
        </w:rPr>
      </w:pPr>
    </w:p>
    <w:p w:rsidR="00CB582C" w:rsidRDefault="00CB582C" w:rsidP="00CB582C">
      <w:pPr>
        <w:spacing w:after="0" w:line="240" w:lineRule="auto"/>
        <w:rPr>
          <w:rFonts w:ascii="Arial" w:hAnsi="Arial" w:cs="Arial"/>
        </w:rPr>
      </w:pPr>
    </w:p>
    <w:p w:rsidR="00CB582C" w:rsidRDefault="00CB582C" w:rsidP="00CB582C">
      <w:pPr>
        <w:spacing w:after="0" w:line="240" w:lineRule="auto"/>
        <w:rPr>
          <w:rFonts w:ascii="Arial" w:hAnsi="Arial" w:cs="Arial"/>
        </w:rPr>
      </w:pPr>
    </w:p>
    <w:p w:rsidR="00CB582C" w:rsidRDefault="00CB582C" w:rsidP="00CB582C">
      <w:pPr>
        <w:spacing w:after="0" w:line="240" w:lineRule="auto"/>
        <w:rPr>
          <w:rFonts w:ascii="Arial" w:hAnsi="Arial" w:cs="Arial"/>
        </w:rPr>
      </w:pPr>
    </w:p>
    <w:p w:rsidR="00CB582C" w:rsidRDefault="00CB582C" w:rsidP="00CB582C">
      <w:pPr>
        <w:spacing w:after="0" w:line="240" w:lineRule="auto"/>
        <w:rPr>
          <w:rFonts w:ascii="Arial" w:hAnsi="Arial" w:cs="Arial"/>
        </w:rPr>
      </w:pPr>
    </w:p>
    <w:p w:rsidR="00CB582C" w:rsidRDefault="00CB582C" w:rsidP="00CB582C">
      <w:pPr>
        <w:spacing w:after="0" w:line="240" w:lineRule="auto"/>
        <w:rPr>
          <w:rFonts w:ascii="Arial" w:hAnsi="Arial" w:cs="Arial"/>
        </w:rPr>
      </w:pPr>
    </w:p>
    <w:p w:rsidR="00CB582C" w:rsidRDefault="00CB582C" w:rsidP="00CB582C">
      <w:pPr>
        <w:spacing w:after="0" w:line="240" w:lineRule="auto"/>
        <w:rPr>
          <w:rFonts w:ascii="Arial" w:hAnsi="Arial" w:cs="Arial"/>
        </w:rPr>
      </w:pPr>
    </w:p>
    <w:p w:rsidR="00CB582C" w:rsidRDefault="00CB582C" w:rsidP="00CB582C">
      <w:pPr>
        <w:spacing w:after="0" w:line="240" w:lineRule="auto"/>
        <w:rPr>
          <w:rFonts w:ascii="Arial" w:hAnsi="Arial" w:cs="Arial"/>
        </w:rPr>
      </w:pPr>
    </w:p>
    <w:p w:rsidR="00CB582C" w:rsidRDefault="00CB582C" w:rsidP="00CB582C">
      <w:pPr>
        <w:spacing w:after="0" w:line="240" w:lineRule="auto"/>
        <w:rPr>
          <w:rFonts w:ascii="Arial" w:hAnsi="Arial" w:cs="Arial"/>
        </w:rPr>
      </w:pPr>
    </w:p>
    <w:p w:rsidR="00CB582C" w:rsidRDefault="00CB582C" w:rsidP="00CB582C">
      <w:pPr>
        <w:spacing w:after="0" w:line="240" w:lineRule="auto"/>
        <w:rPr>
          <w:rFonts w:ascii="Arial" w:hAnsi="Arial" w:cs="Arial"/>
        </w:rPr>
      </w:pPr>
    </w:p>
    <w:p w:rsidR="00CB582C" w:rsidRDefault="00CB582C" w:rsidP="00CB582C">
      <w:pPr>
        <w:spacing w:after="0" w:line="240" w:lineRule="auto"/>
        <w:rPr>
          <w:rFonts w:ascii="Arial" w:hAnsi="Arial" w:cs="Arial"/>
        </w:rPr>
      </w:pPr>
    </w:p>
    <w:p w:rsidR="000662A2" w:rsidRDefault="000662A2" w:rsidP="00CB582C">
      <w:pPr>
        <w:spacing w:after="0" w:line="240" w:lineRule="auto"/>
        <w:rPr>
          <w:rFonts w:ascii="Arial" w:hAnsi="Arial" w:cs="Arial"/>
        </w:rPr>
        <w:sectPr w:rsidR="000662A2">
          <w:footerReference w:type="default" r:id="rId8"/>
          <w:pgSz w:w="11906" w:h="16838"/>
          <w:pgMar w:top="1440" w:right="1440" w:bottom="1440" w:left="1440" w:header="708" w:footer="708" w:gutter="0"/>
          <w:cols w:space="708"/>
          <w:docGrid w:linePitch="360"/>
        </w:sectPr>
      </w:pPr>
    </w:p>
    <w:p w:rsidR="007949F8" w:rsidRPr="007949F8" w:rsidRDefault="007949F8" w:rsidP="00BC3627">
      <w:pPr>
        <w:spacing w:line="480" w:lineRule="auto"/>
        <w:rPr>
          <w:rFonts w:ascii="Arial" w:hAnsi="Arial" w:cs="Arial"/>
          <w:b/>
        </w:rPr>
      </w:pPr>
      <w:r>
        <w:rPr>
          <w:rFonts w:ascii="Arial" w:hAnsi="Arial" w:cs="Arial"/>
          <w:b/>
        </w:rPr>
        <w:lastRenderedPageBreak/>
        <w:t>Abstract</w:t>
      </w:r>
    </w:p>
    <w:p w:rsidR="007949F8" w:rsidRDefault="00263E47" w:rsidP="00263E47">
      <w:pPr>
        <w:spacing w:line="480" w:lineRule="auto"/>
        <w:rPr>
          <w:rFonts w:ascii="Arial" w:hAnsi="Arial" w:cs="Arial"/>
        </w:rPr>
      </w:pPr>
      <w:r>
        <w:rPr>
          <w:rFonts w:ascii="Arial" w:hAnsi="Arial" w:cs="Arial"/>
        </w:rPr>
        <w:t xml:space="preserve">Pro-inflammatory cytokines </w:t>
      </w:r>
      <w:r w:rsidR="00AC0CF9">
        <w:rPr>
          <w:rFonts w:ascii="Arial" w:hAnsi="Arial" w:cs="Arial"/>
        </w:rPr>
        <w:t>contribute to</w:t>
      </w:r>
      <w:r>
        <w:rPr>
          <w:rFonts w:ascii="Arial" w:hAnsi="Arial" w:cs="Arial"/>
        </w:rPr>
        <w:t xml:space="preserve"> pancreatic beta cell death in the pathogenesis of type 1 diabetes mellitus (DM). Cytochrome</w:t>
      </w:r>
      <w:r w:rsidR="00F07CCF">
        <w:rPr>
          <w:rFonts w:ascii="Arial" w:hAnsi="Arial" w:cs="Arial"/>
        </w:rPr>
        <w:t xml:space="preserve"> </w:t>
      </w:r>
      <w:r w:rsidR="00AC0CF9">
        <w:rPr>
          <w:rFonts w:ascii="Arial" w:hAnsi="Arial" w:cs="Arial"/>
        </w:rPr>
        <w:t>P</w:t>
      </w:r>
      <w:r w:rsidRPr="00263E47">
        <w:rPr>
          <w:rFonts w:ascii="Arial" w:hAnsi="Arial" w:cs="Arial"/>
        </w:rPr>
        <w:t xml:space="preserve">450-derived </w:t>
      </w:r>
      <w:r>
        <w:rPr>
          <w:rFonts w:ascii="Arial" w:hAnsi="Arial" w:cs="Arial"/>
        </w:rPr>
        <w:t>epoxyeicosatrienoic acids (</w:t>
      </w:r>
      <w:r w:rsidRPr="00263E47">
        <w:rPr>
          <w:rFonts w:ascii="Arial" w:hAnsi="Arial" w:cs="Arial"/>
        </w:rPr>
        <w:t>EETs</w:t>
      </w:r>
      <w:r>
        <w:rPr>
          <w:rFonts w:ascii="Arial" w:hAnsi="Arial" w:cs="Arial"/>
        </w:rPr>
        <w:t>), produced by selective epoxidation of arachidonic acid, display</w:t>
      </w:r>
      <w:r w:rsidRPr="00263E47">
        <w:rPr>
          <w:rFonts w:ascii="Arial" w:hAnsi="Arial" w:cs="Arial"/>
        </w:rPr>
        <w:t xml:space="preserve"> anti-inflammatory activity in</w:t>
      </w:r>
      <w:r>
        <w:rPr>
          <w:rFonts w:ascii="Arial" w:hAnsi="Arial" w:cs="Arial"/>
        </w:rPr>
        <w:t xml:space="preserve"> numerous disease models, i</w:t>
      </w:r>
      <w:r w:rsidRPr="00263E47">
        <w:rPr>
          <w:rFonts w:ascii="Arial" w:hAnsi="Arial" w:cs="Arial"/>
        </w:rPr>
        <w:t>n part through inhibition of NF</w:t>
      </w:r>
      <w:r>
        <w:rPr>
          <w:rFonts w:ascii="Arial" w:hAnsi="Arial" w:cs="Arial"/>
        </w:rPr>
        <w:sym w:font="Symbol" w:char="F06B"/>
      </w:r>
      <w:r>
        <w:rPr>
          <w:rFonts w:ascii="Arial" w:hAnsi="Arial" w:cs="Arial"/>
        </w:rPr>
        <w:t>B ac</w:t>
      </w:r>
      <w:r w:rsidRPr="00263E47">
        <w:rPr>
          <w:rFonts w:ascii="Arial" w:hAnsi="Arial" w:cs="Arial"/>
        </w:rPr>
        <w:t>tiv</w:t>
      </w:r>
      <w:r>
        <w:rPr>
          <w:rFonts w:ascii="Arial" w:hAnsi="Arial" w:cs="Arial"/>
        </w:rPr>
        <w:t>ity</w:t>
      </w:r>
      <w:r w:rsidRPr="00263E47">
        <w:rPr>
          <w:rFonts w:ascii="Arial" w:hAnsi="Arial" w:cs="Arial"/>
        </w:rPr>
        <w:t>.</w:t>
      </w:r>
      <w:r>
        <w:rPr>
          <w:rFonts w:ascii="Arial" w:hAnsi="Arial" w:cs="Arial"/>
        </w:rPr>
        <w:t xml:space="preserve"> No studies have directly assessed their roles in cellular models of pancreatic beta cell death and</w:t>
      </w:r>
      <w:r w:rsidRPr="00263E47">
        <w:rPr>
          <w:rFonts w:ascii="Arial" w:hAnsi="Arial" w:cs="Arial"/>
        </w:rPr>
        <w:t xml:space="preserve"> </w:t>
      </w:r>
      <w:r>
        <w:rPr>
          <w:rFonts w:ascii="Arial" w:hAnsi="Arial" w:cs="Arial"/>
        </w:rPr>
        <w:t>t</w:t>
      </w:r>
      <w:r w:rsidRPr="00263E47">
        <w:rPr>
          <w:rFonts w:ascii="Arial" w:hAnsi="Arial" w:cs="Arial"/>
        </w:rPr>
        <w:t>herefore we aimed to investigate the cytoprotective effects of</w:t>
      </w:r>
      <w:r w:rsidR="00AC0CF9">
        <w:rPr>
          <w:rFonts w:ascii="Arial" w:hAnsi="Arial" w:cs="Arial"/>
        </w:rPr>
        <w:t xml:space="preserve"> the</w:t>
      </w:r>
      <w:r w:rsidRPr="00263E47">
        <w:rPr>
          <w:rFonts w:ascii="Arial" w:hAnsi="Arial" w:cs="Arial"/>
        </w:rPr>
        <w:t xml:space="preserve"> EET isomers </w:t>
      </w:r>
      <w:r>
        <w:rPr>
          <w:rFonts w:ascii="Arial" w:hAnsi="Arial" w:cs="Arial"/>
        </w:rPr>
        <w:t xml:space="preserve">8(9)-, 11(12)- and 14(15)-EET </w:t>
      </w:r>
      <w:r w:rsidRPr="00263E47">
        <w:rPr>
          <w:rFonts w:ascii="Arial" w:hAnsi="Arial" w:cs="Arial"/>
        </w:rPr>
        <w:t>and their corresponding vicinal diols</w:t>
      </w:r>
      <w:r w:rsidR="00C0004B">
        <w:rPr>
          <w:rFonts w:ascii="Arial" w:hAnsi="Arial" w:cs="Arial"/>
        </w:rPr>
        <w:t xml:space="preserve"> (dihydroxyeicosatrienoic acids, DHETs)</w:t>
      </w:r>
      <w:r w:rsidRPr="00263E47">
        <w:rPr>
          <w:rFonts w:ascii="Arial" w:hAnsi="Arial" w:cs="Arial"/>
        </w:rPr>
        <w:t xml:space="preserve"> </w:t>
      </w:r>
      <w:r>
        <w:rPr>
          <w:rFonts w:ascii="Arial" w:hAnsi="Arial" w:cs="Arial"/>
        </w:rPr>
        <w:t>in a</w:t>
      </w:r>
      <w:r w:rsidRPr="00263E47">
        <w:rPr>
          <w:rFonts w:ascii="Arial" w:hAnsi="Arial" w:cs="Arial"/>
        </w:rPr>
        <w:t xml:space="preserve"> model of pro-inflammatory cytokine-toxicity</w:t>
      </w:r>
      <w:r>
        <w:rPr>
          <w:rFonts w:ascii="Arial" w:hAnsi="Arial" w:cs="Arial"/>
        </w:rPr>
        <w:t xml:space="preserve"> using the rat pancreatic beta cell line BRIN-BD11</w:t>
      </w:r>
      <w:r w:rsidRPr="00263E47">
        <w:rPr>
          <w:rFonts w:ascii="Arial" w:hAnsi="Arial" w:cs="Arial"/>
        </w:rPr>
        <w:t>.</w:t>
      </w:r>
      <w:r>
        <w:rPr>
          <w:rFonts w:ascii="Arial" w:hAnsi="Arial" w:cs="Arial"/>
        </w:rPr>
        <w:t xml:space="preserve"> Co-treatment of cells with a cocktail of pro-inflammatory cytokines </w:t>
      </w:r>
      <w:r w:rsidR="00C0004B">
        <w:rPr>
          <w:rFonts w:ascii="Arial" w:hAnsi="Arial" w:cs="Arial"/>
        </w:rPr>
        <w:t>(IL-1</w:t>
      </w:r>
      <w:r w:rsidR="00816D76">
        <w:rPr>
          <w:rFonts w:ascii="Arial" w:hAnsi="Arial" w:cs="Arial"/>
        </w:rPr>
        <w:t>β</w:t>
      </w:r>
      <w:r w:rsidR="00C0004B">
        <w:rPr>
          <w:rFonts w:ascii="Arial" w:hAnsi="Arial" w:cs="Arial"/>
        </w:rPr>
        <w:t xml:space="preserve">, IFNγ and TNFα) </w:t>
      </w:r>
      <w:r>
        <w:rPr>
          <w:rFonts w:ascii="Arial" w:hAnsi="Arial" w:cs="Arial"/>
        </w:rPr>
        <w:t xml:space="preserve">caused a marked increase in caspase activation and a reduction in cell viability, effects attenuated by inclusion of each </w:t>
      </w:r>
      <w:r w:rsidR="00816D76">
        <w:rPr>
          <w:rFonts w:ascii="Arial" w:hAnsi="Arial" w:cs="Arial"/>
        </w:rPr>
        <w:t>EET;</w:t>
      </w:r>
      <w:r w:rsidR="00C0004B">
        <w:rPr>
          <w:rFonts w:ascii="Arial" w:hAnsi="Arial" w:cs="Arial"/>
        </w:rPr>
        <w:t xml:space="preserve"> this was also </w:t>
      </w:r>
      <w:r>
        <w:rPr>
          <w:rFonts w:ascii="Arial" w:hAnsi="Arial" w:cs="Arial"/>
        </w:rPr>
        <w:t>associated with a reduction in cytokine-induced NF</w:t>
      </w:r>
      <w:r>
        <w:rPr>
          <w:rFonts w:ascii="Arial" w:hAnsi="Arial" w:cs="Arial"/>
        </w:rPr>
        <w:sym w:font="Symbol" w:char="F06B"/>
      </w:r>
      <w:r>
        <w:rPr>
          <w:rFonts w:ascii="Arial" w:hAnsi="Arial" w:cs="Arial"/>
        </w:rPr>
        <w:t>B activation and nitrite accumulation. Surprisingly, of the DHET derivatives of EETs</w:t>
      </w:r>
      <w:r w:rsidR="00C0004B">
        <w:rPr>
          <w:rFonts w:ascii="Arial" w:hAnsi="Arial" w:cs="Arial"/>
        </w:rPr>
        <w:t>,</w:t>
      </w:r>
      <w:r>
        <w:rPr>
          <w:rFonts w:ascii="Arial" w:hAnsi="Arial" w:cs="Arial"/>
        </w:rPr>
        <w:t xml:space="preserve"> </w:t>
      </w:r>
      <w:r w:rsidR="00C0004B">
        <w:rPr>
          <w:rFonts w:ascii="Arial" w:hAnsi="Arial" w:cs="Arial"/>
        </w:rPr>
        <w:t>8(9)-DHET conferred similar protective effects against cytokine-induced caspase activation</w:t>
      </w:r>
      <w:r w:rsidR="00A47E76">
        <w:rPr>
          <w:rFonts w:ascii="Arial" w:hAnsi="Arial" w:cs="Arial"/>
        </w:rPr>
        <w:t xml:space="preserve">. </w:t>
      </w:r>
      <w:r w:rsidR="007518FC">
        <w:rPr>
          <w:rFonts w:ascii="Arial" w:hAnsi="Arial" w:cs="Arial"/>
        </w:rPr>
        <w:t xml:space="preserve">This data therefore </w:t>
      </w:r>
      <w:r w:rsidRPr="00263E47">
        <w:rPr>
          <w:rFonts w:ascii="Arial" w:hAnsi="Arial" w:cs="Arial"/>
        </w:rPr>
        <w:t xml:space="preserve">highlights a </w:t>
      </w:r>
      <w:r w:rsidR="007518FC">
        <w:rPr>
          <w:rFonts w:ascii="Arial" w:hAnsi="Arial" w:cs="Arial"/>
        </w:rPr>
        <w:t>novel</w:t>
      </w:r>
      <w:r w:rsidRPr="00263E47">
        <w:rPr>
          <w:rFonts w:ascii="Arial" w:hAnsi="Arial" w:cs="Arial"/>
        </w:rPr>
        <w:t xml:space="preserve"> role of EETs </w:t>
      </w:r>
      <w:r w:rsidR="007518FC">
        <w:rPr>
          <w:rFonts w:ascii="Arial" w:hAnsi="Arial" w:cs="Arial"/>
        </w:rPr>
        <w:t>and</w:t>
      </w:r>
      <w:r w:rsidR="00AC0CF9">
        <w:rPr>
          <w:rFonts w:ascii="Arial" w:hAnsi="Arial" w:cs="Arial"/>
        </w:rPr>
        <w:t xml:space="preserve"> a surprising activity</w:t>
      </w:r>
      <w:r w:rsidR="00F07CCF">
        <w:rPr>
          <w:rFonts w:ascii="Arial" w:hAnsi="Arial" w:cs="Arial"/>
        </w:rPr>
        <w:t xml:space="preserve"> of</w:t>
      </w:r>
      <w:r w:rsidR="007518FC">
        <w:rPr>
          <w:rFonts w:ascii="Arial" w:hAnsi="Arial" w:cs="Arial"/>
        </w:rPr>
        <w:t xml:space="preserve"> 8(9)-DHET </w:t>
      </w:r>
      <w:r w:rsidRPr="00263E47">
        <w:rPr>
          <w:rFonts w:ascii="Arial" w:hAnsi="Arial" w:cs="Arial"/>
        </w:rPr>
        <w:t>in attenuating cytokine-toxicity in</w:t>
      </w:r>
      <w:r w:rsidR="007518FC">
        <w:rPr>
          <w:rFonts w:ascii="Arial" w:hAnsi="Arial" w:cs="Arial"/>
        </w:rPr>
        <w:t xml:space="preserve"> </w:t>
      </w:r>
      <w:r w:rsidR="00816D76">
        <w:rPr>
          <w:rFonts w:ascii="Arial" w:hAnsi="Arial" w:cs="Arial"/>
        </w:rPr>
        <w:t>pancreatic beta cells.</w:t>
      </w:r>
    </w:p>
    <w:p w:rsidR="003206C4" w:rsidRDefault="001367FD" w:rsidP="00263E47">
      <w:pPr>
        <w:spacing w:line="480" w:lineRule="auto"/>
        <w:rPr>
          <w:rFonts w:ascii="Arial" w:hAnsi="Arial" w:cs="Arial"/>
        </w:rPr>
      </w:pPr>
      <w:r>
        <w:rPr>
          <w:rFonts w:ascii="Arial" w:hAnsi="Arial" w:cs="Arial"/>
          <w:b/>
        </w:rPr>
        <w:t>Keywords</w:t>
      </w:r>
      <w:r w:rsidR="00612C64">
        <w:rPr>
          <w:rFonts w:ascii="Arial" w:hAnsi="Arial" w:cs="Arial"/>
          <w:b/>
        </w:rPr>
        <w:t xml:space="preserve">: </w:t>
      </w:r>
      <w:r>
        <w:rPr>
          <w:rFonts w:ascii="Arial" w:hAnsi="Arial" w:cs="Arial"/>
        </w:rPr>
        <w:t xml:space="preserve">Epoxyeicosatrienoic acids, </w:t>
      </w:r>
      <w:r w:rsidR="003206C4">
        <w:rPr>
          <w:rFonts w:ascii="Arial" w:hAnsi="Arial" w:cs="Arial"/>
        </w:rPr>
        <w:t xml:space="preserve">EETs, </w:t>
      </w:r>
      <w:r w:rsidR="008616F8">
        <w:rPr>
          <w:rFonts w:ascii="Arial" w:hAnsi="Arial" w:cs="Arial"/>
        </w:rPr>
        <w:t xml:space="preserve">dihydroxyeicosatrienoic acids, </w:t>
      </w:r>
      <w:r>
        <w:rPr>
          <w:rFonts w:ascii="Arial" w:hAnsi="Arial" w:cs="Arial"/>
        </w:rPr>
        <w:t xml:space="preserve">cytokines, </w:t>
      </w:r>
      <w:r w:rsidR="003206C4">
        <w:rPr>
          <w:rFonts w:ascii="Arial" w:hAnsi="Arial" w:cs="Arial"/>
        </w:rPr>
        <w:t>diabetes, beta cells</w:t>
      </w:r>
    </w:p>
    <w:p w:rsidR="008616F8" w:rsidRDefault="008616F8" w:rsidP="00263E47">
      <w:pPr>
        <w:spacing w:line="480" w:lineRule="auto"/>
        <w:rPr>
          <w:rFonts w:ascii="Arial" w:hAnsi="Arial" w:cs="Arial"/>
        </w:rPr>
      </w:pPr>
      <w:r>
        <w:rPr>
          <w:rFonts w:ascii="Arial" w:hAnsi="Arial" w:cs="Arial"/>
          <w:b/>
        </w:rPr>
        <w:t>Abbreviations</w:t>
      </w:r>
      <w:r w:rsidR="00612C64">
        <w:rPr>
          <w:rFonts w:ascii="Arial" w:hAnsi="Arial" w:cs="Arial"/>
          <w:b/>
        </w:rPr>
        <w:t xml:space="preserve">: </w:t>
      </w:r>
      <w:r>
        <w:rPr>
          <w:rFonts w:ascii="Arial" w:hAnsi="Arial" w:cs="Arial"/>
        </w:rPr>
        <w:t>Epoxyeicosatrienoic acid (EET), dihydroxyeicosatrienoic acid (DHET), cytochrome</w:t>
      </w:r>
      <w:r w:rsidR="00F07CCF">
        <w:rPr>
          <w:rFonts w:ascii="Arial" w:hAnsi="Arial" w:cs="Arial"/>
        </w:rPr>
        <w:t xml:space="preserve"> </w:t>
      </w:r>
      <w:r>
        <w:rPr>
          <w:rFonts w:ascii="Arial" w:hAnsi="Arial" w:cs="Arial"/>
        </w:rPr>
        <w:t>P450 (CYP450), soluble epoxide hydrolase (sEH), peroxisome-proliferator-activated-</w:t>
      </w:r>
      <w:r w:rsidRPr="008616F8">
        <w:rPr>
          <w:rFonts w:ascii="Arial" w:hAnsi="Arial" w:cs="Arial"/>
        </w:rPr>
        <w:t>receptor-gamma</w:t>
      </w:r>
      <w:r>
        <w:rPr>
          <w:rFonts w:ascii="Arial" w:hAnsi="Arial" w:cs="Arial"/>
        </w:rPr>
        <w:t xml:space="preserve"> (PPARγ), nuclear factor kappa B (NF</w:t>
      </w:r>
      <w:r>
        <w:rPr>
          <w:rFonts w:ascii="Arial" w:hAnsi="Arial" w:cs="Arial"/>
        </w:rPr>
        <w:sym w:font="Symbol" w:char="F06B"/>
      </w:r>
      <w:r>
        <w:rPr>
          <w:rFonts w:ascii="Arial" w:hAnsi="Arial" w:cs="Arial"/>
        </w:rPr>
        <w:t>B).</w:t>
      </w:r>
    </w:p>
    <w:p w:rsidR="00612C64" w:rsidRDefault="00612C64" w:rsidP="00263E47">
      <w:pPr>
        <w:spacing w:line="480" w:lineRule="auto"/>
        <w:rPr>
          <w:rFonts w:ascii="Arial" w:hAnsi="Arial" w:cs="Arial"/>
        </w:rPr>
      </w:pPr>
    </w:p>
    <w:p w:rsidR="000662A2" w:rsidRDefault="000662A2" w:rsidP="00263E47">
      <w:pPr>
        <w:spacing w:line="480" w:lineRule="auto"/>
        <w:rPr>
          <w:rFonts w:ascii="Arial" w:hAnsi="Arial" w:cs="Arial"/>
        </w:rPr>
      </w:pPr>
    </w:p>
    <w:p w:rsidR="00F07CCF" w:rsidRDefault="00F07CCF" w:rsidP="00263E47">
      <w:pPr>
        <w:spacing w:line="480" w:lineRule="auto"/>
        <w:rPr>
          <w:rFonts w:ascii="Arial" w:hAnsi="Arial" w:cs="Arial"/>
        </w:rPr>
      </w:pPr>
    </w:p>
    <w:p w:rsidR="000662A2" w:rsidRDefault="000662A2" w:rsidP="00263E47">
      <w:pPr>
        <w:spacing w:line="480" w:lineRule="auto"/>
        <w:rPr>
          <w:rFonts w:ascii="Arial" w:hAnsi="Arial" w:cs="Arial"/>
        </w:rPr>
      </w:pPr>
    </w:p>
    <w:p w:rsidR="007949F8" w:rsidRPr="007949F8" w:rsidRDefault="00DC77AC" w:rsidP="00BC3627">
      <w:pPr>
        <w:spacing w:line="480" w:lineRule="auto"/>
        <w:rPr>
          <w:rFonts w:ascii="Arial" w:hAnsi="Arial" w:cs="Arial"/>
          <w:b/>
        </w:rPr>
      </w:pPr>
      <w:r>
        <w:rPr>
          <w:rFonts w:ascii="Arial" w:hAnsi="Arial" w:cs="Arial"/>
          <w:b/>
        </w:rPr>
        <w:lastRenderedPageBreak/>
        <w:t>I</w:t>
      </w:r>
      <w:r w:rsidR="007949F8">
        <w:rPr>
          <w:rFonts w:ascii="Arial" w:hAnsi="Arial" w:cs="Arial"/>
          <w:b/>
        </w:rPr>
        <w:t>ntroduction</w:t>
      </w:r>
    </w:p>
    <w:p w:rsidR="00923812" w:rsidRDefault="00E07BAA" w:rsidP="00BC3627">
      <w:pPr>
        <w:spacing w:line="480" w:lineRule="auto"/>
        <w:rPr>
          <w:rFonts w:ascii="Arial" w:hAnsi="Arial" w:cs="Arial"/>
        </w:rPr>
      </w:pPr>
      <w:r>
        <w:rPr>
          <w:rFonts w:ascii="Arial" w:hAnsi="Arial" w:cs="Arial"/>
        </w:rPr>
        <w:t>The pro-inflammatory cytokines interleukin-1 beta (IL-1</w:t>
      </w:r>
      <w:r w:rsidR="007C42D4">
        <w:rPr>
          <w:rFonts w:ascii="Arial" w:hAnsi="Arial" w:cs="Arial"/>
        </w:rPr>
        <w:t>β</w:t>
      </w:r>
      <w:r>
        <w:rPr>
          <w:rFonts w:ascii="Arial" w:hAnsi="Arial" w:cs="Arial"/>
        </w:rPr>
        <w:t>), interferon gamma (IFN</w:t>
      </w:r>
      <w:r w:rsidR="007C42D4">
        <w:rPr>
          <w:rFonts w:ascii="Arial" w:hAnsi="Arial" w:cs="Arial"/>
        </w:rPr>
        <w:t>γ</w:t>
      </w:r>
      <w:r>
        <w:rPr>
          <w:rFonts w:ascii="Arial" w:hAnsi="Arial" w:cs="Arial"/>
        </w:rPr>
        <w:t>) and tumour necrosis factor alpha (TNF</w:t>
      </w:r>
      <w:r w:rsidR="007C42D4">
        <w:rPr>
          <w:rFonts w:ascii="Arial" w:hAnsi="Arial" w:cs="Arial"/>
        </w:rPr>
        <w:t>α</w:t>
      </w:r>
      <w:r>
        <w:rPr>
          <w:rFonts w:ascii="Arial" w:hAnsi="Arial" w:cs="Arial"/>
        </w:rPr>
        <w:t xml:space="preserve">) </w:t>
      </w:r>
      <w:r w:rsidR="00AC0CF9">
        <w:rPr>
          <w:rFonts w:ascii="Arial" w:hAnsi="Arial" w:cs="Arial"/>
        </w:rPr>
        <w:t>contribute to</w:t>
      </w:r>
      <w:r w:rsidR="00B075A3">
        <w:rPr>
          <w:rFonts w:ascii="Arial" w:hAnsi="Arial" w:cs="Arial"/>
        </w:rPr>
        <w:t xml:space="preserve"> pancreatic</w:t>
      </w:r>
      <w:r>
        <w:rPr>
          <w:rFonts w:ascii="Arial" w:hAnsi="Arial" w:cs="Arial"/>
        </w:rPr>
        <w:t xml:space="preserve"> beta cell death and dysfunction in the pathogenesis of type 1 diabetes mellitus (DM). </w:t>
      </w:r>
      <w:r w:rsidR="004E3B7E">
        <w:rPr>
          <w:rFonts w:ascii="Arial" w:hAnsi="Arial" w:cs="Arial"/>
        </w:rPr>
        <w:t>Exposure of pancreatic beta cells to these cytokines initiates an inflammatory intracellular signalling cascade, in part mediated by the downstream activation of nuclear factor kappa B (NF</w:t>
      </w:r>
      <w:r w:rsidR="004E3B7E">
        <w:rPr>
          <w:rFonts w:ascii="Arial" w:hAnsi="Arial" w:cs="Arial"/>
        </w:rPr>
        <w:sym w:font="Symbol" w:char="F06B"/>
      </w:r>
      <w:r w:rsidR="004E3B7E">
        <w:rPr>
          <w:rFonts w:ascii="Arial" w:hAnsi="Arial" w:cs="Arial"/>
        </w:rPr>
        <w:t>B), mitogen-activated protein kinases (MAPK) and the JAK/STAT pathway</w:t>
      </w:r>
      <w:r w:rsidR="00965B4F">
        <w:rPr>
          <w:rFonts w:ascii="Arial" w:hAnsi="Arial" w:cs="Arial"/>
        </w:rPr>
        <w:t xml:space="preserve"> [1]</w:t>
      </w:r>
      <w:r w:rsidR="004E3B7E">
        <w:rPr>
          <w:rFonts w:ascii="Arial" w:hAnsi="Arial" w:cs="Arial"/>
        </w:rPr>
        <w:t xml:space="preserve">. </w:t>
      </w:r>
      <w:r>
        <w:rPr>
          <w:rFonts w:ascii="Arial" w:hAnsi="Arial" w:cs="Arial"/>
        </w:rPr>
        <w:t xml:space="preserve">Aberrant activation of these pathways </w:t>
      </w:r>
      <w:r w:rsidR="006F2A85">
        <w:rPr>
          <w:rFonts w:ascii="Arial" w:hAnsi="Arial" w:cs="Arial"/>
        </w:rPr>
        <w:t>is</w:t>
      </w:r>
      <w:r>
        <w:rPr>
          <w:rFonts w:ascii="Arial" w:hAnsi="Arial" w:cs="Arial"/>
        </w:rPr>
        <w:t xml:space="preserve"> associated with the perturbation of multiple regulatory gene </w:t>
      </w:r>
      <w:r w:rsidR="009834E6">
        <w:rPr>
          <w:rFonts w:ascii="Arial" w:hAnsi="Arial" w:cs="Arial"/>
        </w:rPr>
        <w:t>networks</w:t>
      </w:r>
      <w:r>
        <w:rPr>
          <w:rFonts w:ascii="Arial" w:hAnsi="Arial" w:cs="Arial"/>
        </w:rPr>
        <w:t>, including those responsible for increased nitrosative and oxidative stress, activation of an endoplasmic reticulum stress response and reduced beta cell function</w:t>
      </w:r>
      <w:r w:rsidR="009834E6">
        <w:rPr>
          <w:rFonts w:ascii="Arial" w:hAnsi="Arial" w:cs="Arial"/>
        </w:rPr>
        <w:t>,</w:t>
      </w:r>
      <w:r>
        <w:rPr>
          <w:rFonts w:ascii="Arial" w:hAnsi="Arial" w:cs="Arial"/>
        </w:rPr>
        <w:t xml:space="preserve"> culminating in beta cell apoptosis</w:t>
      </w:r>
      <w:r w:rsidR="00F71726">
        <w:rPr>
          <w:rFonts w:ascii="Arial" w:hAnsi="Arial" w:cs="Arial"/>
        </w:rPr>
        <w:t xml:space="preserve"> [1,2].</w:t>
      </w:r>
      <w:r>
        <w:rPr>
          <w:rFonts w:ascii="Arial" w:hAnsi="Arial" w:cs="Arial"/>
        </w:rPr>
        <w:t xml:space="preserve"> </w:t>
      </w:r>
    </w:p>
    <w:p w:rsidR="002C362A" w:rsidRDefault="009834E6" w:rsidP="00BC3627">
      <w:pPr>
        <w:spacing w:line="480" w:lineRule="auto"/>
        <w:rPr>
          <w:rFonts w:ascii="Arial" w:hAnsi="Arial" w:cs="Arial"/>
        </w:rPr>
      </w:pPr>
      <w:r>
        <w:rPr>
          <w:rFonts w:ascii="Arial" w:hAnsi="Arial" w:cs="Arial"/>
        </w:rPr>
        <w:t>Growing evidence suggest</w:t>
      </w:r>
      <w:r w:rsidR="00816D76">
        <w:rPr>
          <w:rFonts w:ascii="Arial" w:hAnsi="Arial" w:cs="Arial"/>
        </w:rPr>
        <w:t>s</w:t>
      </w:r>
      <w:r>
        <w:rPr>
          <w:rFonts w:ascii="Arial" w:hAnsi="Arial" w:cs="Arial"/>
        </w:rPr>
        <w:t xml:space="preserve"> an important anti-inflammatory action of epoxyeicosatrienoic acids (EETs) in various </w:t>
      </w:r>
      <w:r w:rsidR="00A14711">
        <w:rPr>
          <w:rFonts w:ascii="Arial" w:hAnsi="Arial" w:cs="Arial"/>
        </w:rPr>
        <w:t>disease</w:t>
      </w:r>
      <w:r>
        <w:rPr>
          <w:rFonts w:ascii="Arial" w:hAnsi="Arial" w:cs="Arial"/>
        </w:rPr>
        <w:t xml:space="preserve"> models, including hypertension, cardiac dysfunction, </w:t>
      </w:r>
      <w:r w:rsidR="00A14711">
        <w:rPr>
          <w:rFonts w:ascii="Arial" w:hAnsi="Arial" w:cs="Arial"/>
        </w:rPr>
        <w:t xml:space="preserve">stroke, </w:t>
      </w:r>
      <w:r>
        <w:rPr>
          <w:rFonts w:ascii="Arial" w:hAnsi="Arial" w:cs="Arial"/>
        </w:rPr>
        <w:t xml:space="preserve">and hepatic dysfunction in models of inflammation and insulin resistance in </w:t>
      </w:r>
      <w:r w:rsidR="00A14711">
        <w:rPr>
          <w:rFonts w:ascii="Arial" w:hAnsi="Arial" w:cs="Arial"/>
        </w:rPr>
        <w:t>DM and diet-induced ER stress</w:t>
      </w:r>
      <w:r w:rsidR="00F71726">
        <w:rPr>
          <w:rFonts w:ascii="Arial" w:hAnsi="Arial" w:cs="Arial"/>
        </w:rPr>
        <w:t xml:space="preserve"> [3,4,5]</w:t>
      </w:r>
      <w:r w:rsidR="00A14711">
        <w:rPr>
          <w:rFonts w:ascii="Arial" w:hAnsi="Arial" w:cs="Arial"/>
        </w:rPr>
        <w:t>. EETs are produced by the action</w:t>
      </w:r>
      <w:r w:rsidR="006F2A85">
        <w:rPr>
          <w:rFonts w:ascii="Arial" w:hAnsi="Arial" w:cs="Arial"/>
        </w:rPr>
        <w:t xml:space="preserve"> of cytochrome P450</w:t>
      </w:r>
      <w:r w:rsidR="00E1256E">
        <w:rPr>
          <w:rFonts w:ascii="Arial" w:hAnsi="Arial" w:cs="Arial"/>
        </w:rPr>
        <w:t xml:space="preserve"> (CYP450)</w:t>
      </w:r>
      <w:r w:rsidR="006F2A85">
        <w:rPr>
          <w:rFonts w:ascii="Arial" w:hAnsi="Arial" w:cs="Arial"/>
        </w:rPr>
        <w:t xml:space="preserve"> epoxygenase</w:t>
      </w:r>
      <w:r w:rsidR="00A14711">
        <w:rPr>
          <w:rFonts w:ascii="Arial" w:hAnsi="Arial" w:cs="Arial"/>
        </w:rPr>
        <w:t xml:space="preserve"> 2J- and 2C- isoforms on arachidonic acid (AA), yielding fo</w:t>
      </w:r>
      <w:r w:rsidR="00A528F4">
        <w:rPr>
          <w:rFonts w:ascii="Arial" w:hAnsi="Arial" w:cs="Arial"/>
        </w:rPr>
        <w:t xml:space="preserve">ur EET </w:t>
      </w:r>
      <w:r w:rsidR="00092F62">
        <w:rPr>
          <w:rFonts w:ascii="Arial" w:hAnsi="Arial" w:cs="Arial"/>
        </w:rPr>
        <w:t>isomers; 5(</w:t>
      </w:r>
      <w:r w:rsidR="00A14711">
        <w:rPr>
          <w:rFonts w:ascii="Arial" w:hAnsi="Arial" w:cs="Arial"/>
        </w:rPr>
        <w:t>6</w:t>
      </w:r>
      <w:r w:rsidR="00092F62">
        <w:rPr>
          <w:rFonts w:ascii="Arial" w:hAnsi="Arial" w:cs="Arial"/>
        </w:rPr>
        <w:t>)</w:t>
      </w:r>
      <w:r w:rsidR="00A14711">
        <w:rPr>
          <w:rFonts w:ascii="Arial" w:hAnsi="Arial" w:cs="Arial"/>
        </w:rPr>
        <w:t>-EET, 8</w:t>
      </w:r>
      <w:r w:rsidR="00092F62">
        <w:rPr>
          <w:rFonts w:ascii="Arial" w:hAnsi="Arial" w:cs="Arial"/>
        </w:rPr>
        <w:t>(</w:t>
      </w:r>
      <w:r w:rsidR="00A14711">
        <w:rPr>
          <w:rFonts w:ascii="Arial" w:hAnsi="Arial" w:cs="Arial"/>
        </w:rPr>
        <w:t>9</w:t>
      </w:r>
      <w:r w:rsidR="00092F62">
        <w:rPr>
          <w:rFonts w:ascii="Arial" w:hAnsi="Arial" w:cs="Arial"/>
        </w:rPr>
        <w:t>)-EET, 11(</w:t>
      </w:r>
      <w:r w:rsidR="00A14711">
        <w:rPr>
          <w:rFonts w:ascii="Arial" w:hAnsi="Arial" w:cs="Arial"/>
        </w:rPr>
        <w:t>12</w:t>
      </w:r>
      <w:r w:rsidR="00092F62">
        <w:rPr>
          <w:rFonts w:ascii="Arial" w:hAnsi="Arial" w:cs="Arial"/>
        </w:rPr>
        <w:t>)</w:t>
      </w:r>
      <w:r w:rsidR="00A14711">
        <w:rPr>
          <w:rFonts w:ascii="Arial" w:hAnsi="Arial" w:cs="Arial"/>
        </w:rPr>
        <w:t>-EET and 14</w:t>
      </w:r>
      <w:r w:rsidR="00092F62">
        <w:rPr>
          <w:rFonts w:ascii="Arial" w:hAnsi="Arial" w:cs="Arial"/>
        </w:rPr>
        <w:t>(</w:t>
      </w:r>
      <w:r w:rsidR="00A14711">
        <w:rPr>
          <w:rFonts w:ascii="Arial" w:hAnsi="Arial" w:cs="Arial"/>
        </w:rPr>
        <w:t>15</w:t>
      </w:r>
      <w:r w:rsidR="00092F62">
        <w:rPr>
          <w:rFonts w:ascii="Arial" w:hAnsi="Arial" w:cs="Arial"/>
        </w:rPr>
        <w:t>)</w:t>
      </w:r>
      <w:r w:rsidR="00A14711">
        <w:rPr>
          <w:rFonts w:ascii="Arial" w:hAnsi="Arial" w:cs="Arial"/>
        </w:rPr>
        <w:t>-EET, with</w:t>
      </w:r>
      <w:r w:rsidR="00816D76">
        <w:rPr>
          <w:rFonts w:ascii="Arial" w:hAnsi="Arial" w:cs="Arial"/>
        </w:rPr>
        <w:t xml:space="preserve"> two enantiomers of each</w:t>
      </w:r>
      <w:r w:rsidR="00E74DAF">
        <w:rPr>
          <w:rFonts w:ascii="Arial" w:hAnsi="Arial" w:cs="Arial"/>
        </w:rPr>
        <w:t xml:space="preserve"> [6]</w:t>
      </w:r>
      <w:r w:rsidR="00A14711">
        <w:rPr>
          <w:rFonts w:ascii="Arial" w:hAnsi="Arial" w:cs="Arial"/>
        </w:rPr>
        <w:t xml:space="preserve">. </w:t>
      </w:r>
      <w:r w:rsidR="002C362A">
        <w:rPr>
          <w:rFonts w:ascii="Arial" w:hAnsi="Arial" w:cs="Arial"/>
        </w:rPr>
        <w:t>The major route for further EET metabolism is their conversion to less active vicinal diols by soluble epoxide hydrolase (sEH), yielding the corresponding dihydroxyeicosatrienoic acid</w:t>
      </w:r>
      <w:r w:rsidR="00F07CCF">
        <w:rPr>
          <w:rFonts w:ascii="Arial" w:hAnsi="Arial" w:cs="Arial"/>
        </w:rPr>
        <w:t>s</w:t>
      </w:r>
      <w:r w:rsidR="002C362A">
        <w:rPr>
          <w:rFonts w:ascii="Arial" w:hAnsi="Arial" w:cs="Arial"/>
        </w:rPr>
        <w:t xml:space="preserve"> (DHETs), with sEH inhibitors being explored for their beneficial effects on vascular tone and cardioprotective </w:t>
      </w:r>
      <w:r w:rsidR="00965B4F">
        <w:rPr>
          <w:rFonts w:ascii="Arial" w:hAnsi="Arial" w:cs="Arial"/>
        </w:rPr>
        <w:t>activity</w:t>
      </w:r>
      <w:r w:rsidR="002C362A">
        <w:rPr>
          <w:rFonts w:ascii="Arial" w:hAnsi="Arial" w:cs="Arial"/>
        </w:rPr>
        <w:t xml:space="preserve"> in models of cardiovascular disease</w:t>
      </w:r>
      <w:r w:rsidR="00E74DAF">
        <w:rPr>
          <w:rFonts w:ascii="Arial" w:hAnsi="Arial" w:cs="Arial"/>
        </w:rPr>
        <w:t xml:space="preserve"> [7,8]</w:t>
      </w:r>
      <w:r w:rsidR="00F07CCF">
        <w:rPr>
          <w:rFonts w:ascii="Arial" w:hAnsi="Arial" w:cs="Arial"/>
        </w:rPr>
        <w:t>.</w:t>
      </w:r>
      <w:r w:rsidR="002C362A">
        <w:rPr>
          <w:rFonts w:ascii="Arial" w:hAnsi="Arial" w:cs="Arial"/>
        </w:rPr>
        <w:t xml:space="preserve"> </w:t>
      </w:r>
    </w:p>
    <w:p w:rsidR="007D452F" w:rsidRDefault="002C362A" w:rsidP="00BC3627">
      <w:pPr>
        <w:spacing w:line="480" w:lineRule="auto"/>
        <w:rPr>
          <w:rFonts w:ascii="Arial" w:hAnsi="Arial" w:cs="Arial"/>
        </w:rPr>
      </w:pPr>
      <w:r>
        <w:rPr>
          <w:rFonts w:ascii="Arial" w:hAnsi="Arial" w:cs="Arial"/>
        </w:rPr>
        <w:t>M</w:t>
      </w:r>
      <w:r w:rsidR="00274F9D">
        <w:rPr>
          <w:rFonts w:ascii="Arial" w:hAnsi="Arial" w:cs="Arial"/>
        </w:rPr>
        <w:t>echanisms by which EETs exert their biological activity are not fully defined, though activation of peroxisome proliferator-activated receptor gamma (PPARγ) by EETs is well-established [7,</w:t>
      </w:r>
      <w:r w:rsidR="00E74DAF">
        <w:rPr>
          <w:rFonts w:ascii="Arial" w:hAnsi="Arial" w:cs="Arial"/>
        </w:rPr>
        <w:t>9</w:t>
      </w:r>
      <w:r w:rsidR="00274F9D">
        <w:rPr>
          <w:rFonts w:ascii="Arial" w:hAnsi="Arial" w:cs="Arial"/>
        </w:rPr>
        <w:t>]. Alternatively, EETs are thought to signal in part through a putative extracellular G-protein coupled receptor (GPCR) and whilst several studies have supported a role for GPCR signalling in mediating EET action via G</w:t>
      </w:r>
      <w:r w:rsidR="00274F9D" w:rsidRPr="00A47E76">
        <w:rPr>
          <w:rFonts w:ascii="Arial" w:hAnsi="Arial" w:cs="Arial"/>
          <w:vertAlign w:val="subscript"/>
        </w:rPr>
        <w:t>αs</w:t>
      </w:r>
      <w:r w:rsidR="00274F9D">
        <w:rPr>
          <w:rFonts w:ascii="Arial" w:hAnsi="Arial" w:cs="Arial"/>
        </w:rPr>
        <w:t xml:space="preserve">-coupled signalling pathways </w:t>
      </w:r>
      <w:r w:rsidR="00E74DAF">
        <w:rPr>
          <w:rFonts w:ascii="Arial" w:hAnsi="Arial" w:cs="Arial"/>
        </w:rPr>
        <w:lastRenderedPageBreak/>
        <w:t>[</w:t>
      </w:r>
      <w:r w:rsidR="00274F9D">
        <w:rPr>
          <w:rFonts w:ascii="Arial" w:hAnsi="Arial" w:cs="Arial"/>
        </w:rPr>
        <w:t>10,11</w:t>
      </w:r>
      <w:r w:rsidR="00E74DAF">
        <w:rPr>
          <w:rFonts w:ascii="Arial" w:hAnsi="Arial" w:cs="Arial"/>
        </w:rPr>
        <w:t>,12</w:t>
      </w:r>
      <w:r w:rsidR="00274F9D">
        <w:rPr>
          <w:rFonts w:ascii="Arial" w:hAnsi="Arial" w:cs="Arial"/>
        </w:rPr>
        <w:t>], the molecular identification and characterisation of any such receptor remains elusive</w:t>
      </w:r>
      <w:r w:rsidR="00274F9D">
        <w:rPr>
          <w:rFonts w:ascii="Arial" w:hAnsi="Arial" w:cs="Arial"/>
          <w:b/>
          <w:i/>
        </w:rPr>
        <w:t>.</w:t>
      </w:r>
      <w:r w:rsidR="00274F9D" w:rsidRPr="00274F9D">
        <w:rPr>
          <w:rFonts w:ascii="Arial" w:hAnsi="Arial" w:cs="Arial"/>
        </w:rPr>
        <w:t xml:space="preserve"> </w:t>
      </w:r>
      <w:r w:rsidR="00274F9D">
        <w:rPr>
          <w:rFonts w:ascii="Arial" w:hAnsi="Arial" w:cs="Arial"/>
        </w:rPr>
        <w:t>Nonetheless, anti-inflammatory actions of EETs as PPARγ agonists have been linked to reduced NF</w:t>
      </w:r>
      <w:r w:rsidR="00274F9D">
        <w:rPr>
          <w:rFonts w:ascii="Arial" w:hAnsi="Arial" w:cs="Arial"/>
        </w:rPr>
        <w:sym w:font="Symbol" w:char="F06B"/>
      </w:r>
      <w:r w:rsidR="00475C09">
        <w:rPr>
          <w:rFonts w:ascii="Arial" w:hAnsi="Arial" w:cs="Arial"/>
        </w:rPr>
        <w:t>B activity</w:t>
      </w:r>
      <w:r w:rsidR="00274F9D">
        <w:rPr>
          <w:rFonts w:ascii="Arial" w:hAnsi="Arial" w:cs="Arial"/>
        </w:rPr>
        <w:t xml:space="preserve"> in several models, includi</w:t>
      </w:r>
      <w:r w:rsidR="00E74DAF">
        <w:rPr>
          <w:rFonts w:ascii="Arial" w:hAnsi="Arial" w:cs="Arial"/>
        </w:rPr>
        <w:t>ng vascular endothelial cells [9</w:t>
      </w:r>
      <w:r w:rsidR="00274F9D">
        <w:rPr>
          <w:rFonts w:ascii="Arial" w:hAnsi="Arial" w:cs="Arial"/>
        </w:rPr>
        <w:t>]</w:t>
      </w:r>
      <w:r w:rsidR="00D05487">
        <w:rPr>
          <w:rFonts w:ascii="Arial" w:hAnsi="Arial" w:cs="Arial"/>
        </w:rPr>
        <w:t xml:space="preserve">, </w:t>
      </w:r>
      <w:r w:rsidR="00D05487" w:rsidRPr="00D05487">
        <w:rPr>
          <w:rFonts w:ascii="Arial" w:hAnsi="Arial" w:cs="Arial"/>
        </w:rPr>
        <w:t xml:space="preserve">with </w:t>
      </w:r>
      <w:r w:rsidR="00D05487">
        <w:rPr>
          <w:rFonts w:ascii="Arial" w:hAnsi="Arial" w:cs="Arial"/>
        </w:rPr>
        <w:t xml:space="preserve">earlier </w:t>
      </w:r>
      <w:r w:rsidR="00D05487" w:rsidRPr="00D05487">
        <w:rPr>
          <w:rFonts w:ascii="Arial" w:hAnsi="Arial" w:cs="Arial"/>
        </w:rPr>
        <w:t xml:space="preserve">studies </w:t>
      </w:r>
      <w:r w:rsidR="00D05487">
        <w:rPr>
          <w:rFonts w:ascii="Arial" w:hAnsi="Arial" w:cs="Arial"/>
        </w:rPr>
        <w:t>observin</w:t>
      </w:r>
      <w:r w:rsidR="00D05487" w:rsidRPr="00D05487">
        <w:rPr>
          <w:rFonts w:ascii="Arial" w:hAnsi="Arial" w:cs="Arial"/>
        </w:rPr>
        <w:t>g that treatment with 11(12)-EET in the presence of TNF-α reduced nuclear accumulation of the p65 subunit of activ</w:t>
      </w:r>
      <w:r w:rsidR="00475C09">
        <w:rPr>
          <w:rFonts w:ascii="Arial" w:hAnsi="Arial" w:cs="Arial"/>
        </w:rPr>
        <w:t>e</w:t>
      </w:r>
      <w:r w:rsidR="00D05487" w:rsidRPr="00D05487">
        <w:rPr>
          <w:rFonts w:ascii="Arial" w:hAnsi="Arial" w:cs="Arial"/>
        </w:rPr>
        <w:t xml:space="preserve"> NF-κB</w:t>
      </w:r>
      <w:r w:rsidR="00E74DAF">
        <w:rPr>
          <w:rFonts w:ascii="Arial" w:hAnsi="Arial" w:cs="Arial"/>
        </w:rPr>
        <w:t xml:space="preserve"> [</w:t>
      </w:r>
      <w:r w:rsidR="002A1CCD">
        <w:rPr>
          <w:rFonts w:ascii="Arial" w:hAnsi="Arial" w:cs="Arial"/>
        </w:rPr>
        <w:t>13</w:t>
      </w:r>
      <w:r w:rsidR="00E74DAF">
        <w:rPr>
          <w:rFonts w:ascii="Arial" w:hAnsi="Arial" w:cs="Arial"/>
        </w:rPr>
        <w:t>]</w:t>
      </w:r>
      <w:r w:rsidR="00274F9D">
        <w:rPr>
          <w:rFonts w:ascii="Arial" w:hAnsi="Arial" w:cs="Arial"/>
        </w:rPr>
        <w:t>.</w:t>
      </w:r>
      <w:r>
        <w:rPr>
          <w:rFonts w:ascii="Arial" w:hAnsi="Arial" w:cs="Arial"/>
        </w:rPr>
        <w:t xml:space="preserve"> </w:t>
      </w:r>
      <w:r w:rsidR="00475C09">
        <w:rPr>
          <w:rFonts w:ascii="Arial" w:hAnsi="Arial" w:cs="Arial"/>
        </w:rPr>
        <w:t>P</w:t>
      </w:r>
      <w:r w:rsidR="007949F8">
        <w:rPr>
          <w:rFonts w:ascii="Arial" w:hAnsi="Arial" w:cs="Arial"/>
        </w:rPr>
        <w:t>harmacological inhibition of sEH or its knock-down restored normoglycaemia and increased plasma insulin levels in streptozotocin</w:t>
      </w:r>
      <w:r w:rsidR="004B2F81">
        <w:rPr>
          <w:rFonts w:ascii="Arial" w:hAnsi="Arial" w:cs="Arial"/>
        </w:rPr>
        <w:t xml:space="preserve"> (STZ)</w:t>
      </w:r>
      <w:r w:rsidR="007949F8">
        <w:rPr>
          <w:rFonts w:ascii="Arial" w:hAnsi="Arial" w:cs="Arial"/>
        </w:rPr>
        <w:t>-induced diabetes in mice</w:t>
      </w:r>
      <w:r w:rsidR="00E1256E">
        <w:rPr>
          <w:rFonts w:ascii="Arial" w:hAnsi="Arial" w:cs="Arial"/>
        </w:rPr>
        <w:t xml:space="preserve">, </w:t>
      </w:r>
      <w:r w:rsidR="007949F8">
        <w:rPr>
          <w:rFonts w:ascii="Arial" w:hAnsi="Arial" w:cs="Arial"/>
        </w:rPr>
        <w:t>associated with increased beta cell mass</w:t>
      </w:r>
      <w:r w:rsidR="00475C09">
        <w:rPr>
          <w:rFonts w:ascii="Arial" w:hAnsi="Arial" w:cs="Arial"/>
        </w:rPr>
        <w:t xml:space="preserve"> [14]</w:t>
      </w:r>
      <w:r w:rsidR="00E1256E">
        <w:rPr>
          <w:rFonts w:ascii="Arial" w:hAnsi="Arial" w:cs="Arial"/>
        </w:rPr>
        <w:t>.</w:t>
      </w:r>
      <w:r w:rsidR="004214C3">
        <w:rPr>
          <w:rFonts w:ascii="Arial" w:hAnsi="Arial" w:cs="Arial"/>
        </w:rPr>
        <w:t xml:space="preserve"> A later study observed similar effects, though was unable to directly attribute these effects to an increase in pancreatic or circulating EET</w:t>
      </w:r>
      <w:r w:rsidR="00475C09">
        <w:rPr>
          <w:rFonts w:ascii="Arial" w:hAnsi="Arial" w:cs="Arial"/>
        </w:rPr>
        <w:t>:</w:t>
      </w:r>
      <w:r w:rsidR="004214C3">
        <w:rPr>
          <w:rFonts w:ascii="Arial" w:hAnsi="Arial" w:cs="Arial"/>
        </w:rPr>
        <w:t xml:space="preserve">DHET ratios, despite demonstrating the presence of </w:t>
      </w:r>
      <w:r w:rsidR="00AC0CF9">
        <w:rPr>
          <w:rFonts w:ascii="Arial" w:hAnsi="Arial" w:cs="Arial"/>
        </w:rPr>
        <w:t>the AA epoxygenase,</w:t>
      </w:r>
      <w:r w:rsidR="00E1256E">
        <w:rPr>
          <w:rFonts w:ascii="Arial" w:hAnsi="Arial" w:cs="Arial"/>
        </w:rPr>
        <w:t xml:space="preserve"> </w:t>
      </w:r>
      <w:r w:rsidR="007949F8">
        <w:rPr>
          <w:rFonts w:ascii="Arial" w:hAnsi="Arial" w:cs="Arial"/>
        </w:rPr>
        <w:t>CYP2C11</w:t>
      </w:r>
      <w:r w:rsidR="00AC0CF9">
        <w:rPr>
          <w:rFonts w:ascii="Arial" w:hAnsi="Arial" w:cs="Arial"/>
        </w:rPr>
        <w:t>,</w:t>
      </w:r>
      <w:r w:rsidR="007949F8">
        <w:rPr>
          <w:rFonts w:ascii="Arial" w:hAnsi="Arial" w:cs="Arial"/>
        </w:rPr>
        <w:t xml:space="preserve"> in </w:t>
      </w:r>
      <w:r w:rsidR="004214C3">
        <w:rPr>
          <w:rFonts w:ascii="Arial" w:hAnsi="Arial" w:cs="Arial"/>
        </w:rPr>
        <w:t>rat islets by immunoblotting</w:t>
      </w:r>
      <w:r w:rsidR="00475C09">
        <w:rPr>
          <w:rFonts w:ascii="Arial" w:hAnsi="Arial" w:cs="Arial"/>
        </w:rPr>
        <w:t xml:space="preserve"> [15]</w:t>
      </w:r>
      <w:r w:rsidR="004214C3">
        <w:rPr>
          <w:rFonts w:ascii="Arial" w:hAnsi="Arial" w:cs="Arial"/>
        </w:rPr>
        <w:t xml:space="preserve">. Whilst recent studies have demonstrated that CYP2J2 overexpression restores glucose tolerance and improves inflammatory cytokine-induced hepatic insulin resistance in </w:t>
      </w:r>
      <w:r w:rsidR="004214C3">
        <w:rPr>
          <w:rFonts w:ascii="Arial" w:hAnsi="Arial" w:cs="Arial"/>
          <w:i/>
        </w:rPr>
        <w:t>db/db</w:t>
      </w:r>
      <w:r w:rsidR="004214C3">
        <w:rPr>
          <w:rFonts w:ascii="Arial" w:hAnsi="Arial" w:cs="Arial"/>
        </w:rPr>
        <w:t xml:space="preserve"> mice [3], no studies have directly assessed a potential anti-inflammatory activity of EETs in pancreatic beta cells under conditions of pro-inflammatory cytokine administration. </w:t>
      </w:r>
      <w:r w:rsidR="007949F8">
        <w:rPr>
          <w:rFonts w:ascii="Arial" w:hAnsi="Arial" w:cs="Arial"/>
        </w:rPr>
        <w:t>Thus the current st</w:t>
      </w:r>
      <w:r w:rsidR="004B2F81">
        <w:rPr>
          <w:rFonts w:ascii="Arial" w:hAnsi="Arial" w:cs="Arial"/>
        </w:rPr>
        <w:t>udy aimed to determine</w:t>
      </w:r>
      <w:r w:rsidR="00A5525C">
        <w:rPr>
          <w:rFonts w:ascii="Arial" w:hAnsi="Arial" w:cs="Arial"/>
        </w:rPr>
        <w:t>, for the first time,</w:t>
      </w:r>
      <w:r w:rsidR="004B2F81">
        <w:rPr>
          <w:rFonts w:ascii="Arial" w:hAnsi="Arial" w:cs="Arial"/>
        </w:rPr>
        <w:t xml:space="preserve"> the cyto</w:t>
      </w:r>
      <w:r w:rsidR="007949F8">
        <w:rPr>
          <w:rFonts w:ascii="Arial" w:hAnsi="Arial" w:cs="Arial"/>
        </w:rPr>
        <w:t xml:space="preserve">protective and anti-apoptotic actions of EETs against pro-inflammatory cytokine toxicity in the rat pancreatic beta cell line BRIN-BD11. </w:t>
      </w:r>
      <w:r w:rsidR="007949F8" w:rsidRPr="007949F8">
        <w:rPr>
          <w:rFonts w:ascii="Arial" w:hAnsi="Arial" w:cs="Arial"/>
        </w:rPr>
        <w:t xml:space="preserve">  </w:t>
      </w:r>
    </w:p>
    <w:p w:rsidR="007949F8" w:rsidRDefault="007949F8" w:rsidP="00BC3627">
      <w:pPr>
        <w:spacing w:line="480" w:lineRule="auto"/>
        <w:rPr>
          <w:rFonts w:ascii="Arial" w:hAnsi="Arial" w:cs="Arial"/>
        </w:rPr>
      </w:pPr>
    </w:p>
    <w:p w:rsidR="00AC0CF9" w:rsidRDefault="00AC0CF9" w:rsidP="00BC3627">
      <w:pPr>
        <w:spacing w:line="480" w:lineRule="auto"/>
        <w:rPr>
          <w:rFonts w:ascii="Arial" w:hAnsi="Arial" w:cs="Arial"/>
        </w:rPr>
      </w:pPr>
    </w:p>
    <w:p w:rsidR="00AC0CF9" w:rsidRDefault="00AC0CF9" w:rsidP="00BC3627">
      <w:pPr>
        <w:spacing w:line="480" w:lineRule="auto"/>
        <w:rPr>
          <w:rFonts w:ascii="Arial" w:hAnsi="Arial" w:cs="Arial"/>
        </w:rPr>
      </w:pPr>
    </w:p>
    <w:p w:rsidR="00AC0CF9" w:rsidRDefault="00AC0CF9" w:rsidP="00BC3627">
      <w:pPr>
        <w:spacing w:line="480" w:lineRule="auto"/>
        <w:rPr>
          <w:rFonts w:ascii="Arial" w:hAnsi="Arial" w:cs="Arial"/>
        </w:rPr>
      </w:pPr>
    </w:p>
    <w:p w:rsidR="00AC0CF9" w:rsidRDefault="00AC0CF9" w:rsidP="00BC3627">
      <w:pPr>
        <w:spacing w:line="480" w:lineRule="auto"/>
        <w:rPr>
          <w:rFonts w:ascii="Arial" w:hAnsi="Arial" w:cs="Arial"/>
        </w:rPr>
      </w:pPr>
    </w:p>
    <w:p w:rsidR="00F71726" w:rsidRDefault="00F71726" w:rsidP="00BC3627">
      <w:pPr>
        <w:spacing w:line="480" w:lineRule="auto"/>
        <w:rPr>
          <w:rFonts w:ascii="Arial" w:hAnsi="Arial" w:cs="Arial"/>
        </w:rPr>
      </w:pPr>
    </w:p>
    <w:p w:rsidR="00315DBE" w:rsidRDefault="00315DBE" w:rsidP="00BC3627">
      <w:pPr>
        <w:spacing w:line="480" w:lineRule="auto"/>
        <w:rPr>
          <w:rFonts w:ascii="Arial" w:hAnsi="Arial" w:cs="Arial"/>
        </w:rPr>
      </w:pPr>
    </w:p>
    <w:p w:rsidR="007949F8" w:rsidRDefault="007949F8" w:rsidP="00BC3627">
      <w:pPr>
        <w:spacing w:line="480" w:lineRule="auto"/>
        <w:rPr>
          <w:rFonts w:ascii="Arial" w:hAnsi="Arial" w:cs="Arial"/>
          <w:b/>
        </w:rPr>
      </w:pPr>
      <w:r>
        <w:rPr>
          <w:rFonts w:ascii="Arial" w:hAnsi="Arial" w:cs="Arial"/>
          <w:b/>
        </w:rPr>
        <w:lastRenderedPageBreak/>
        <w:t>Methods</w:t>
      </w:r>
    </w:p>
    <w:p w:rsidR="007949F8" w:rsidRDefault="007949F8" w:rsidP="00BC3627">
      <w:pPr>
        <w:spacing w:line="480" w:lineRule="auto"/>
        <w:rPr>
          <w:rFonts w:ascii="Arial" w:hAnsi="Arial" w:cs="Arial"/>
          <w:i/>
        </w:rPr>
      </w:pPr>
      <w:r>
        <w:rPr>
          <w:rFonts w:ascii="Arial" w:hAnsi="Arial" w:cs="Arial"/>
          <w:i/>
        </w:rPr>
        <w:t>Cell culture</w:t>
      </w:r>
    </w:p>
    <w:p w:rsidR="00B86F97" w:rsidRDefault="007949F8" w:rsidP="00BC3627">
      <w:pPr>
        <w:spacing w:line="480" w:lineRule="auto"/>
        <w:rPr>
          <w:rFonts w:ascii="Arial" w:hAnsi="Arial" w:cs="Arial"/>
        </w:rPr>
      </w:pPr>
      <w:r>
        <w:rPr>
          <w:rFonts w:ascii="Arial" w:hAnsi="Arial" w:cs="Arial"/>
        </w:rPr>
        <w:t>BRIN-BD11 cells (a gift from Professor Noel Morgan, Exeter University) were cultured in RPMI-1640 media supplemented with 10% foetal ca</w:t>
      </w:r>
      <w:r w:rsidR="00430DE7">
        <w:rPr>
          <w:rFonts w:ascii="Arial" w:hAnsi="Arial" w:cs="Arial"/>
        </w:rPr>
        <w:t>lf serum</w:t>
      </w:r>
      <w:r w:rsidR="00BB049C">
        <w:rPr>
          <w:rFonts w:ascii="Arial" w:hAnsi="Arial" w:cs="Arial"/>
        </w:rPr>
        <w:t xml:space="preserve"> (FCS)</w:t>
      </w:r>
      <w:r w:rsidR="00430DE7">
        <w:rPr>
          <w:rFonts w:ascii="Arial" w:hAnsi="Arial" w:cs="Arial"/>
        </w:rPr>
        <w:t>, 2mM L-glutamine, 100U/m</w:t>
      </w:r>
      <w:r w:rsidR="00B075A3">
        <w:rPr>
          <w:rFonts w:ascii="Arial" w:hAnsi="Arial" w:cs="Arial"/>
        </w:rPr>
        <w:t>L</w:t>
      </w:r>
      <w:r w:rsidR="00430DE7">
        <w:rPr>
          <w:rFonts w:ascii="Arial" w:hAnsi="Arial" w:cs="Arial"/>
        </w:rPr>
        <w:t xml:space="preserve"> penicillin and 100µg/mL streptomycin and used between passage number</w:t>
      </w:r>
      <w:r w:rsidR="00AC0CF9">
        <w:rPr>
          <w:rFonts w:ascii="Arial" w:hAnsi="Arial" w:cs="Arial"/>
        </w:rPr>
        <w:t>s</w:t>
      </w:r>
      <w:r w:rsidR="00430DE7">
        <w:rPr>
          <w:rFonts w:ascii="Arial" w:hAnsi="Arial" w:cs="Arial"/>
        </w:rPr>
        <w:t xml:space="preserve"> 2</w:t>
      </w:r>
      <w:r w:rsidR="004B2F81">
        <w:rPr>
          <w:rFonts w:ascii="Arial" w:hAnsi="Arial" w:cs="Arial"/>
        </w:rPr>
        <w:t>3</w:t>
      </w:r>
      <w:r w:rsidR="00430DE7">
        <w:rPr>
          <w:rFonts w:ascii="Arial" w:hAnsi="Arial" w:cs="Arial"/>
        </w:rPr>
        <w:t>-38. Cells were sub</w:t>
      </w:r>
      <w:r w:rsidR="00475C09">
        <w:rPr>
          <w:rFonts w:ascii="Arial" w:hAnsi="Arial" w:cs="Arial"/>
        </w:rPr>
        <w:t>-</w:t>
      </w:r>
      <w:r w:rsidR="00430DE7">
        <w:rPr>
          <w:rFonts w:ascii="Arial" w:hAnsi="Arial" w:cs="Arial"/>
        </w:rPr>
        <w:t>cultured into 96-well plates (15,000 cells/well) or 24-well plates (40,000 cells/well) for subsequent experiments. All cytokine treatments were performed using 100U/mL IL-1</w:t>
      </w:r>
      <w:r w:rsidR="004B2F81">
        <w:rPr>
          <w:rFonts w:ascii="Arial" w:hAnsi="Arial" w:cs="Arial"/>
        </w:rPr>
        <w:t>β</w:t>
      </w:r>
      <w:r w:rsidR="00430DE7">
        <w:rPr>
          <w:rFonts w:ascii="Arial" w:hAnsi="Arial" w:cs="Arial"/>
        </w:rPr>
        <w:t>, 20U/mL IFN</w:t>
      </w:r>
      <w:r w:rsidR="004B2F81">
        <w:rPr>
          <w:rFonts w:ascii="Arial" w:hAnsi="Arial" w:cs="Arial"/>
        </w:rPr>
        <w:t>γ</w:t>
      </w:r>
      <w:r w:rsidR="00430DE7">
        <w:rPr>
          <w:rFonts w:ascii="Arial" w:hAnsi="Arial" w:cs="Arial"/>
        </w:rPr>
        <w:t xml:space="preserve"> an</w:t>
      </w:r>
      <w:r w:rsidR="004B2F81">
        <w:rPr>
          <w:rFonts w:ascii="Arial" w:hAnsi="Arial" w:cs="Arial"/>
        </w:rPr>
        <w:t>d 500U/mL TNFα (</w:t>
      </w:r>
      <w:r w:rsidR="004E3B7E">
        <w:rPr>
          <w:rFonts w:ascii="Arial" w:hAnsi="Arial" w:cs="Arial"/>
        </w:rPr>
        <w:t>PeproTech</w:t>
      </w:r>
      <w:r w:rsidR="004B2F81">
        <w:rPr>
          <w:rFonts w:ascii="Arial" w:hAnsi="Arial" w:cs="Arial"/>
        </w:rPr>
        <w:t xml:space="preserve"> EC). </w:t>
      </w:r>
    </w:p>
    <w:p w:rsidR="00430DE7" w:rsidRDefault="00430DE7" w:rsidP="00BC3627">
      <w:pPr>
        <w:spacing w:line="480" w:lineRule="auto"/>
        <w:rPr>
          <w:rFonts w:ascii="Arial" w:hAnsi="Arial" w:cs="Arial"/>
          <w:i/>
        </w:rPr>
      </w:pPr>
      <w:r>
        <w:rPr>
          <w:rFonts w:ascii="Arial" w:hAnsi="Arial" w:cs="Arial"/>
          <w:i/>
        </w:rPr>
        <w:t>Preparation of EETs</w:t>
      </w:r>
    </w:p>
    <w:p w:rsidR="00AA422C" w:rsidRDefault="00430DE7" w:rsidP="00BC3627">
      <w:pPr>
        <w:spacing w:line="480" w:lineRule="auto"/>
        <w:rPr>
          <w:rFonts w:ascii="Arial" w:hAnsi="Arial" w:cs="Arial"/>
        </w:rPr>
      </w:pPr>
      <w:r>
        <w:rPr>
          <w:rFonts w:ascii="Arial" w:hAnsi="Arial" w:cs="Arial"/>
        </w:rPr>
        <w:t>8</w:t>
      </w:r>
      <w:r w:rsidR="00092F62">
        <w:rPr>
          <w:rFonts w:ascii="Arial" w:hAnsi="Arial" w:cs="Arial"/>
        </w:rPr>
        <w:t>(</w:t>
      </w:r>
      <w:r>
        <w:rPr>
          <w:rFonts w:ascii="Arial" w:hAnsi="Arial" w:cs="Arial"/>
        </w:rPr>
        <w:t>9</w:t>
      </w:r>
      <w:r w:rsidR="00092F62">
        <w:rPr>
          <w:rFonts w:ascii="Arial" w:hAnsi="Arial" w:cs="Arial"/>
        </w:rPr>
        <w:t>)</w:t>
      </w:r>
      <w:r>
        <w:rPr>
          <w:rFonts w:ascii="Arial" w:hAnsi="Arial" w:cs="Arial"/>
        </w:rPr>
        <w:t>-EET, 11</w:t>
      </w:r>
      <w:r w:rsidR="00092F62">
        <w:rPr>
          <w:rFonts w:ascii="Arial" w:hAnsi="Arial" w:cs="Arial"/>
        </w:rPr>
        <w:t>(</w:t>
      </w:r>
      <w:r>
        <w:rPr>
          <w:rFonts w:ascii="Arial" w:hAnsi="Arial" w:cs="Arial"/>
        </w:rPr>
        <w:t>12</w:t>
      </w:r>
      <w:r w:rsidR="00092F62">
        <w:rPr>
          <w:rFonts w:ascii="Arial" w:hAnsi="Arial" w:cs="Arial"/>
        </w:rPr>
        <w:t>)</w:t>
      </w:r>
      <w:r>
        <w:rPr>
          <w:rFonts w:ascii="Arial" w:hAnsi="Arial" w:cs="Arial"/>
        </w:rPr>
        <w:t>-EET and 14</w:t>
      </w:r>
      <w:r w:rsidR="00092F62">
        <w:rPr>
          <w:rFonts w:ascii="Arial" w:hAnsi="Arial" w:cs="Arial"/>
        </w:rPr>
        <w:t>(</w:t>
      </w:r>
      <w:r>
        <w:rPr>
          <w:rFonts w:ascii="Arial" w:hAnsi="Arial" w:cs="Arial"/>
        </w:rPr>
        <w:t>15</w:t>
      </w:r>
      <w:r w:rsidR="00092F62">
        <w:rPr>
          <w:rFonts w:ascii="Arial" w:hAnsi="Arial" w:cs="Arial"/>
        </w:rPr>
        <w:t>)</w:t>
      </w:r>
      <w:r>
        <w:rPr>
          <w:rFonts w:ascii="Arial" w:hAnsi="Arial" w:cs="Arial"/>
        </w:rPr>
        <w:t>-EET and their correspon</w:t>
      </w:r>
      <w:r w:rsidR="002861C8">
        <w:rPr>
          <w:rFonts w:ascii="Arial" w:hAnsi="Arial" w:cs="Arial"/>
        </w:rPr>
        <w:t xml:space="preserve">ding DHETs </w:t>
      </w:r>
      <w:r w:rsidR="00E1256E">
        <w:rPr>
          <w:rFonts w:ascii="Arial" w:hAnsi="Arial" w:cs="Arial"/>
        </w:rPr>
        <w:t>(</w:t>
      </w:r>
      <w:r w:rsidR="00BB049C">
        <w:rPr>
          <w:rFonts w:ascii="Arial" w:hAnsi="Arial" w:cs="Arial"/>
        </w:rPr>
        <w:t>Cayman Chemicals</w:t>
      </w:r>
      <w:r w:rsidR="00E1256E">
        <w:rPr>
          <w:rFonts w:ascii="Arial" w:hAnsi="Arial" w:cs="Arial"/>
        </w:rPr>
        <w:t>)</w:t>
      </w:r>
      <w:r w:rsidR="00BB049C">
        <w:rPr>
          <w:rFonts w:ascii="Arial" w:hAnsi="Arial" w:cs="Arial"/>
        </w:rPr>
        <w:t xml:space="preserve"> were supplied as a solution in ethanol</w:t>
      </w:r>
      <w:r w:rsidR="00475C09">
        <w:rPr>
          <w:rFonts w:ascii="Arial" w:hAnsi="Arial" w:cs="Arial"/>
        </w:rPr>
        <w:t xml:space="preserve"> (0.32mM)</w:t>
      </w:r>
      <w:r w:rsidR="00BB049C">
        <w:rPr>
          <w:rFonts w:ascii="Arial" w:hAnsi="Arial" w:cs="Arial"/>
        </w:rPr>
        <w:t>.</w:t>
      </w:r>
      <w:r w:rsidR="00475C09">
        <w:rPr>
          <w:rFonts w:ascii="Arial" w:hAnsi="Arial" w:cs="Arial"/>
        </w:rPr>
        <w:t xml:space="preserve"> </w:t>
      </w:r>
      <w:r w:rsidR="008437F8">
        <w:rPr>
          <w:rFonts w:ascii="Arial" w:hAnsi="Arial" w:cs="Arial"/>
        </w:rPr>
        <w:t xml:space="preserve">In some experiments, a methyl sulphonamide analogue of 14(15)-EET (14(15)-EET-SI) was used (Cayman Chemicals; supplied as a solution in methyl acetate), which lacks the free carboxylic acid group of the native EET and so is not susceptible to esterification to CoA and beta-oxidation. To </w:t>
      </w:r>
      <w:r w:rsidR="00475C09">
        <w:rPr>
          <w:rFonts w:ascii="Arial" w:hAnsi="Arial" w:cs="Arial"/>
        </w:rPr>
        <w:t xml:space="preserve">concentrate </w:t>
      </w:r>
      <w:r w:rsidR="008437F8">
        <w:rPr>
          <w:rFonts w:ascii="Arial" w:hAnsi="Arial" w:cs="Arial"/>
        </w:rPr>
        <w:t>all</w:t>
      </w:r>
      <w:r w:rsidR="00475C09">
        <w:rPr>
          <w:rFonts w:ascii="Arial" w:hAnsi="Arial" w:cs="Arial"/>
        </w:rPr>
        <w:t xml:space="preserve"> EETs</w:t>
      </w:r>
      <w:r w:rsidR="008437F8">
        <w:rPr>
          <w:rFonts w:ascii="Arial" w:hAnsi="Arial" w:cs="Arial"/>
        </w:rPr>
        <w:t xml:space="preserve"> and DHETs</w:t>
      </w:r>
      <w:r w:rsidR="00475C09">
        <w:rPr>
          <w:rFonts w:ascii="Arial" w:hAnsi="Arial" w:cs="Arial"/>
        </w:rPr>
        <w:t xml:space="preserve"> for later cell treatments, the solvent was evaporated under a stream of nitrogen and the free oil re-suspended in 100% ethanol (purged under nitrogen) to a concentration of 3.2mM.</w:t>
      </w:r>
      <w:r w:rsidR="00BB049C">
        <w:rPr>
          <w:rFonts w:ascii="Arial" w:hAnsi="Arial" w:cs="Arial"/>
        </w:rPr>
        <w:t xml:space="preserve"> In congruence with methods used for the treatment of beta cell lines in the study of lip</w:t>
      </w:r>
      <w:r w:rsidR="002861C8">
        <w:rPr>
          <w:rFonts w:ascii="Arial" w:hAnsi="Arial" w:cs="Arial"/>
        </w:rPr>
        <w:t>o</w:t>
      </w:r>
      <w:r w:rsidR="00BB049C">
        <w:rPr>
          <w:rFonts w:ascii="Arial" w:hAnsi="Arial" w:cs="Arial"/>
        </w:rPr>
        <w:t>toxicity and the cytoprotective activity of (poly)unsaturated fatty acids, EETs</w:t>
      </w:r>
      <w:r w:rsidR="0051302F">
        <w:rPr>
          <w:rFonts w:ascii="Arial" w:hAnsi="Arial" w:cs="Arial"/>
        </w:rPr>
        <w:t xml:space="preserve"> and DHETs </w:t>
      </w:r>
      <w:r w:rsidR="00BB049C">
        <w:rPr>
          <w:rFonts w:ascii="Arial" w:hAnsi="Arial" w:cs="Arial"/>
        </w:rPr>
        <w:t xml:space="preserve">were first </w:t>
      </w:r>
      <w:r w:rsidR="00AA1472">
        <w:rPr>
          <w:rFonts w:ascii="Arial" w:hAnsi="Arial" w:cs="Arial"/>
        </w:rPr>
        <w:t>prepared in</w:t>
      </w:r>
      <w:r w:rsidR="00BB049C">
        <w:rPr>
          <w:rFonts w:ascii="Arial" w:hAnsi="Arial" w:cs="Arial"/>
        </w:rPr>
        <w:t xml:space="preserve"> FFA-free BSA at a Molar ratio of 3.3:1 by incubation at 37</w:t>
      </w:r>
      <w:r w:rsidR="00475C09">
        <w:rPr>
          <w:rFonts w:ascii="Arial" w:hAnsi="Arial" w:cs="Arial"/>
          <w:vertAlign w:val="superscript"/>
        </w:rPr>
        <w:t>o</w:t>
      </w:r>
      <w:r w:rsidR="00BB049C">
        <w:rPr>
          <w:rFonts w:ascii="Arial" w:hAnsi="Arial" w:cs="Arial"/>
        </w:rPr>
        <w:t>C for 1 hour</w:t>
      </w:r>
      <w:r w:rsidR="007B0F7F">
        <w:rPr>
          <w:rFonts w:ascii="Arial" w:hAnsi="Arial" w:cs="Arial"/>
        </w:rPr>
        <w:t xml:space="preserve"> and</w:t>
      </w:r>
      <w:r w:rsidR="00BB049C">
        <w:rPr>
          <w:rFonts w:ascii="Arial" w:hAnsi="Arial" w:cs="Arial"/>
        </w:rPr>
        <w:t xml:space="preserve"> further diluted into 1% FCS-containing RPMI-1640 with cytokines prior to </w:t>
      </w:r>
      <w:r w:rsidR="002861C8">
        <w:rPr>
          <w:rFonts w:ascii="Arial" w:hAnsi="Arial" w:cs="Arial"/>
        </w:rPr>
        <w:t xml:space="preserve">cell </w:t>
      </w:r>
      <w:r w:rsidR="00BB049C">
        <w:rPr>
          <w:rFonts w:ascii="Arial" w:hAnsi="Arial" w:cs="Arial"/>
        </w:rPr>
        <w:t xml:space="preserve">treatment. The final concentration </w:t>
      </w:r>
      <w:r w:rsidR="007B0F7F">
        <w:rPr>
          <w:rFonts w:ascii="Arial" w:hAnsi="Arial" w:cs="Arial"/>
        </w:rPr>
        <w:t>of</w:t>
      </w:r>
      <w:r w:rsidR="00BB049C">
        <w:rPr>
          <w:rFonts w:ascii="Arial" w:hAnsi="Arial" w:cs="Arial"/>
        </w:rPr>
        <w:t xml:space="preserve"> all EETs and DHETs was 10µM and control cultures received appropriate concentrations of BSA and ethanol, with the final ethanol</w:t>
      </w:r>
      <w:r w:rsidR="002861C8">
        <w:rPr>
          <w:rFonts w:ascii="Arial" w:hAnsi="Arial" w:cs="Arial"/>
        </w:rPr>
        <w:t xml:space="preserve"> concentration not exceeding 0.5</w:t>
      </w:r>
      <w:r w:rsidR="00BB049C">
        <w:rPr>
          <w:rFonts w:ascii="Arial" w:hAnsi="Arial" w:cs="Arial"/>
        </w:rPr>
        <w:t>%</w:t>
      </w:r>
      <w:r w:rsidR="00475C09">
        <w:rPr>
          <w:rFonts w:ascii="Arial" w:hAnsi="Arial" w:cs="Arial"/>
        </w:rPr>
        <w:t xml:space="preserve"> </w:t>
      </w:r>
      <w:r w:rsidR="00BB049C">
        <w:rPr>
          <w:rFonts w:ascii="Arial" w:hAnsi="Arial" w:cs="Arial"/>
        </w:rPr>
        <w:t xml:space="preserve">(v/v). </w:t>
      </w:r>
    </w:p>
    <w:p w:rsidR="008437F8" w:rsidRDefault="008437F8" w:rsidP="00BC3627">
      <w:pPr>
        <w:spacing w:line="480" w:lineRule="auto"/>
        <w:rPr>
          <w:rFonts w:ascii="Arial" w:hAnsi="Arial" w:cs="Arial"/>
          <w:i/>
        </w:rPr>
      </w:pPr>
    </w:p>
    <w:p w:rsidR="00AA422C" w:rsidRDefault="00AA422C" w:rsidP="00BC3627">
      <w:pPr>
        <w:spacing w:line="480" w:lineRule="auto"/>
        <w:rPr>
          <w:rFonts w:ascii="Arial" w:hAnsi="Arial" w:cs="Arial"/>
          <w:i/>
        </w:rPr>
      </w:pPr>
    </w:p>
    <w:p w:rsidR="00430DE7" w:rsidRDefault="00430DE7" w:rsidP="00BC3627">
      <w:pPr>
        <w:spacing w:line="480" w:lineRule="auto"/>
        <w:rPr>
          <w:rFonts w:ascii="Arial" w:hAnsi="Arial" w:cs="Arial"/>
          <w:i/>
        </w:rPr>
      </w:pPr>
      <w:r>
        <w:rPr>
          <w:rFonts w:ascii="Arial" w:hAnsi="Arial" w:cs="Arial"/>
          <w:i/>
        </w:rPr>
        <w:lastRenderedPageBreak/>
        <w:t>Vital dye staining</w:t>
      </w:r>
    </w:p>
    <w:p w:rsidR="00430DE7" w:rsidRDefault="00430DE7" w:rsidP="00BC3627">
      <w:pPr>
        <w:spacing w:line="480" w:lineRule="auto"/>
        <w:rPr>
          <w:rFonts w:ascii="Arial" w:hAnsi="Arial" w:cs="Arial"/>
        </w:rPr>
      </w:pPr>
      <w:r>
        <w:rPr>
          <w:rFonts w:ascii="Arial" w:hAnsi="Arial" w:cs="Arial"/>
        </w:rPr>
        <w:t>Total and viable cell numbers post-treatment were assessed using Trypan blue vital dye exclusion. Briefly, detached and attached cells</w:t>
      </w:r>
      <w:r w:rsidR="004F3CE2">
        <w:rPr>
          <w:rFonts w:ascii="Arial" w:hAnsi="Arial" w:cs="Arial"/>
        </w:rPr>
        <w:t xml:space="preserve"> from cells treated in 24-well plates</w:t>
      </w:r>
      <w:r>
        <w:rPr>
          <w:rFonts w:ascii="Arial" w:hAnsi="Arial" w:cs="Arial"/>
        </w:rPr>
        <w:t xml:space="preserve"> (the latter harvested by trypsin:EDTA digestion) were collected by centrifugation and the cell pellet concentrated into a volume of 200µL. The resulting cell suspension w</w:t>
      </w:r>
      <w:r w:rsidR="008437F8">
        <w:rPr>
          <w:rFonts w:ascii="Arial" w:hAnsi="Arial" w:cs="Arial"/>
        </w:rPr>
        <w:t>as diluted 1:2 with 0.4% (w/v) T</w:t>
      </w:r>
      <w:r>
        <w:rPr>
          <w:rFonts w:ascii="Arial" w:hAnsi="Arial" w:cs="Arial"/>
        </w:rPr>
        <w:t>rypan blue and the number of total and viable cells counted using a haemocytometer. Results were expressed as number of viable cells/mL</w:t>
      </w:r>
      <w:r w:rsidR="007B0F7F">
        <w:rPr>
          <w:rFonts w:ascii="Arial" w:hAnsi="Arial" w:cs="Arial"/>
        </w:rPr>
        <w:t xml:space="preserve"> (+/-SEM)</w:t>
      </w:r>
      <w:r>
        <w:rPr>
          <w:rFonts w:ascii="Arial" w:hAnsi="Arial" w:cs="Arial"/>
        </w:rPr>
        <w:t>.</w:t>
      </w:r>
    </w:p>
    <w:p w:rsidR="00430DE7" w:rsidRDefault="00430DE7" w:rsidP="00BC3627">
      <w:pPr>
        <w:spacing w:line="480" w:lineRule="auto"/>
        <w:rPr>
          <w:rFonts w:ascii="Arial" w:hAnsi="Arial" w:cs="Arial"/>
          <w:i/>
        </w:rPr>
      </w:pPr>
      <w:r>
        <w:rPr>
          <w:rFonts w:ascii="Arial" w:hAnsi="Arial" w:cs="Arial"/>
          <w:i/>
        </w:rPr>
        <w:t>Caspase activity</w:t>
      </w:r>
    </w:p>
    <w:p w:rsidR="00430DE7" w:rsidRDefault="007B0F7F" w:rsidP="00BC3627">
      <w:pPr>
        <w:spacing w:line="480" w:lineRule="auto"/>
        <w:rPr>
          <w:rFonts w:ascii="Arial" w:hAnsi="Arial" w:cs="Arial"/>
        </w:rPr>
      </w:pPr>
      <w:r>
        <w:rPr>
          <w:rFonts w:ascii="Arial" w:hAnsi="Arial" w:cs="Arial"/>
        </w:rPr>
        <w:t>Total c</w:t>
      </w:r>
      <w:r w:rsidR="00430DE7">
        <w:rPr>
          <w:rFonts w:ascii="Arial" w:hAnsi="Arial" w:cs="Arial"/>
        </w:rPr>
        <w:t>aspase activity was assessed by flow cytometry using the MUSE</w:t>
      </w:r>
      <w:r w:rsidR="00AC0CF9">
        <w:rPr>
          <w:rFonts w:ascii="Arial" w:hAnsi="Arial" w:cs="Arial"/>
        </w:rPr>
        <w:t xml:space="preserve">™ </w:t>
      </w:r>
      <w:r>
        <w:rPr>
          <w:rFonts w:ascii="Arial" w:hAnsi="Arial" w:cs="Arial"/>
        </w:rPr>
        <w:t>M</w:t>
      </w:r>
      <w:r w:rsidR="00430DE7">
        <w:rPr>
          <w:rFonts w:ascii="Arial" w:hAnsi="Arial" w:cs="Arial"/>
        </w:rPr>
        <w:t>ulti</w:t>
      </w:r>
      <w:r>
        <w:rPr>
          <w:rFonts w:ascii="Arial" w:hAnsi="Arial" w:cs="Arial"/>
        </w:rPr>
        <w:t>C</w:t>
      </w:r>
      <w:r w:rsidR="00430DE7">
        <w:rPr>
          <w:rFonts w:ascii="Arial" w:hAnsi="Arial" w:cs="Arial"/>
        </w:rPr>
        <w:t>aspase activity assay kit, according to manufacturer’s instructions (Merck). Results were expressed as the percentage of cells displaying total caspase activity</w:t>
      </w:r>
      <w:r>
        <w:rPr>
          <w:rFonts w:ascii="Arial" w:hAnsi="Arial" w:cs="Arial"/>
        </w:rPr>
        <w:t xml:space="preserve"> (+/-SEM)</w:t>
      </w:r>
      <w:r w:rsidR="00430DE7">
        <w:rPr>
          <w:rFonts w:ascii="Arial" w:hAnsi="Arial" w:cs="Arial"/>
        </w:rPr>
        <w:t>.</w:t>
      </w:r>
    </w:p>
    <w:p w:rsidR="00BB049C" w:rsidRDefault="00BB049C" w:rsidP="00BC3627">
      <w:pPr>
        <w:spacing w:line="480" w:lineRule="auto"/>
        <w:rPr>
          <w:rFonts w:ascii="Arial" w:hAnsi="Arial" w:cs="Arial"/>
          <w:i/>
        </w:rPr>
      </w:pPr>
      <w:r>
        <w:rPr>
          <w:rFonts w:ascii="Arial" w:hAnsi="Arial" w:cs="Arial"/>
          <w:i/>
        </w:rPr>
        <w:t>NF</w:t>
      </w:r>
      <w:r w:rsidR="0051302F">
        <w:rPr>
          <w:rFonts w:ascii="Arial" w:hAnsi="Arial" w:cs="Arial"/>
          <w:i/>
        </w:rPr>
        <w:sym w:font="Symbol" w:char="F06B"/>
      </w:r>
      <w:r>
        <w:rPr>
          <w:rFonts w:ascii="Arial" w:hAnsi="Arial" w:cs="Arial"/>
          <w:i/>
        </w:rPr>
        <w:t>B luciferase assay</w:t>
      </w:r>
    </w:p>
    <w:p w:rsidR="00BB049C" w:rsidRDefault="00BB049C" w:rsidP="00BC3627">
      <w:pPr>
        <w:spacing w:line="480" w:lineRule="auto"/>
        <w:rPr>
          <w:rFonts w:ascii="Arial" w:hAnsi="Arial" w:cs="Arial"/>
        </w:rPr>
      </w:pPr>
      <w:r>
        <w:rPr>
          <w:rFonts w:ascii="Arial" w:hAnsi="Arial" w:cs="Arial"/>
        </w:rPr>
        <w:t>NF</w:t>
      </w:r>
      <w:r w:rsidR="0051302F">
        <w:rPr>
          <w:rFonts w:ascii="Arial" w:hAnsi="Arial" w:cs="Arial"/>
        </w:rPr>
        <w:sym w:font="Symbol" w:char="F06B"/>
      </w:r>
      <w:r>
        <w:rPr>
          <w:rFonts w:ascii="Arial" w:hAnsi="Arial" w:cs="Arial"/>
        </w:rPr>
        <w:t>B activity w</w:t>
      </w:r>
      <w:r w:rsidR="00092F62">
        <w:rPr>
          <w:rFonts w:ascii="Arial" w:hAnsi="Arial" w:cs="Arial"/>
        </w:rPr>
        <w:t>as assessed using a NanoLuc® NF</w:t>
      </w:r>
      <w:r w:rsidR="0051302F">
        <w:rPr>
          <w:rFonts w:ascii="Arial" w:hAnsi="Arial" w:cs="Arial"/>
        </w:rPr>
        <w:sym w:font="Symbol" w:char="F06B"/>
      </w:r>
      <w:r>
        <w:rPr>
          <w:rFonts w:ascii="Arial" w:hAnsi="Arial" w:cs="Arial"/>
        </w:rPr>
        <w:t>B reporter vector (</w:t>
      </w:r>
      <w:r w:rsidR="0051302F">
        <w:rPr>
          <w:rFonts w:ascii="Arial" w:hAnsi="Arial" w:cs="Arial"/>
        </w:rPr>
        <w:t>P</w:t>
      </w:r>
      <w:r>
        <w:rPr>
          <w:rFonts w:ascii="Arial" w:hAnsi="Arial" w:cs="Arial"/>
        </w:rPr>
        <w:t>romega) containing five copies of an NF</w:t>
      </w:r>
      <w:r w:rsidR="0051302F">
        <w:rPr>
          <w:rFonts w:ascii="Arial" w:hAnsi="Arial" w:cs="Arial"/>
        </w:rPr>
        <w:sym w:font="Symbol" w:char="F06B"/>
      </w:r>
      <w:r>
        <w:rPr>
          <w:rFonts w:ascii="Arial" w:hAnsi="Arial" w:cs="Arial"/>
        </w:rPr>
        <w:t xml:space="preserve">B response element upstream of NanoLuc® luciferase. </w:t>
      </w:r>
      <w:r w:rsidR="004E3B7E">
        <w:rPr>
          <w:rFonts w:ascii="Arial" w:hAnsi="Arial" w:cs="Arial"/>
        </w:rPr>
        <w:t>Cells were seeded in black 96-well plates 24 hours before transfection with the NanoLuc® NF</w:t>
      </w:r>
      <w:r w:rsidR="004E3B7E">
        <w:rPr>
          <w:rFonts w:ascii="Arial" w:hAnsi="Arial" w:cs="Arial"/>
        </w:rPr>
        <w:sym w:font="Symbol" w:char="F06B"/>
      </w:r>
      <w:r w:rsidR="004E3B7E">
        <w:rPr>
          <w:rFonts w:ascii="Arial" w:hAnsi="Arial" w:cs="Arial"/>
        </w:rPr>
        <w:t xml:space="preserve">B reporter vector (0.1ng/well) using </w:t>
      </w:r>
      <w:r w:rsidR="00A05ADC">
        <w:rPr>
          <w:rFonts w:ascii="Arial" w:hAnsi="Arial" w:cs="Arial"/>
        </w:rPr>
        <w:t>L</w:t>
      </w:r>
      <w:r w:rsidR="004E3B7E">
        <w:rPr>
          <w:rFonts w:ascii="Arial" w:hAnsi="Arial" w:cs="Arial"/>
        </w:rPr>
        <w:t>ipofectamine</w:t>
      </w:r>
      <w:r w:rsidR="00A05ADC">
        <w:rPr>
          <w:rFonts w:ascii="Arial" w:hAnsi="Arial" w:cs="Arial"/>
        </w:rPr>
        <w:t>®</w:t>
      </w:r>
      <w:r w:rsidR="004E3B7E">
        <w:rPr>
          <w:rFonts w:ascii="Arial" w:hAnsi="Arial" w:cs="Arial"/>
        </w:rPr>
        <w:t xml:space="preserve"> 2000 (0.3µL/well); parallel transfections with</w:t>
      </w:r>
      <w:r w:rsidR="00A05ADC">
        <w:rPr>
          <w:rFonts w:ascii="Arial" w:hAnsi="Arial" w:cs="Arial"/>
        </w:rPr>
        <w:t xml:space="preserve"> the same ratio of vector DNA:L</w:t>
      </w:r>
      <w:r w:rsidR="004E3B7E">
        <w:rPr>
          <w:rFonts w:ascii="Arial" w:hAnsi="Arial" w:cs="Arial"/>
        </w:rPr>
        <w:t>ipofectamine</w:t>
      </w:r>
      <w:r w:rsidR="00A05ADC">
        <w:rPr>
          <w:rFonts w:ascii="Arial" w:hAnsi="Arial" w:cs="Arial"/>
        </w:rPr>
        <w:t>®</w:t>
      </w:r>
      <w:r w:rsidR="004E3B7E">
        <w:rPr>
          <w:rFonts w:ascii="Arial" w:hAnsi="Arial" w:cs="Arial"/>
        </w:rPr>
        <w:t xml:space="preserve"> using a GFP-expressing vector yielded ~60% transfection efficiency under these conditions. </w:t>
      </w:r>
      <w:r w:rsidR="00CA099E">
        <w:rPr>
          <w:rFonts w:ascii="Arial" w:hAnsi="Arial" w:cs="Arial"/>
        </w:rPr>
        <w:t>Following incubation with transfection complexes for 24 hours, cells were treated with pro-inflammatory cytokines alone, or in the presence of 10µM of e</w:t>
      </w:r>
      <w:r w:rsidR="007B0F7F">
        <w:rPr>
          <w:rFonts w:ascii="Arial" w:hAnsi="Arial" w:cs="Arial"/>
        </w:rPr>
        <w:t>ach EET</w:t>
      </w:r>
      <w:r w:rsidR="004F3CE2">
        <w:rPr>
          <w:rFonts w:ascii="Arial" w:hAnsi="Arial" w:cs="Arial"/>
        </w:rPr>
        <w:t xml:space="preserve"> or DHET</w:t>
      </w:r>
      <w:r w:rsidR="007B0F7F">
        <w:rPr>
          <w:rFonts w:ascii="Arial" w:hAnsi="Arial" w:cs="Arial"/>
        </w:rPr>
        <w:t xml:space="preserve"> for a further 24 hours. L</w:t>
      </w:r>
      <w:r w:rsidR="002861C8">
        <w:rPr>
          <w:rFonts w:ascii="Arial" w:hAnsi="Arial" w:cs="Arial"/>
        </w:rPr>
        <w:t xml:space="preserve">uminescence </w:t>
      </w:r>
      <w:r w:rsidR="004F3CE2">
        <w:rPr>
          <w:rFonts w:ascii="Arial" w:hAnsi="Arial" w:cs="Arial"/>
        </w:rPr>
        <w:t xml:space="preserve">was </w:t>
      </w:r>
      <w:r w:rsidR="002861C8">
        <w:rPr>
          <w:rFonts w:ascii="Arial" w:hAnsi="Arial" w:cs="Arial"/>
        </w:rPr>
        <w:t>measured using</w:t>
      </w:r>
      <w:r w:rsidR="007B0F7F">
        <w:rPr>
          <w:rFonts w:ascii="Arial" w:hAnsi="Arial" w:cs="Arial"/>
        </w:rPr>
        <w:t xml:space="preserve"> NanoGlo® reagent on</w:t>
      </w:r>
      <w:r w:rsidR="002861C8">
        <w:rPr>
          <w:rFonts w:ascii="Arial" w:hAnsi="Arial" w:cs="Arial"/>
        </w:rPr>
        <w:t xml:space="preserve"> a GloMax® luminometer,</w:t>
      </w:r>
      <w:r w:rsidR="007B0F7F">
        <w:rPr>
          <w:rFonts w:ascii="Arial" w:hAnsi="Arial" w:cs="Arial"/>
        </w:rPr>
        <w:t xml:space="preserve"> according to manufactures instructions (Promega), </w:t>
      </w:r>
      <w:r w:rsidR="002861C8">
        <w:rPr>
          <w:rFonts w:ascii="Arial" w:hAnsi="Arial" w:cs="Arial"/>
        </w:rPr>
        <w:t>with results expressed as</w:t>
      </w:r>
      <w:r w:rsidR="007B0F7F">
        <w:rPr>
          <w:rFonts w:ascii="Arial" w:hAnsi="Arial" w:cs="Arial"/>
        </w:rPr>
        <w:t xml:space="preserve"> fold-change in</w:t>
      </w:r>
      <w:r w:rsidR="002861C8">
        <w:rPr>
          <w:rFonts w:ascii="Arial" w:hAnsi="Arial" w:cs="Arial"/>
        </w:rPr>
        <w:t xml:space="preserve"> relative luminescence units</w:t>
      </w:r>
      <w:r w:rsidR="004F3CE2">
        <w:rPr>
          <w:rFonts w:ascii="Arial" w:hAnsi="Arial" w:cs="Arial"/>
        </w:rPr>
        <w:t xml:space="preserve"> compared to </w:t>
      </w:r>
      <w:r w:rsidR="00AC0CF9">
        <w:rPr>
          <w:rFonts w:ascii="Arial" w:hAnsi="Arial" w:cs="Arial"/>
        </w:rPr>
        <w:t xml:space="preserve">vehicle-treated </w:t>
      </w:r>
      <w:r w:rsidR="004F3CE2">
        <w:rPr>
          <w:rFonts w:ascii="Arial" w:hAnsi="Arial" w:cs="Arial"/>
        </w:rPr>
        <w:t>control.</w:t>
      </w:r>
      <w:r w:rsidR="002861C8">
        <w:rPr>
          <w:rFonts w:ascii="Arial" w:hAnsi="Arial" w:cs="Arial"/>
        </w:rPr>
        <w:t xml:space="preserve">  </w:t>
      </w:r>
    </w:p>
    <w:p w:rsidR="00254B73" w:rsidRDefault="00254B73" w:rsidP="00BC3627">
      <w:pPr>
        <w:spacing w:line="480" w:lineRule="auto"/>
        <w:rPr>
          <w:rFonts w:ascii="Arial" w:hAnsi="Arial" w:cs="Arial"/>
        </w:rPr>
      </w:pPr>
    </w:p>
    <w:p w:rsidR="00AA422C" w:rsidRDefault="00AA422C" w:rsidP="00BC3627">
      <w:pPr>
        <w:spacing w:line="480" w:lineRule="auto"/>
        <w:rPr>
          <w:rFonts w:ascii="Arial" w:hAnsi="Arial" w:cs="Arial"/>
        </w:rPr>
      </w:pPr>
    </w:p>
    <w:p w:rsidR="002861C8" w:rsidRDefault="00092F62" w:rsidP="00BC3627">
      <w:pPr>
        <w:spacing w:line="480" w:lineRule="auto"/>
        <w:rPr>
          <w:rFonts w:ascii="Arial" w:hAnsi="Arial" w:cs="Arial"/>
          <w:i/>
        </w:rPr>
      </w:pPr>
      <w:r>
        <w:rPr>
          <w:rFonts w:ascii="Arial" w:hAnsi="Arial" w:cs="Arial"/>
          <w:i/>
        </w:rPr>
        <w:lastRenderedPageBreak/>
        <w:t>Nitrite determination</w:t>
      </w:r>
    </w:p>
    <w:p w:rsidR="00092F62" w:rsidRDefault="00092F62" w:rsidP="00BC3627">
      <w:pPr>
        <w:spacing w:line="480" w:lineRule="auto"/>
        <w:rPr>
          <w:rFonts w:ascii="Arial" w:hAnsi="Arial" w:cs="Arial"/>
        </w:rPr>
      </w:pPr>
      <w:r>
        <w:rPr>
          <w:rFonts w:ascii="Arial" w:hAnsi="Arial" w:cs="Arial"/>
        </w:rPr>
        <w:t>To determine effects of EETs</w:t>
      </w:r>
      <w:r w:rsidR="004F3CE2">
        <w:rPr>
          <w:rFonts w:ascii="Arial" w:hAnsi="Arial" w:cs="Arial"/>
        </w:rPr>
        <w:t xml:space="preserve"> and DHETs</w:t>
      </w:r>
      <w:r>
        <w:rPr>
          <w:rFonts w:ascii="Arial" w:hAnsi="Arial" w:cs="Arial"/>
        </w:rPr>
        <w:t xml:space="preserve"> on cytokine-induced nitrite </w:t>
      </w:r>
      <w:r w:rsidR="0072769E">
        <w:rPr>
          <w:rFonts w:ascii="Arial" w:hAnsi="Arial" w:cs="Arial"/>
        </w:rPr>
        <w:t>accumulation, reflective of increased expression</w:t>
      </w:r>
      <w:r w:rsidR="004F3CE2">
        <w:rPr>
          <w:rFonts w:ascii="Arial" w:hAnsi="Arial" w:cs="Arial"/>
        </w:rPr>
        <w:t>/activity</w:t>
      </w:r>
      <w:r w:rsidR="0072769E">
        <w:rPr>
          <w:rFonts w:ascii="Arial" w:hAnsi="Arial" w:cs="Arial"/>
        </w:rPr>
        <w:t xml:space="preserve"> of the inducible isoform of nitric oxide synthase (iNOS) and subsequent NO production, c</w:t>
      </w:r>
      <w:r>
        <w:rPr>
          <w:rFonts w:ascii="Arial" w:hAnsi="Arial" w:cs="Arial"/>
        </w:rPr>
        <w:t>ells were seeded in 9</w:t>
      </w:r>
      <w:r w:rsidR="00A54BFC">
        <w:rPr>
          <w:rFonts w:ascii="Arial" w:hAnsi="Arial" w:cs="Arial"/>
        </w:rPr>
        <w:t>6</w:t>
      </w:r>
      <w:r>
        <w:rPr>
          <w:rFonts w:ascii="Arial" w:hAnsi="Arial" w:cs="Arial"/>
        </w:rPr>
        <w:t>-well plates and treated with cytokines alone, or in combination with EETs</w:t>
      </w:r>
      <w:r w:rsidR="004F3CE2">
        <w:rPr>
          <w:rFonts w:ascii="Arial" w:hAnsi="Arial" w:cs="Arial"/>
        </w:rPr>
        <w:t xml:space="preserve"> or DHETs</w:t>
      </w:r>
      <w:r>
        <w:rPr>
          <w:rFonts w:ascii="Arial" w:hAnsi="Arial" w:cs="Arial"/>
        </w:rPr>
        <w:t>. After 24 hours nitrite concentrations (µM) in cell supernatants were determine</w:t>
      </w:r>
      <w:r w:rsidR="00FC6D50">
        <w:rPr>
          <w:rFonts w:ascii="Arial" w:hAnsi="Arial" w:cs="Arial"/>
        </w:rPr>
        <w:t>d</w:t>
      </w:r>
      <w:r>
        <w:rPr>
          <w:rFonts w:ascii="Arial" w:hAnsi="Arial" w:cs="Arial"/>
        </w:rPr>
        <w:t xml:space="preserve"> using Griess reagent (1% sulphanilamide in 5% orthophosphoric acid and 0.1% </w:t>
      </w:r>
      <w:r w:rsidRPr="00092F62">
        <w:rPr>
          <w:rFonts w:ascii="Arial" w:hAnsi="Arial" w:cs="Arial"/>
        </w:rPr>
        <w:t>N-(1-Naphthyl)ethylenediamine dihydrochloride</w:t>
      </w:r>
      <w:r>
        <w:rPr>
          <w:rFonts w:ascii="Arial" w:hAnsi="Arial" w:cs="Arial"/>
        </w:rPr>
        <w:t xml:space="preserve">) relative to a sodium nitrite calibration graph (0-100µM), with absorbance measured at 540nm. </w:t>
      </w:r>
    </w:p>
    <w:p w:rsidR="002861C8" w:rsidRDefault="002861C8" w:rsidP="00BC3627">
      <w:pPr>
        <w:spacing w:line="480" w:lineRule="auto"/>
        <w:rPr>
          <w:rFonts w:ascii="Arial" w:hAnsi="Arial" w:cs="Arial"/>
          <w:i/>
        </w:rPr>
      </w:pPr>
      <w:r>
        <w:rPr>
          <w:rFonts w:ascii="Arial" w:hAnsi="Arial" w:cs="Arial"/>
          <w:i/>
        </w:rPr>
        <w:t>Statistical analysis</w:t>
      </w:r>
    </w:p>
    <w:p w:rsidR="0012153E" w:rsidRDefault="00A61C63" w:rsidP="00BC3627">
      <w:pPr>
        <w:spacing w:line="480" w:lineRule="auto"/>
        <w:rPr>
          <w:rFonts w:ascii="Arial" w:hAnsi="Arial" w:cs="Arial"/>
        </w:rPr>
      </w:pPr>
      <w:r>
        <w:rPr>
          <w:rFonts w:ascii="Arial" w:hAnsi="Arial" w:cs="Arial"/>
        </w:rPr>
        <w:t xml:space="preserve">Graphed results are expressed as mean </w:t>
      </w:r>
      <w:r w:rsidR="0077568E">
        <w:rPr>
          <w:rFonts w:ascii="Arial" w:hAnsi="Arial" w:cs="Arial"/>
        </w:rPr>
        <w:t>(</w:t>
      </w:r>
      <w:r>
        <w:rPr>
          <w:rFonts w:ascii="Arial" w:hAnsi="Arial" w:cs="Arial"/>
        </w:rPr>
        <w:t>+/- SEM</w:t>
      </w:r>
      <w:r w:rsidR="0077568E">
        <w:rPr>
          <w:rFonts w:ascii="Arial" w:hAnsi="Arial" w:cs="Arial"/>
        </w:rPr>
        <w:t>)</w:t>
      </w:r>
      <w:r>
        <w:rPr>
          <w:rFonts w:ascii="Arial" w:hAnsi="Arial" w:cs="Arial"/>
        </w:rPr>
        <w:t xml:space="preserve">. Statistical analysis was carried out using one-way </w:t>
      </w:r>
      <w:r w:rsidR="00FC6D50">
        <w:rPr>
          <w:rFonts w:ascii="Arial" w:hAnsi="Arial" w:cs="Arial"/>
        </w:rPr>
        <w:t xml:space="preserve">or two-way </w:t>
      </w:r>
      <w:r>
        <w:rPr>
          <w:rFonts w:ascii="Arial" w:hAnsi="Arial" w:cs="Arial"/>
        </w:rPr>
        <w:t>ANOVA and Tuk</w:t>
      </w:r>
      <w:r w:rsidR="00A47D16">
        <w:rPr>
          <w:rFonts w:ascii="Arial" w:hAnsi="Arial" w:cs="Arial"/>
        </w:rPr>
        <w:t xml:space="preserve">ey’s </w:t>
      </w:r>
      <w:r w:rsidR="008437F8">
        <w:rPr>
          <w:rFonts w:ascii="Arial" w:hAnsi="Arial" w:cs="Arial"/>
        </w:rPr>
        <w:t xml:space="preserve">or Bonferroni’s </w:t>
      </w:r>
      <w:r w:rsidR="00A47D16">
        <w:rPr>
          <w:rFonts w:ascii="Arial" w:hAnsi="Arial" w:cs="Arial"/>
        </w:rPr>
        <w:t>post hoc test with GraphP</w:t>
      </w:r>
      <w:r>
        <w:rPr>
          <w:rFonts w:ascii="Arial" w:hAnsi="Arial" w:cs="Arial"/>
        </w:rPr>
        <w:t xml:space="preserve">ad Prism. </w:t>
      </w:r>
    </w:p>
    <w:p w:rsidR="00FC6D50" w:rsidRDefault="00FC6D50" w:rsidP="00BC3627">
      <w:pPr>
        <w:spacing w:line="480" w:lineRule="auto"/>
        <w:rPr>
          <w:rFonts w:ascii="Arial" w:hAnsi="Arial" w:cs="Arial"/>
        </w:rPr>
      </w:pPr>
    </w:p>
    <w:p w:rsidR="002861C8" w:rsidRDefault="002861C8" w:rsidP="00BC3627">
      <w:pPr>
        <w:spacing w:line="480" w:lineRule="auto"/>
        <w:rPr>
          <w:rFonts w:ascii="Arial" w:hAnsi="Arial" w:cs="Arial"/>
          <w:b/>
        </w:rPr>
      </w:pPr>
      <w:r>
        <w:rPr>
          <w:rFonts w:ascii="Arial" w:hAnsi="Arial" w:cs="Arial"/>
          <w:b/>
        </w:rPr>
        <w:t>Results</w:t>
      </w:r>
    </w:p>
    <w:p w:rsidR="002C5EC5" w:rsidRDefault="002861C8" w:rsidP="002C5EC5">
      <w:pPr>
        <w:spacing w:line="480" w:lineRule="auto"/>
        <w:rPr>
          <w:rFonts w:ascii="Arial" w:hAnsi="Arial" w:cs="Arial"/>
        </w:rPr>
      </w:pPr>
      <w:r>
        <w:rPr>
          <w:rFonts w:ascii="Arial" w:hAnsi="Arial" w:cs="Arial"/>
        </w:rPr>
        <w:t>Exposure of BRIN-BD11 cells to a cocktail o</w:t>
      </w:r>
      <w:r w:rsidR="00A61C63">
        <w:rPr>
          <w:rFonts w:ascii="Arial" w:hAnsi="Arial" w:cs="Arial"/>
        </w:rPr>
        <w:t>f</w:t>
      </w:r>
      <w:r>
        <w:rPr>
          <w:rFonts w:ascii="Arial" w:hAnsi="Arial" w:cs="Arial"/>
        </w:rPr>
        <w:t xml:space="preserve"> pro-inflammatory cytokines </w:t>
      </w:r>
      <w:r w:rsidR="00FC6D50">
        <w:rPr>
          <w:rFonts w:ascii="Arial" w:hAnsi="Arial" w:cs="Arial"/>
        </w:rPr>
        <w:t xml:space="preserve">for </w:t>
      </w:r>
      <w:r>
        <w:rPr>
          <w:rFonts w:ascii="Arial" w:hAnsi="Arial" w:cs="Arial"/>
        </w:rPr>
        <w:t>24 hours significantly</w:t>
      </w:r>
      <w:r w:rsidR="0012153E">
        <w:rPr>
          <w:rFonts w:ascii="Arial" w:hAnsi="Arial" w:cs="Arial"/>
        </w:rPr>
        <w:t xml:space="preserve"> reduced viable cell number</w:t>
      </w:r>
      <w:r>
        <w:rPr>
          <w:rFonts w:ascii="Arial" w:hAnsi="Arial" w:cs="Arial"/>
        </w:rPr>
        <w:t xml:space="preserve"> (</w:t>
      </w:r>
      <w:r w:rsidRPr="002C362A">
        <w:rPr>
          <w:rFonts w:ascii="Arial" w:hAnsi="Arial" w:cs="Arial"/>
          <w:i/>
        </w:rPr>
        <w:t>P</w:t>
      </w:r>
      <w:r>
        <w:rPr>
          <w:rFonts w:ascii="Arial" w:hAnsi="Arial" w:cs="Arial"/>
        </w:rPr>
        <w:t>&lt;0.05)</w:t>
      </w:r>
      <w:r w:rsidR="009F6620">
        <w:rPr>
          <w:rFonts w:ascii="Arial" w:hAnsi="Arial" w:cs="Arial"/>
        </w:rPr>
        <w:t>, an</w:t>
      </w:r>
      <w:r>
        <w:rPr>
          <w:rFonts w:ascii="Arial" w:hAnsi="Arial" w:cs="Arial"/>
        </w:rPr>
        <w:t xml:space="preserve"> effect attenuated by </w:t>
      </w:r>
      <w:r w:rsidR="005271A4">
        <w:rPr>
          <w:rFonts w:ascii="Arial" w:hAnsi="Arial" w:cs="Arial"/>
        </w:rPr>
        <w:t>co-incubation with all EETs</w:t>
      </w:r>
      <w:r w:rsidR="009F6620">
        <w:rPr>
          <w:rFonts w:ascii="Arial" w:hAnsi="Arial" w:cs="Arial"/>
        </w:rPr>
        <w:t xml:space="preserve"> (Figure 1A)</w:t>
      </w:r>
      <w:r w:rsidR="005271A4">
        <w:rPr>
          <w:rFonts w:ascii="Arial" w:hAnsi="Arial" w:cs="Arial"/>
        </w:rPr>
        <w:t xml:space="preserve">, such that cell viability increased </w:t>
      </w:r>
      <w:r w:rsidR="00FF639A">
        <w:rPr>
          <w:rFonts w:ascii="Arial" w:hAnsi="Arial" w:cs="Arial"/>
        </w:rPr>
        <w:t>~2-fold</w:t>
      </w:r>
      <w:r w:rsidR="005271A4">
        <w:rPr>
          <w:rFonts w:ascii="Arial" w:hAnsi="Arial" w:cs="Arial"/>
        </w:rPr>
        <w:t xml:space="preserve"> compared to cytokine treatment alone</w:t>
      </w:r>
      <w:r w:rsidR="009F6620">
        <w:rPr>
          <w:rFonts w:ascii="Arial" w:hAnsi="Arial" w:cs="Arial"/>
        </w:rPr>
        <w:t xml:space="preserve"> (</w:t>
      </w:r>
      <w:r w:rsidR="009F6620" w:rsidRPr="00010453">
        <w:rPr>
          <w:rFonts w:ascii="Arial" w:hAnsi="Arial" w:cs="Arial"/>
          <w:i/>
        </w:rPr>
        <w:t>P</w:t>
      </w:r>
      <w:r w:rsidR="009F6620">
        <w:rPr>
          <w:rFonts w:ascii="Arial" w:hAnsi="Arial" w:cs="Arial"/>
        </w:rPr>
        <w:t>&lt;0.05)</w:t>
      </w:r>
      <w:r w:rsidR="005271A4">
        <w:rPr>
          <w:rFonts w:ascii="Arial" w:hAnsi="Arial" w:cs="Arial"/>
        </w:rPr>
        <w:t>. Effects of EETs on cytokine-induced BRIN-BD11 cell death were mirrored in assays of caspase activation</w:t>
      </w:r>
      <w:r w:rsidR="009F6620">
        <w:rPr>
          <w:rFonts w:ascii="Arial" w:hAnsi="Arial" w:cs="Arial"/>
        </w:rPr>
        <w:t xml:space="preserve"> (Figure 1B</w:t>
      </w:r>
      <w:r w:rsidR="00AC0CF9">
        <w:rPr>
          <w:rFonts w:ascii="Arial" w:hAnsi="Arial" w:cs="Arial"/>
        </w:rPr>
        <w:t>-G</w:t>
      </w:r>
      <w:r w:rsidR="009F6620">
        <w:rPr>
          <w:rFonts w:ascii="Arial" w:hAnsi="Arial" w:cs="Arial"/>
        </w:rPr>
        <w:t>)</w:t>
      </w:r>
      <w:r w:rsidR="005271A4">
        <w:rPr>
          <w:rFonts w:ascii="Arial" w:hAnsi="Arial" w:cs="Arial"/>
        </w:rPr>
        <w:t xml:space="preserve">, </w:t>
      </w:r>
      <w:r w:rsidR="006F2A85">
        <w:rPr>
          <w:rFonts w:ascii="Arial" w:hAnsi="Arial" w:cs="Arial"/>
        </w:rPr>
        <w:t>whereby</w:t>
      </w:r>
      <w:r w:rsidR="005271A4">
        <w:rPr>
          <w:rFonts w:ascii="Arial" w:hAnsi="Arial" w:cs="Arial"/>
        </w:rPr>
        <w:t xml:space="preserve"> cytokines increased the percentage of cells displaying c</w:t>
      </w:r>
      <w:r w:rsidR="007C42D4">
        <w:rPr>
          <w:rFonts w:ascii="Arial" w:hAnsi="Arial" w:cs="Arial"/>
        </w:rPr>
        <w:t xml:space="preserve">aspase activation from </w:t>
      </w:r>
      <w:r w:rsidR="00FF639A">
        <w:rPr>
          <w:rFonts w:ascii="Arial" w:hAnsi="Arial" w:cs="Arial"/>
        </w:rPr>
        <w:t>14</w:t>
      </w:r>
      <w:r w:rsidR="007C42D4">
        <w:rPr>
          <w:rFonts w:ascii="Arial" w:hAnsi="Arial" w:cs="Arial"/>
        </w:rPr>
        <w:t xml:space="preserve">% to </w:t>
      </w:r>
      <w:r w:rsidR="00FF639A">
        <w:rPr>
          <w:rFonts w:ascii="Arial" w:hAnsi="Arial" w:cs="Arial"/>
        </w:rPr>
        <w:t>35.4</w:t>
      </w:r>
      <w:r w:rsidR="007C42D4">
        <w:rPr>
          <w:rFonts w:ascii="Arial" w:hAnsi="Arial" w:cs="Arial"/>
        </w:rPr>
        <w:t>%</w:t>
      </w:r>
      <w:r w:rsidR="005271A4">
        <w:rPr>
          <w:rFonts w:ascii="Arial" w:hAnsi="Arial" w:cs="Arial"/>
        </w:rPr>
        <w:t xml:space="preserve">, </w:t>
      </w:r>
      <w:r w:rsidR="007C42D4">
        <w:rPr>
          <w:rFonts w:ascii="Arial" w:hAnsi="Arial" w:cs="Arial"/>
        </w:rPr>
        <w:t>reduc</w:t>
      </w:r>
      <w:r w:rsidR="006F2A85">
        <w:rPr>
          <w:rFonts w:ascii="Arial" w:hAnsi="Arial" w:cs="Arial"/>
        </w:rPr>
        <w:t>ing</w:t>
      </w:r>
      <w:r w:rsidR="005271A4">
        <w:rPr>
          <w:rFonts w:ascii="Arial" w:hAnsi="Arial" w:cs="Arial"/>
        </w:rPr>
        <w:t xml:space="preserve"> </w:t>
      </w:r>
      <w:r w:rsidR="009F6620">
        <w:rPr>
          <w:rFonts w:ascii="Arial" w:hAnsi="Arial" w:cs="Arial"/>
        </w:rPr>
        <w:t>to control levels</w:t>
      </w:r>
      <w:r w:rsidR="00965B4F">
        <w:rPr>
          <w:rFonts w:ascii="Arial" w:hAnsi="Arial" w:cs="Arial"/>
        </w:rPr>
        <w:t xml:space="preserve"> in the presence</w:t>
      </w:r>
      <w:r w:rsidR="005271A4">
        <w:rPr>
          <w:rFonts w:ascii="Arial" w:hAnsi="Arial" w:cs="Arial"/>
        </w:rPr>
        <w:t xml:space="preserve"> of each EET</w:t>
      </w:r>
      <w:r w:rsidR="007C42D4">
        <w:rPr>
          <w:rFonts w:ascii="Arial" w:hAnsi="Arial" w:cs="Arial"/>
        </w:rPr>
        <w:t xml:space="preserve"> (</w:t>
      </w:r>
      <w:r w:rsidR="007C42D4" w:rsidRPr="002C362A">
        <w:rPr>
          <w:rFonts w:ascii="Arial" w:hAnsi="Arial" w:cs="Arial"/>
          <w:i/>
        </w:rPr>
        <w:t>P</w:t>
      </w:r>
      <w:r w:rsidR="007C42D4">
        <w:rPr>
          <w:rFonts w:ascii="Arial" w:hAnsi="Arial" w:cs="Arial"/>
        </w:rPr>
        <w:t>&lt;0.05</w:t>
      </w:r>
      <w:r w:rsidR="00A54BFC">
        <w:rPr>
          <w:rFonts w:ascii="Arial" w:hAnsi="Arial" w:cs="Arial"/>
        </w:rPr>
        <w:t xml:space="preserve"> vs. cytokine treatment alone</w:t>
      </w:r>
      <w:r w:rsidR="007C42D4">
        <w:rPr>
          <w:rFonts w:ascii="Arial" w:hAnsi="Arial" w:cs="Arial"/>
        </w:rPr>
        <w:t>)</w:t>
      </w:r>
      <w:r w:rsidR="005271A4">
        <w:rPr>
          <w:rFonts w:ascii="Arial" w:hAnsi="Arial" w:cs="Arial"/>
        </w:rPr>
        <w:t xml:space="preserve">. </w:t>
      </w:r>
      <w:r w:rsidR="002C362A">
        <w:rPr>
          <w:rFonts w:ascii="Arial" w:hAnsi="Arial" w:cs="Arial"/>
        </w:rPr>
        <w:t>Given the widely reported view that DHET products of EET metabolism display considerably reduced biological activity to EETs, we sought to determine whether DHETs could confer any protection against cytokine toxicity in BRIN-BD11 cells. As would be expected, co-incubation with 11(12)-DHET and 14(15)-DHET failed to attenuate cytokine toxicity (</w:t>
      </w:r>
      <w:r w:rsidR="002C362A" w:rsidRPr="002C362A">
        <w:rPr>
          <w:rFonts w:ascii="Arial" w:hAnsi="Arial" w:cs="Arial"/>
          <w:i/>
        </w:rPr>
        <w:t>P</w:t>
      </w:r>
      <w:r w:rsidR="002C362A">
        <w:rPr>
          <w:rFonts w:ascii="Arial" w:hAnsi="Arial" w:cs="Arial"/>
        </w:rPr>
        <w:t xml:space="preserve">&gt;0.05 vs. cytokine </w:t>
      </w:r>
      <w:r w:rsidR="002C362A">
        <w:rPr>
          <w:rFonts w:ascii="Arial" w:hAnsi="Arial" w:cs="Arial"/>
        </w:rPr>
        <w:lastRenderedPageBreak/>
        <w:t xml:space="preserve">treatment alone), as assessed by both vital dye staining </w:t>
      </w:r>
      <w:r w:rsidR="00AC0CF9">
        <w:rPr>
          <w:rFonts w:ascii="Arial" w:hAnsi="Arial" w:cs="Arial"/>
        </w:rPr>
        <w:t>and caspase activation (Figure 2</w:t>
      </w:r>
      <w:r w:rsidR="002C362A">
        <w:rPr>
          <w:rFonts w:ascii="Arial" w:hAnsi="Arial" w:cs="Arial"/>
        </w:rPr>
        <w:t>). However, surprisingly 8(9)-DHET did protect against cytokine toxicity, such that viable cell number was increased ~2-fold, an effect associated with a significant reduction in caspase activation from 41.3% to 21.7% (</w:t>
      </w:r>
      <w:r w:rsidR="002C362A" w:rsidRPr="002C362A">
        <w:rPr>
          <w:rFonts w:ascii="Arial" w:hAnsi="Arial" w:cs="Arial"/>
          <w:i/>
        </w:rPr>
        <w:t>P</w:t>
      </w:r>
      <w:r w:rsidR="002C362A">
        <w:rPr>
          <w:rFonts w:ascii="Arial" w:hAnsi="Arial" w:cs="Arial"/>
        </w:rPr>
        <w:t xml:space="preserve">&lt;0.05), with activity comparable to 8(9)-EET. </w:t>
      </w:r>
    </w:p>
    <w:p w:rsidR="002C5EC5" w:rsidRDefault="002C362A" w:rsidP="002C5EC5">
      <w:pPr>
        <w:spacing w:line="480" w:lineRule="auto"/>
        <w:rPr>
          <w:rFonts w:ascii="Arial" w:hAnsi="Arial" w:cs="Arial"/>
        </w:rPr>
      </w:pPr>
      <w:r>
        <w:rPr>
          <w:rFonts w:ascii="Arial" w:hAnsi="Arial" w:cs="Arial"/>
        </w:rPr>
        <w:t>T</w:t>
      </w:r>
      <w:r w:rsidR="005271A4">
        <w:rPr>
          <w:rFonts w:ascii="Arial" w:hAnsi="Arial" w:cs="Arial"/>
        </w:rPr>
        <w:t xml:space="preserve">o further explore potential mechanisms of EET </w:t>
      </w:r>
      <w:r>
        <w:rPr>
          <w:rFonts w:ascii="Arial" w:hAnsi="Arial" w:cs="Arial"/>
        </w:rPr>
        <w:t>and 8(</w:t>
      </w:r>
      <w:r w:rsidR="002C5EC5">
        <w:rPr>
          <w:rFonts w:ascii="Arial" w:hAnsi="Arial" w:cs="Arial"/>
        </w:rPr>
        <w:t>9)</w:t>
      </w:r>
      <w:r>
        <w:rPr>
          <w:rFonts w:ascii="Arial" w:hAnsi="Arial" w:cs="Arial"/>
        </w:rPr>
        <w:t xml:space="preserve">-DHET </w:t>
      </w:r>
      <w:r w:rsidR="005271A4">
        <w:rPr>
          <w:rFonts w:ascii="Arial" w:hAnsi="Arial" w:cs="Arial"/>
        </w:rPr>
        <w:t>action against pro-inflammatory cytokine toxicity, activation of the transcription factor NF</w:t>
      </w:r>
      <w:r w:rsidR="00092F62">
        <w:rPr>
          <w:rFonts w:ascii="Arial" w:hAnsi="Arial" w:cs="Arial"/>
        </w:rPr>
        <w:sym w:font="Symbol" w:char="F06B"/>
      </w:r>
      <w:r w:rsidR="005271A4">
        <w:rPr>
          <w:rFonts w:ascii="Arial" w:hAnsi="Arial" w:cs="Arial"/>
        </w:rPr>
        <w:t>B w</w:t>
      </w:r>
      <w:r w:rsidR="006F2A85">
        <w:rPr>
          <w:rFonts w:ascii="Arial" w:hAnsi="Arial" w:cs="Arial"/>
        </w:rPr>
        <w:t>as</w:t>
      </w:r>
      <w:r w:rsidR="005271A4">
        <w:rPr>
          <w:rFonts w:ascii="Arial" w:hAnsi="Arial" w:cs="Arial"/>
        </w:rPr>
        <w:t xml:space="preserve"> investigated using </w:t>
      </w:r>
      <w:r w:rsidR="003E383F">
        <w:rPr>
          <w:rFonts w:ascii="Arial" w:hAnsi="Arial" w:cs="Arial"/>
        </w:rPr>
        <w:t>a</w:t>
      </w:r>
      <w:r w:rsidR="00092F62">
        <w:rPr>
          <w:rFonts w:ascii="Arial" w:hAnsi="Arial" w:cs="Arial"/>
        </w:rPr>
        <w:t>n</w:t>
      </w:r>
      <w:r w:rsidR="003E383F">
        <w:rPr>
          <w:rFonts w:ascii="Arial" w:hAnsi="Arial" w:cs="Arial"/>
        </w:rPr>
        <w:t xml:space="preserve"> </w:t>
      </w:r>
      <w:r w:rsidR="00092F62">
        <w:rPr>
          <w:rFonts w:ascii="Arial" w:hAnsi="Arial" w:cs="Arial"/>
        </w:rPr>
        <w:t>NF</w:t>
      </w:r>
      <w:r w:rsidR="00092F62">
        <w:rPr>
          <w:rFonts w:ascii="Arial" w:hAnsi="Arial" w:cs="Arial"/>
        </w:rPr>
        <w:sym w:font="Symbol" w:char="F06B"/>
      </w:r>
      <w:r w:rsidR="00092F62">
        <w:rPr>
          <w:rFonts w:ascii="Arial" w:hAnsi="Arial" w:cs="Arial"/>
        </w:rPr>
        <w:t>B</w:t>
      </w:r>
      <w:r w:rsidR="003E383F">
        <w:rPr>
          <w:rFonts w:ascii="Arial" w:hAnsi="Arial" w:cs="Arial"/>
        </w:rPr>
        <w:t xml:space="preserve"> luciferase report</w:t>
      </w:r>
      <w:r w:rsidR="00AB720E">
        <w:rPr>
          <w:rFonts w:ascii="Arial" w:hAnsi="Arial" w:cs="Arial"/>
        </w:rPr>
        <w:t>er</w:t>
      </w:r>
      <w:r w:rsidR="003E383F">
        <w:rPr>
          <w:rFonts w:ascii="Arial" w:hAnsi="Arial" w:cs="Arial"/>
        </w:rPr>
        <w:t xml:space="preserve"> assay</w:t>
      </w:r>
      <w:r w:rsidR="009F6620">
        <w:rPr>
          <w:rFonts w:ascii="Arial" w:hAnsi="Arial" w:cs="Arial"/>
        </w:rPr>
        <w:t xml:space="preserve"> (Figure </w:t>
      </w:r>
      <w:r w:rsidR="00AC0CF9">
        <w:rPr>
          <w:rFonts w:ascii="Arial" w:hAnsi="Arial" w:cs="Arial"/>
        </w:rPr>
        <w:t>3A</w:t>
      </w:r>
      <w:r w:rsidR="009F6620">
        <w:rPr>
          <w:rFonts w:ascii="Arial" w:hAnsi="Arial" w:cs="Arial"/>
        </w:rPr>
        <w:t>)</w:t>
      </w:r>
      <w:r w:rsidR="005271A4">
        <w:rPr>
          <w:rFonts w:ascii="Arial" w:hAnsi="Arial" w:cs="Arial"/>
        </w:rPr>
        <w:t xml:space="preserve">. As expected, cytokine treatment increased </w:t>
      </w:r>
      <w:r w:rsidR="00092F62">
        <w:rPr>
          <w:rFonts w:ascii="Arial" w:hAnsi="Arial" w:cs="Arial"/>
        </w:rPr>
        <w:t>NF</w:t>
      </w:r>
      <w:r w:rsidR="00092F62">
        <w:rPr>
          <w:rFonts w:ascii="Arial" w:hAnsi="Arial" w:cs="Arial"/>
        </w:rPr>
        <w:sym w:font="Symbol" w:char="F06B"/>
      </w:r>
      <w:r w:rsidR="00092F62">
        <w:rPr>
          <w:rFonts w:ascii="Arial" w:hAnsi="Arial" w:cs="Arial"/>
        </w:rPr>
        <w:t>B</w:t>
      </w:r>
      <w:r w:rsidR="00010453">
        <w:rPr>
          <w:rFonts w:ascii="Arial" w:hAnsi="Arial" w:cs="Arial"/>
        </w:rPr>
        <w:t xml:space="preserve"> activity</w:t>
      </w:r>
      <w:r w:rsidR="00FF639A">
        <w:rPr>
          <w:rFonts w:ascii="Arial" w:hAnsi="Arial" w:cs="Arial"/>
        </w:rPr>
        <w:t xml:space="preserve"> </w:t>
      </w:r>
      <w:r w:rsidR="00965B4F">
        <w:rPr>
          <w:rFonts w:ascii="Arial" w:hAnsi="Arial" w:cs="Arial"/>
        </w:rPr>
        <w:t>~4</w:t>
      </w:r>
      <w:r w:rsidR="005271A4">
        <w:rPr>
          <w:rFonts w:ascii="Arial" w:hAnsi="Arial" w:cs="Arial"/>
        </w:rPr>
        <w:t xml:space="preserve">-fold compared to control and, in support of their action against cytokine-induced cell death and apoptosis, inclusion of all EETs significantly reduced </w:t>
      </w:r>
      <w:r w:rsidR="00092F62">
        <w:rPr>
          <w:rFonts w:ascii="Arial" w:hAnsi="Arial" w:cs="Arial"/>
        </w:rPr>
        <w:t>NF</w:t>
      </w:r>
      <w:r w:rsidR="00092F62">
        <w:rPr>
          <w:rFonts w:ascii="Arial" w:hAnsi="Arial" w:cs="Arial"/>
        </w:rPr>
        <w:sym w:font="Symbol" w:char="F06B"/>
      </w:r>
      <w:r w:rsidR="00092F62">
        <w:rPr>
          <w:rFonts w:ascii="Arial" w:hAnsi="Arial" w:cs="Arial"/>
        </w:rPr>
        <w:t>B</w:t>
      </w:r>
      <w:r w:rsidR="005271A4">
        <w:rPr>
          <w:rFonts w:ascii="Arial" w:hAnsi="Arial" w:cs="Arial"/>
        </w:rPr>
        <w:t xml:space="preserve"> activation </w:t>
      </w:r>
      <w:r w:rsidR="00FF639A">
        <w:rPr>
          <w:rFonts w:ascii="Arial" w:hAnsi="Arial" w:cs="Arial"/>
        </w:rPr>
        <w:t>by ~3</w:t>
      </w:r>
      <w:r w:rsidR="00A5525C">
        <w:rPr>
          <w:rFonts w:ascii="Arial" w:hAnsi="Arial" w:cs="Arial"/>
        </w:rPr>
        <w:t>4</w:t>
      </w:r>
      <w:r w:rsidR="00FF639A">
        <w:rPr>
          <w:rFonts w:ascii="Arial" w:hAnsi="Arial" w:cs="Arial"/>
        </w:rPr>
        <w:t xml:space="preserve">% </w:t>
      </w:r>
      <w:r w:rsidR="005271A4">
        <w:rPr>
          <w:rFonts w:ascii="Arial" w:hAnsi="Arial" w:cs="Arial"/>
        </w:rPr>
        <w:t>in response to cytokine treatment</w:t>
      </w:r>
      <w:r w:rsidR="00FF639A">
        <w:rPr>
          <w:rFonts w:ascii="Arial" w:hAnsi="Arial" w:cs="Arial"/>
        </w:rPr>
        <w:t xml:space="preserve"> (</w:t>
      </w:r>
      <w:r>
        <w:rPr>
          <w:rFonts w:ascii="Arial" w:hAnsi="Arial" w:cs="Arial"/>
        </w:rPr>
        <w:t xml:space="preserve">Figure </w:t>
      </w:r>
      <w:r w:rsidR="00010453">
        <w:rPr>
          <w:rFonts w:ascii="Arial" w:hAnsi="Arial" w:cs="Arial"/>
        </w:rPr>
        <w:t>3</w:t>
      </w:r>
      <w:r>
        <w:rPr>
          <w:rFonts w:ascii="Arial" w:hAnsi="Arial" w:cs="Arial"/>
        </w:rPr>
        <w:t xml:space="preserve">A, </w:t>
      </w:r>
      <w:r w:rsidR="00FF639A" w:rsidRPr="002C362A">
        <w:rPr>
          <w:rFonts w:ascii="Arial" w:hAnsi="Arial" w:cs="Arial"/>
          <w:i/>
        </w:rPr>
        <w:t>P</w:t>
      </w:r>
      <w:r w:rsidR="00FF639A">
        <w:rPr>
          <w:rFonts w:ascii="Arial" w:hAnsi="Arial" w:cs="Arial"/>
        </w:rPr>
        <w:t>&lt;0.05)</w:t>
      </w:r>
      <w:r w:rsidR="005271A4">
        <w:rPr>
          <w:rFonts w:ascii="Arial" w:hAnsi="Arial" w:cs="Arial"/>
        </w:rPr>
        <w:t>.</w:t>
      </w:r>
      <w:r>
        <w:rPr>
          <w:rFonts w:ascii="Arial" w:hAnsi="Arial" w:cs="Arial"/>
        </w:rPr>
        <w:t xml:space="preserve"> Similarly, NF</w:t>
      </w:r>
      <w:r>
        <w:rPr>
          <w:rFonts w:ascii="Arial" w:hAnsi="Arial" w:cs="Arial"/>
        </w:rPr>
        <w:sym w:font="Symbol" w:char="F06B"/>
      </w:r>
      <w:r>
        <w:rPr>
          <w:rFonts w:ascii="Arial" w:hAnsi="Arial" w:cs="Arial"/>
        </w:rPr>
        <w:t>B activity was reduced in the presence of 8(9)- but not 11(12)- or 14(15)</w:t>
      </w:r>
      <w:r w:rsidR="00A5525C">
        <w:rPr>
          <w:rFonts w:ascii="Arial" w:hAnsi="Arial" w:cs="Arial"/>
        </w:rPr>
        <w:t>-</w:t>
      </w:r>
      <w:r>
        <w:rPr>
          <w:rFonts w:ascii="Arial" w:hAnsi="Arial" w:cs="Arial"/>
        </w:rPr>
        <w:t>DHET (</w:t>
      </w:r>
      <w:r w:rsidR="00AC0CF9">
        <w:rPr>
          <w:rFonts w:ascii="Arial" w:hAnsi="Arial" w:cs="Arial"/>
        </w:rPr>
        <w:t>Figure 3</w:t>
      </w:r>
      <w:r w:rsidR="002C5EC5">
        <w:rPr>
          <w:rFonts w:ascii="Arial" w:hAnsi="Arial" w:cs="Arial"/>
        </w:rPr>
        <w:t>B).</w:t>
      </w:r>
      <w:r w:rsidR="002C5EC5" w:rsidRPr="002C5EC5">
        <w:rPr>
          <w:rFonts w:ascii="Arial" w:hAnsi="Arial" w:cs="Arial"/>
        </w:rPr>
        <w:t xml:space="preserve"> </w:t>
      </w:r>
      <w:r w:rsidR="002C5EC5">
        <w:rPr>
          <w:rFonts w:ascii="Arial" w:hAnsi="Arial" w:cs="Arial"/>
        </w:rPr>
        <w:t>In</w:t>
      </w:r>
      <w:r w:rsidR="00AC0CF9">
        <w:rPr>
          <w:rFonts w:ascii="Arial" w:hAnsi="Arial" w:cs="Arial"/>
        </w:rPr>
        <w:t>creased nitrite levels (Figure 3</w:t>
      </w:r>
      <w:r w:rsidR="002C5EC5">
        <w:rPr>
          <w:rFonts w:ascii="Arial" w:hAnsi="Arial" w:cs="Arial"/>
        </w:rPr>
        <w:t>C), reflective of cytokine-induced NO production, were also reduced in co-treatment with all EETs by ~62% compared to cytokine treatment alone (</w:t>
      </w:r>
      <w:r w:rsidR="002C5EC5" w:rsidRPr="002C5EC5">
        <w:rPr>
          <w:rFonts w:ascii="Arial" w:hAnsi="Arial" w:cs="Arial"/>
          <w:i/>
        </w:rPr>
        <w:t>P</w:t>
      </w:r>
      <w:r w:rsidR="002C5EC5">
        <w:rPr>
          <w:rFonts w:ascii="Arial" w:hAnsi="Arial" w:cs="Arial"/>
        </w:rPr>
        <w:t>&lt;0.05), however, such a reduction was not observed in the presence of 8(9)-DHET</w:t>
      </w:r>
      <w:r w:rsidR="00AC0CF9">
        <w:rPr>
          <w:rFonts w:ascii="Arial" w:hAnsi="Arial" w:cs="Arial"/>
        </w:rPr>
        <w:t xml:space="preserve"> (Figure 3D).</w:t>
      </w:r>
    </w:p>
    <w:p w:rsidR="00D43C81" w:rsidRDefault="002C5EC5" w:rsidP="00BC3627">
      <w:pPr>
        <w:spacing w:line="480" w:lineRule="auto"/>
        <w:rPr>
          <w:rFonts w:ascii="Arial" w:hAnsi="Arial" w:cs="Arial"/>
          <w:b/>
        </w:rPr>
      </w:pPr>
      <w:r>
        <w:rPr>
          <w:rFonts w:ascii="Arial" w:hAnsi="Arial" w:cs="Arial"/>
        </w:rPr>
        <w:t>Further exploration of the mechanistic action of EETs and 8(9)-DHET was undertaken using pharmacological inhibition of PPARγ with the same e</w:t>
      </w:r>
      <w:r w:rsidR="0001693B">
        <w:rPr>
          <w:rFonts w:ascii="Arial" w:hAnsi="Arial" w:cs="Arial"/>
        </w:rPr>
        <w:t>xperimental procedures (Figure 4A</w:t>
      </w:r>
      <w:r>
        <w:rPr>
          <w:rFonts w:ascii="Arial" w:hAnsi="Arial" w:cs="Arial"/>
        </w:rPr>
        <w:t xml:space="preserve">). However, the selective </w:t>
      </w:r>
      <w:r w:rsidR="0001693B">
        <w:rPr>
          <w:rFonts w:ascii="Arial" w:hAnsi="Arial" w:cs="Arial"/>
        </w:rPr>
        <w:t>antagonist</w:t>
      </w:r>
      <w:r>
        <w:rPr>
          <w:rFonts w:ascii="Arial" w:hAnsi="Arial" w:cs="Arial"/>
        </w:rPr>
        <w:t xml:space="preserve"> of PPARγ, T0070907</w:t>
      </w:r>
      <w:r w:rsidR="00010453">
        <w:rPr>
          <w:rFonts w:ascii="Arial" w:hAnsi="Arial" w:cs="Arial"/>
        </w:rPr>
        <w:t>,</w:t>
      </w:r>
      <w:r>
        <w:rPr>
          <w:rFonts w:ascii="Arial" w:hAnsi="Arial" w:cs="Arial"/>
        </w:rPr>
        <w:t xml:space="preserve"> failed to reduce the ability of EETs or 8(9)-DHET to protect against cytokine-induced caspase activation. This suggests that EET actions, limiting cytokine-induced NF</w:t>
      </w:r>
      <w:r>
        <w:rPr>
          <w:rFonts w:ascii="Arial" w:hAnsi="Arial" w:cs="Arial"/>
        </w:rPr>
        <w:sym w:font="Symbol" w:char="F06B"/>
      </w:r>
      <w:r>
        <w:rPr>
          <w:rFonts w:ascii="Arial" w:hAnsi="Arial" w:cs="Arial"/>
        </w:rPr>
        <w:t xml:space="preserve">B activation and subsequent induction of caspase activation and loss of cell viability, are independent of any agonistic action of EETs on PPARγ in this beta cell </w:t>
      </w:r>
      <w:r w:rsidR="00A5525C">
        <w:rPr>
          <w:rFonts w:ascii="Arial" w:hAnsi="Arial" w:cs="Arial"/>
        </w:rPr>
        <w:t xml:space="preserve">line </w:t>
      </w:r>
      <w:r>
        <w:rPr>
          <w:rFonts w:ascii="Arial" w:hAnsi="Arial" w:cs="Arial"/>
        </w:rPr>
        <w:t>model. I</w:t>
      </w:r>
      <w:r w:rsidR="00D13D67">
        <w:rPr>
          <w:rFonts w:ascii="Arial" w:hAnsi="Arial" w:cs="Arial"/>
        </w:rPr>
        <w:t xml:space="preserve">n beta cell models of lipotoxicity relevant to type 2 DM, the free carboxylic group of </w:t>
      </w:r>
      <w:r w:rsidR="009F6620">
        <w:rPr>
          <w:rFonts w:ascii="Arial" w:hAnsi="Arial" w:cs="Arial"/>
        </w:rPr>
        <w:t>mono and</w:t>
      </w:r>
      <w:r w:rsidR="00D13D67">
        <w:rPr>
          <w:rFonts w:ascii="Arial" w:hAnsi="Arial" w:cs="Arial"/>
        </w:rPr>
        <w:t xml:space="preserve"> polyunsaturated fatty acid</w:t>
      </w:r>
      <w:r w:rsidR="009F6620">
        <w:rPr>
          <w:rFonts w:ascii="Arial" w:hAnsi="Arial" w:cs="Arial"/>
        </w:rPr>
        <w:t>s, required for their metabolic activation,</w:t>
      </w:r>
      <w:r w:rsidR="00D13D67">
        <w:rPr>
          <w:rFonts w:ascii="Arial" w:hAnsi="Arial" w:cs="Arial"/>
        </w:rPr>
        <w:t xml:space="preserve"> has been </w:t>
      </w:r>
      <w:r w:rsidR="009F6620">
        <w:rPr>
          <w:rFonts w:ascii="Arial" w:hAnsi="Arial" w:cs="Arial"/>
        </w:rPr>
        <w:t xml:space="preserve">shown to be </w:t>
      </w:r>
      <w:r w:rsidR="00FC6D50">
        <w:rPr>
          <w:rFonts w:ascii="Arial" w:hAnsi="Arial" w:cs="Arial"/>
        </w:rPr>
        <w:t>dispensable</w:t>
      </w:r>
      <w:r w:rsidR="009F6620">
        <w:rPr>
          <w:rFonts w:ascii="Arial" w:hAnsi="Arial" w:cs="Arial"/>
        </w:rPr>
        <w:t xml:space="preserve"> for their</w:t>
      </w:r>
      <w:r w:rsidR="00D13D67">
        <w:rPr>
          <w:rFonts w:ascii="Arial" w:hAnsi="Arial" w:cs="Arial"/>
        </w:rPr>
        <w:t xml:space="preserve"> ability to protect against palmitate-induced cell death</w:t>
      </w:r>
      <w:r w:rsidR="009F6620">
        <w:rPr>
          <w:rFonts w:ascii="Arial" w:hAnsi="Arial" w:cs="Arial"/>
        </w:rPr>
        <w:t xml:space="preserve"> </w:t>
      </w:r>
      <w:r w:rsidR="002A1CCD">
        <w:rPr>
          <w:rFonts w:ascii="Arial" w:hAnsi="Arial" w:cs="Arial"/>
        </w:rPr>
        <w:t>[16</w:t>
      </w:r>
      <w:r w:rsidR="00F71726">
        <w:rPr>
          <w:rFonts w:ascii="Arial" w:hAnsi="Arial" w:cs="Arial"/>
        </w:rPr>
        <w:t>]</w:t>
      </w:r>
      <w:r w:rsidR="00D13D67">
        <w:rPr>
          <w:rFonts w:ascii="Arial" w:hAnsi="Arial" w:cs="Arial"/>
        </w:rPr>
        <w:t>. Therefore, a methyl-sulphonamide (SI) derivative of 14</w:t>
      </w:r>
      <w:r w:rsidR="0072769E">
        <w:rPr>
          <w:rFonts w:ascii="Arial" w:hAnsi="Arial" w:cs="Arial"/>
        </w:rPr>
        <w:t>(</w:t>
      </w:r>
      <w:r w:rsidR="00D13D67">
        <w:rPr>
          <w:rFonts w:ascii="Arial" w:hAnsi="Arial" w:cs="Arial"/>
        </w:rPr>
        <w:t>15</w:t>
      </w:r>
      <w:r w:rsidR="0072769E">
        <w:rPr>
          <w:rFonts w:ascii="Arial" w:hAnsi="Arial" w:cs="Arial"/>
        </w:rPr>
        <w:t>)</w:t>
      </w:r>
      <w:r w:rsidR="00D13D67">
        <w:rPr>
          <w:rFonts w:ascii="Arial" w:hAnsi="Arial" w:cs="Arial"/>
        </w:rPr>
        <w:t>-EET,</w:t>
      </w:r>
      <w:r w:rsidR="00A5525C">
        <w:rPr>
          <w:rFonts w:ascii="Arial" w:hAnsi="Arial" w:cs="Arial"/>
        </w:rPr>
        <w:t xml:space="preserve"> a metabolically stable derivative</w:t>
      </w:r>
      <w:r w:rsidR="00D13D67">
        <w:rPr>
          <w:rFonts w:ascii="Arial" w:hAnsi="Arial" w:cs="Arial"/>
        </w:rPr>
        <w:t xml:space="preserve"> which lacks </w:t>
      </w:r>
      <w:r w:rsidR="002D44AE">
        <w:rPr>
          <w:rFonts w:ascii="Arial" w:hAnsi="Arial" w:cs="Arial"/>
        </w:rPr>
        <w:t>the</w:t>
      </w:r>
      <w:r w:rsidR="00D13D67">
        <w:rPr>
          <w:rFonts w:ascii="Arial" w:hAnsi="Arial" w:cs="Arial"/>
        </w:rPr>
        <w:t xml:space="preserve"> free carboxylic acid group </w:t>
      </w:r>
      <w:r w:rsidR="00D13D67">
        <w:rPr>
          <w:rFonts w:ascii="Arial" w:hAnsi="Arial" w:cs="Arial"/>
        </w:rPr>
        <w:lastRenderedPageBreak/>
        <w:t>required for esterification to CoA (necessary for subsequent beta oxidation or membrane esterification)</w:t>
      </w:r>
      <w:r w:rsidR="00272D36">
        <w:rPr>
          <w:rFonts w:ascii="Arial" w:hAnsi="Arial" w:cs="Arial"/>
        </w:rPr>
        <w:t>,</w:t>
      </w:r>
      <w:r w:rsidR="0001693B">
        <w:rPr>
          <w:rFonts w:ascii="Arial" w:hAnsi="Arial" w:cs="Arial"/>
        </w:rPr>
        <w:t xml:space="preserve"> was compared with the free EET</w:t>
      </w:r>
      <w:r w:rsidR="00A5525C">
        <w:rPr>
          <w:rFonts w:ascii="Arial" w:hAnsi="Arial" w:cs="Arial"/>
        </w:rPr>
        <w:t xml:space="preserve">. </w:t>
      </w:r>
      <w:r w:rsidR="00272D36">
        <w:rPr>
          <w:rFonts w:ascii="Arial" w:hAnsi="Arial" w:cs="Arial"/>
        </w:rPr>
        <w:t>Co-incubation of BRIN-BD11 cells with cytokines and 14</w:t>
      </w:r>
      <w:r w:rsidR="0072769E">
        <w:rPr>
          <w:rFonts w:ascii="Arial" w:hAnsi="Arial" w:cs="Arial"/>
        </w:rPr>
        <w:t>(</w:t>
      </w:r>
      <w:r w:rsidR="00272D36">
        <w:rPr>
          <w:rFonts w:ascii="Arial" w:hAnsi="Arial" w:cs="Arial"/>
        </w:rPr>
        <w:t>15</w:t>
      </w:r>
      <w:r w:rsidR="0072769E">
        <w:rPr>
          <w:rFonts w:ascii="Arial" w:hAnsi="Arial" w:cs="Arial"/>
        </w:rPr>
        <w:t>)</w:t>
      </w:r>
      <w:r w:rsidR="00272D36">
        <w:rPr>
          <w:rFonts w:ascii="Arial" w:hAnsi="Arial" w:cs="Arial"/>
        </w:rPr>
        <w:t>-EET, as expected, significantly attenuated the increase in casp</w:t>
      </w:r>
      <w:r w:rsidR="009F6620">
        <w:rPr>
          <w:rFonts w:ascii="Arial" w:hAnsi="Arial" w:cs="Arial"/>
        </w:rPr>
        <w:t>ase activation</w:t>
      </w:r>
      <w:r w:rsidR="00A54BFC">
        <w:rPr>
          <w:rFonts w:ascii="Arial" w:hAnsi="Arial" w:cs="Arial"/>
        </w:rPr>
        <w:t xml:space="preserve"> induced by cytokines</w:t>
      </w:r>
      <w:r w:rsidR="009F6620">
        <w:rPr>
          <w:rFonts w:ascii="Arial" w:hAnsi="Arial" w:cs="Arial"/>
        </w:rPr>
        <w:t xml:space="preserve"> (</w:t>
      </w:r>
      <w:r w:rsidR="009F6620" w:rsidRPr="00A5525C">
        <w:rPr>
          <w:rFonts w:ascii="Arial" w:hAnsi="Arial" w:cs="Arial"/>
          <w:i/>
        </w:rPr>
        <w:t>P</w:t>
      </w:r>
      <w:r w:rsidR="009F6620">
        <w:rPr>
          <w:rFonts w:ascii="Arial" w:hAnsi="Arial" w:cs="Arial"/>
        </w:rPr>
        <w:t>&lt;0.05)</w:t>
      </w:r>
      <w:r w:rsidR="0001693B">
        <w:rPr>
          <w:rFonts w:ascii="Arial" w:hAnsi="Arial" w:cs="Arial"/>
        </w:rPr>
        <w:t xml:space="preserve">, with similar effects observed in the presence of </w:t>
      </w:r>
      <w:r w:rsidR="0072769E">
        <w:rPr>
          <w:rFonts w:ascii="Arial" w:hAnsi="Arial" w:cs="Arial"/>
        </w:rPr>
        <w:t>14(</w:t>
      </w:r>
      <w:r w:rsidR="00272D36">
        <w:rPr>
          <w:rFonts w:ascii="Arial" w:hAnsi="Arial" w:cs="Arial"/>
        </w:rPr>
        <w:t>15</w:t>
      </w:r>
      <w:r w:rsidR="0072769E">
        <w:rPr>
          <w:rFonts w:ascii="Arial" w:hAnsi="Arial" w:cs="Arial"/>
        </w:rPr>
        <w:t>)</w:t>
      </w:r>
      <w:r w:rsidR="00272D36">
        <w:rPr>
          <w:rFonts w:ascii="Arial" w:hAnsi="Arial" w:cs="Arial"/>
        </w:rPr>
        <w:t xml:space="preserve">-EET-SI </w:t>
      </w:r>
      <w:r w:rsidR="009F6620">
        <w:rPr>
          <w:rFonts w:ascii="Arial" w:hAnsi="Arial" w:cs="Arial"/>
        </w:rPr>
        <w:t>(</w:t>
      </w:r>
      <w:r w:rsidR="009F6620" w:rsidRPr="00A5525C">
        <w:rPr>
          <w:rFonts w:ascii="Arial" w:hAnsi="Arial" w:cs="Arial"/>
          <w:i/>
        </w:rPr>
        <w:t>P</w:t>
      </w:r>
      <w:r w:rsidR="009F6620">
        <w:rPr>
          <w:rFonts w:ascii="Arial" w:hAnsi="Arial" w:cs="Arial"/>
        </w:rPr>
        <w:t>&lt;0.05</w:t>
      </w:r>
      <w:r w:rsidR="0001693B">
        <w:rPr>
          <w:rFonts w:ascii="Arial" w:hAnsi="Arial" w:cs="Arial"/>
        </w:rPr>
        <w:t xml:space="preserve"> vs cytokines alone</w:t>
      </w:r>
      <w:r w:rsidR="009F6620">
        <w:rPr>
          <w:rFonts w:ascii="Arial" w:hAnsi="Arial" w:cs="Arial"/>
        </w:rPr>
        <w:t>)</w:t>
      </w:r>
      <w:r w:rsidR="00272D36">
        <w:rPr>
          <w:rFonts w:ascii="Arial" w:hAnsi="Arial" w:cs="Arial"/>
        </w:rPr>
        <w:t>, suggesting that the free carboxylic acid group</w:t>
      </w:r>
      <w:r w:rsidR="0001693B">
        <w:rPr>
          <w:rFonts w:ascii="Arial" w:hAnsi="Arial" w:cs="Arial"/>
        </w:rPr>
        <w:t xml:space="preserve"> and subsequent esterification to CoA</w:t>
      </w:r>
      <w:r w:rsidR="00272D36">
        <w:rPr>
          <w:rFonts w:ascii="Arial" w:hAnsi="Arial" w:cs="Arial"/>
        </w:rPr>
        <w:t xml:space="preserve"> is not required for mechanisms of EET action in this model</w:t>
      </w:r>
      <w:r w:rsidR="005001F4">
        <w:rPr>
          <w:rFonts w:ascii="Arial" w:hAnsi="Arial" w:cs="Arial"/>
        </w:rPr>
        <w:t xml:space="preserve"> (Figure </w:t>
      </w:r>
      <w:r w:rsidR="0001693B">
        <w:rPr>
          <w:rFonts w:ascii="Arial" w:hAnsi="Arial" w:cs="Arial"/>
        </w:rPr>
        <w:t>4B</w:t>
      </w:r>
      <w:r w:rsidR="005001F4">
        <w:rPr>
          <w:rFonts w:ascii="Arial" w:hAnsi="Arial" w:cs="Arial"/>
        </w:rPr>
        <w:t>)</w:t>
      </w:r>
      <w:r w:rsidR="00272D36">
        <w:rPr>
          <w:rFonts w:ascii="Arial" w:hAnsi="Arial" w:cs="Arial"/>
        </w:rPr>
        <w:t>.</w:t>
      </w:r>
    </w:p>
    <w:p w:rsidR="00AA422C" w:rsidRDefault="00AA422C" w:rsidP="00BC3627">
      <w:pPr>
        <w:spacing w:line="480" w:lineRule="auto"/>
        <w:rPr>
          <w:rFonts w:ascii="Arial" w:hAnsi="Arial" w:cs="Arial"/>
          <w:b/>
        </w:rPr>
      </w:pPr>
    </w:p>
    <w:p w:rsidR="00CF3696" w:rsidRDefault="005001F4" w:rsidP="00BC3627">
      <w:pPr>
        <w:spacing w:line="480" w:lineRule="auto"/>
        <w:rPr>
          <w:rFonts w:ascii="Arial" w:hAnsi="Arial" w:cs="Arial"/>
          <w:b/>
        </w:rPr>
      </w:pPr>
      <w:r>
        <w:rPr>
          <w:rFonts w:ascii="Arial" w:hAnsi="Arial" w:cs="Arial"/>
          <w:b/>
        </w:rPr>
        <w:t>D</w:t>
      </w:r>
      <w:r w:rsidR="00CF3696">
        <w:rPr>
          <w:rFonts w:ascii="Arial" w:hAnsi="Arial" w:cs="Arial"/>
          <w:b/>
        </w:rPr>
        <w:t>iscussion</w:t>
      </w:r>
    </w:p>
    <w:p w:rsidR="008133F1" w:rsidRDefault="00AF7439" w:rsidP="00BC3627">
      <w:pPr>
        <w:spacing w:line="480" w:lineRule="auto"/>
        <w:rPr>
          <w:rFonts w:ascii="Arial" w:hAnsi="Arial" w:cs="Arial"/>
        </w:rPr>
      </w:pPr>
      <w:r>
        <w:rPr>
          <w:rFonts w:ascii="Arial" w:hAnsi="Arial" w:cs="Arial"/>
        </w:rPr>
        <w:t>Anti-inflammatory activities</w:t>
      </w:r>
      <w:r w:rsidR="003E383F">
        <w:rPr>
          <w:rFonts w:ascii="Arial" w:hAnsi="Arial" w:cs="Arial"/>
        </w:rPr>
        <w:t xml:space="preserve"> of EETs </w:t>
      </w:r>
      <w:r>
        <w:rPr>
          <w:rFonts w:ascii="Arial" w:hAnsi="Arial" w:cs="Arial"/>
        </w:rPr>
        <w:t>are</w:t>
      </w:r>
      <w:r w:rsidR="003E383F">
        <w:rPr>
          <w:rFonts w:ascii="Arial" w:hAnsi="Arial" w:cs="Arial"/>
        </w:rPr>
        <w:t xml:space="preserve"> widely reporte</w:t>
      </w:r>
      <w:r>
        <w:rPr>
          <w:rFonts w:ascii="Arial" w:hAnsi="Arial" w:cs="Arial"/>
        </w:rPr>
        <w:t>d in a number of disease models however,</w:t>
      </w:r>
      <w:r w:rsidR="003E383F">
        <w:rPr>
          <w:rFonts w:ascii="Arial" w:hAnsi="Arial" w:cs="Arial"/>
        </w:rPr>
        <w:t xml:space="preserve"> no studies have directly assessed their role in cellular models of beta cell cytotoxicity. </w:t>
      </w:r>
      <w:r w:rsidR="00376E44">
        <w:rPr>
          <w:rFonts w:ascii="Arial" w:hAnsi="Arial" w:cs="Arial"/>
        </w:rPr>
        <w:t>W</w:t>
      </w:r>
      <w:r w:rsidR="003E383F">
        <w:rPr>
          <w:rFonts w:ascii="Arial" w:hAnsi="Arial" w:cs="Arial"/>
        </w:rPr>
        <w:t xml:space="preserve">e report here the novel observation that EETs can protect </w:t>
      </w:r>
      <w:r w:rsidR="009927A6">
        <w:rPr>
          <w:rFonts w:ascii="Arial" w:hAnsi="Arial" w:cs="Arial"/>
        </w:rPr>
        <w:t xml:space="preserve">against pro-inflammatory cytokine toxicity in </w:t>
      </w:r>
      <w:r w:rsidR="003E383F">
        <w:rPr>
          <w:rFonts w:ascii="Arial" w:hAnsi="Arial" w:cs="Arial"/>
        </w:rPr>
        <w:t>the rat</w:t>
      </w:r>
      <w:r w:rsidR="00B50D05">
        <w:rPr>
          <w:rFonts w:ascii="Arial" w:hAnsi="Arial" w:cs="Arial"/>
        </w:rPr>
        <w:t xml:space="preserve"> pancreatic</w:t>
      </w:r>
      <w:r w:rsidR="003E383F">
        <w:rPr>
          <w:rFonts w:ascii="Arial" w:hAnsi="Arial" w:cs="Arial"/>
        </w:rPr>
        <w:t xml:space="preserve"> beta cell line, BRIN-BD11. In sup</w:t>
      </w:r>
      <w:r w:rsidR="00B50D05">
        <w:rPr>
          <w:rFonts w:ascii="Arial" w:hAnsi="Arial" w:cs="Arial"/>
        </w:rPr>
        <w:t xml:space="preserve">port of observations in </w:t>
      </w:r>
      <w:r w:rsidR="003E383F">
        <w:rPr>
          <w:rFonts w:ascii="Arial" w:hAnsi="Arial" w:cs="Arial"/>
        </w:rPr>
        <w:t xml:space="preserve">other </w:t>
      </w:r>
      <w:r w:rsidR="00B50D05">
        <w:rPr>
          <w:rFonts w:ascii="Arial" w:hAnsi="Arial" w:cs="Arial"/>
        </w:rPr>
        <w:t>models</w:t>
      </w:r>
      <w:r w:rsidR="003E383F">
        <w:rPr>
          <w:rFonts w:ascii="Arial" w:hAnsi="Arial" w:cs="Arial"/>
        </w:rPr>
        <w:t>, these effects were related to a reduction in cytokine-induce</w:t>
      </w:r>
      <w:r w:rsidR="00B50D05">
        <w:rPr>
          <w:rFonts w:ascii="Arial" w:hAnsi="Arial" w:cs="Arial"/>
        </w:rPr>
        <w:t>d</w:t>
      </w:r>
      <w:r w:rsidR="003E383F">
        <w:rPr>
          <w:rFonts w:ascii="Arial" w:hAnsi="Arial" w:cs="Arial"/>
        </w:rPr>
        <w:t xml:space="preserve"> NF</w:t>
      </w:r>
      <w:r w:rsidR="003E383F">
        <w:rPr>
          <w:rFonts w:ascii="Arial" w:hAnsi="Arial" w:cs="Arial"/>
        </w:rPr>
        <w:sym w:font="Symbol" w:char="F06B"/>
      </w:r>
      <w:r w:rsidR="007469A0">
        <w:rPr>
          <w:rFonts w:ascii="Arial" w:hAnsi="Arial" w:cs="Arial"/>
        </w:rPr>
        <w:t xml:space="preserve">B activation </w:t>
      </w:r>
      <w:r w:rsidR="00F71726">
        <w:rPr>
          <w:rFonts w:ascii="Arial" w:hAnsi="Arial" w:cs="Arial"/>
        </w:rPr>
        <w:t>[3,</w:t>
      </w:r>
      <w:r w:rsidR="002A1CCD">
        <w:rPr>
          <w:rFonts w:ascii="Arial" w:hAnsi="Arial" w:cs="Arial"/>
        </w:rPr>
        <w:t>9</w:t>
      </w:r>
      <w:r w:rsidR="00F71726">
        <w:rPr>
          <w:rFonts w:ascii="Arial" w:hAnsi="Arial" w:cs="Arial"/>
        </w:rPr>
        <w:t>,1</w:t>
      </w:r>
      <w:r w:rsidR="002A1CCD">
        <w:rPr>
          <w:rFonts w:ascii="Arial" w:hAnsi="Arial" w:cs="Arial"/>
        </w:rPr>
        <w:t>3</w:t>
      </w:r>
      <w:r w:rsidR="006612FF">
        <w:rPr>
          <w:rFonts w:ascii="Arial" w:hAnsi="Arial" w:cs="Arial"/>
        </w:rPr>
        <w:t>],</w:t>
      </w:r>
      <w:r w:rsidR="003E383F">
        <w:rPr>
          <w:rFonts w:ascii="Arial" w:hAnsi="Arial" w:cs="Arial"/>
        </w:rPr>
        <w:t xml:space="preserve"> decreased NO production and nitrite </w:t>
      </w:r>
      <w:r>
        <w:rPr>
          <w:rFonts w:ascii="Arial" w:hAnsi="Arial" w:cs="Arial"/>
        </w:rPr>
        <w:t>accumulation.</w:t>
      </w:r>
      <w:r w:rsidR="006612FF">
        <w:rPr>
          <w:rFonts w:ascii="Arial" w:hAnsi="Arial" w:cs="Arial"/>
        </w:rPr>
        <w:t xml:space="preserve"> </w:t>
      </w:r>
      <w:r>
        <w:rPr>
          <w:rFonts w:ascii="Arial" w:hAnsi="Arial" w:cs="Arial"/>
        </w:rPr>
        <w:t>Whilst several mechanisms for EET action have been reported, a well-established role is their activity as PPARγ</w:t>
      </w:r>
      <w:r w:rsidR="00A11481">
        <w:rPr>
          <w:rFonts w:ascii="Arial" w:hAnsi="Arial" w:cs="Arial"/>
        </w:rPr>
        <w:t xml:space="preserve"> agonists</w:t>
      </w:r>
      <w:r w:rsidR="00845606">
        <w:rPr>
          <w:rFonts w:ascii="Arial" w:hAnsi="Arial" w:cs="Arial"/>
        </w:rPr>
        <w:t xml:space="preserve"> </w:t>
      </w:r>
      <w:r w:rsidR="002A1CCD">
        <w:rPr>
          <w:rFonts w:ascii="Arial" w:hAnsi="Arial" w:cs="Arial"/>
        </w:rPr>
        <w:t>[3,7</w:t>
      </w:r>
      <w:r w:rsidR="00F71726">
        <w:rPr>
          <w:rFonts w:ascii="Arial" w:hAnsi="Arial" w:cs="Arial"/>
        </w:rPr>
        <w:t>,</w:t>
      </w:r>
      <w:r w:rsidR="002A1CCD">
        <w:rPr>
          <w:rFonts w:ascii="Arial" w:hAnsi="Arial" w:cs="Arial"/>
        </w:rPr>
        <w:t>9</w:t>
      </w:r>
      <w:r w:rsidR="00F71726">
        <w:rPr>
          <w:rFonts w:ascii="Arial" w:hAnsi="Arial" w:cs="Arial"/>
        </w:rPr>
        <w:t>]</w:t>
      </w:r>
      <w:r w:rsidR="00A11481">
        <w:rPr>
          <w:rFonts w:ascii="Arial" w:hAnsi="Arial" w:cs="Arial"/>
        </w:rPr>
        <w:t xml:space="preserve"> however, in the current model, pharmacological inhibition of PPARγ failed to block the protective effects of EETs against cytokine toxicity. This may indicate PPARγ-independent actions of EETs in BRIN-BD11 cells </w:t>
      </w:r>
      <w:r w:rsidR="006612FF">
        <w:rPr>
          <w:rFonts w:ascii="Arial" w:hAnsi="Arial" w:cs="Arial"/>
        </w:rPr>
        <w:t xml:space="preserve">and similarly </w:t>
      </w:r>
      <w:r w:rsidR="006612FF" w:rsidRPr="006612FF">
        <w:rPr>
          <w:rFonts w:ascii="Arial" w:hAnsi="Arial" w:cs="Arial"/>
        </w:rPr>
        <w:t xml:space="preserve">others have </w:t>
      </w:r>
      <w:r w:rsidR="006612FF">
        <w:rPr>
          <w:rFonts w:ascii="Arial" w:hAnsi="Arial" w:cs="Arial"/>
        </w:rPr>
        <w:t>observed</w:t>
      </w:r>
      <w:r w:rsidR="006612FF" w:rsidRPr="006612FF">
        <w:rPr>
          <w:rFonts w:ascii="Arial" w:hAnsi="Arial" w:cs="Arial"/>
        </w:rPr>
        <w:t xml:space="preserve"> that</w:t>
      </w:r>
      <w:r w:rsidR="006612FF">
        <w:rPr>
          <w:rFonts w:ascii="Arial" w:hAnsi="Arial" w:cs="Arial"/>
        </w:rPr>
        <w:t xml:space="preserve"> the</w:t>
      </w:r>
      <w:r w:rsidR="006612FF" w:rsidRPr="006612FF">
        <w:rPr>
          <w:rFonts w:ascii="Arial" w:hAnsi="Arial" w:cs="Arial"/>
        </w:rPr>
        <w:t xml:space="preserve"> anti-inflammatory actions of EETs in terms of iNOS activity in smooth muscle cells appears to be independent to the activation of all thee PPAR isoforms (Thompson and Bishop-Bailey, unpublished observations, cited in</w:t>
      </w:r>
      <w:r w:rsidR="002A1CCD">
        <w:rPr>
          <w:rFonts w:ascii="Arial" w:hAnsi="Arial" w:cs="Arial"/>
        </w:rPr>
        <w:t xml:space="preserve"> [17]</w:t>
      </w:r>
      <w:r w:rsidR="006612FF" w:rsidRPr="006612FF">
        <w:rPr>
          <w:rFonts w:ascii="Arial" w:hAnsi="Arial" w:cs="Arial"/>
        </w:rPr>
        <w:t>)</w:t>
      </w:r>
      <w:r w:rsidR="00184015">
        <w:rPr>
          <w:rFonts w:ascii="Arial" w:hAnsi="Arial" w:cs="Arial"/>
        </w:rPr>
        <w:t>.</w:t>
      </w:r>
    </w:p>
    <w:p w:rsidR="006612FF" w:rsidRDefault="006612FF" w:rsidP="006612FF">
      <w:pPr>
        <w:spacing w:line="480" w:lineRule="auto"/>
        <w:rPr>
          <w:rFonts w:ascii="Arial" w:hAnsi="Arial" w:cs="Arial"/>
        </w:rPr>
      </w:pPr>
      <w:r>
        <w:rPr>
          <w:rFonts w:ascii="Arial" w:hAnsi="Arial" w:cs="Arial"/>
        </w:rPr>
        <w:t>Although it is widely reported that DHET products of sEH action on EETs are considerably less active, fewer studies have directly assessed the biological role of 8(9)-EET/DHET in cellular models, with most reporting on the action of 11(12)- and 14(15)-EETs</w:t>
      </w:r>
      <w:r w:rsidR="00184015">
        <w:rPr>
          <w:rFonts w:ascii="Arial" w:hAnsi="Arial" w:cs="Arial"/>
        </w:rPr>
        <w:t xml:space="preserve"> [18].</w:t>
      </w:r>
      <w:r>
        <w:rPr>
          <w:rFonts w:ascii="Arial" w:hAnsi="Arial" w:cs="Arial"/>
        </w:rPr>
        <w:t xml:space="preserve"> Similarly, studies on the endogenous production of EETs through over-expression of relevant </w:t>
      </w:r>
      <w:r>
        <w:rPr>
          <w:rFonts w:ascii="Arial" w:hAnsi="Arial" w:cs="Arial"/>
        </w:rPr>
        <w:lastRenderedPageBreak/>
        <w:t xml:space="preserve">CYP450- epoxygenases have largely attributed observed effects to production of 11(12)- </w:t>
      </w:r>
      <w:r w:rsidR="00184015">
        <w:rPr>
          <w:rFonts w:ascii="Arial" w:hAnsi="Arial" w:cs="Arial"/>
        </w:rPr>
        <w:t>and 14(15)-EETs</w:t>
      </w:r>
      <w:r>
        <w:rPr>
          <w:rFonts w:ascii="Arial" w:hAnsi="Arial" w:cs="Arial"/>
        </w:rPr>
        <w:t xml:space="preserve">. </w:t>
      </w:r>
      <w:r w:rsidR="00A5525C">
        <w:rPr>
          <w:rFonts w:ascii="Arial" w:hAnsi="Arial" w:cs="Arial"/>
        </w:rPr>
        <w:t>Therefore we also report here on the surprising observation that the more metabolically stable derivative of 8(9)-EET, 8(9)-DHET</w:t>
      </w:r>
      <w:r w:rsidR="00547807">
        <w:rPr>
          <w:rFonts w:ascii="Arial" w:hAnsi="Arial" w:cs="Arial"/>
        </w:rPr>
        <w:t>,</w:t>
      </w:r>
      <w:r w:rsidR="00A5525C">
        <w:rPr>
          <w:rFonts w:ascii="Arial" w:hAnsi="Arial" w:cs="Arial"/>
        </w:rPr>
        <w:t xml:space="preserve"> displays comparable activity </w:t>
      </w:r>
      <w:r w:rsidR="009927A6">
        <w:rPr>
          <w:rFonts w:ascii="Arial" w:hAnsi="Arial" w:cs="Arial"/>
        </w:rPr>
        <w:t xml:space="preserve">to EETs </w:t>
      </w:r>
      <w:r w:rsidR="00A5525C">
        <w:rPr>
          <w:rFonts w:ascii="Arial" w:hAnsi="Arial" w:cs="Arial"/>
        </w:rPr>
        <w:t xml:space="preserve">in the extent of apoptosis suppression in response to inflammatory cytokine exposure. </w:t>
      </w:r>
      <w:r w:rsidR="00257F5E">
        <w:rPr>
          <w:rFonts w:ascii="Arial" w:hAnsi="Arial" w:cs="Arial"/>
        </w:rPr>
        <w:t>Whilst CYP450</w:t>
      </w:r>
      <w:r>
        <w:rPr>
          <w:rFonts w:ascii="Arial" w:hAnsi="Arial" w:cs="Arial"/>
        </w:rPr>
        <w:t xml:space="preserve"> enzymes are cap</w:t>
      </w:r>
      <w:r w:rsidR="00257F5E">
        <w:rPr>
          <w:rFonts w:ascii="Arial" w:hAnsi="Arial" w:cs="Arial"/>
        </w:rPr>
        <w:t xml:space="preserve">able of producing all four EET </w:t>
      </w:r>
      <w:r>
        <w:rPr>
          <w:rFonts w:ascii="Arial" w:hAnsi="Arial" w:cs="Arial"/>
        </w:rPr>
        <w:t>isomers, the 5(6)-EET species is known to be highly reactive</w:t>
      </w:r>
      <w:r w:rsidR="00965B4F">
        <w:rPr>
          <w:rFonts w:ascii="Arial" w:hAnsi="Arial" w:cs="Arial"/>
        </w:rPr>
        <w:t xml:space="preserve"> and unstable</w:t>
      </w:r>
      <w:r>
        <w:rPr>
          <w:rFonts w:ascii="Arial" w:hAnsi="Arial" w:cs="Arial"/>
        </w:rPr>
        <w:t xml:space="preserve"> due to the proximity of the epoxide group to the carboxylic acid group, facilitating rapid hydration to the DHET, hence a comparison between any effects of 5(6)-EET and 5(6)-DHET was not included in the current study. Studies measuring the relative ratios of EETs produced by CYP450 enzymes have reported that 14(15)-, 11(12)- and 8(9)-EETs are produced in a ratio of </w:t>
      </w:r>
      <w:r w:rsidRPr="00EE07DE">
        <w:rPr>
          <w:rFonts w:ascii="Arial" w:hAnsi="Arial" w:cs="Arial"/>
        </w:rPr>
        <w:t>2.</w:t>
      </w:r>
      <w:r>
        <w:rPr>
          <w:rFonts w:ascii="Arial" w:hAnsi="Arial" w:cs="Arial"/>
        </w:rPr>
        <w:t>3</w:t>
      </w:r>
      <w:r w:rsidRPr="00EE07DE">
        <w:rPr>
          <w:rFonts w:ascii="Arial" w:hAnsi="Arial" w:cs="Arial"/>
        </w:rPr>
        <w:t>:1.0:0.5</w:t>
      </w:r>
      <w:r>
        <w:rPr>
          <w:rFonts w:ascii="Arial" w:hAnsi="Arial" w:cs="Arial"/>
        </w:rPr>
        <w:t>, respectively [6], thus the 8(9)-EET species (and therefore any subsequent conversion to 8(9)-DHET) may represent a minor fraction of the endogenous EET/DHET pool</w:t>
      </w:r>
      <w:r w:rsidR="00A5525C">
        <w:rPr>
          <w:rFonts w:ascii="Arial" w:hAnsi="Arial" w:cs="Arial"/>
        </w:rPr>
        <w:t>. T</w:t>
      </w:r>
      <w:r>
        <w:rPr>
          <w:rFonts w:ascii="Arial" w:hAnsi="Arial" w:cs="Arial"/>
        </w:rPr>
        <w:t xml:space="preserve">hat 8(9)-DHET could rescue BRIN-BD11 cells from cytokine toxicity warrants further investigation, since sEH inhibitors have been shown to partially enhance the mitogenic activity of </w:t>
      </w:r>
      <w:r w:rsidR="00184015">
        <w:rPr>
          <w:rFonts w:ascii="Arial" w:hAnsi="Arial" w:cs="Arial"/>
        </w:rPr>
        <w:t>8(9)-EET in endothelial cells [1</w:t>
      </w:r>
      <w:r>
        <w:rPr>
          <w:rFonts w:ascii="Arial" w:hAnsi="Arial" w:cs="Arial"/>
        </w:rPr>
        <w:t>8] and sEH inhibitors enhanced bet</w:t>
      </w:r>
      <w:r w:rsidR="00184015">
        <w:rPr>
          <w:rFonts w:ascii="Arial" w:hAnsi="Arial" w:cs="Arial"/>
        </w:rPr>
        <w:t>a cell mass in STZ-induced DM [</w:t>
      </w:r>
      <w:r w:rsidR="009927A6">
        <w:rPr>
          <w:rFonts w:ascii="Arial" w:hAnsi="Arial" w:cs="Arial"/>
        </w:rPr>
        <w:t>14</w:t>
      </w:r>
      <w:r w:rsidR="00184015">
        <w:rPr>
          <w:rFonts w:ascii="Arial" w:hAnsi="Arial" w:cs="Arial"/>
        </w:rPr>
        <w:t>,15</w:t>
      </w:r>
      <w:r>
        <w:rPr>
          <w:rFonts w:ascii="Arial" w:hAnsi="Arial" w:cs="Arial"/>
        </w:rPr>
        <w:t>]</w:t>
      </w:r>
      <w:r w:rsidR="00184015">
        <w:rPr>
          <w:rFonts w:ascii="Arial" w:hAnsi="Arial" w:cs="Arial"/>
        </w:rPr>
        <w:t>;</w:t>
      </w:r>
      <w:r>
        <w:rPr>
          <w:rFonts w:ascii="Arial" w:hAnsi="Arial" w:cs="Arial"/>
        </w:rPr>
        <w:t xml:space="preserve"> though th</w:t>
      </w:r>
      <w:r w:rsidR="009927A6">
        <w:rPr>
          <w:rFonts w:ascii="Arial" w:hAnsi="Arial" w:cs="Arial"/>
        </w:rPr>
        <w:t xml:space="preserve">ese </w:t>
      </w:r>
      <w:r w:rsidR="00184015">
        <w:rPr>
          <w:rFonts w:ascii="Arial" w:hAnsi="Arial" w:cs="Arial"/>
        </w:rPr>
        <w:t xml:space="preserve">latter </w:t>
      </w:r>
      <w:r w:rsidR="009927A6">
        <w:rPr>
          <w:rFonts w:ascii="Arial" w:hAnsi="Arial" w:cs="Arial"/>
        </w:rPr>
        <w:t>studies</w:t>
      </w:r>
      <w:r>
        <w:rPr>
          <w:rFonts w:ascii="Arial" w:hAnsi="Arial" w:cs="Arial"/>
        </w:rPr>
        <w:t xml:space="preserve"> did not </w:t>
      </w:r>
      <w:r w:rsidR="009927A6">
        <w:rPr>
          <w:rFonts w:ascii="Arial" w:hAnsi="Arial" w:cs="Arial"/>
        </w:rPr>
        <w:t xml:space="preserve">observe an increase in </w:t>
      </w:r>
      <w:r>
        <w:rPr>
          <w:rFonts w:ascii="Arial" w:hAnsi="Arial" w:cs="Arial"/>
        </w:rPr>
        <w:t>the relative ratios</w:t>
      </w:r>
      <w:r w:rsidR="00452C21">
        <w:rPr>
          <w:rFonts w:ascii="Arial" w:hAnsi="Arial" w:cs="Arial"/>
        </w:rPr>
        <w:t xml:space="preserve"> of</w:t>
      </w:r>
      <w:r>
        <w:rPr>
          <w:rFonts w:ascii="Arial" w:hAnsi="Arial" w:cs="Arial"/>
        </w:rPr>
        <w:t xml:space="preserve"> </w:t>
      </w:r>
      <w:r w:rsidR="009927A6">
        <w:rPr>
          <w:rFonts w:ascii="Arial" w:hAnsi="Arial" w:cs="Arial"/>
        </w:rPr>
        <w:t>EETs:</w:t>
      </w:r>
      <w:r>
        <w:rPr>
          <w:rFonts w:ascii="Arial" w:hAnsi="Arial" w:cs="Arial"/>
        </w:rPr>
        <w:t>DHET</w:t>
      </w:r>
      <w:r w:rsidR="009927A6">
        <w:rPr>
          <w:rFonts w:ascii="Arial" w:hAnsi="Arial" w:cs="Arial"/>
        </w:rPr>
        <w:t>s</w:t>
      </w:r>
      <w:r>
        <w:rPr>
          <w:rFonts w:ascii="Arial" w:hAnsi="Arial" w:cs="Arial"/>
        </w:rPr>
        <w:t>, nor</w:t>
      </w:r>
      <w:r w:rsidR="009927A6">
        <w:rPr>
          <w:rFonts w:ascii="Arial" w:hAnsi="Arial" w:cs="Arial"/>
        </w:rPr>
        <w:t xml:space="preserve"> consider further potential</w:t>
      </w:r>
      <w:r>
        <w:rPr>
          <w:rFonts w:ascii="Arial" w:hAnsi="Arial" w:cs="Arial"/>
        </w:rPr>
        <w:t xml:space="preserve"> mechanisms of EET action. Some have reported biological activity of 11(12)- and 14(15)-DHET in Ca</w:t>
      </w:r>
      <w:r w:rsidRPr="00EE354C">
        <w:rPr>
          <w:rFonts w:ascii="Arial" w:hAnsi="Arial" w:cs="Arial"/>
          <w:vertAlign w:val="superscript"/>
        </w:rPr>
        <w:t>2+</w:t>
      </w:r>
      <w:r>
        <w:rPr>
          <w:rFonts w:ascii="Arial" w:hAnsi="Arial" w:cs="Arial"/>
        </w:rPr>
        <w:t>-activated K</w:t>
      </w:r>
      <w:r w:rsidRPr="00EE354C">
        <w:rPr>
          <w:rFonts w:ascii="Arial" w:hAnsi="Arial" w:cs="Arial"/>
          <w:vertAlign w:val="superscript"/>
        </w:rPr>
        <w:t>+</w:t>
      </w:r>
      <w:r w:rsidRPr="00EE354C">
        <w:rPr>
          <w:rFonts w:ascii="Arial" w:hAnsi="Arial" w:cs="Arial"/>
        </w:rPr>
        <w:t xml:space="preserve"> channels in isolated</w:t>
      </w:r>
      <w:r>
        <w:rPr>
          <w:rFonts w:ascii="Arial" w:hAnsi="Arial" w:cs="Arial"/>
        </w:rPr>
        <w:t xml:space="preserve"> r</w:t>
      </w:r>
      <w:r w:rsidR="00184015">
        <w:rPr>
          <w:rFonts w:ascii="Arial" w:hAnsi="Arial" w:cs="Arial"/>
        </w:rPr>
        <w:t>at coronary arterial myocytes [1</w:t>
      </w:r>
      <w:r>
        <w:rPr>
          <w:rFonts w:ascii="Arial" w:hAnsi="Arial" w:cs="Arial"/>
        </w:rPr>
        <w:t>9] and the hypoxic response of h</w:t>
      </w:r>
      <w:r w:rsidRPr="0048720F">
        <w:rPr>
          <w:rFonts w:ascii="Arial" w:hAnsi="Arial" w:cs="Arial"/>
        </w:rPr>
        <w:t>uman hepatoma cells</w:t>
      </w:r>
      <w:r>
        <w:rPr>
          <w:rFonts w:ascii="Arial" w:hAnsi="Arial" w:cs="Arial"/>
        </w:rPr>
        <w:t xml:space="preserve"> and</w:t>
      </w:r>
      <w:r w:rsidRPr="0048720F">
        <w:rPr>
          <w:rFonts w:ascii="Arial" w:hAnsi="Arial" w:cs="Arial"/>
        </w:rPr>
        <w:t xml:space="preserve"> umbilical artery endothelial cells</w:t>
      </w:r>
      <w:r w:rsidR="00184015">
        <w:rPr>
          <w:rFonts w:ascii="Arial" w:hAnsi="Arial" w:cs="Arial"/>
        </w:rPr>
        <w:t xml:space="preserve"> [2</w:t>
      </w:r>
      <w:r>
        <w:rPr>
          <w:rFonts w:ascii="Arial" w:hAnsi="Arial" w:cs="Arial"/>
        </w:rPr>
        <w:t>0], and whilst others have shown that 14(15)-DHET has weak binding affinity to a pu</w:t>
      </w:r>
      <w:r w:rsidR="00184015">
        <w:rPr>
          <w:rFonts w:ascii="Arial" w:hAnsi="Arial" w:cs="Arial"/>
        </w:rPr>
        <w:t>tative EET membrane receptor [11</w:t>
      </w:r>
      <w:r>
        <w:rPr>
          <w:rFonts w:ascii="Arial" w:hAnsi="Arial" w:cs="Arial"/>
        </w:rPr>
        <w:t xml:space="preserve">], no reports have assessed 8(9)-DHET in this context. </w:t>
      </w:r>
    </w:p>
    <w:p w:rsidR="00A5525C" w:rsidRDefault="00B16855" w:rsidP="00BC3627">
      <w:pPr>
        <w:spacing w:line="480" w:lineRule="auto"/>
        <w:rPr>
          <w:rFonts w:ascii="Arial" w:hAnsi="Arial" w:cs="Arial"/>
        </w:rPr>
      </w:pPr>
      <w:r>
        <w:rPr>
          <w:rFonts w:ascii="Arial" w:hAnsi="Arial" w:cs="Arial"/>
        </w:rPr>
        <w:t>R</w:t>
      </w:r>
      <w:r w:rsidR="00A11481">
        <w:rPr>
          <w:rFonts w:ascii="Arial" w:hAnsi="Arial" w:cs="Arial"/>
        </w:rPr>
        <w:t>egardless of PPARγ activity,</w:t>
      </w:r>
      <w:r w:rsidR="006612FF">
        <w:rPr>
          <w:rFonts w:ascii="Arial" w:hAnsi="Arial" w:cs="Arial"/>
        </w:rPr>
        <w:t xml:space="preserve"> all</w:t>
      </w:r>
      <w:r w:rsidR="00A11481">
        <w:rPr>
          <w:rFonts w:ascii="Arial" w:hAnsi="Arial" w:cs="Arial"/>
        </w:rPr>
        <w:t xml:space="preserve"> EETs</w:t>
      </w:r>
      <w:r w:rsidR="006612FF">
        <w:rPr>
          <w:rFonts w:ascii="Arial" w:hAnsi="Arial" w:cs="Arial"/>
        </w:rPr>
        <w:t xml:space="preserve"> and 8(9)-DHET</w:t>
      </w:r>
      <w:r w:rsidR="00A11481">
        <w:rPr>
          <w:rFonts w:ascii="Arial" w:hAnsi="Arial" w:cs="Arial"/>
        </w:rPr>
        <w:t xml:space="preserve"> conferred significant protection against cytokine toxicity in the current model,</w:t>
      </w:r>
      <w:r w:rsidR="006612FF">
        <w:rPr>
          <w:rFonts w:ascii="Arial" w:hAnsi="Arial" w:cs="Arial"/>
        </w:rPr>
        <w:t xml:space="preserve"> and w</w:t>
      </w:r>
      <w:r w:rsidR="00CF2506">
        <w:rPr>
          <w:rFonts w:ascii="Arial" w:hAnsi="Arial" w:cs="Arial"/>
        </w:rPr>
        <w:t>hilst EET-mediated inhibition of NF</w:t>
      </w:r>
      <w:r w:rsidR="00CF2506">
        <w:rPr>
          <w:rFonts w:ascii="Arial" w:hAnsi="Arial" w:cs="Arial"/>
        </w:rPr>
        <w:sym w:font="Symbol" w:char="F06B"/>
      </w:r>
      <w:r w:rsidR="00CF2506">
        <w:rPr>
          <w:rFonts w:ascii="Arial" w:hAnsi="Arial" w:cs="Arial"/>
        </w:rPr>
        <w:t>B activity has been attributed, in part, to PPARγ activation</w:t>
      </w:r>
      <w:r w:rsidR="00184015">
        <w:rPr>
          <w:rFonts w:ascii="Arial" w:hAnsi="Arial" w:cs="Arial"/>
        </w:rPr>
        <w:t xml:space="preserve"> [9</w:t>
      </w:r>
      <w:r w:rsidR="009927A6">
        <w:rPr>
          <w:rFonts w:ascii="Arial" w:hAnsi="Arial" w:cs="Arial"/>
        </w:rPr>
        <w:t>]</w:t>
      </w:r>
      <w:r w:rsidR="00B864E2">
        <w:rPr>
          <w:rFonts w:ascii="Arial" w:hAnsi="Arial" w:cs="Arial"/>
        </w:rPr>
        <w:t>,</w:t>
      </w:r>
      <w:r w:rsidR="00CF2506">
        <w:rPr>
          <w:rFonts w:ascii="Arial" w:hAnsi="Arial" w:cs="Arial"/>
        </w:rPr>
        <w:t xml:space="preserve"> </w:t>
      </w:r>
      <w:r w:rsidR="00A50AC4">
        <w:rPr>
          <w:rFonts w:ascii="Arial" w:hAnsi="Arial" w:cs="Arial"/>
        </w:rPr>
        <w:t>EETs are also suggested to signal through a putative EET rece</w:t>
      </w:r>
      <w:r w:rsidR="00CF2506">
        <w:rPr>
          <w:rFonts w:ascii="Arial" w:hAnsi="Arial" w:cs="Arial"/>
        </w:rPr>
        <w:t>ptor</w:t>
      </w:r>
      <w:r w:rsidR="00CF5E26">
        <w:rPr>
          <w:rFonts w:ascii="Arial" w:hAnsi="Arial" w:cs="Arial"/>
        </w:rPr>
        <w:t>, though t</w:t>
      </w:r>
      <w:r w:rsidR="00A50AC4">
        <w:rPr>
          <w:rFonts w:ascii="Arial" w:hAnsi="Arial" w:cs="Arial"/>
        </w:rPr>
        <w:t xml:space="preserve">he molecular </w:t>
      </w:r>
      <w:r w:rsidR="00B50D05">
        <w:rPr>
          <w:rFonts w:ascii="Arial" w:hAnsi="Arial" w:cs="Arial"/>
        </w:rPr>
        <w:t>identity of this, and whether this represents an extra- or intracellular receptor, remains</w:t>
      </w:r>
      <w:r w:rsidR="00A50AC4">
        <w:rPr>
          <w:rFonts w:ascii="Arial" w:hAnsi="Arial" w:cs="Arial"/>
        </w:rPr>
        <w:t xml:space="preserve"> unclear</w:t>
      </w:r>
      <w:r w:rsidR="00CF5E26">
        <w:rPr>
          <w:rFonts w:ascii="Arial" w:hAnsi="Arial" w:cs="Arial"/>
        </w:rPr>
        <w:t>.</w:t>
      </w:r>
      <w:r w:rsidR="00A50AC4">
        <w:rPr>
          <w:rFonts w:ascii="Arial" w:hAnsi="Arial" w:cs="Arial"/>
        </w:rPr>
        <w:t xml:space="preserve"> </w:t>
      </w:r>
      <w:r w:rsidR="00CF5E26">
        <w:rPr>
          <w:rFonts w:ascii="Arial" w:hAnsi="Arial" w:cs="Arial"/>
        </w:rPr>
        <w:t>H</w:t>
      </w:r>
      <w:r w:rsidR="00A50AC4">
        <w:rPr>
          <w:rFonts w:ascii="Arial" w:hAnsi="Arial" w:cs="Arial"/>
        </w:rPr>
        <w:t xml:space="preserve">owever, a radiolabelled </w:t>
      </w:r>
      <w:r w:rsidR="008133F1">
        <w:rPr>
          <w:rFonts w:ascii="Arial" w:hAnsi="Arial" w:cs="Arial"/>
        </w:rPr>
        <w:lastRenderedPageBreak/>
        <w:t>14(</w:t>
      </w:r>
      <w:r w:rsidR="00A50AC4">
        <w:rPr>
          <w:rFonts w:ascii="Arial" w:hAnsi="Arial" w:cs="Arial"/>
        </w:rPr>
        <w:t>15</w:t>
      </w:r>
      <w:r w:rsidR="008133F1">
        <w:rPr>
          <w:rFonts w:ascii="Arial" w:hAnsi="Arial" w:cs="Arial"/>
        </w:rPr>
        <w:t>)</w:t>
      </w:r>
      <w:r w:rsidR="00A50AC4">
        <w:rPr>
          <w:rFonts w:ascii="Arial" w:hAnsi="Arial" w:cs="Arial"/>
        </w:rPr>
        <w:t xml:space="preserve">-EET analogue has been shown to bind at the plasma membrane </w:t>
      </w:r>
      <w:r w:rsidR="008133F1">
        <w:rPr>
          <w:rFonts w:ascii="Arial" w:hAnsi="Arial" w:cs="Arial"/>
        </w:rPr>
        <w:t>i</w:t>
      </w:r>
      <w:r w:rsidR="00A50AC4">
        <w:rPr>
          <w:rFonts w:ascii="Arial" w:hAnsi="Arial" w:cs="Arial"/>
        </w:rPr>
        <w:t>n U937 cells</w:t>
      </w:r>
      <w:r w:rsidR="00F71726">
        <w:rPr>
          <w:rFonts w:ascii="Arial" w:hAnsi="Arial" w:cs="Arial"/>
        </w:rPr>
        <w:t xml:space="preserve"> [1</w:t>
      </w:r>
      <w:r w:rsidR="00184015">
        <w:rPr>
          <w:rFonts w:ascii="Arial" w:hAnsi="Arial" w:cs="Arial"/>
        </w:rPr>
        <w:t>1</w:t>
      </w:r>
      <w:r w:rsidR="00F71726">
        <w:rPr>
          <w:rFonts w:ascii="Arial" w:hAnsi="Arial" w:cs="Arial"/>
        </w:rPr>
        <w:t>]</w:t>
      </w:r>
      <w:r w:rsidR="00A50AC4">
        <w:rPr>
          <w:rFonts w:ascii="Arial" w:hAnsi="Arial" w:cs="Arial"/>
        </w:rPr>
        <w:t>, effects associated with increased cytosolic cAMP</w:t>
      </w:r>
      <w:r w:rsidR="00B50D05">
        <w:rPr>
          <w:rFonts w:ascii="Arial" w:hAnsi="Arial" w:cs="Arial"/>
        </w:rPr>
        <w:t>,</w:t>
      </w:r>
      <w:r w:rsidR="00A50AC4">
        <w:rPr>
          <w:rFonts w:ascii="Arial" w:hAnsi="Arial" w:cs="Arial"/>
        </w:rPr>
        <w:t xml:space="preserve"> suggesting that EETs may signal in part through an, as yet unidentified, G</w:t>
      </w:r>
      <w:r w:rsidR="00A67ECB">
        <w:rPr>
          <w:rFonts w:ascii="Arial" w:hAnsi="Arial" w:cs="Arial"/>
        </w:rPr>
        <w:t>PCR(s).</w:t>
      </w:r>
      <w:r w:rsidR="008133F1">
        <w:rPr>
          <w:rFonts w:ascii="Arial" w:hAnsi="Arial" w:cs="Arial"/>
        </w:rPr>
        <w:t xml:space="preserve"> </w:t>
      </w:r>
      <w:r w:rsidR="009927A6">
        <w:rPr>
          <w:rFonts w:ascii="Arial" w:hAnsi="Arial" w:cs="Arial"/>
        </w:rPr>
        <w:t xml:space="preserve">Furthermore, a recent study screening EET action at 105 known GPCRs failed to identify a single high-affinity receptor, instead demonstrating activity at a number of low-affinity prostaglandin (PG) receptors (including </w:t>
      </w:r>
      <w:r w:rsidR="009927A6" w:rsidRPr="00604B63">
        <w:rPr>
          <w:rFonts w:ascii="Arial" w:hAnsi="Arial" w:cs="Arial"/>
        </w:rPr>
        <w:t>PTGER</w:t>
      </w:r>
      <w:r w:rsidR="009927A6" w:rsidRPr="00604B63">
        <w:rPr>
          <w:rFonts w:ascii="Arial" w:hAnsi="Arial" w:cs="Arial"/>
          <w:vertAlign w:val="subscript"/>
        </w:rPr>
        <w:t>2</w:t>
      </w:r>
      <w:r w:rsidR="009927A6" w:rsidRPr="00604B63">
        <w:rPr>
          <w:rFonts w:ascii="Arial" w:hAnsi="Arial" w:cs="Arial"/>
        </w:rPr>
        <w:t>, PTGER</w:t>
      </w:r>
      <w:r w:rsidR="009927A6" w:rsidRPr="00604B63">
        <w:rPr>
          <w:rFonts w:ascii="Arial" w:hAnsi="Arial" w:cs="Arial"/>
          <w:vertAlign w:val="subscript"/>
        </w:rPr>
        <w:t>4</w:t>
      </w:r>
      <w:r w:rsidR="009927A6" w:rsidRPr="00604B63">
        <w:rPr>
          <w:rFonts w:ascii="Arial" w:hAnsi="Arial" w:cs="Arial"/>
        </w:rPr>
        <w:t>, PTGFR, PTGDR</w:t>
      </w:r>
      <w:r w:rsidR="009927A6">
        <w:rPr>
          <w:rFonts w:ascii="Arial" w:hAnsi="Arial" w:cs="Arial"/>
        </w:rPr>
        <w:t xml:space="preserve"> and</w:t>
      </w:r>
      <w:r w:rsidR="009927A6" w:rsidRPr="00604B63">
        <w:rPr>
          <w:rFonts w:ascii="Arial" w:hAnsi="Arial" w:cs="Arial"/>
        </w:rPr>
        <w:t xml:space="preserve"> PTGER</w:t>
      </w:r>
      <w:r w:rsidR="009927A6" w:rsidRPr="00604B63">
        <w:rPr>
          <w:rFonts w:ascii="Arial" w:hAnsi="Arial" w:cs="Arial"/>
          <w:vertAlign w:val="subscript"/>
        </w:rPr>
        <w:t>3</w:t>
      </w:r>
      <w:r w:rsidR="009927A6" w:rsidRPr="00604B63">
        <w:rPr>
          <w:rFonts w:ascii="Arial" w:hAnsi="Arial" w:cs="Arial"/>
        </w:rPr>
        <w:t>IV</w:t>
      </w:r>
      <w:r w:rsidR="009927A6">
        <w:rPr>
          <w:rFonts w:ascii="Arial" w:hAnsi="Arial" w:cs="Arial"/>
        </w:rPr>
        <w:t>), concluding that EETs may signal through multiple GPCRs [</w:t>
      </w:r>
      <w:r w:rsidR="00184015">
        <w:rPr>
          <w:rFonts w:ascii="Arial" w:hAnsi="Arial" w:cs="Arial"/>
        </w:rPr>
        <w:t>10</w:t>
      </w:r>
      <w:r w:rsidR="009927A6">
        <w:rPr>
          <w:rFonts w:ascii="Arial" w:hAnsi="Arial" w:cs="Arial"/>
        </w:rPr>
        <w:t>]. The functional significance of prostaglandins in beta cell models is widely reported [2</w:t>
      </w:r>
      <w:r w:rsidR="00184015">
        <w:rPr>
          <w:rFonts w:ascii="Arial" w:hAnsi="Arial" w:cs="Arial"/>
        </w:rPr>
        <w:t>1</w:t>
      </w:r>
      <w:r w:rsidR="009927A6">
        <w:rPr>
          <w:rFonts w:ascii="Arial" w:hAnsi="Arial" w:cs="Arial"/>
        </w:rPr>
        <w:t>] and whilst the role of PGE</w:t>
      </w:r>
      <w:r w:rsidR="009927A6">
        <w:rPr>
          <w:rFonts w:ascii="Arial" w:hAnsi="Arial" w:cs="Arial"/>
          <w:vertAlign w:val="subscript"/>
        </w:rPr>
        <w:t>2</w:t>
      </w:r>
      <w:r w:rsidR="009927A6">
        <w:rPr>
          <w:rFonts w:ascii="Arial" w:hAnsi="Arial" w:cs="Arial"/>
        </w:rPr>
        <w:t xml:space="preserve"> in insulin secretion (which signals through PTGER</w:t>
      </w:r>
      <w:r w:rsidR="009927A6">
        <w:rPr>
          <w:rFonts w:ascii="Arial" w:hAnsi="Arial" w:cs="Arial"/>
          <w:vertAlign w:val="subscript"/>
        </w:rPr>
        <w:t>2</w:t>
      </w:r>
      <w:r w:rsidR="009927A6">
        <w:rPr>
          <w:rFonts w:ascii="Arial" w:hAnsi="Arial" w:cs="Arial"/>
        </w:rPr>
        <w:t>, PTGER</w:t>
      </w:r>
      <w:r w:rsidR="009927A6">
        <w:rPr>
          <w:rFonts w:ascii="Arial" w:hAnsi="Arial" w:cs="Arial"/>
          <w:vertAlign w:val="subscript"/>
        </w:rPr>
        <w:t>4</w:t>
      </w:r>
      <w:r w:rsidR="009927A6">
        <w:rPr>
          <w:rFonts w:ascii="Arial" w:hAnsi="Arial" w:cs="Arial"/>
        </w:rPr>
        <w:t xml:space="preserve"> and PTGER</w:t>
      </w:r>
      <w:r w:rsidR="009927A6">
        <w:rPr>
          <w:rFonts w:ascii="Arial" w:hAnsi="Arial" w:cs="Arial"/>
          <w:vertAlign w:val="subscript"/>
        </w:rPr>
        <w:t>3</w:t>
      </w:r>
      <w:r w:rsidR="009927A6">
        <w:rPr>
          <w:rFonts w:ascii="Arial" w:hAnsi="Arial" w:cs="Arial"/>
        </w:rPr>
        <w:t>IV) remains unclear, activation of these receptors (and PTGDR by PGD) leads to increased cAMP, supporting a possible role in EET-G</w:t>
      </w:r>
      <w:r w:rsidR="009927A6" w:rsidRPr="00452C21">
        <w:rPr>
          <w:rFonts w:ascii="Arial" w:hAnsi="Arial" w:cs="Arial"/>
          <w:vertAlign w:val="subscript"/>
        </w:rPr>
        <w:t>αs</w:t>
      </w:r>
      <w:r w:rsidR="009927A6">
        <w:rPr>
          <w:rFonts w:ascii="Arial" w:hAnsi="Arial" w:cs="Arial"/>
        </w:rPr>
        <w:t xml:space="preserve"> signalling [10,11]. </w:t>
      </w:r>
      <w:r w:rsidR="008133F1">
        <w:rPr>
          <w:rFonts w:ascii="Arial" w:hAnsi="Arial" w:cs="Arial"/>
        </w:rPr>
        <w:t xml:space="preserve">It is therefore conceivable that, in the current model, EET action is similarly mediated </w:t>
      </w:r>
      <w:r w:rsidR="00AC5331">
        <w:rPr>
          <w:rFonts w:ascii="Arial" w:hAnsi="Arial" w:cs="Arial"/>
        </w:rPr>
        <w:t xml:space="preserve">partly </w:t>
      </w:r>
      <w:r w:rsidR="008133F1">
        <w:rPr>
          <w:rFonts w:ascii="Arial" w:hAnsi="Arial" w:cs="Arial"/>
        </w:rPr>
        <w:t>through activation</w:t>
      </w:r>
      <w:r w:rsidR="009927A6">
        <w:rPr>
          <w:rFonts w:ascii="Arial" w:hAnsi="Arial" w:cs="Arial"/>
        </w:rPr>
        <w:t xml:space="preserve"> of multiple</w:t>
      </w:r>
      <w:r w:rsidR="00AC5331">
        <w:rPr>
          <w:rFonts w:ascii="Arial" w:hAnsi="Arial" w:cs="Arial"/>
        </w:rPr>
        <w:t xml:space="preserve"> GPCR</w:t>
      </w:r>
      <w:r w:rsidR="00A67ECB">
        <w:rPr>
          <w:rFonts w:ascii="Arial" w:hAnsi="Arial" w:cs="Arial"/>
        </w:rPr>
        <w:t>s</w:t>
      </w:r>
      <w:r w:rsidR="00AC5331">
        <w:rPr>
          <w:rFonts w:ascii="Arial" w:hAnsi="Arial" w:cs="Arial"/>
        </w:rPr>
        <w:t>, effects ass</w:t>
      </w:r>
      <w:r w:rsidR="008133F1">
        <w:rPr>
          <w:rFonts w:ascii="Arial" w:hAnsi="Arial" w:cs="Arial"/>
        </w:rPr>
        <w:t>ocia</w:t>
      </w:r>
      <w:r w:rsidR="00082936">
        <w:rPr>
          <w:rFonts w:ascii="Arial" w:hAnsi="Arial" w:cs="Arial"/>
        </w:rPr>
        <w:t>ted with an inhibitory action on</w:t>
      </w:r>
      <w:r w:rsidR="008133F1">
        <w:rPr>
          <w:rFonts w:ascii="Arial" w:hAnsi="Arial" w:cs="Arial"/>
        </w:rPr>
        <w:t xml:space="preserve"> NF</w:t>
      </w:r>
      <w:r w:rsidR="008133F1">
        <w:rPr>
          <w:rFonts w:ascii="Arial" w:hAnsi="Arial" w:cs="Arial"/>
        </w:rPr>
        <w:sym w:font="Symbol" w:char="F06B"/>
      </w:r>
      <w:r w:rsidR="008133F1">
        <w:rPr>
          <w:rFonts w:ascii="Arial" w:hAnsi="Arial" w:cs="Arial"/>
        </w:rPr>
        <w:t>B activat</w:t>
      </w:r>
      <w:r w:rsidR="00AC5331">
        <w:rPr>
          <w:rFonts w:ascii="Arial" w:hAnsi="Arial" w:cs="Arial"/>
        </w:rPr>
        <w:t>i</w:t>
      </w:r>
      <w:r w:rsidR="008133F1">
        <w:rPr>
          <w:rFonts w:ascii="Arial" w:hAnsi="Arial" w:cs="Arial"/>
        </w:rPr>
        <w:t xml:space="preserve">on independent to PPARγ activity. </w:t>
      </w:r>
      <w:r w:rsidR="00346558">
        <w:rPr>
          <w:rFonts w:ascii="Arial" w:hAnsi="Arial" w:cs="Arial"/>
        </w:rPr>
        <w:t xml:space="preserve">In support of this hypothesis, cAMP levels have </w:t>
      </w:r>
      <w:r w:rsidR="00A67ECB">
        <w:rPr>
          <w:rFonts w:ascii="Arial" w:hAnsi="Arial" w:cs="Arial"/>
        </w:rPr>
        <w:t xml:space="preserve">also </w:t>
      </w:r>
      <w:r w:rsidR="00346558">
        <w:rPr>
          <w:rFonts w:ascii="Arial" w:hAnsi="Arial" w:cs="Arial"/>
        </w:rPr>
        <w:t>been linked to an inhibitory effect on NF</w:t>
      </w:r>
      <w:r w:rsidR="00346558">
        <w:rPr>
          <w:rFonts w:ascii="Arial" w:hAnsi="Arial" w:cs="Arial"/>
        </w:rPr>
        <w:sym w:font="Symbol" w:char="F06B"/>
      </w:r>
      <w:r w:rsidR="00346558">
        <w:rPr>
          <w:rFonts w:ascii="Arial" w:hAnsi="Arial" w:cs="Arial"/>
        </w:rPr>
        <w:t>B activity</w:t>
      </w:r>
      <w:r w:rsidR="00FE347D">
        <w:rPr>
          <w:rFonts w:ascii="Arial" w:hAnsi="Arial" w:cs="Arial"/>
        </w:rPr>
        <w:t xml:space="preserve"> </w:t>
      </w:r>
      <w:r w:rsidR="009927A6">
        <w:rPr>
          <w:rFonts w:ascii="Arial" w:hAnsi="Arial" w:cs="Arial"/>
        </w:rPr>
        <w:t xml:space="preserve">(mediated via protein kinase A activation) </w:t>
      </w:r>
      <w:r w:rsidR="00F71726">
        <w:rPr>
          <w:rFonts w:ascii="Arial" w:hAnsi="Arial" w:cs="Arial"/>
        </w:rPr>
        <w:t>[22]</w:t>
      </w:r>
      <w:r w:rsidR="00346558">
        <w:rPr>
          <w:rFonts w:ascii="Arial" w:hAnsi="Arial" w:cs="Arial"/>
        </w:rPr>
        <w:t xml:space="preserve"> </w:t>
      </w:r>
      <w:r w:rsidR="00346558" w:rsidRPr="00346558">
        <w:rPr>
          <w:rFonts w:ascii="Arial" w:hAnsi="Arial" w:cs="Arial"/>
        </w:rPr>
        <w:t>and</w:t>
      </w:r>
      <w:r w:rsidR="008133F1" w:rsidRPr="00346558">
        <w:rPr>
          <w:rFonts w:ascii="Arial" w:hAnsi="Arial" w:cs="Arial"/>
        </w:rPr>
        <w:t xml:space="preserve"> the GPCR kinase 5 </w:t>
      </w:r>
      <w:r w:rsidR="00AC5331" w:rsidRPr="00346558">
        <w:rPr>
          <w:rFonts w:ascii="Arial" w:hAnsi="Arial" w:cs="Arial"/>
        </w:rPr>
        <w:t>has been shown to inhibit NF</w:t>
      </w:r>
      <w:r w:rsidR="00AC5331" w:rsidRPr="00346558">
        <w:rPr>
          <w:rFonts w:ascii="Arial" w:hAnsi="Arial" w:cs="Arial"/>
        </w:rPr>
        <w:sym w:font="Symbol" w:char="F06B"/>
      </w:r>
      <w:r w:rsidR="00AC5331" w:rsidRPr="00346558">
        <w:rPr>
          <w:rFonts w:ascii="Arial" w:hAnsi="Arial" w:cs="Arial"/>
        </w:rPr>
        <w:t xml:space="preserve">B activation in </w:t>
      </w:r>
      <w:r w:rsidR="00376E44">
        <w:rPr>
          <w:rFonts w:ascii="Arial" w:hAnsi="Arial" w:cs="Arial"/>
        </w:rPr>
        <w:t>endothelial</w:t>
      </w:r>
      <w:r w:rsidR="00AC5331" w:rsidRPr="00346558">
        <w:rPr>
          <w:rFonts w:ascii="Arial" w:hAnsi="Arial" w:cs="Arial"/>
        </w:rPr>
        <w:t xml:space="preserve"> cells, attributed to nuclear retention of I</w:t>
      </w:r>
      <w:r w:rsidR="00AC5331" w:rsidRPr="00346558">
        <w:rPr>
          <w:rFonts w:ascii="Arial" w:hAnsi="Arial" w:cs="Arial"/>
        </w:rPr>
        <w:sym w:font="Symbol" w:char="F06B"/>
      </w:r>
      <w:r w:rsidR="00AC5331" w:rsidRPr="00346558">
        <w:rPr>
          <w:rFonts w:ascii="Arial" w:hAnsi="Arial" w:cs="Arial"/>
        </w:rPr>
        <w:t>Bα and impaired transcriptional activity of NF</w:t>
      </w:r>
      <w:r w:rsidR="00AC5331" w:rsidRPr="00346558">
        <w:rPr>
          <w:rFonts w:ascii="Arial" w:hAnsi="Arial" w:cs="Arial"/>
        </w:rPr>
        <w:sym w:font="Symbol" w:char="F06B"/>
      </w:r>
      <w:r w:rsidR="00AC5331" w:rsidRPr="00346558">
        <w:rPr>
          <w:rFonts w:ascii="Arial" w:hAnsi="Arial" w:cs="Arial"/>
        </w:rPr>
        <w:t>B</w:t>
      </w:r>
      <w:r w:rsidR="00FE347D">
        <w:rPr>
          <w:rFonts w:ascii="Arial" w:hAnsi="Arial" w:cs="Arial"/>
        </w:rPr>
        <w:t xml:space="preserve"> </w:t>
      </w:r>
      <w:r w:rsidR="00F71726">
        <w:rPr>
          <w:rFonts w:ascii="Arial" w:hAnsi="Arial" w:cs="Arial"/>
        </w:rPr>
        <w:t>[23]</w:t>
      </w:r>
      <w:r w:rsidR="00AC5331" w:rsidRPr="00346558">
        <w:rPr>
          <w:rFonts w:ascii="Arial" w:hAnsi="Arial" w:cs="Arial"/>
        </w:rPr>
        <w:t xml:space="preserve">. </w:t>
      </w:r>
      <w:r w:rsidR="00B52469">
        <w:rPr>
          <w:rFonts w:ascii="Arial" w:hAnsi="Arial" w:cs="Arial"/>
        </w:rPr>
        <w:t>T</w:t>
      </w:r>
      <w:r w:rsidR="00AC5331">
        <w:rPr>
          <w:rFonts w:ascii="Arial" w:hAnsi="Arial" w:cs="Arial"/>
        </w:rPr>
        <w:t xml:space="preserve">his hypothesis </w:t>
      </w:r>
      <w:r w:rsidR="00B52469">
        <w:rPr>
          <w:rFonts w:ascii="Arial" w:hAnsi="Arial" w:cs="Arial"/>
        </w:rPr>
        <w:t>is also</w:t>
      </w:r>
      <w:r w:rsidR="00AC5331">
        <w:rPr>
          <w:rFonts w:ascii="Arial" w:hAnsi="Arial" w:cs="Arial"/>
        </w:rPr>
        <w:t xml:space="preserve"> </w:t>
      </w:r>
      <w:r w:rsidR="00B52469">
        <w:rPr>
          <w:rFonts w:ascii="Arial" w:hAnsi="Arial" w:cs="Arial"/>
        </w:rPr>
        <w:t>c</w:t>
      </w:r>
      <w:r w:rsidR="00AC5331">
        <w:rPr>
          <w:rFonts w:ascii="Arial" w:hAnsi="Arial" w:cs="Arial"/>
        </w:rPr>
        <w:t xml:space="preserve">onsistent </w:t>
      </w:r>
      <w:r w:rsidR="00B52469">
        <w:rPr>
          <w:rFonts w:ascii="Arial" w:hAnsi="Arial" w:cs="Arial"/>
        </w:rPr>
        <w:t xml:space="preserve">with </w:t>
      </w:r>
      <w:r w:rsidR="00B864E2">
        <w:rPr>
          <w:rFonts w:ascii="Arial" w:hAnsi="Arial" w:cs="Arial"/>
        </w:rPr>
        <w:t xml:space="preserve">studies highlighting important autocrine and paracrine actions of EETs </w:t>
      </w:r>
      <w:r w:rsidR="008032C5">
        <w:rPr>
          <w:rFonts w:ascii="Arial" w:hAnsi="Arial" w:cs="Arial"/>
        </w:rPr>
        <w:t>[24]</w:t>
      </w:r>
      <w:r w:rsidR="00B864E2">
        <w:rPr>
          <w:rFonts w:ascii="Arial" w:hAnsi="Arial" w:cs="Arial"/>
        </w:rPr>
        <w:t xml:space="preserve"> and with </w:t>
      </w:r>
      <w:r w:rsidR="00B52469">
        <w:rPr>
          <w:rFonts w:ascii="Arial" w:hAnsi="Arial" w:cs="Arial"/>
        </w:rPr>
        <w:t xml:space="preserve">our observation that the </w:t>
      </w:r>
      <w:r w:rsidR="00FE5B41">
        <w:rPr>
          <w:rFonts w:ascii="Arial" w:hAnsi="Arial" w:cs="Arial"/>
        </w:rPr>
        <w:t>metabolically stable</w:t>
      </w:r>
      <w:r w:rsidR="00B52469">
        <w:rPr>
          <w:rFonts w:ascii="Arial" w:hAnsi="Arial" w:cs="Arial"/>
        </w:rPr>
        <w:t xml:space="preserve"> EET analogue 14(15)-EET-SI, which lacks the free carboxylic acid group for esterification to CoA</w:t>
      </w:r>
      <w:r w:rsidR="00F71503">
        <w:rPr>
          <w:rFonts w:ascii="Arial" w:hAnsi="Arial" w:cs="Arial"/>
        </w:rPr>
        <w:t>,</w:t>
      </w:r>
      <w:r w:rsidR="00B52469">
        <w:rPr>
          <w:rFonts w:ascii="Arial" w:hAnsi="Arial" w:cs="Arial"/>
        </w:rPr>
        <w:t xml:space="preserve"> conferred similar protection against cytokine-induced apoptosis in BRIN-BD11 cells to 14(15)-EET</w:t>
      </w:r>
      <w:r w:rsidR="00B864E2">
        <w:rPr>
          <w:rFonts w:ascii="Arial" w:hAnsi="Arial" w:cs="Arial"/>
        </w:rPr>
        <w:t>.</w:t>
      </w:r>
      <w:r w:rsidR="0072769E">
        <w:rPr>
          <w:rFonts w:ascii="Arial" w:hAnsi="Arial" w:cs="Arial"/>
        </w:rPr>
        <w:t xml:space="preserve"> </w:t>
      </w:r>
    </w:p>
    <w:p w:rsidR="006325D7" w:rsidRDefault="00B052A1" w:rsidP="009F6620">
      <w:pPr>
        <w:spacing w:line="480" w:lineRule="auto"/>
        <w:rPr>
          <w:rFonts w:ascii="Arial" w:hAnsi="Arial" w:cs="Arial"/>
        </w:rPr>
      </w:pPr>
      <w:r>
        <w:rPr>
          <w:rFonts w:ascii="Arial" w:hAnsi="Arial" w:cs="Arial"/>
        </w:rPr>
        <w:t>Collectively,</w:t>
      </w:r>
      <w:r w:rsidR="00B50D05">
        <w:rPr>
          <w:rFonts w:ascii="Arial" w:hAnsi="Arial" w:cs="Arial"/>
        </w:rPr>
        <w:t xml:space="preserve"> this study reports</w:t>
      </w:r>
      <w:r w:rsidR="00FE5B41">
        <w:rPr>
          <w:rFonts w:ascii="Arial" w:hAnsi="Arial" w:cs="Arial"/>
        </w:rPr>
        <w:t xml:space="preserve"> the novel observation</w:t>
      </w:r>
      <w:r w:rsidR="007B73A7">
        <w:rPr>
          <w:rFonts w:ascii="Arial" w:hAnsi="Arial" w:cs="Arial"/>
        </w:rPr>
        <w:t xml:space="preserve"> that EETs </w:t>
      </w:r>
      <w:r w:rsidR="00FE5B41">
        <w:rPr>
          <w:rFonts w:ascii="Arial" w:hAnsi="Arial" w:cs="Arial"/>
        </w:rPr>
        <w:t xml:space="preserve">and 8(9)-DHET </w:t>
      </w:r>
      <w:r w:rsidR="007B73A7">
        <w:rPr>
          <w:rFonts w:ascii="Arial" w:hAnsi="Arial" w:cs="Arial"/>
        </w:rPr>
        <w:t>display anti-inflammatory activity in a beta cell model and can protect</w:t>
      </w:r>
      <w:r w:rsidR="007B796F">
        <w:rPr>
          <w:rFonts w:ascii="Arial" w:hAnsi="Arial" w:cs="Arial"/>
        </w:rPr>
        <w:t xml:space="preserve"> </w:t>
      </w:r>
      <w:r w:rsidR="007B73A7">
        <w:rPr>
          <w:rFonts w:ascii="Arial" w:hAnsi="Arial" w:cs="Arial"/>
        </w:rPr>
        <w:t xml:space="preserve">clonal </w:t>
      </w:r>
      <w:r w:rsidR="00B50D05">
        <w:rPr>
          <w:rFonts w:ascii="Arial" w:hAnsi="Arial" w:cs="Arial"/>
        </w:rPr>
        <w:t xml:space="preserve">pancreatic </w:t>
      </w:r>
      <w:r w:rsidR="007B73A7">
        <w:rPr>
          <w:rFonts w:ascii="Arial" w:hAnsi="Arial" w:cs="Arial"/>
        </w:rPr>
        <w:t>beta cell</w:t>
      </w:r>
      <w:r w:rsidR="007B796F">
        <w:rPr>
          <w:rFonts w:ascii="Arial" w:hAnsi="Arial" w:cs="Arial"/>
        </w:rPr>
        <w:t>s</w:t>
      </w:r>
      <w:r w:rsidR="007B73A7">
        <w:rPr>
          <w:rFonts w:ascii="Arial" w:hAnsi="Arial" w:cs="Arial"/>
        </w:rPr>
        <w:t xml:space="preserve"> from pro-inflammatory cytokine-induced apoptosis and cell death, mediated in part by a reduction in NF</w:t>
      </w:r>
      <w:r w:rsidR="007B73A7">
        <w:rPr>
          <w:rFonts w:ascii="Arial" w:hAnsi="Arial" w:cs="Arial"/>
        </w:rPr>
        <w:sym w:font="Symbol" w:char="F06B"/>
      </w:r>
      <w:r w:rsidR="00ED0DFB">
        <w:rPr>
          <w:rFonts w:ascii="Arial" w:hAnsi="Arial" w:cs="Arial"/>
        </w:rPr>
        <w:t>B activity</w:t>
      </w:r>
      <w:r w:rsidR="007B73A7">
        <w:rPr>
          <w:rFonts w:ascii="Arial" w:hAnsi="Arial" w:cs="Arial"/>
        </w:rPr>
        <w:t xml:space="preserve"> and nitrite accumulation. </w:t>
      </w:r>
      <w:r w:rsidR="00FE5B41">
        <w:rPr>
          <w:rFonts w:ascii="Arial" w:hAnsi="Arial" w:cs="Arial"/>
        </w:rPr>
        <w:t>G</w:t>
      </w:r>
      <w:r w:rsidR="007B73A7">
        <w:rPr>
          <w:rFonts w:ascii="Arial" w:hAnsi="Arial" w:cs="Arial"/>
        </w:rPr>
        <w:t>iven the uncertainty in current literature on the mechanisms of EET/DHET action</w:t>
      </w:r>
      <w:r w:rsidR="00EA5B9C">
        <w:rPr>
          <w:rFonts w:ascii="Arial" w:hAnsi="Arial" w:cs="Arial"/>
        </w:rPr>
        <w:t>,</w:t>
      </w:r>
      <w:r w:rsidR="007B73A7">
        <w:rPr>
          <w:rFonts w:ascii="Arial" w:hAnsi="Arial" w:cs="Arial"/>
        </w:rPr>
        <w:t xml:space="preserve"> further studies</w:t>
      </w:r>
      <w:r w:rsidR="00EA5B9C">
        <w:rPr>
          <w:rFonts w:ascii="Arial" w:hAnsi="Arial" w:cs="Arial"/>
        </w:rPr>
        <w:t xml:space="preserve"> to delineate such mechanisms, including in</w:t>
      </w:r>
      <w:r w:rsidR="007B73A7">
        <w:rPr>
          <w:rFonts w:ascii="Arial" w:hAnsi="Arial" w:cs="Arial"/>
        </w:rPr>
        <w:t xml:space="preserve"> beta cell</w:t>
      </w:r>
      <w:r w:rsidR="00EA5B9C">
        <w:rPr>
          <w:rFonts w:ascii="Arial" w:hAnsi="Arial" w:cs="Arial"/>
        </w:rPr>
        <w:t xml:space="preserve"> mode</w:t>
      </w:r>
      <w:r w:rsidR="00376E44">
        <w:rPr>
          <w:rFonts w:ascii="Arial" w:hAnsi="Arial" w:cs="Arial"/>
        </w:rPr>
        <w:t>l</w:t>
      </w:r>
      <w:r w:rsidR="00EA5B9C">
        <w:rPr>
          <w:rFonts w:ascii="Arial" w:hAnsi="Arial" w:cs="Arial"/>
        </w:rPr>
        <w:t>s,</w:t>
      </w:r>
      <w:r w:rsidR="007B73A7">
        <w:rPr>
          <w:rFonts w:ascii="Arial" w:hAnsi="Arial" w:cs="Arial"/>
        </w:rPr>
        <w:t xml:space="preserve"> are warranted. </w:t>
      </w:r>
      <w:r w:rsidR="00FE5B41">
        <w:rPr>
          <w:rFonts w:ascii="Arial" w:hAnsi="Arial" w:cs="Arial"/>
        </w:rPr>
        <w:t xml:space="preserve">Whilst the molecular identity of any extracellular EET </w:t>
      </w:r>
      <w:r w:rsidR="00FE5B41">
        <w:rPr>
          <w:rFonts w:ascii="Arial" w:hAnsi="Arial" w:cs="Arial"/>
        </w:rPr>
        <w:lastRenderedPageBreak/>
        <w:t>receptor(s) is yet to be determined, whether such receptors display differential affinity towards distinct EET and DHET isomers could account for the novel observation in this study that 8(9)-DHET conferred similar protection against cytokine-induced cell death a</w:t>
      </w:r>
      <w:r w:rsidR="00452C21">
        <w:rPr>
          <w:rFonts w:ascii="Arial" w:hAnsi="Arial" w:cs="Arial"/>
        </w:rPr>
        <w:t xml:space="preserve">s 8(9)-EET, unlike other DHET </w:t>
      </w:r>
      <w:r w:rsidR="00FE5B41">
        <w:rPr>
          <w:rFonts w:ascii="Arial" w:hAnsi="Arial" w:cs="Arial"/>
        </w:rPr>
        <w:t xml:space="preserve">isomers. </w:t>
      </w:r>
      <w:r w:rsidR="00547807">
        <w:rPr>
          <w:rFonts w:ascii="Arial" w:hAnsi="Arial" w:cs="Arial"/>
        </w:rPr>
        <w:t xml:space="preserve">As a more metabolically stable product of EET metabolism, the 8(9)-DHET species should provide a starting point for further exploration of such modes of action in a beta cell context. </w:t>
      </w:r>
      <w:r w:rsidR="007B73A7">
        <w:rPr>
          <w:rFonts w:ascii="Arial" w:hAnsi="Arial" w:cs="Arial"/>
        </w:rPr>
        <w:t>Whether these results can be recapitulated in islet cultures and</w:t>
      </w:r>
      <w:r w:rsidR="00FE5B41">
        <w:rPr>
          <w:rFonts w:ascii="Arial" w:hAnsi="Arial" w:cs="Arial"/>
        </w:rPr>
        <w:t xml:space="preserve"> preserve</w:t>
      </w:r>
      <w:r w:rsidR="00EA5B9C">
        <w:rPr>
          <w:rFonts w:ascii="Arial" w:hAnsi="Arial" w:cs="Arial"/>
        </w:rPr>
        <w:t xml:space="preserve"> islet function in </w:t>
      </w:r>
      <w:r w:rsidR="00EA5B9C">
        <w:rPr>
          <w:rFonts w:ascii="Arial" w:hAnsi="Arial" w:cs="Arial"/>
          <w:i/>
        </w:rPr>
        <w:t xml:space="preserve">in vivo </w:t>
      </w:r>
      <w:r w:rsidR="00EA5B9C">
        <w:rPr>
          <w:rFonts w:ascii="Arial" w:hAnsi="Arial" w:cs="Arial"/>
        </w:rPr>
        <w:t xml:space="preserve">models of type 1 and 2 DM (in a pathophysiological context) will shed further light on these hitherto largely unexplored </w:t>
      </w:r>
      <w:r w:rsidR="00B86F97">
        <w:rPr>
          <w:rFonts w:ascii="Arial" w:hAnsi="Arial" w:cs="Arial"/>
        </w:rPr>
        <w:t xml:space="preserve">(in a beta cell context) </w:t>
      </w:r>
      <w:r w:rsidR="00EA5B9C">
        <w:rPr>
          <w:rFonts w:ascii="Arial" w:hAnsi="Arial" w:cs="Arial"/>
        </w:rPr>
        <w:t>a</w:t>
      </w:r>
      <w:r w:rsidR="00FE5B41">
        <w:rPr>
          <w:rFonts w:ascii="Arial" w:hAnsi="Arial" w:cs="Arial"/>
        </w:rPr>
        <w:t>nti-inflammatory eicosanoids. A better understanding of mechanisms of EET/DHET action in beta cells</w:t>
      </w:r>
      <w:r w:rsidR="00EA5B9C">
        <w:rPr>
          <w:rFonts w:ascii="Arial" w:hAnsi="Arial" w:cs="Arial"/>
        </w:rPr>
        <w:t xml:space="preserve"> may </w:t>
      </w:r>
      <w:r w:rsidR="00FE5B41">
        <w:rPr>
          <w:rFonts w:ascii="Arial" w:hAnsi="Arial" w:cs="Arial"/>
        </w:rPr>
        <w:t xml:space="preserve">also </w:t>
      </w:r>
      <w:r w:rsidR="00EA5B9C">
        <w:rPr>
          <w:rFonts w:ascii="Arial" w:hAnsi="Arial" w:cs="Arial"/>
        </w:rPr>
        <w:t>provide novel therapeutic targets to preserve functional beta cell mass in DM</w:t>
      </w:r>
      <w:r w:rsidR="00FE5B41">
        <w:rPr>
          <w:rFonts w:ascii="Arial" w:hAnsi="Arial" w:cs="Arial"/>
        </w:rPr>
        <w:t>, as well as in the attenuation of intra-islet inflammatory responses and mitigation of islet loss in the immediate post-transplant period in current models of islet</w:t>
      </w:r>
      <w:r w:rsidR="00356824">
        <w:rPr>
          <w:rFonts w:ascii="Arial" w:hAnsi="Arial" w:cs="Arial"/>
        </w:rPr>
        <w:t xml:space="preserve"> transplantation [25</w:t>
      </w:r>
      <w:r w:rsidR="00FE5B41">
        <w:rPr>
          <w:rFonts w:ascii="Arial" w:hAnsi="Arial" w:cs="Arial"/>
        </w:rPr>
        <w:t>]</w:t>
      </w:r>
      <w:r w:rsidR="00EA5B9C">
        <w:rPr>
          <w:rFonts w:ascii="Arial" w:hAnsi="Arial" w:cs="Arial"/>
        </w:rPr>
        <w:t xml:space="preserve">. Our on-going work is </w:t>
      </w:r>
      <w:r w:rsidR="00547807">
        <w:rPr>
          <w:rFonts w:ascii="Arial" w:hAnsi="Arial" w:cs="Arial"/>
        </w:rPr>
        <w:t xml:space="preserve">also </w:t>
      </w:r>
      <w:r w:rsidR="00EA5B9C">
        <w:rPr>
          <w:rFonts w:ascii="Arial" w:hAnsi="Arial" w:cs="Arial"/>
        </w:rPr>
        <w:t xml:space="preserve">exploring the role of EETs in cellular models of lipotoxicity relevant to the </w:t>
      </w:r>
      <w:r w:rsidR="00FE5B41">
        <w:rPr>
          <w:rFonts w:ascii="Arial" w:hAnsi="Arial" w:cs="Arial"/>
        </w:rPr>
        <w:t>pathogenesis</w:t>
      </w:r>
      <w:r w:rsidR="00EA5B9C">
        <w:rPr>
          <w:rFonts w:ascii="Arial" w:hAnsi="Arial" w:cs="Arial"/>
        </w:rPr>
        <w:t xml:space="preserve"> of type 2 DM and the role of CYP450 enzymes in the endogenous production of EETs. </w:t>
      </w:r>
    </w:p>
    <w:p w:rsidR="00AA422C" w:rsidRDefault="00AA422C" w:rsidP="009F6620">
      <w:pPr>
        <w:spacing w:line="480" w:lineRule="auto"/>
        <w:rPr>
          <w:rFonts w:ascii="Arial" w:hAnsi="Arial" w:cs="Arial"/>
        </w:rPr>
      </w:pPr>
    </w:p>
    <w:p w:rsidR="001C2BFC" w:rsidRDefault="001C2BFC" w:rsidP="009F6620">
      <w:pPr>
        <w:spacing w:line="480" w:lineRule="auto"/>
        <w:rPr>
          <w:rFonts w:ascii="Arial" w:hAnsi="Arial" w:cs="Arial"/>
        </w:rPr>
      </w:pPr>
    </w:p>
    <w:p w:rsidR="001C2BFC" w:rsidRDefault="001C2BFC" w:rsidP="009F6620">
      <w:pPr>
        <w:spacing w:line="480" w:lineRule="auto"/>
        <w:rPr>
          <w:rFonts w:ascii="Arial" w:hAnsi="Arial" w:cs="Arial"/>
        </w:rPr>
      </w:pPr>
    </w:p>
    <w:p w:rsidR="001C2BFC" w:rsidRDefault="001C2BFC" w:rsidP="009F6620">
      <w:pPr>
        <w:spacing w:line="480" w:lineRule="auto"/>
        <w:rPr>
          <w:rFonts w:ascii="Arial" w:hAnsi="Arial" w:cs="Arial"/>
        </w:rPr>
      </w:pPr>
    </w:p>
    <w:p w:rsidR="000B448D" w:rsidRDefault="000B448D" w:rsidP="009F6620">
      <w:pPr>
        <w:spacing w:line="480" w:lineRule="auto"/>
        <w:rPr>
          <w:rFonts w:ascii="Arial" w:hAnsi="Arial" w:cs="Arial"/>
        </w:rPr>
      </w:pPr>
    </w:p>
    <w:p w:rsidR="000B448D" w:rsidRDefault="000B448D" w:rsidP="009F6620">
      <w:pPr>
        <w:spacing w:line="480" w:lineRule="auto"/>
        <w:rPr>
          <w:rFonts w:ascii="Arial" w:hAnsi="Arial" w:cs="Arial"/>
        </w:rPr>
      </w:pPr>
    </w:p>
    <w:p w:rsidR="000B448D" w:rsidRDefault="000B448D" w:rsidP="009F6620">
      <w:pPr>
        <w:spacing w:line="480" w:lineRule="auto"/>
        <w:rPr>
          <w:rFonts w:ascii="Arial" w:hAnsi="Arial" w:cs="Arial"/>
        </w:rPr>
      </w:pPr>
    </w:p>
    <w:p w:rsidR="00ED0DFB" w:rsidRDefault="00ED0DFB" w:rsidP="009F6620">
      <w:pPr>
        <w:spacing w:line="480" w:lineRule="auto"/>
        <w:rPr>
          <w:rFonts w:ascii="Arial" w:hAnsi="Arial" w:cs="Arial"/>
        </w:rPr>
      </w:pPr>
    </w:p>
    <w:p w:rsidR="000B448D" w:rsidRDefault="000B448D" w:rsidP="009F6620">
      <w:pPr>
        <w:spacing w:line="480" w:lineRule="auto"/>
        <w:rPr>
          <w:rFonts w:ascii="Arial" w:hAnsi="Arial" w:cs="Arial"/>
        </w:rPr>
      </w:pPr>
    </w:p>
    <w:p w:rsidR="00AF7439" w:rsidRPr="00D43283" w:rsidRDefault="00B86F97" w:rsidP="00BC3627">
      <w:pPr>
        <w:spacing w:line="480" w:lineRule="auto"/>
        <w:rPr>
          <w:rFonts w:ascii="Verdana" w:hAnsi="Verdana"/>
          <w:b/>
          <w:color w:val="333333"/>
          <w:shd w:val="clear" w:color="auto" w:fill="FFFFFF"/>
        </w:rPr>
      </w:pPr>
      <w:r w:rsidRPr="00D43283">
        <w:rPr>
          <w:rFonts w:ascii="Arial" w:hAnsi="Arial" w:cs="Arial"/>
          <w:b/>
          <w:color w:val="333333"/>
          <w:shd w:val="clear" w:color="auto" w:fill="FFFFFF"/>
        </w:rPr>
        <w:lastRenderedPageBreak/>
        <w:t>References</w:t>
      </w:r>
    </w:p>
    <w:p w:rsidR="00452C21" w:rsidRDefault="00452C21" w:rsidP="00452C21">
      <w:pPr>
        <w:spacing w:after="0" w:line="240" w:lineRule="auto"/>
        <w:rPr>
          <w:rFonts w:ascii="Arial" w:hAnsi="Arial" w:cs="Arial"/>
        </w:rPr>
      </w:pPr>
      <w:r>
        <w:rPr>
          <w:rFonts w:ascii="Arial" w:hAnsi="Arial" w:cs="Arial"/>
        </w:rPr>
        <w:t xml:space="preserve">[1] </w:t>
      </w:r>
      <w:r w:rsidRPr="001C2BFC">
        <w:rPr>
          <w:rFonts w:ascii="Arial" w:hAnsi="Arial" w:cs="Arial"/>
        </w:rPr>
        <w:t>Cnop</w:t>
      </w:r>
      <w:r>
        <w:rPr>
          <w:rFonts w:ascii="Arial" w:hAnsi="Arial" w:cs="Arial"/>
        </w:rPr>
        <w:t>, M.</w:t>
      </w:r>
      <w:r w:rsidRPr="001C2BFC">
        <w:rPr>
          <w:rFonts w:ascii="Arial" w:hAnsi="Arial" w:cs="Arial"/>
        </w:rPr>
        <w:t>, Welsh</w:t>
      </w:r>
      <w:r>
        <w:rPr>
          <w:rFonts w:ascii="Arial" w:hAnsi="Arial" w:cs="Arial"/>
        </w:rPr>
        <w:t>,</w:t>
      </w:r>
      <w:r w:rsidRPr="001C2BFC">
        <w:rPr>
          <w:rFonts w:ascii="Arial" w:hAnsi="Arial" w:cs="Arial"/>
        </w:rPr>
        <w:t xml:space="preserve"> N</w:t>
      </w:r>
      <w:r>
        <w:rPr>
          <w:rFonts w:ascii="Arial" w:hAnsi="Arial" w:cs="Arial"/>
        </w:rPr>
        <w:t>.</w:t>
      </w:r>
      <w:r w:rsidRPr="001C2BFC">
        <w:rPr>
          <w:rFonts w:ascii="Arial" w:hAnsi="Arial" w:cs="Arial"/>
        </w:rPr>
        <w:t>, Jonas</w:t>
      </w:r>
      <w:r>
        <w:rPr>
          <w:rFonts w:ascii="Arial" w:hAnsi="Arial" w:cs="Arial"/>
        </w:rPr>
        <w:t>,</w:t>
      </w:r>
      <w:r w:rsidRPr="001C2BFC">
        <w:rPr>
          <w:rFonts w:ascii="Arial" w:hAnsi="Arial" w:cs="Arial"/>
        </w:rPr>
        <w:t xml:space="preserve"> J</w:t>
      </w:r>
      <w:r>
        <w:rPr>
          <w:rFonts w:ascii="Arial" w:hAnsi="Arial" w:cs="Arial"/>
        </w:rPr>
        <w:t>.</w:t>
      </w:r>
      <w:r w:rsidRPr="001C2BFC">
        <w:rPr>
          <w:rFonts w:ascii="Arial" w:hAnsi="Arial" w:cs="Arial"/>
        </w:rPr>
        <w:t>C</w:t>
      </w:r>
      <w:r>
        <w:rPr>
          <w:rFonts w:ascii="Arial" w:hAnsi="Arial" w:cs="Arial"/>
        </w:rPr>
        <w:t>.</w:t>
      </w:r>
      <w:r w:rsidRPr="001C2BFC">
        <w:rPr>
          <w:rFonts w:ascii="Arial" w:hAnsi="Arial" w:cs="Arial"/>
        </w:rPr>
        <w:t>, Jörns</w:t>
      </w:r>
      <w:r>
        <w:rPr>
          <w:rFonts w:ascii="Arial" w:hAnsi="Arial" w:cs="Arial"/>
        </w:rPr>
        <w:t>,</w:t>
      </w:r>
      <w:r w:rsidRPr="001C2BFC">
        <w:rPr>
          <w:rFonts w:ascii="Arial" w:hAnsi="Arial" w:cs="Arial"/>
        </w:rPr>
        <w:t xml:space="preserve"> A</w:t>
      </w:r>
      <w:r>
        <w:rPr>
          <w:rFonts w:ascii="Arial" w:hAnsi="Arial" w:cs="Arial"/>
        </w:rPr>
        <w:t>.</w:t>
      </w:r>
      <w:r w:rsidRPr="001C2BFC">
        <w:rPr>
          <w:rFonts w:ascii="Arial" w:hAnsi="Arial" w:cs="Arial"/>
        </w:rPr>
        <w:t>, Lenzen</w:t>
      </w:r>
      <w:r>
        <w:rPr>
          <w:rFonts w:ascii="Arial" w:hAnsi="Arial" w:cs="Arial"/>
        </w:rPr>
        <w:t>,</w:t>
      </w:r>
      <w:r w:rsidRPr="001C2BFC">
        <w:rPr>
          <w:rFonts w:ascii="Arial" w:hAnsi="Arial" w:cs="Arial"/>
        </w:rPr>
        <w:t xml:space="preserve"> S</w:t>
      </w:r>
      <w:r>
        <w:rPr>
          <w:rFonts w:ascii="Arial" w:hAnsi="Arial" w:cs="Arial"/>
        </w:rPr>
        <w:t>.,</w:t>
      </w:r>
      <w:r w:rsidRPr="001C2BFC">
        <w:rPr>
          <w:rFonts w:ascii="Arial" w:hAnsi="Arial" w:cs="Arial"/>
        </w:rPr>
        <w:t xml:space="preserve"> Eizirik</w:t>
      </w:r>
      <w:r>
        <w:rPr>
          <w:rFonts w:ascii="Arial" w:hAnsi="Arial" w:cs="Arial"/>
        </w:rPr>
        <w:t>,</w:t>
      </w:r>
      <w:r w:rsidRPr="001C2BFC">
        <w:rPr>
          <w:rFonts w:ascii="Arial" w:hAnsi="Arial" w:cs="Arial"/>
        </w:rPr>
        <w:t xml:space="preserve"> D</w:t>
      </w:r>
      <w:r>
        <w:rPr>
          <w:rFonts w:ascii="Arial" w:hAnsi="Arial" w:cs="Arial"/>
        </w:rPr>
        <w:t>.</w:t>
      </w:r>
      <w:r w:rsidRPr="001C2BFC">
        <w:rPr>
          <w:rFonts w:ascii="Arial" w:hAnsi="Arial" w:cs="Arial"/>
        </w:rPr>
        <w:t>L.</w:t>
      </w:r>
      <w:r>
        <w:rPr>
          <w:rFonts w:ascii="Arial" w:hAnsi="Arial" w:cs="Arial"/>
        </w:rPr>
        <w:t xml:space="preserve"> (2005).</w:t>
      </w:r>
      <w:r w:rsidRPr="001C2BFC">
        <w:rPr>
          <w:rFonts w:ascii="Arial" w:hAnsi="Arial" w:cs="Arial"/>
        </w:rPr>
        <w:t>Mechanisms of pancreatic beta-cell death in type 1 and type 2 diabetes: many differences, few similarities.</w:t>
      </w:r>
      <w:r>
        <w:rPr>
          <w:rFonts w:ascii="Arial" w:hAnsi="Arial" w:cs="Arial"/>
        </w:rPr>
        <w:t xml:space="preserve"> </w:t>
      </w:r>
      <w:r w:rsidRPr="001C2BFC">
        <w:rPr>
          <w:rFonts w:ascii="Arial" w:hAnsi="Arial" w:cs="Arial"/>
        </w:rPr>
        <w:t>Diabetes. 54 Suppl 2:S97-107.</w:t>
      </w:r>
    </w:p>
    <w:p w:rsidR="00452C21" w:rsidRPr="001C2BFC" w:rsidRDefault="00452C21" w:rsidP="00452C21">
      <w:pPr>
        <w:spacing w:after="0" w:line="240" w:lineRule="auto"/>
        <w:rPr>
          <w:rFonts w:ascii="Arial" w:hAnsi="Arial" w:cs="Arial"/>
        </w:rPr>
      </w:pPr>
    </w:p>
    <w:p w:rsidR="00356824" w:rsidRDefault="00356824" w:rsidP="00452C21">
      <w:pPr>
        <w:spacing w:after="0" w:line="240" w:lineRule="auto"/>
        <w:rPr>
          <w:rFonts w:ascii="Arial" w:hAnsi="Arial" w:cs="Arial"/>
        </w:rPr>
      </w:pPr>
      <w:r>
        <w:rPr>
          <w:rFonts w:ascii="Arial" w:hAnsi="Arial" w:cs="Arial"/>
        </w:rPr>
        <w:t>[</w:t>
      </w:r>
      <w:r w:rsidR="00452C21">
        <w:rPr>
          <w:rFonts w:ascii="Arial" w:hAnsi="Arial" w:cs="Arial"/>
        </w:rPr>
        <w:t>2</w:t>
      </w:r>
      <w:r>
        <w:rPr>
          <w:rFonts w:ascii="Arial" w:hAnsi="Arial" w:cs="Arial"/>
        </w:rPr>
        <w:t xml:space="preserve">] </w:t>
      </w:r>
      <w:r w:rsidRPr="00FA487D">
        <w:rPr>
          <w:rFonts w:ascii="Arial" w:hAnsi="Arial" w:cs="Arial"/>
        </w:rPr>
        <w:t xml:space="preserve">Lopes, M., Kutlu, B., Miani, M., Bang-Berthelsen, C.H., Størling, J., Pociot, F., Goodman, N., Hood, L., Welsh, N., Bontempi, G., Eizirik, D.L. (2014).Temporal profiling of cytokine-induced genes in pancreatic β-cells by meta-analysis and network inference. Genomics. 103(4):264-75. </w:t>
      </w:r>
    </w:p>
    <w:p w:rsidR="00356824" w:rsidRDefault="00356824" w:rsidP="00356824">
      <w:pPr>
        <w:spacing w:after="0" w:line="240" w:lineRule="auto"/>
        <w:rPr>
          <w:rFonts w:ascii="Arial" w:hAnsi="Arial" w:cs="Arial"/>
        </w:rPr>
      </w:pPr>
    </w:p>
    <w:p w:rsidR="00356824" w:rsidRDefault="00356824" w:rsidP="00356824">
      <w:pPr>
        <w:spacing w:after="0" w:line="240" w:lineRule="auto"/>
        <w:rPr>
          <w:rFonts w:ascii="Arial" w:hAnsi="Arial" w:cs="Arial"/>
        </w:rPr>
      </w:pPr>
      <w:r>
        <w:rPr>
          <w:rFonts w:ascii="Arial" w:hAnsi="Arial" w:cs="Arial"/>
        </w:rPr>
        <w:t xml:space="preserve">[3] </w:t>
      </w:r>
      <w:r w:rsidRPr="00AB0B10">
        <w:rPr>
          <w:rFonts w:ascii="Arial" w:hAnsi="Arial" w:cs="Arial"/>
        </w:rPr>
        <w:t>Li</w:t>
      </w:r>
      <w:r>
        <w:rPr>
          <w:rFonts w:ascii="Arial" w:hAnsi="Arial" w:cs="Arial"/>
        </w:rPr>
        <w:t>,</w:t>
      </w:r>
      <w:r w:rsidRPr="00AB0B10">
        <w:rPr>
          <w:rFonts w:ascii="Arial" w:hAnsi="Arial" w:cs="Arial"/>
        </w:rPr>
        <w:t xml:space="preserve"> R</w:t>
      </w:r>
      <w:r>
        <w:rPr>
          <w:rFonts w:ascii="Arial" w:hAnsi="Arial" w:cs="Arial"/>
        </w:rPr>
        <w:t>.</w:t>
      </w:r>
      <w:r w:rsidRPr="00AB0B10">
        <w:rPr>
          <w:rFonts w:ascii="Arial" w:hAnsi="Arial" w:cs="Arial"/>
        </w:rPr>
        <w:t>, Xu</w:t>
      </w:r>
      <w:r>
        <w:rPr>
          <w:rFonts w:ascii="Arial" w:hAnsi="Arial" w:cs="Arial"/>
        </w:rPr>
        <w:t>,</w:t>
      </w:r>
      <w:r w:rsidRPr="00AB0B10">
        <w:rPr>
          <w:rFonts w:ascii="Arial" w:hAnsi="Arial" w:cs="Arial"/>
        </w:rPr>
        <w:t xml:space="preserve"> X</w:t>
      </w:r>
      <w:r>
        <w:rPr>
          <w:rFonts w:ascii="Arial" w:hAnsi="Arial" w:cs="Arial"/>
        </w:rPr>
        <w:t>.</w:t>
      </w:r>
      <w:r w:rsidRPr="00AB0B10">
        <w:rPr>
          <w:rFonts w:ascii="Arial" w:hAnsi="Arial" w:cs="Arial"/>
        </w:rPr>
        <w:t>, Chen</w:t>
      </w:r>
      <w:r>
        <w:rPr>
          <w:rFonts w:ascii="Arial" w:hAnsi="Arial" w:cs="Arial"/>
        </w:rPr>
        <w:t>,</w:t>
      </w:r>
      <w:r w:rsidRPr="00AB0B10">
        <w:rPr>
          <w:rFonts w:ascii="Arial" w:hAnsi="Arial" w:cs="Arial"/>
        </w:rPr>
        <w:t xml:space="preserve"> C</w:t>
      </w:r>
      <w:r>
        <w:rPr>
          <w:rFonts w:ascii="Arial" w:hAnsi="Arial" w:cs="Arial"/>
        </w:rPr>
        <w:t>.</w:t>
      </w:r>
      <w:r w:rsidRPr="00AB0B10">
        <w:rPr>
          <w:rFonts w:ascii="Arial" w:hAnsi="Arial" w:cs="Arial"/>
        </w:rPr>
        <w:t>, Wang</w:t>
      </w:r>
      <w:r>
        <w:rPr>
          <w:rFonts w:ascii="Arial" w:hAnsi="Arial" w:cs="Arial"/>
        </w:rPr>
        <w:t>, Y.,</w:t>
      </w:r>
      <w:r w:rsidRPr="00AB0B10">
        <w:rPr>
          <w:rFonts w:ascii="Arial" w:hAnsi="Arial" w:cs="Arial"/>
        </w:rPr>
        <w:t xml:space="preserve"> Gruzdev</w:t>
      </w:r>
      <w:r>
        <w:rPr>
          <w:rFonts w:ascii="Arial" w:hAnsi="Arial" w:cs="Arial"/>
        </w:rPr>
        <w:t>,</w:t>
      </w:r>
      <w:r w:rsidRPr="00AB0B10">
        <w:rPr>
          <w:rFonts w:ascii="Arial" w:hAnsi="Arial" w:cs="Arial"/>
        </w:rPr>
        <w:t xml:space="preserve"> A</w:t>
      </w:r>
      <w:r>
        <w:rPr>
          <w:rFonts w:ascii="Arial" w:hAnsi="Arial" w:cs="Arial"/>
        </w:rPr>
        <w:t>.</w:t>
      </w:r>
      <w:r w:rsidRPr="00AB0B10">
        <w:rPr>
          <w:rFonts w:ascii="Arial" w:hAnsi="Arial" w:cs="Arial"/>
        </w:rPr>
        <w:t>, Zeldin</w:t>
      </w:r>
      <w:r>
        <w:rPr>
          <w:rFonts w:ascii="Arial" w:hAnsi="Arial" w:cs="Arial"/>
        </w:rPr>
        <w:t>,</w:t>
      </w:r>
      <w:r w:rsidRPr="00AB0B10">
        <w:rPr>
          <w:rFonts w:ascii="Arial" w:hAnsi="Arial" w:cs="Arial"/>
        </w:rPr>
        <w:t xml:space="preserve"> D</w:t>
      </w:r>
      <w:r>
        <w:rPr>
          <w:rFonts w:ascii="Arial" w:hAnsi="Arial" w:cs="Arial"/>
        </w:rPr>
        <w:t>.</w:t>
      </w:r>
      <w:r w:rsidRPr="00AB0B10">
        <w:rPr>
          <w:rFonts w:ascii="Arial" w:hAnsi="Arial" w:cs="Arial"/>
        </w:rPr>
        <w:t>C</w:t>
      </w:r>
      <w:r>
        <w:rPr>
          <w:rFonts w:ascii="Arial" w:hAnsi="Arial" w:cs="Arial"/>
        </w:rPr>
        <w:t>.</w:t>
      </w:r>
      <w:r w:rsidRPr="00AB0B10">
        <w:rPr>
          <w:rFonts w:ascii="Arial" w:hAnsi="Arial" w:cs="Arial"/>
        </w:rPr>
        <w:t>, Wang</w:t>
      </w:r>
      <w:r>
        <w:rPr>
          <w:rFonts w:ascii="Arial" w:hAnsi="Arial" w:cs="Arial"/>
        </w:rPr>
        <w:t>,</w:t>
      </w:r>
      <w:r w:rsidRPr="00AB0B10">
        <w:rPr>
          <w:rFonts w:ascii="Arial" w:hAnsi="Arial" w:cs="Arial"/>
        </w:rPr>
        <w:t xml:space="preserve"> D</w:t>
      </w:r>
      <w:r>
        <w:rPr>
          <w:rFonts w:ascii="Arial" w:hAnsi="Arial" w:cs="Arial"/>
        </w:rPr>
        <w:t>.</w:t>
      </w:r>
      <w:r w:rsidRPr="00AB0B10">
        <w:rPr>
          <w:rFonts w:ascii="Arial" w:hAnsi="Arial" w:cs="Arial"/>
        </w:rPr>
        <w:t>W.</w:t>
      </w:r>
      <w:r>
        <w:rPr>
          <w:rFonts w:ascii="Arial" w:hAnsi="Arial" w:cs="Arial"/>
        </w:rPr>
        <w:t xml:space="preserve"> (2015). </w:t>
      </w:r>
      <w:r w:rsidRPr="00AB0B10">
        <w:rPr>
          <w:rFonts w:ascii="Arial" w:hAnsi="Arial" w:cs="Arial"/>
        </w:rPr>
        <w:t>CYP2J2 attenuates metabolic dysfunction in diabetic mice by reducing hepatic inflammation via the PPARγ.</w:t>
      </w:r>
      <w:r>
        <w:rPr>
          <w:rFonts w:ascii="Arial" w:hAnsi="Arial" w:cs="Arial"/>
        </w:rPr>
        <w:t xml:space="preserve"> </w:t>
      </w:r>
      <w:r w:rsidRPr="00AB0B10">
        <w:rPr>
          <w:rFonts w:ascii="Arial" w:hAnsi="Arial" w:cs="Arial"/>
        </w:rPr>
        <w:t xml:space="preserve">Am J Physiol Endocrinol Metab. 308(4):E270-82. </w:t>
      </w:r>
    </w:p>
    <w:p w:rsidR="00356824" w:rsidRDefault="00356824" w:rsidP="00356824">
      <w:pPr>
        <w:spacing w:after="0" w:line="240" w:lineRule="auto"/>
        <w:rPr>
          <w:rFonts w:ascii="Arial" w:hAnsi="Arial" w:cs="Arial"/>
        </w:rPr>
      </w:pPr>
    </w:p>
    <w:p w:rsidR="00356824" w:rsidRDefault="00356824" w:rsidP="00356824">
      <w:pPr>
        <w:spacing w:after="0" w:line="240" w:lineRule="auto"/>
        <w:rPr>
          <w:rFonts w:ascii="Arial" w:hAnsi="Arial" w:cs="Arial"/>
        </w:rPr>
      </w:pPr>
      <w:r>
        <w:rPr>
          <w:rFonts w:ascii="Arial" w:hAnsi="Arial" w:cs="Arial"/>
        </w:rPr>
        <w:t xml:space="preserve">[4] </w:t>
      </w:r>
      <w:r w:rsidRPr="00AB0B10">
        <w:rPr>
          <w:rFonts w:ascii="Arial" w:hAnsi="Arial" w:cs="Arial"/>
        </w:rPr>
        <w:t>Wang</w:t>
      </w:r>
      <w:r>
        <w:rPr>
          <w:rFonts w:ascii="Arial" w:hAnsi="Arial" w:cs="Arial"/>
        </w:rPr>
        <w:t>, X.,</w:t>
      </w:r>
      <w:r w:rsidRPr="00AB0B10">
        <w:rPr>
          <w:rFonts w:ascii="Arial" w:hAnsi="Arial" w:cs="Arial"/>
        </w:rPr>
        <w:t xml:space="preserve"> Ni</w:t>
      </w:r>
      <w:r>
        <w:rPr>
          <w:rFonts w:ascii="Arial" w:hAnsi="Arial" w:cs="Arial"/>
        </w:rPr>
        <w:t>,</w:t>
      </w:r>
      <w:r w:rsidRPr="00AB0B10">
        <w:rPr>
          <w:rFonts w:ascii="Arial" w:hAnsi="Arial" w:cs="Arial"/>
        </w:rPr>
        <w:t xml:space="preserve"> L</w:t>
      </w:r>
      <w:r>
        <w:rPr>
          <w:rFonts w:ascii="Arial" w:hAnsi="Arial" w:cs="Arial"/>
        </w:rPr>
        <w:t>.</w:t>
      </w:r>
      <w:r w:rsidRPr="00AB0B10">
        <w:rPr>
          <w:rFonts w:ascii="Arial" w:hAnsi="Arial" w:cs="Arial"/>
        </w:rPr>
        <w:t>, Yang</w:t>
      </w:r>
      <w:r>
        <w:rPr>
          <w:rFonts w:ascii="Arial" w:hAnsi="Arial" w:cs="Arial"/>
        </w:rPr>
        <w:t>,</w:t>
      </w:r>
      <w:r w:rsidRPr="00AB0B10">
        <w:rPr>
          <w:rFonts w:ascii="Arial" w:hAnsi="Arial" w:cs="Arial"/>
        </w:rPr>
        <w:t xml:space="preserve"> L</w:t>
      </w:r>
      <w:r>
        <w:rPr>
          <w:rFonts w:ascii="Arial" w:hAnsi="Arial" w:cs="Arial"/>
        </w:rPr>
        <w:t>.</w:t>
      </w:r>
      <w:r w:rsidRPr="00AB0B10">
        <w:rPr>
          <w:rFonts w:ascii="Arial" w:hAnsi="Arial" w:cs="Arial"/>
        </w:rPr>
        <w:t>, Duan</w:t>
      </w:r>
      <w:r>
        <w:rPr>
          <w:rFonts w:ascii="Arial" w:hAnsi="Arial" w:cs="Arial"/>
        </w:rPr>
        <w:t>,</w:t>
      </w:r>
      <w:r w:rsidRPr="00AB0B10">
        <w:rPr>
          <w:rFonts w:ascii="Arial" w:hAnsi="Arial" w:cs="Arial"/>
        </w:rPr>
        <w:t xml:space="preserve"> Q</w:t>
      </w:r>
      <w:r>
        <w:rPr>
          <w:rFonts w:ascii="Arial" w:hAnsi="Arial" w:cs="Arial"/>
        </w:rPr>
        <w:t>.</w:t>
      </w:r>
      <w:r w:rsidRPr="00AB0B10">
        <w:rPr>
          <w:rFonts w:ascii="Arial" w:hAnsi="Arial" w:cs="Arial"/>
        </w:rPr>
        <w:t>, Chen</w:t>
      </w:r>
      <w:r>
        <w:rPr>
          <w:rFonts w:ascii="Arial" w:hAnsi="Arial" w:cs="Arial"/>
        </w:rPr>
        <w:t>,</w:t>
      </w:r>
      <w:r w:rsidRPr="00AB0B10">
        <w:rPr>
          <w:rFonts w:ascii="Arial" w:hAnsi="Arial" w:cs="Arial"/>
        </w:rPr>
        <w:t xml:space="preserve"> C</w:t>
      </w:r>
      <w:r>
        <w:rPr>
          <w:rFonts w:ascii="Arial" w:hAnsi="Arial" w:cs="Arial"/>
        </w:rPr>
        <w:t>.</w:t>
      </w:r>
      <w:r w:rsidRPr="00AB0B10">
        <w:rPr>
          <w:rFonts w:ascii="Arial" w:hAnsi="Arial" w:cs="Arial"/>
        </w:rPr>
        <w:t>, Edin</w:t>
      </w:r>
      <w:r>
        <w:rPr>
          <w:rFonts w:ascii="Arial" w:hAnsi="Arial" w:cs="Arial"/>
        </w:rPr>
        <w:t>,</w:t>
      </w:r>
      <w:r w:rsidRPr="00AB0B10">
        <w:rPr>
          <w:rFonts w:ascii="Arial" w:hAnsi="Arial" w:cs="Arial"/>
        </w:rPr>
        <w:t xml:space="preserve"> M</w:t>
      </w:r>
      <w:r>
        <w:rPr>
          <w:rFonts w:ascii="Arial" w:hAnsi="Arial" w:cs="Arial"/>
        </w:rPr>
        <w:t>.</w:t>
      </w:r>
      <w:r w:rsidRPr="00AB0B10">
        <w:rPr>
          <w:rFonts w:ascii="Arial" w:hAnsi="Arial" w:cs="Arial"/>
        </w:rPr>
        <w:t>L</w:t>
      </w:r>
      <w:r>
        <w:rPr>
          <w:rFonts w:ascii="Arial" w:hAnsi="Arial" w:cs="Arial"/>
        </w:rPr>
        <w:t>.</w:t>
      </w:r>
      <w:r w:rsidRPr="00AB0B10">
        <w:rPr>
          <w:rFonts w:ascii="Arial" w:hAnsi="Arial" w:cs="Arial"/>
        </w:rPr>
        <w:t>, Zeldin</w:t>
      </w:r>
      <w:r>
        <w:rPr>
          <w:rFonts w:ascii="Arial" w:hAnsi="Arial" w:cs="Arial"/>
        </w:rPr>
        <w:t>,</w:t>
      </w:r>
      <w:r w:rsidRPr="00AB0B10">
        <w:rPr>
          <w:rFonts w:ascii="Arial" w:hAnsi="Arial" w:cs="Arial"/>
        </w:rPr>
        <w:t xml:space="preserve"> D</w:t>
      </w:r>
      <w:r>
        <w:rPr>
          <w:rFonts w:ascii="Arial" w:hAnsi="Arial" w:cs="Arial"/>
        </w:rPr>
        <w:t>.</w:t>
      </w:r>
      <w:r w:rsidRPr="00AB0B10">
        <w:rPr>
          <w:rFonts w:ascii="Arial" w:hAnsi="Arial" w:cs="Arial"/>
        </w:rPr>
        <w:t>C</w:t>
      </w:r>
      <w:r>
        <w:rPr>
          <w:rFonts w:ascii="Arial" w:hAnsi="Arial" w:cs="Arial"/>
        </w:rPr>
        <w:t>.</w:t>
      </w:r>
      <w:r w:rsidRPr="00AB0B10">
        <w:rPr>
          <w:rFonts w:ascii="Arial" w:hAnsi="Arial" w:cs="Arial"/>
        </w:rPr>
        <w:t>, Wang</w:t>
      </w:r>
      <w:r>
        <w:rPr>
          <w:rFonts w:ascii="Arial" w:hAnsi="Arial" w:cs="Arial"/>
        </w:rPr>
        <w:t>,</w:t>
      </w:r>
      <w:r w:rsidRPr="00AB0B10">
        <w:rPr>
          <w:rFonts w:ascii="Arial" w:hAnsi="Arial" w:cs="Arial"/>
        </w:rPr>
        <w:t xml:space="preserve"> D</w:t>
      </w:r>
      <w:r>
        <w:rPr>
          <w:rFonts w:ascii="Arial" w:hAnsi="Arial" w:cs="Arial"/>
        </w:rPr>
        <w:t>.</w:t>
      </w:r>
      <w:r w:rsidRPr="00AB0B10">
        <w:rPr>
          <w:rFonts w:ascii="Arial" w:hAnsi="Arial" w:cs="Arial"/>
        </w:rPr>
        <w:t>W.</w:t>
      </w:r>
      <w:r>
        <w:rPr>
          <w:rFonts w:ascii="Arial" w:hAnsi="Arial" w:cs="Arial"/>
        </w:rPr>
        <w:t xml:space="preserve"> (2014). </w:t>
      </w:r>
      <w:r w:rsidRPr="00AB0B10">
        <w:rPr>
          <w:rFonts w:ascii="Arial" w:hAnsi="Arial" w:cs="Arial"/>
        </w:rPr>
        <w:t>CYP2J2-derived epoxyeicosatrienoic acids suppress endoplasmic reticulum stress in heart failure.</w:t>
      </w:r>
      <w:r>
        <w:rPr>
          <w:rFonts w:ascii="Arial" w:hAnsi="Arial" w:cs="Arial"/>
        </w:rPr>
        <w:t xml:space="preserve"> </w:t>
      </w:r>
      <w:r w:rsidRPr="00AB0B10">
        <w:rPr>
          <w:rFonts w:ascii="Arial" w:hAnsi="Arial" w:cs="Arial"/>
        </w:rPr>
        <w:t xml:space="preserve">Mol Pharmacol. 85(1):105-15. </w:t>
      </w:r>
    </w:p>
    <w:p w:rsidR="00356824" w:rsidRDefault="00356824" w:rsidP="00356824">
      <w:pPr>
        <w:spacing w:after="0" w:line="240" w:lineRule="auto"/>
        <w:rPr>
          <w:rFonts w:ascii="Arial" w:hAnsi="Arial" w:cs="Arial"/>
        </w:rPr>
      </w:pPr>
    </w:p>
    <w:p w:rsidR="00356824" w:rsidRDefault="00356824" w:rsidP="00356824">
      <w:pPr>
        <w:spacing w:after="0" w:line="240" w:lineRule="auto"/>
        <w:rPr>
          <w:rFonts w:ascii="Arial" w:hAnsi="Arial" w:cs="Arial"/>
        </w:rPr>
      </w:pPr>
      <w:r>
        <w:rPr>
          <w:rFonts w:ascii="Arial" w:hAnsi="Arial" w:cs="Arial"/>
        </w:rPr>
        <w:t xml:space="preserve">[5] </w:t>
      </w:r>
      <w:r w:rsidRPr="00FA1673">
        <w:rPr>
          <w:rFonts w:ascii="Arial" w:hAnsi="Arial" w:cs="Arial"/>
        </w:rPr>
        <w:t>Battaieb, A.</w:t>
      </w:r>
      <w:r>
        <w:rPr>
          <w:rFonts w:ascii="Arial" w:hAnsi="Arial" w:cs="Arial"/>
        </w:rPr>
        <w:t>,</w:t>
      </w:r>
      <w:r w:rsidRPr="00FA1673">
        <w:rPr>
          <w:rFonts w:ascii="Arial" w:hAnsi="Arial" w:cs="Arial"/>
        </w:rPr>
        <w:t xml:space="preserve"> Nagata, N.</w:t>
      </w:r>
      <w:r>
        <w:rPr>
          <w:rFonts w:ascii="Arial" w:hAnsi="Arial" w:cs="Arial"/>
        </w:rPr>
        <w:t>,</w:t>
      </w:r>
      <w:r w:rsidRPr="00FA1673">
        <w:rPr>
          <w:rFonts w:ascii="Arial" w:hAnsi="Arial" w:cs="Arial"/>
        </w:rPr>
        <w:t xml:space="preserve"> AbouBechara, D.</w:t>
      </w:r>
      <w:r>
        <w:rPr>
          <w:rFonts w:ascii="Arial" w:hAnsi="Arial" w:cs="Arial"/>
        </w:rPr>
        <w:t>,</w:t>
      </w:r>
      <w:r w:rsidRPr="00FA1673">
        <w:rPr>
          <w:rFonts w:ascii="Arial" w:hAnsi="Arial" w:cs="Arial"/>
        </w:rPr>
        <w:t xml:space="preserve"> Haj, F.G. </w:t>
      </w:r>
      <w:r>
        <w:rPr>
          <w:rFonts w:ascii="Arial" w:hAnsi="Arial" w:cs="Arial"/>
        </w:rPr>
        <w:t xml:space="preserve">(2013). </w:t>
      </w:r>
      <w:r w:rsidRPr="00FA1673">
        <w:rPr>
          <w:rFonts w:ascii="Arial" w:hAnsi="Arial" w:cs="Arial"/>
        </w:rPr>
        <w:t>Soluble Epoxide Hydrolase Deficiency or Inhibition Attenuates Diet-induced Endoplasmic Reticulum Stress in Liver and Adipose Tissue. JBC</w:t>
      </w:r>
      <w:r>
        <w:rPr>
          <w:rFonts w:ascii="Arial" w:hAnsi="Arial" w:cs="Arial"/>
        </w:rPr>
        <w:t>.</w:t>
      </w:r>
      <w:r w:rsidRPr="00FA1673">
        <w:rPr>
          <w:rFonts w:ascii="Arial" w:hAnsi="Arial" w:cs="Arial"/>
        </w:rPr>
        <w:t xml:space="preserve"> 286(2013): 14189-14199.</w:t>
      </w:r>
    </w:p>
    <w:p w:rsidR="00356824" w:rsidRDefault="00356824" w:rsidP="00356824">
      <w:pPr>
        <w:spacing w:after="0" w:line="240" w:lineRule="auto"/>
        <w:rPr>
          <w:rFonts w:ascii="Arial" w:hAnsi="Arial" w:cs="Arial"/>
        </w:rPr>
      </w:pPr>
    </w:p>
    <w:p w:rsidR="00356824" w:rsidRDefault="00356824" w:rsidP="00356824">
      <w:pPr>
        <w:spacing w:after="0" w:line="240" w:lineRule="auto"/>
        <w:rPr>
          <w:rFonts w:ascii="Arial" w:hAnsi="Arial" w:cs="Arial"/>
        </w:rPr>
      </w:pPr>
      <w:r>
        <w:rPr>
          <w:rFonts w:ascii="Arial" w:hAnsi="Arial" w:cs="Arial"/>
        </w:rPr>
        <w:t xml:space="preserve">[6] </w:t>
      </w:r>
      <w:r w:rsidRPr="007D26BA">
        <w:rPr>
          <w:rFonts w:ascii="Arial" w:hAnsi="Arial" w:cs="Arial"/>
        </w:rPr>
        <w:t>Daikh,</w:t>
      </w:r>
      <w:r>
        <w:rPr>
          <w:rFonts w:ascii="Arial" w:hAnsi="Arial" w:cs="Arial"/>
        </w:rPr>
        <w:t xml:space="preserve"> B.E., </w:t>
      </w:r>
      <w:r w:rsidRPr="007D26BA">
        <w:rPr>
          <w:rFonts w:ascii="Arial" w:hAnsi="Arial" w:cs="Arial"/>
        </w:rPr>
        <w:t>Lasker,</w:t>
      </w:r>
      <w:r>
        <w:rPr>
          <w:rFonts w:ascii="Arial" w:hAnsi="Arial" w:cs="Arial"/>
        </w:rPr>
        <w:t xml:space="preserve"> J.M., R</w:t>
      </w:r>
      <w:r w:rsidRPr="007D26BA">
        <w:rPr>
          <w:rFonts w:ascii="Arial" w:hAnsi="Arial" w:cs="Arial"/>
        </w:rPr>
        <w:t>aucy</w:t>
      </w:r>
      <w:r>
        <w:rPr>
          <w:rFonts w:ascii="Arial" w:hAnsi="Arial" w:cs="Arial"/>
        </w:rPr>
        <w:t xml:space="preserve">, J.L., </w:t>
      </w:r>
      <w:r w:rsidRPr="007D26BA">
        <w:rPr>
          <w:rFonts w:ascii="Arial" w:hAnsi="Arial" w:cs="Arial"/>
        </w:rPr>
        <w:t>Koop</w:t>
      </w:r>
      <w:r>
        <w:rPr>
          <w:rFonts w:ascii="Arial" w:hAnsi="Arial" w:cs="Arial"/>
        </w:rPr>
        <w:t xml:space="preserve">, D.R. (1994). </w:t>
      </w:r>
      <w:r w:rsidRPr="007D26BA">
        <w:rPr>
          <w:rFonts w:ascii="Arial" w:hAnsi="Arial" w:cs="Arial"/>
        </w:rPr>
        <w:t>Regio- and stereoselective epoxidation of arachidonic acid by human cytochromes P450 2C8 and 2C9.</w:t>
      </w:r>
      <w:r w:rsidRPr="007D26BA">
        <w:rPr>
          <w:rFonts w:ascii="Arial" w:eastAsia="Times New Roman" w:hAnsi="Arial" w:cs="Arial"/>
          <w:bCs/>
          <w:kern w:val="36"/>
          <w:lang w:eastAsia="en-GB"/>
        </w:rPr>
        <w:t xml:space="preserve"> </w:t>
      </w:r>
      <w:r w:rsidRPr="000F53BF">
        <w:rPr>
          <w:rFonts w:ascii="Arial" w:eastAsia="Times New Roman" w:hAnsi="Arial" w:cs="Arial"/>
          <w:bCs/>
          <w:kern w:val="36"/>
          <w:lang w:eastAsia="en-GB"/>
        </w:rPr>
        <w:t>J Pharmacol Exp Ther</w:t>
      </w:r>
      <w:r>
        <w:rPr>
          <w:rFonts w:ascii="Arial" w:eastAsia="Times New Roman" w:hAnsi="Arial" w:cs="Arial"/>
          <w:bCs/>
          <w:kern w:val="36"/>
          <w:lang w:eastAsia="en-GB"/>
        </w:rPr>
        <w:t>.</w:t>
      </w:r>
      <w:r w:rsidRPr="007D26BA">
        <w:rPr>
          <w:rFonts w:ascii="Arial" w:hAnsi="Arial" w:cs="Arial"/>
        </w:rPr>
        <w:t xml:space="preserve"> 271(3)</w:t>
      </w:r>
      <w:r>
        <w:rPr>
          <w:rFonts w:ascii="Arial" w:hAnsi="Arial" w:cs="Arial"/>
        </w:rPr>
        <w:t>: 1427-1433.</w:t>
      </w:r>
    </w:p>
    <w:p w:rsidR="00356824" w:rsidRDefault="00356824" w:rsidP="00356824">
      <w:pPr>
        <w:spacing w:after="0" w:line="240" w:lineRule="auto"/>
        <w:rPr>
          <w:rFonts w:ascii="Arial" w:hAnsi="Arial" w:cs="Arial"/>
        </w:rPr>
      </w:pPr>
    </w:p>
    <w:p w:rsidR="00356824" w:rsidRDefault="00356824" w:rsidP="00356824">
      <w:pPr>
        <w:spacing w:after="0" w:line="240" w:lineRule="auto"/>
        <w:rPr>
          <w:rFonts w:ascii="Arial" w:hAnsi="Arial" w:cs="Arial"/>
          <w:color w:val="000000"/>
        </w:rPr>
      </w:pPr>
      <w:r>
        <w:rPr>
          <w:rFonts w:ascii="Arial" w:hAnsi="Arial" w:cs="Arial"/>
          <w:color w:val="000000"/>
        </w:rPr>
        <w:t xml:space="preserve">[7] </w:t>
      </w:r>
      <w:r w:rsidRPr="00845606">
        <w:rPr>
          <w:rFonts w:ascii="Arial" w:hAnsi="Arial" w:cs="Arial"/>
          <w:color w:val="000000"/>
        </w:rPr>
        <w:t>Deng, Y., Theken, K.N., Lee, C.R. (2010).</w:t>
      </w:r>
      <w:r>
        <w:rPr>
          <w:rFonts w:ascii="Arial" w:hAnsi="Arial" w:cs="Arial"/>
          <w:color w:val="000000"/>
        </w:rPr>
        <w:t xml:space="preserve"> </w:t>
      </w:r>
      <w:r w:rsidRPr="00845606">
        <w:rPr>
          <w:rFonts w:ascii="Arial" w:hAnsi="Arial" w:cs="Arial"/>
          <w:color w:val="000000"/>
        </w:rPr>
        <w:t>Cytochrome P450 Epoxygenases, Soluble Epoxide Hydrolase and the Regulation of Cardiovascular Inflammation. J Mol Cell Cardiol. 48(2): 331.</w:t>
      </w:r>
    </w:p>
    <w:p w:rsidR="00356824" w:rsidRDefault="00356824" w:rsidP="00356824">
      <w:pPr>
        <w:spacing w:after="0" w:line="240" w:lineRule="auto"/>
        <w:rPr>
          <w:rFonts w:ascii="Arial" w:hAnsi="Arial" w:cs="Arial"/>
          <w:color w:val="000000"/>
        </w:rPr>
      </w:pPr>
    </w:p>
    <w:p w:rsidR="00356824" w:rsidRPr="009F6620" w:rsidRDefault="00356824" w:rsidP="00356824">
      <w:pPr>
        <w:spacing w:after="0" w:line="240" w:lineRule="auto"/>
        <w:rPr>
          <w:rFonts w:ascii="Arial" w:hAnsi="Arial" w:cs="Arial"/>
        </w:rPr>
      </w:pPr>
      <w:r>
        <w:rPr>
          <w:rFonts w:ascii="Arial" w:hAnsi="Arial" w:cs="Arial"/>
          <w:color w:val="000000"/>
        </w:rPr>
        <w:t xml:space="preserve">[8] </w:t>
      </w:r>
      <w:r>
        <w:rPr>
          <w:rFonts w:ascii="Arial" w:hAnsi="Arial" w:cs="Arial"/>
        </w:rPr>
        <w:t>Yang</w:t>
      </w:r>
      <w:r w:rsidR="007B046A">
        <w:rPr>
          <w:rFonts w:ascii="Arial" w:hAnsi="Arial" w:cs="Arial"/>
        </w:rPr>
        <w:t xml:space="preserve">, L., Mäki-Petäjä, K., Cheriyan, J., McEniery, C., Wilkinson, I.B. (2015). </w:t>
      </w:r>
      <w:r w:rsidRPr="002C362A">
        <w:rPr>
          <w:rFonts w:ascii="Arial" w:hAnsi="Arial" w:cs="Arial"/>
        </w:rPr>
        <w:t>The role of epoxyeicosatrienoic</w:t>
      </w:r>
      <w:r>
        <w:rPr>
          <w:rFonts w:ascii="Arial" w:hAnsi="Arial" w:cs="Arial"/>
        </w:rPr>
        <w:t xml:space="preserve"> </w:t>
      </w:r>
      <w:r w:rsidRPr="002C362A">
        <w:rPr>
          <w:rFonts w:ascii="Arial" w:hAnsi="Arial" w:cs="Arial"/>
        </w:rPr>
        <w:t>acids in the cardiovascular</w:t>
      </w:r>
      <w:r>
        <w:rPr>
          <w:rFonts w:ascii="Arial" w:hAnsi="Arial" w:cs="Arial"/>
        </w:rPr>
        <w:t xml:space="preserve"> </w:t>
      </w:r>
      <w:r w:rsidRPr="002C362A">
        <w:rPr>
          <w:rFonts w:ascii="Arial" w:hAnsi="Arial" w:cs="Arial"/>
        </w:rPr>
        <w:t>system</w:t>
      </w:r>
      <w:r w:rsidR="007B046A">
        <w:rPr>
          <w:rFonts w:ascii="Arial" w:hAnsi="Arial" w:cs="Arial"/>
        </w:rPr>
        <w:t xml:space="preserve">. Br J Clin Pharmacol. 80(1):28-44. </w:t>
      </w:r>
    </w:p>
    <w:p w:rsidR="00356824" w:rsidRDefault="00356824" w:rsidP="00356824">
      <w:pPr>
        <w:spacing w:after="0" w:line="240" w:lineRule="auto"/>
        <w:rPr>
          <w:rFonts w:ascii="Arial" w:hAnsi="Arial" w:cs="Arial"/>
          <w:color w:val="000000"/>
        </w:rPr>
      </w:pPr>
    </w:p>
    <w:p w:rsidR="00356824" w:rsidRDefault="00356824" w:rsidP="00356824">
      <w:pPr>
        <w:shd w:val="clear" w:color="auto" w:fill="FFFFFF"/>
        <w:spacing w:after="0" w:line="240" w:lineRule="auto"/>
        <w:rPr>
          <w:rFonts w:ascii="Arial" w:hAnsi="Arial" w:cs="Arial"/>
        </w:rPr>
      </w:pPr>
      <w:r>
        <w:rPr>
          <w:rFonts w:ascii="Arial" w:hAnsi="Arial" w:cs="Arial"/>
        </w:rPr>
        <w:t xml:space="preserve">[9] </w:t>
      </w:r>
      <w:r w:rsidRPr="00845606">
        <w:rPr>
          <w:rFonts w:ascii="Arial" w:hAnsi="Arial" w:cs="Arial"/>
        </w:rPr>
        <w:t>Liu, Y., Zhang, Y., Schmelzer, K., Lee, T.S., Fang, X., Zhu, Y., Spector, A.A., Gill, S., Morisseau, C., Hammock, B.D., Shyy, J.Y. (2005). The antiinflammatory effect of laminar flow: the role of PPARgamma, epoxyeicosatrienoic acids, and soluble epoxide hydrolase. PNAS. 102:16747-16752.</w:t>
      </w:r>
    </w:p>
    <w:p w:rsidR="00356824" w:rsidRDefault="00356824" w:rsidP="00356824">
      <w:pPr>
        <w:shd w:val="clear" w:color="auto" w:fill="FFFFFF"/>
        <w:spacing w:after="0" w:line="240" w:lineRule="auto"/>
        <w:rPr>
          <w:rFonts w:ascii="Arial" w:hAnsi="Arial" w:cs="Arial"/>
        </w:rPr>
      </w:pPr>
    </w:p>
    <w:p w:rsidR="00356824" w:rsidRDefault="00356824" w:rsidP="00356824">
      <w:pPr>
        <w:spacing w:after="0" w:line="240" w:lineRule="auto"/>
        <w:rPr>
          <w:rFonts w:ascii="Arial" w:hAnsi="Arial" w:cs="Arial"/>
        </w:rPr>
      </w:pPr>
      <w:r>
        <w:rPr>
          <w:rFonts w:ascii="Arial" w:hAnsi="Arial" w:cs="Arial"/>
        </w:rPr>
        <w:t xml:space="preserve">[10] </w:t>
      </w:r>
      <w:r w:rsidRPr="000F53BF">
        <w:rPr>
          <w:rFonts w:ascii="Arial" w:hAnsi="Arial" w:cs="Arial"/>
        </w:rPr>
        <w:t>Liu, X., Qian, Z.Y., Xie, F., Fan, W., Nelson, J.W., Xiao, X., Kaul, S., Barnes, A.P., Alkayed, N.J. (2017). Functional screening for G protein-coupled receptor targets of 14,15-epoxyeicosatrienoic acid.</w:t>
      </w:r>
      <w:r w:rsidRPr="000F53BF">
        <w:t xml:space="preserve"> </w:t>
      </w:r>
      <w:r w:rsidRPr="000F53BF">
        <w:rPr>
          <w:rFonts w:ascii="Arial" w:hAnsi="Arial" w:cs="Arial"/>
        </w:rPr>
        <w:t xml:space="preserve">Prostaglandins Other Lipid Mediat. 132:31-40. </w:t>
      </w:r>
    </w:p>
    <w:p w:rsidR="00356824" w:rsidRDefault="00356824" w:rsidP="00356824">
      <w:pPr>
        <w:spacing w:after="0" w:line="240" w:lineRule="auto"/>
        <w:rPr>
          <w:rFonts w:ascii="Arial" w:hAnsi="Arial" w:cs="Arial"/>
        </w:rPr>
      </w:pPr>
    </w:p>
    <w:p w:rsidR="00356824" w:rsidRDefault="00356824" w:rsidP="00356824">
      <w:pPr>
        <w:spacing w:after="0" w:line="240" w:lineRule="auto"/>
        <w:rPr>
          <w:rFonts w:ascii="Arial" w:eastAsia="Times New Roman" w:hAnsi="Arial" w:cs="Arial"/>
          <w:bCs/>
          <w:kern w:val="36"/>
          <w:lang w:eastAsia="en-GB"/>
        </w:rPr>
      </w:pPr>
      <w:r>
        <w:rPr>
          <w:rFonts w:ascii="Arial" w:hAnsi="Arial" w:cs="Arial"/>
          <w:shd w:val="clear" w:color="auto" w:fill="FFFFFF"/>
        </w:rPr>
        <w:t xml:space="preserve">[11] </w:t>
      </w:r>
      <w:r w:rsidRPr="000F53BF">
        <w:rPr>
          <w:rFonts w:ascii="Arial" w:hAnsi="Arial" w:cs="Arial"/>
          <w:shd w:val="clear" w:color="auto" w:fill="FFFFFF"/>
        </w:rPr>
        <w:t xml:space="preserve">Yang, W., Tuniki, V.R., Anjaiah, S., Falck, J.R., Hillard, C.J., Campbell, W.(2008). </w:t>
      </w:r>
      <w:r w:rsidRPr="000F53BF">
        <w:rPr>
          <w:rFonts w:ascii="Arial" w:eastAsia="Times New Roman" w:hAnsi="Arial" w:cs="Arial"/>
          <w:bCs/>
          <w:kern w:val="36"/>
          <w:lang w:eastAsia="en-GB"/>
        </w:rPr>
        <w:t>Characterization of epoxyeicosatrienoic acid binding site in U937 membranes using a novel radiolabeled agonist, 20-125i-14,15-epoxyeicosa-8(Z)-enoic acid.</w:t>
      </w:r>
      <w:r w:rsidRPr="000F53BF">
        <w:t xml:space="preserve"> </w:t>
      </w:r>
      <w:r w:rsidRPr="000F53BF">
        <w:rPr>
          <w:rFonts w:ascii="Arial" w:eastAsia="Times New Roman" w:hAnsi="Arial" w:cs="Arial"/>
          <w:bCs/>
          <w:kern w:val="36"/>
          <w:lang w:eastAsia="en-GB"/>
        </w:rPr>
        <w:t>J Pharmacol Exp Ther. 324(3):1019-27.</w:t>
      </w:r>
    </w:p>
    <w:p w:rsidR="00356824" w:rsidRPr="000F53BF" w:rsidRDefault="00356824" w:rsidP="00356824">
      <w:pPr>
        <w:spacing w:after="0" w:line="240" w:lineRule="auto"/>
        <w:rPr>
          <w:rFonts w:ascii="Arial" w:hAnsi="Arial" w:cs="Arial"/>
          <w:shd w:val="clear" w:color="auto" w:fill="FFFFFF"/>
        </w:rPr>
      </w:pPr>
    </w:p>
    <w:p w:rsidR="00356824" w:rsidRDefault="00356824" w:rsidP="00356824">
      <w:pPr>
        <w:spacing w:after="0" w:line="240" w:lineRule="auto"/>
        <w:rPr>
          <w:rFonts w:ascii="Arial" w:hAnsi="Arial" w:cs="Arial"/>
        </w:rPr>
      </w:pPr>
      <w:r>
        <w:rPr>
          <w:rFonts w:ascii="Arial" w:hAnsi="Arial" w:cs="Arial"/>
        </w:rPr>
        <w:t xml:space="preserve">[12] </w:t>
      </w:r>
      <w:r w:rsidRPr="006325D7">
        <w:rPr>
          <w:rFonts w:ascii="Arial" w:hAnsi="Arial" w:cs="Arial"/>
        </w:rPr>
        <w:t>Wong,</w:t>
      </w:r>
      <w:r>
        <w:rPr>
          <w:rFonts w:ascii="Arial" w:hAnsi="Arial" w:cs="Arial"/>
        </w:rPr>
        <w:t xml:space="preserve"> P.Y.,</w:t>
      </w:r>
      <w:r w:rsidRPr="006325D7">
        <w:rPr>
          <w:rFonts w:ascii="Arial" w:hAnsi="Arial" w:cs="Arial"/>
        </w:rPr>
        <w:t xml:space="preserve"> Lai,</w:t>
      </w:r>
      <w:r>
        <w:rPr>
          <w:rFonts w:ascii="Arial" w:hAnsi="Arial" w:cs="Arial"/>
        </w:rPr>
        <w:t xml:space="preserve"> P.S., </w:t>
      </w:r>
      <w:r w:rsidRPr="006325D7">
        <w:rPr>
          <w:rFonts w:ascii="Arial" w:hAnsi="Arial" w:cs="Arial"/>
        </w:rPr>
        <w:t>Falck,</w:t>
      </w:r>
      <w:r>
        <w:rPr>
          <w:rFonts w:ascii="Arial" w:hAnsi="Arial" w:cs="Arial"/>
        </w:rPr>
        <w:t xml:space="preserve"> J.R. (2000).</w:t>
      </w:r>
      <w:r w:rsidRPr="006325D7">
        <w:rPr>
          <w:rFonts w:ascii="Arial" w:hAnsi="Arial" w:cs="Arial"/>
        </w:rPr>
        <w:t xml:space="preserve"> Mechanism and signal transduction of 14 (R), 15(S)-epoxyeicosatrienoic acid (14,15-EET) </w:t>
      </w:r>
      <w:r>
        <w:rPr>
          <w:rFonts w:ascii="Arial" w:hAnsi="Arial" w:cs="Arial"/>
        </w:rPr>
        <w:t xml:space="preserve">binding in guinea pig monocytes. </w:t>
      </w:r>
      <w:r w:rsidRPr="006325D7">
        <w:rPr>
          <w:rFonts w:ascii="Arial" w:hAnsi="Arial" w:cs="Arial"/>
        </w:rPr>
        <w:t>Prostaglandin</w:t>
      </w:r>
      <w:r>
        <w:rPr>
          <w:rFonts w:ascii="Arial" w:hAnsi="Arial" w:cs="Arial"/>
        </w:rPr>
        <w:t>s Other Lipid Mediat. 62:</w:t>
      </w:r>
      <w:r w:rsidRPr="006325D7">
        <w:rPr>
          <w:rFonts w:ascii="Arial" w:hAnsi="Arial" w:cs="Arial"/>
        </w:rPr>
        <w:t>321–333</w:t>
      </w:r>
      <w:r>
        <w:rPr>
          <w:rFonts w:ascii="Arial" w:hAnsi="Arial" w:cs="Arial"/>
        </w:rPr>
        <w:t>.</w:t>
      </w:r>
    </w:p>
    <w:p w:rsidR="00356824" w:rsidRDefault="00356824" w:rsidP="00356824">
      <w:pPr>
        <w:spacing w:after="0" w:line="240" w:lineRule="auto"/>
        <w:rPr>
          <w:rFonts w:ascii="Arial" w:hAnsi="Arial" w:cs="Arial"/>
        </w:rPr>
      </w:pPr>
    </w:p>
    <w:p w:rsidR="00356824" w:rsidRPr="00845606" w:rsidRDefault="00356824" w:rsidP="00356824">
      <w:pPr>
        <w:spacing w:after="0" w:line="240" w:lineRule="auto"/>
        <w:rPr>
          <w:rFonts w:ascii="Arial" w:hAnsi="Arial" w:cs="Arial"/>
        </w:rPr>
      </w:pPr>
      <w:r>
        <w:rPr>
          <w:rFonts w:ascii="Arial" w:hAnsi="Arial" w:cs="Arial"/>
        </w:rPr>
        <w:t xml:space="preserve">[13] </w:t>
      </w:r>
      <w:r w:rsidRPr="00845606">
        <w:rPr>
          <w:rFonts w:ascii="Arial" w:hAnsi="Arial" w:cs="Arial"/>
        </w:rPr>
        <w:t>Node, K., Huo, Y., Ruan, X., Yang, B., Spiecker, M., Ley, K., Zeldin, D.C., Liao, J.K. (1999).</w:t>
      </w:r>
      <w:r>
        <w:rPr>
          <w:rFonts w:ascii="Arial" w:hAnsi="Arial" w:cs="Arial"/>
        </w:rPr>
        <w:t xml:space="preserve"> </w:t>
      </w:r>
      <w:r w:rsidRPr="00845606">
        <w:rPr>
          <w:rFonts w:ascii="Arial" w:hAnsi="Arial" w:cs="Arial"/>
        </w:rPr>
        <w:t>Anti-inflammatory properties of cytochrome P450 epoxygenase-derived eicosanoids.</w:t>
      </w:r>
    </w:p>
    <w:p w:rsidR="00356824" w:rsidRDefault="00356824" w:rsidP="00356824">
      <w:pPr>
        <w:spacing w:after="0" w:line="240" w:lineRule="auto"/>
        <w:rPr>
          <w:rFonts w:ascii="Arial" w:hAnsi="Arial" w:cs="Arial"/>
        </w:rPr>
      </w:pPr>
      <w:r w:rsidRPr="00845606">
        <w:rPr>
          <w:rFonts w:ascii="Arial" w:hAnsi="Arial" w:cs="Arial"/>
        </w:rPr>
        <w:lastRenderedPageBreak/>
        <w:t>Science. 285(5431):1276-9.</w:t>
      </w:r>
    </w:p>
    <w:p w:rsidR="00356824" w:rsidRDefault="00356824" w:rsidP="00356824">
      <w:pPr>
        <w:spacing w:after="0" w:line="240" w:lineRule="auto"/>
        <w:rPr>
          <w:rFonts w:ascii="Arial" w:hAnsi="Arial" w:cs="Arial"/>
        </w:rPr>
      </w:pPr>
    </w:p>
    <w:p w:rsidR="00356824" w:rsidRDefault="00356824" w:rsidP="00356824">
      <w:pPr>
        <w:shd w:val="clear" w:color="auto" w:fill="FFFFFF"/>
        <w:spacing w:after="0" w:line="240" w:lineRule="auto"/>
        <w:rPr>
          <w:rFonts w:ascii="Arial" w:hAnsi="Arial" w:cs="Arial"/>
        </w:rPr>
      </w:pPr>
      <w:r>
        <w:rPr>
          <w:rFonts w:ascii="Arial" w:hAnsi="Arial" w:cs="Arial"/>
        </w:rPr>
        <w:t xml:space="preserve">[14] </w:t>
      </w:r>
      <w:r w:rsidRPr="00B0525E">
        <w:rPr>
          <w:rFonts w:ascii="Arial" w:hAnsi="Arial" w:cs="Arial"/>
        </w:rPr>
        <w:t xml:space="preserve">Luo, P. Chang, H. Zhou, Y. Zhang, S. Hwang, S. Wang, M. </w:t>
      </w:r>
      <w:r>
        <w:rPr>
          <w:rFonts w:ascii="Arial" w:hAnsi="Arial" w:cs="Arial"/>
        </w:rPr>
        <w:t xml:space="preserve">(2010). </w:t>
      </w:r>
      <w:r w:rsidRPr="00B0525E">
        <w:rPr>
          <w:rFonts w:ascii="Arial" w:hAnsi="Arial" w:cs="Arial"/>
        </w:rPr>
        <w:t>Inhibition or Deletion of Soluble Epoxide Hydrolase Prevents Hyperglycemia, Promotes Insulin Secretio</w:t>
      </w:r>
      <w:r>
        <w:rPr>
          <w:rFonts w:ascii="Arial" w:hAnsi="Arial" w:cs="Arial"/>
        </w:rPr>
        <w:t>n, and Reduces Islet Apoptosis.</w:t>
      </w:r>
      <w:r w:rsidRPr="00B0525E">
        <w:rPr>
          <w:rFonts w:ascii="Arial" w:hAnsi="Arial" w:cs="Arial"/>
        </w:rPr>
        <w:t xml:space="preserve"> </w:t>
      </w:r>
      <w:r w:rsidRPr="000F53BF">
        <w:rPr>
          <w:rFonts w:ascii="Arial" w:eastAsia="Times New Roman" w:hAnsi="Arial" w:cs="Arial"/>
          <w:bCs/>
          <w:kern w:val="36"/>
          <w:lang w:eastAsia="en-GB"/>
        </w:rPr>
        <w:t>J Pharmacol Exp Ther</w:t>
      </w:r>
      <w:r>
        <w:rPr>
          <w:rFonts w:ascii="Arial" w:hAnsi="Arial" w:cs="Arial"/>
        </w:rPr>
        <w:t>. 334</w:t>
      </w:r>
      <w:r w:rsidRPr="00B0525E">
        <w:rPr>
          <w:rFonts w:ascii="Arial" w:hAnsi="Arial" w:cs="Arial"/>
        </w:rPr>
        <w:t>: 430-438.</w:t>
      </w:r>
    </w:p>
    <w:p w:rsidR="00356824" w:rsidRDefault="00356824" w:rsidP="00356824">
      <w:pPr>
        <w:shd w:val="clear" w:color="auto" w:fill="FFFFFF"/>
        <w:spacing w:after="0" w:line="240" w:lineRule="auto"/>
        <w:rPr>
          <w:rFonts w:ascii="Arial" w:hAnsi="Arial" w:cs="Arial"/>
        </w:rPr>
      </w:pPr>
    </w:p>
    <w:p w:rsidR="00356824" w:rsidRDefault="00356824" w:rsidP="00356824">
      <w:pPr>
        <w:spacing w:after="0" w:line="240" w:lineRule="auto"/>
        <w:rPr>
          <w:rFonts w:ascii="Arial" w:hAnsi="Arial" w:cs="Arial"/>
        </w:rPr>
      </w:pPr>
      <w:r>
        <w:rPr>
          <w:rFonts w:ascii="Arial" w:hAnsi="Arial" w:cs="Arial"/>
        </w:rPr>
        <w:t xml:space="preserve">[15] </w:t>
      </w:r>
      <w:r w:rsidRPr="00BA49B6">
        <w:rPr>
          <w:rFonts w:ascii="Arial" w:hAnsi="Arial" w:cs="Arial"/>
        </w:rPr>
        <w:t>Chen,</w:t>
      </w:r>
      <w:r>
        <w:rPr>
          <w:rFonts w:ascii="Arial" w:hAnsi="Arial" w:cs="Arial"/>
        </w:rPr>
        <w:t xml:space="preserve"> L., </w:t>
      </w:r>
      <w:r w:rsidRPr="00BA49B6">
        <w:rPr>
          <w:rFonts w:ascii="Arial" w:hAnsi="Arial" w:cs="Arial"/>
        </w:rPr>
        <w:t>Fan,</w:t>
      </w:r>
      <w:r>
        <w:rPr>
          <w:rFonts w:ascii="Arial" w:hAnsi="Arial" w:cs="Arial"/>
        </w:rPr>
        <w:t xml:space="preserve"> C.,</w:t>
      </w:r>
      <w:r w:rsidRPr="00BA49B6">
        <w:rPr>
          <w:rFonts w:ascii="Arial" w:hAnsi="Arial" w:cs="Arial"/>
        </w:rPr>
        <w:t xml:space="preserve"> </w:t>
      </w:r>
      <w:r>
        <w:rPr>
          <w:rFonts w:ascii="Arial" w:hAnsi="Arial" w:cs="Arial"/>
        </w:rPr>
        <w:t>Z</w:t>
      </w:r>
      <w:r w:rsidRPr="00BA49B6">
        <w:rPr>
          <w:rFonts w:ascii="Arial" w:hAnsi="Arial" w:cs="Arial"/>
        </w:rPr>
        <w:t>hang,</w:t>
      </w:r>
      <w:r>
        <w:rPr>
          <w:rFonts w:ascii="Arial" w:hAnsi="Arial" w:cs="Arial"/>
        </w:rPr>
        <w:t xml:space="preserve"> Y., </w:t>
      </w:r>
      <w:r w:rsidRPr="00BA49B6">
        <w:rPr>
          <w:rFonts w:ascii="Arial" w:hAnsi="Arial" w:cs="Arial"/>
        </w:rPr>
        <w:t>Bakri,</w:t>
      </w:r>
      <w:r>
        <w:rPr>
          <w:rFonts w:ascii="Arial" w:hAnsi="Arial" w:cs="Arial"/>
        </w:rPr>
        <w:t xml:space="preserve"> M., </w:t>
      </w:r>
      <w:r w:rsidRPr="00BA49B6">
        <w:rPr>
          <w:rFonts w:ascii="Arial" w:hAnsi="Arial" w:cs="Arial"/>
        </w:rPr>
        <w:t>Dong,</w:t>
      </w:r>
      <w:r>
        <w:rPr>
          <w:rFonts w:ascii="Arial" w:hAnsi="Arial" w:cs="Arial"/>
        </w:rPr>
        <w:t xml:space="preserve"> H.,</w:t>
      </w:r>
      <w:r w:rsidRPr="00BA49B6">
        <w:rPr>
          <w:rFonts w:ascii="Arial" w:hAnsi="Arial" w:cs="Arial"/>
        </w:rPr>
        <w:t xml:space="preserve"> Morisseau,</w:t>
      </w:r>
      <w:r>
        <w:rPr>
          <w:rFonts w:ascii="Arial" w:hAnsi="Arial" w:cs="Arial"/>
        </w:rPr>
        <w:t xml:space="preserve"> C.,</w:t>
      </w:r>
      <w:r w:rsidRPr="00BA49B6">
        <w:rPr>
          <w:rFonts w:ascii="Arial" w:hAnsi="Arial" w:cs="Arial"/>
        </w:rPr>
        <w:t xml:space="preserve"> Maddipati,</w:t>
      </w:r>
      <w:r>
        <w:rPr>
          <w:rFonts w:ascii="Arial" w:hAnsi="Arial" w:cs="Arial"/>
        </w:rPr>
        <w:t xml:space="preserve"> K.R., L</w:t>
      </w:r>
      <w:r w:rsidRPr="00BA49B6">
        <w:rPr>
          <w:rFonts w:ascii="Arial" w:hAnsi="Arial" w:cs="Arial"/>
        </w:rPr>
        <w:t>uo,</w:t>
      </w:r>
      <w:r>
        <w:rPr>
          <w:rFonts w:ascii="Arial" w:hAnsi="Arial" w:cs="Arial"/>
        </w:rPr>
        <w:t xml:space="preserve"> P.,</w:t>
      </w:r>
      <w:r w:rsidRPr="00BA49B6">
        <w:rPr>
          <w:rFonts w:ascii="Arial" w:hAnsi="Arial" w:cs="Arial"/>
        </w:rPr>
        <w:t xml:space="preserve"> Wang,</w:t>
      </w:r>
      <w:r>
        <w:rPr>
          <w:rFonts w:ascii="Arial" w:hAnsi="Arial" w:cs="Arial"/>
        </w:rPr>
        <w:t xml:space="preserve"> C., </w:t>
      </w:r>
      <w:r w:rsidRPr="00BA49B6">
        <w:rPr>
          <w:rFonts w:ascii="Arial" w:hAnsi="Arial" w:cs="Arial"/>
        </w:rPr>
        <w:t>Hammock,</w:t>
      </w:r>
      <w:r>
        <w:rPr>
          <w:rFonts w:ascii="Arial" w:hAnsi="Arial" w:cs="Arial"/>
        </w:rPr>
        <w:t xml:space="preserve"> B.D., </w:t>
      </w:r>
      <w:r w:rsidRPr="00BA49B6">
        <w:rPr>
          <w:rFonts w:ascii="Arial" w:hAnsi="Arial" w:cs="Arial"/>
        </w:rPr>
        <w:t>Wanga,</w:t>
      </w:r>
      <w:r>
        <w:rPr>
          <w:rFonts w:ascii="Arial" w:hAnsi="Arial" w:cs="Arial"/>
        </w:rPr>
        <w:t xml:space="preserve"> M. (2013).</w:t>
      </w:r>
      <w:r w:rsidRPr="00BA49B6">
        <w:rPr>
          <w:rFonts w:ascii="Arial" w:hAnsi="Arial" w:cs="Arial"/>
        </w:rPr>
        <w:t>Beneficial effects of inhibition of soluble epoxide hydrolase on glucose homeostasis and islet damage in a streptozotocin-induced diabetic mouse model</w:t>
      </w:r>
      <w:r>
        <w:rPr>
          <w:rFonts w:ascii="Arial" w:hAnsi="Arial" w:cs="Arial"/>
        </w:rPr>
        <w:t xml:space="preserve">. </w:t>
      </w:r>
      <w:r w:rsidRPr="00BA49B6">
        <w:rPr>
          <w:rFonts w:ascii="Arial" w:hAnsi="Arial" w:cs="Arial"/>
        </w:rPr>
        <w:t>Prostag</w:t>
      </w:r>
      <w:r>
        <w:rPr>
          <w:rFonts w:ascii="Arial" w:hAnsi="Arial" w:cs="Arial"/>
        </w:rPr>
        <w:t xml:space="preserve">landins Other Lipid Mediat. </w:t>
      </w:r>
      <w:r w:rsidRPr="00BA49B6">
        <w:rPr>
          <w:rFonts w:ascii="Arial" w:hAnsi="Arial" w:cs="Arial"/>
        </w:rPr>
        <w:t>0: 42–48.</w:t>
      </w:r>
    </w:p>
    <w:p w:rsidR="00356824" w:rsidRDefault="00356824" w:rsidP="00356824">
      <w:pPr>
        <w:spacing w:after="0" w:line="240" w:lineRule="auto"/>
        <w:rPr>
          <w:rFonts w:ascii="Arial" w:hAnsi="Arial" w:cs="Arial"/>
        </w:rPr>
      </w:pPr>
    </w:p>
    <w:p w:rsidR="00356824" w:rsidRDefault="00356824" w:rsidP="00356824">
      <w:pPr>
        <w:spacing w:after="0" w:line="240" w:lineRule="auto"/>
        <w:rPr>
          <w:rFonts w:ascii="Arial" w:hAnsi="Arial" w:cs="Arial"/>
        </w:rPr>
      </w:pPr>
      <w:r>
        <w:rPr>
          <w:rFonts w:ascii="Arial" w:hAnsi="Arial" w:cs="Arial"/>
        </w:rPr>
        <w:t xml:space="preserve">[16] </w:t>
      </w:r>
      <w:r w:rsidRPr="009F6620">
        <w:rPr>
          <w:rFonts w:ascii="Arial" w:hAnsi="Arial" w:cs="Arial"/>
        </w:rPr>
        <w:t>Dhayal,</w:t>
      </w:r>
      <w:r>
        <w:rPr>
          <w:rFonts w:ascii="Arial" w:hAnsi="Arial" w:cs="Arial"/>
        </w:rPr>
        <w:t xml:space="preserve"> S.,</w:t>
      </w:r>
      <w:r w:rsidRPr="009F6620">
        <w:rPr>
          <w:rFonts w:ascii="Arial" w:hAnsi="Arial" w:cs="Arial"/>
        </w:rPr>
        <w:t xml:space="preserve"> </w:t>
      </w:r>
      <w:r>
        <w:rPr>
          <w:rFonts w:ascii="Arial" w:hAnsi="Arial" w:cs="Arial"/>
        </w:rPr>
        <w:t>W</w:t>
      </w:r>
      <w:r w:rsidRPr="009F6620">
        <w:rPr>
          <w:rFonts w:ascii="Arial" w:hAnsi="Arial" w:cs="Arial"/>
        </w:rPr>
        <w:t>elters,</w:t>
      </w:r>
      <w:r>
        <w:rPr>
          <w:rFonts w:ascii="Arial" w:hAnsi="Arial" w:cs="Arial"/>
        </w:rPr>
        <w:t xml:space="preserve"> H.J., M</w:t>
      </w:r>
      <w:r w:rsidRPr="009F6620">
        <w:rPr>
          <w:rFonts w:ascii="Arial" w:hAnsi="Arial" w:cs="Arial"/>
        </w:rPr>
        <w:t>organ1,</w:t>
      </w:r>
      <w:r>
        <w:rPr>
          <w:rFonts w:ascii="Arial" w:hAnsi="Arial" w:cs="Arial"/>
        </w:rPr>
        <w:t xml:space="preserve"> N.G. (2008).</w:t>
      </w:r>
      <w:r w:rsidRPr="009F6620">
        <w:rPr>
          <w:rFonts w:ascii="Arial" w:hAnsi="Arial" w:cs="Arial"/>
        </w:rPr>
        <w:t>Structural requirements for the cytoprotective actions of mono-unsaturated fatty acids in the pancreatic β-cell line, BRIN-BD11</w:t>
      </w:r>
      <w:r>
        <w:rPr>
          <w:rFonts w:ascii="Arial" w:hAnsi="Arial" w:cs="Arial"/>
        </w:rPr>
        <w:t>.</w:t>
      </w:r>
      <w:r w:rsidRPr="009F6620">
        <w:rPr>
          <w:rFonts w:ascii="Arial" w:hAnsi="Arial" w:cs="Arial"/>
        </w:rPr>
        <w:t xml:space="preserve"> Br J Pharmacol. 153(8): 1718–1727.</w:t>
      </w:r>
    </w:p>
    <w:p w:rsidR="00356824" w:rsidRDefault="00356824" w:rsidP="00356824">
      <w:pPr>
        <w:spacing w:after="0" w:line="240" w:lineRule="auto"/>
        <w:rPr>
          <w:rFonts w:ascii="Arial" w:hAnsi="Arial" w:cs="Arial"/>
        </w:rPr>
      </w:pPr>
    </w:p>
    <w:p w:rsidR="00356824" w:rsidRDefault="00356824" w:rsidP="00D27953">
      <w:pPr>
        <w:spacing w:after="0" w:line="240" w:lineRule="auto"/>
        <w:rPr>
          <w:rFonts w:ascii="Arial" w:hAnsi="Arial" w:cs="Arial"/>
        </w:rPr>
      </w:pPr>
      <w:r>
        <w:rPr>
          <w:rFonts w:ascii="Arial" w:hAnsi="Arial" w:cs="Arial"/>
        </w:rPr>
        <w:t>[17]</w:t>
      </w:r>
      <w:r w:rsidRPr="006612FF">
        <w:rPr>
          <w:rFonts w:ascii="Arial" w:hAnsi="Arial" w:cs="Arial"/>
        </w:rPr>
        <w:t xml:space="preserve"> </w:t>
      </w:r>
      <w:r w:rsidR="00D27953" w:rsidRPr="00D27953">
        <w:rPr>
          <w:rFonts w:ascii="Arial" w:hAnsi="Arial" w:cs="Arial"/>
        </w:rPr>
        <w:t>Thomson</w:t>
      </w:r>
      <w:r w:rsidR="00D27953">
        <w:rPr>
          <w:rFonts w:ascii="Arial" w:hAnsi="Arial" w:cs="Arial"/>
        </w:rPr>
        <w:t>,</w:t>
      </w:r>
      <w:r w:rsidR="00D27953" w:rsidRPr="00D27953">
        <w:rPr>
          <w:rFonts w:ascii="Arial" w:hAnsi="Arial" w:cs="Arial"/>
        </w:rPr>
        <w:t xml:space="preserve"> S</w:t>
      </w:r>
      <w:r w:rsidR="00D27953">
        <w:rPr>
          <w:rFonts w:ascii="Arial" w:hAnsi="Arial" w:cs="Arial"/>
        </w:rPr>
        <w:t>.</w:t>
      </w:r>
      <w:r w:rsidR="00D27953" w:rsidRPr="00D27953">
        <w:rPr>
          <w:rFonts w:ascii="Arial" w:hAnsi="Arial" w:cs="Arial"/>
        </w:rPr>
        <w:t>, Edin</w:t>
      </w:r>
      <w:r w:rsidR="00D27953">
        <w:rPr>
          <w:rFonts w:ascii="Arial" w:hAnsi="Arial" w:cs="Arial"/>
        </w:rPr>
        <w:t>,</w:t>
      </w:r>
      <w:r w:rsidR="00D27953" w:rsidRPr="00D27953">
        <w:rPr>
          <w:rFonts w:ascii="Arial" w:hAnsi="Arial" w:cs="Arial"/>
        </w:rPr>
        <w:t xml:space="preserve"> M</w:t>
      </w:r>
      <w:r w:rsidR="00D27953">
        <w:rPr>
          <w:rFonts w:ascii="Arial" w:hAnsi="Arial" w:cs="Arial"/>
        </w:rPr>
        <w:t>.</w:t>
      </w:r>
      <w:r w:rsidR="00D27953" w:rsidRPr="00D27953">
        <w:rPr>
          <w:rFonts w:ascii="Arial" w:hAnsi="Arial" w:cs="Arial"/>
        </w:rPr>
        <w:t>L</w:t>
      </w:r>
      <w:r w:rsidR="00D27953">
        <w:rPr>
          <w:rFonts w:ascii="Arial" w:hAnsi="Arial" w:cs="Arial"/>
        </w:rPr>
        <w:t>.</w:t>
      </w:r>
      <w:r w:rsidR="00D27953" w:rsidRPr="00D27953">
        <w:rPr>
          <w:rFonts w:ascii="Arial" w:hAnsi="Arial" w:cs="Arial"/>
        </w:rPr>
        <w:t>, Lih</w:t>
      </w:r>
      <w:r w:rsidR="00D27953">
        <w:rPr>
          <w:rFonts w:ascii="Arial" w:hAnsi="Arial" w:cs="Arial"/>
        </w:rPr>
        <w:t>,</w:t>
      </w:r>
      <w:r w:rsidR="00D27953" w:rsidRPr="00D27953">
        <w:rPr>
          <w:rFonts w:ascii="Arial" w:hAnsi="Arial" w:cs="Arial"/>
        </w:rPr>
        <w:t xml:space="preserve"> F</w:t>
      </w:r>
      <w:r w:rsidR="00D27953">
        <w:rPr>
          <w:rFonts w:ascii="Arial" w:hAnsi="Arial" w:cs="Arial"/>
        </w:rPr>
        <w:t>.</w:t>
      </w:r>
      <w:r w:rsidR="00D27953" w:rsidRPr="00D27953">
        <w:rPr>
          <w:rFonts w:ascii="Arial" w:hAnsi="Arial" w:cs="Arial"/>
        </w:rPr>
        <w:t>B</w:t>
      </w:r>
      <w:r w:rsidR="00D27953">
        <w:rPr>
          <w:rFonts w:ascii="Arial" w:hAnsi="Arial" w:cs="Arial"/>
        </w:rPr>
        <w:t>.</w:t>
      </w:r>
      <w:r w:rsidR="00D27953" w:rsidRPr="00D27953">
        <w:rPr>
          <w:rFonts w:ascii="Arial" w:hAnsi="Arial" w:cs="Arial"/>
        </w:rPr>
        <w:t>, Davies</w:t>
      </w:r>
      <w:r w:rsidR="00D27953">
        <w:rPr>
          <w:rFonts w:ascii="Arial" w:hAnsi="Arial" w:cs="Arial"/>
        </w:rPr>
        <w:t>,</w:t>
      </w:r>
      <w:r w:rsidR="00D27953" w:rsidRPr="00D27953">
        <w:rPr>
          <w:rFonts w:ascii="Arial" w:hAnsi="Arial" w:cs="Arial"/>
        </w:rPr>
        <w:t xml:space="preserve"> M</w:t>
      </w:r>
      <w:r w:rsidR="00D27953">
        <w:rPr>
          <w:rFonts w:ascii="Arial" w:hAnsi="Arial" w:cs="Arial"/>
        </w:rPr>
        <w:t>.</w:t>
      </w:r>
      <w:r w:rsidR="00D27953" w:rsidRPr="00D27953">
        <w:rPr>
          <w:rFonts w:ascii="Arial" w:hAnsi="Arial" w:cs="Arial"/>
        </w:rPr>
        <w:t>, Yaqoob</w:t>
      </w:r>
      <w:r w:rsidR="00D27953">
        <w:rPr>
          <w:rFonts w:ascii="Arial" w:hAnsi="Arial" w:cs="Arial"/>
        </w:rPr>
        <w:t>,</w:t>
      </w:r>
      <w:r w:rsidR="00D27953" w:rsidRPr="00D27953">
        <w:rPr>
          <w:rFonts w:ascii="Arial" w:hAnsi="Arial" w:cs="Arial"/>
        </w:rPr>
        <w:t xml:space="preserve"> M</w:t>
      </w:r>
      <w:r w:rsidR="00D27953">
        <w:rPr>
          <w:rFonts w:ascii="Arial" w:hAnsi="Arial" w:cs="Arial"/>
        </w:rPr>
        <w:t>.</w:t>
      </w:r>
      <w:r w:rsidR="00D27953" w:rsidRPr="00D27953">
        <w:rPr>
          <w:rFonts w:ascii="Arial" w:hAnsi="Arial" w:cs="Arial"/>
        </w:rPr>
        <w:t>M</w:t>
      </w:r>
      <w:r w:rsidR="00D27953">
        <w:rPr>
          <w:rFonts w:ascii="Arial" w:hAnsi="Arial" w:cs="Arial"/>
        </w:rPr>
        <w:t>.</w:t>
      </w:r>
      <w:r w:rsidR="00D27953" w:rsidRPr="00D27953">
        <w:rPr>
          <w:rFonts w:ascii="Arial" w:hAnsi="Arial" w:cs="Arial"/>
        </w:rPr>
        <w:t>, Hammock</w:t>
      </w:r>
      <w:r w:rsidR="00D27953">
        <w:rPr>
          <w:rFonts w:ascii="Arial" w:hAnsi="Arial" w:cs="Arial"/>
        </w:rPr>
        <w:t>,</w:t>
      </w:r>
      <w:r w:rsidR="00D27953" w:rsidRPr="00D27953">
        <w:rPr>
          <w:rFonts w:ascii="Arial" w:hAnsi="Arial" w:cs="Arial"/>
        </w:rPr>
        <w:t xml:space="preserve"> B</w:t>
      </w:r>
      <w:r w:rsidR="00D27953">
        <w:rPr>
          <w:rFonts w:ascii="Arial" w:hAnsi="Arial" w:cs="Arial"/>
        </w:rPr>
        <w:t>.</w:t>
      </w:r>
      <w:r w:rsidR="00D27953" w:rsidRPr="00D27953">
        <w:rPr>
          <w:rFonts w:ascii="Arial" w:hAnsi="Arial" w:cs="Arial"/>
        </w:rPr>
        <w:t>D</w:t>
      </w:r>
      <w:r w:rsidR="00D27953">
        <w:rPr>
          <w:rFonts w:ascii="Arial" w:hAnsi="Arial" w:cs="Arial"/>
        </w:rPr>
        <w:t>.</w:t>
      </w:r>
      <w:r w:rsidR="00D27953" w:rsidRPr="00D27953">
        <w:rPr>
          <w:rFonts w:ascii="Arial" w:hAnsi="Arial" w:cs="Arial"/>
        </w:rPr>
        <w:t>, Gilroy</w:t>
      </w:r>
      <w:r w:rsidR="00D27953">
        <w:rPr>
          <w:rFonts w:ascii="Arial" w:hAnsi="Arial" w:cs="Arial"/>
        </w:rPr>
        <w:t>,</w:t>
      </w:r>
      <w:r w:rsidR="00D27953" w:rsidRPr="00D27953">
        <w:rPr>
          <w:rFonts w:ascii="Arial" w:hAnsi="Arial" w:cs="Arial"/>
        </w:rPr>
        <w:t xml:space="preserve"> D</w:t>
      </w:r>
      <w:r w:rsidR="00D27953">
        <w:rPr>
          <w:rFonts w:ascii="Arial" w:hAnsi="Arial" w:cs="Arial"/>
        </w:rPr>
        <w:t>.,</w:t>
      </w:r>
      <w:r w:rsidR="00D27953" w:rsidRPr="00D27953">
        <w:rPr>
          <w:rFonts w:ascii="Arial" w:hAnsi="Arial" w:cs="Arial"/>
        </w:rPr>
        <w:t xml:space="preserve"> Zeldin</w:t>
      </w:r>
      <w:r w:rsidR="00D27953">
        <w:rPr>
          <w:rFonts w:ascii="Arial" w:hAnsi="Arial" w:cs="Arial"/>
        </w:rPr>
        <w:t>,</w:t>
      </w:r>
      <w:r w:rsidR="00D27953" w:rsidRPr="00D27953">
        <w:rPr>
          <w:rFonts w:ascii="Arial" w:hAnsi="Arial" w:cs="Arial"/>
        </w:rPr>
        <w:t xml:space="preserve"> D</w:t>
      </w:r>
      <w:r w:rsidR="00D27953">
        <w:rPr>
          <w:rFonts w:ascii="Arial" w:hAnsi="Arial" w:cs="Arial"/>
        </w:rPr>
        <w:t>.</w:t>
      </w:r>
      <w:r w:rsidR="00D27953" w:rsidRPr="00D27953">
        <w:rPr>
          <w:rFonts w:ascii="Arial" w:hAnsi="Arial" w:cs="Arial"/>
        </w:rPr>
        <w:t>C</w:t>
      </w:r>
      <w:r w:rsidR="00D27953">
        <w:rPr>
          <w:rFonts w:ascii="Arial" w:hAnsi="Arial" w:cs="Arial"/>
        </w:rPr>
        <w:t>.</w:t>
      </w:r>
      <w:r w:rsidR="00D27953" w:rsidRPr="00D27953">
        <w:rPr>
          <w:rFonts w:ascii="Arial" w:hAnsi="Arial" w:cs="Arial"/>
        </w:rPr>
        <w:t>, Bishop-Bailey</w:t>
      </w:r>
      <w:r w:rsidR="00D27953">
        <w:rPr>
          <w:rFonts w:ascii="Arial" w:hAnsi="Arial" w:cs="Arial"/>
        </w:rPr>
        <w:t>,</w:t>
      </w:r>
      <w:r w:rsidR="00D27953" w:rsidRPr="00D27953">
        <w:rPr>
          <w:rFonts w:ascii="Arial" w:hAnsi="Arial" w:cs="Arial"/>
        </w:rPr>
        <w:t xml:space="preserve"> D. (2015). Intimal smooth muscle cells are a source but not a sensor of anti-inflammatory CY</w:t>
      </w:r>
      <w:r w:rsidR="00D27953">
        <w:rPr>
          <w:rFonts w:ascii="Arial" w:hAnsi="Arial" w:cs="Arial"/>
        </w:rPr>
        <w:t>P450 derived oxylipins. Biochem</w:t>
      </w:r>
      <w:r w:rsidR="00D27953" w:rsidRPr="00D27953">
        <w:rPr>
          <w:rFonts w:ascii="Arial" w:hAnsi="Arial" w:cs="Arial"/>
        </w:rPr>
        <w:t xml:space="preserve"> </w:t>
      </w:r>
      <w:r w:rsidR="00D27953">
        <w:rPr>
          <w:rFonts w:ascii="Arial" w:hAnsi="Arial" w:cs="Arial"/>
        </w:rPr>
        <w:t>Bi</w:t>
      </w:r>
      <w:r w:rsidR="00D27953" w:rsidRPr="00D27953">
        <w:rPr>
          <w:rFonts w:ascii="Arial" w:hAnsi="Arial" w:cs="Arial"/>
        </w:rPr>
        <w:t xml:space="preserve">ophys </w:t>
      </w:r>
      <w:r w:rsidR="00D27953">
        <w:rPr>
          <w:rFonts w:ascii="Arial" w:hAnsi="Arial" w:cs="Arial"/>
        </w:rPr>
        <w:t>Res C</w:t>
      </w:r>
      <w:r w:rsidR="00D27953" w:rsidRPr="00D27953">
        <w:rPr>
          <w:rFonts w:ascii="Arial" w:hAnsi="Arial" w:cs="Arial"/>
        </w:rPr>
        <w:t>ommun</w:t>
      </w:r>
      <w:r w:rsidR="00D27953">
        <w:rPr>
          <w:rFonts w:ascii="Arial" w:hAnsi="Arial" w:cs="Arial"/>
        </w:rPr>
        <w:t>.</w:t>
      </w:r>
      <w:r w:rsidR="00D27953" w:rsidRPr="00D27953">
        <w:rPr>
          <w:rFonts w:ascii="Arial" w:hAnsi="Arial" w:cs="Arial"/>
        </w:rPr>
        <w:t xml:space="preserve"> 463(4), 774-780.</w:t>
      </w:r>
    </w:p>
    <w:p w:rsidR="00356824" w:rsidRDefault="00356824" w:rsidP="00356824">
      <w:pPr>
        <w:spacing w:after="0" w:line="240" w:lineRule="auto"/>
        <w:rPr>
          <w:rFonts w:ascii="Arial" w:hAnsi="Arial" w:cs="Arial"/>
        </w:rPr>
      </w:pPr>
    </w:p>
    <w:p w:rsidR="00356824" w:rsidRDefault="00356824" w:rsidP="00356824">
      <w:pPr>
        <w:spacing w:after="0" w:line="240" w:lineRule="auto"/>
        <w:rPr>
          <w:rFonts w:ascii="Arial" w:hAnsi="Arial" w:cs="Arial"/>
        </w:rPr>
      </w:pPr>
      <w:r>
        <w:rPr>
          <w:rFonts w:ascii="Arial" w:hAnsi="Arial" w:cs="Arial"/>
        </w:rPr>
        <w:t xml:space="preserve">[18] </w:t>
      </w:r>
      <w:r w:rsidRPr="000F53BF">
        <w:rPr>
          <w:rFonts w:ascii="Arial" w:hAnsi="Arial" w:cs="Arial"/>
        </w:rPr>
        <w:t>Pozzi, A., Macias-Perez, I., Abair, T., Wei, S., Su, Y., Zent, R.,  Falck, J.R., Capdevila, J.H. (2005). Characterization of 5,6- and 8,9-Epoxyeicosatrienoic Acids (5,6- and 8,9-EET) as Potent in Vivo Angiogenic Lipids. JBC</w:t>
      </w:r>
      <w:r>
        <w:rPr>
          <w:rFonts w:ascii="Arial" w:hAnsi="Arial" w:cs="Arial"/>
        </w:rPr>
        <w:t>.</w:t>
      </w:r>
      <w:r w:rsidRPr="000F53BF">
        <w:rPr>
          <w:rFonts w:ascii="Arial" w:hAnsi="Arial" w:cs="Arial"/>
        </w:rPr>
        <w:t xml:space="preserve"> 280, 27138-27146.</w:t>
      </w:r>
    </w:p>
    <w:p w:rsidR="00356824" w:rsidRDefault="00356824" w:rsidP="00356824">
      <w:pPr>
        <w:spacing w:after="0" w:line="240" w:lineRule="auto"/>
        <w:rPr>
          <w:rFonts w:ascii="Arial" w:hAnsi="Arial" w:cs="Arial"/>
        </w:rPr>
      </w:pPr>
    </w:p>
    <w:p w:rsidR="00356824" w:rsidRDefault="00356824" w:rsidP="00356824">
      <w:pPr>
        <w:shd w:val="clear" w:color="auto" w:fill="FFFFFF"/>
        <w:spacing w:after="0" w:line="240" w:lineRule="auto"/>
        <w:rPr>
          <w:rFonts w:ascii="Arial" w:hAnsi="Arial" w:cs="Arial"/>
          <w:color w:val="000000"/>
        </w:rPr>
      </w:pPr>
      <w:r>
        <w:rPr>
          <w:rFonts w:ascii="Arial" w:hAnsi="Arial" w:cs="Arial"/>
          <w:color w:val="000000"/>
        </w:rPr>
        <w:t xml:space="preserve">[19] </w:t>
      </w:r>
      <w:r w:rsidRPr="00731D5D">
        <w:rPr>
          <w:rFonts w:ascii="Arial" w:hAnsi="Arial" w:cs="Arial"/>
          <w:color w:val="000000"/>
        </w:rPr>
        <w:t xml:space="preserve">Lu, T., Katakam, P.V.G., VanRollins, M., Weintraub, N.L., Spector, A.A., Lee, H. </w:t>
      </w:r>
      <w:r w:rsidRPr="00731D5D">
        <w:rPr>
          <w:rFonts w:ascii="Arial" w:hAnsi="Arial" w:cs="Arial"/>
          <w:bCs/>
          <w:color w:val="000000"/>
        </w:rPr>
        <w:t>(2001). Dihydroxyeicosatrienoic acids are potent activators of Ca</w:t>
      </w:r>
      <w:r w:rsidRPr="00731D5D">
        <w:rPr>
          <w:rFonts w:ascii="Arial" w:hAnsi="Arial" w:cs="Arial"/>
          <w:bCs/>
          <w:color w:val="000000"/>
          <w:vertAlign w:val="superscript"/>
        </w:rPr>
        <w:t>2+</w:t>
      </w:r>
      <w:r w:rsidRPr="00731D5D">
        <w:rPr>
          <w:rFonts w:ascii="Arial" w:hAnsi="Arial" w:cs="Arial"/>
          <w:bCs/>
          <w:color w:val="000000"/>
        </w:rPr>
        <w:t>-activated K</w:t>
      </w:r>
      <w:r w:rsidRPr="00731D5D">
        <w:rPr>
          <w:rFonts w:ascii="Arial" w:hAnsi="Arial" w:cs="Arial"/>
          <w:bCs/>
          <w:color w:val="000000"/>
          <w:vertAlign w:val="superscript"/>
        </w:rPr>
        <w:t>+</w:t>
      </w:r>
      <w:r w:rsidRPr="00731D5D">
        <w:rPr>
          <w:rFonts w:ascii="Arial" w:hAnsi="Arial" w:cs="Arial"/>
          <w:bCs/>
          <w:color w:val="000000"/>
        </w:rPr>
        <w:t xml:space="preserve">channels in isolated rat coronary arterial myocytes. </w:t>
      </w:r>
      <w:r w:rsidRPr="00731D5D">
        <w:rPr>
          <w:rFonts w:ascii="Arial" w:hAnsi="Arial" w:cs="Arial"/>
          <w:color w:val="000000"/>
        </w:rPr>
        <w:t>J Physiol. 534(3):651-67.</w:t>
      </w:r>
    </w:p>
    <w:p w:rsidR="00356824" w:rsidRPr="00CF5E26" w:rsidRDefault="00356824" w:rsidP="00356824">
      <w:pPr>
        <w:spacing w:after="0" w:line="240" w:lineRule="auto"/>
        <w:rPr>
          <w:rFonts w:ascii="Arial" w:hAnsi="Arial" w:cs="Arial"/>
        </w:rPr>
      </w:pPr>
    </w:p>
    <w:p w:rsidR="00356824" w:rsidRDefault="00356824" w:rsidP="00356824">
      <w:pPr>
        <w:spacing w:after="0" w:line="240" w:lineRule="auto"/>
        <w:rPr>
          <w:rFonts w:ascii="Arial" w:hAnsi="Arial" w:cs="Arial"/>
        </w:rPr>
      </w:pPr>
      <w:r>
        <w:rPr>
          <w:rFonts w:ascii="Arial" w:hAnsi="Arial" w:cs="Arial"/>
        </w:rPr>
        <w:t xml:space="preserve">[20] </w:t>
      </w:r>
      <w:r w:rsidRPr="000F53BF">
        <w:rPr>
          <w:rFonts w:ascii="Arial" w:hAnsi="Arial" w:cs="Arial"/>
        </w:rPr>
        <w:t>Suzuki, S., Oguro, A., Osada-Oka, M., Funae, Y., Imaoka, S. (2008). Epoxyeicosatrienoic acids and/or their metabolites promote hypoxic response of cells.</w:t>
      </w:r>
      <w:r w:rsidRPr="000F53BF">
        <w:t xml:space="preserve"> </w:t>
      </w:r>
      <w:r w:rsidRPr="000F53BF">
        <w:rPr>
          <w:rFonts w:ascii="Arial" w:hAnsi="Arial" w:cs="Arial"/>
        </w:rPr>
        <w:t>J Pharmacol Sci. 108(1):79-88</w:t>
      </w:r>
      <w:r>
        <w:rPr>
          <w:rFonts w:ascii="Arial" w:hAnsi="Arial" w:cs="Arial"/>
        </w:rPr>
        <w:t>.</w:t>
      </w:r>
    </w:p>
    <w:p w:rsidR="00356824" w:rsidRDefault="00356824" w:rsidP="00356824">
      <w:pPr>
        <w:pStyle w:val="Heading1"/>
        <w:shd w:val="clear" w:color="auto" w:fill="FFFFFF"/>
        <w:spacing w:before="240" w:beforeAutospacing="0" w:after="0" w:afterAutospacing="0"/>
        <w:rPr>
          <w:rFonts w:ascii="Arial" w:hAnsi="Arial" w:cs="Arial"/>
          <w:b w:val="0"/>
          <w:bCs w:val="0"/>
          <w:sz w:val="22"/>
          <w:szCs w:val="22"/>
        </w:rPr>
      </w:pPr>
      <w:r>
        <w:rPr>
          <w:rFonts w:ascii="Arial" w:hAnsi="Arial" w:cs="Arial"/>
          <w:b w:val="0"/>
          <w:sz w:val="22"/>
          <w:szCs w:val="22"/>
        </w:rPr>
        <w:t xml:space="preserve">[21] </w:t>
      </w:r>
      <w:r w:rsidRPr="000F53BF">
        <w:rPr>
          <w:rFonts w:ascii="Arial" w:hAnsi="Arial" w:cs="Arial"/>
          <w:b w:val="0"/>
          <w:sz w:val="22"/>
          <w:szCs w:val="22"/>
        </w:rPr>
        <w:t>Carboneau,</w:t>
      </w:r>
      <w:r>
        <w:rPr>
          <w:rFonts w:ascii="Arial" w:hAnsi="Arial" w:cs="Arial"/>
          <w:b w:val="0"/>
          <w:sz w:val="22"/>
          <w:szCs w:val="22"/>
        </w:rPr>
        <w:t xml:space="preserve"> </w:t>
      </w:r>
      <w:r w:rsidRPr="000F53BF">
        <w:rPr>
          <w:rFonts w:ascii="Arial" w:hAnsi="Arial" w:cs="Arial"/>
          <w:b w:val="0"/>
          <w:sz w:val="22"/>
          <w:szCs w:val="22"/>
        </w:rPr>
        <w:t>B.A., Breyer, R.M., Gannon, M. (2017).</w:t>
      </w:r>
      <w:r w:rsidRPr="000F53BF">
        <w:rPr>
          <w:rFonts w:ascii="Arial" w:hAnsi="Arial" w:cs="Arial"/>
          <w:b w:val="0"/>
          <w:bCs w:val="0"/>
          <w:sz w:val="22"/>
          <w:szCs w:val="22"/>
        </w:rPr>
        <w:t xml:space="preserve"> Regulation of pancreatic β-cell function and mass dynamics by prostaglandin signalling.</w:t>
      </w:r>
      <w:r w:rsidRPr="000F53BF">
        <w:rPr>
          <w:b w:val="0"/>
          <w:sz w:val="22"/>
          <w:szCs w:val="22"/>
        </w:rPr>
        <w:t xml:space="preserve"> </w:t>
      </w:r>
      <w:r w:rsidRPr="000F53BF">
        <w:rPr>
          <w:rFonts w:ascii="Arial" w:hAnsi="Arial" w:cs="Arial"/>
          <w:b w:val="0"/>
          <w:bCs w:val="0"/>
          <w:sz w:val="22"/>
          <w:szCs w:val="22"/>
        </w:rPr>
        <w:t>J Cell Commun Signal. 11(2): 105–116.</w:t>
      </w:r>
    </w:p>
    <w:p w:rsidR="00356824" w:rsidRDefault="00356824" w:rsidP="00356824">
      <w:pPr>
        <w:spacing w:after="0" w:line="240" w:lineRule="auto"/>
        <w:rPr>
          <w:rFonts w:ascii="Arial" w:hAnsi="Arial" w:cs="Arial"/>
        </w:rPr>
      </w:pPr>
    </w:p>
    <w:p w:rsidR="00356824" w:rsidRDefault="00356824" w:rsidP="00356824">
      <w:pPr>
        <w:shd w:val="clear" w:color="auto" w:fill="FFFFFF"/>
        <w:spacing w:after="0" w:line="240" w:lineRule="auto"/>
        <w:rPr>
          <w:rFonts w:ascii="Arial" w:hAnsi="Arial" w:cs="Arial"/>
        </w:rPr>
      </w:pPr>
      <w:r>
        <w:rPr>
          <w:rFonts w:ascii="Arial" w:hAnsi="Arial" w:cs="Arial"/>
        </w:rPr>
        <w:t xml:space="preserve">[22] </w:t>
      </w:r>
      <w:r w:rsidRPr="000F53BF">
        <w:rPr>
          <w:rFonts w:ascii="Arial" w:hAnsi="Arial" w:cs="Arial"/>
        </w:rPr>
        <w:t>Minguet, S., Huber, M., Rosenkranz, L., Schamel, W.W., Reth, M., Brummer, T. (2005).</w:t>
      </w:r>
      <w:r>
        <w:rPr>
          <w:rFonts w:ascii="Arial" w:hAnsi="Arial" w:cs="Arial"/>
        </w:rPr>
        <w:t xml:space="preserve"> </w:t>
      </w:r>
      <w:r w:rsidRPr="000F53BF">
        <w:rPr>
          <w:rFonts w:ascii="Arial" w:hAnsi="Arial" w:cs="Arial"/>
        </w:rPr>
        <w:t>Adenosine and cAMP are potent inhibitors of the NF-kappa B pathway downstream of immunoreceptors. Eur J Immunol. 35(1):31-41.</w:t>
      </w:r>
    </w:p>
    <w:p w:rsidR="00356824" w:rsidRDefault="00356824" w:rsidP="00356824">
      <w:pPr>
        <w:shd w:val="clear" w:color="auto" w:fill="FFFFFF"/>
        <w:spacing w:after="0" w:line="240" w:lineRule="auto"/>
        <w:rPr>
          <w:rFonts w:ascii="Arial" w:hAnsi="Arial" w:cs="Arial"/>
        </w:rPr>
      </w:pPr>
    </w:p>
    <w:p w:rsidR="00356824" w:rsidRDefault="00356824" w:rsidP="00356824">
      <w:pPr>
        <w:spacing w:after="0" w:line="240" w:lineRule="auto"/>
        <w:rPr>
          <w:rFonts w:ascii="Arial" w:hAnsi="Arial" w:cs="Arial"/>
        </w:rPr>
      </w:pPr>
      <w:r>
        <w:rPr>
          <w:rFonts w:ascii="Arial" w:hAnsi="Arial" w:cs="Arial"/>
        </w:rPr>
        <w:t xml:space="preserve">[23] </w:t>
      </w:r>
      <w:r w:rsidRPr="000F53BF">
        <w:rPr>
          <w:rFonts w:ascii="Arial" w:hAnsi="Arial" w:cs="Arial"/>
        </w:rPr>
        <w:t>Sorriento, D., Ciccarelli, M., Santulli, G., Campanile, A., Altobelli, G.G., Cimini, V., Galasso, G., Astone, D., Piscione, F., Pastore, L., Trimarco B., Iaccarino, G. (2008). The G-Protein-Coupled Receptor Kinase 5 Inhibits NFκB Transcriptional Activity by Inducing Nuclear Accumulation of IκBα. PNAS. 105(46):17818-17823</w:t>
      </w:r>
      <w:r>
        <w:rPr>
          <w:rFonts w:ascii="Arial" w:hAnsi="Arial" w:cs="Arial"/>
        </w:rPr>
        <w:t>.</w:t>
      </w:r>
    </w:p>
    <w:p w:rsidR="00356824" w:rsidRDefault="00356824" w:rsidP="00356824">
      <w:pPr>
        <w:spacing w:after="0" w:line="240" w:lineRule="auto"/>
        <w:rPr>
          <w:rFonts w:ascii="Arial" w:hAnsi="Arial" w:cs="Arial"/>
        </w:rPr>
      </w:pPr>
    </w:p>
    <w:p w:rsidR="00356824" w:rsidRDefault="00356824" w:rsidP="00356824">
      <w:pPr>
        <w:spacing w:after="0" w:line="240" w:lineRule="auto"/>
        <w:rPr>
          <w:rFonts w:ascii="Arial" w:hAnsi="Arial" w:cs="Arial"/>
        </w:rPr>
      </w:pPr>
      <w:r>
        <w:rPr>
          <w:rFonts w:ascii="Arial" w:hAnsi="Arial" w:cs="Arial"/>
        </w:rPr>
        <w:t xml:space="preserve">[24] </w:t>
      </w:r>
      <w:r w:rsidRPr="00731D5D">
        <w:rPr>
          <w:rFonts w:ascii="Arial" w:hAnsi="Arial" w:cs="Arial"/>
        </w:rPr>
        <w:t xml:space="preserve">Spector, A.A and Norris, A.W. (2006). Action of epoxyeicosatrienoic acids (EETs) on cellular function. Am J Physiol Cell Physiol. 292(3):C996-1012. </w:t>
      </w:r>
    </w:p>
    <w:p w:rsidR="00356824" w:rsidRDefault="00356824" w:rsidP="00356824">
      <w:pPr>
        <w:spacing w:after="0" w:line="240" w:lineRule="auto"/>
        <w:rPr>
          <w:rFonts w:ascii="Arial" w:hAnsi="Arial" w:cs="Arial"/>
        </w:rPr>
      </w:pPr>
    </w:p>
    <w:p w:rsidR="00356824" w:rsidRDefault="00356824" w:rsidP="00356824">
      <w:pPr>
        <w:spacing w:after="0" w:line="240" w:lineRule="auto"/>
        <w:rPr>
          <w:rFonts w:ascii="Arial" w:hAnsi="Arial" w:cs="Arial"/>
        </w:rPr>
      </w:pPr>
      <w:r>
        <w:rPr>
          <w:rFonts w:ascii="Arial" w:hAnsi="Arial" w:cs="Arial"/>
        </w:rPr>
        <w:t>[25]</w:t>
      </w:r>
      <w:r w:rsidR="00FB2FE8">
        <w:rPr>
          <w:rFonts w:ascii="Arial" w:hAnsi="Arial" w:cs="Arial"/>
        </w:rPr>
        <w:t xml:space="preserve"> Kanck, M.A., Takita, M., Kunnathodi, F., Lawrence, M.C., Levy, M.F., Naziruddin, B. (2014). Inflammatory response in Islet Transplantation. Int J Endocrinol. 2014:451035.</w:t>
      </w:r>
    </w:p>
    <w:p w:rsidR="00356824" w:rsidRDefault="00356824" w:rsidP="00356824"/>
    <w:p w:rsidR="00D43283" w:rsidRDefault="00D43283" w:rsidP="00D43283">
      <w:pPr>
        <w:shd w:val="clear" w:color="auto" w:fill="FFFFFF"/>
        <w:spacing w:after="0" w:line="240" w:lineRule="auto"/>
        <w:rPr>
          <w:rFonts w:ascii="Arial" w:hAnsi="Arial" w:cs="Arial"/>
        </w:rPr>
      </w:pPr>
    </w:p>
    <w:p w:rsidR="009A2D5B" w:rsidRDefault="009A2D5B" w:rsidP="00D43283">
      <w:pPr>
        <w:shd w:val="clear" w:color="auto" w:fill="FFFFFF"/>
        <w:spacing w:after="0" w:line="240" w:lineRule="auto"/>
        <w:rPr>
          <w:rFonts w:ascii="Arial" w:hAnsi="Arial" w:cs="Arial"/>
        </w:rPr>
      </w:pPr>
    </w:p>
    <w:p w:rsidR="00D74D53" w:rsidRPr="00862CF0" w:rsidRDefault="00D74D53" w:rsidP="00D74D53">
      <w:pPr>
        <w:spacing w:line="240" w:lineRule="auto"/>
        <w:rPr>
          <w:rFonts w:ascii="Arial" w:hAnsi="Arial" w:cs="Arial"/>
          <w:b/>
          <w:i/>
        </w:rPr>
      </w:pPr>
      <w:r>
        <w:rPr>
          <w:rFonts w:ascii="Arial" w:hAnsi="Arial" w:cs="Arial"/>
          <w:b/>
        </w:rPr>
        <w:lastRenderedPageBreak/>
        <w:t xml:space="preserve">Figure 1. EETs protect BRIN-BD11 cells against cytokine toxicity. </w:t>
      </w:r>
      <w:r>
        <w:rPr>
          <w:rFonts w:ascii="Arial" w:hAnsi="Arial" w:cs="Arial"/>
        </w:rPr>
        <w:t xml:space="preserve">Cells were treated with cytokines alone, or in co-incubation with 10µM of either 8(9)-, 11(12)-, or 14(15)-EET for 24 hours before cell viability was determined using Trypan blue vital dye exclusion (A), or caspase activation assessed by flow cytometry using the MUSE™ </w:t>
      </w:r>
      <w:r w:rsidR="00ED0DFB">
        <w:rPr>
          <w:rFonts w:ascii="Arial" w:hAnsi="Arial" w:cs="Arial"/>
        </w:rPr>
        <w:t>M</w:t>
      </w:r>
      <w:r>
        <w:rPr>
          <w:rFonts w:ascii="Arial" w:hAnsi="Arial" w:cs="Arial"/>
        </w:rPr>
        <w:t>ulti</w:t>
      </w:r>
      <w:r w:rsidR="00ED0DFB">
        <w:rPr>
          <w:rFonts w:ascii="Arial" w:hAnsi="Arial" w:cs="Arial"/>
        </w:rPr>
        <w:t>C</w:t>
      </w:r>
      <w:r>
        <w:rPr>
          <w:rFonts w:ascii="Arial" w:hAnsi="Arial" w:cs="Arial"/>
        </w:rPr>
        <w:t xml:space="preserve">aspase assay (B-G). Results are expressed </w:t>
      </w:r>
      <w:r w:rsidR="00B56E59">
        <w:rPr>
          <w:rFonts w:ascii="Arial" w:hAnsi="Arial" w:cs="Arial"/>
        </w:rPr>
        <w:t>as mean</w:t>
      </w:r>
      <w:r>
        <w:rPr>
          <w:rFonts w:ascii="Arial" w:hAnsi="Arial" w:cs="Arial"/>
        </w:rPr>
        <w:t xml:space="preserve"> +/- SEM (A-B), where *P&lt;0.05 vs</w:t>
      </w:r>
      <w:r w:rsidR="009A2D5B">
        <w:rPr>
          <w:rFonts w:ascii="Arial" w:hAnsi="Arial" w:cs="Arial"/>
        </w:rPr>
        <w:t>.</w:t>
      </w:r>
      <w:r>
        <w:rPr>
          <w:rFonts w:ascii="Arial" w:hAnsi="Arial" w:cs="Arial"/>
        </w:rPr>
        <w:t xml:space="preserve"> control and #P&lt;0.05 vs</w:t>
      </w:r>
      <w:r w:rsidR="009A2D5B">
        <w:rPr>
          <w:rFonts w:ascii="Arial" w:hAnsi="Arial" w:cs="Arial"/>
        </w:rPr>
        <w:t>.</w:t>
      </w:r>
      <w:r>
        <w:rPr>
          <w:rFonts w:ascii="Arial" w:hAnsi="Arial" w:cs="Arial"/>
        </w:rPr>
        <w:t xml:space="preserve"> cytokine treatment alone, as determined by one-way ANOVA and Tukey’s post-test, n=3. Representative plots from the flow cytometry data for caspase activity are shown in panels C-G. </w:t>
      </w:r>
    </w:p>
    <w:p w:rsidR="00D43283" w:rsidRPr="00FA487D" w:rsidRDefault="00D43283" w:rsidP="00D43283">
      <w:pPr>
        <w:spacing w:after="0" w:line="240" w:lineRule="auto"/>
        <w:rPr>
          <w:rFonts w:ascii="Arial" w:hAnsi="Arial" w:cs="Arial"/>
        </w:rPr>
      </w:pPr>
    </w:p>
    <w:p w:rsidR="00D43283" w:rsidRPr="00731D5D" w:rsidRDefault="00D43283" w:rsidP="00D43283">
      <w:pPr>
        <w:shd w:val="clear" w:color="auto" w:fill="FFFFFF"/>
        <w:spacing w:after="0" w:line="240" w:lineRule="auto"/>
        <w:rPr>
          <w:rFonts w:ascii="Arial" w:hAnsi="Arial" w:cs="Arial"/>
          <w:i/>
          <w:color w:val="4F81BD" w:themeColor="accent1"/>
        </w:rPr>
      </w:pPr>
    </w:p>
    <w:p w:rsidR="00D43283" w:rsidRPr="00407016" w:rsidRDefault="00D43283" w:rsidP="00D43283">
      <w:pPr>
        <w:spacing w:after="0" w:line="240" w:lineRule="auto"/>
        <w:rPr>
          <w:rFonts w:ascii="Arial" w:hAnsi="Arial" w:cs="Arial"/>
        </w:rPr>
      </w:pPr>
    </w:p>
    <w:p w:rsidR="00D74D53" w:rsidRPr="00862CF0" w:rsidRDefault="00D74D53" w:rsidP="00D74D53">
      <w:pPr>
        <w:spacing w:line="240" w:lineRule="auto"/>
        <w:rPr>
          <w:rFonts w:ascii="Arial" w:hAnsi="Arial" w:cs="Arial"/>
          <w:b/>
          <w:i/>
        </w:rPr>
      </w:pPr>
      <w:r>
        <w:rPr>
          <w:rFonts w:ascii="Arial" w:hAnsi="Arial" w:cs="Arial"/>
          <w:b/>
        </w:rPr>
        <w:t xml:space="preserve">Figure 2. 8(9)-DHET but not 11(12)- or 14(15)-DHET protects BRIN-BD11 cells against cytokine toxicity. </w:t>
      </w:r>
      <w:r>
        <w:rPr>
          <w:rFonts w:ascii="Arial" w:hAnsi="Arial" w:cs="Arial"/>
        </w:rPr>
        <w:t xml:space="preserve">Cells were treated with cytokines alone, or in co-incubation with 10µM of either 8(9)-, 11(12)-, or 14(15)-DHET for 24 hours before cell viability was determined using Trypan blue vital dye exclusion (A), or caspase activation assessed by flow cytometry using the MUSE™ </w:t>
      </w:r>
      <w:r w:rsidR="00ED0DFB">
        <w:rPr>
          <w:rFonts w:ascii="Arial" w:hAnsi="Arial" w:cs="Arial"/>
        </w:rPr>
        <w:t>M</w:t>
      </w:r>
      <w:r>
        <w:rPr>
          <w:rFonts w:ascii="Arial" w:hAnsi="Arial" w:cs="Arial"/>
        </w:rPr>
        <w:t>ulti</w:t>
      </w:r>
      <w:r w:rsidR="00ED0DFB">
        <w:rPr>
          <w:rFonts w:ascii="Arial" w:hAnsi="Arial" w:cs="Arial"/>
        </w:rPr>
        <w:t>C</w:t>
      </w:r>
      <w:r>
        <w:rPr>
          <w:rFonts w:ascii="Arial" w:hAnsi="Arial" w:cs="Arial"/>
        </w:rPr>
        <w:t xml:space="preserve">aspase assay (B-G). Results are expressed </w:t>
      </w:r>
      <w:r w:rsidR="00B56E59">
        <w:rPr>
          <w:rFonts w:ascii="Arial" w:hAnsi="Arial" w:cs="Arial"/>
        </w:rPr>
        <w:t xml:space="preserve">as </w:t>
      </w:r>
      <w:r>
        <w:rPr>
          <w:rFonts w:ascii="Arial" w:hAnsi="Arial" w:cs="Arial"/>
        </w:rPr>
        <w:t>mean +/- SEM (A-B), where *P&lt;0.05 vs</w:t>
      </w:r>
      <w:r w:rsidR="009A2D5B">
        <w:rPr>
          <w:rFonts w:ascii="Arial" w:hAnsi="Arial" w:cs="Arial"/>
        </w:rPr>
        <w:t>.</w:t>
      </w:r>
      <w:r>
        <w:rPr>
          <w:rFonts w:ascii="Arial" w:hAnsi="Arial" w:cs="Arial"/>
        </w:rPr>
        <w:t xml:space="preserve"> control and #P&lt;0.05 vs</w:t>
      </w:r>
      <w:r w:rsidR="009A2D5B">
        <w:rPr>
          <w:rFonts w:ascii="Arial" w:hAnsi="Arial" w:cs="Arial"/>
        </w:rPr>
        <w:t>.</w:t>
      </w:r>
      <w:r>
        <w:rPr>
          <w:rFonts w:ascii="Arial" w:hAnsi="Arial" w:cs="Arial"/>
        </w:rPr>
        <w:t xml:space="preserve"> cytokine treatment alone, as determined by one-way ANOVA and Tukey’s post-test, n=3. Representative plots from the flow cytometry data for caspase activity are shown in panels C-G. </w:t>
      </w:r>
    </w:p>
    <w:p w:rsidR="00D43283" w:rsidRDefault="00D43283" w:rsidP="00D43283">
      <w:pPr>
        <w:spacing w:after="0" w:line="240" w:lineRule="auto"/>
        <w:rPr>
          <w:rFonts w:ascii="Arial" w:hAnsi="Arial" w:cs="Arial"/>
        </w:rPr>
      </w:pPr>
    </w:p>
    <w:p w:rsidR="00D43283" w:rsidRPr="000F53BF" w:rsidRDefault="00D43283" w:rsidP="00D43283">
      <w:pPr>
        <w:spacing w:after="0" w:line="240" w:lineRule="auto"/>
        <w:rPr>
          <w:rFonts w:ascii="Arial" w:hAnsi="Arial" w:cs="Arial"/>
        </w:rPr>
      </w:pPr>
    </w:p>
    <w:p w:rsidR="00D43283" w:rsidRPr="00731D5D" w:rsidRDefault="00D43283" w:rsidP="00D43283">
      <w:pPr>
        <w:spacing w:after="0" w:line="240" w:lineRule="auto"/>
        <w:rPr>
          <w:rFonts w:ascii="Arial" w:hAnsi="Arial" w:cs="Arial"/>
        </w:rPr>
      </w:pPr>
    </w:p>
    <w:p w:rsidR="00D74D53" w:rsidRDefault="00D74D53" w:rsidP="00D74D53">
      <w:pPr>
        <w:spacing w:line="240" w:lineRule="auto"/>
        <w:rPr>
          <w:rFonts w:ascii="Arial" w:hAnsi="Arial" w:cs="Arial"/>
        </w:rPr>
      </w:pPr>
      <w:r>
        <w:rPr>
          <w:rFonts w:ascii="Arial" w:hAnsi="Arial" w:cs="Arial"/>
          <w:b/>
        </w:rPr>
        <w:t>Figure 3. EETs and 8(9)-DHET reduce cytokine-induced NF</w:t>
      </w:r>
      <w:r>
        <w:rPr>
          <w:rFonts w:ascii="Arial" w:hAnsi="Arial" w:cs="Arial"/>
          <w:b/>
        </w:rPr>
        <w:sym w:font="Symbol" w:char="F06B"/>
      </w:r>
      <w:r>
        <w:rPr>
          <w:rFonts w:ascii="Arial" w:hAnsi="Arial" w:cs="Arial"/>
          <w:b/>
        </w:rPr>
        <w:t xml:space="preserve">B activation in BRIN-BD11 cells. </w:t>
      </w:r>
      <w:r w:rsidR="00C4320E">
        <w:rPr>
          <w:rFonts w:ascii="Arial" w:hAnsi="Arial" w:cs="Arial"/>
        </w:rPr>
        <w:t xml:space="preserve">A-B: </w:t>
      </w:r>
      <w:r>
        <w:rPr>
          <w:rFonts w:ascii="Arial" w:hAnsi="Arial" w:cs="Arial"/>
        </w:rPr>
        <w:t>Cells were transfected with a NanoLuc® NF</w:t>
      </w:r>
      <w:r>
        <w:rPr>
          <w:rFonts w:ascii="Arial" w:hAnsi="Arial" w:cs="Arial"/>
        </w:rPr>
        <w:sym w:font="Symbol" w:char="F06B"/>
      </w:r>
      <w:r>
        <w:rPr>
          <w:rFonts w:ascii="Arial" w:hAnsi="Arial" w:cs="Arial"/>
        </w:rPr>
        <w:t>B luciferase reporter vector 24 hours prior to treatment with cytokines alone, or in co-incubation with EET</w:t>
      </w:r>
      <w:r w:rsidR="00C4320E">
        <w:rPr>
          <w:rFonts w:ascii="Arial" w:hAnsi="Arial" w:cs="Arial"/>
        </w:rPr>
        <w:t>s</w:t>
      </w:r>
      <w:r>
        <w:rPr>
          <w:rFonts w:ascii="Arial" w:hAnsi="Arial" w:cs="Arial"/>
        </w:rPr>
        <w:t xml:space="preserve"> or DHETs</w:t>
      </w:r>
      <w:r w:rsidR="00ED0DFB">
        <w:rPr>
          <w:rFonts w:ascii="Arial" w:hAnsi="Arial" w:cs="Arial"/>
        </w:rPr>
        <w:t>,</w:t>
      </w:r>
      <w:r>
        <w:rPr>
          <w:rFonts w:ascii="Arial" w:hAnsi="Arial" w:cs="Arial"/>
        </w:rPr>
        <w:t xml:space="preserve"> for a further 24 hours</w:t>
      </w:r>
      <w:r w:rsidR="009A2D5B">
        <w:rPr>
          <w:rFonts w:ascii="Arial" w:hAnsi="Arial" w:cs="Arial"/>
        </w:rPr>
        <w:t>,</w:t>
      </w:r>
      <w:r w:rsidR="00C4320E">
        <w:rPr>
          <w:rFonts w:ascii="Arial" w:hAnsi="Arial" w:cs="Arial"/>
        </w:rPr>
        <w:t xml:space="preserve"> with l</w:t>
      </w:r>
      <w:r>
        <w:rPr>
          <w:rFonts w:ascii="Arial" w:hAnsi="Arial" w:cs="Arial"/>
        </w:rPr>
        <w:t>uciferase activity determined using NanoGlo® luciferase substrate</w:t>
      </w:r>
      <w:r w:rsidR="00C4320E">
        <w:rPr>
          <w:rFonts w:ascii="Arial" w:hAnsi="Arial" w:cs="Arial"/>
        </w:rPr>
        <w:t xml:space="preserve"> and</w:t>
      </w:r>
      <w:r>
        <w:rPr>
          <w:rFonts w:ascii="Arial" w:hAnsi="Arial" w:cs="Arial"/>
        </w:rPr>
        <w:t xml:space="preserve"> results expressed as fold chan</w:t>
      </w:r>
      <w:r w:rsidR="00C4320E">
        <w:rPr>
          <w:rFonts w:ascii="Arial" w:hAnsi="Arial" w:cs="Arial"/>
        </w:rPr>
        <w:t>ge (+/-SEM) compared to control. C-D: nitrite levels in culture supernatants (µM) were determined using the Griess assay following treatment of cells with cytokines alone (■), or in co-incubation (□) with EETs or DHETs (nitrite levels fo</w:t>
      </w:r>
      <w:r w:rsidR="00E06B9C">
        <w:rPr>
          <w:rFonts w:ascii="Arial" w:hAnsi="Arial" w:cs="Arial"/>
        </w:rPr>
        <w:t>r untreated controls were ~</w:t>
      </w:r>
      <w:r w:rsidR="008542E8">
        <w:rPr>
          <w:rFonts w:ascii="Arial" w:hAnsi="Arial" w:cs="Arial"/>
        </w:rPr>
        <w:t>1.3</w:t>
      </w:r>
      <w:r w:rsidR="00E06B9C">
        <w:rPr>
          <w:rFonts w:ascii="Arial" w:hAnsi="Arial" w:cs="Arial"/>
        </w:rPr>
        <w:t>µM</w:t>
      </w:r>
      <w:r w:rsidR="00C4320E">
        <w:rPr>
          <w:rFonts w:ascii="Arial" w:hAnsi="Arial" w:cs="Arial"/>
        </w:rPr>
        <w:t>.</w:t>
      </w:r>
      <w:r>
        <w:rPr>
          <w:rFonts w:ascii="Arial" w:hAnsi="Arial" w:cs="Arial"/>
        </w:rPr>
        <w:t xml:space="preserve"> *P&lt;0.05 vs</w:t>
      </w:r>
      <w:r w:rsidR="009A2D5B">
        <w:rPr>
          <w:rFonts w:ascii="Arial" w:hAnsi="Arial" w:cs="Arial"/>
        </w:rPr>
        <w:t>.</w:t>
      </w:r>
      <w:r>
        <w:rPr>
          <w:rFonts w:ascii="Arial" w:hAnsi="Arial" w:cs="Arial"/>
        </w:rPr>
        <w:t xml:space="preserve"> control and #P&lt;0.05 vs</w:t>
      </w:r>
      <w:r w:rsidR="009A2D5B">
        <w:rPr>
          <w:rFonts w:ascii="Arial" w:hAnsi="Arial" w:cs="Arial"/>
        </w:rPr>
        <w:t>.</w:t>
      </w:r>
      <w:r>
        <w:rPr>
          <w:rFonts w:ascii="Arial" w:hAnsi="Arial" w:cs="Arial"/>
        </w:rPr>
        <w:t xml:space="preserve"> cytokines alone, as determined by one-way ANOVA and Tukey’s post-test</w:t>
      </w:r>
      <w:r w:rsidR="00B56E59">
        <w:rPr>
          <w:rFonts w:ascii="Arial" w:hAnsi="Arial" w:cs="Arial"/>
        </w:rPr>
        <w:t xml:space="preserve"> (A-B</w:t>
      </w:r>
      <w:r w:rsidR="00E06B9C">
        <w:rPr>
          <w:rFonts w:ascii="Arial" w:hAnsi="Arial" w:cs="Arial"/>
        </w:rPr>
        <w:t xml:space="preserve"> n=5</w:t>
      </w:r>
      <w:r w:rsidR="00B56E59">
        <w:rPr>
          <w:rFonts w:ascii="Arial" w:hAnsi="Arial" w:cs="Arial"/>
        </w:rPr>
        <w:t>) or two-way ANOVA and Bonferroni’s post-test (C-D</w:t>
      </w:r>
      <w:r w:rsidR="00E06B9C" w:rsidRPr="00E06B9C">
        <w:rPr>
          <w:rFonts w:ascii="Arial" w:hAnsi="Arial" w:cs="Arial"/>
        </w:rPr>
        <w:t xml:space="preserve"> </w:t>
      </w:r>
      <w:r w:rsidR="00E06B9C">
        <w:rPr>
          <w:rFonts w:ascii="Arial" w:hAnsi="Arial" w:cs="Arial"/>
        </w:rPr>
        <w:t>n=3</w:t>
      </w:r>
      <w:r w:rsidR="00B56E59">
        <w:rPr>
          <w:rFonts w:ascii="Arial" w:hAnsi="Arial" w:cs="Arial"/>
        </w:rPr>
        <w:t>)</w:t>
      </w:r>
      <w:r w:rsidR="00C4320E">
        <w:rPr>
          <w:rFonts w:ascii="Arial" w:hAnsi="Arial" w:cs="Arial"/>
        </w:rPr>
        <w:t>.</w:t>
      </w:r>
    </w:p>
    <w:p w:rsidR="00D74D53" w:rsidRDefault="00D74D53" w:rsidP="00D74D53">
      <w:pPr>
        <w:spacing w:line="240" w:lineRule="auto"/>
        <w:rPr>
          <w:rFonts w:ascii="Arial" w:hAnsi="Arial" w:cs="Arial"/>
        </w:rPr>
      </w:pPr>
    </w:p>
    <w:p w:rsidR="00D74D53" w:rsidRDefault="00D74D53" w:rsidP="00D74D53">
      <w:pPr>
        <w:spacing w:line="240" w:lineRule="auto"/>
        <w:rPr>
          <w:rFonts w:ascii="Arial" w:hAnsi="Arial" w:cs="Arial"/>
        </w:rPr>
      </w:pPr>
      <w:r>
        <w:rPr>
          <w:rFonts w:ascii="Arial" w:hAnsi="Arial" w:cs="Arial"/>
          <w:b/>
        </w:rPr>
        <w:t>Figure 4. EET and 8(9)</w:t>
      </w:r>
      <w:r w:rsidR="00FD0142">
        <w:rPr>
          <w:rFonts w:ascii="Arial" w:hAnsi="Arial" w:cs="Arial"/>
          <w:b/>
        </w:rPr>
        <w:t>-</w:t>
      </w:r>
      <w:r>
        <w:rPr>
          <w:rFonts w:ascii="Arial" w:hAnsi="Arial" w:cs="Arial"/>
          <w:b/>
        </w:rPr>
        <w:t xml:space="preserve">DHET effects are independent to PPARγ activation or their esterification to CoA. </w:t>
      </w:r>
      <w:r>
        <w:rPr>
          <w:rFonts w:ascii="Arial" w:hAnsi="Arial" w:cs="Arial"/>
        </w:rPr>
        <w:t>Cells were treated with cytokines alone, or in co-incubation with 10µM of either 8(9)-, 11(12)-, or 14(15)-EET in the presence (□) or absence (■) of 2µM of the PPARγ antagonist T0070907 (A) or in the presence of 14(15)-EET-SI (B) for 24 hours before caspase activation was assessed</w:t>
      </w:r>
      <w:r w:rsidR="009A2D5B">
        <w:rPr>
          <w:rFonts w:ascii="Arial" w:hAnsi="Arial" w:cs="Arial"/>
        </w:rPr>
        <w:t xml:space="preserve"> by flow cytometry</w:t>
      </w:r>
      <w:r>
        <w:rPr>
          <w:rFonts w:ascii="Arial" w:hAnsi="Arial" w:cs="Arial"/>
        </w:rPr>
        <w:t xml:space="preserve"> using MUSE</w:t>
      </w:r>
      <w:r w:rsidR="00D13EC6">
        <w:rPr>
          <w:rFonts w:ascii="Arial" w:hAnsi="Arial" w:cs="Arial"/>
        </w:rPr>
        <w:t>™</w:t>
      </w:r>
      <w:r w:rsidR="00B56E59">
        <w:rPr>
          <w:rFonts w:ascii="Arial" w:hAnsi="Arial" w:cs="Arial"/>
        </w:rPr>
        <w:t xml:space="preserve"> M</w:t>
      </w:r>
      <w:r>
        <w:rPr>
          <w:rFonts w:ascii="Arial" w:hAnsi="Arial" w:cs="Arial"/>
        </w:rPr>
        <w:t>ulti</w:t>
      </w:r>
      <w:r w:rsidR="00B56E59">
        <w:rPr>
          <w:rFonts w:ascii="Arial" w:hAnsi="Arial" w:cs="Arial"/>
        </w:rPr>
        <w:t>C</w:t>
      </w:r>
      <w:r>
        <w:rPr>
          <w:rFonts w:ascii="Arial" w:hAnsi="Arial" w:cs="Arial"/>
        </w:rPr>
        <w:t>aspase assay. Results are expressed</w:t>
      </w:r>
      <w:r w:rsidR="00B56E59">
        <w:rPr>
          <w:rFonts w:ascii="Arial" w:hAnsi="Arial" w:cs="Arial"/>
        </w:rPr>
        <w:t xml:space="preserve"> as mean</w:t>
      </w:r>
      <w:r>
        <w:rPr>
          <w:rFonts w:ascii="Arial" w:hAnsi="Arial" w:cs="Arial"/>
        </w:rPr>
        <w:t xml:space="preserve"> +/- SEM, where *P&lt;0.05 vs</w:t>
      </w:r>
      <w:r w:rsidR="00D13EC6">
        <w:rPr>
          <w:rFonts w:ascii="Arial" w:hAnsi="Arial" w:cs="Arial"/>
        </w:rPr>
        <w:t>.</w:t>
      </w:r>
      <w:r>
        <w:rPr>
          <w:rFonts w:ascii="Arial" w:hAnsi="Arial" w:cs="Arial"/>
        </w:rPr>
        <w:t xml:space="preserve"> control and #P&lt;0.05 vs</w:t>
      </w:r>
      <w:r w:rsidR="00D13EC6">
        <w:rPr>
          <w:rFonts w:ascii="Arial" w:hAnsi="Arial" w:cs="Arial"/>
        </w:rPr>
        <w:t>.</w:t>
      </w:r>
      <w:r>
        <w:rPr>
          <w:rFonts w:ascii="Arial" w:hAnsi="Arial" w:cs="Arial"/>
        </w:rPr>
        <w:t xml:space="preserve"> cytokines alone, as determined by </w:t>
      </w:r>
      <w:r w:rsidR="00B56E59">
        <w:rPr>
          <w:rFonts w:ascii="Arial" w:hAnsi="Arial" w:cs="Arial"/>
        </w:rPr>
        <w:t xml:space="preserve">two-way ANOVA and Bonferroni’s post-test (A) or </w:t>
      </w:r>
      <w:r>
        <w:rPr>
          <w:rFonts w:ascii="Arial" w:hAnsi="Arial" w:cs="Arial"/>
        </w:rPr>
        <w:t>one-way ANOVA and Tukey’s post-test</w:t>
      </w:r>
      <w:r w:rsidR="00B56E59">
        <w:rPr>
          <w:rFonts w:ascii="Arial" w:hAnsi="Arial" w:cs="Arial"/>
        </w:rPr>
        <w:t xml:space="preserve"> (B)</w:t>
      </w:r>
      <w:r>
        <w:rPr>
          <w:rFonts w:ascii="Arial" w:hAnsi="Arial" w:cs="Arial"/>
        </w:rPr>
        <w:t>, n=3.</w:t>
      </w:r>
    </w:p>
    <w:p w:rsidR="00D43283" w:rsidRPr="000F53BF" w:rsidRDefault="00D43283" w:rsidP="00D43283">
      <w:pPr>
        <w:spacing w:after="0" w:line="240" w:lineRule="auto"/>
        <w:rPr>
          <w:rFonts w:ascii="Arial" w:hAnsi="Arial" w:cs="Arial"/>
        </w:rPr>
      </w:pPr>
    </w:p>
    <w:p w:rsidR="00D43283" w:rsidRPr="00AB0B10" w:rsidRDefault="00D43283" w:rsidP="00D43283">
      <w:pPr>
        <w:spacing w:after="0" w:line="240" w:lineRule="auto"/>
        <w:rPr>
          <w:rFonts w:ascii="Arial" w:hAnsi="Arial" w:cs="Arial"/>
        </w:rPr>
      </w:pPr>
    </w:p>
    <w:p w:rsidR="001D4AB1" w:rsidRDefault="001D4AB1" w:rsidP="00D43283">
      <w:pPr>
        <w:spacing w:after="0" w:line="240" w:lineRule="auto"/>
        <w:rPr>
          <w:rFonts w:ascii="Arial" w:hAnsi="Arial" w:cs="Arial"/>
        </w:rPr>
      </w:pPr>
    </w:p>
    <w:p w:rsidR="00D43283" w:rsidRPr="00CF5E26" w:rsidRDefault="00D43283" w:rsidP="00D43283">
      <w:pPr>
        <w:spacing w:after="0" w:line="240" w:lineRule="auto"/>
        <w:rPr>
          <w:rFonts w:ascii="Arial" w:hAnsi="Arial" w:cs="Arial"/>
        </w:rPr>
      </w:pPr>
    </w:p>
    <w:p w:rsidR="00D43283" w:rsidRDefault="00D43283" w:rsidP="00D43283">
      <w:pPr>
        <w:spacing w:after="0" w:line="240" w:lineRule="auto"/>
        <w:rPr>
          <w:rFonts w:ascii="Arial" w:hAnsi="Arial" w:cs="Arial"/>
        </w:rPr>
      </w:pPr>
    </w:p>
    <w:p w:rsidR="00B81DB7" w:rsidRPr="000F53BF" w:rsidRDefault="00B81DB7" w:rsidP="00D43283">
      <w:pPr>
        <w:shd w:val="clear" w:color="auto" w:fill="FFFFFF"/>
        <w:spacing w:before="120" w:after="0" w:line="240" w:lineRule="auto"/>
        <w:outlineLvl w:val="0"/>
        <w:rPr>
          <w:rFonts w:ascii="Arial" w:hAnsi="Arial" w:cs="Arial"/>
          <w:color w:val="9BBB59" w:themeColor="accent3"/>
        </w:rPr>
      </w:pPr>
    </w:p>
    <w:p w:rsidR="00AC5331" w:rsidRPr="000F53BF" w:rsidRDefault="00AC5331" w:rsidP="00AC5331">
      <w:pPr>
        <w:spacing w:line="240" w:lineRule="auto"/>
        <w:rPr>
          <w:rFonts w:ascii="Arial" w:hAnsi="Arial" w:cs="Arial"/>
          <w:color w:val="9BBB59" w:themeColor="accent3"/>
        </w:rPr>
      </w:pPr>
    </w:p>
    <w:p w:rsidR="00346558" w:rsidRPr="006325D7" w:rsidRDefault="00346558" w:rsidP="00AC5331">
      <w:pPr>
        <w:spacing w:line="240" w:lineRule="auto"/>
        <w:rPr>
          <w:rFonts w:ascii="Arial" w:hAnsi="Arial" w:cs="Arial"/>
        </w:rPr>
      </w:pPr>
    </w:p>
    <w:p w:rsidR="004A55B3" w:rsidRDefault="009F53FF" w:rsidP="00AC5331">
      <w:pPr>
        <w:spacing w:line="240" w:lineRule="auto"/>
        <w:rPr>
          <w:rFonts w:ascii="Arial" w:hAnsi="Arial" w:cs="Arial"/>
        </w:rPr>
      </w:pPr>
      <w:r>
        <w:rPr>
          <w:rFonts w:ascii="Arial" w:hAnsi="Arial" w:cs="Arial"/>
          <w:b/>
          <w:i/>
          <w:noProof/>
          <w:lang w:eastAsia="en-GB"/>
        </w:rPr>
        <w:lastRenderedPageBreak/>
        <w:drawing>
          <wp:anchor distT="0" distB="0" distL="114300" distR="114300" simplePos="0" relativeHeight="251648512" behindDoc="1" locked="0" layoutInCell="1" allowOverlap="1">
            <wp:simplePos x="0" y="0"/>
            <wp:positionH relativeFrom="column">
              <wp:posOffset>-292100</wp:posOffset>
            </wp:positionH>
            <wp:positionV relativeFrom="paragraph">
              <wp:posOffset>7137</wp:posOffset>
            </wp:positionV>
            <wp:extent cx="6578464" cy="3196742"/>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8464" cy="3196742"/>
                    </a:xfrm>
                    <a:prstGeom prst="rect">
                      <a:avLst/>
                    </a:prstGeom>
                    <a:noFill/>
                  </pic:spPr>
                </pic:pic>
              </a:graphicData>
            </a:graphic>
            <wp14:sizeRelH relativeFrom="page">
              <wp14:pctWidth>0</wp14:pctWidth>
            </wp14:sizeRelH>
            <wp14:sizeRelV relativeFrom="page">
              <wp14:pctHeight>0</wp14:pctHeight>
            </wp14:sizeRelV>
          </wp:anchor>
        </w:drawing>
      </w:r>
    </w:p>
    <w:p w:rsidR="00FA487D" w:rsidRPr="00FA487D" w:rsidRDefault="00FA487D" w:rsidP="00FA487D">
      <w:pPr>
        <w:spacing w:line="480" w:lineRule="auto"/>
        <w:rPr>
          <w:rFonts w:ascii="Arial" w:hAnsi="Arial" w:cs="Arial"/>
          <w:b/>
          <w:i/>
        </w:rPr>
      </w:pPr>
    </w:p>
    <w:p w:rsidR="00407016" w:rsidRPr="00407016" w:rsidRDefault="00407016" w:rsidP="00407016">
      <w:pPr>
        <w:spacing w:line="480" w:lineRule="auto"/>
        <w:rPr>
          <w:rFonts w:ascii="Arial" w:hAnsi="Arial" w:cs="Arial"/>
          <w:b/>
          <w:i/>
        </w:rPr>
      </w:pPr>
    </w:p>
    <w:p w:rsidR="0026391E" w:rsidRDefault="009F53FF" w:rsidP="009F53FF">
      <w:pPr>
        <w:tabs>
          <w:tab w:val="left" w:pos="3018"/>
          <w:tab w:val="center" w:pos="4513"/>
        </w:tabs>
        <w:spacing w:line="480" w:lineRule="auto"/>
        <w:rPr>
          <w:rFonts w:ascii="Arial" w:hAnsi="Arial" w:cs="Arial"/>
          <w:b/>
          <w:i/>
        </w:rPr>
      </w:pPr>
      <w:r>
        <w:rPr>
          <w:rFonts w:ascii="Arial" w:hAnsi="Arial" w:cs="Arial"/>
          <w:b/>
          <w:i/>
        </w:rPr>
        <w:tab/>
      </w:r>
      <w:r>
        <w:rPr>
          <w:rFonts w:ascii="Arial" w:hAnsi="Arial" w:cs="Arial"/>
          <w:b/>
          <w:i/>
        </w:rPr>
        <w:tab/>
      </w:r>
    </w:p>
    <w:p w:rsidR="00612C64" w:rsidRDefault="00612C64">
      <w:pPr>
        <w:spacing w:line="480" w:lineRule="auto"/>
        <w:rPr>
          <w:rFonts w:ascii="Arial" w:hAnsi="Arial" w:cs="Arial"/>
          <w:b/>
          <w:i/>
        </w:rPr>
      </w:pPr>
    </w:p>
    <w:p w:rsidR="00612C64" w:rsidRDefault="00612C64">
      <w:pPr>
        <w:spacing w:line="480" w:lineRule="auto"/>
        <w:rPr>
          <w:rFonts w:ascii="Arial" w:hAnsi="Arial" w:cs="Arial"/>
          <w:b/>
          <w:i/>
        </w:rPr>
      </w:pPr>
    </w:p>
    <w:p w:rsidR="00612C64" w:rsidRDefault="00612C64">
      <w:pPr>
        <w:spacing w:line="480" w:lineRule="auto"/>
        <w:rPr>
          <w:rFonts w:ascii="Arial" w:hAnsi="Arial" w:cs="Arial"/>
          <w:b/>
          <w:i/>
        </w:rPr>
      </w:pPr>
    </w:p>
    <w:p w:rsidR="00612C64" w:rsidRDefault="00612C64">
      <w:pPr>
        <w:spacing w:line="480" w:lineRule="auto"/>
        <w:rPr>
          <w:rFonts w:ascii="Arial" w:hAnsi="Arial" w:cs="Arial"/>
          <w:b/>
          <w:i/>
        </w:rPr>
      </w:pPr>
    </w:p>
    <w:p w:rsidR="00612C64" w:rsidRDefault="00612C64">
      <w:pPr>
        <w:spacing w:line="480" w:lineRule="auto"/>
        <w:rPr>
          <w:rFonts w:ascii="Arial" w:hAnsi="Arial" w:cs="Arial"/>
          <w:b/>
          <w:i/>
        </w:rPr>
      </w:pPr>
    </w:p>
    <w:p w:rsidR="009F53FF" w:rsidRDefault="009F53FF">
      <w:pPr>
        <w:spacing w:line="480" w:lineRule="auto"/>
        <w:rPr>
          <w:rFonts w:ascii="Arial" w:hAnsi="Arial" w:cs="Arial"/>
          <w:b/>
          <w:i/>
        </w:rPr>
      </w:pPr>
    </w:p>
    <w:p w:rsidR="009F53FF" w:rsidRDefault="009F53FF">
      <w:pPr>
        <w:spacing w:line="480" w:lineRule="auto"/>
        <w:rPr>
          <w:rFonts w:ascii="Arial" w:hAnsi="Arial" w:cs="Arial"/>
          <w:b/>
          <w:i/>
        </w:rPr>
      </w:pPr>
    </w:p>
    <w:p w:rsidR="009F53FF" w:rsidRDefault="009F53FF">
      <w:pPr>
        <w:spacing w:line="480" w:lineRule="auto"/>
        <w:rPr>
          <w:rFonts w:ascii="Arial" w:hAnsi="Arial" w:cs="Arial"/>
          <w:b/>
          <w:i/>
        </w:rPr>
      </w:pPr>
    </w:p>
    <w:p w:rsidR="009F53FF" w:rsidRDefault="009F53FF">
      <w:pPr>
        <w:spacing w:line="480" w:lineRule="auto"/>
        <w:rPr>
          <w:rFonts w:ascii="Arial" w:hAnsi="Arial" w:cs="Arial"/>
          <w:b/>
          <w:i/>
        </w:rPr>
      </w:pPr>
    </w:p>
    <w:p w:rsidR="009F53FF" w:rsidRDefault="009F53FF">
      <w:pPr>
        <w:spacing w:line="480" w:lineRule="auto"/>
        <w:rPr>
          <w:rFonts w:ascii="Arial" w:hAnsi="Arial" w:cs="Arial"/>
          <w:b/>
          <w:i/>
        </w:rPr>
      </w:pPr>
    </w:p>
    <w:p w:rsidR="009F53FF" w:rsidRDefault="009F53FF">
      <w:pPr>
        <w:spacing w:line="480" w:lineRule="auto"/>
        <w:rPr>
          <w:rFonts w:ascii="Arial" w:hAnsi="Arial" w:cs="Arial"/>
          <w:b/>
          <w:i/>
        </w:rPr>
      </w:pPr>
    </w:p>
    <w:p w:rsidR="009F53FF" w:rsidRDefault="009F53FF">
      <w:pPr>
        <w:spacing w:line="480" w:lineRule="auto"/>
        <w:rPr>
          <w:rFonts w:ascii="Arial" w:hAnsi="Arial" w:cs="Arial"/>
          <w:b/>
          <w:i/>
        </w:rPr>
      </w:pPr>
    </w:p>
    <w:p w:rsidR="009F53FF" w:rsidRDefault="009F53FF">
      <w:pPr>
        <w:spacing w:line="480" w:lineRule="auto"/>
        <w:rPr>
          <w:rFonts w:ascii="Arial" w:hAnsi="Arial" w:cs="Arial"/>
          <w:b/>
          <w:i/>
        </w:rPr>
      </w:pPr>
    </w:p>
    <w:p w:rsidR="009F53FF" w:rsidRDefault="009F53FF">
      <w:pPr>
        <w:spacing w:line="480" w:lineRule="auto"/>
        <w:rPr>
          <w:rFonts w:ascii="Arial" w:hAnsi="Arial" w:cs="Arial"/>
          <w:b/>
          <w:i/>
        </w:rPr>
      </w:pPr>
    </w:p>
    <w:p w:rsidR="009F53FF" w:rsidRDefault="009F53FF">
      <w:pPr>
        <w:spacing w:line="480" w:lineRule="auto"/>
        <w:rPr>
          <w:rFonts w:ascii="Arial" w:hAnsi="Arial" w:cs="Arial"/>
          <w:b/>
          <w:i/>
        </w:rPr>
      </w:pPr>
    </w:p>
    <w:p w:rsidR="009F53FF" w:rsidRDefault="009F53FF">
      <w:pPr>
        <w:spacing w:line="480" w:lineRule="auto"/>
        <w:rPr>
          <w:rFonts w:ascii="Arial" w:hAnsi="Arial" w:cs="Arial"/>
          <w:b/>
          <w:i/>
        </w:rPr>
      </w:pPr>
    </w:p>
    <w:p w:rsidR="0026391E" w:rsidRDefault="009F53FF">
      <w:pPr>
        <w:spacing w:line="480" w:lineRule="auto"/>
        <w:rPr>
          <w:rFonts w:ascii="Arial" w:hAnsi="Arial" w:cs="Arial"/>
          <w:b/>
          <w:i/>
        </w:rPr>
      </w:pPr>
      <w:r>
        <w:rPr>
          <w:rFonts w:ascii="Arial" w:hAnsi="Arial" w:cs="Arial"/>
          <w:b/>
          <w:i/>
          <w:noProof/>
          <w:lang w:eastAsia="en-GB"/>
        </w:rPr>
        <w:lastRenderedPageBreak/>
        <w:drawing>
          <wp:anchor distT="0" distB="0" distL="114300" distR="114300" simplePos="0" relativeHeight="251652608" behindDoc="1" locked="0" layoutInCell="1" allowOverlap="1">
            <wp:simplePos x="0" y="0"/>
            <wp:positionH relativeFrom="column">
              <wp:posOffset>-314249</wp:posOffset>
            </wp:positionH>
            <wp:positionV relativeFrom="paragraph">
              <wp:posOffset>214071</wp:posOffset>
            </wp:positionV>
            <wp:extent cx="6446349" cy="319680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46349" cy="3196800"/>
                    </a:xfrm>
                    <a:prstGeom prst="rect">
                      <a:avLst/>
                    </a:prstGeom>
                    <a:noFill/>
                  </pic:spPr>
                </pic:pic>
              </a:graphicData>
            </a:graphic>
            <wp14:sizeRelH relativeFrom="page">
              <wp14:pctWidth>0</wp14:pctWidth>
            </wp14:sizeRelH>
            <wp14:sizeRelV relativeFrom="page">
              <wp14:pctHeight>0</wp14:pctHeight>
            </wp14:sizeRelV>
          </wp:anchor>
        </w:drawing>
      </w:r>
    </w:p>
    <w:p w:rsidR="00AC4D29" w:rsidRDefault="00AA422C" w:rsidP="00AA422C">
      <w:pPr>
        <w:spacing w:line="480" w:lineRule="auto"/>
        <w:rPr>
          <w:rFonts w:ascii="Arial" w:hAnsi="Arial" w:cs="Arial"/>
        </w:rPr>
      </w:pPr>
      <w:r>
        <w:rPr>
          <w:rFonts w:ascii="Arial" w:hAnsi="Arial" w:cs="Arial"/>
          <w:b/>
          <w:i/>
        </w:rPr>
        <w:t xml:space="preserve">   </w:t>
      </w:r>
    </w:p>
    <w:p w:rsidR="00AC4D29" w:rsidRDefault="00AC4D29" w:rsidP="00AC4D29">
      <w:pPr>
        <w:spacing w:line="240" w:lineRule="auto"/>
        <w:rPr>
          <w:rFonts w:ascii="Arial" w:hAnsi="Arial" w:cs="Arial"/>
        </w:rPr>
      </w:pPr>
    </w:p>
    <w:p w:rsidR="00013F34" w:rsidRDefault="00013F34" w:rsidP="00AC4D29">
      <w:pPr>
        <w:spacing w:line="240" w:lineRule="auto"/>
        <w:rPr>
          <w:rFonts w:ascii="Arial" w:hAnsi="Arial" w:cs="Arial"/>
        </w:rPr>
      </w:pPr>
    </w:p>
    <w:p w:rsidR="00F15932" w:rsidRPr="00F15932" w:rsidRDefault="00F15932" w:rsidP="00F15932">
      <w:pPr>
        <w:spacing w:line="240" w:lineRule="auto"/>
        <w:rPr>
          <w:rFonts w:ascii="Arial" w:hAnsi="Arial" w:cs="Arial"/>
          <w:b/>
        </w:rPr>
      </w:pPr>
    </w:p>
    <w:p w:rsidR="00F15932" w:rsidRPr="00F15932" w:rsidRDefault="00F15932" w:rsidP="00F15932">
      <w:pPr>
        <w:spacing w:line="240" w:lineRule="auto"/>
        <w:rPr>
          <w:rFonts w:ascii="Arial" w:hAnsi="Arial" w:cs="Arial"/>
        </w:rPr>
      </w:pPr>
    </w:p>
    <w:p w:rsidR="00AC4D29" w:rsidRPr="00AC4D29" w:rsidRDefault="00AC4D29" w:rsidP="00AC4D29">
      <w:pPr>
        <w:spacing w:line="240" w:lineRule="auto"/>
        <w:rPr>
          <w:rFonts w:ascii="Arial" w:hAnsi="Arial" w:cs="Arial"/>
          <w:b/>
        </w:rPr>
      </w:pPr>
    </w:p>
    <w:p w:rsidR="00AC4D29" w:rsidRPr="00AC4D29" w:rsidRDefault="00AC4D29" w:rsidP="00AC4D29">
      <w:pPr>
        <w:spacing w:line="240" w:lineRule="auto"/>
        <w:rPr>
          <w:rFonts w:ascii="Arial" w:hAnsi="Arial" w:cs="Arial"/>
        </w:rPr>
      </w:pPr>
    </w:p>
    <w:p w:rsidR="0026391E" w:rsidRDefault="0026391E" w:rsidP="0026391E">
      <w:pPr>
        <w:spacing w:line="240" w:lineRule="auto"/>
        <w:rPr>
          <w:rFonts w:ascii="Arial" w:hAnsi="Arial" w:cs="Arial"/>
        </w:rPr>
      </w:pPr>
    </w:p>
    <w:p w:rsidR="009F53FF" w:rsidRDefault="009F53FF" w:rsidP="0026391E">
      <w:pPr>
        <w:spacing w:line="240" w:lineRule="auto"/>
        <w:rPr>
          <w:rFonts w:ascii="Arial" w:hAnsi="Arial" w:cs="Arial"/>
        </w:rPr>
      </w:pPr>
    </w:p>
    <w:p w:rsidR="009F53FF" w:rsidRDefault="009F53FF" w:rsidP="0026391E">
      <w:pPr>
        <w:spacing w:line="240" w:lineRule="auto"/>
        <w:rPr>
          <w:rFonts w:ascii="Arial" w:hAnsi="Arial" w:cs="Arial"/>
        </w:rPr>
      </w:pPr>
    </w:p>
    <w:p w:rsidR="009F53FF" w:rsidRDefault="009F53FF" w:rsidP="0026391E">
      <w:pPr>
        <w:spacing w:line="240" w:lineRule="auto"/>
        <w:rPr>
          <w:rFonts w:ascii="Arial" w:hAnsi="Arial" w:cs="Arial"/>
        </w:rPr>
      </w:pPr>
    </w:p>
    <w:p w:rsidR="009F53FF" w:rsidRDefault="009F53FF" w:rsidP="0026391E">
      <w:pPr>
        <w:spacing w:line="240" w:lineRule="auto"/>
        <w:rPr>
          <w:rFonts w:ascii="Arial" w:hAnsi="Arial" w:cs="Arial"/>
        </w:rPr>
      </w:pPr>
    </w:p>
    <w:p w:rsidR="009F53FF" w:rsidRDefault="009F53FF" w:rsidP="0026391E">
      <w:pPr>
        <w:spacing w:line="240" w:lineRule="auto"/>
        <w:rPr>
          <w:rFonts w:ascii="Arial" w:hAnsi="Arial" w:cs="Arial"/>
        </w:rPr>
      </w:pPr>
    </w:p>
    <w:p w:rsidR="009F53FF" w:rsidRDefault="009F53FF" w:rsidP="0026391E">
      <w:pPr>
        <w:spacing w:line="240" w:lineRule="auto"/>
        <w:rPr>
          <w:rFonts w:ascii="Arial" w:hAnsi="Arial" w:cs="Arial"/>
        </w:rPr>
      </w:pPr>
    </w:p>
    <w:p w:rsidR="009F53FF" w:rsidRDefault="009F53FF" w:rsidP="0026391E">
      <w:pPr>
        <w:spacing w:line="240" w:lineRule="auto"/>
        <w:rPr>
          <w:rFonts w:ascii="Arial" w:hAnsi="Arial" w:cs="Arial"/>
        </w:rPr>
      </w:pPr>
    </w:p>
    <w:p w:rsidR="009F53FF" w:rsidRDefault="009F53FF" w:rsidP="0026391E">
      <w:pPr>
        <w:spacing w:line="240" w:lineRule="auto"/>
        <w:rPr>
          <w:rFonts w:ascii="Arial" w:hAnsi="Arial" w:cs="Arial"/>
        </w:rPr>
      </w:pPr>
    </w:p>
    <w:p w:rsidR="009F53FF" w:rsidRDefault="009F53FF" w:rsidP="0026391E">
      <w:pPr>
        <w:spacing w:line="240" w:lineRule="auto"/>
        <w:rPr>
          <w:rFonts w:ascii="Arial" w:hAnsi="Arial" w:cs="Arial"/>
        </w:rPr>
      </w:pPr>
    </w:p>
    <w:p w:rsidR="009F53FF" w:rsidRDefault="009F53FF" w:rsidP="0026391E">
      <w:pPr>
        <w:spacing w:line="240" w:lineRule="auto"/>
        <w:rPr>
          <w:rFonts w:ascii="Arial" w:hAnsi="Arial" w:cs="Arial"/>
        </w:rPr>
      </w:pPr>
    </w:p>
    <w:p w:rsidR="009F53FF" w:rsidRDefault="009F53FF" w:rsidP="0026391E">
      <w:pPr>
        <w:spacing w:line="240" w:lineRule="auto"/>
        <w:rPr>
          <w:rFonts w:ascii="Arial" w:hAnsi="Arial" w:cs="Arial"/>
        </w:rPr>
      </w:pPr>
    </w:p>
    <w:p w:rsidR="009F53FF" w:rsidRDefault="009F53FF" w:rsidP="0026391E">
      <w:pPr>
        <w:spacing w:line="240" w:lineRule="auto"/>
        <w:rPr>
          <w:rFonts w:ascii="Arial" w:hAnsi="Arial" w:cs="Arial"/>
        </w:rPr>
      </w:pPr>
    </w:p>
    <w:p w:rsidR="009F53FF" w:rsidRDefault="009F53FF" w:rsidP="0026391E">
      <w:pPr>
        <w:spacing w:line="240" w:lineRule="auto"/>
        <w:rPr>
          <w:rFonts w:ascii="Arial" w:hAnsi="Arial" w:cs="Arial"/>
        </w:rPr>
      </w:pPr>
    </w:p>
    <w:p w:rsidR="009F53FF" w:rsidRDefault="009F53FF" w:rsidP="0026391E">
      <w:pPr>
        <w:spacing w:line="240" w:lineRule="auto"/>
        <w:rPr>
          <w:rFonts w:ascii="Arial" w:hAnsi="Arial" w:cs="Arial"/>
        </w:rPr>
      </w:pPr>
    </w:p>
    <w:p w:rsidR="009F53FF" w:rsidRDefault="009F53FF" w:rsidP="0026391E">
      <w:pPr>
        <w:spacing w:line="240" w:lineRule="auto"/>
        <w:rPr>
          <w:rFonts w:ascii="Arial" w:hAnsi="Arial" w:cs="Arial"/>
        </w:rPr>
      </w:pPr>
    </w:p>
    <w:p w:rsidR="009F53FF" w:rsidRDefault="009F53FF" w:rsidP="0026391E">
      <w:pPr>
        <w:spacing w:line="240" w:lineRule="auto"/>
        <w:rPr>
          <w:rFonts w:ascii="Arial" w:hAnsi="Arial" w:cs="Arial"/>
        </w:rPr>
      </w:pPr>
    </w:p>
    <w:p w:rsidR="009F53FF" w:rsidRDefault="009F53FF" w:rsidP="0026391E">
      <w:pPr>
        <w:spacing w:line="240" w:lineRule="auto"/>
        <w:rPr>
          <w:rFonts w:ascii="Arial" w:hAnsi="Arial" w:cs="Arial"/>
        </w:rPr>
      </w:pPr>
    </w:p>
    <w:p w:rsidR="009F53FF" w:rsidRDefault="009F53FF" w:rsidP="0026391E">
      <w:pPr>
        <w:spacing w:line="240" w:lineRule="auto"/>
        <w:rPr>
          <w:rFonts w:ascii="Arial" w:hAnsi="Arial" w:cs="Arial"/>
        </w:rPr>
      </w:pPr>
    </w:p>
    <w:p w:rsidR="009F53FF" w:rsidRDefault="009F53FF" w:rsidP="0026391E">
      <w:pPr>
        <w:spacing w:line="240" w:lineRule="auto"/>
        <w:rPr>
          <w:rFonts w:ascii="Arial" w:hAnsi="Arial" w:cs="Arial"/>
        </w:rPr>
      </w:pPr>
    </w:p>
    <w:p w:rsidR="009F53FF" w:rsidRDefault="009F53FF" w:rsidP="0026391E">
      <w:pPr>
        <w:spacing w:line="240" w:lineRule="auto"/>
        <w:rPr>
          <w:rFonts w:ascii="Arial" w:hAnsi="Arial" w:cs="Arial"/>
        </w:rPr>
      </w:pPr>
    </w:p>
    <w:p w:rsidR="009F53FF" w:rsidRDefault="009F53FF" w:rsidP="0026391E">
      <w:pPr>
        <w:spacing w:line="240" w:lineRule="auto"/>
        <w:rPr>
          <w:rFonts w:ascii="Arial" w:hAnsi="Arial" w:cs="Arial"/>
        </w:rPr>
      </w:pPr>
    </w:p>
    <w:p w:rsidR="009F53FF" w:rsidRDefault="009F53FF" w:rsidP="0026391E">
      <w:pPr>
        <w:spacing w:line="240" w:lineRule="auto"/>
        <w:rPr>
          <w:rFonts w:ascii="Arial" w:hAnsi="Arial" w:cs="Arial"/>
        </w:rPr>
      </w:pPr>
      <w:r>
        <w:rPr>
          <w:rFonts w:ascii="Arial" w:hAnsi="Arial" w:cs="Arial"/>
          <w:noProof/>
          <w:lang w:eastAsia="en-GB"/>
        </w:rPr>
        <w:lastRenderedPageBreak/>
        <w:drawing>
          <wp:anchor distT="0" distB="0" distL="114300" distR="114300" simplePos="0" relativeHeight="251661824" behindDoc="1" locked="0" layoutInCell="1" allowOverlap="1">
            <wp:simplePos x="0" y="0"/>
            <wp:positionH relativeFrom="column">
              <wp:posOffset>569671</wp:posOffset>
            </wp:positionH>
            <wp:positionV relativeFrom="paragraph">
              <wp:posOffset>6299</wp:posOffset>
            </wp:positionV>
            <wp:extent cx="3877945" cy="3291840"/>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7945" cy="3291840"/>
                    </a:xfrm>
                    <a:prstGeom prst="rect">
                      <a:avLst/>
                    </a:prstGeom>
                    <a:noFill/>
                  </pic:spPr>
                </pic:pic>
              </a:graphicData>
            </a:graphic>
            <wp14:sizeRelH relativeFrom="page">
              <wp14:pctWidth>0</wp14:pctWidth>
            </wp14:sizeRelH>
            <wp14:sizeRelV relativeFrom="page">
              <wp14:pctHeight>0</wp14:pctHeight>
            </wp14:sizeRelV>
          </wp:anchor>
        </w:drawing>
      </w:r>
    </w:p>
    <w:p w:rsidR="009F53FF" w:rsidRDefault="009F53FF" w:rsidP="0026391E">
      <w:pPr>
        <w:spacing w:line="240" w:lineRule="auto"/>
        <w:rPr>
          <w:rFonts w:ascii="Arial" w:hAnsi="Arial" w:cs="Arial"/>
        </w:rPr>
      </w:pPr>
    </w:p>
    <w:p w:rsidR="009F53FF" w:rsidRDefault="009F53FF" w:rsidP="0026391E">
      <w:pPr>
        <w:spacing w:line="240" w:lineRule="auto"/>
        <w:rPr>
          <w:rFonts w:ascii="Arial" w:hAnsi="Arial" w:cs="Arial"/>
        </w:rPr>
      </w:pPr>
    </w:p>
    <w:p w:rsidR="009F53FF" w:rsidRDefault="009F53FF" w:rsidP="0026391E">
      <w:pPr>
        <w:spacing w:line="240" w:lineRule="auto"/>
        <w:rPr>
          <w:rFonts w:ascii="Arial" w:hAnsi="Arial" w:cs="Arial"/>
        </w:rPr>
      </w:pPr>
    </w:p>
    <w:p w:rsidR="009F53FF" w:rsidRDefault="009F53FF" w:rsidP="0026391E">
      <w:pPr>
        <w:spacing w:line="240" w:lineRule="auto"/>
        <w:rPr>
          <w:rFonts w:ascii="Arial" w:hAnsi="Arial" w:cs="Arial"/>
        </w:rPr>
      </w:pPr>
    </w:p>
    <w:p w:rsidR="009F53FF" w:rsidRDefault="009F53FF" w:rsidP="0026391E">
      <w:pPr>
        <w:spacing w:line="240" w:lineRule="auto"/>
        <w:rPr>
          <w:rFonts w:ascii="Arial" w:hAnsi="Arial" w:cs="Arial"/>
        </w:rPr>
      </w:pPr>
    </w:p>
    <w:p w:rsidR="009F53FF" w:rsidRDefault="009F53FF" w:rsidP="0026391E">
      <w:pPr>
        <w:spacing w:line="240" w:lineRule="auto"/>
        <w:rPr>
          <w:rFonts w:ascii="Arial" w:hAnsi="Arial" w:cs="Arial"/>
        </w:rPr>
      </w:pPr>
    </w:p>
    <w:p w:rsidR="009F53FF" w:rsidRDefault="009F53FF" w:rsidP="0026391E">
      <w:pPr>
        <w:spacing w:line="240" w:lineRule="auto"/>
        <w:rPr>
          <w:rFonts w:ascii="Arial" w:hAnsi="Arial" w:cs="Arial"/>
        </w:rPr>
      </w:pPr>
    </w:p>
    <w:p w:rsidR="009F53FF" w:rsidRDefault="009F53FF" w:rsidP="0026391E">
      <w:pPr>
        <w:spacing w:line="240" w:lineRule="auto"/>
        <w:rPr>
          <w:rFonts w:ascii="Arial" w:hAnsi="Arial" w:cs="Arial"/>
        </w:rPr>
      </w:pPr>
    </w:p>
    <w:p w:rsidR="009F53FF" w:rsidRDefault="009F53FF" w:rsidP="0026391E">
      <w:pPr>
        <w:spacing w:line="240" w:lineRule="auto"/>
        <w:rPr>
          <w:rFonts w:ascii="Arial" w:hAnsi="Arial" w:cs="Arial"/>
        </w:rPr>
      </w:pPr>
    </w:p>
    <w:p w:rsidR="009F53FF" w:rsidRDefault="009F53FF" w:rsidP="0026391E">
      <w:pPr>
        <w:spacing w:line="240" w:lineRule="auto"/>
        <w:rPr>
          <w:rFonts w:ascii="Arial" w:hAnsi="Arial" w:cs="Arial"/>
        </w:rPr>
      </w:pPr>
    </w:p>
    <w:p w:rsidR="009F53FF" w:rsidRDefault="009F53FF" w:rsidP="0026391E">
      <w:pPr>
        <w:spacing w:line="240" w:lineRule="auto"/>
        <w:rPr>
          <w:rFonts w:ascii="Arial" w:hAnsi="Arial" w:cs="Arial"/>
        </w:rPr>
      </w:pPr>
    </w:p>
    <w:p w:rsidR="009F53FF" w:rsidRDefault="009F53FF" w:rsidP="0026391E">
      <w:pPr>
        <w:spacing w:line="240" w:lineRule="auto"/>
        <w:rPr>
          <w:rFonts w:ascii="Arial" w:hAnsi="Arial" w:cs="Arial"/>
        </w:rPr>
      </w:pPr>
    </w:p>
    <w:p w:rsidR="009F53FF" w:rsidRDefault="009F53FF" w:rsidP="0026391E">
      <w:pPr>
        <w:spacing w:line="240" w:lineRule="auto"/>
        <w:rPr>
          <w:rFonts w:ascii="Arial" w:hAnsi="Arial" w:cs="Arial"/>
        </w:rPr>
      </w:pPr>
    </w:p>
    <w:p w:rsidR="009F53FF" w:rsidRDefault="009F53FF" w:rsidP="0026391E">
      <w:pPr>
        <w:spacing w:line="240" w:lineRule="auto"/>
        <w:rPr>
          <w:rFonts w:ascii="Arial" w:hAnsi="Arial" w:cs="Arial"/>
        </w:rPr>
      </w:pPr>
    </w:p>
    <w:p w:rsidR="009F53FF" w:rsidRDefault="009F53FF" w:rsidP="0026391E">
      <w:pPr>
        <w:spacing w:line="240" w:lineRule="auto"/>
        <w:rPr>
          <w:rFonts w:ascii="Arial" w:hAnsi="Arial" w:cs="Arial"/>
        </w:rPr>
      </w:pPr>
    </w:p>
    <w:p w:rsidR="009F53FF" w:rsidRDefault="009F53FF" w:rsidP="0026391E">
      <w:pPr>
        <w:spacing w:line="240" w:lineRule="auto"/>
        <w:rPr>
          <w:rFonts w:ascii="Arial" w:hAnsi="Arial" w:cs="Arial"/>
        </w:rPr>
      </w:pPr>
    </w:p>
    <w:p w:rsidR="009F53FF" w:rsidRDefault="009F53FF" w:rsidP="0026391E">
      <w:pPr>
        <w:spacing w:line="240" w:lineRule="auto"/>
        <w:rPr>
          <w:rFonts w:ascii="Arial" w:hAnsi="Arial" w:cs="Arial"/>
        </w:rPr>
      </w:pPr>
    </w:p>
    <w:p w:rsidR="009F53FF" w:rsidRDefault="009F53FF" w:rsidP="0026391E">
      <w:pPr>
        <w:spacing w:line="240" w:lineRule="auto"/>
        <w:rPr>
          <w:rFonts w:ascii="Arial" w:hAnsi="Arial" w:cs="Arial"/>
        </w:rPr>
      </w:pPr>
    </w:p>
    <w:p w:rsidR="009F53FF" w:rsidRDefault="009F53FF" w:rsidP="0026391E">
      <w:pPr>
        <w:spacing w:line="240" w:lineRule="auto"/>
        <w:rPr>
          <w:rFonts w:ascii="Arial" w:hAnsi="Arial" w:cs="Arial"/>
        </w:rPr>
      </w:pPr>
    </w:p>
    <w:p w:rsidR="009F53FF" w:rsidRDefault="009F53FF" w:rsidP="0026391E">
      <w:pPr>
        <w:spacing w:line="240" w:lineRule="auto"/>
        <w:rPr>
          <w:rFonts w:ascii="Arial" w:hAnsi="Arial" w:cs="Arial"/>
        </w:rPr>
      </w:pPr>
    </w:p>
    <w:p w:rsidR="009F53FF" w:rsidRDefault="009F53FF" w:rsidP="0026391E">
      <w:pPr>
        <w:spacing w:line="240" w:lineRule="auto"/>
        <w:rPr>
          <w:rFonts w:ascii="Arial" w:hAnsi="Arial" w:cs="Arial"/>
        </w:rPr>
      </w:pPr>
    </w:p>
    <w:p w:rsidR="009F53FF" w:rsidRDefault="009F53FF" w:rsidP="0026391E">
      <w:pPr>
        <w:spacing w:line="240" w:lineRule="auto"/>
        <w:rPr>
          <w:rFonts w:ascii="Arial" w:hAnsi="Arial" w:cs="Arial"/>
        </w:rPr>
      </w:pPr>
    </w:p>
    <w:p w:rsidR="009F53FF" w:rsidRDefault="009F53FF" w:rsidP="0026391E">
      <w:pPr>
        <w:spacing w:line="240" w:lineRule="auto"/>
        <w:rPr>
          <w:rFonts w:ascii="Arial" w:hAnsi="Arial" w:cs="Arial"/>
        </w:rPr>
      </w:pPr>
    </w:p>
    <w:p w:rsidR="009F53FF" w:rsidRDefault="009F53FF" w:rsidP="0026391E">
      <w:pPr>
        <w:spacing w:line="240" w:lineRule="auto"/>
        <w:rPr>
          <w:rFonts w:ascii="Arial" w:hAnsi="Arial" w:cs="Arial"/>
        </w:rPr>
      </w:pPr>
    </w:p>
    <w:p w:rsidR="009F53FF" w:rsidRDefault="009F53FF" w:rsidP="0026391E">
      <w:pPr>
        <w:spacing w:line="240" w:lineRule="auto"/>
        <w:rPr>
          <w:rFonts w:ascii="Arial" w:hAnsi="Arial" w:cs="Arial"/>
        </w:rPr>
      </w:pPr>
    </w:p>
    <w:p w:rsidR="009F53FF" w:rsidRDefault="009F53FF" w:rsidP="0026391E">
      <w:pPr>
        <w:spacing w:line="240" w:lineRule="auto"/>
        <w:rPr>
          <w:rFonts w:ascii="Arial" w:hAnsi="Arial" w:cs="Arial"/>
        </w:rPr>
      </w:pPr>
    </w:p>
    <w:p w:rsidR="009F53FF" w:rsidRDefault="009F53FF" w:rsidP="0026391E">
      <w:pPr>
        <w:spacing w:line="240" w:lineRule="auto"/>
        <w:rPr>
          <w:rFonts w:ascii="Arial" w:hAnsi="Arial" w:cs="Arial"/>
        </w:rPr>
      </w:pPr>
    </w:p>
    <w:p w:rsidR="009F53FF" w:rsidRDefault="009F53FF" w:rsidP="0026391E">
      <w:pPr>
        <w:spacing w:line="240" w:lineRule="auto"/>
        <w:rPr>
          <w:rFonts w:ascii="Arial" w:hAnsi="Arial" w:cs="Arial"/>
        </w:rPr>
      </w:pPr>
    </w:p>
    <w:p w:rsidR="009F53FF" w:rsidRDefault="009F53FF" w:rsidP="0026391E">
      <w:pPr>
        <w:spacing w:line="240" w:lineRule="auto"/>
        <w:rPr>
          <w:rFonts w:ascii="Arial" w:hAnsi="Arial" w:cs="Arial"/>
        </w:rPr>
      </w:pPr>
    </w:p>
    <w:p w:rsidR="009F53FF" w:rsidRDefault="009F53FF" w:rsidP="0026391E">
      <w:pPr>
        <w:spacing w:line="240" w:lineRule="auto"/>
        <w:rPr>
          <w:rFonts w:ascii="Arial" w:hAnsi="Arial" w:cs="Arial"/>
        </w:rPr>
      </w:pPr>
    </w:p>
    <w:p w:rsidR="009F53FF" w:rsidRPr="0026391E" w:rsidRDefault="009F53FF" w:rsidP="0026391E">
      <w:pPr>
        <w:spacing w:line="240" w:lineRule="auto"/>
        <w:rPr>
          <w:rFonts w:ascii="Arial" w:hAnsi="Arial" w:cs="Arial"/>
        </w:rPr>
      </w:pPr>
      <w:r>
        <w:rPr>
          <w:rFonts w:ascii="Arial" w:hAnsi="Arial" w:cs="Arial"/>
          <w:noProof/>
          <w:lang w:eastAsia="en-GB"/>
        </w:rPr>
        <w:lastRenderedPageBreak/>
        <w:drawing>
          <wp:anchor distT="0" distB="0" distL="114300" distR="114300" simplePos="0" relativeHeight="251666944" behindDoc="1" locked="0" layoutInCell="1" allowOverlap="1">
            <wp:simplePos x="0" y="0"/>
            <wp:positionH relativeFrom="column">
              <wp:posOffset>859841</wp:posOffset>
            </wp:positionH>
            <wp:positionV relativeFrom="paragraph">
              <wp:posOffset>540868</wp:posOffset>
            </wp:positionV>
            <wp:extent cx="4005265" cy="173171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05265" cy="1731717"/>
                    </a:xfrm>
                    <a:prstGeom prst="rect">
                      <a:avLst/>
                    </a:prstGeom>
                    <a:noFill/>
                  </pic:spPr>
                </pic:pic>
              </a:graphicData>
            </a:graphic>
            <wp14:sizeRelH relativeFrom="page">
              <wp14:pctWidth>0</wp14:pctWidth>
            </wp14:sizeRelH>
            <wp14:sizeRelV relativeFrom="page">
              <wp14:pctHeight>0</wp14:pctHeight>
            </wp14:sizeRelV>
          </wp:anchor>
        </w:drawing>
      </w:r>
    </w:p>
    <w:sectPr w:rsidR="009F53FF" w:rsidRPr="0026391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E70" w:rsidRDefault="00512E70" w:rsidP="00D1533F">
      <w:pPr>
        <w:spacing w:after="0" w:line="240" w:lineRule="auto"/>
      </w:pPr>
      <w:r>
        <w:separator/>
      </w:r>
    </w:p>
  </w:endnote>
  <w:endnote w:type="continuationSeparator" w:id="0">
    <w:p w:rsidR="00512E70" w:rsidRDefault="00512E70" w:rsidP="00D15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236067"/>
      <w:docPartObj>
        <w:docPartGallery w:val="Page Numbers (Bottom of Page)"/>
        <w:docPartUnique/>
      </w:docPartObj>
    </w:sdtPr>
    <w:sdtEndPr>
      <w:rPr>
        <w:noProof/>
      </w:rPr>
    </w:sdtEndPr>
    <w:sdtContent>
      <w:p w:rsidR="00512E70" w:rsidRDefault="00512E70">
        <w:pPr>
          <w:pStyle w:val="Footer"/>
          <w:jc w:val="right"/>
        </w:pPr>
        <w:r>
          <w:fldChar w:fldCharType="begin"/>
        </w:r>
        <w:r>
          <w:instrText xml:space="preserve"> PAGE   \* MERGEFORMAT </w:instrText>
        </w:r>
        <w:r>
          <w:fldChar w:fldCharType="separate"/>
        </w:r>
        <w:r w:rsidR="00200B21">
          <w:rPr>
            <w:noProof/>
          </w:rPr>
          <w:t>1</w:t>
        </w:r>
        <w:r>
          <w:rPr>
            <w:noProof/>
          </w:rPr>
          <w:fldChar w:fldCharType="end"/>
        </w:r>
      </w:p>
    </w:sdtContent>
  </w:sdt>
  <w:p w:rsidR="00512E70" w:rsidRDefault="00512E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E70" w:rsidRDefault="00512E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E70" w:rsidRDefault="00512E70" w:rsidP="00D1533F">
      <w:pPr>
        <w:spacing w:after="0" w:line="240" w:lineRule="auto"/>
      </w:pPr>
      <w:r>
        <w:separator/>
      </w:r>
    </w:p>
  </w:footnote>
  <w:footnote w:type="continuationSeparator" w:id="0">
    <w:p w:rsidR="00512E70" w:rsidRDefault="00512E70" w:rsidP="00D153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141C7"/>
    <w:multiLevelType w:val="hybridMultilevel"/>
    <w:tmpl w:val="4E14D87A"/>
    <w:lvl w:ilvl="0" w:tplc="A1A81CC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04068A5"/>
    <w:multiLevelType w:val="hybridMultilevel"/>
    <w:tmpl w:val="CBB801F2"/>
    <w:lvl w:ilvl="0" w:tplc="7F7C5BF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67673B"/>
    <w:multiLevelType w:val="hybridMultilevel"/>
    <w:tmpl w:val="030406BC"/>
    <w:lvl w:ilvl="0" w:tplc="DDA0DC04">
      <w:start w:val="1"/>
      <w:numFmt w:val="upperLetter"/>
      <w:lvlText w:val="(%1)"/>
      <w:lvlJc w:val="left"/>
      <w:pPr>
        <w:ind w:left="720" w:hanging="42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BAA"/>
    <w:rsid w:val="00010453"/>
    <w:rsid w:val="00013F34"/>
    <w:rsid w:val="0001693B"/>
    <w:rsid w:val="000228B6"/>
    <w:rsid w:val="00043CFF"/>
    <w:rsid w:val="000571BC"/>
    <w:rsid w:val="000646D1"/>
    <w:rsid w:val="000662A2"/>
    <w:rsid w:val="00072095"/>
    <w:rsid w:val="00082936"/>
    <w:rsid w:val="00085EAF"/>
    <w:rsid w:val="00092F62"/>
    <w:rsid w:val="000B448D"/>
    <w:rsid w:val="000F53BF"/>
    <w:rsid w:val="0012153E"/>
    <w:rsid w:val="0013003F"/>
    <w:rsid w:val="001367FD"/>
    <w:rsid w:val="001418A8"/>
    <w:rsid w:val="001534A4"/>
    <w:rsid w:val="0018271C"/>
    <w:rsid w:val="00184015"/>
    <w:rsid w:val="001C2BFC"/>
    <w:rsid w:val="001D4AB1"/>
    <w:rsid w:val="00200B21"/>
    <w:rsid w:val="00234D6C"/>
    <w:rsid w:val="00254B73"/>
    <w:rsid w:val="00257F5E"/>
    <w:rsid w:val="0026391E"/>
    <w:rsid w:val="00263E47"/>
    <w:rsid w:val="002678D8"/>
    <w:rsid w:val="00272D36"/>
    <w:rsid w:val="00274F9D"/>
    <w:rsid w:val="00283141"/>
    <w:rsid w:val="002861C8"/>
    <w:rsid w:val="002A1CCD"/>
    <w:rsid w:val="002C362A"/>
    <w:rsid w:val="002C5EC5"/>
    <w:rsid w:val="002D44AE"/>
    <w:rsid w:val="002E67D1"/>
    <w:rsid w:val="00315DBE"/>
    <w:rsid w:val="003206C4"/>
    <w:rsid w:val="00327DC6"/>
    <w:rsid w:val="00336738"/>
    <w:rsid w:val="00340F64"/>
    <w:rsid w:val="00346558"/>
    <w:rsid w:val="003513FF"/>
    <w:rsid w:val="003524D2"/>
    <w:rsid w:val="003526B8"/>
    <w:rsid w:val="00356824"/>
    <w:rsid w:val="00376E44"/>
    <w:rsid w:val="003C1FB3"/>
    <w:rsid w:val="003D29FF"/>
    <w:rsid w:val="003D6216"/>
    <w:rsid w:val="003E383F"/>
    <w:rsid w:val="00406B49"/>
    <w:rsid w:val="00407016"/>
    <w:rsid w:val="004214C3"/>
    <w:rsid w:val="00430DE7"/>
    <w:rsid w:val="00452C21"/>
    <w:rsid w:val="00475C09"/>
    <w:rsid w:val="0048720F"/>
    <w:rsid w:val="004A55B3"/>
    <w:rsid w:val="004B2F81"/>
    <w:rsid w:val="004E3B7E"/>
    <w:rsid w:val="004E7653"/>
    <w:rsid w:val="004F3CE2"/>
    <w:rsid w:val="005001F4"/>
    <w:rsid w:val="00512E70"/>
    <w:rsid w:val="0051302F"/>
    <w:rsid w:val="005271A4"/>
    <w:rsid w:val="00547807"/>
    <w:rsid w:val="005500C5"/>
    <w:rsid w:val="00574E7C"/>
    <w:rsid w:val="00595CCA"/>
    <w:rsid w:val="005A7124"/>
    <w:rsid w:val="005D5B1F"/>
    <w:rsid w:val="005E242F"/>
    <w:rsid w:val="005E64E7"/>
    <w:rsid w:val="005E6588"/>
    <w:rsid w:val="005F1E44"/>
    <w:rsid w:val="005F3990"/>
    <w:rsid w:val="00604B63"/>
    <w:rsid w:val="00612C64"/>
    <w:rsid w:val="006325D7"/>
    <w:rsid w:val="00651FD7"/>
    <w:rsid w:val="006578F6"/>
    <w:rsid w:val="006612FF"/>
    <w:rsid w:val="00661E9F"/>
    <w:rsid w:val="006868B6"/>
    <w:rsid w:val="00690CC1"/>
    <w:rsid w:val="006C3568"/>
    <w:rsid w:val="006D6779"/>
    <w:rsid w:val="006E7EFE"/>
    <w:rsid w:val="006F2A85"/>
    <w:rsid w:val="00715D7A"/>
    <w:rsid w:val="0072769E"/>
    <w:rsid w:val="00731D5D"/>
    <w:rsid w:val="007328BD"/>
    <w:rsid w:val="00742AD0"/>
    <w:rsid w:val="007469A0"/>
    <w:rsid w:val="007518FC"/>
    <w:rsid w:val="00754D35"/>
    <w:rsid w:val="00760678"/>
    <w:rsid w:val="007745D0"/>
    <w:rsid w:val="0077568E"/>
    <w:rsid w:val="00776019"/>
    <w:rsid w:val="00784D27"/>
    <w:rsid w:val="00785210"/>
    <w:rsid w:val="007949F8"/>
    <w:rsid w:val="00796136"/>
    <w:rsid w:val="00797D12"/>
    <w:rsid w:val="007B046A"/>
    <w:rsid w:val="007B0F7F"/>
    <w:rsid w:val="007B73A7"/>
    <w:rsid w:val="007B796F"/>
    <w:rsid w:val="007C42D4"/>
    <w:rsid w:val="007D26BA"/>
    <w:rsid w:val="007D452F"/>
    <w:rsid w:val="007F19F3"/>
    <w:rsid w:val="008017C9"/>
    <w:rsid w:val="008032C5"/>
    <w:rsid w:val="0081125E"/>
    <w:rsid w:val="008133F1"/>
    <w:rsid w:val="00816D76"/>
    <w:rsid w:val="008437F8"/>
    <w:rsid w:val="00845606"/>
    <w:rsid w:val="008542E8"/>
    <w:rsid w:val="008616F8"/>
    <w:rsid w:val="00862CF0"/>
    <w:rsid w:val="008B335F"/>
    <w:rsid w:val="008B72F2"/>
    <w:rsid w:val="008C34FA"/>
    <w:rsid w:val="008E4577"/>
    <w:rsid w:val="008E5C2D"/>
    <w:rsid w:val="00901466"/>
    <w:rsid w:val="00923812"/>
    <w:rsid w:val="00926A70"/>
    <w:rsid w:val="00965B4F"/>
    <w:rsid w:val="00970A2B"/>
    <w:rsid w:val="009834E6"/>
    <w:rsid w:val="009927A6"/>
    <w:rsid w:val="009A2D5B"/>
    <w:rsid w:val="009F53FF"/>
    <w:rsid w:val="009F6620"/>
    <w:rsid w:val="00A05ADC"/>
    <w:rsid w:val="00A11481"/>
    <w:rsid w:val="00A14711"/>
    <w:rsid w:val="00A309DA"/>
    <w:rsid w:val="00A47D16"/>
    <w:rsid w:val="00A47E76"/>
    <w:rsid w:val="00A50AC4"/>
    <w:rsid w:val="00A528F4"/>
    <w:rsid w:val="00A54BFC"/>
    <w:rsid w:val="00A5525C"/>
    <w:rsid w:val="00A57DFB"/>
    <w:rsid w:val="00A61C63"/>
    <w:rsid w:val="00A67ECB"/>
    <w:rsid w:val="00A82B91"/>
    <w:rsid w:val="00A937AE"/>
    <w:rsid w:val="00AA1472"/>
    <w:rsid w:val="00AA422C"/>
    <w:rsid w:val="00AB0B10"/>
    <w:rsid w:val="00AB720E"/>
    <w:rsid w:val="00AC0CF9"/>
    <w:rsid w:val="00AC4D29"/>
    <w:rsid w:val="00AC5331"/>
    <w:rsid w:val="00AD2471"/>
    <w:rsid w:val="00AE7251"/>
    <w:rsid w:val="00AF4259"/>
    <w:rsid w:val="00AF6435"/>
    <w:rsid w:val="00AF7439"/>
    <w:rsid w:val="00B0525E"/>
    <w:rsid w:val="00B052A1"/>
    <w:rsid w:val="00B075A3"/>
    <w:rsid w:val="00B129FF"/>
    <w:rsid w:val="00B16855"/>
    <w:rsid w:val="00B331C1"/>
    <w:rsid w:val="00B50D05"/>
    <w:rsid w:val="00B52469"/>
    <w:rsid w:val="00B56E59"/>
    <w:rsid w:val="00B730C8"/>
    <w:rsid w:val="00B81DB7"/>
    <w:rsid w:val="00B864E2"/>
    <w:rsid w:val="00B86F97"/>
    <w:rsid w:val="00BA49B6"/>
    <w:rsid w:val="00BB049C"/>
    <w:rsid w:val="00BC3627"/>
    <w:rsid w:val="00BC5CCA"/>
    <w:rsid w:val="00BF76D6"/>
    <w:rsid w:val="00C0004B"/>
    <w:rsid w:val="00C13F4E"/>
    <w:rsid w:val="00C30C41"/>
    <w:rsid w:val="00C4320E"/>
    <w:rsid w:val="00C501E1"/>
    <w:rsid w:val="00C70FAA"/>
    <w:rsid w:val="00C74523"/>
    <w:rsid w:val="00C763E9"/>
    <w:rsid w:val="00C87BF7"/>
    <w:rsid w:val="00CA099E"/>
    <w:rsid w:val="00CB17DD"/>
    <w:rsid w:val="00CB5427"/>
    <w:rsid w:val="00CB582C"/>
    <w:rsid w:val="00CF21DF"/>
    <w:rsid w:val="00CF2506"/>
    <w:rsid w:val="00CF3696"/>
    <w:rsid w:val="00CF5E26"/>
    <w:rsid w:val="00CF66D8"/>
    <w:rsid w:val="00D05487"/>
    <w:rsid w:val="00D13D67"/>
    <w:rsid w:val="00D13EC6"/>
    <w:rsid w:val="00D1533F"/>
    <w:rsid w:val="00D27953"/>
    <w:rsid w:val="00D36F19"/>
    <w:rsid w:val="00D43283"/>
    <w:rsid w:val="00D43C81"/>
    <w:rsid w:val="00D561DB"/>
    <w:rsid w:val="00D74D53"/>
    <w:rsid w:val="00D96846"/>
    <w:rsid w:val="00D976EE"/>
    <w:rsid w:val="00DC77AC"/>
    <w:rsid w:val="00DD1810"/>
    <w:rsid w:val="00DE2965"/>
    <w:rsid w:val="00DF0611"/>
    <w:rsid w:val="00E06B9C"/>
    <w:rsid w:val="00E07BAA"/>
    <w:rsid w:val="00E1256E"/>
    <w:rsid w:val="00E2646B"/>
    <w:rsid w:val="00E74DAF"/>
    <w:rsid w:val="00E8750B"/>
    <w:rsid w:val="00E91B68"/>
    <w:rsid w:val="00EA5B9C"/>
    <w:rsid w:val="00ED0DFB"/>
    <w:rsid w:val="00ED3DC3"/>
    <w:rsid w:val="00EE07DE"/>
    <w:rsid w:val="00EE354C"/>
    <w:rsid w:val="00F07CCF"/>
    <w:rsid w:val="00F15932"/>
    <w:rsid w:val="00F31A15"/>
    <w:rsid w:val="00F71503"/>
    <w:rsid w:val="00F71726"/>
    <w:rsid w:val="00FA1673"/>
    <w:rsid w:val="00FA487D"/>
    <w:rsid w:val="00FB2FE8"/>
    <w:rsid w:val="00FC6D50"/>
    <w:rsid w:val="00FD0142"/>
    <w:rsid w:val="00FD5D39"/>
    <w:rsid w:val="00FE347D"/>
    <w:rsid w:val="00FE36CA"/>
    <w:rsid w:val="00FE5B41"/>
    <w:rsid w:val="00FF5BC7"/>
    <w:rsid w:val="00FF6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8E627"/>
  <w15:docId w15:val="{3F97E73A-916E-4A0A-A857-5B99566AD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50A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AC4"/>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AC5331"/>
    <w:rPr>
      <w:color w:val="0000FF" w:themeColor="hyperlink"/>
      <w:u w:val="single"/>
    </w:rPr>
  </w:style>
  <w:style w:type="paragraph" w:styleId="BalloonText">
    <w:name w:val="Balloon Text"/>
    <w:basedOn w:val="Normal"/>
    <w:link w:val="BalloonTextChar"/>
    <w:uiPriority w:val="99"/>
    <w:semiHidden/>
    <w:unhideWhenUsed/>
    <w:rsid w:val="00346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558"/>
    <w:rPr>
      <w:rFonts w:ascii="Tahoma" w:hAnsi="Tahoma" w:cs="Tahoma"/>
      <w:sz w:val="16"/>
      <w:szCs w:val="16"/>
    </w:rPr>
  </w:style>
  <w:style w:type="character" w:customStyle="1" w:styleId="cit">
    <w:name w:val="cit"/>
    <w:basedOn w:val="DefaultParagraphFont"/>
    <w:rsid w:val="00845606"/>
  </w:style>
  <w:style w:type="character" w:customStyle="1" w:styleId="fm-vol-iss-date">
    <w:name w:val="fm-vol-iss-date"/>
    <w:basedOn w:val="DefaultParagraphFont"/>
    <w:rsid w:val="00845606"/>
  </w:style>
  <w:style w:type="character" w:customStyle="1" w:styleId="doi">
    <w:name w:val="doi"/>
    <w:basedOn w:val="DefaultParagraphFont"/>
    <w:rsid w:val="00845606"/>
  </w:style>
  <w:style w:type="character" w:customStyle="1" w:styleId="fm-citation-ids-label">
    <w:name w:val="fm-citation-ids-label"/>
    <w:basedOn w:val="DefaultParagraphFont"/>
    <w:rsid w:val="00845606"/>
  </w:style>
  <w:style w:type="paragraph" w:styleId="ListParagraph">
    <w:name w:val="List Paragraph"/>
    <w:basedOn w:val="Normal"/>
    <w:uiPriority w:val="34"/>
    <w:qFormat/>
    <w:rsid w:val="00612C64"/>
    <w:pPr>
      <w:ind w:left="720"/>
      <w:contextualSpacing/>
    </w:pPr>
  </w:style>
  <w:style w:type="paragraph" w:styleId="NormalWeb">
    <w:name w:val="Normal (Web)"/>
    <w:basedOn w:val="Normal"/>
    <w:uiPriority w:val="99"/>
    <w:semiHidden/>
    <w:unhideWhenUsed/>
    <w:rsid w:val="00D43C81"/>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D153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33F"/>
  </w:style>
  <w:style w:type="paragraph" w:styleId="Footer">
    <w:name w:val="footer"/>
    <w:basedOn w:val="Normal"/>
    <w:link w:val="FooterChar"/>
    <w:uiPriority w:val="99"/>
    <w:unhideWhenUsed/>
    <w:rsid w:val="00D153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958312">
      <w:bodyDiv w:val="1"/>
      <w:marLeft w:val="0"/>
      <w:marRight w:val="0"/>
      <w:marTop w:val="0"/>
      <w:marBottom w:val="0"/>
      <w:divBdr>
        <w:top w:val="none" w:sz="0" w:space="0" w:color="auto"/>
        <w:left w:val="none" w:sz="0" w:space="0" w:color="auto"/>
        <w:bottom w:val="none" w:sz="0" w:space="0" w:color="auto"/>
        <w:right w:val="none" w:sz="0" w:space="0" w:color="auto"/>
      </w:divBdr>
      <w:divsChild>
        <w:div w:id="1926843725">
          <w:marLeft w:val="0"/>
          <w:marRight w:val="0"/>
          <w:marTop w:val="166"/>
          <w:marBottom w:val="166"/>
          <w:divBdr>
            <w:top w:val="none" w:sz="0" w:space="0" w:color="auto"/>
            <w:left w:val="none" w:sz="0" w:space="0" w:color="auto"/>
            <w:bottom w:val="none" w:sz="0" w:space="0" w:color="auto"/>
            <w:right w:val="none" w:sz="0" w:space="0" w:color="auto"/>
          </w:divBdr>
          <w:divsChild>
            <w:div w:id="183344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92535">
      <w:bodyDiv w:val="1"/>
      <w:marLeft w:val="0"/>
      <w:marRight w:val="0"/>
      <w:marTop w:val="0"/>
      <w:marBottom w:val="0"/>
      <w:divBdr>
        <w:top w:val="none" w:sz="0" w:space="0" w:color="auto"/>
        <w:left w:val="none" w:sz="0" w:space="0" w:color="auto"/>
        <w:bottom w:val="none" w:sz="0" w:space="0" w:color="auto"/>
        <w:right w:val="none" w:sz="0" w:space="0" w:color="auto"/>
      </w:divBdr>
      <w:divsChild>
        <w:div w:id="1908413327">
          <w:marLeft w:val="0"/>
          <w:marRight w:val="0"/>
          <w:marTop w:val="120"/>
          <w:marBottom w:val="0"/>
          <w:divBdr>
            <w:top w:val="none" w:sz="0" w:space="0" w:color="auto"/>
            <w:left w:val="none" w:sz="0" w:space="0" w:color="auto"/>
            <w:bottom w:val="none" w:sz="0" w:space="0" w:color="auto"/>
            <w:right w:val="none" w:sz="0" w:space="0" w:color="auto"/>
          </w:divBdr>
        </w:div>
        <w:div w:id="1341469553">
          <w:marLeft w:val="0"/>
          <w:marRight w:val="0"/>
          <w:marTop w:val="120"/>
          <w:marBottom w:val="0"/>
          <w:divBdr>
            <w:top w:val="none" w:sz="0" w:space="0" w:color="auto"/>
            <w:left w:val="none" w:sz="0" w:space="0" w:color="auto"/>
            <w:bottom w:val="none" w:sz="0" w:space="0" w:color="auto"/>
            <w:right w:val="none" w:sz="0" w:space="0" w:color="auto"/>
          </w:divBdr>
        </w:div>
      </w:divsChild>
    </w:div>
    <w:div w:id="782772777">
      <w:bodyDiv w:val="1"/>
      <w:marLeft w:val="0"/>
      <w:marRight w:val="0"/>
      <w:marTop w:val="0"/>
      <w:marBottom w:val="0"/>
      <w:divBdr>
        <w:top w:val="none" w:sz="0" w:space="0" w:color="auto"/>
        <w:left w:val="none" w:sz="0" w:space="0" w:color="auto"/>
        <w:bottom w:val="none" w:sz="0" w:space="0" w:color="auto"/>
        <w:right w:val="none" w:sz="0" w:space="0" w:color="auto"/>
      </w:divBdr>
    </w:div>
    <w:div w:id="1084297215">
      <w:bodyDiv w:val="1"/>
      <w:marLeft w:val="0"/>
      <w:marRight w:val="0"/>
      <w:marTop w:val="0"/>
      <w:marBottom w:val="0"/>
      <w:divBdr>
        <w:top w:val="none" w:sz="0" w:space="0" w:color="auto"/>
        <w:left w:val="none" w:sz="0" w:space="0" w:color="auto"/>
        <w:bottom w:val="none" w:sz="0" w:space="0" w:color="auto"/>
        <w:right w:val="none" w:sz="0" w:space="0" w:color="auto"/>
      </w:divBdr>
      <w:divsChild>
        <w:div w:id="1762750992">
          <w:marLeft w:val="0"/>
          <w:marRight w:val="0"/>
          <w:marTop w:val="0"/>
          <w:marBottom w:val="166"/>
          <w:divBdr>
            <w:top w:val="none" w:sz="0" w:space="0" w:color="auto"/>
            <w:left w:val="none" w:sz="0" w:space="0" w:color="auto"/>
            <w:bottom w:val="none" w:sz="0" w:space="0" w:color="auto"/>
            <w:right w:val="none" w:sz="0" w:space="0" w:color="auto"/>
          </w:divBdr>
          <w:divsChild>
            <w:div w:id="1229724973">
              <w:marLeft w:val="0"/>
              <w:marRight w:val="0"/>
              <w:marTop w:val="0"/>
              <w:marBottom w:val="0"/>
              <w:divBdr>
                <w:top w:val="none" w:sz="0" w:space="0" w:color="auto"/>
                <w:left w:val="none" w:sz="0" w:space="0" w:color="auto"/>
                <w:bottom w:val="none" w:sz="0" w:space="0" w:color="auto"/>
                <w:right w:val="none" w:sz="0" w:space="0" w:color="auto"/>
              </w:divBdr>
              <w:divsChild>
                <w:div w:id="1631865902">
                  <w:marLeft w:val="0"/>
                  <w:marRight w:val="0"/>
                  <w:marTop w:val="0"/>
                  <w:marBottom w:val="0"/>
                  <w:divBdr>
                    <w:top w:val="none" w:sz="0" w:space="0" w:color="auto"/>
                    <w:left w:val="none" w:sz="0" w:space="0" w:color="auto"/>
                    <w:bottom w:val="none" w:sz="0" w:space="0" w:color="auto"/>
                    <w:right w:val="none" w:sz="0" w:space="0" w:color="auto"/>
                  </w:divBdr>
                  <w:divsChild>
                    <w:div w:id="1595817850">
                      <w:marLeft w:val="0"/>
                      <w:marRight w:val="0"/>
                      <w:marTop w:val="0"/>
                      <w:marBottom w:val="0"/>
                      <w:divBdr>
                        <w:top w:val="none" w:sz="0" w:space="0" w:color="auto"/>
                        <w:left w:val="none" w:sz="0" w:space="0" w:color="auto"/>
                        <w:bottom w:val="none" w:sz="0" w:space="0" w:color="auto"/>
                        <w:right w:val="none" w:sz="0" w:space="0" w:color="auto"/>
                      </w:divBdr>
                    </w:div>
                    <w:div w:id="933249828">
                      <w:marLeft w:val="0"/>
                      <w:marRight w:val="0"/>
                      <w:marTop w:val="0"/>
                      <w:marBottom w:val="0"/>
                      <w:divBdr>
                        <w:top w:val="none" w:sz="0" w:space="0" w:color="auto"/>
                        <w:left w:val="none" w:sz="0" w:space="0" w:color="auto"/>
                        <w:bottom w:val="none" w:sz="0" w:space="0" w:color="auto"/>
                        <w:right w:val="none" w:sz="0" w:space="0" w:color="auto"/>
                      </w:divBdr>
                    </w:div>
                    <w:div w:id="820580756">
                      <w:marLeft w:val="240"/>
                      <w:marRight w:val="0"/>
                      <w:marTop w:val="0"/>
                      <w:marBottom w:val="0"/>
                      <w:divBdr>
                        <w:top w:val="none" w:sz="0" w:space="0" w:color="auto"/>
                        <w:left w:val="none" w:sz="0" w:space="0" w:color="auto"/>
                        <w:bottom w:val="none" w:sz="0" w:space="0" w:color="auto"/>
                        <w:right w:val="none" w:sz="0" w:space="0" w:color="auto"/>
                      </w:divBdr>
                      <w:divsChild>
                        <w:div w:id="159188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54568">
                  <w:marLeft w:val="0"/>
                  <w:marRight w:val="0"/>
                  <w:marTop w:val="0"/>
                  <w:marBottom w:val="0"/>
                  <w:divBdr>
                    <w:top w:val="none" w:sz="0" w:space="0" w:color="auto"/>
                    <w:left w:val="none" w:sz="0" w:space="0" w:color="auto"/>
                    <w:bottom w:val="none" w:sz="0" w:space="0" w:color="auto"/>
                    <w:right w:val="none" w:sz="0" w:space="0" w:color="auto"/>
                  </w:divBdr>
                  <w:divsChild>
                    <w:div w:id="813713634">
                      <w:marLeft w:val="0"/>
                      <w:marRight w:val="0"/>
                      <w:marTop w:val="0"/>
                      <w:marBottom w:val="0"/>
                      <w:divBdr>
                        <w:top w:val="none" w:sz="0" w:space="0" w:color="auto"/>
                        <w:left w:val="none" w:sz="0" w:space="0" w:color="auto"/>
                        <w:bottom w:val="none" w:sz="0" w:space="0" w:color="auto"/>
                        <w:right w:val="none" w:sz="0" w:space="0" w:color="auto"/>
                      </w:divBdr>
                    </w:div>
                    <w:div w:id="468599348">
                      <w:marLeft w:val="0"/>
                      <w:marRight w:val="0"/>
                      <w:marTop w:val="0"/>
                      <w:marBottom w:val="0"/>
                      <w:divBdr>
                        <w:top w:val="none" w:sz="0" w:space="0" w:color="auto"/>
                        <w:left w:val="none" w:sz="0" w:space="0" w:color="auto"/>
                        <w:bottom w:val="none" w:sz="0" w:space="0" w:color="auto"/>
                        <w:right w:val="none" w:sz="0" w:space="0" w:color="auto"/>
                      </w:divBdr>
                    </w:div>
                    <w:div w:id="17466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85271">
          <w:marLeft w:val="0"/>
          <w:marRight w:val="0"/>
          <w:marTop w:val="166"/>
          <w:marBottom w:val="166"/>
          <w:divBdr>
            <w:top w:val="none" w:sz="0" w:space="0" w:color="auto"/>
            <w:left w:val="none" w:sz="0" w:space="0" w:color="auto"/>
            <w:bottom w:val="none" w:sz="0" w:space="0" w:color="auto"/>
            <w:right w:val="none" w:sz="0" w:space="0" w:color="auto"/>
          </w:divBdr>
          <w:divsChild>
            <w:div w:id="55050729">
              <w:marLeft w:val="0"/>
              <w:marRight w:val="0"/>
              <w:marTop w:val="0"/>
              <w:marBottom w:val="0"/>
              <w:divBdr>
                <w:top w:val="none" w:sz="0" w:space="0" w:color="auto"/>
                <w:left w:val="none" w:sz="0" w:space="0" w:color="auto"/>
                <w:bottom w:val="none" w:sz="0" w:space="0" w:color="auto"/>
                <w:right w:val="none" w:sz="0" w:space="0" w:color="auto"/>
              </w:divBdr>
            </w:div>
          </w:divsChild>
        </w:div>
        <w:div w:id="1519081106">
          <w:marLeft w:val="0"/>
          <w:marRight w:val="0"/>
          <w:marTop w:val="166"/>
          <w:marBottom w:val="166"/>
          <w:divBdr>
            <w:top w:val="none" w:sz="0" w:space="0" w:color="auto"/>
            <w:left w:val="none" w:sz="0" w:space="0" w:color="auto"/>
            <w:bottom w:val="none" w:sz="0" w:space="0" w:color="auto"/>
            <w:right w:val="none" w:sz="0" w:space="0" w:color="auto"/>
          </w:divBdr>
          <w:divsChild>
            <w:div w:id="98003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5988">
      <w:bodyDiv w:val="1"/>
      <w:marLeft w:val="0"/>
      <w:marRight w:val="0"/>
      <w:marTop w:val="0"/>
      <w:marBottom w:val="0"/>
      <w:divBdr>
        <w:top w:val="none" w:sz="0" w:space="0" w:color="auto"/>
        <w:left w:val="none" w:sz="0" w:space="0" w:color="auto"/>
        <w:bottom w:val="none" w:sz="0" w:space="0" w:color="auto"/>
        <w:right w:val="none" w:sz="0" w:space="0" w:color="auto"/>
      </w:divBdr>
    </w:div>
    <w:div w:id="1700472670">
      <w:bodyDiv w:val="1"/>
      <w:marLeft w:val="0"/>
      <w:marRight w:val="0"/>
      <w:marTop w:val="0"/>
      <w:marBottom w:val="0"/>
      <w:divBdr>
        <w:top w:val="none" w:sz="0" w:space="0" w:color="auto"/>
        <w:left w:val="none" w:sz="0" w:space="0" w:color="auto"/>
        <w:bottom w:val="none" w:sz="0" w:space="0" w:color="auto"/>
        <w:right w:val="none" w:sz="0" w:space="0" w:color="auto"/>
      </w:divBdr>
    </w:div>
    <w:div w:id="1831209990">
      <w:bodyDiv w:val="1"/>
      <w:marLeft w:val="0"/>
      <w:marRight w:val="0"/>
      <w:marTop w:val="0"/>
      <w:marBottom w:val="0"/>
      <w:divBdr>
        <w:top w:val="none" w:sz="0" w:space="0" w:color="auto"/>
        <w:left w:val="none" w:sz="0" w:space="0" w:color="auto"/>
        <w:bottom w:val="none" w:sz="0" w:space="0" w:color="auto"/>
        <w:right w:val="none" w:sz="0" w:space="0" w:color="auto"/>
      </w:divBdr>
      <w:divsChild>
        <w:div w:id="2051611289">
          <w:marLeft w:val="0"/>
          <w:marRight w:val="0"/>
          <w:marTop w:val="166"/>
          <w:marBottom w:val="166"/>
          <w:divBdr>
            <w:top w:val="none" w:sz="0" w:space="0" w:color="auto"/>
            <w:left w:val="none" w:sz="0" w:space="0" w:color="auto"/>
            <w:bottom w:val="none" w:sz="0" w:space="0" w:color="auto"/>
            <w:right w:val="none" w:sz="0" w:space="0" w:color="auto"/>
          </w:divBdr>
          <w:divsChild>
            <w:div w:id="163787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69F65-529E-4EFE-886A-01C34F238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1A1FDF8D</Template>
  <TotalTime>7533</TotalTime>
  <Pages>19</Pages>
  <Words>4505</Words>
  <Characters>25680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30125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KeeleUni</dc:creator>
  <cp:lastModifiedBy>David Watson</cp:lastModifiedBy>
  <cp:revision>162</cp:revision>
  <dcterms:created xsi:type="dcterms:W3CDTF">2018-02-13T08:45:00Z</dcterms:created>
  <dcterms:modified xsi:type="dcterms:W3CDTF">2019-10-04T07:44:00Z</dcterms:modified>
</cp:coreProperties>
</file>