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9D" w:rsidRPr="00033E6F" w:rsidRDefault="00737D8C" w:rsidP="00907282">
      <w:pPr>
        <w:pStyle w:val="Body"/>
        <w:spacing w:after="0" w:line="480" w:lineRule="auto"/>
        <w:jc w:val="both"/>
        <w:rPr>
          <w:rFonts w:ascii="Times New Roman" w:eastAsia="Times New Roman" w:hAnsi="Times New Roman" w:cs="Times New Roman"/>
          <w:b/>
          <w:bCs/>
          <w:sz w:val="24"/>
          <w:szCs w:val="24"/>
        </w:rPr>
      </w:pPr>
      <w:r w:rsidRPr="00033E6F">
        <w:rPr>
          <w:rFonts w:ascii="Times New Roman" w:hAnsi="Times New Roman"/>
          <w:b/>
          <w:bCs/>
          <w:sz w:val="24"/>
          <w:szCs w:val="24"/>
        </w:rPr>
        <w:t xml:space="preserve">Comparison of </w:t>
      </w:r>
      <w:r w:rsidR="00733A9D" w:rsidRPr="00033E6F">
        <w:rPr>
          <w:rFonts w:ascii="Times New Roman" w:hAnsi="Times New Roman"/>
          <w:b/>
          <w:bCs/>
          <w:sz w:val="24"/>
          <w:szCs w:val="24"/>
        </w:rPr>
        <w:t>30-day Unplanned Readmissions to the Index Versus Non-Index Hospital After Percutaneous Coronary I</w:t>
      </w:r>
      <w:r w:rsidR="0039339D" w:rsidRPr="00033E6F">
        <w:rPr>
          <w:rFonts w:ascii="Times New Roman" w:hAnsi="Times New Roman"/>
          <w:b/>
          <w:bCs/>
          <w:sz w:val="24"/>
          <w:szCs w:val="24"/>
        </w:rPr>
        <w:t>ntervention</w:t>
      </w:r>
    </w:p>
    <w:p w:rsidR="0039339D" w:rsidRPr="00033E6F" w:rsidRDefault="0039339D" w:rsidP="00907282">
      <w:pPr>
        <w:pStyle w:val="Body"/>
        <w:spacing w:after="0" w:line="480" w:lineRule="auto"/>
        <w:jc w:val="both"/>
        <w:rPr>
          <w:rFonts w:ascii="Times New Roman" w:eastAsia="Times New Roman" w:hAnsi="Times New Roman" w:cs="Times New Roman"/>
          <w:sz w:val="24"/>
          <w:szCs w:val="24"/>
        </w:rPr>
      </w:pPr>
      <w:r w:rsidRPr="00033E6F">
        <w:rPr>
          <w:rFonts w:ascii="Times New Roman" w:hAnsi="Times New Roman"/>
          <w:sz w:val="24"/>
          <w:szCs w:val="24"/>
        </w:rPr>
        <w:t>Running title: Index and non-index readmissions after PCI</w:t>
      </w:r>
    </w:p>
    <w:p w:rsidR="0039339D" w:rsidRPr="00033E6F" w:rsidRDefault="0039339D" w:rsidP="00907282">
      <w:pPr>
        <w:pStyle w:val="Body"/>
        <w:spacing w:after="0" w:line="480" w:lineRule="auto"/>
        <w:jc w:val="both"/>
        <w:rPr>
          <w:rFonts w:ascii="Times New Roman" w:eastAsia="Times New Roman" w:hAnsi="Times New Roman" w:cs="Times New Roman"/>
          <w:sz w:val="24"/>
          <w:szCs w:val="24"/>
        </w:rPr>
      </w:pPr>
      <w:r w:rsidRPr="00033E6F">
        <w:rPr>
          <w:rFonts w:ascii="Times New Roman" w:hAnsi="Times New Roman"/>
          <w:sz w:val="24"/>
          <w:szCs w:val="24"/>
        </w:rPr>
        <w:t>Chun Shing Kwok MBBS MSc</w:t>
      </w:r>
      <w:r w:rsidR="00907282" w:rsidRPr="00033E6F">
        <w:rPr>
          <w:rFonts w:ascii="Times New Roman" w:hAnsi="Times New Roman"/>
          <w:sz w:val="24"/>
          <w:szCs w:val="24"/>
        </w:rPr>
        <w:t xml:space="preserve"> BSc</w:t>
      </w:r>
      <w:r w:rsidRPr="00033E6F">
        <w:rPr>
          <w:rFonts w:ascii="Times New Roman" w:hAnsi="Times New Roman"/>
          <w:sz w:val="24"/>
          <w:szCs w:val="24"/>
        </w:rPr>
        <w:t>,</w:t>
      </w:r>
      <w:r w:rsidRPr="00033E6F">
        <w:rPr>
          <w:rFonts w:ascii="Times New Roman" w:hAnsi="Times New Roman"/>
          <w:sz w:val="24"/>
          <w:szCs w:val="24"/>
          <w:vertAlign w:val="superscript"/>
        </w:rPr>
        <w:t xml:space="preserve">1,2 </w:t>
      </w:r>
      <w:r w:rsidRPr="00033E6F">
        <w:rPr>
          <w:rFonts w:ascii="Times New Roman" w:hAnsi="Times New Roman"/>
          <w:sz w:val="24"/>
          <w:szCs w:val="24"/>
        </w:rPr>
        <w:t>Ankur Kalra</w:t>
      </w:r>
      <w:r w:rsidR="00907282" w:rsidRPr="00033E6F">
        <w:rPr>
          <w:rFonts w:ascii="Times New Roman" w:hAnsi="Times New Roman"/>
          <w:sz w:val="24"/>
          <w:szCs w:val="24"/>
        </w:rPr>
        <w:t xml:space="preserve"> MD</w:t>
      </w:r>
      <w:r w:rsidRPr="00033E6F">
        <w:rPr>
          <w:rFonts w:ascii="Times New Roman" w:hAnsi="Times New Roman"/>
          <w:sz w:val="24"/>
          <w:szCs w:val="24"/>
        </w:rPr>
        <w:t>,</w:t>
      </w:r>
      <w:r w:rsidRPr="00033E6F">
        <w:rPr>
          <w:rFonts w:ascii="Times New Roman" w:hAnsi="Times New Roman"/>
          <w:sz w:val="24"/>
          <w:szCs w:val="24"/>
          <w:vertAlign w:val="superscript"/>
        </w:rPr>
        <w:t>3</w:t>
      </w:r>
      <w:r w:rsidRPr="00033E6F">
        <w:rPr>
          <w:rFonts w:ascii="Times New Roman" w:hAnsi="Times New Roman"/>
          <w:sz w:val="24"/>
          <w:szCs w:val="24"/>
        </w:rPr>
        <w:t xml:space="preserve"> Poonam Velagapudi</w:t>
      </w:r>
      <w:r w:rsidR="00907282" w:rsidRPr="00033E6F">
        <w:rPr>
          <w:rFonts w:ascii="Times New Roman" w:hAnsi="Times New Roman"/>
          <w:sz w:val="24"/>
          <w:szCs w:val="24"/>
        </w:rPr>
        <w:t xml:space="preserve"> MD MS</w:t>
      </w:r>
      <w:r w:rsidRPr="00033E6F">
        <w:rPr>
          <w:rFonts w:ascii="Times New Roman" w:hAnsi="Times New Roman"/>
          <w:sz w:val="24"/>
          <w:szCs w:val="24"/>
        </w:rPr>
        <w:t>,</w:t>
      </w:r>
      <w:r w:rsidRPr="00033E6F">
        <w:rPr>
          <w:rFonts w:ascii="Times New Roman" w:hAnsi="Times New Roman"/>
          <w:sz w:val="24"/>
          <w:szCs w:val="24"/>
          <w:vertAlign w:val="superscript"/>
        </w:rPr>
        <w:t>4</w:t>
      </w:r>
      <w:r w:rsidRPr="00033E6F">
        <w:rPr>
          <w:rFonts w:ascii="Times New Roman" w:hAnsi="Times New Roman"/>
          <w:sz w:val="24"/>
          <w:szCs w:val="24"/>
        </w:rPr>
        <w:t xml:space="preserve"> Ki Park</w:t>
      </w:r>
      <w:r w:rsidR="00907282" w:rsidRPr="00033E6F">
        <w:rPr>
          <w:rFonts w:ascii="Times New Roman" w:hAnsi="Times New Roman"/>
          <w:sz w:val="24"/>
          <w:szCs w:val="24"/>
        </w:rPr>
        <w:t xml:space="preserve"> MD</w:t>
      </w:r>
      <w:r w:rsidRPr="00033E6F">
        <w:rPr>
          <w:rFonts w:ascii="Times New Roman" w:hAnsi="Times New Roman"/>
          <w:sz w:val="24"/>
          <w:szCs w:val="24"/>
        </w:rPr>
        <w:t>,</w:t>
      </w:r>
      <w:r w:rsidRPr="00033E6F">
        <w:rPr>
          <w:rFonts w:ascii="Times New Roman" w:hAnsi="Times New Roman"/>
          <w:sz w:val="24"/>
          <w:szCs w:val="24"/>
          <w:vertAlign w:val="superscript"/>
        </w:rPr>
        <w:t>5</w:t>
      </w:r>
      <w:r w:rsidRPr="00033E6F">
        <w:rPr>
          <w:rFonts w:ascii="Times New Roman" w:hAnsi="Times New Roman"/>
          <w:sz w:val="24"/>
          <w:szCs w:val="24"/>
        </w:rPr>
        <w:t xml:space="preserve"> Mohamed Mohamed</w:t>
      </w:r>
      <w:r w:rsidR="00907282" w:rsidRPr="00033E6F">
        <w:rPr>
          <w:rFonts w:ascii="Times New Roman" w:hAnsi="Times New Roman"/>
          <w:sz w:val="24"/>
          <w:szCs w:val="24"/>
        </w:rPr>
        <w:t xml:space="preserve"> MB BCh</w:t>
      </w:r>
      <w:r w:rsidRPr="00033E6F">
        <w:rPr>
          <w:rFonts w:ascii="Times New Roman" w:hAnsi="Times New Roman"/>
          <w:sz w:val="24"/>
          <w:szCs w:val="24"/>
        </w:rPr>
        <w:t>,</w:t>
      </w:r>
      <w:r w:rsidRPr="00033E6F">
        <w:rPr>
          <w:rFonts w:ascii="Times New Roman" w:hAnsi="Times New Roman"/>
          <w:sz w:val="24"/>
          <w:szCs w:val="24"/>
          <w:vertAlign w:val="superscript"/>
        </w:rPr>
        <w:t>1,2</w:t>
      </w:r>
      <w:r w:rsidRPr="00033E6F">
        <w:rPr>
          <w:rFonts w:ascii="Times New Roman" w:hAnsi="Times New Roman"/>
          <w:sz w:val="24"/>
          <w:szCs w:val="24"/>
        </w:rPr>
        <w:t xml:space="preserve"> M Chadi Alraies</w:t>
      </w:r>
      <w:r w:rsidR="00907282" w:rsidRPr="00033E6F">
        <w:rPr>
          <w:rFonts w:ascii="Times New Roman" w:hAnsi="Times New Roman"/>
          <w:sz w:val="24"/>
          <w:szCs w:val="24"/>
        </w:rPr>
        <w:t xml:space="preserve"> MD</w:t>
      </w:r>
      <w:r w:rsidRPr="00033E6F">
        <w:rPr>
          <w:rFonts w:ascii="Times New Roman" w:hAnsi="Times New Roman"/>
          <w:sz w:val="24"/>
          <w:szCs w:val="24"/>
        </w:rPr>
        <w:t>,</w:t>
      </w:r>
      <w:r w:rsidRPr="00033E6F">
        <w:rPr>
          <w:rFonts w:ascii="Times New Roman" w:hAnsi="Times New Roman"/>
          <w:sz w:val="24"/>
          <w:szCs w:val="24"/>
          <w:vertAlign w:val="superscript"/>
        </w:rPr>
        <w:t>6</w:t>
      </w:r>
      <w:r w:rsidRPr="00033E6F">
        <w:rPr>
          <w:rFonts w:ascii="Times New Roman" w:hAnsi="Times New Roman"/>
          <w:sz w:val="24"/>
          <w:szCs w:val="24"/>
        </w:rPr>
        <w:t xml:space="preserve"> Richard K Cheng</w:t>
      </w:r>
      <w:r w:rsidR="00907282" w:rsidRPr="00033E6F">
        <w:rPr>
          <w:rFonts w:ascii="Times New Roman" w:hAnsi="Times New Roman"/>
          <w:sz w:val="24"/>
          <w:szCs w:val="24"/>
        </w:rPr>
        <w:t xml:space="preserve"> MD MS</w:t>
      </w:r>
      <w:r w:rsidRPr="00033E6F">
        <w:rPr>
          <w:rFonts w:ascii="Times New Roman" w:hAnsi="Times New Roman"/>
          <w:sz w:val="24"/>
          <w:szCs w:val="24"/>
        </w:rPr>
        <w:t>,</w:t>
      </w:r>
      <w:r w:rsidRPr="00033E6F">
        <w:rPr>
          <w:rFonts w:ascii="Times New Roman" w:hAnsi="Times New Roman"/>
          <w:sz w:val="24"/>
          <w:szCs w:val="24"/>
          <w:vertAlign w:val="superscript"/>
        </w:rPr>
        <w:t>7</w:t>
      </w:r>
      <w:r w:rsidRPr="00033E6F">
        <w:rPr>
          <w:rFonts w:ascii="Times New Roman" w:hAnsi="Times New Roman"/>
          <w:sz w:val="24"/>
          <w:szCs w:val="24"/>
        </w:rPr>
        <w:t xml:space="preserve"> Rodrigo Bagur</w:t>
      </w:r>
      <w:r w:rsidR="00907282" w:rsidRPr="00033E6F">
        <w:rPr>
          <w:rFonts w:ascii="Times New Roman" w:hAnsi="Times New Roman"/>
          <w:sz w:val="24"/>
          <w:szCs w:val="24"/>
        </w:rPr>
        <w:t xml:space="preserve"> MD PhD</w:t>
      </w:r>
      <w:r w:rsidRPr="00033E6F">
        <w:rPr>
          <w:rFonts w:ascii="Times New Roman" w:hAnsi="Times New Roman"/>
          <w:sz w:val="24"/>
          <w:szCs w:val="24"/>
        </w:rPr>
        <w:t>,</w:t>
      </w:r>
      <w:r w:rsidRPr="00033E6F">
        <w:rPr>
          <w:rFonts w:ascii="Times New Roman" w:hAnsi="Times New Roman"/>
          <w:sz w:val="24"/>
          <w:szCs w:val="24"/>
          <w:vertAlign w:val="superscript"/>
        </w:rPr>
        <w:t xml:space="preserve">1 </w:t>
      </w:r>
      <w:r w:rsidRPr="00033E6F">
        <w:rPr>
          <w:rFonts w:ascii="Times New Roman" w:hAnsi="Times New Roman"/>
          <w:sz w:val="24"/>
          <w:szCs w:val="24"/>
        </w:rPr>
        <w:t>Mamas A. Mamas BM BCh DPhil</w:t>
      </w:r>
      <w:r w:rsidRPr="00033E6F">
        <w:rPr>
          <w:rFonts w:ascii="Times New Roman" w:hAnsi="Times New Roman"/>
          <w:sz w:val="24"/>
          <w:szCs w:val="24"/>
          <w:vertAlign w:val="superscript"/>
        </w:rPr>
        <w:t>1,2</w:t>
      </w:r>
    </w:p>
    <w:p w:rsidR="0039339D" w:rsidRPr="00033E6F" w:rsidRDefault="0039339D" w:rsidP="00E82F19">
      <w:pPr>
        <w:pStyle w:val="Body"/>
        <w:spacing w:after="0" w:line="240" w:lineRule="auto"/>
        <w:jc w:val="both"/>
        <w:rPr>
          <w:rFonts w:ascii="Times New Roman" w:hAnsi="Times New Roman"/>
          <w:sz w:val="24"/>
          <w:szCs w:val="24"/>
        </w:rPr>
      </w:pPr>
      <w:r w:rsidRPr="00033E6F">
        <w:rPr>
          <w:rFonts w:ascii="Times New Roman" w:hAnsi="Times New Roman"/>
          <w:sz w:val="24"/>
          <w:szCs w:val="24"/>
        </w:rPr>
        <w:t>1. Keele Cardiovascular Research Group, Keele University, Stoke-on-Trent, UK</w:t>
      </w:r>
    </w:p>
    <w:p w:rsidR="00E82F19" w:rsidRPr="00033E6F" w:rsidRDefault="00E82F19" w:rsidP="00E82F19">
      <w:pPr>
        <w:pStyle w:val="Body"/>
        <w:spacing w:after="0" w:line="240" w:lineRule="auto"/>
        <w:jc w:val="both"/>
        <w:rPr>
          <w:rFonts w:ascii="Times New Roman" w:eastAsia="Times New Roman" w:hAnsi="Times New Roman" w:cs="Times New Roman"/>
          <w:sz w:val="24"/>
          <w:szCs w:val="24"/>
        </w:rPr>
      </w:pPr>
    </w:p>
    <w:p w:rsidR="0039339D" w:rsidRPr="00033E6F" w:rsidRDefault="0039339D" w:rsidP="00E82F19">
      <w:pPr>
        <w:pStyle w:val="Body"/>
        <w:spacing w:after="0" w:line="240" w:lineRule="auto"/>
        <w:jc w:val="both"/>
        <w:rPr>
          <w:rFonts w:ascii="Times New Roman" w:eastAsia="Times New Roman" w:hAnsi="Times New Roman" w:cs="Times New Roman"/>
          <w:sz w:val="24"/>
          <w:szCs w:val="24"/>
        </w:rPr>
      </w:pPr>
      <w:r w:rsidRPr="00033E6F">
        <w:rPr>
          <w:rFonts w:ascii="Times New Roman" w:hAnsi="Times New Roman"/>
          <w:sz w:val="24"/>
          <w:szCs w:val="24"/>
        </w:rPr>
        <w:t>2. Royal Stoke University Hospital, Stoke-on-Trent, UK</w:t>
      </w:r>
    </w:p>
    <w:p w:rsidR="00E82F19" w:rsidRPr="00033E6F" w:rsidRDefault="00E82F19" w:rsidP="00E82F19">
      <w:pPr>
        <w:pStyle w:val="Body"/>
        <w:spacing w:after="0" w:line="240" w:lineRule="auto"/>
        <w:jc w:val="both"/>
        <w:rPr>
          <w:rFonts w:ascii="Times New Roman" w:hAnsi="Times New Roman"/>
          <w:sz w:val="24"/>
          <w:szCs w:val="24"/>
        </w:rPr>
      </w:pPr>
    </w:p>
    <w:p w:rsidR="0039339D" w:rsidRPr="00033E6F" w:rsidRDefault="0039339D" w:rsidP="00E82F19">
      <w:pPr>
        <w:pStyle w:val="Body"/>
        <w:spacing w:after="0" w:line="240" w:lineRule="auto"/>
        <w:jc w:val="both"/>
        <w:rPr>
          <w:rFonts w:ascii="Times New Roman" w:eastAsia="Times New Roman" w:hAnsi="Times New Roman" w:cs="Times New Roman"/>
          <w:sz w:val="24"/>
          <w:szCs w:val="24"/>
        </w:rPr>
      </w:pPr>
      <w:r w:rsidRPr="00033E6F">
        <w:rPr>
          <w:rFonts w:ascii="Times New Roman" w:hAnsi="Times New Roman"/>
          <w:sz w:val="24"/>
          <w:szCs w:val="24"/>
        </w:rPr>
        <w:t xml:space="preserve">3. </w:t>
      </w:r>
      <w:r w:rsidRPr="00033E6F">
        <w:rPr>
          <w:rFonts w:ascii="Times New Roman" w:hAnsi="Times New Roman"/>
          <w:sz w:val="24"/>
          <w:szCs w:val="24"/>
          <w:shd w:val="clear" w:color="auto" w:fill="FFFFFF"/>
        </w:rPr>
        <w:t>Department of Cardiovascular Medicine, Heart and Vascular Institute, Cleveland Clinic, Cleveland, Ohio</w:t>
      </w:r>
      <w:r w:rsidR="00E82F19" w:rsidRPr="00033E6F">
        <w:rPr>
          <w:rFonts w:ascii="Times New Roman" w:hAnsi="Times New Roman"/>
          <w:sz w:val="24"/>
          <w:szCs w:val="24"/>
          <w:shd w:val="clear" w:color="auto" w:fill="FFFFFF"/>
        </w:rPr>
        <w:t>, USA</w:t>
      </w:r>
      <w:r w:rsidRPr="00033E6F">
        <w:rPr>
          <w:rFonts w:ascii="Times New Roman" w:hAnsi="Times New Roman"/>
          <w:sz w:val="24"/>
          <w:szCs w:val="24"/>
          <w:shd w:val="clear" w:color="auto" w:fill="FFFFFF"/>
        </w:rPr>
        <w:t>.</w:t>
      </w:r>
    </w:p>
    <w:p w:rsidR="00E82F19" w:rsidRPr="00033E6F" w:rsidRDefault="00E82F19" w:rsidP="00E82F19">
      <w:pPr>
        <w:pStyle w:val="Body"/>
        <w:spacing w:after="0" w:line="240" w:lineRule="auto"/>
        <w:jc w:val="both"/>
        <w:rPr>
          <w:rFonts w:ascii="Times New Roman" w:hAnsi="Times New Roman"/>
          <w:sz w:val="24"/>
          <w:szCs w:val="24"/>
        </w:rPr>
      </w:pPr>
    </w:p>
    <w:p w:rsidR="0039339D" w:rsidRPr="00033E6F" w:rsidRDefault="0039339D" w:rsidP="00E82F19">
      <w:pPr>
        <w:pStyle w:val="Body"/>
        <w:spacing w:after="0" w:line="240" w:lineRule="auto"/>
        <w:jc w:val="both"/>
        <w:rPr>
          <w:rFonts w:ascii="Times New Roman" w:eastAsia="Times New Roman" w:hAnsi="Times New Roman" w:cs="Times New Roman"/>
          <w:sz w:val="24"/>
          <w:szCs w:val="24"/>
        </w:rPr>
      </w:pPr>
      <w:r w:rsidRPr="00033E6F">
        <w:rPr>
          <w:rFonts w:ascii="Times New Roman" w:hAnsi="Times New Roman"/>
          <w:sz w:val="24"/>
          <w:szCs w:val="24"/>
        </w:rPr>
        <w:t xml:space="preserve">4. </w:t>
      </w:r>
      <w:r w:rsidRPr="00033E6F">
        <w:rPr>
          <w:rFonts w:ascii="Times New Roman" w:hAnsi="Times New Roman"/>
          <w:sz w:val="24"/>
          <w:szCs w:val="24"/>
          <w:shd w:val="clear" w:color="auto" w:fill="FFFFFF"/>
        </w:rPr>
        <w:t>Division of Cardiovascular Medicine, University of Nebraska Medical Center, Omaha, Nebraska, USA.</w:t>
      </w:r>
    </w:p>
    <w:p w:rsidR="00E82F19" w:rsidRPr="00033E6F" w:rsidRDefault="00E82F19" w:rsidP="00E82F19">
      <w:pPr>
        <w:pStyle w:val="Body"/>
        <w:spacing w:after="0" w:line="240" w:lineRule="auto"/>
        <w:jc w:val="both"/>
        <w:rPr>
          <w:rFonts w:ascii="Times New Roman" w:hAnsi="Times New Roman"/>
          <w:sz w:val="24"/>
          <w:szCs w:val="24"/>
        </w:rPr>
      </w:pPr>
    </w:p>
    <w:p w:rsidR="0039339D" w:rsidRPr="00033E6F" w:rsidRDefault="0039339D" w:rsidP="00E82F19">
      <w:pPr>
        <w:pStyle w:val="Body"/>
        <w:spacing w:after="0" w:line="240" w:lineRule="auto"/>
        <w:jc w:val="both"/>
        <w:rPr>
          <w:rFonts w:ascii="Times New Roman" w:eastAsia="Times New Roman" w:hAnsi="Times New Roman" w:cs="Times New Roman"/>
          <w:sz w:val="24"/>
          <w:szCs w:val="24"/>
        </w:rPr>
      </w:pPr>
      <w:r w:rsidRPr="00033E6F">
        <w:rPr>
          <w:rFonts w:ascii="Times New Roman" w:hAnsi="Times New Roman"/>
          <w:sz w:val="24"/>
          <w:szCs w:val="24"/>
        </w:rPr>
        <w:t>5.</w:t>
      </w:r>
      <w:r w:rsidRPr="00033E6F">
        <w:rPr>
          <w:rFonts w:ascii="Times New Roman" w:hAnsi="Times New Roman"/>
          <w:sz w:val="24"/>
          <w:szCs w:val="24"/>
          <w:shd w:val="clear" w:color="auto" w:fill="FFFFFF"/>
        </w:rPr>
        <w:t xml:space="preserve"> Division of Cardiovascular Medicine, University of Florida, Florida, USA.</w:t>
      </w:r>
    </w:p>
    <w:p w:rsidR="00E82F19" w:rsidRPr="00033E6F" w:rsidRDefault="00E82F19" w:rsidP="00E82F19">
      <w:pPr>
        <w:pStyle w:val="Body"/>
        <w:spacing w:after="0" w:line="240" w:lineRule="auto"/>
        <w:jc w:val="both"/>
        <w:rPr>
          <w:rFonts w:ascii="Times New Roman" w:hAnsi="Times New Roman"/>
          <w:sz w:val="24"/>
          <w:szCs w:val="24"/>
        </w:rPr>
      </w:pPr>
    </w:p>
    <w:p w:rsidR="0039339D" w:rsidRPr="00033E6F" w:rsidRDefault="0039339D" w:rsidP="00E82F19">
      <w:pPr>
        <w:pStyle w:val="Body"/>
        <w:spacing w:after="0" w:line="240" w:lineRule="auto"/>
        <w:jc w:val="both"/>
        <w:rPr>
          <w:rFonts w:ascii="Times New Roman" w:eastAsia="Times New Roman" w:hAnsi="Times New Roman" w:cs="Times New Roman"/>
          <w:sz w:val="24"/>
          <w:szCs w:val="24"/>
        </w:rPr>
      </w:pPr>
      <w:r w:rsidRPr="00033E6F">
        <w:rPr>
          <w:rFonts w:ascii="Times New Roman" w:hAnsi="Times New Roman"/>
          <w:sz w:val="24"/>
          <w:szCs w:val="24"/>
        </w:rPr>
        <w:t>6.</w:t>
      </w:r>
      <w:r w:rsidRPr="00033E6F">
        <w:rPr>
          <w:rFonts w:ascii="Times New Roman" w:hAnsi="Times New Roman"/>
          <w:sz w:val="24"/>
          <w:szCs w:val="24"/>
          <w:shd w:val="clear" w:color="auto" w:fill="FFFFFF"/>
        </w:rPr>
        <w:t xml:space="preserve"> Wayne State University, Detroit Medical Center, Detroit Heart Hospital, Detroit, Michigan, USA.</w:t>
      </w:r>
    </w:p>
    <w:p w:rsidR="00E82F19" w:rsidRPr="00033E6F" w:rsidRDefault="00E82F19" w:rsidP="00E82F19">
      <w:pPr>
        <w:pStyle w:val="Body"/>
        <w:spacing w:after="0" w:line="240" w:lineRule="auto"/>
        <w:jc w:val="both"/>
        <w:rPr>
          <w:rFonts w:ascii="Times New Roman" w:hAnsi="Times New Roman"/>
          <w:sz w:val="24"/>
          <w:szCs w:val="24"/>
        </w:rPr>
      </w:pPr>
    </w:p>
    <w:p w:rsidR="00D36BF7" w:rsidRPr="00033E6F" w:rsidRDefault="0039339D" w:rsidP="00E82F19">
      <w:pPr>
        <w:pStyle w:val="Body"/>
        <w:spacing w:after="0" w:line="240" w:lineRule="auto"/>
        <w:jc w:val="both"/>
        <w:rPr>
          <w:rFonts w:ascii="Times New Roman" w:hAnsi="Times New Roman"/>
          <w:sz w:val="24"/>
          <w:szCs w:val="24"/>
        </w:rPr>
      </w:pPr>
      <w:r w:rsidRPr="00033E6F">
        <w:rPr>
          <w:rFonts w:ascii="Times New Roman" w:hAnsi="Times New Roman"/>
          <w:sz w:val="24"/>
          <w:szCs w:val="24"/>
        </w:rPr>
        <w:t xml:space="preserve">7. </w:t>
      </w:r>
      <w:r w:rsidRPr="00033E6F">
        <w:rPr>
          <w:rFonts w:ascii="Times New Roman" w:hAnsi="Times New Roman"/>
          <w:sz w:val="24"/>
          <w:szCs w:val="24"/>
          <w:shd w:val="clear" w:color="auto" w:fill="FFFFFF"/>
        </w:rPr>
        <w:t xml:space="preserve">Division of Cardiology, University of Washington </w:t>
      </w:r>
      <w:r w:rsidR="00CC1482" w:rsidRPr="00033E6F">
        <w:rPr>
          <w:rFonts w:ascii="Times New Roman" w:hAnsi="Times New Roman"/>
          <w:sz w:val="24"/>
          <w:szCs w:val="24"/>
          <w:shd w:val="clear" w:color="auto" w:fill="FFFFFF"/>
        </w:rPr>
        <w:t>Heart Institute</w:t>
      </w:r>
      <w:r w:rsidRPr="00033E6F">
        <w:rPr>
          <w:rFonts w:ascii="Times New Roman" w:hAnsi="Times New Roman"/>
          <w:sz w:val="24"/>
          <w:szCs w:val="24"/>
          <w:shd w:val="clear" w:color="auto" w:fill="FFFFFF"/>
        </w:rPr>
        <w:t>, Seattle</w:t>
      </w:r>
      <w:r w:rsidRPr="00033E6F">
        <w:rPr>
          <w:rFonts w:ascii="Times New Roman" w:hAnsi="Times New Roman"/>
          <w:sz w:val="24"/>
          <w:szCs w:val="24"/>
        </w:rPr>
        <w:t>, Washington, USA.</w:t>
      </w:r>
    </w:p>
    <w:p w:rsidR="0039339D" w:rsidRPr="00033E6F" w:rsidRDefault="0039339D" w:rsidP="00907282">
      <w:pPr>
        <w:pStyle w:val="Body"/>
        <w:spacing w:after="0" w:line="480" w:lineRule="auto"/>
        <w:rPr>
          <w:rFonts w:ascii="Times New Roman" w:eastAsia="Times New Roman" w:hAnsi="Times New Roman" w:cs="Times New Roman"/>
          <w:sz w:val="24"/>
          <w:szCs w:val="24"/>
          <w:shd w:val="clear" w:color="auto" w:fill="FFFFFF"/>
        </w:rPr>
      </w:pPr>
      <w:r w:rsidRPr="00033E6F">
        <w:rPr>
          <w:rFonts w:ascii="Times New Roman" w:hAnsi="Times New Roman"/>
          <w:b/>
          <w:bCs/>
          <w:sz w:val="24"/>
          <w:szCs w:val="24"/>
        </w:rPr>
        <w:t>Corresponding author</w:t>
      </w:r>
    </w:p>
    <w:p w:rsidR="0039339D" w:rsidRPr="00033E6F" w:rsidRDefault="0039339D" w:rsidP="00907282">
      <w:pPr>
        <w:pStyle w:val="Body"/>
        <w:spacing w:after="0" w:line="480" w:lineRule="auto"/>
        <w:rPr>
          <w:rFonts w:ascii="Times New Roman" w:eastAsia="Times New Roman" w:hAnsi="Times New Roman" w:cs="Times New Roman"/>
          <w:sz w:val="24"/>
          <w:szCs w:val="24"/>
          <w:shd w:val="clear" w:color="auto" w:fill="FFFFFF"/>
        </w:rPr>
      </w:pPr>
      <w:r w:rsidRPr="00033E6F">
        <w:rPr>
          <w:rFonts w:ascii="Times New Roman" w:hAnsi="Times New Roman"/>
          <w:sz w:val="24"/>
          <w:szCs w:val="24"/>
        </w:rPr>
        <w:t>Professor Mamas A. Mamas</w:t>
      </w:r>
    </w:p>
    <w:p w:rsidR="0039339D" w:rsidRPr="00033E6F" w:rsidRDefault="0039339D" w:rsidP="00907282">
      <w:pPr>
        <w:pStyle w:val="Body"/>
        <w:spacing w:after="0" w:line="480" w:lineRule="auto"/>
        <w:rPr>
          <w:rFonts w:ascii="Times New Roman" w:eastAsia="Times New Roman" w:hAnsi="Times New Roman" w:cs="Times New Roman"/>
          <w:sz w:val="24"/>
          <w:szCs w:val="24"/>
        </w:rPr>
      </w:pPr>
      <w:r w:rsidRPr="00033E6F">
        <w:rPr>
          <w:rFonts w:ascii="Times New Roman" w:hAnsi="Times New Roman"/>
          <w:sz w:val="24"/>
          <w:szCs w:val="24"/>
        </w:rPr>
        <w:t>Keele Cardiovascular Research Group</w:t>
      </w:r>
      <w:r w:rsidR="00907282" w:rsidRPr="00033E6F">
        <w:rPr>
          <w:rFonts w:ascii="Times New Roman" w:eastAsia="Times New Roman" w:hAnsi="Times New Roman" w:cs="Times New Roman"/>
          <w:sz w:val="24"/>
          <w:szCs w:val="24"/>
        </w:rPr>
        <w:t xml:space="preserve">, </w:t>
      </w:r>
      <w:r w:rsidRPr="00033E6F">
        <w:rPr>
          <w:rFonts w:ascii="Times New Roman" w:hAnsi="Times New Roman"/>
          <w:sz w:val="24"/>
          <w:szCs w:val="24"/>
        </w:rPr>
        <w:t>Keele University, Stoke-on-Trent, UK</w:t>
      </w:r>
    </w:p>
    <w:p w:rsidR="0039339D" w:rsidRPr="00033E6F" w:rsidRDefault="0039339D" w:rsidP="00907282">
      <w:pPr>
        <w:pStyle w:val="Body"/>
        <w:spacing w:after="0" w:line="480" w:lineRule="auto"/>
        <w:rPr>
          <w:rFonts w:ascii="Times New Roman" w:hAnsi="Times New Roman"/>
          <w:sz w:val="24"/>
          <w:szCs w:val="24"/>
        </w:rPr>
      </w:pPr>
      <w:r w:rsidRPr="00033E6F">
        <w:rPr>
          <w:rFonts w:ascii="Times New Roman" w:hAnsi="Times New Roman"/>
          <w:sz w:val="24"/>
          <w:szCs w:val="24"/>
        </w:rPr>
        <w:t xml:space="preserve">Email: </w:t>
      </w:r>
      <w:hyperlink r:id="rId8" w:history="1">
        <w:r w:rsidRPr="00033E6F">
          <w:rPr>
            <w:rStyle w:val="Hyperlink0"/>
            <w:rFonts w:eastAsia="Arial Unicode MS"/>
          </w:rPr>
          <w:t>mamasmamas1@yahoo.co.uk</w:t>
        </w:r>
      </w:hyperlink>
      <w:r w:rsidR="00907282" w:rsidRPr="00033E6F">
        <w:rPr>
          <w:rFonts w:ascii="Times New Roman" w:hAnsi="Times New Roman"/>
          <w:sz w:val="24"/>
          <w:szCs w:val="24"/>
        </w:rPr>
        <w:t xml:space="preserve">, </w:t>
      </w:r>
      <w:r w:rsidRPr="00033E6F">
        <w:rPr>
          <w:rFonts w:ascii="Times New Roman" w:hAnsi="Times New Roman"/>
          <w:sz w:val="24"/>
          <w:szCs w:val="24"/>
        </w:rPr>
        <w:t>Twitter handle: @MMamas1973</w:t>
      </w:r>
    </w:p>
    <w:p w:rsidR="00D71927" w:rsidRPr="00033E6F" w:rsidRDefault="0039339D" w:rsidP="00D71927">
      <w:pPr>
        <w:pStyle w:val="Body"/>
        <w:spacing w:after="0" w:line="480" w:lineRule="auto"/>
        <w:rPr>
          <w:rFonts w:ascii="Times New Roman" w:hAnsi="Times New Roman"/>
          <w:sz w:val="24"/>
          <w:szCs w:val="24"/>
        </w:rPr>
      </w:pPr>
      <w:r w:rsidRPr="00033E6F">
        <w:rPr>
          <w:rFonts w:ascii="Times New Roman" w:hAnsi="Times New Roman"/>
          <w:b/>
          <w:bCs/>
          <w:sz w:val="24"/>
          <w:szCs w:val="24"/>
        </w:rPr>
        <w:t>Tel:</w:t>
      </w:r>
      <w:r w:rsidRPr="00033E6F">
        <w:rPr>
          <w:rFonts w:ascii="Times New Roman" w:hAnsi="Times New Roman"/>
          <w:sz w:val="24"/>
          <w:szCs w:val="24"/>
        </w:rPr>
        <w:t xml:space="preserve"> +44 1782 671654</w:t>
      </w:r>
      <w:r w:rsidR="00907282" w:rsidRPr="00033E6F">
        <w:rPr>
          <w:rFonts w:ascii="Times New Roman" w:hAnsi="Times New Roman"/>
          <w:sz w:val="24"/>
          <w:szCs w:val="24"/>
        </w:rPr>
        <w:t xml:space="preserve"> </w:t>
      </w:r>
      <w:r w:rsidR="00907282" w:rsidRPr="00033E6F">
        <w:rPr>
          <w:rFonts w:ascii="Times New Roman" w:hAnsi="Times New Roman"/>
          <w:sz w:val="24"/>
          <w:szCs w:val="24"/>
        </w:rPr>
        <w:tab/>
      </w:r>
      <w:r w:rsidR="00907282" w:rsidRPr="00033E6F">
        <w:rPr>
          <w:rFonts w:ascii="Times New Roman" w:hAnsi="Times New Roman"/>
          <w:b/>
          <w:sz w:val="24"/>
          <w:szCs w:val="24"/>
        </w:rPr>
        <w:t>Fax:</w:t>
      </w:r>
      <w:r w:rsidR="00907282" w:rsidRPr="00033E6F">
        <w:rPr>
          <w:rFonts w:ascii="Times New Roman" w:hAnsi="Times New Roman"/>
          <w:sz w:val="24"/>
          <w:szCs w:val="24"/>
        </w:rPr>
        <w:t xml:space="preserve"> +44 1782 674467</w:t>
      </w:r>
    </w:p>
    <w:p w:rsidR="00D71927" w:rsidRPr="00033E6F" w:rsidRDefault="00D71927" w:rsidP="00D71927">
      <w:pPr>
        <w:pStyle w:val="Body"/>
        <w:spacing w:after="0" w:line="480" w:lineRule="auto"/>
        <w:rPr>
          <w:rFonts w:ascii="Times New Roman" w:hAnsi="Times New Roman"/>
          <w:sz w:val="24"/>
          <w:szCs w:val="24"/>
        </w:rPr>
      </w:pPr>
      <w:r w:rsidRPr="00033E6F">
        <w:rPr>
          <w:rFonts w:ascii="Times New Roman" w:hAnsi="Times New Roman"/>
          <w:b/>
          <w:sz w:val="24"/>
          <w:szCs w:val="24"/>
        </w:rPr>
        <w:t xml:space="preserve">List of Supports/Grants Information: </w:t>
      </w:r>
      <w:r w:rsidRPr="00033E6F">
        <w:rPr>
          <w:rFonts w:ascii="Times New Roman" w:hAnsi="Times New Roman"/>
          <w:sz w:val="24"/>
          <w:szCs w:val="24"/>
        </w:rPr>
        <w:t>The study was supported by a grant from the Research and Development Department at the Royal Stoke Hospital.  This work is conducted as a part of PhD for CSK which is supported by Biosensors International.</w:t>
      </w:r>
    </w:p>
    <w:p w:rsidR="00D71927" w:rsidRPr="00033E6F" w:rsidRDefault="00D71927" w:rsidP="00D71927">
      <w:pPr>
        <w:pStyle w:val="Body"/>
        <w:spacing w:after="0" w:line="480" w:lineRule="auto"/>
        <w:jc w:val="both"/>
        <w:rPr>
          <w:rFonts w:ascii="Times New Roman" w:hAnsi="Times New Roman"/>
          <w:sz w:val="24"/>
          <w:szCs w:val="24"/>
        </w:rPr>
      </w:pPr>
      <w:r w:rsidRPr="00033E6F">
        <w:rPr>
          <w:rFonts w:ascii="Times New Roman" w:hAnsi="Times New Roman"/>
          <w:b/>
          <w:bCs/>
          <w:sz w:val="24"/>
          <w:szCs w:val="24"/>
        </w:rPr>
        <w:t xml:space="preserve">Acknowledgements: </w:t>
      </w:r>
      <w:r w:rsidRPr="00033E6F">
        <w:rPr>
          <w:rFonts w:ascii="Times New Roman" w:hAnsi="Times New Roman"/>
          <w:sz w:val="24"/>
          <w:szCs w:val="24"/>
        </w:rPr>
        <w:t>We are grateful to the Healthcare Cost and Utilization Project (HCUP) and the HCUP Data Partners for providing the data used in the analysis.</w:t>
      </w:r>
    </w:p>
    <w:p w:rsidR="0039339D" w:rsidRPr="00033E6F" w:rsidRDefault="00D71927" w:rsidP="00D71927">
      <w:pPr>
        <w:pStyle w:val="Body"/>
        <w:spacing w:after="0" w:line="480" w:lineRule="auto"/>
        <w:jc w:val="both"/>
        <w:rPr>
          <w:rFonts w:ascii="Times New Roman" w:hAnsi="Times New Roman" w:cs="Times New Roman"/>
          <w:color w:val="auto"/>
          <w:sz w:val="20"/>
          <w:szCs w:val="20"/>
        </w:rPr>
      </w:pPr>
      <w:r w:rsidRPr="00033E6F">
        <w:rPr>
          <w:rFonts w:ascii="Times New Roman" w:hAnsi="Times New Roman"/>
          <w:b/>
          <w:sz w:val="24"/>
        </w:rPr>
        <w:t>Conflicts of interest disclosures:</w:t>
      </w:r>
      <w:r w:rsidRPr="00033E6F">
        <w:rPr>
          <w:rFonts w:ascii="Times New Roman" w:hAnsi="Times New Roman"/>
          <w:sz w:val="24"/>
        </w:rPr>
        <w:t xml:space="preserve"> The authors have no conflicts of interest to declare.</w:t>
      </w:r>
      <w:r w:rsidRPr="00033E6F">
        <w:rPr>
          <w:rFonts w:ascii="Times New Roman" w:hAnsi="Times New Roman"/>
          <w:sz w:val="24"/>
        </w:rPr>
        <w:br w:type="page"/>
      </w:r>
      <w:r w:rsidR="0039339D" w:rsidRPr="00033E6F">
        <w:rPr>
          <w:rFonts w:ascii="Times New Roman" w:hAnsi="Times New Roman"/>
          <w:b/>
          <w:bCs/>
          <w:sz w:val="24"/>
          <w:szCs w:val="24"/>
        </w:rPr>
        <w:lastRenderedPageBreak/>
        <w:t>Abstract</w:t>
      </w:r>
    </w:p>
    <w:p w:rsidR="0039339D" w:rsidRPr="00033E6F" w:rsidRDefault="00D71927" w:rsidP="00D71927">
      <w:pPr>
        <w:pStyle w:val="Body"/>
        <w:spacing w:after="0" w:line="480" w:lineRule="auto"/>
        <w:jc w:val="both"/>
        <w:rPr>
          <w:rFonts w:ascii="Times New Roman" w:eastAsia="Times New Roman" w:hAnsi="Times New Roman" w:cs="Times New Roman"/>
          <w:sz w:val="24"/>
          <w:szCs w:val="24"/>
        </w:rPr>
      </w:pPr>
      <w:r w:rsidRPr="00033E6F">
        <w:rPr>
          <w:rFonts w:ascii="Times New Roman" w:hAnsi="Times New Roman"/>
          <w:sz w:val="24"/>
          <w:szCs w:val="24"/>
        </w:rPr>
        <w:t>There is limited information about readmissions to index compared with non-index hospitals after PCI.</w:t>
      </w:r>
      <w:r w:rsidRPr="00033E6F">
        <w:rPr>
          <w:rFonts w:ascii="Times New Roman" w:eastAsia="Times New Roman" w:hAnsi="Times New Roman" w:cs="Times New Roman"/>
          <w:sz w:val="24"/>
          <w:szCs w:val="24"/>
        </w:rPr>
        <w:t xml:space="preserve"> </w:t>
      </w:r>
      <w:r w:rsidR="0039339D" w:rsidRPr="00033E6F">
        <w:rPr>
          <w:rFonts w:ascii="Times New Roman" w:hAnsi="Times New Roman"/>
          <w:sz w:val="24"/>
          <w:szCs w:val="24"/>
        </w:rPr>
        <w:t xml:space="preserve">This study aims to evaluate the rates, causes, and outcomes for unplanned readmissions following percutaneous coronary intervention (PCI) depending on whether the patients were admitted to the index or non-index hospital. Patients undergoing PCI between 2010 and 2014 in the U.S. Nationwide Readmission Database were evaluated for unplanned readmissions at 30 days to index and non-index hospitals. A total of 2,183,851 procedures were analyzed, with a 9.2% 30-day unplanned readmission rate documented, and 7.1% and 2.1% of these readmissions were admitted to the index and non-index hospitals, respectively. </w:t>
      </w:r>
      <w:r w:rsidR="0039339D" w:rsidRPr="00033E6F">
        <w:rPr>
          <w:rFonts w:ascii="Times New Roman" w:hAnsi="Times New Roman"/>
          <w:sz w:val="24"/>
          <w:szCs w:val="24"/>
          <w:shd w:val="clear" w:color="auto" w:fill="FFFFFF"/>
        </w:rPr>
        <w:t xml:space="preserve">There was also a higher prevalence of co-morbidities among patients readmitted to non-index hospitals, and more patients who were discharged against medical advice at index PCI. </w:t>
      </w:r>
      <w:r w:rsidR="0039339D" w:rsidRPr="00033E6F">
        <w:rPr>
          <w:rFonts w:ascii="Times New Roman" w:hAnsi="Times New Roman"/>
          <w:sz w:val="24"/>
          <w:szCs w:val="24"/>
        </w:rPr>
        <w:t>Non-cardiac readmissions were lower among patients who were readmitted to the index compared with non-i</w:t>
      </w:r>
      <w:r w:rsidR="00907282" w:rsidRPr="00033E6F">
        <w:rPr>
          <w:rFonts w:ascii="Times New Roman" w:hAnsi="Times New Roman"/>
          <w:sz w:val="24"/>
          <w:szCs w:val="24"/>
        </w:rPr>
        <w:t>ndex hospital (53.4% vs. 61.1%,</w:t>
      </w:r>
      <w:r w:rsidR="00614FB1" w:rsidRPr="00033E6F">
        <w:rPr>
          <w:rFonts w:ascii="Times New Roman" w:hAnsi="Times New Roman"/>
          <w:sz w:val="24"/>
          <w:szCs w:val="24"/>
        </w:rPr>
        <w:t xml:space="preserve"> </w:t>
      </w:r>
      <w:r w:rsidR="0039339D" w:rsidRPr="00033E6F">
        <w:rPr>
          <w:rFonts w:ascii="Times New Roman" w:hAnsi="Times New Roman"/>
          <w:sz w:val="24"/>
          <w:szCs w:val="24"/>
        </w:rPr>
        <w:t xml:space="preserve">p&lt;0.001). </w:t>
      </w:r>
      <w:r w:rsidR="001C5230" w:rsidRPr="00033E6F">
        <w:rPr>
          <w:rFonts w:ascii="Times New Roman" w:hAnsi="Times New Roman"/>
          <w:sz w:val="24"/>
          <w:szCs w:val="24"/>
        </w:rPr>
        <w:t>There were greater adjusted odds of acute myocardial infarction (AMI) (OR 1.14 95%CI 1.06-1.22), PCI (OR 2.25 95%CI 2.06-2.46) and composite outcome (AMI, readmission PCI and all-cause death) (OR 1.64 95%CI 1.53-1.75) for patients readmitted to the index hospital but their odds of all-cause death were lower (OR 0.77 95%CI 0.68-0.88).</w:t>
      </w:r>
      <w:r w:rsidRPr="00033E6F">
        <w:rPr>
          <w:rFonts w:ascii="Times New Roman" w:eastAsia="Times New Roman" w:hAnsi="Times New Roman" w:cs="Times New Roman"/>
          <w:sz w:val="24"/>
          <w:szCs w:val="24"/>
        </w:rPr>
        <w:t xml:space="preserve"> </w:t>
      </w:r>
      <w:r w:rsidR="0039339D" w:rsidRPr="00033E6F">
        <w:rPr>
          <w:rFonts w:ascii="Times New Roman" w:hAnsi="Times New Roman"/>
          <w:sz w:val="24"/>
          <w:szCs w:val="24"/>
        </w:rPr>
        <w:t>The majority of readmissions after PCI are to the index hospital that the PCI was undertaken, and these patients are more likely to have a readmission diagnosis of AMI and undergo a repeat PCI but less likely to die compared with patients admitted to a non-index hospital.</w:t>
      </w:r>
    </w:p>
    <w:p w:rsidR="00D71927" w:rsidRPr="00033E6F" w:rsidRDefault="00D71927" w:rsidP="00D71927">
      <w:pPr>
        <w:pStyle w:val="Body"/>
        <w:spacing w:after="0" w:line="480" w:lineRule="auto"/>
        <w:rPr>
          <w:rFonts w:ascii="Times New Roman" w:hAnsi="Times New Roman"/>
          <w:sz w:val="24"/>
          <w:szCs w:val="24"/>
        </w:rPr>
      </w:pPr>
      <w:r w:rsidRPr="00033E6F">
        <w:rPr>
          <w:rFonts w:ascii="Times New Roman" w:hAnsi="Times New Roman"/>
          <w:b/>
          <w:bCs/>
          <w:sz w:val="24"/>
          <w:szCs w:val="24"/>
        </w:rPr>
        <w:t>Keywords:</w:t>
      </w:r>
      <w:r w:rsidRPr="00033E6F">
        <w:rPr>
          <w:rFonts w:ascii="Times New Roman" w:hAnsi="Times New Roman"/>
          <w:sz w:val="24"/>
          <w:szCs w:val="24"/>
        </w:rPr>
        <w:t xml:space="preserve"> per</w:t>
      </w:r>
      <w:r w:rsidR="00902495" w:rsidRPr="00033E6F">
        <w:rPr>
          <w:rFonts w:ascii="Times New Roman" w:hAnsi="Times New Roman"/>
          <w:sz w:val="24"/>
          <w:szCs w:val="24"/>
        </w:rPr>
        <w:t>cutaneous coronary intervention; readmission;</w:t>
      </w:r>
      <w:r w:rsidRPr="00033E6F">
        <w:rPr>
          <w:rFonts w:ascii="Times New Roman" w:hAnsi="Times New Roman"/>
          <w:sz w:val="24"/>
          <w:szCs w:val="24"/>
        </w:rPr>
        <w:t xml:space="preserve"> mortality</w:t>
      </w:r>
    </w:p>
    <w:p w:rsidR="0039339D" w:rsidRPr="00033E6F" w:rsidRDefault="0039339D" w:rsidP="00907282">
      <w:pPr>
        <w:pStyle w:val="Body"/>
        <w:spacing w:after="0" w:line="480" w:lineRule="auto"/>
        <w:jc w:val="both"/>
        <w:rPr>
          <w:rFonts w:ascii="Times New Roman" w:eastAsia="Times New Roman" w:hAnsi="Times New Roman" w:cs="Times New Roman"/>
          <w:sz w:val="24"/>
          <w:szCs w:val="24"/>
        </w:rPr>
      </w:pPr>
    </w:p>
    <w:p w:rsidR="0039339D" w:rsidRPr="00033E6F" w:rsidRDefault="0039339D" w:rsidP="00DD4D4D">
      <w:pPr>
        <w:pStyle w:val="Body"/>
        <w:spacing w:after="0" w:line="480" w:lineRule="auto"/>
        <w:jc w:val="both"/>
        <w:rPr>
          <w:rFonts w:ascii="Times New Roman" w:hAnsi="Times New Roman"/>
          <w:b/>
          <w:bCs/>
          <w:sz w:val="24"/>
          <w:szCs w:val="24"/>
        </w:rPr>
      </w:pPr>
      <w:r w:rsidRPr="00033E6F">
        <w:rPr>
          <w:rFonts w:ascii="Arial Unicode MS" w:hAnsi="Arial Unicode MS"/>
          <w:sz w:val="24"/>
          <w:szCs w:val="24"/>
        </w:rPr>
        <w:br w:type="page"/>
      </w:r>
      <w:r w:rsidRPr="00033E6F">
        <w:rPr>
          <w:rFonts w:ascii="Times New Roman" w:hAnsi="Times New Roman"/>
          <w:b/>
          <w:bCs/>
          <w:sz w:val="24"/>
          <w:szCs w:val="24"/>
        </w:rPr>
        <w:lastRenderedPageBreak/>
        <w:t>Introduction</w:t>
      </w:r>
    </w:p>
    <w:p w:rsidR="0039339D" w:rsidRPr="00033E6F" w:rsidRDefault="00614FB1" w:rsidP="00192E60">
      <w:pPr>
        <w:pStyle w:val="Body"/>
        <w:spacing w:after="0" w:line="480" w:lineRule="auto"/>
        <w:ind w:firstLine="720"/>
        <w:jc w:val="both"/>
        <w:rPr>
          <w:rFonts w:ascii="Times New Roman" w:eastAsia="Times New Roman" w:hAnsi="Times New Roman" w:cs="Times New Roman"/>
          <w:sz w:val="24"/>
          <w:szCs w:val="24"/>
        </w:rPr>
      </w:pPr>
      <w:r w:rsidRPr="00033E6F">
        <w:rPr>
          <w:rFonts w:ascii="Times New Roman" w:hAnsi="Times New Roman"/>
          <w:sz w:val="24"/>
          <w:szCs w:val="24"/>
        </w:rPr>
        <w:t>R</w:t>
      </w:r>
      <w:r w:rsidR="0039339D" w:rsidRPr="00033E6F">
        <w:rPr>
          <w:rFonts w:ascii="Times New Roman" w:hAnsi="Times New Roman"/>
          <w:sz w:val="24"/>
          <w:szCs w:val="24"/>
        </w:rPr>
        <w:t xml:space="preserve">eadmissions after percutaneous coronary intervention (PCI) are a burden to patients and healthcare services, and </w:t>
      </w:r>
      <w:r w:rsidR="00C32442" w:rsidRPr="00033E6F">
        <w:rPr>
          <w:rFonts w:ascii="Times New Roman" w:hAnsi="Times New Roman"/>
          <w:sz w:val="24"/>
          <w:szCs w:val="24"/>
        </w:rPr>
        <w:t>are</w:t>
      </w:r>
      <w:r w:rsidR="0039339D" w:rsidRPr="00033E6F">
        <w:rPr>
          <w:rFonts w:ascii="Times New Roman" w:hAnsi="Times New Roman"/>
          <w:sz w:val="24"/>
          <w:szCs w:val="24"/>
        </w:rPr>
        <w:t xml:space="preserve"> potentially avoidable.</w:t>
      </w:r>
      <w:r w:rsidR="00907282" w:rsidRPr="00033E6F">
        <w:rPr>
          <w:rFonts w:ascii="Times New Roman" w:hAnsi="Times New Roman"/>
          <w:sz w:val="24"/>
          <w:szCs w:val="24"/>
          <w:vertAlign w:val="superscript"/>
        </w:rPr>
        <w:t>1</w:t>
      </w:r>
      <w:r w:rsidR="0039339D" w:rsidRPr="00033E6F">
        <w:rPr>
          <w:rFonts w:ascii="Times New Roman" w:hAnsi="Times New Roman"/>
          <w:sz w:val="24"/>
          <w:szCs w:val="24"/>
        </w:rPr>
        <w:t xml:space="preserve"> </w:t>
      </w:r>
      <w:r w:rsidRPr="00033E6F">
        <w:rPr>
          <w:rFonts w:ascii="Times New Roman" w:hAnsi="Times New Roman"/>
          <w:sz w:val="24"/>
          <w:szCs w:val="24"/>
        </w:rPr>
        <w:t>I</w:t>
      </w:r>
      <w:r w:rsidR="0039339D" w:rsidRPr="00033E6F">
        <w:rPr>
          <w:rFonts w:ascii="Times New Roman" w:hAnsi="Times New Roman"/>
          <w:sz w:val="24"/>
          <w:szCs w:val="24"/>
        </w:rPr>
        <w:t xml:space="preserve">t is </w:t>
      </w:r>
      <w:r w:rsidRPr="00033E6F">
        <w:rPr>
          <w:rFonts w:ascii="Times New Roman" w:hAnsi="Times New Roman"/>
          <w:sz w:val="24"/>
          <w:szCs w:val="24"/>
        </w:rPr>
        <w:t>unclear whether patients</w:t>
      </w:r>
      <w:r w:rsidR="0039339D" w:rsidRPr="00033E6F">
        <w:rPr>
          <w:rFonts w:ascii="Times New Roman" w:hAnsi="Times New Roman"/>
          <w:sz w:val="24"/>
          <w:szCs w:val="24"/>
        </w:rPr>
        <w:t xml:space="preserve"> </w:t>
      </w:r>
      <w:r w:rsidR="007B3C04" w:rsidRPr="00033E6F">
        <w:rPr>
          <w:rFonts w:ascii="Times New Roman" w:hAnsi="Times New Roman"/>
          <w:sz w:val="24"/>
          <w:szCs w:val="24"/>
        </w:rPr>
        <w:t xml:space="preserve">that </w:t>
      </w:r>
      <w:r w:rsidR="0039339D" w:rsidRPr="00033E6F">
        <w:rPr>
          <w:rFonts w:ascii="Times New Roman" w:hAnsi="Times New Roman"/>
          <w:sz w:val="24"/>
          <w:szCs w:val="24"/>
        </w:rPr>
        <w:t xml:space="preserve">have an unplanned readmission following PCI are more or less likely to be readmitted to the same hospital as their index PCI or </w:t>
      </w:r>
      <w:r w:rsidR="00DE1437" w:rsidRPr="00033E6F">
        <w:rPr>
          <w:rFonts w:ascii="Times New Roman" w:hAnsi="Times New Roman"/>
          <w:sz w:val="24"/>
          <w:szCs w:val="24"/>
        </w:rPr>
        <w:t xml:space="preserve">to </w:t>
      </w:r>
      <w:r w:rsidR="0039339D" w:rsidRPr="00033E6F">
        <w:rPr>
          <w:rFonts w:ascii="Times New Roman" w:hAnsi="Times New Roman"/>
          <w:sz w:val="24"/>
          <w:szCs w:val="24"/>
        </w:rPr>
        <w:t xml:space="preserve">a different one, and whether the causes for such readmissions and their clinical outcomes differ. </w:t>
      </w:r>
      <w:r w:rsidRPr="00033E6F">
        <w:rPr>
          <w:rFonts w:ascii="Times New Roman" w:hAnsi="Times New Roman"/>
          <w:sz w:val="24"/>
          <w:szCs w:val="24"/>
        </w:rPr>
        <w:t xml:space="preserve">A previous analysis of </w:t>
      </w:r>
      <w:r w:rsidR="0039339D" w:rsidRPr="00033E6F">
        <w:rPr>
          <w:rFonts w:ascii="Times New Roman" w:hAnsi="Times New Roman"/>
          <w:sz w:val="24"/>
          <w:szCs w:val="24"/>
        </w:rPr>
        <w:t>patients from 2 hospitals reported that 9.8% were readmitted following a PCI procedure within 30-days.</w:t>
      </w:r>
      <w:r w:rsidR="00B53F81" w:rsidRPr="00033E6F">
        <w:rPr>
          <w:rFonts w:ascii="Times New Roman" w:hAnsi="Times New Roman"/>
          <w:sz w:val="24"/>
          <w:szCs w:val="24"/>
          <w:vertAlign w:val="superscript"/>
        </w:rPr>
        <w:t>2</w:t>
      </w:r>
      <w:r w:rsidRPr="00033E6F">
        <w:rPr>
          <w:rFonts w:ascii="Times New Roman" w:hAnsi="Times New Roman"/>
          <w:sz w:val="24"/>
          <w:szCs w:val="24"/>
        </w:rPr>
        <w:t xml:space="preserve"> They reported that </w:t>
      </w:r>
      <w:r w:rsidR="0039339D" w:rsidRPr="00033E6F">
        <w:rPr>
          <w:rFonts w:ascii="Times New Roman" w:hAnsi="Times New Roman"/>
          <w:sz w:val="24"/>
          <w:szCs w:val="24"/>
        </w:rPr>
        <w:t>two-thirds of patients were readmitted to the same hospital at which the PCI was performed with the causes of readmission differing depending on whether the patient returned to the index hospital. Th</w:t>
      </w:r>
      <w:r w:rsidRPr="00033E6F">
        <w:rPr>
          <w:rFonts w:ascii="Times New Roman" w:hAnsi="Times New Roman"/>
          <w:sz w:val="24"/>
          <w:szCs w:val="24"/>
        </w:rPr>
        <w:t xml:space="preserve">is study was limited as it </w:t>
      </w:r>
      <w:r w:rsidR="007B3C04" w:rsidRPr="00033E6F">
        <w:rPr>
          <w:rFonts w:ascii="Times New Roman" w:hAnsi="Times New Roman"/>
          <w:sz w:val="24"/>
          <w:szCs w:val="24"/>
        </w:rPr>
        <w:t xml:space="preserve">only </w:t>
      </w:r>
      <w:r w:rsidR="0039339D" w:rsidRPr="00033E6F">
        <w:rPr>
          <w:rFonts w:ascii="Times New Roman" w:hAnsi="Times New Roman"/>
          <w:sz w:val="24"/>
          <w:szCs w:val="24"/>
        </w:rPr>
        <w:t>included data derived</w:t>
      </w:r>
      <w:r w:rsidRPr="00033E6F">
        <w:rPr>
          <w:rFonts w:ascii="Times New Roman" w:hAnsi="Times New Roman"/>
          <w:sz w:val="24"/>
          <w:szCs w:val="24"/>
        </w:rPr>
        <w:t xml:space="preserve"> from 2 hospitals</w:t>
      </w:r>
      <w:r w:rsidR="007B3C04" w:rsidRPr="00033E6F">
        <w:rPr>
          <w:rFonts w:ascii="Times New Roman" w:hAnsi="Times New Roman"/>
          <w:sz w:val="24"/>
          <w:szCs w:val="24"/>
        </w:rPr>
        <w:t xml:space="preserve"> and so its relevance to the wider healthcare setting is uncertain</w:t>
      </w:r>
      <w:r w:rsidRPr="00033E6F">
        <w:rPr>
          <w:rFonts w:ascii="Times New Roman" w:hAnsi="Times New Roman"/>
          <w:sz w:val="24"/>
          <w:szCs w:val="24"/>
        </w:rPr>
        <w:t xml:space="preserve">, and </w:t>
      </w:r>
      <w:r w:rsidR="007B3C04" w:rsidRPr="00033E6F">
        <w:rPr>
          <w:rFonts w:ascii="Times New Roman" w:hAnsi="Times New Roman"/>
          <w:sz w:val="24"/>
          <w:szCs w:val="24"/>
        </w:rPr>
        <w:t xml:space="preserve">also included </w:t>
      </w:r>
      <w:r w:rsidR="0039339D" w:rsidRPr="00033E6F">
        <w:rPr>
          <w:rFonts w:ascii="Times New Roman" w:hAnsi="Times New Roman"/>
          <w:sz w:val="24"/>
          <w:szCs w:val="24"/>
        </w:rPr>
        <w:t xml:space="preserve">staged PCI procedures </w:t>
      </w:r>
      <w:r w:rsidRPr="00033E6F">
        <w:rPr>
          <w:rFonts w:ascii="Times New Roman" w:hAnsi="Times New Roman"/>
          <w:sz w:val="24"/>
          <w:szCs w:val="24"/>
        </w:rPr>
        <w:t>which s</w:t>
      </w:r>
      <w:r w:rsidR="0039339D" w:rsidRPr="00033E6F">
        <w:rPr>
          <w:rFonts w:ascii="Times New Roman" w:hAnsi="Times New Roman"/>
          <w:sz w:val="24"/>
          <w:szCs w:val="24"/>
        </w:rPr>
        <w:t xml:space="preserve">hould not be considered as unplanned readmissions. To better understand readmissions to </w:t>
      </w:r>
      <w:r w:rsidRPr="00033E6F">
        <w:rPr>
          <w:rFonts w:ascii="Times New Roman" w:hAnsi="Times New Roman"/>
          <w:sz w:val="24"/>
          <w:szCs w:val="24"/>
        </w:rPr>
        <w:t xml:space="preserve">the </w:t>
      </w:r>
      <w:r w:rsidR="0039339D" w:rsidRPr="00033E6F">
        <w:rPr>
          <w:rFonts w:ascii="Times New Roman" w:hAnsi="Times New Roman"/>
          <w:sz w:val="24"/>
          <w:szCs w:val="24"/>
        </w:rPr>
        <w:t xml:space="preserve">same or different hospitals after PCI, we conducted an analysis of the </w:t>
      </w:r>
      <w:r w:rsidRPr="00033E6F">
        <w:rPr>
          <w:rFonts w:ascii="Times New Roman" w:hAnsi="Times New Roman"/>
          <w:sz w:val="24"/>
          <w:szCs w:val="24"/>
        </w:rPr>
        <w:t xml:space="preserve">Nationwide Readmission Database to </w:t>
      </w:r>
      <w:r w:rsidR="0039339D" w:rsidRPr="00033E6F">
        <w:rPr>
          <w:rFonts w:ascii="Times New Roman" w:hAnsi="Times New Roman"/>
          <w:sz w:val="24"/>
          <w:szCs w:val="24"/>
        </w:rPr>
        <w:t>evaluate the rates, causes, and outcomes for readmission depending on whether the patients were admitted to the index or non-index hospital.</w:t>
      </w:r>
    </w:p>
    <w:p w:rsidR="0039339D" w:rsidRPr="00033E6F" w:rsidRDefault="0039339D" w:rsidP="00DD4D4D">
      <w:pPr>
        <w:pStyle w:val="Body"/>
        <w:spacing w:after="0" w:line="480" w:lineRule="auto"/>
        <w:rPr>
          <w:rFonts w:ascii="Times New Roman" w:eastAsia="Times New Roman" w:hAnsi="Times New Roman" w:cs="Times New Roman"/>
          <w:b/>
          <w:bCs/>
          <w:sz w:val="24"/>
          <w:szCs w:val="24"/>
        </w:rPr>
      </w:pPr>
      <w:r w:rsidRPr="00033E6F">
        <w:rPr>
          <w:rFonts w:ascii="Times New Roman" w:hAnsi="Times New Roman"/>
          <w:b/>
          <w:bCs/>
          <w:sz w:val="24"/>
          <w:szCs w:val="24"/>
        </w:rPr>
        <w:t>Methods</w:t>
      </w:r>
    </w:p>
    <w:p w:rsidR="0039339D" w:rsidRPr="00033E6F" w:rsidRDefault="0039339D" w:rsidP="00DD4D4D">
      <w:pPr>
        <w:pStyle w:val="Body"/>
        <w:spacing w:after="0" w:line="480" w:lineRule="auto"/>
        <w:ind w:firstLine="720"/>
        <w:jc w:val="both"/>
        <w:rPr>
          <w:rFonts w:ascii="Times New Roman" w:eastAsia="Times New Roman" w:hAnsi="Times New Roman" w:cs="Times New Roman"/>
          <w:sz w:val="24"/>
          <w:szCs w:val="24"/>
        </w:rPr>
      </w:pPr>
      <w:r w:rsidRPr="00033E6F">
        <w:rPr>
          <w:rFonts w:ascii="Times New Roman" w:hAnsi="Times New Roman"/>
          <w:sz w:val="24"/>
          <w:szCs w:val="24"/>
        </w:rPr>
        <w:t>The Nationwide Readmission Database (NRD) developed by the Healthcare Cost and Utilization Project is a database which supports analyses of national readmission rates for all payers and insurers.</w:t>
      </w:r>
      <w:r w:rsidR="00B53F81" w:rsidRPr="00033E6F">
        <w:rPr>
          <w:rFonts w:ascii="Times New Roman" w:hAnsi="Times New Roman"/>
          <w:sz w:val="24"/>
          <w:szCs w:val="24"/>
          <w:vertAlign w:val="superscript"/>
        </w:rPr>
        <w:t>3</w:t>
      </w:r>
      <w:r w:rsidRPr="00033E6F">
        <w:rPr>
          <w:rFonts w:ascii="Times New Roman" w:hAnsi="Times New Roman"/>
          <w:sz w:val="24"/>
          <w:szCs w:val="24"/>
        </w:rPr>
        <w:t xml:space="preserve"> For the period of the NRD where this analysis was performed, the database is constructed from discharge level data of hospitalizations from 21 geographically dispersed participating states which represent 49.3% of the total U.S. population.</w:t>
      </w:r>
      <w:r w:rsidRPr="00033E6F">
        <w:rPr>
          <w:rFonts w:ascii="Times New Roman" w:hAnsi="Times New Roman"/>
          <w:sz w:val="24"/>
          <w:szCs w:val="24"/>
          <w:vertAlign w:val="superscript"/>
        </w:rPr>
        <w:t xml:space="preserve">1 </w:t>
      </w:r>
      <w:r w:rsidRPr="00033E6F">
        <w:rPr>
          <w:rFonts w:ascii="Times New Roman" w:hAnsi="Times New Roman"/>
          <w:sz w:val="24"/>
          <w:szCs w:val="24"/>
        </w:rPr>
        <w:t xml:space="preserve">A de-identified unique patient linkage number assigned to each patient is used to track readmission hospitals within a state during a calendar year. </w:t>
      </w:r>
    </w:p>
    <w:p w:rsidR="0039339D" w:rsidRPr="00033E6F" w:rsidRDefault="0039339D" w:rsidP="00DD4D4D">
      <w:pPr>
        <w:pStyle w:val="Body"/>
        <w:spacing w:after="0" w:line="480" w:lineRule="auto"/>
        <w:ind w:firstLine="720"/>
        <w:jc w:val="both"/>
        <w:rPr>
          <w:rFonts w:ascii="Times New Roman" w:eastAsia="Times New Roman" w:hAnsi="Times New Roman" w:cs="Times New Roman"/>
          <w:sz w:val="24"/>
          <w:szCs w:val="24"/>
        </w:rPr>
      </w:pPr>
      <w:r w:rsidRPr="00033E6F">
        <w:rPr>
          <w:rFonts w:ascii="Times New Roman" w:hAnsi="Times New Roman"/>
          <w:sz w:val="24"/>
          <w:szCs w:val="24"/>
        </w:rPr>
        <w:t xml:space="preserve">For each hospitalization episode, individual patients in the NRD dataset are assigned up to 15 procedure codes. The cohort with percutaneous coronary intervention (PCI) was </w:t>
      </w:r>
      <w:r w:rsidRPr="00033E6F">
        <w:rPr>
          <w:rFonts w:ascii="Times New Roman" w:hAnsi="Times New Roman"/>
          <w:sz w:val="24"/>
          <w:szCs w:val="24"/>
        </w:rPr>
        <w:lastRenderedPageBreak/>
        <w:t xml:space="preserve">defined by the </w:t>
      </w:r>
      <w:r w:rsidRPr="00033E6F">
        <w:rPr>
          <w:rFonts w:ascii="Times New Roman" w:hAnsi="Times New Roman"/>
          <w:color w:val="333333"/>
          <w:sz w:val="24"/>
          <w:szCs w:val="24"/>
          <w:u w:color="333333"/>
          <w:shd w:val="clear" w:color="auto" w:fill="FFFFFF"/>
        </w:rPr>
        <w:t xml:space="preserve">International Classification of Diseases-9th Revision (ICD-9) </w:t>
      </w:r>
      <w:r w:rsidRPr="00033E6F">
        <w:rPr>
          <w:rFonts w:ascii="Times New Roman" w:hAnsi="Times New Roman"/>
          <w:sz w:val="24"/>
          <w:szCs w:val="24"/>
        </w:rPr>
        <w:t xml:space="preserve">procedural codes </w:t>
      </w:r>
      <w:r w:rsidRPr="00033E6F">
        <w:rPr>
          <w:rFonts w:ascii="Times New Roman" w:hAnsi="Times New Roman"/>
          <w:sz w:val="24"/>
          <w:szCs w:val="24"/>
          <w:shd w:val="clear" w:color="auto" w:fill="FFFFFF"/>
        </w:rPr>
        <w:t>0066 (PTCA OR: CORONARY ATHER), 3606 (INSERT CORON ART STENT), and 3607 (INSERT DRUGELUTING CRNRY AR).</w:t>
      </w:r>
      <w:r w:rsidRPr="00033E6F">
        <w:rPr>
          <w:rFonts w:ascii="Times New Roman" w:hAnsi="Times New Roman"/>
          <w:sz w:val="24"/>
          <w:szCs w:val="24"/>
        </w:rPr>
        <w:t xml:space="preserve"> We excluded patients who died in-hospital during index PCI, patients with missing values for time to readmission, and patients who were transferred to other hospitals. In order to study unplanned readmissions, we excluded patients with readmissions that were classified as elective. As this study included more than one year and it was impossible to link patients across years, we excluded patients discharged in the month of December because these patients do not have complete 30-day follow-up for readmissions. The readmitted cohort was further split into those who were readmitted to index hospital, and those who were readmitted to non-index hospital.</w:t>
      </w:r>
    </w:p>
    <w:p w:rsidR="0039339D" w:rsidRPr="00033E6F" w:rsidRDefault="0039339D" w:rsidP="00DD4D4D">
      <w:pPr>
        <w:pStyle w:val="Body"/>
        <w:spacing w:after="0" w:line="480" w:lineRule="auto"/>
        <w:ind w:firstLine="720"/>
        <w:jc w:val="both"/>
        <w:rPr>
          <w:rFonts w:ascii="Times New Roman" w:eastAsia="Times New Roman" w:hAnsi="Times New Roman" w:cs="Times New Roman"/>
          <w:sz w:val="24"/>
          <w:szCs w:val="24"/>
          <w:shd w:val="clear" w:color="auto" w:fill="FFFFFF"/>
        </w:rPr>
      </w:pPr>
      <w:r w:rsidRPr="00033E6F">
        <w:rPr>
          <w:rFonts w:ascii="Times New Roman" w:hAnsi="Times New Roman"/>
          <w:sz w:val="24"/>
          <w:szCs w:val="24"/>
        </w:rPr>
        <w:t xml:space="preserve">The outcomes of this study were the rates of </w:t>
      </w:r>
      <w:r w:rsidR="006045E9" w:rsidRPr="00033E6F">
        <w:rPr>
          <w:rFonts w:ascii="Times New Roman" w:hAnsi="Times New Roman"/>
          <w:sz w:val="24"/>
          <w:szCs w:val="24"/>
        </w:rPr>
        <w:t xml:space="preserve">first </w:t>
      </w:r>
      <w:r w:rsidRPr="00033E6F">
        <w:rPr>
          <w:rFonts w:ascii="Times New Roman" w:hAnsi="Times New Roman"/>
          <w:sz w:val="24"/>
          <w:szCs w:val="24"/>
        </w:rPr>
        <w:t>unplanned readmissions to the index and non-index hospital</w:t>
      </w:r>
      <w:r w:rsidR="006045E9" w:rsidRPr="00033E6F">
        <w:rPr>
          <w:rFonts w:ascii="Times New Roman" w:hAnsi="Times New Roman"/>
          <w:sz w:val="24"/>
          <w:szCs w:val="24"/>
        </w:rPr>
        <w:t xml:space="preserve"> within 30-days</w:t>
      </w:r>
      <w:r w:rsidRPr="00033E6F">
        <w:rPr>
          <w:rFonts w:ascii="Times New Roman" w:hAnsi="Times New Roman"/>
          <w:sz w:val="24"/>
          <w:szCs w:val="24"/>
        </w:rPr>
        <w:t xml:space="preserve">. </w:t>
      </w:r>
      <w:r w:rsidR="003B0459" w:rsidRPr="00033E6F">
        <w:rPr>
          <w:rFonts w:ascii="Times New Roman" w:hAnsi="Times New Roman"/>
          <w:sz w:val="24"/>
          <w:szCs w:val="24"/>
        </w:rPr>
        <w:t xml:space="preserve">In addition, we also considered readmissions at 7 days, 90 days and 180 days at index and non-index hospital. </w:t>
      </w:r>
      <w:r w:rsidRPr="00033E6F">
        <w:rPr>
          <w:rFonts w:ascii="Times New Roman" w:hAnsi="Times New Roman"/>
          <w:sz w:val="24"/>
          <w:szCs w:val="24"/>
        </w:rPr>
        <w:t xml:space="preserve">Also, we evaluated the causes of unplanned readmissions as well as outcomes for readmissions including length of stay, diagnosis of acute myocardial infarction (AMI), PCI, </w:t>
      </w:r>
      <w:r w:rsidR="006045E9" w:rsidRPr="00033E6F">
        <w:rPr>
          <w:rFonts w:ascii="Times New Roman" w:hAnsi="Times New Roman"/>
          <w:sz w:val="24"/>
          <w:szCs w:val="24"/>
        </w:rPr>
        <w:t xml:space="preserve">all-cause </w:t>
      </w:r>
      <w:r w:rsidRPr="00033E6F">
        <w:rPr>
          <w:rFonts w:ascii="Times New Roman" w:hAnsi="Times New Roman"/>
          <w:sz w:val="24"/>
          <w:szCs w:val="24"/>
        </w:rPr>
        <w:t xml:space="preserve">death and the composite of AMI, PCI, and death. The </w:t>
      </w:r>
      <w:r w:rsidRPr="00033E6F">
        <w:rPr>
          <w:rFonts w:ascii="Times New Roman" w:hAnsi="Times New Roman"/>
          <w:sz w:val="24"/>
          <w:szCs w:val="24"/>
          <w:shd w:val="clear" w:color="auto" w:fill="FFFFFF"/>
        </w:rPr>
        <w:t>total cost of index admission and readmissions for each patient was determined by multiplying the hospital charges with the Agency for Healthcare Research and Quality’s all-payer cost-to-charge ratios for each hospital.</w:t>
      </w:r>
    </w:p>
    <w:p w:rsidR="0039339D" w:rsidRPr="00033E6F" w:rsidRDefault="0039339D" w:rsidP="00DD4D4D">
      <w:pPr>
        <w:pStyle w:val="Body"/>
        <w:spacing w:after="0" w:line="480" w:lineRule="auto"/>
        <w:ind w:firstLine="720"/>
        <w:jc w:val="both"/>
        <w:rPr>
          <w:rFonts w:ascii="Times New Roman" w:eastAsia="Times New Roman" w:hAnsi="Times New Roman" w:cs="Times New Roman"/>
          <w:sz w:val="24"/>
          <w:szCs w:val="24"/>
          <w:shd w:val="clear" w:color="auto" w:fill="FFFFFF"/>
        </w:rPr>
      </w:pPr>
      <w:r w:rsidRPr="00033E6F">
        <w:rPr>
          <w:rFonts w:ascii="Times New Roman" w:hAnsi="Times New Roman"/>
          <w:sz w:val="24"/>
          <w:szCs w:val="24"/>
          <w:shd w:val="clear" w:color="auto" w:fill="FFFFFF"/>
        </w:rPr>
        <w:t>We used ICD-9 codes to define clinical variables including smoking status, dyslipidemia, coronary artery disease, previous myocardial infarction, previous PCI, previous coronary artery bypass grafting (CABG), previous stroke or transient ischemic attack (TIA), atrial fibrillation, dementia, and receipt of circulatory support. Additional comorbidity variables were derived from the Elixhauser Comorbidity Software codes available in the NRD,</w:t>
      </w:r>
      <w:r w:rsidR="00B53F81" w:rsidRPr="00033E6F">
        <w:rPr>
          <w:rFonts w:ascii="Times New Roman" w:hAnsi="Times New Roman"/>
          <w:sz w:val="24"/>
          <w:szCs w:val="24"/>
          <w:vertAlign w:val="superscript"/>
        </w:rPr>
        <w:t>4</w:t>
      </w:r>
      <w:r w:rsidRPr="00033E6F">
        <w:rPr>
          <w:rFonts w:ascii="Times New Roman" w:hAnsi="Times New Roman"/>
          <w:sz w:val="24"/>
          <w:szCs w:val="24"/>
          <w:shd w:val="clear" w:color="auto" w:fill="FFFFFF"/>
        </w:rPr>
        <w:t xml:space="preserve"> and these included alcohol misuse, chronic lung disease, heart failure, diabetes, valvular heart disease, peptic ulcer disease, hypertension, renal failure, obesity, cancer, fluid and electrolyte </w:t>
      </w:r>
      <w:r w:rsidRPr="00033E6F">
        <w:rPr>
          <w:rFonts w:ascii="Times New Roman" w:hAnsi="Times New Roman"/>
          <w:sz w:val="24"/>
          <w:szCs w:val="24"/>
          <w:shd w:val="clear" w:color="auto" w:fill="FFFFFF"/>
        </w:rPr>
        <w:lastRenderedPageBreak/>
        <w:t>disorders, depression, peripheral vascular disease, hypothyroidism, liver disease, anemia, and coagulopathy. The paralysis variable from the Elixhauser comorbidities was use</w:t>
      </w:r>
      <w:r w:rsidR="006045E9" w:rsidRPr="00033E6F">
        <w:rPr>
          <w:rFonts w:ascii="Times New Roman" w:hAnsi="Times New Roman"/>
          <w:sz w:val="24"/>
          <w:szCs w:val="24"/>
          <w:shd w:val="clear" w:color="auto" w:fill="FFFFFF"/>
        </w:rPr>
        <w:t>d as a surrogate for hemiplegia. Using Clinical Classifications Software codes, c</w:t>
      </w:r>
      <w:r w:rsidRPr="00033E6F">
        <w:rPr>
          <w:rFonts w:ascii="Times New Roman" w:hAnsi="Times New Roman"/>
          <w:sz w:val="24"/>
          <w:szCs w:val="24"/>
          <w:shd w:val="clear" w:color="auto" w:fill="FFFFFF"/>
        </w:rPr>
        <w:t>onnective tissue disease</w:t>
      </w:r>
      <w:r w:rsidR="006045E9" w:rsidRPr="00033E6F">
        <w:rPr>
          <w:rFonts w:ascii="Times New Roman" w:hAnsi="Times New Roman"/>
          <w:sz w:val="24"/>
          <w:szCs w:val="24"/>
          <w:shd w:val="clear" w:color="auto" w:fill="FFFFFF"/>
        </w:rPr>
        <w:t xml:space="preserve"> was defined by codes 210 and 2011 while </w:t>
      </w:r>
      <w:r w:rsidRPr="00033E6F">
        <w:rPr>
          <w:rFonts w:ascii="Times New Roman" w:hAnsi="Times New Roman"/>
          <w:sz w:val="24"/>
          <w:szCs w:val="24"/>
          <w:shd w:val="clear" w:color="auto" w:fill="FFFFFF"/>
        </w:rPr>
        <w:t xml:space="preserve">leukemia </w:t>
      </w:r>
      <w:r w:rsidR="006045E9" w:rsidRPr="00033E6F">
        <w:rPr>
          <w:rFonts w:ascii="Times New Roman" w:hAnsi="Times New Roman"/>
          <w:sz w:val="24"/>
          <w:szCs w:val="24"/>
          <w:shd w:val="clear" w:color="auto" w:fill="FFFFFF"/>
        </w:rPr>
        <w:t>was defined by code 39</w:t>
      </w:r>
      <w:r w:rsidRPr="00033E6F">
        <w:rPr>
          <w:rFonts w:ascii="Times New Roman" w:hAnsi="Times New Roman"/>
          <w:sz w:val="24"/>
          <w:szCs w:val="24"/>
          <w:shd w:val="clear" w:color="auto" w:fill="FFFFFF"/>
        </w:rPr>
        <w:t>. The Charlson Comorbidity Index was derived from a combination of these comorbidity variables, and the number of co-morbidities was the sum of the co-morbidities included in the analysis. Procedural ICD-9 codes were used to define multi-vessel disease, bifurcation disease, circulatory support, vasopressor use, intra-aortic balloon pump use, fractional flow reserve use, intravascular ultrasound, and drug-eluting stent use. Diagnostic ICD-9 codes were used to define in-hospital outcomes including complete heart block, TIA or stroke, cardiogenic shock, cardiac arrest, acute kidney injury, major bleeding, blood transfusion, vascular complication, and emergency CABG. Additional data were collected on length of stay in hospital, hospital bed size, hospital location and hospital teaching status, and discharge destination. The causes of readmissions were determined by the first diagnosis based on Clinical Classification Software codes, which are presented in detail in Supplementary Table 1.</w:t>
      </w:r>
    </w:p>
    <w:p w:rsidR="0039339D" w:rsidRPr="00033E6F" w:rsidRDefault="0039339D" w:rsidP="00902495">
      <w:pPr>
        <w:pStyle w:val="Body"/>
        <w:shd w:val="clear" w:color="auto" w:fill="FFFFFF"/>
        <w:spacing w:after="0" w:line="480" w:lineRule="auto"/>
        <w:ind w:firstLine="720"/>
        <w:jc w:val="both"/>
        <w:rPr>
          <w:rFonts w:ascii="Times New Roman" w:eastAsia="Times New Roman" w:hAnsi="Times New Roman" w:cs="Times New Roman"/>
          <w:sz w:val="24"/>
          <w:szCs w:val="24"/>
        </w:rPr>
      </w:pPr>
      <w:r w:rsidRPr="00033E6F">
        <w:rPr>
          <w:rFonts w:ascii="Times New Roman" w:hAnsi="Times New Roman"/>
          <w:sz w:val="24"/>
          <w:szCs w:val="24"/>
        </w:rPr>
        <w:t>Statistical analysis was performed on Stata version 15.0 (StataCorp, College Station, Texas). As recommended by the Agency of Healthcare Research and Quality, the survey estimation commands were used to estimate the sample sizes in the analysis. A flow diagram was used to show the patient inclusion process, and the rate of readmissions to index and n</w:t>
      </w:r>
      <w:r w:rsidR="006045E9" w:rsidRPr="00033E6F">
        <w:rPr>
          <w:rFonts w:ascii="Times New Roman" w:hAnsi="Times New Roman"/>
          <w:sz w:val="24"/>
          <w:szCs w:val="24"/>
        </w:rPr>
        <w:t>on-index hospitals over time was shown graphically</w:t>
      </w:r>
      <w:r w:rsidRPr="00033E6F">
        <w:rPr>
          <w:rFonts w:ascii="Times New Roman" w:hAnsi="Times New Roman"/>
          <w:sz w:val="24"/>
          <w:szCs w:val="24"/>
        </w:rPr>
        <w:t xml:space="preserve">. </w:t>
      </w:r>
      <w:r w:rsidR="00B31581" w:rsidRPr="00033E6F">
        <w:rPr>
          <w:rFonts w:ascii="Times New Roman" w:hAnsi="Times New Roman"/>
          <w:sz w:val="24"/>
          <w:szCs w:val="24"/>
        </w:rPr>
        <w:t xml:space="preserve">The proportion of patients with an unplanned readmitted to index and non-index hospitals at 7 days, 30 days, 90 days and 180 days was determined. </w:t>
      </w:r>
      <w:r w:rsidRPr="00033E6F">
        <w:rPr>
          <w:rFonts w:ascii="Times New Roman" w:hAnsi="Times New Roman"/>
          <w:sz w:val="24"/>
          <w:szCs w:val="24"/>
        </w:rPr>
        <w:t>Descriptive statistics are presented according to readmission to index and non-index hospital. The statistical differences between readmission to index and non-index hospital for continuous and categorical variables were compared using the </w:t>
      </w:r>
      <w:r w:rsidRPr="00033E6F">
        <w:rPr>
          <w:rFonts w:ascii="Times New Roman" w:hAnsi="Times New Roman"/>
          <w:i/>
          <w:iCs/>
          <w:sz w:val="24"/>
          <w:szCs w:val="24"/>
        </w:rPr>
        <w:t>t</w:t>
      </w:r>
      <w:r w:rsidRPr="00033E6F">
        <w:rPr>
          <w:rFonts w:ascii="Times New Roman" w:hAnsi="Times New Roman"/>
          <w:sz w:val="24"/>
          <w:szCs w:val="24"/>
        </w:rPr>
        <w:t xml:space="preserve"> test and chi-square test, respectively. Multiple logistic regressions were used to identify independent variables </w:t>
      </w:r>
      <w:r w:rsidRPr="00033E6F">
        <w:rPr>
          <w:rFonts w:ascii="Times New Roman" w:hAnsi="Times New Roman"/>
          <w:sz w:val="24"/>
          <w:szCs w:val="24"/>
        </w:rPr>
        <w:lastRenderedPageBreak/>
        <w:t>associated with 30-day readmissions to index and non-index hospital after PCI. Further regressions were used to determine the odds of acute myocardial infarction, PCI, death, and the composite of AMI, PCI and death at readmission. The logistic regression models were adjusted for age, sex, year, elective admission, weekend admission, diagnosis of AMI, primary expected payer, median household income, smoking, alcohol misuse, dyslipidemia, hypertension, diabetes mellitus, obesity, heart failure, coronary artery disease, previous myocardial infarction, previous PCI, previous CABG, previous valve disease, atrial fibrillation, previous TIA or stroke, peripheral vascular disease, pulmonary circulatory disorder, peptic ulcer disease, chronic lung disease, chronic kidney disease, liver disease, hypothyroidism, fluid and electrolyte disorders, anemia, cancer, depression, dementia, hospital bed size, hospital location, hospital teaching status, multi-vessel disease, bifurcation lesion, circulatory support, vasopressor use, intra-aortic balloon pump use, fractional flow reserve, intravascular ultrasound use, drug-eluting stent, in-hospital complete heart block, TIA or stroke, cardiogenic shock, cardiac arrest, acute kidney injury, major bleeding, blood transfusion, vascular complications, emergency CABG, length of stay, and discharge destination. The causes of readmission within 30 days are presented in a figure format as noncardiac and cardiac. A flow diagram was used to describe patient outcomes (in-hospital death) for both admissions and readmissions.</w:t>
      </w:r>
      <w:r w:rsidR="00FC26AE" w:rsidRPr="00033E6F">
        <w:rPr>
          <w:rFonts w:ascii="Times New Roman" w:hAnsi="Times New Roman"/>
          <w:sz w:val="24"/>
          <w:szCs w:val="24"/>
        </w:rPr>
        <w:t xml:space="preserve"> We conducted a sensitivity analysis adjusted for whether the readmission hospital had PCI facilities</w:t>
      </w:r>
      <w:r w:rsidR="00907979" w:rsidRPr="00033E6F">
        <w:rPr>
          <w:rFonts w:ascii="Times New Roman" w:hAnsi="Times New Roman"/>
          <w:sz w:val="24"/>
          <w:szCs w:val="24"/>
        </w:rPr>
        <w:t xml:space="preserve"> or not</w:t>
      </w:r>
      <w:r w:rsidR="00FC26AE" w:rsidRPr="00033E6F">
        <w:rPr>
          <w:rFonts w:ascii="Times New Roman" w:hAnsi="Times New Roman"/>
          <w:sz w:val="24"/>
          <w:szCs w:val="24"/>
        </w:rPr>
        <w:t>.</w:t>
      </w:r>
    </w:p>
    <w:p w:rsidR="0039339D" w:rsidRPr="00033E6F" w:rsidRDefault="0039339D" w:rsidP="00DD4D4D">
      <w:pPr>
        <w:pStyle w:val="Body"/>
        <w:spacing w:after="0" w:line="480" w:lineRule="auto"/>
        <w:jc w:val="both"/>
        <w:rPr>
          <w:rFonts w:ascii="Times New Roman" w:eastAsia="Times New Roman" w:hAnsi="Times New Roman" w:cs="Times New Roman"/>
          <w:b/>
          <w:bCs/>
          <w:sz w:val="24"/>
          <w:szCs w:val="24"/>
          <w:shd w:val="clear" w:color="auto" w:fill="FFFFFF"/>
        </w:rPr>
      </w:pPr>
      <w:r w:rsidRPr="00033E6F">
        <w:rPr>
          <w:rFonts w:ascii="Times New Roman" w:hAnsi="Times New Roman"/>
          <w:b/>
          <w:bCs/>
          <w:sz w:val="24"/>
          <w:szCs w:val="24"/>
          <w:shd w:val="clear" w:color="auto" w:fill="FFFFFF"/>
        </w:rPr>
        <w:t>Results</w:t>
      </w:r>
    </w:p>
    <w:p w:rsidR="0039339D" w:rsidRPr="00033E6F" w:rsidRDefault="002663F3" w:rsidP="00DD4D4D">
      <w:pPr>
        <w:pStyle w:val="Body"/>
        <w:spacing w:after="0" w:line="480" w:lineRule="auto"/>
        <w:ind w:firstLine="720"/>
        <w:jc w:val="both"/>
        <w:rPr>
          <w:rFonts w:ascii="Times New Roman" w:eastAsia="Times New Roman" w:hAnsi="Times New Roman" w:cs="Times New Roman"/>
          <w:sz w:val="24"/>
          <w:szCs w:val="24"/>
        </w:rPr>
      </w:pPr>
      <w:r w:rsidRPr="00033E6F">
        <w:rPr>
          <w:rFonts w:ascii="Times New Roman" w:hAnsi="Times New Roman"/>
          <w:sz w:val="24"/>
          <w:szCs w:val="24"/>
          <w:shd w:val="clear" w:color="auto" w:fill="FFFFFF"/>
        </w:rPr>
        <w:t>A total of 2,183,851 patients were included in the analysis from</w:t>
      </w:r>
      <w:r w:rsidR="0039339D" w:rsidRPr="00033E6F">
        <w:rPr>
          <w:rFonts w:ascii="Times New Roman" w:hAnsi="Times New Roman"/>
          <w:sz w:val="24"/>
          <w:szCs w:val="24"/>
          <w:shd w:val="clear" w:color="auto" w:fill="FFFFFF"/>
        </w:rPr>
        <w:t xml:space="preserve"> 2,576,141 patients who underwent PCI in the NRD database between 2010 and 2014, (</w:t>
      </w:r>
      <w:r w:rsidR="00962564" w:rsidRPr="00033E6F">
        <w:rPr>
          <w:rFonts w:ascii="Times New Roman" w:hAnsi="Times New Roman"/>
          <w:sz w:val="24"/>
          <w:szCs w:val="24"/>
          <w:shd w:val="clear" w:color="auto" w:fill="FFFFFF"/>
        </w:rPr>
        <w:t xml:space="preserve">Supplementary </w:t>
      </w:r>
      <w:r w:rsidR="0039339D" w:rsidRPr="00033E6F">
        <w:rPr>
          <w:rFonts w:ascii="Times New Roman" w:hAnsi="Times New Roman"/>
          <w:sz w:val="24"/>
          <w:szCs w:val="24"/>
          <w:shd w:val="clear" w:color="auto" w:fill="FFFFFF"/>
        </w:rPr>
        <w:t xml:space="preserve">Figure 1). The 30-day unplanned readmission rate was 9.2%, of which 7.1% were readmitted to the index hospital and 2.1% were readmitted to the non-index hospital. The time to readmission to the index hospital was on average a day shorter compared with readmission to </w:t>
      </w:r>
      <w:r w:rsidR="000A4818" w:rsidRPr="00033E6F">
        <w:rPr>
          <w:rFonts w:ascii="Times New Roman" w:hAnsi="Times New Roman"/>
          <w:sz w:val="24"/>
          <w:szCs w:val="24"/>
          <w:shd w:val="clear" w:color="auto" w:fill="FFFFFF"/>
        </w:rPr>
        <w:t>a non-index hospital</w:t>
      </w:r>
      <w:r w:rsidR="0039339D" w:rsidRPr="00033E6F">
        <w:rPr>
          <w:rFonts w:ascii="Times New Roman" w:hAnsi="Times New Roman"/>
          <w:sz w:val="24"/>
          <w:szCs w:val="24"/>
        </w:rPr>
        <w:t>.</w:t>
      </w:r>
      <w:r w:rsidR="005E39E7" w:rsidRPr="00033E6F">
        <w:rPr>
          <w:rFonts w:ascii="Times New Roman" w:hAnsi="Times New Roman"/>
          <w:sz w:val="24"/>
          <w:szCs w:val="24"/>
        </w:rPr>
        <w:t xml:space="preserve"> </w:t>
      </w:r>
      <w:r w:rsidR="005E39E7" w:rsidRPr="00033E6F">
        <w:rPr>
          <w:rFonts w:ascii="Times New Roman" w:hAnsi="Times New Roman"/>
          <w:sz w:val="24"/>
          <w:szCs w:val="24"/>
        </w:rPr>
        <w:lastRenderedPageBreak/>
        <w:t>The proportion of patients readmitted at 7 days, 30 days, 90 days and 180 days were 2.4%, 9.2%, 17.7% and 23.1%. Those readmitted to index hospital was much higher than non-index hospital at all follow up time points.</w:t>
      </w:r>
      <w:r w:rsidR="009366E2" w:rsidRPr="00033E6F">
        <w:rPr>
          <w:rFonts w:ascii="Times New Roman" w:hAnsi="Times New Roman"/>
          <w:sz w:val="24"/>
          <w:szCs w:val="24"/>
        </w:rPr>
        <w:t xml:space="preserve"> The</w:t>
      </w:r>
      <w:r w:rsidR="00E854B4" w:rsidRPr="00033E6F">
        <w:rPr>
          <w:rFonts w:ascii="Times New Roman" w:hAnsi="Times New Roman"/>
          <w:sz w:val="24"/>
          <w:szCs w:val="24"/>
        </w:rPr>
        <w:t xml:space="preserve"> declining</w:t>
      </w:r>
      <w:r w:rsidR="009366E2" w:rsidRPr="00033E6F">
        <w:rPr>
          <w:rFonts w:ascii="Times New Roman" w:hAnsi="Times New Roman"/>
          <w:sz w:val="24"/>
          <w:szCs w:val="24"/>
        </w:rPr>
        <w:t xml:space="preserve"> portion of readmission</w:t>
      </w:r>
      <w:r w:rsidR="00E854B4" w:rsidRPr="00033E6F">
        <w:rPr>
          <w:rFonts w:ascii="Times New Roman" w:hAnsi="Times New Roman"/>
          <w:sz w:val="24"/>
          <w:szCs w:val="24"/>
        </w:rPr>
        <w:t>s</w:t>
      </w:r>
      <w:r w:rsidR="009366E2" w:rsidRPr="00033E6F">
        <w:rPr>
          <w:rFonts w:ascii="Times New Roman" w:hAnsi="Times New Roman"/>
          <w:sz w:val="24"/>
          <w:szCs w:val="24"/>
        </w:rPr>
        <w:t xml:space="preserve"> to ind</w:t>
      </w:r>
      <w:r w:rsidR="00E854B4" w:rsidRPr="00033E6F">
        <w:rPr>
          <w:rFonts w:ascii="Times New Roman" w:hAnsi="Times New Roman"/>
          <w:sz w:val="24"/>
          <w:szCs w:val="24"/>
        </w:rPr>
        <w:t>ex hospital with increasing</w:t>
      </w:r>
      <w:r w:rsidR="009366E2" w:rsidRPr="00033E6F">
        <w:rPr>
          <w:rFonts w:ascii="Times New Roman" w:hAnsi="Times New Roman"/>
          <w:sz w:val="24"/>
          <w:szCs w:val="24"/>
        </w:rPr>
        <w:t xml:space="preserve"> </w:t>
      </w:r>
      <w:r w:rsidR="00962564" w:rsidRPr="00033E6F">
        <w:rPr>
          <w:rFonts w:ascii="Times New Roman" w:hAnsi="Times New Roman"/>
          <w:sz w:val="24"/>
          <w:szCs w:val="24"/>
        </w:rPr>
        <w:t>time points is shown in Figure 1</w:t>
      </w:r>
      <w:r w:rsidR="009366E2" w:rsidRPr="00033E6F">
        <w:rPr>
          <w:rFonts w:ascii="Times New Roman" w:hAnsi="Times New Roman"/>
          <w:sz w:val="24"/>
          <w:szCs w:val="24"/>
        </w:rPr>
        <w:t xml:space="preserve">. </w:t>
      </w:r>
    </w:p>
    <w:p w:rsidR="0039339D" w:rsidRPr="00033E6F" w:rsidRDefault="0039339D" w:rsidP="00DD4D4D">
      <w:pPr>
        <w:pStyle w:val="Body"/>
        <w:spacing w:after="0" w:line="480" w:lineRule="auto"/>
        <w:ind w:firstLine="720"/>
        <w:jc w:val="both"/>
        <w:rPr>
          <w:rFonts w:ascii="Times New Roman" w:eastAsia="Times New Roman" w:hAnsi="Times New Roman" w:cs="Times New Roman"/>
          <w:sz w:val="24"/>
          <w:szCs w:val="24"/>
          <w:shd w:val="clear" w:color="auto" w:fill="FFFFFF"/>
        </w:rPr>
      </w:pPr>
      <w:r w:rsidRPr="00033E6F">
        <w:rPr>
          <w:rFonts w:ascii="Times New Roman" w:hAnsi="Times New Roman"/>
          <w:sz w:val="24"/>
          <w:szCs w:val="24"/>
        </w:rPr>
        <w:t>The trends in the proportion of readmissions to index and non-index</w:t>
      </w:r>
      <w:r w:rsidR="00962564" w:rsidRPr="00033E6F">
        <w:rPr>
          <w:rFonts w:ascii="Times New Roman" w:hAnsi="Times New Roman"/>
          <w:sz w:val="24"/>
          <w:szCs w:val="24"/>
        </w:rPr>
        <w:t xml:space="preserve"> hospitals are shown in </w:t>
      </w:r>
      <w:r w:rsidR="003F1B39" w:rsidRPr="00033E6F">
        <w:rPr>
          <w:rFonts w:ascii="Times New Roman" w:hAnsi="Times New Roman"/>
          <w:sz w:val="24"/>
          <w:szCs w:val="24"/>
        </w:rPr>
        <w:t xml:space="preserve">Supplementary </w:t>
      </w:r>
      <w:r w:rsidR="00962564" w:rsidRPr="00033E6F">
        <w:rPr>
          <w:rFonts w:ascii="Times New Roman" w:hAnsi="Times New Roman"/>
          <w:sz w:val="24"/>
          <w:szCs w:val="24"/>
        </w:rPr>
        <w:t>Figure 2</w:t>
      </w:r>
      <w:r w:rsidRPr="00033E6F">
        <w:rPr>
          <w:rFonts w:ascii="Times New Roman" w:hAnsi="Times New Roman"/>
          <w:sz w:val="24"/>
          <w:szCs w:val="24"/>
        </w:rPr>
        <w:t>. Between 2010 and 2014, no major differences in trends for readmissions were observed.</w:t>
      </w:r>
    </w:p>
    <w:p w:rsidR="0039339D" w:rsidRPr="00033E6F" w:rsidRDefault="0039339D" w:rsidP="00DD4D4D">
      <w:pPr>
        <w:pStyle w:val="Body"/>
        <w:spacing w:after="0" w:line="480" w:lineRule="auto"/>
        <w:jc w:val="both"/>
        <w:rPr>
          <w:rFonts w:ascii="Times New Roman" w:eastAsia="Times New Roman" w:hAnsi="Times New Roman" w:cs="Times New Roman"/>
          <w:sz w:val="24"/>
          <w:szCs w:val="24"/>
          <w:shd w:val="clear" w:color="auto" w:fill="FFFFFF"/>
        </w:rPr>
      </w:pPr>
      <w:r w:rsidRPr="00033E6F">
        <w:rPr>
          <w:rFonts w:ascii="Times New Roman" w:eastAsia="Times New Roman" w:hAnsi="Times New Roman" w:cs="Times New Roman"/>
          <w:sz w:val="24"/>
          <w:szCs w:val="24"/>
          <w:shd w:val="clear" w:color="auto" w:fill="FFFFFF"/>
        </w:rPr>
        <w:tab/>
        <w:t>The descriptive statistics of the PCI cohort according to readmission status, and by readmission to index and non-index hospitals are shown in Table 1. Patients readmitted to a non-index hospital were more likely to have had elective PCI at the index procedure</w:t>
      </w:r>
      <w:r w:rsidRPr="00033E6F">
        <w:rPr>
          <w:rFonts w:ascii="Times New Roman" w:hAnsi="Times New Roman"/>
          <w:sz w:val="24"/>
          <w:szCs w:val="24"/>
          <w:shd w:val="clear" w:color="auto" w:fill="FFFFFF"/>
        </w:rPr>
        <w:t xml:space="preserve">. There was also a slightly higher prevalence of cardiac co-morbidities among patients readmitted to a non-index hospital. There was </w:t>
      </w:r>
      <w:r w:rsidR="004E4200" w:rsidRPr="00033E6F">
        <w:rPr>
          <w:rFonts w:ascii="Times New Roman" w:hAnsi="Times New Roman"/>
          <w:sz w:val="24"/>
          <w:szCs w:val="24"/>
          <w:shd w:val="clear" w:color="auto" w:fill="FFFFFF"/>
        </w:rPr>
        <w:t>a</w:t>
      </w:r>
      <w:r w:rsidRPr="00033E6F">
        <w:rPr>
          <w:rFonts w:ascii="Times New Roman" w:hAnsi="Times New Roman"/>
          <w:sz w:val="24"/>
          <w:szCs w:val="24"/>
          <w:shd w:val="clear" w:color="auto" w:fill="FFFFFF"/>
        </w:rPr>
        <w:t xml:space="preserve"> greater proportion of patients with chronic lung disease, renal failure and anemia among patients readmitted to a non-index hospital. </w:t>
      </w:r>
      <w:r w:rsidRPr="00033E6F">
        <w:rPr>
          <w:rFonts w:ascii="Times New Roman" w:hAnsi="Times New Roman"/>
          <w:sz w:val="24"/>
          <w:szCs w:val="24"/>
        </w:rPr>
        <w:t>The comorbidity burden was greater among patients who were readmitted to the non-index hospital with a greater mean number of co-m</w:t>
      </w:r>
      <w:r w:rsidR="00D66D37" w:rsidRPr="00033E6F">
        <w:rPr>
          <w:rFonts w:ascii="Times New Roman" w:hAnsi="Times New Roman"/>
          <w:sz w:val="24"/>
          <w:szCs w:val="24"/>
        </w:rPr>
        <w:t>orbidities</w:t>
      </w:r>
      <w:r w:rsidRPr="00033E6F">
        <w:rPr>
          <w:rFonts w:ascii="Times New Roman" w:hAnsi="Times New Roman"/>
          <w:sz w:val="24"/>
          <w:szCs w:val="24"/>
        </w:rPr>
        <w:t xml:space="preserve">. </w:t>
      </w:r>
      <w:r w:rsidRPr="00033E6F">
        <w:rPr>
          <w:rFonts w:ascii="Times New Roman" w:hAnsi="Times New Roman"/>
          <w:sz w:val="24"/>
          <w:szCs w:val="24"/>
          <w:shd w:val="clear" w:color="auto" w:fill="FFFFFF"/>
        </w:rPr>
        <w:t xml:space="preserve">No major absolute differences in proportions of index PCI variables were observed for peri-procedural events, length of stay, and cost comparing readmissions with index and non-index hospitals. </w:t>
      </w:r>
    </w:p>
    <w:p w:rsidR="0039339D" w:rsidRPr="00033E6F" w:rsidRDefault="0039339D" w:rsidP="00DD4D4D">
      <w:pPr>
        <w:pStyle w:val="Body"/>
        <w:spacing w:after="0" w:line="480" w:lineRule="auto"/>
        <w:jc w:val="both"/>
        <w:rPr>
          <w:rFonts w:ascii="Times New Roman" w:eastAsia="Times New Roman" w:hAnsi="Times New Roman" w:cs="Times New Roman"/>
          <w:sz w:val="24"/>
          <w:szCs w:val="24"/>
          <w:shd w:val="clear" w:color="auto" w:fill="FFFFFF"/>
        </w:rPr>
      </w:pPr>
      <w:r w:rsidRPr="00033E6F">
        <w:rPr>
          <w:rFonts w:ascii="Times New Roman" w:eastAsia="Times New Roman" w:hAnsi="Times New Roman" w:cs="Times New Roman"/>
          <w:sz w:val="24"/>
          <w:szCs w:val="24"/>
          <w:shd w:val="clear" w:color="auto" w:fill="FFFFFF"/>
        </w:rPr>
        <w:tab/>
        <w:t xml:space="preserve">The </w:t>
      </w:r>
      <w:r w:rsidR="006045E9" w:rsidRPr="00033E6F">
        <w:rPr>
          <w:rFonts w:ascii="Times New Roman" w:eastAsia="Times New Roman" w:hAnsi="Times New Roman" w:cs="Times New Roman"/>
          <w:sz w:val="24"/>
          <w:szCs w:val="24"/>
          <w:shd w:val="clear" w:color="auto" w:fill="FFFFFF"/>
        </w:rPr>
        <w:t xml:space="preserve">adjusted </w:t>
      </w:r>
      <w:r w:rsidRPr="00033E6F">
        <w:rPr>
          <w:rFonts w:ascii="Times New Roman" w:eastAsia="Times New Roman" w:hAnsi="Times New Roman" w:cs="Times New Roman"/>
          <w:sz w:val="24"/>
          <w:szCs w:val="24"/>
          <w:shd w:val="clear" w:color="auto" w:fill="FFFFFF"/>
        </w:rPr>
        <w:t xml:space="preserve">odds of readmission to index and non-index hospital are shown in </w:t>
      </w:r>
      <w:r w:rsidR="003F1B39" w:rsidRPr="00033E6F">
        <w:rPr>
          <w:rFonts w:ascii="Times New Roman" w:eastAsia="Times New Roman" w:hAnsi="Times New Roman" w:cs="Times New Roman"/>
          <w:sz w:val="24"/>
          <w:szCs w:val="24"/>
          <w:shd w:val="clear" w:color="auto" w:fill="FFFFFF"/>
        </w:rPr>
        <w:t xml:space="preserve">Supplementary </w:t>
      </w:r>
      <w:r w:rsidRPr="00033E6F">
        <w:rPr>
          <w:rFonts w:ascii="Times New Roman" w:eastAsia="Times New Roman" w:hAnsi="Times New Roman" w:cs="Times New Roman"/>
          <w:sz w:val="24"/>
          <w:szCs w:val="24"/>
          <w:shd w:val="clear" w:color="auto" w:fill="FFFFFF"/>
        </w:rPr>
        <w:t xml:space="preserve">Table 2. Female patients showed greater propensity compared </w:t>
      </w:r>
      <w:r w:rsidRPr="00033E6F">
        <w:rPr>
          <w:rFonts w:ascii="Times New Roman" w:hAnsi="Times New Roman"/>
          <w:sz w:val="24"/>
          <w:szCs w:val="24"/>
          <w:shd w:val="clear" w:color="auto" w:fill="FFFFFF"/>
        </w:rPr>
        <w:t xml:space="preserve">with men to be readmitted to both index </w:t>
      </w:r>
      <w:r w:rsidR="00D374A5" w:rsidRPr="00033E6F">
        <w:rPr>
          <w:rFonts w:ascii="Times New Roman" w:hAnsi="Times New Roman"/>
          <w:sz w:val="24"/>
          <w:szCs w:val="24"/>
          <w:shd w:val="clear" w:color="auto" w:fill="FFFFFF"/>
        </w:rPr>
        <w:t>and non-index hospital</w:t>
      </w:r>
      <w:r w:rsidRPr="00033E6F">
        <w:rPr>
          <w:rFonts w:ascii="Times New Roman" w:hAnsi="Times New Roman"/>
          <w:sz w:val="24"/>
          <w:szCs w:val="24"/>
          <w:shd w:val="clear" w:color="auto" w:fill="FFFFFF"/>
        </w:rPr>
        <w:t xml:space="preserve">. Patients who misused alcohol were more likely to be readmitted to </w:t>
      </w:r>
      <w:r w:rsidR="004E4200" w:rsidRPr="00033E6F">
        <w:rPr>
          <w:rFonts w:ascii="Times New Roman" w:hAnsi="Times New Roman"/>
          <w:sz w:val="24"/>
          <w:szCs w:val="24"/>
          <w:shd w:val="clear" w:color="auto" w:fill="FFFFFF"/>
        </w:rPr>
        <w:t xml:space="preserve">a </w:t>
      </w:r>
      <w:r w:rsidRPr="00033E6F">
        <w:rPr>
          <w:rFonts w:ascii="Times New Roman" w:hAnsi="Times New Roman"/>
          <w:sz w:val="24"/>
          <w:szCs w:val="24"/>
          <w:shd w:val="clear" w:color="auto" w:fill="FFFFFF"/>
        </w:rPr>
        <w:t>non-index hospital, but no difference was observed for index hospital. While co-morbidities were associated with readmissions to both index and non-index hospitals, in general the odds were greater for patients admitted to non-index hospitals (chronic lung disease, renal failure, anemia, cancer, and dementia</w:t>
      </w:r>
      <w:r w:rsidR="004E4200" w:rsidRPr="00033E6F">
        <w:rPr>
          <w:rFonts w:ascii="Times New Roman" w:hAnsi="Times New Roman"/>
          <w:sz w:val="24"/>
          <w:szCs w:val="24"/>
          <w:shd w:val="clear" w:color="auto" w:fill="FFFFFF"/>
        </w:rPr>
        <w:t>)</w:t>
      </w:r>
      <w:r w:rsidRPr="00033E6F">
        <w:rPr>
          <w:rFonts w:ascii="Times New Roman" w:hAnsi="Times New Roman"/>
          <w:sz w:val="24"/>
          <w:szCs w:val="24"/>
          <w:shd w:val="clear" w:color="auto" w:fill="FFFFFF"/>
        </w:rPr>
        <w:t xml:space="preserve">. Patients who discharged against </w:t>
      </w:r>
      <w:r w:rsidRPr="00033E6F">
        <w:rPr>
          <w:rFonts w:ascii="Times New Roman" w:hAnsi="Times New Roman"/>
          <w:sz w:val="24"/>
          <w:szCs w:val="24"/>
          <w:shd w:val="clear" w:color="auto" w:fill="FFFFFF"/>
        </w:rPr>
        <w:lastRenderedPageBreak/>
        <w:t>medical advice were more likely to be rea</w:t>
      </w:r>
      <w:r w:rsidR="00D374A5" w:rsidRPr="00033E6F">
        <w:rPr>
          <w:rFonts w:ascii="Times New Roman" w:hAnsi="Times New Roman"/>
          <w:sz w:val="24"/>
          <w:szCs w:val="24"/>
          <w:shd w:val="clear" w:color="auto" w:fill="FFFFFF"/>
        </w:rPr>
        <w:t>dmitted to a non-index hospital</w:t>
      </w:r>
      <w:r w:rsidRPr="00033E6F">
        <w:rPr>
          <w:rFonts w:ascii="Times New Roman" w:hAnsi="Times New Roman"/>
          <w:sz w:val="24"/>
          <w:szCs w:val="24"/>
          <w:shd w:val="clear" w:color="auto" w:fill="FFFFFF"/>
        </w:rPr>
        <w:t xml:space="preserve"> compared with </w:t>
      </w:r>
      <w:r w:rsidR="004E4200" w:rsidRPr="00033E6F">
        <w:rPr>
          <w:rFonts w:ascii="Times New Roman" w:hAnsi="Times New Roman"/>
          <w:sz w:val="24"/>
          <w:szCs w:val="24"/>
          <w:shd w:val="clear" w:color="auto" w:fill="FFFFFF"/>
        </w:rPr>
        <w:t xml:space="preserve">an </w:t>
      </w:r>
      <w:r w:rsidRPr="00033E6F">
        <w:rPr>
          <w:rFonts w:ascii="Times New Roman" w:hAnsi="Times New Roman"/>
          <w:sz w:val="24"/>
          <w:szCs w:val="24"/>
          <w:shd w:val="clear" w:color="auto" w:fill="FFFFFF"/>
        </w:rPr>
        <w:t>index hospital.</w:t>
      </w:r>
    </w:p>
    <w:p w:rsidR="0039339D" w:rsidRPr="00033E6F" w:rsidRDefault="0039339D" w:rsidP="00DD4D4D">
      <w:pPr>
        <w:pStyle w:val="Body"/>
        <w:spacing w:after="0" w:line="480" w:lineRule="auto"/>
        <w:jc w:val="both"/>
        <w:rPr>
          <w:rFonts w:ascii="Times New Roman" w:eastAsia="Times New Roman" w:hAnsi="Times New Roman" w:cs="Times New Roman"/>
          <w:sz w:val="24"/>
          <w:szCs w:val="24"/>
        </w:rPr>
      </w:pPr>
      <w:r w:rsidRPr="00033E6F">
        <w:rPr>
          <w:rFonts w:ascii="Times New Roman" w:eastAsia="Times New Roman" w:hAnsi="Times New Roman" w:cs="Times New Roman"/>
          <w:sz w:val="24"/>
          <w:szCs w:val="24"/>
          <w:shd w:val="clear" w:color="auto" w:fill="FFFFFF"/>
        </w:rPr>
        <w:tab/>
        <w:t xml:space="preserve">Overall, 55% of readmissions were attributed to non-cardiac reasons. </w:t>
      </w:r>
      <w:r w:rsidRPr="00033E6F">
        <w:rPr>
          <w:rFonts w:ascii="Times New Roman" w:hAnsi="Times New Roman"/>
          <w:sz w:val="24"/>
          <w:szCs w:val="24"/>
        </w:rPr>
        <w:t xml:space="preserve">The rate of non-cardiac readmissions was significantly lower among patients who were readmitted to </w:t>
      </w:r>
      <w:r w:rsidR="00AB0ABF" w:rsidRPr="00033E6F">
        <w:rPr>
          <w:rFonts w:ascii="Times New Roman" w:hAnsi="Times New Roman"/>
          <w:sz w:val="24"/>
          <w:szCs w:val="24"/>
        </w:rPr>
        <w:t xml:space="preserve">an </w:t>
      </w:r>
      <w:r w:rsidRPr="00033E6F">
        <w:rPr>
          <w:rFonts w:ascii="Times New Roman" w:hAnsi="Times New Roman"/>
          <w:sz w:val="24"/>
          <w:szCs w:val="24"/>
        </w:rPr>
        <w:t xml:space="preserve">index hospital compared with those readmitted to </w:t>
      </w:r>
      <w:r w:rsidR="00AB0ABF" w:rsidRPr="00033E6F">
        <w:rPr>
          <w:rFonts w:ascii="Times New Roman" w:hAnsi="Times New Roman"/>
          <w:sz w:val="24"/>
          <w:szCs w:val="24"/>
        </w:rPr>
        <w:t>a</w:t>
      </w:r>
      <w:r w:rsidRPr="00033E6F">
        <w:rPr>
          <w:rFonts w:ascii="Times New Roman" w:hAnsi="Times New Roman"/>
          <w:sz w:val="24"/>
          <w:szCs w:val="24"/>
        </w:rPr>
        <w:t xml:space="preserve"> non-index hospital</w:t>
      </w:r>
      <w:r w:rsidR="003F1B39" w:rsidRPr="00033E6F">
        <w:rPr>
          <w:rFonts w:ascii="Times New Roman" w:hAnsi="Times New Roman"/>
          <w:sz w:val="24"/>
          <w:szCs w:val="24"/>
        </w:rPr>
        <w:t xml:space="preserve"> (Figure 2</w:t>
      </w:r>
      <w:r w:rsidRPr="00033E6F">
        <w:rPr>
          <w:rFonts w:ascii="Times New Roman" w:hAnsi="Times New Roman"/>
          <w:sz w:val="24"/>
          <w:szCs w:val="24"/>
        </w:rPr>
        <w:t>). The causes of r</w:t>
      </w:r>
      <w:r w:rsidR="003F1B39" w:rsidRPr="00033E6F">
        <w:rPr>
          <w:rFonts w:ascii="Times New Roman" w:hAnsi="Times New Roman"/>
          <w:sz w:val="24"/>
          <w:szCs w:val="24"/>
        </w:rPr>
        <w:t>eadmissions are shown in Table 2</w:t>
      </w:r>
      <w:r w:rsidRPr="00033E6F">
        <w:rPr>
          <w:rFonts w:ascii="Times New Roman" w:hAnsi="Times New Roman"/>
          <w:sz w:val="24"/>
          <w:szCs w:val="24"/>
        </w:rPr>
        <w:t>. Patients readmitted to the index hospital had a greater proportion of patients with readmissions for coronary artery disease including angina although readmissions for non-cardiac causes were more commonly observed in the non-index hospital group.</w:t>
      </w:r>
    </w:p>
    <w:p w:rsidR="000A4B13" w:rsidRPr="00033E6F" w:rsidRDefault="0039339D" w:rsidP="00DD4D4D">
      <w:pPr>
        <w:pStyle w:val="Body"/>
        <w:spacing w:after="0" w:line="480" w:lineRule="auto"/>
        <w:jc w:val="both"/>
        <w:rPr>
          <w:rFonts w:ascii="Times New Roman" w:hAnsi="Times New Roman"/>
          <w:sz w:val="24"/>
          <w:szCs w:val="24"/>
        </w:rPr>
      </w:pPr>
      <w:r w:rsidRPr="00033E6F">
        <w:rPr>
          <w:rFonts w:ascii="Times New Roman" w:eastAsia="Times New Roman" w:hAnsi="Times New Roman" w:cs="Times New Roman"/>
          <w:b/>
          <w:bCs/>
          <w:sz w:val="24"/>
          <w:szCs w:val="24"/>
        </w:rPr>
        <w:tab/>
      </w:r>
      <w:r w:rsidRPr="00033E6F">
        <w:rPr>
          <w:rFonts w:ascii="Times New Roman" w:hAnsi="Times New Roman"/>
          <w:sz w:val="24"/>
          <w:szCs w:val="24"/>
        </w:rPr>
        <w:t>The independent odds of adverse outcomes for the readmission for non-index compared with inde</w:t>
      </w:r>
      <w:r w:rsidR="009366E2" w:rsidRPr="00033E6F">
        <w:rPr>
          <w:rFonts w:ascii="Times New Roman" w:hAnsi="Times New Roman"/>
          <w:sz w:val="24"/>
          <w:szCs w:val="24"/>
        </w:rPr>
        <w:t xml:space="preserve">x hospital are </w:t>
      </w:r>
      <w:r w:rsidR="003F1B39" w:rsidRPr="00033E6F">
        <w:rPr>
          <w:rFonts w:ascii="Times New Roman" w:hAnsi="Times New Roman"/>
          <w:sz w:val="24"/>
          <w:szCs w:val="24"/>
        </w:rPr>
        <w:t>shown in Figure 3/Table 3</w:t>
      </w:r>
      <w:r w:rsidRPr="00033E6F">
        <w:rPr>
          <w:rFonts w:ascii="Times New Roman" w:hAnsi="Times New Roman"/>
          <w:sz w:val="24"/>
          <w:szCs w:val="24"/>
        </w:rPr>
        <w:t xml:space="preserve">. </w:t>
      </w:r>
      <w:r w:rsidR="001C5230" w:rsidRPr="00033E6F">
        <w:rPr>
          <w:rFonts w:ascii="Times New Roman" w:hAnsi="Times New Roman"/>
          <w:sz w:val="24"/>
          <w:szCs w:val="24"/>
        </w:rPr>
        <w:t>There were greater adjusted odds of acute myocardial infarction (AMI), PCI and composite outcome (AMI, readmission PCI and all-cause death) for patients readmitted to the index hospital but their odds of all-cause death were lower.</w:t>
      </w:r>
    </w:p>
    <w:p w:rsidR="006231B5" w:rsidRPr="00033E6F" w:rsidRDefault="006231B5" w:rsidP="006231B5">
      <w:pPr>
        <w:pStyle w:val="Body"/>
        <w:spacing w:after="0" w:line="480" w:lineRule="auto"/>
        <w:ind w:firstLine="720"/>
        <w:jc w:val="both"/>
        <w:rPr>
          <w:rFonts w:ascii="Times New Roman" w:hAnsi="Times New Roman"/>
          <w:sz w:val="24"/>
          <w:szCs w:val="24"/>
        </w:rPr>
      </w:pPr>
      <w:r w:rsidRPr="00033E6F">
        <w:rPr>
          <w:rFonts w:ascii="Times New Roman" w:eastAsia="Times New Roman" w:hAnsi="Times New Roman" w:cs="Times New Roman"/>
          <w:color w:val="auto"/>
          <w:sz w:val="24"/>
          <w:szCs w:val="24"/>
          <w:lang w:eastAsia="en-GB"/>
        </w:rPr>
        <w:t xml:space="preserve">The majority of readmissions were to hospitals with PCI facilities (93.3%). Among patients readmitted to non-index hospitals, 70.2% of these non-index hospitals had PCI facilities. Additional adjustments for whether or not the readmission hospital had PCI facilities changed the odds of readmission with AMI to the non-index hospital so that it was no longer statistically significant (OR 1.08 </w:t>
      </w:r>
      <w:r w:rsidR="00BE35E4" w:rsidRPr="00033E6F">
        <w:rPr>
          <w:rFonts w:ascii="Times New Roman" w:eastAsia="Times New Roman" w:hAnsi="Times New Roman" w:cs="Times New Roman"/>
          <w:color w:val="auto"/>
          <w:sz w:val="24"/>
          <w:szCs w:val="24"/>
          <w:lang w:eastAsia="en-GB"/>
        </w:rPr>
        <w:t xml:space="preserve">95%CI 1.00-1.17 versus OR 0.88 95%CI </w:t>
      </w:r>
      <w:r w:rsidRPr="00033E6F">
        <w:rPr>
          <w:rFonts w:ascii="Times New Roman" w:eastAsia="Times New Roman" w:hAnsi="Times New Roman" w:cs="Times New Roman"/>
          <w:color w:val="auto"/>
          <w:sz w:val="24"/>
          <w:szCs w:val="24"/>
          <w:lang w:eastAsia="en-GB"/>
        </w:rPr>
        <w:t>0.82-0.95) (Supplementary Table 3)</w:t>
      </w:r>
      <w:r w:rsidR="00C52165" w:rsidRPr="00033E6F">
        <w:rPr>
          <w:rFonts w:ascii="Times New Roman" w:eastAsia="Times New Roman" w:hAnsi="Times New Roman" w:cs="Times New Roman"/>
          <w:color w:val="333333"/>
          <w:sz w:val="24"/>
          <w:szCs w:val="24"/>
          <w:lang w:eastAsia="en-GB"/>
        </w:rPr>
        <w:t>.</w:t>
      </w:r>
    </w:p>
    <w:p w:rsidR="0039339D" w:rsidRPr="00033E6F" w:rsidRDefault="0039339D" w:rsidP="00DD4D4D">
      <w:pPr>
        <w:pStyle w:val="Body"/>
        <w:spacing w:after="0" w:line="480" w:lineRule="auto"/>
        <w:jc w:val="both"/>
        <w:rPr>
          <w:rFonts w:ascii="Times New Roman" w:eastAsia="Times New Roman" w:hAnsi="Times New Roman" w:cs="Times New Roman"/>
          <w:b/>
          <w:bCs/>
          <w:sz w:val="24"/>
          <w:szCs w:val="24"/>
        </w:rPr>
      </w:pPr>
      <w:r w:rsidRPr="00033E6F">
        <w:rPr>
          <w:rFonts w:ascii="Times New Roman" w:hAnsi="Times New Roman"/>
          <w:b/>
          <w:bCs/>
          <w:sz w:val="24"/>
          <w:szCs w:val="24"/>
        </w:rPr>
        <w:t>Discussion</w:t>
      </w:r>
    </w:p>
    <w:p w:rsidR="0039339D" w:rsidRPr="00033E6F" w:rsidRDefault="0039339D" w:rsidP="00DD4D4D">
      <w:pPr>
        <w:pStyle w:val="Body"/>
        <w:spacing w:after="0" w:line="480" w:lineRule="auto"/>
        <w:ind w:firstLine="720"/>
        <w:jc w:val="both"/>
        <w:rPr>
          <w:rFonts w:ascii="Times New Roman" w:eastAsia="Times New Roman" w:hAnsi="Times New Roman" w:cs="Times New Roman"/>
          <w:sz w:val="24"/>
          <w:szCs w:val="24"/>
        </w:rPr>
      </w:pPr>
      <w:r w:rsidRPr="00033E6F">
        <w:rPr>
          <w:rFonts w:ascii="Times New Roman" w:hAnsi="Times New Roman"/>
          <w:sz w:val="24"/>
          <w:szCs w:val="24"/>
        </w:rPr>
        <w:t>Our national evaluation of unplanned readmissions to index and non-index hospitals after PCI has several key findings. First, three-quarters of readmissions were to the hospital where</w:t>
      </w:r>
      <w:r w:rsidR="004B7A99" w:rsidRPr="00033E6F">
        <w:rPr>
          <w:rFonts w:ascii="Times New Roman" w:hAnsi="Times New Roman"/>
          <w:sz w:val="24"/>
          <w:szCs w:val="24"/>
        </w:rPr>
        <w:t xml:space="preserve"> the</w:t>
      </w:r>
      <w:r w:rsidRPr="00033E6F">
        <w:rPr>
          <w:rFonts w:ascii="Times New Roman" w:hAnsi="Times New Roman"/>
          <w:sz w:val="24"/>
          <w:szCs w:val="24"/>
        </w:rPr>
        <w:t xml:space="preserve"> index PCI was performed. Second, patients </w:t>
      </w:r>
      <w:r w:rsidR="00337705" w:rsidRPr="00033E6F">
        <w:rPr>
          <w:rFonts w:ascii="Times New Roman" w:hAnsi="Times New Roman"/>
          <w:sz w:val="24"/>
          <w:szCs w:val="24"/>
        </w:rPr>
        <w:t>admitted to a non-index</w:t>
      </w:r>
      <w:r w:rsidRPr="00033E6F">
        <w:rPr>
          <w:rFonts w:ascii="Times New Roman" w:hAnsi="Times New Roman"/>
          <w:sz w:val="24"/>
          <w:szCs w:val="24"/>
        </w:rPr>
        <w:t xml:space="preserve"> hospital </w:t>
      </w:r>
      <w:r w:rsidR="00337705" w:rsidRPr="00033E6F">
        <w:rPr>
          <w:rFonts w:ascii="Times New Roman" w:hAnsi="Times New Roman"/>
          <w:sz w:val="24"/>
          <w:szCs w:val="24"/>
        </w:rPr>
        <w:t>had more co-morbidities</w:t>
      </w:r>
      <w:r w:rsidRPr="00033E6F">
        <w:rPr>
          <w:rFonts w:ascii="Times New Roman" w:hAnsi="Times New Roman"/>
          <w:sz w:val="24"/>
          <w:szCs w:val="24"/>
        </w:rPr>
        <w:t xml:space="preserve">, and more likely to be readmitted for non-cardiovascular causes. Finally, </w:t>
      </w:r>
      <w:r w:rsidRPr="00033E6F">
        <w:rPr>
          <w:rFonts w:ascii="Times New Roman" w:hAnsi="Times New Roman"/>
          <w:sz w:val="24"/>
          <w:szCs w:val="24"/>
        </w:rPr>
        <w:lastRenderedPageBreak/>
        <w:t>the factor most strongly associated with readmission to</w:t>
      </w:r>
      <w:r w:rsidR="004B7A99" w:rsidRPr="00033E6F">
        <w:rPr>
          <w:rFonts w:ascii="Times New Roman" w:hAnsi="Times New Roman"/>
          <w:sz w:val="24"/>
          <w:szCs w:val="24"/>
        </w:rPr>
        <w:t xml:space="preserve"> a</w:t>
      </w:r>
      <w:r w:rsidRPr="00033E6F">
        <w:rPr>
          <w:rFonts w:ascii="Times New Roman" w:hAnsi="Times New Roman"/>
          <w:sz w:val="24"/>
          <w:szCs w:val="24"/>
        </w:rPr>
        <w:t xml:space="preserve"> non-index hospital was discharge against medical advice. </w:t>
      </w:r>
      <w:r w:rsidR="00DE1437" w:rsidRPr="00033E6F">
        <w:rPr>
          <w:rFonts w:ascii="Times New Roman" w:hAnsi="Times New Roman"/>
          <w:sz w:val="24"/>
          <w:szCs w:val="24"/>
        </w:rPr>
        <w:t>Patients readmitted to their index hospital</w:t>
      </w:r>
      <w:r w:rsidRPr="00033E6F">
        <w:rPr>
          <w:rFonts w:ascii="Times New Roman" w:hAnsi="Times New Roman"/>
          <w:sz w:val="24"/>
          <w:szCs w:val="24"/>
        </w:rPr>
        <w:t xml:space="preserve"> were </w:t>
      </w:r>
      <w:r w:rsidR="00DE1437" w:rsidRPr="00033E6F">
        <w:rPr>
          <w:rFonts w:ascii="Times New Roman" w:hAnsi="Times New Roman"/>
          <w:sz w:val="24"/>
          <w:szCs w:val="24"/>
        </w:rPr>
        <w:t xml:space="preserve">more likely to be readmitted with an </w:t>
      </w:r>
      <w:r w:rsidRPr="00033E6F">
        <w:rPr>
          <w:rFonts w:ascii="Times New Roman" w:hAnsi="Times New Roman"/>
          <w:sz w:val="24"/>
          <w:szCs w:val="24"/>
        </w:rPr>
        <w:t xml:space="preserve">AMI and </w:t>
      </w:r>
      <w:r w:rsidR="00DE1437" w:rsidRPr="00033E6F">
        <w:rPr>
          <w:rFonts w:ascii="Times New Roman" w:hAnsi="Times New Roman"/>
          <w:sz w:val="24"/>
          <w:szCs w:val="24"/>
        </w:rPr>
        <w:t xml:space="preserve">undergo </w:t>
      </w:r>
      <w:r w:rsidRPr="00033E6F">
        <w:rPr>
          <w:rFonts w:ascii="Times New Roman" w:hAnsi="Times New Roman"/>
          <w:sz w:val="24"/>
          <w:szCs w:val="24"/>
        </w:rPr>
        <w:t>repeat PCI</w:t>
      </w:r>
      <w:r w:rsidR="00DE1437" w:rsidRPr="00033E6F">
        <w:rPr>
          <w:rFonts w:ascii="Times New Roman" w:hAnsi="Times New Roman"/>
          <w:sz w:val="24"/>
          <w:szCs w:val="24"/>
        </w:rPr>
        <w:t>,</w:t>
      </w:r>
      <w:r w:rsidRPr="00033E6F">
        <w:rPr>
          <w:rFonts w:ascii="Times New Roman" w:hAnsi="Times New Roman"/>
          <w:sz w:val="24"/>
          <w:szCs w:val="24"/>
        </w:rPr>
        <w:t xml:space="preserve"> but </w:t>
      </w:r>
      <w:proofErr w:type="gramStart"/>
      <w:r w:rsidR="00DE1437" w:rsidRPr="00033E6F">
        <w:rPr>
          <w:rFonts w:ascii="Times New Roman" w:hAnsi="Times New Roman"/>
          <w:sz w:val="24"/>
          <w:szCs w:val="24"/>
        </w:rPr>
        <w:t>their</w:t>
      </w:r>
      <w:proofErr w:type="gramEnd"/>
      <w:r w:rsidR="00DE1437" w:rsidRPr="00033E6F">
        <w:rPr>
          <w:rFonts w:ascii="Times New Roman" w:hAnsi="Times New Roman"/>
          <w:sz w:val="24"/>
          <w:szCs w:val="24"/>
        </w:rPr>
        <w:t xml:space="preserve"> in</w:t>
      </w:r>
      <w:r w:rsidR="004B7A99" w:rsidRPr="00033E6F">
        <w:rPr>
          <w:rFonts w:ascii="Times New Roman" w:hAnsi="Times New Roman"/>
          <w:sz w:val="24"/>
          <w:szCs w:val="24"/>
        </w:rPr>
        <w:t>-</w:t>
      </w:r>
      <w:r w:rsidR="00DE1437" w:rsidRPr="00033E6F">
        <w:rPr>
          <w:rFonts w:ascii="Times New Roman" w:hAnsi="Times New Roman"/>
          <w:sz w:val="24"/>
          <w:szCs w:val="24"/>
        </w:rPr>
        <w:t>hospital mortality rates for the readmission episode were lower</w:t>
      </w:r>
      <w:r w:rsidRPr="00033E6F">
        <w:rPr>
          <w:rFonts w:ascii="Times New Roman" w:hAnsi="Times New Roman"/>
          <w:sz w:val="24"/>
          <w:szCs w:val="24"/>
        </w:rPr>
        <w:t xml:space="preserve">. These findings suggest that there are </w:t>
      </w:r>
      <w:r w:rsidR="000D1DC7" w:rsidRPr="00033E6F">
        <w:rPr>
          <w:rFonts w:ascii="Times New Roman" w:hAnsi="Times New Roman"/>
          <w:sz w:val="24"/>
          <w:szCs w:val="24"/>
        </w:rPr>
        <w:t xml:space="preserve">important </w:t>
      </w:r>
      <w:r w:rsidRPr="00033E6F">
        <w:rPr>
          <w:rFonts w:ascii="Times New Roman" w:hAnsi="Times New Roman"/>
          <w:sz w:val="24"/>
          <w:szCs w:val="24"/>
        </w:rPr>
        <w:t xml:space="preserve">differences </w:t>
      </w:r>
      <w:r w:rsidR="000D1DC7" w:rsidRPr="00033E6F">
        <w:rPr>
          <w:rFonts w:ascii="Times New Roman" w:hAnsi="Times New Roman"/>
          <w:sz w:val="24"/>
          <w:szCs w:val="24"/>
        </w:rPr>
        <w:t xml:space="preserve">in clinical characteristics, causes of readmissions and clinical outcomes </w:t>
      </w:r>
      <w:r w:rsidRPr="00033E6F">
        <w:rPr>
          <w:rFonts w:ascii="Times New Roman" w:hAnsi="Times New Roman"/>
          <w:sz w:val="24"/>
          <w:szCs w:val="24"/>
        </w:rPr>
        <w:t xml:space="preserve">between patients readmitted to </w:t>
      </w:r>
      <w:r w:rsidR="000D1DC7" w:rsidRPr="00033E6F">
        <w:rPr>
          <w:rFonts w:ascii="Times New Roman" w:hAnsi="Times New Roman"/>
          <w:sz w:val="24"/>
          <w:szCs w:val="24"/>
        </w:rPr>
        <w:t xml:space="preserve">to </w:t>
      </w:r>
      <w:r w:rsidRPr="00033E6F">
        <w:rPr>
          <w:rFonts w:ascii="Times New Roman" w:hAnsi="Times New Roman"/>
          <w:sz w:val="24"/>
          <w:szCs w:val="24"/>
        </w:rPr>
        <w:t>index and non-index hospitals following a PCI</w:t>
      </w:r>
      <w:r w:rsidR="000D1DC7" w:rsidRPr="00033E6F">
        <w:rPr>
          <w:rFonts w:ascii="Times New Roman" w:hAnsi="Times New Roman"/>
          <w:sz w:val="24"/>
          <w:szCs w:val="24"/>
        </w:rPr>
        <w:t xml:space="preserve">, with </w:t>
      </w:r>
      <w:r w:rsidR="00E972CB" w:rsidRPr="00033E6F">
        <w:rPr>
          <w:rFonts w:ascii="Times New Roman" w:hAnsi="Times New Roman"/>
          <w:sz w:val="24"/>
          <w:szCs w:val="24"/>
        </w:rPr>
        <w:t xml:space="preserve">a </w:t>
      </w:r>
      <w:r w:rsidR="000D1DC7" w:rsidRPr="00033E6F">
        <w:rPr>
          <w:rFonts w:ascii="Times New Roman" w:hAnsi="Times New Roman"/>
          <w:sz w:val="24"/>
          <w:szCs w:val="24"/>
        </w:rPr>
        <w:t xml:space="preserve">greater understanding for </w:t>
      </w:r>
      <w:r w:rsidR="00E972CB" w:rsidRPr="00033E6F">
        <w:rPr>
          <w:rFonts w:ascii="Times New Roman" w:hAnsi="Times New Roman"/>
          <w:sz w:val="24"/>
          <w:szCs w:val="24"/>
        </w:rPr>
        <w:t xml:space="preserve">motivating factors around why </w:t>
      </w:r>
      <w:proofErr w:type="gramStart"/>
      <w:r w:rsidR="000D1DC7" w:rsidRPr="00033E6F">
        <w:rPr>
          <w:rFonts w:ascii="Times New Roman" w:hAnsi="Times New Roman"/>
          <w:sz w:val="24"/>
          <w:szCs w:val="24"/>
        </w:rPr>
        <w:t>patients</w:t>
      </w:r>
      <w:proofErr w:type="gramEnd"/>
      <w:r w:rsidR="000D1DC7" w:rsidRPr="00033E6F">
        <w:rPr>
          <w:rFonts w:ascii="Times New Roman" w:hAnsi="Times New Roman"/>
          <w:sz w:val="24"/>
          <w:szCs w:val="24"/>
        </w:rPr>
        <w:t xml:space="preserve"> / healthcare providers </w:t>
      </w:r>
      <w:r w:rsidR="00E972CB" w:rsidRPr="00033E6F">
        <w:rPr>
          <w:rFonts w:ascii="Times New Roman" w:hAnsi="Times New Roman"/>
          <w:sz w:val="24"/>
          <w:szCs w:val="24"/>
        </w:rPr>
        <w:t>choose to</w:t>
      </w:r>
      <w:r w:rsidR="000D1DC7" w:rsidRPr="00033E6F">
        <w:rPr>
          <w:rFonts w:ascii="Times New Roman" w:hAnsi="Times New Roman"/>
          <w:sz w:val="24"/>
          <w:szCs w:val="24"/>
        </w:rPr>
        <w:t xml:space="preserve"> seek medical attention elsewhere required</w:t>
      </w:r>
      <w:r w:rsidRPr="00033E6F">
        <w:rPr>
          <w:rFonts w:ascii="Times New Roman" w:hAnsi="Times New Roman"/>
          <w:sz w:val="24"/>
          <w:szCs w:val="24"/>
        </w:rPr>
        <w:t>.</w:t>
      </w:r>
    </w:p>
    <w:p w:rsidR="0039339D" w:rsidRPr="00033E6F" w:rsidRDefault="0057043E" w:rsidP="00DD4D4D">
      <w:pPr>
        <w:pStyle w:val="Body"/>
        <w:spacing w:after="0" w:line="480" w:lineRule="auto"/>
        <w:ind w:firstLine="720"/>
        <w:jc w:val="both"/>
        <w:rPr>
          <w:rFonts w:ascii="Times New Roman" w:eastAsia="Times New Roman" w:hAnsi="Times New Roman" w:cs="Times New Roman"/>
          <w:sz w:val="24"/>
          <w:szCs w:val="24"/>
        </w:rPr>
      </w:pPr>
      <w:r w:rsidRPr="00033E6F">
        <w:rPr>
          <w:rFonts w:ascii="Times New Roman" w:hAnsi="Times New Roman"/>
          <w:sz w:val="24"/>
          <w:szCs w:val="24"/>
        </w:rPr>
        <w:t>Our</w:t>
      </w:r>
      <w:r w:rsidR="0039339D" w:rsidRPr="00033E6F">
        <w:rPr>
          <w:rFonts w:ascii="Times New Roman" w:hAnsi="Times New Roman"/>
          <w:sz w:val="24"/>
          <w:szCs w:val="24"/>
        </w:rPr>
        <w:t xml:space="preserve"> current national </w:t>
      </w:r>
      <w:r w:rsidRPr="00033E6F">
        <w:rPr>
          <w:rFonts w:ascii="Times New Roman" w:hAnsi="Times New Roman"/>
          <w:sz w:val="24"/>
          <w:szCs w:val="24"/>
        </w:rPr>
        <w:t xml:space="preserve">analysis adds significantly to the findings </w:t>
      </w:r>
      <w:r w:rsidR="00337705" w:rsidRPr="00033E6F">
        <w:rPr>
          <w:rFonts w:ascii="Times New Roman" w:hAnsi="Times New Roman"/>
          <w:sz w:val="24"/>
          <w:szCs w:val="24"/>
        </w:rPr>
        <w:t xml:space="preserve">of </w:t>
      </w:r>
      <w:r w:rsidR="0039339D" w:rsidRPr="00033E6F">
        <w:rPr>
          <w:rFonts w:ascii="Times New Roman" w:hAnsi="Times New Roman"/>
          <w:sz w:val="24"/>
          <w:szCs w:val="24"/>
        </w:rPr>
        <w:t xml:space="preserve">2 </w:t>
      </w:r>
      <w:r w:rsidRPr="00033E6F">
        <w:rPr>
          <w:rFonts w:ascii="Times New Roman" w:hAnsi="Times New Roman"/>
          <w:sz w:val="24"/>
          <w:szCs w:val="24"/>
        </w:rPr>
        <w:t xml:space="preserve">the </w:t>
      </w:r>
      <w:r w:rsidR="0039339D" w:rsidRPr="00033E6F">
        <w:rPr>
          <w:rFonts w:ascii="Times New Roman" w:hAnsi="Times New Roman"/>
          <w:sz w:val="24"/>
          <w:szCs w:val="24"/>
        </w:rPr>
        <w:t xml:space="preserve">center </w:t>
      </w:r>
      <w:r w:rsidRPr="00033E6F">
        <w:rPr>
          <w:rFonts w:ascii="Times New Roman" w:hAnsi="Times New Roman"/>
          <w:sz w:val="24"/>
          <w:szCs w:val="24"/>
        </w:rPr>
        <w:t xml:space="preserve">study </w:t>
      </w:r>
      <w:r w:rsidR="0039339D" w:rsidRPr="00033E6F">
        <w:rPr>
          <w:rFonts w:ascii="Times New Roman" w:hAnsi="Times New Roman"/>
          <w:sz w:val="24"/>
          <w:szCs w:val="24"/>
        </w:rPr>
        <w:t>by Wasfy et al.</w:t>
      </w:r>
      <w:r w:rsidR="00B53F81" w:rsidRPr="00033E6F">
        <w:rPr>
          <w:rFonts w:ascii="Times New Roman" w:hAnsi="Times New Roman"/>
          <w:sz w:val="24"/>
          <w:szCs w:val="24"/>
          <w:vertAlign w:val="superscript"/>
        </w:rPr>
        <w:t>2</w:t>
      </w:r>
      <w:r w:rsidR="0039339D" w:rsidRPr="00033E6F">
        <w:rPr>
          <w:rFonts w:ascii="Times New Roman" w:hAnsi="Times New Roman"/>
          <w:sz w:val="24"/>
          <w:szCs w:val="24"/>
        </w:rPr>
        <w:t xml:space="preserve"> The proportion of non-index hospital readmissions was higher in the Wasfy et al. study (32.8%) compared with the current study (22.6%). In addition, we report lower rates of readmission for chronic ischemic heart disease for both index and non-index hospitals which were 19.3% and 11.9%, respectively in the current study compared with 31.0% and 13.8%, respectively. The greater rate of readmissions for chronic ischemic heart disease may be potentially explained by inclusion of staged PCI procedures, which were excluded from the current study of unplanned readmissions. We were able to build on their findings considering differences in the characteristics of patients according to readmission to the index or non-index hospital as well as their readmission outcomes. In particular, it appears that patients that return to index hospital are less likely to die during the readmission but are more likely to </w:t>
      </w:r>
      <w:r w:rsidR="00F7060C" w:rsidRPr="00033E6F">
        <w:rPr>
          <w:rFonts w:ascii="Times New Roman" w:hAnsi="Times New Roman"/>
          <w:sz w:val="24"/>
          <w:szCs w:val="24"/>
        </w:rPr>
        <w:t xml:space="preserve">be readmitted with an </w:t>
      </w:r>
      <w:r w:rsidR="0039339D" w:rsidRPr="00033E6F">
        <w:rPr>
          <w:rFonts w:ascii="Times New Roman" w:hAnsi="Times New Roman"/>
          <w:sz w:val="24"/>
          <w:szCs w:val="24"/>
        </w:rPr>
        <w:t xml:space="preserve">AMI or </w:t>
      </w:r>
      <w:r w:rsidR="00F7060C" w:rsidRPr="00033E6F">
        <w:rPr>
          <w:rFonts w:ascii="Times New Roman" w:hAnsi="Times New Roman"/>
          <w:sz w:val="24"/>
          <w:szCs w:val="24"/>
        </w:rPr>
        <w:t xml:space="preserve">undergo a </w:t>
      </w:r>
      <w:r w:rsidR="0039339D" w:rsidRPr="00033E6F">
        <w:rPr>
          <w:rFonts w:ascii="Times New Roman" w:hAnsi="Times New Roman"/>
          <w:sz w:val="24"/>
          <w:szCs w:val="24"/>
        </w:rPr>
        <w:t xml:space="preserve">repeat PCI. In addition, compared with patients who are readmitted to </w:t>
      </w:r>
      <w:r w:rsidR="001D7546" w:rsidRPr="00033E6F">
        <w:rPr>
          <w:rFonts w:ascii="Times New Roman" w:hAnsi="Times New Roman"/>
          <w:sz w:val="24"/>
          <w:szCs w:val="24"/>
        </w:rPr>
        <w:t xml:space="preserve">an </w:t>
      </w:r>
      <w:r w:rsidR="0039339D" w:rsidRPr="00033E6F">
        <w:rPr>
          <w:rFonts w:ascii="Times New Roman" w:hAnsi="Times New Roman"/>
          <w:sz w:val="24"/>
          <w:szCs w:val="24"/>
        </w:rPr>
        <w:t xml:space="preserve">index hospital where </w:t>
      </w:r>
      <w:r w:rsidR="001D7546" w:rsidRPr="00033E6F">
        <w:rPr>
          <w:rFonts w:ascii="Times New Roman" w:hAnsi="Times New Roman"/>
          <w:sz w:val="24"/>
          <w:szCs w:val="24"/>
        </w:rPr>
        <w:t xml:space="preserve">the </w:t>
      </w:r>
      <w:r w:rsidR="0039339D" w:rsidRPr="00033E6F">
        <w:rPr>
          <w:rFonts w:ascii="Times New Roman" w:hAnsi="Times New Roman"/>
          <w:sz w:val="24"/>
          <w:szCs w:val="24"/>
        </w:rPr>
        <w:t xml:space="preserve">PCI took place, patients that are readmitted to </w:t>
      </w:r>
      <w:r w:rsidR="001D7546" w:rsidRPr="00033E6F">
        <w:rPr>
          <w:rFonts w:ascii="Times New Roman" w:hAnsi="Times New Roman"/>
          <w:sz w:val="24"/>
          <w:szCs w:val="24"/>
        </w:rPr>
        <w:t xml:space="preserve">a </w:t>
      </w:r>
      <w:r w:rsidR="0039339D" w:rsidRPr="00033E6F">
        <w:rPr>
          <w:rFonts w:ascii="Times New Roman" w:hAnsi="Times New Roman"/>
          <w:sz w:val="24"/>
          <w:szCs w:val="24"/>
        </w:rPr>
        <w:t xml:space="preserve">non-index hospital </w:t>
      </w:r>
      <w:r w:rsidR="001D7546" w:rsidRPr="00033E6F">
        <w:rPr>
          <w:rFonts w:ascii="Times New Roman" w:hAnsi="Times New Roman"/>
          <w:sz w:val="24"/>
          <w:szCs w:val="24"/>
        </w:rPr>
        <w:t>are more likely to have</w:t>
      </w:r>
      <w:r w:rsidR="0039339D" w:rsidRPr="00033E6F">
        <w:rPr>
          <w:rFonts w:ascii="Times New Roman" w:hAnsi="Times New Roman"/>
          <w:sz w:val="24"/>
          <w:szCs w:val="24"/>
        </w:rPr>
        <w:t xml:space="preserve"> discharge</w:t>
      </w:r>
      <w:r w:rsidR="001D7546" w:rsidRPr="00033E6F">
        <w:rPr>
          <w:rFonts w:ascii="Times New Roman" w:hAnsi="Times New Roman"/>
          <w:sz w:val="24"/>
          <w:szCs w:val="24"/>
        </w:rPr>
        <w:t>d</w:t>
      </w:r>
      <w:r w:rsidR="0039339D" w:rsidRPr="00033E6F">
        <w:rPr>
          <w:rFonts w:ascii="Times New Roman" w:hAnsi="Times New Roman"/>
          <w:sz w:val="24"/>
          <w:szCs w:val="24"/>
        </w:rPr>
        <w:t xml:space="preserve"> against medical advice </w:t>
      </w:r>
      <w:r w:rsidR="001D7546" w:rsidRPr="00033E6F">
        <w:rPr>
          <w:rFonts w:ascii="Times New Roman" w:hAnsi="Times New Roman"/>
          <w:sz w:val="24"/>
          <w:szCs w:val="24"/>
        </w:rPr>
        <w:t xml:space="preserve">following the index </w:t>
      </w:r>
      <w:r w:rsidR="0039339D" w:rsidRPr="00033E6F">
        <w:rPr>
          <w:rFonts w:ascii="Times New Roman" w:hAnsi="Times New Roman"/>
          <w:sz w:val="24"/>
          <w:szCs w:val="24"/>
        </w:rPr>
        <w:t>PCI and have on average a greater burden of co-morbidities.</w:t>
      </w:r>
    </w:p>
    <w:p w:rsidR="0039339D" w:rsidRPr="00033E6F" w:rsidRDefault="0039339D" w:rsidP="009806E0">
      <w:pPr>
        <w:pStyle w:val="Body"/>
        <w:spacing w:after="0" w:line="480" w:lineRule="auto"/>
        <w:ind w:firstLine="720"/>
        <w:jc w:val="both"/>
        <w:rPr>
          <w:rFonts w:ascii="Times New Roman" w:hAnsi="Times New Roman"/>
          <w:sz w:val="24"/>
          <w:szCs w:val="24"/>
        </w:rPr>
      </w:pPr>
      <w:r w:rsidRPr="00033E6F">
        <w:rPr>
          <w:rFonts w:ascii="Times New Roman" w:hAnsi="Times New Roman"/>
          <w:sz w:val="24"/>
          <w:szCs w:val="24"/>
        </w:rPr>
        <w:t xml:space="preserve">Several interesting observations can be made with regard to our results. First, </w:t>
      </w:r>
      <w:r w:rsidR="00A2212F" w:rsidRPr="00033E6F">
        <w:rPr>
          <w:rFonts w:ascii="Times New Roman" w:hAnsi="Times New Roman"/>
          <w:sz w:val="24"/>
          <w:szCs w:val="24"/>
        </w:rPr>
        <w:t xml:space="preserve">the main analysis suggests that there is a 20% reduction in odds of </w:t>
      </w:r>
      <w:r w:rsidRPr="00033E6F">
        <w:rPr>
          <w:rFonts w:ascii="Times New Roman" w:hAnsi="Times New Roman"/>
          <w:sz w:val="24"/>
          <w:szCs w:val="24"/>
        </w:rPr>
        <w:t xml:space="preserve">readmission </w:t>
      </w:r>
      <w:r w:rsidR="009806E0" w:rsidRPr="00033E6F">
        <w:rPr>
          <w:rFonts w:ascii="Times New Roman" w:hAnsi="Times New Roman"/>
          <w:sz w:val="24"/>
          <w:szCs w:val="24"/>
        </w:rPr>
        <w:t xml:space="preserve">for AMI when readmitted </w:t>
      </w:r>
      <w:r w:rsidR="009806E0" w:rsidRPr="00033E6F">
        <w:rPr>
          <w:rFonts w:ascii="Times New Roman" w:hAnsi="Times New Roman"/>
          <w:sz w:val="24"/>
          <w:szCs w:val="24"/>
        </w:rPr>
        <w:lastRenderedPageBreak/>
        <w:t>to non-index compared to index hospital. However, in our sensitivity analysis which adjusted for PCI facilities the reduction is no longer significant. This suggests that the decrease in odds of readmissions</w:t>
      </w:r>
      <w:r w:rsidR="001A5204" w:rsidRPr="00033E6F">
        <w:rPr>
          <w:rFonts w:ascii="Times New Roman" w:hAnsi="Times New Roman"/>
          <w:sz w:val="24"/>
          <w:szCs w:val="24"/>
        </w:rPr>
        <w:t xml:space="preserve"> </w:t>
      </w:r>
      <w:r w:rsidR="00FD4105" w:rsidRPr="00033E6F">
        <w:rPr>
          <w:rFonts w:ascii="Times New Roman" w:hAnsi="Times New Roman"/>
          <w:sz w:val="24"/>
          <w:szCs w:val="24"/>
        </w:rPr>
        <w:t>at</w:t>
      </w:r>
      <w:r w:rsidR="001A5204" w:rsidRPr="00033E6F">
        <w:rPr>
          <w:rFonts w:ascii="Times New Roman" w:hAnsi="Times New Roman"/>
          <w:sz w:val="24"/>
          <w:szCs w:val="24"/>
        </w:rPr>
        <w:t xml:space="preserve"> non-index hospitals</w:t>
      </w:r>
      <w:r w:rsidR="009806E0" w:rsidRPr="00033E6F">
        <w:rPr>
          <w:rFonts w:ascii="Times New Roman" w:hAnsi="Times New Roman"/>
          <w:sz w:val="24"/>
          <w:szCs w:val="24"/>
        </w:rPr>
        <w:t xml:space="preserve"> is mainly driving by </w:t>
      </w:r>
      <w:r w:rsidR="001A5204" w:rsidRPr="00033E6F">
        <w:rPr>
          <w:rFonts w:ascii="Times New Roman" w:hAnsi="Times New Roman"/>
          <w:sz w:val="24"/>
          <w:szCs w:val="24"/>
        </w:rPr>
        <w:t xml:space="preserve">the lack of </w:t>
      </w:r>
      <w:r w:rsidR="009806E0" w:rsidRPr="00033E6F">
        <w:rPr>
          <w:rFonts w:ascii="Times New Roman" w:hAnsi="Times New Roman"/>
          <w:sz w:val="24"/>
          <w:szCs w:val="24"/>
        </w:rPr>
        <w:t>PCI facilities</w:t>
      </w:r>
      <w:r w:rsidR="00F90771" w:rsidRPr="00033E6F">
        <w:rPr>
          <w:rFonts w:ascii="Times New Roman" w:hAnsi="Times New Roman"/>
          <w:sz w:val="24"/>
          <w:szCs w:val="24"/>
        </w:rPr>
        <w:t xml:space="preserve"> at these centers</w:t>
      </w:r>
      <w:r w:rsidR="009806E0" w:rsidRPr="00033E6F">
        <w:rPr>
          <w:rFonts w:ascii="Times New Roman" w:hAnsi="Times New Roman" w:cs="Times New Roman"/>
          <w:sz w:val="24"/>
          <w:szCs w:val="24"/>
        </w:rPr>
        <w:t>.</w:t>
      </w:r>
      <w:r w:rsidR="009806E0" w:rsidRPr="00033E6F">
        <w:rPr>
          <w:rFonts w:ascii="Times New Roman" w:hAnsi="Times New Roman"/>
          <w:sz w:val="24"/>
          <w:szCs w:val="24"/>
        </w:rPr>
        <w:t xml:space="preserve"> </w:t>
      </w:r>
      <w:r w:rsidRPr="00033E6F">
        <w:rPr>
          <w:rFonts w:ascii="Times New Roman" w:hAnsi="Times New Roman"/>
          <w:sz w:val="24"/>
          <w:szCs w:val="24"/>
        </w:rPr>
        <w:t xml:space="preserve">Second, readmissions to the non-index hospital were associated with greater mortality. An explanation for this may </w:t>
      </w:r>
      <w:r w:rsidR="00C3669E" w:rsidRPr="00033E6F">
        <w:rPr>
          <w:rFonts w:ascii="Times New Roman" w:hAnsi="Times New Roman"/>
          <w:sz w:val="24"/>
          <w:szCs w:val="24"/>
        </w:rPr>
        <w:t>relate to that fact that in emergent situations that</w:t>
      </w:r>
      <w:r w:rsidR="00337705" w:rsidRPr="00033E6F">
        <w:rPr>
          <w:rFonts w:ascii="Times New Roman" w:hAnsi="Times New Roman"/>
          <w:sz w:val="24"/>
          <w:szCs w:val="24"/>
        </w:rPr>
        <w:t xml:space="preserve"> </w:t>
      </w:r>
      <w:r w:rsidR="00C3669E" w:rsidRPr="00033E6F">
        <w:rPr>
          <w:rFonts w:ascii="Times New Roman" w:hAnsi="Times New Roman"/>
          <w:sz w:val="24"/>
          <w:szCs w:val="24"/>
        </w:rPr>
        <w:t xml:space="preserve">require </w:t>
      </w:r>
      <w:r w:rsidRPr="00033E6F">
        <w:rPr>
          <w:rFonts w:ascii="Times New Roman" w:hAnsi="Times New Roman"/>
          <w:sz w:val="24"/>
          <w:szCs w:val="24"/>
        </w:rPr>
        <w:t xml:space="preserve">immediate </w:t>
      </w:r>
      <w:r w:rsidR="00C3669E" w:rsidRPr="00033E6F">
        <w:rPr>
          <w:rFonts w:ascii="Times New Roman" w:hAnsi="Times New Roman"/>
          <w:sz w:val="24"/>
          <w:szCs w:val="24"/>
        </w:rPr>
        <w:t xml:space="preserve">medical </w:t>
      </w:r>
      <w:r w:rsidRPr="00033E6F">
        <w:rPr>
          <w:rFonts w:ascii="Times New Roman" w:hAnsi="Times New Roman"/>
          <w:sz w:val="24"/>
          <w:szCs w:val="24"/>
        </w:rPr>
        <w:t xml:space="preserve">attention, patients </w:t>
      </w:r>
      <w:r w:rsidR="00C3669E" w:rsidRPr="00033E6F">
        <w:rPr>
          <w:rFonts w:ascii="Times New Roman" w:hAnsi="Times New Roman"/>
          <w:sz w:val="24"/>
          <w:szCs w:val="24"/>
        </w:rPr>
        <w:t xml:space="preserve">are transferred </w:t>
      </w:r>
      <w:r w:rsidRPr="00033E6F">
        <w:rPr>
          <w:rFonts w:ascii="Times New Roman" w:hAnsi="Times New Roman"/>
          <w:sz w:val="24"/>
          <w:szCs w:val="24"/>
        </w:rPr>
        <w:t>to the nearest hospital without considering whether it is the center that performed the index procedure. This is supported by the observation in the current analysis of slightly greater comorbidity among patients readmitted to non-index hospital, potentially making them higher risk but also slightly greater proportion of potentially life-threatening non-cardiac reasons for readmission such as infections (6.8% vs. 5.2%), respiratory illness (5.2% vs. 4.1%), bleeding (3.5% vs. 2.5%) and TIA/stroke (3.3% vs. 2.2%). Third, a vast majority of patients were readmitted to the index PCI hospital. It is likely that patients and their healthcare providers prefer continuity of care, and if they had a recent PCI, it is preferred to return to the same hospital that performed the index procedure. Fourth, we had previously studied discharge against medica</w:t>
      </w:r>
      <w:r w:rsidR="00555245" w:rsidRPr="00033E6F">
        <w:rPr>
          <w:rFonts w:ascii="Times New Roman" w:hAnsi="Times New Roman"/>
          <w:sz w:val="24"/>
          <w:szCs w:val="24"/>
        </w:rPr>
        <w:t>l advice in the context of PCI</w:t>
      </w:r>
      <w:r w:rsidRPr="00033E6F">
        <w:rPr>
          <w:rFonts w:ascii="Times New Roman" w:hAnsi="Times New Roman"/>
          <w:sz w:val="24"/>
          <w:szCs w:val="24"/>
        </w:rPr>
        <w:t>,</w:t>
      </w:r>
      <w:r w:rsidR="00B53F81" w:rsidRPr="00033E6F">
        <w:rPr>
          <w:rFonts w:ascii="Times New Roman" w:hAnsi="Times New Roman"/>
          <w:sz w:val="24"/>
          <w:szCs w:val="24"/>
          <w:vertAlign w:val="superscript"/>
        </w:rPr>
        <w:t>5</w:t>
      </w:r>
      <w:r w:rsidRPr="00033E6F">
        <w:rPr>
          <w:rFonts w:ascii="Times New Roman" w:hAnsi="Times New Roman"/>
          <w:sz w:val="24"/>
          <w:szCs w:val="24"/>
        </w:rPr>
        <w:t xml:space="preserve"> and found that it was a very strong predictor of readmission. In our current analysis, discharge against medical advice was a very strong factor associated with readmission to a non-index hospital. This may be explained by a potential breakdown in the patient-physician relationship during the admission of the index PCI or a loss of trust when new symptoms occur post-discharge, influencing patients to seek an alternative opinion from another hospital.</w:t>
      </w:r>
      <w:r w:rsidR="0044616C" w:rsidRPr="00033E6F">
        <w:rPr>
          <w:rFonts w:ascii="Times New Roman" w:hAnsi="Times New Roman"/>
          <w:sz w:val="24"/>
          <w:szCs w:val="24"/>
        </w:rPr>
        <w:t xml:space="preserve"> </w:t>
      </w:r>
    </w:p>
    <w:p w:rsidR="0039339D" w:rsidRPr="00033E6F" w:rsidRDefault="0039339D" w:rsidP="00DD4D4D">
      <w:pPr>
        <w:pStyle w:val="Body"/>
        <w:spacing w:after="0" w:line="480" w:lineRule="auto"/>
        <w:ind w:firstLine="720"/>
        <w:jc w:val="both"/>
        <w:rPr>
          <w:rFonts w:ascii="Times New Roman" w:eastAsia="Times New Roman" w:hAnsi="Times New Roman" w:cs="Times New Roman"/>
          <w:sz w:val="24"/>
          <w:szCs w:val="24"/>
        </w:rPr>
      </w:pPr>
      <w:r w:rsidRPr="00033E6F">
        <w:rPr>
          <w:rFonts w:ascii="Times New Roman" w:hAnsi="Times New Roman"/>
          <w:sz w:val="24"/>
          <w:szCs w:val="24"/>
        </w:rPr>
        <w:t>The major benefit of return to index hospital is continuity of care. The benefits of continuity of care have been demonstrated in settings outside of PCI, and continuity of care is associated with increased patient satisfaction, savings in time to deliver care, increased patient control over their health, and patients perceive that care providers are more knowledgeable, thorough and interested in patient education.</w:t>
      </w:r>
      <w:r w:rsidR="00B53F81" w:rsidRPr="00033E6F">
        <w:rPr>
          <w:rFonts w:ascii="Times New Roman" w:hAnsi="Times New Roman"/>
          <w:sz w:val="24"/>
          <w:szCs w:val="24"/>
          <w:vertAlign w:val="superscript"/>
        </w:rPr>
        <w:t>6</w:t>
      </w:r>
      <w:r w:rsidRPr="00033E6F">
        <w:rPr>
          <w:rFonts w:ascii="Times New Roman" w:hAnsi="Times New Roman"/>
          <w:sz w:val="24"/>
          <w:szCs w:val="24"/>
        </w:rPr>
        <w:t xml:space="preserve"> In the context of PCI, continuity of care is </w:t>
      </w:r>
      <w:r w:rsidRPr="00033E6F">
        <w:rPr>
          <w:rFonts w:ascii="Times New Roman" w:hAnsi="Times New Roman"/>
          <w:sz w:val="24"/>
          <w:szCs w:val="24"/>
        </w:rPr>
        <w:lastRenderedPageBreak/>
        <w:t xml:space="preserve">relevant as it is important to know which vessels were intervened upon, the nature of the disease, whether procedural difficulties were encountered, and whether there was any residual disease or concerns about peri-procedural complications. For example, untreated residual disease may cause symptoms of angina and result in readmissions. </w:t>
      </w:r>
    </w:p>
    <w:p w:rsidR="0039339D" w:rsidRPr="00033E6F" w:rsidRDefault="0039339D" w:rsidP="00DD4D4D">
      <w:pPr>
        <w:pStyle w:val="Body"/>
        <w:spacing w:after="0" w:line="480" w:lineRule="auto"/>
        <w:ind w:firstLine="720"/>
        <w:jc w:val="both"/>
        <w:rPr>
          <w:rFonts w:ascii="Times New Roman" w:eastAsia="Times New Roman" w:hAnsi="Times New Roman" w:cs="Times New Roman"/>
          <w:sz w:val="24"/>
          <w:szCs w:val="24"/>
        </w:rPr>
      </w:pPr>
      <w:r w:rsidRPr="00033E6F">
        <w:rPr>
          <w:rFonts w:ascii="Times New Roman" w:hAnsi="Times New Roman"/>
          <w:sz w:val="24"/>
          <w:szCs w:val="24"/>
        </w:rPr>
        <w:t xml:space="preserve">Our study has several limitations related to the retrospective analysis of administrative data. </w:t>
      </w:r>
      <w:r w:rsidR="00EF1CBF" w:rsidRPr="00033E6F">
        <w:rPr>
          <w:rFonts w:ascii="Times New Roman" w:eastAsia="Times New Roman" w:hAnsi="Times New Roman" w:cs="Times New Roman"/>
          <w:color w:val="333333"/>
          <w:sz w:val="24"/>
          <w:szCs w:val="24"/>
          <w:lang w:eastAsia="en-GB"/>
        </w:rPr>
        <w:t xml:space="preserve">A limitation of the current study is that we are not able to determine the distance from patient’s residence to hospital. This may be relevant as a potential main driver of the readmission hospital is the geographic distance from a patient’s residence where patients may prefer to go to the nearest hospital. Another limitation is that our results cannot account for the impact of transfer from community hospital to hospital where the PCI took place because the index hospital was considered </w:t>
      </w:r>
      <w:r w:rsidR="00235783" w:rsidRPr="00033E6F">
        <w:rPr>
          <w:rFonts w:ascii="Times New Roman" w:eastAsia="Times New Roman" w:hAnsi="Times New Roman" w:cs="Times New Roman"/>
          <w:color w:val="333333"/>
          <w:sz w:val="24"/>
          <w:szCs w:val="24"/>
          <w:lang w:eastAsia="en-GB"/>
        </w:rPr>
        <w:t xml:space="preserve">to be </w:t>
      </w:r>
      <w:r w:rsidR="00EF1CBF" w:rsidRPr="00033E6F">
        <w:rPr>
          <w:rFonts w:ascii="Times New Roman" w:eastAsia="Times New Roman" w:hAnsi="Times New Roman" w:cs="Times New Roman"/>
          <w:color w:val="333333"/>
          <w:sz w:val="24"/>
          <w:szCs w:val="24"/>
          <w:lang w:eastAsia="en-GB"/>
        </w:rPr>
        <w:t xml:space="preserve">that where the PCI took place. </w:t>
      </w:r>
      <w:r w:rsidRPr="00033E6F">
        <w:rPr>
          <w:rFonts w:ascii="Times New Roman" w:hAnsi="Times New Roman"/>
          <w:sz w:val="24"/>
          <w:szCs w:val="24"/>
        </w:rPr>
        <w:t>The construction of the NRD is such that we had to exclude patients admitted in the month of December to ensure that all patients had 30-days of follow-up. In addition, each year of NRD is completely independent from other years; therefore, a patient with PCI in each year that was studied may appear up to 5 times (once for each of the years between 2010 and 2014). As with any observational data, even though we included many variables, there may still be residual confounding. In addition, the NRD only contains hospital data; therefore, we do not have data on out-of-hospital deaths.</w:t>
      </w:r>
    </w:p>
    <w:p w:rsidR="00786ECA" w:rsidRPr="00033E6F" w:rsidRDefault="0039339D" w:rsidP="00737D8C">
      <w:pPr>
        <w:pStyle w:val="Body"/>
        <w:spacing w:after="0" w:line="480" w:lineRule="auto"/>
        <w:ind w:firstLine="720"/>
        <w:jc w:val="both"/>
        <w:rPr>
          <w:rFonts w:ascii="Times New Roman" w:hAnsi="Times New Roman"/>
          <w:sz w:val="24"/>
          <w:szCs w:val="24"/>
        </w:rPr>
      </w:pPr>
      <w:r w:rsidRPr="00033E6F">
        <w:rPr>
          <w:rFonts w:ascii="Times New Roman" w:hAnsi="Times New Roman"/>
          <w:sz w:val="24"/>
          <w:szCs w:val="24"/>
        </w:rPr>
        <w:t xml:space="preserve">In conclusion, </w:t>
      </w:r>
      <w:r w:rsidR="008256CD" w:rsidRPr="00033E6F">
        <w:rPr>
          <w:rFonts w:ascii="Times New Roman" w:hAnsi="Times New Roman"/>
          <w:sz w:val="24"/>
          <w:szCs w:val="24"/>
        </w:rPr>
        <w:t xml:space="preserve">most </w:t>
      </w:r>
      <w:r w:rsidRPr="00033E6F">
        <w:rPr>
          <w:rFonts w:ascii="Times New Roman" w:hAnsi="Times New Roman"/>
          <w:sz w:val="24"/>
          <w:szCs w:val="24"/>
        </w:rPr>
        <w:t xml:space="preserve">patients readmitted within 30-day of PCI return to the index hospital where the PCI was </w:t>
      </w:r>
      <w:r w:rsidR="008256CD" w:rsidRPr="00033E6F">
        <w:rPr>
          <w:rFonts w:ascii="Times New Roman" w:hAnsi="Times New Roman"/>
          <w:sz w:val="24"/>
          <w:szCs w:val="24"/>
        </w:rPr>
        <w:t>performed. The patients who</w:t>
      </w:r>
      <w:r w:rsidRPr="00033E6F">
        <w:rPr>
          <w:rFonts w:ascii="Times New Roman" w:hAnsi="Times New Roman"/>
          <w:sz w:val="24"/>
          <w:szCs w:val="24"/>
        </w:rPr>
        <w:t xml:space="preserve"> return to non-index hospitals appear to differ with regard to the proportion that were discharged against medical advice and misuse of alcohol, and there was a greater burden of co-morbidities compared with patients that are readmitted to the index hospital. There were key differences in outcomes for patients depending on whether they returned to index hospital as those who were readmitted to index hospital were more likely to have AMI or repeat PCI, while those who were readmitted to non-index hospital were more likely to die during the readmission. </w:t>
      </w:r>
    </w:p>
    <w:p w:rsidR="00786ECA" w:rsidRPr="00033E6F" w:rsidRDefault="00786ECA" w:rsidP="00786ECA">
      <w:pPr>
        <w:pStyle w:val="Body"/>
        <w:spacing w:after="0" w:line="480" w:lineRule="auto"/>
        <w:jc w:val="both"/>
        <w:rPr>
          <w:rFonts w:ascii="Times New Roman" w:hAnsi="Times New Roman"/>
          <w:b/>
          <w:bCs/>
          <w:sz w:val="24"/>
          <w:szCs w:val="24"/>
        </w:rPr>
      </w:pPr>
      <w:r w:rsidRPr="00033E6F">
        <w:rPr>
          <w:rFonts w:ascii="Times New Roman" w:hAnsi="Times New Roman"/>
          <w:b/>
          <w:bCs/>
          <w:sz w:val="24"/>
          <w:szCs w:val="24"/>
        </w:rPr>
        <w:lastRenderedPageBreak/>
        <w:t>Contributorship</w:t>
      </w:r>
      <w:r w:rsidR="00911867" w:rsidRPr="00033E6F">
        <w:rPr>
          <w:rFonts w:ascii="Times New Roman" w:hAnsi="Times New Roman"/>
          <w:b/>
          <w:bCs/>
          <w:sz w:val="24"/>
          <w:szCs w:val="24"/>
        </w:rPr>
        <w:t xml:space="preserve">: </w:t>
      </w:r>
      <w:r w:rsidRPr="00033E6F">
        <w:rPr>
          <w:rFonts w:ascii="Times New Roman" w:hAnsi="Times New Roman"/>
          <w:bCs/>
          <w:sz w:val="24"/>
          <w:szCs w:val="24"/>
        </w:rPr>
        <w:t xml:space="preserve">MAM </w:t>
      </w:r>
      <w:r w:rsidR="00076406" w:rsidRPr="00033E6F">
        <w:rPr>
          <w:rFonts w:ascii="Times New Roman" w:hAnsi="Times New Roman"/>
          <w:bCs/>
          <w:sz w:val="24"/>
          <w:szCs w:val="24"/>
        </w:rPr>
        <w:t xml:space="preserve">was </w:t>
      </w:r>
      <w:r w:rsidRPr="00033E6F">
        <w:rPr>
          <w:rFonts w:ascii="Times New Roman" w:hAnsi="Times New Roman"/>
          <w:bCs/>
          <w:sz w:val="24"/>
          <w:szCs w:val="24"/>
        </w:rPr>
        <w:t>responsible for the design and concept. CSK performed the data cleaning and analysis. CSK wrote the first draft of the manuscript and all authors contributed to the writing of the paper.</w:t>
      </w:r>
    </w:p>
    <w:p w:rsidR="00B53F81" w:rsidRPr="00033E6F" w:rsidRDefault="0039339D" w:rsidP="00B53F81">
      <w:pPr>
        <w:pStyle w:val="Body"/>
        <w:spacing w:after="0" w:line="480" w:lineRule="auto"/>
        <w:rPr>
          <w:rFonts w:ascii="Times New Roman" w:hAnsi="Times New Roman" w:cs="Times New Roman"/>
          <w:color w:val="auto"/>
          <w:sz w:val="20"/>
          <w:szCs w:val="20"/>
        </w:rPr>
      </w:pPr>
      <w:r w:rsidRPr="00033E6F">
        <w:rPr>
          <w:rFonts w:ascii="Times New Roman" w:hAnsi="Times New Roman"/>
          <w:b/>
          <w:bCs/>
          <w:sz w:val="24"/>
          <w:szCs w:val="24"/>
        </w:rPr>
        <w:t>References</w:t>
      </w:r>
    </w:p>
    <w:p w:rsidR="00B53F81" w:rsidRPr="00033E6F" w:rsidRDefault="00B53F81" w:rsidP="00B53F81">
      <w:pPr>
        <w:pStyle w:val="EndnoteText1"/>
        <w:numPr>
          <w:ilvl w:val="0"/>
          <w:numId w:val="4"/>
        </w:numPr>
        <w:spacing w:line="480" w:lineRule="auto"/>
        <w:rPr>
          <w:rFonts w:ascii="Times New Roman" w:eastAsia="Arial Unicode MS" w:hAnsi="Times New Roman" w:cs="Times New Roman"/>
          <w:color w:val="auto"/>
          <w:sz w:val="24"/>
          <w:szCs w:val="24"/>
        </w:rPr>
      </w:pPr>
      <w:r w:rsidRPr="00033E6F">
        <w:rPr>
          <w:rFonts w:ascii="Times New Roman" w:hAnsi="Times New Roman" w:cs="Times New Roman"/>
          <w:sz w:val="24"/>
          <w:szCs w:val="24"/>
        </w:rPr>
        <w:t xml:space="preserve">Kwok CS, Rao SV, Potts JE, Kontopantelis E, Rashid M, Kinnaird T, Curzen N, Nolan J, Bagur R, Mamas MA. Burden of 30-day readmissions after percutaneous coronary intervention in 833,344 patients in the United States: Predictors, Causes, and Costs. </w:t>
      </w:r>
      <w:r w:rsidRPr="00033E6F">
        <w:rPr>
          <w:rFonts w:ascii="Times New Roman" w:hAnsi="Times New Roman" w:cs="Times New Roman"/>
          <w:i/>
          <w:sz w:val="24"/>
          <w:szCs w:val="24"/>
        </w:rPr>
        <w:t>JACC Cardiovasc Interv</w:t>
      </w:r>
      <w:r w:rsidR="00E24FCE" w:rsidRPr="00033E6F">
        <w:rPr>
          <w:rFonts w:ascii="Times New Roman" w:hAnsi="Times New Roman" w:cs="Times New Roman"/>
          <w:i/>
          <w:sz w:val="24"/>
          <w:szCs w:val="24"/>
        </w:rPr>
        <w:t>.</w:t>
      </w:r>
      <w:r w:rsidRPr="00033E6F">
        <w:rPr>
          <w:rFonts w:ascii="Times New Roman" w:hAnsi="Times New Roman" w:cs="Times New Roman"/>
          <w:sz w:val="24"/>
          <w:szCs w:val="24"/>
        </w:rPr>
        <w:t xml:space="preserve"> </w:t>
      </w:r>
      <w:proofErr w:type="gramStart"/>
      <w:r w:rsidRPr="00033E6F">
        <w:rPr>
          <w:rFonts w:ascii="Times New Roman" w:hAnsi="Times New Roman" w:cs="Times New Roman"/>
          <w:sz w:val="24"/>
          <w:szCs w:val="24"/>
        </w:rPr>
        <w:t>2018;11:665</w:t>
      </w:r>
      <w:proofErr w:type="gramEnd"/>
      <w:r w:rsidRPr="00033E6F">
        <w:rPr>
          <w:rFonts w:ascii="Times New Roman" w:hAnsi="Times New Roman" w:cs="Times New Roman"/>
          <w:sz w:val="24"/>
          <w:szCs w:val="24"/>
        </w:rPr>
        <w:t>-674.</w:t>
      </w:r>
    </w:p>
    <w:p w:rsidR="00B53F81" w:rsidRPr="00033E6F" w:rsidRDefault="00B53F81" w:rsidP="00B53F81">
      <w:pPr>
        <w:pStyle w:val="EndnoteText1"/>
        <w:numPr>
          <w:ilvl w:val="0"/>
          <w:numId w:val="4"/>
        </w:numPr>
        <w:spacing w:line="480" w:lineRule="auto"/>
        <w:rPr>
          <w:rFonts w:ascii="Times New Roman" w:eastAsia="Arial Unicode MS" w:hAnsi="Times New Roman" w:cs="Times New Roman"/>
          <w:color w:val="auto"/>
          <w:sz w:val="24"/>
          <w:szCs w:val="24"/>
        </w:rPr>
      </w:pPr>
      <w:r w:rsidRPr="00033E6F">
        <w:rPr>
          <w:rFonts w:ascii="Times New Roman" w:hAnsi="Times New Roman" w:cs="Times New Roman"/>
          <w:sz w:val="24"/>
          <w:szCs w:val="24"/>
        </w:rPr>
        <w:t>Wasfy JH, Strom JB, O'Brien C, Zai AH, Luttrell J, Kennedy KF, Spertus JA, Zelevinsky K, Normand SL, Mauri L, Yeh RW. Causes of short-term readmission after percutaneous coronary intervention.</w:t>
      </w:r>
      <w:r w:rsidR="00E24FCE" w:rsidRPr="00033E6F">
        <w:rPr>
          <w:rFonts w:ascii="Times New Roman" w:hAnsi="Times New Roman" w:cs="Times New Roman"/>
          <w:sz w:val="24"/>
          <w:szCs w:val="24"/>
        </w:rPr>
        <w:t xml:space="preserve"> </w:t>
      </w:r>
      <w:r w:rsidRPr="00033E6F">
        <w:rPr>
          <w:rFonts w:ascii="Times New Roman" w:hAnsi="Times New Roman" w:cs="Times New Roman"/>
          <w:i/>
          <w:sz w:val="24"/>
          <w:szCs w:val="24"/>
        </w:rPr>
        <w:t>Circ Cardiovasc Interv</w:t>
      </w:r>
      <w:r w:rsidR="00E24FCE" w:rsidRPr="00033E6F">
        <w:rPr>
          <w:rFonts w:ascii="Times New Roman" w:hAnsi="Times New Roman" w:cs="Times New Roman"/>
          <w:i/>
          <w:sz w:val="24"/>
          <w:szCs w:val="24"/>
        </w:rPr>
        <w:t>.</w:t>
      </w:r>
      <w:r w:rsidRPr="00033E6F">
        <w:rPr>
          <w:rFonts w:ascii="Times New Roman" w:hAnsi="Times New Roman" w:cs="Times New Roman"/>
          <w:sz w:val="24"/>
          <w:szCs w:val="24"/>
        </w:rPr>
        <w:t xml:space="preserve"> </w:t>
      </w:r>
      <w:proofErr w:type="gramStart"/>
      <w:r w:rsidRPr="00033E6F">
        <w:rPr>
          <w:rFonts w:ascii="Times New Roman" w:hAnsi="Times New Roman" w:cs="Times New Roman"/>
          <w:sz w:val="24"/>
          <w:szCs w:val="24"/>
        </w:rPr>
        <w:t>2014;7:97</w:t>
      </w:r>
      <w:proofErr w:type="gramEnd"/>
      <w:r w:rsidRPr="00033E6F">
        <w:rPr>
          <w:rFonts w:ascii="Times New Roman" w:hAnsi="Times New Roman" w:cs="Times New Roman"/>
          <w:sz w:val="24"/>
          <w:szCs w:val="24"/>
        </w:rPr>
        <w:t>-103.</w:t>
      </w:r>
    </w:p>
    <w:p w:rsidR="00B53F81" w:rsidRPr="00033E6F" w:rsidRDefault="00787E44" w:rsidP="00B53F81">
      <w:pPr>
        <w:pStyle w:val="EndnoteText1"/>
        <w:numPr>
          <w:ilvl w:val="0"/>
          <w:numId w:val="4"/>
        </w:numPr>
        <w:spacing w:line="480" w:lineRule="auto"/>
        <w:rPr>
          <w:rFonts w:ascii="Times New Roman" w:eastAsia="Arial Unicode MS" w:hAnsi="Times New Roman" w:cs="Times New Roman"/>
          <w:color w:val="auto"/>
          <w:sz w:val="24"/>
          <w:szCs w:val="24"/>
        </w:rPr>
      </w:pPr>
      <w:hyperlink r:id="rId9" w:history="1">
        <w:r w:rsidR="00B53F81" w:rsidRPr="00033E6F">
          <w:rPr>
            <w:rStyle w:val="Hyperlink0"/>
            <w:rFonts w:eastAsia="Arial Unicode MS"/>
          </w:rPr>
          <w:t>https://www.hcup-us.ahrq.gov/nrdoverview.jsp</w:t>
        </w:r>
      </w:hyperlink>
    </w:p>
    <w:p w:rsidR="00B53F81" w:rsidRPr="00033E6F" w:rsidRDefault="00787E44" w:rsidP="00B53F81">
      <w:pPr>
        <w:pStyle w:val="EndnoteText1"/>
        <w:numPr>
          <w:ilvl w:val="0"/>
          <w:numId w:val="4"/>
        </w:numPr>
        <w:spacing w:line="480" w:lineRule="auto"/>
        <w:rPr>
          <w:rFonts w:ascii="Times New Roman" w:eastAsia="Arial Unicode MS" w:hAnsi="Times New Roman" w:cs="Times New Roman"/>
          <w:color w:val="auto"/>
          <w:sz w:val="24"/>
          <w:szCs w:val="24"/>
        </w:rPr>
      </w:pPr>
      <w:hyperlink r:id="rId10" w:history="1">
        <w:r w:rsidR="00B53F81" w:rsidRPr="00033E6F">
          <w:rPr>
            <w:rStyle w:val="Hyperlink0"/>
            <w:rFonts w:eastAsia="Arial Unicode MS"/>
          </w:rPr>
          <w:t>https://www.hcup-us.ahrq.gov/toolssoftware/comorbidity/comorbidity.jsp</w:t>
        </w:r>
      </w:hyperlink>
    </w:p>
    <w:p w:rsidR="00B53F81" w:rsidRPr="00033E6F" w:rsidRDefault="00B53F81" w:rsidP="00B53F81">
      <w:pPr>
        <w:pStyle w:val="EndnoteText1"/>
        <w:numPr>
          <w:ilvl w:val="0"/>
          <w:numId w:val="4"/>
        </w:numPr>
        <w:spacing w:line="480" w:lineRule="auto"/>
        <w:rPr>
          <w:rFonts w:ascii="Times New Roman" w:eastAsia="Arial Unicode MS" w:hAnsi="Times New Roman" w:cs="Times New Roman"/>
          <w:color w:val="auto"/>
          <w:sz w:val="24"/>
          <w:szCs w:val="24"/>
        </w:rPr>
      </w:pPr>
      <w:r w:rsidRPr="00033E6F">
        <w:rPr>
          <w:rFonts w:ascii="Times New Roman" w:hAnsi="Times New Roman" w:cs="Times New Roman"/>
          <w:sz w:val="24"/>
          <w:szCs w:val="24"/>
        </w:rPr>
        <w:t xml:space="preserve">Kwok CS, Bell M, Anderson HV, Al Shaibi K, Gulati R, Potts J, Rashid M, Kontopantelis E, Bagur R, Mamas MA. Discharge Against Medical Advice After Percutaneous Coronary Intervention in the United States. </w:t>
      </w:r>
      <w:r w:rsidRPr="00033E6F">
        <w:rPr>
          <w:rFonts w:ascii="Times New Roman" w:hAnsi="Times New Roman" w:cs="Times New Roman"/>
          <w:i/>
          <w:sz w:val="24"/>
          <w:szCs w:val="24"/>
        </w:rPr>
        <w:t>JACC Cardiovasc Interv.</w:t>
      </w:r>
      <w:r w:rsidRPr="00033E6F">
        <w:rPr>
          <w:rFonts w:ascii="Times New Roman" w:hAnsi="Times New Roman" w:cs="Times New Roman"/>
          <w:sz w:val="24"/>
          <w:szCs w:val="24"/>
        </w:rPr>
        <w:t xml:space="preserve"> </w:t>
      </w:r>
      <w:proofErr w:type="gramStart"/>
      <w:r w:rsidRPr="00033E6F">
        <w:rPr>
          <w:rFonts w:ascii="Times New Roman" w:hAnsi="Times New Roman" w:cs="Times New Roman"/>
          <w:sz w:val="24"/>
          <w:szCs w:val="24"/>
        </w:rPr>
        <w:t>2018;11:1354</w:t>
      </w:r>
      <w:proofErr w:type="gramEnd"/>
      <w:r w:rsidRPr="00033E6F">
        <w:rPr>
          <w:rFonts w:ascii="Times New Roman" w:hAnsi="Times New Roman" w:cs="Times New Roman"/>
          <w:sz w:val="24"/>
          <w:szCs w:val="24"/>
        </w:rPr>
        <w:t>-1364</w:t>
      </w:r>
    </w:p>
    <w:p w:rsidR="00B53F81" w:rsidRPr="00033E6F" w:rsidRDefault="00B53F81" w:rsidP="00B53F81">
      <w:pPr>
        <w:pStyle w:val="EndnoteText1"/>
        <w:numPr>
          <w:ilvl w:val="0"/>
          <w:numId w:val="4"/>
        </w:numPr>
        <w:spacing w:line="480" w:lineRule="auto"/>
        <w:rPr>
          <w:rFonts w:ascii="Times New Roman" w:eastAsia="Arial Unicode MS" w:hAnsi="Times New Roman" w:cs="Times New Roman"/>
          <w:color w:val="auto"/>
          <w:sz w:val="24"/>
          <w:szCs w:val="24"/>
        </w:rPr>
      </w:pPr>
      <w:r w:rsidRPr="00033E6F">
        <w:rPr>
          <w:rFonts w:ascii="Times New Roman" w:hAnsi="Times New Roman" w:cs="Times New Roman"/>
          <w:sz w:val="24"/>
          <w:szCs w:val="24"/>
        </w:rPr>
        <w:t xml:space="preserve">Sudhakar-Krishnan V, Rudolf MCJ. How important is continuity of care? </w:t>
      </w:r>
      <w:r w:rsidRPr="00033E6F">
        <w:rPr>
          <w:rFonts w:ascii="Times New Roman" w:hAnsi="Times New Roman" w:cs="Times New Roman"/>
          <w:i/>
          <w:sz w:val="24"/>
          <w:szCs w:val="24"/>
        </w:rPr>
        <w:t>Arch Dis Child</w:t>
      </w:r>
      <w:r w:rsidR="00E24FCE" w:rsidRPr="00033E6F">
        <w:rPr>
          <w:rFonts w:ascii="Times New Roman" w:hAnsi="Times New Roman" w:cs="Times New Roman"/>
          <w:i/>
          <w:sz w:val="24"/>
          <w:szCs w:val="24"/>
        </w:rPr>
        <w:t>.</w:t>
      </w:r>
      <w:r w:rsidRPr="00033E6F">
        <w:rPr>
          <w:rFonts w:ascii="Times New Roman" w:hAnsi="Times New Roman" w:cs="Times New Roman"/>
          <w:sz w:val="24"/>
          <w:szCs w:val="24"/>
        </w:rPr>
        <w:t xml:space="preserve"> </w:t>
      </w:r>
      <w:proofErr w:type="gramStart"/>
      <w:r w:rsidRPr="00033E6F">
        <w:rPr>
          <w:rFonts w:ascii="Times New Roman" w:hAnsi="Times New Roman" w:cs="Times New Roman"/>
          <w:sz w:val="24"/>
          <w:szCs w:val="24"/>
        </w:rPr>
        <w:t>2007;92:381</w:t>
      </w:r>
      <w:proofErr w:type="gramEnd"/>
      <w:r w:rsidRPr="00033E6F">
        <w:rPr>
          <w:rFonts w:ascii="Times New Roman" w:hAnsi="Times New Roman" w:cs="Times New Roman"/>
          <w:sz w:val="24"/>
          <w:szCs w:val="24"/>
        </w:rPr>
        <w:t>-383.</w:t>
      </w:r>
    </w:p>
    <w:p w:rsidR="00DD4D4D" w:rsidRPr="00033E6F" w:rsidRDefault="00DD4D4D" w:rsidP="00B53F81">
      <w:pPr>
        <w:pStyle w:val="Body"/>
        <w:spacing w:after="0" w:line="480" w:lineRule="auto"/>
        <w:rPr>
          <w:rFonts w:ascii="Times New Roman" w:hAnsi="Times New Roman" w:cs="Times New Roman"/>
          <w:color w:val="auto"/>
          <w:sz w:val="20"/>
          <w:szCs w:val="20"/>
        </w:rPr>
      </w:pPr>
      <w:r w:rsidRPr="00033E6F">
        <w:rPr>
          <w:rFonts w:ascii="Times New Roman" w:hAnsi="Times New Roman" w:cs="Times New Roman"/>
          <w:color w:val="auto"/>
          <w:sz w:val="20"/>
          <w:szCs w:val="20"/>
        </w:rPr>
        <w:br w:type="page"/>
      </w:r>
      <w:r w:rsidRPr="00033E6F">
        <w:rPr>
          <w:rFonts w:ascii="Times New Roman" w:hAnsi="Times New Roman" w:cs="Times New Roman"/>
          <w:b/>
          <w:sz w:val="24"/>
          <w:szCs w:val="24"/>
        </w:rPr>
        <w:lastRenderedPageBreak/>
        <w:t>List of Tables and Figures</w:t>
      </w:r>
    </w:p>
    <w:p w:rsidR="00211A3A" w:rsidRPr="00033E6F" w:rsidRDefault="00211A3A" w:rsidP="00211A3A">
      <w:pPr>
        <w:pStyle w:val="Body"/>
        <w:spacing w:after="0" w:line="240" w:lineRule="auto"/>
        <w:jc w:val="both"/>
        <w:rPr>
          <w:rFonts w:ascii="Times New Roman" w:eastAsia="Helvetica" w:hAnsi="Times New Roman" w:cs="Times New Roman"/>
          <w:sz w:val="24"/>
          <w:szCs w:val="24"/>
        </w:rPr>
      </w:pPr>
      <w:r w:rsidRPr="00033E6F">
        <w:rPr>
          <w:rFonts w:ascii="Times New Roman" w:hAnsi="Times New Roman" w:cs="Times New Roman"/>
          <w:bCs/>
          <w:sz w:val="24"/>
          <w:szCs w:val="24"/>
        </w:rPr>
        <w:t>Table 1:</w:t>
      </w:r>
      <w:r w:rsidRPr="00033E6F">
        <w:rPr>
          <w:rFonts w:ascii="Times New Roman" w:hAnsi="Times New Roman" w:cs="Times New Roman"/>
          <w:sz w:val="24"/>
          <w:szCs w:val="24"/>
        </w:rPr>
        <w:t xml:space="preserve"> Descriptive statistics for the PCI cohort according to unplanned readmission within 30 days.</w:t>
      </w:r>
    </w:p>
    <w:p w:rsidR="00211A3A" w:rsidRPr="00033E6F" w:rsidRDefault="00211A3A" w:rsidP="00211A3A">
      <w:pPr>
        <w:pStyle w:val="Body"/>
        <w:spacing w:after="0" w:line="240" w:lineRule="auto"/>
        <w:rPr>
          <w:rFonts w:ascii="Times New Roman" w:eastAsia="Helvetica" w:hAnsi="Times New Roman" w:cs="Times New Roman"/>
          <w:sz w:val="24"/>
          <w:szCs w:val="24"/>
        </w:rPr>
      </w:pPr>
    </w:p>
    <w:p w:rsidR="00211A3A" w:rsidRPr="00033E6F" w:rsidRDefault="00211A3A" w:rsidP="00211A3A">
      <w:pPr>
        <w:pStyle w:val="Body"/>
        <w:spacing w:after="0" w:line="240" w:lineRule="auto"/>
        <w:rPr>
          <w:rFonts w:ascii="Times New Roman" w:eastAsia="Helvetica" w:hAnsi="Times New Roman" w:cs="Times New Roman"/>
          <w:bCs/>
          <w:sz w:val="24"/>
          <w:szCs w:val="24"/>
        </w:rPr>
      </w:pPr>
      <w:r w:rsidRPr="00033E6F">
        <w:rPr>
          <w:rFonts w:ascii="Times New Roman" w:hAnsi="Times New Roman" w:cs="Times New Roman"/>
          <w:bCs/>
          <w:sz w:val="24"/>
          <w:szCs w:val="24"/>
        </w:rPr>
        <w:t>Table 2:</w:t>
      </w:r>
      <w:r w:rsidRPr="00033E6F">
        <w:rPr>
          <w:rFonts w:ascii="Times New Roman" w:hAnsi="Times New Roman" w:cs="Times New Roman"/>
          <w:sz w:val="24"/>
          <w:szCs w:val="24"/>
        </w:rPr>
        <w:t xml:space="preserve"> Causes of 30-day unplanned readmissions according to discharge to same or different hospital.</w:t>
      </w:r>
    </w:p>
    <w:p w:rsidR="00211A3A" w:rsidRPr="00033E6F" w:rsidRDefault="00211A3A" w:rsidP="00211A3A">
      <w:pPr>
        <w:pStyle w:val="Body"/>
        <w:spacing w:after="0" w:line="240" w:lineRule="auto"/>
        <w:jc w:val="both"/>
        <w:rPr>
          <w:rFonts w:ascii="Times New Roman" w:hAnsi="Times New Roman" w:cs="Times New Roman"/>
          <w:sz w:val="24"/>
          <w:szCs w:val="24"/>
        </w:rPr>
      </w:pPr>
    </w:p>
    <w:p w:rsidR="00211A3A" w:rsidRPr="00033E6F" w:rsidRDefault="00211A3A" w:rsidP="00211A3A">
      <w:pPr>
        <w:pStyle w:val="Body"/>
        <w:spacing w:after="0" w:line="240" w:lineRule="auto"/>
        <w:jc w:val="both"/>
        <w:rPr>
          <w:rFonts w:ascii="Times New Roman" w:hAnsi="Times New Roman" w:cs="Times New Roman"/>
          <w:bCs/>
          <w:sz w:val="24"/>
          <w:szCs w:val="24"/>
        </w:rPr>
      </w:pPr>
      <w:r w:rsidRPr="00033E6F">
        <w:rPr>
          <w:rFonts w:ascii="Times New Roman" w:hAnsi="Times New Roman" w:cs="Times New Roman"/>
          <w:bCs/>
          <w:sz w:val="24"/>
          <w:szCs w:val="24"/>
        </w:rPr>
        <w:t>Table 3: Rates and adjusted odds of adverse outcomes for readmission to non-index compared with index hospital.</w:t>
      </w:r>
    </w:p>
    <w:p w:rsidR="00211A3A" w:rsidRPr="00033E6F" w:rsidRDefault="00211A3A" w:rsidP="00DD4D4D">
      <w:pPr>
        <w:pStyle w:val="Body"/>
        <w:spacing w:after="0" w:line="240" w:lineRule="auto"/>
        <w:jc w:val="both"/>
        <w:rPr>
          <w:rFonts w:ascii="Times New Roman" w:hAnsi="Times New Roman" w:cs="Times New Roman"/>
          <w:bCs/>
          <w:sz w:val="24"/>
          <w:szCs w:val="24"/>
        </w:rPr>
      </w:pPr>
    </w:p>
    <w:p w:rsidR="00DD4D4D" w:rsidRPr="00033E6F" w:rsidRDefault="00847A04" w:rsidP="00DD4D4D">
      <w:pPr>
        <w:pStyle w:val="Body"/>
        <w:spacing w:after="0" w:line="240" w:lineRule="auto"/>
        <w:jc w:val="both"/>
        <w:rPr>
          <w:rFonts w:ascii="Times New Roman" w:hAnsi="Times New Roman" w:cs="Times New Roman"/>
          <w:bCs/>
          <w:sz w:val="24"/>
          <w:szCs w:val="24"/>
        </w:rPr>
      </w:pPr>
      <w:r w:rsidRPr="00033E6F">
        <w:rPr>
          <w:rFonts w:ascii="Times New Roman" w:hAnsi="Times New Roman" w:cs="Times New Roman"/>
          <w:bCs/>
          <w:sz w:val="24"/>
          <w:szCs w:val="24"/>
        </w:rPr>
        <w:t>Figure 1</w:t>
      </w:r>
      <w:r w:rsidR="00DD4D4D" w:rsidRPr="00033E6F">
        <w:rPr>
          <w:rFonts w:ascii="Times New Roman" w:hAnsi="Times New Roman" w:cs="Times New Roman"/>
          <w:bCs/>
          <w:sz w:val="24"/>
          <w:szCs w:val="24"/>
        </w:rPr>
        <w:t>: Proportion of readmissions to index hospital at different timing of follow up.</w:t>
      </w:r>
    </w:p>
    <w:p w:rsidR="00DD4D4D" w:rsidRPr="00033E6F" w:rsidRDefault="00DD4D4D" w:rsidP="00DD4D4D">
      <w:pPr>
        <w:pStyle w:val="Body"/>
        <w:spacing w:after="0" w:line="240" w:lineRule="auto"/>
        <w:jc w:val="both"/>
        <w:rPr>
          <w:rFonts w:ascii="Times New Roman" w:eastAsia="Helvetica" w:hAnsi="Times New Roman" w:cs="Times New Roman"/>
          <w:bCs/>
          <w:sz w:val="24"/>
          <w:szCs w:val="24"/>
        </w:rPr>
      </w:pPr>
    </w:p>
    <w:p w:rsidR="00DD4D4D" w:rsidRPr="00033E6F" w:rsidRDefault="00295797" w:rsidP="00DD4D4D">
      <w:pPr>
        <w:pStyle w:val="Body"/>
        <w:rPr>
          <w:rFonts w:ascii="Times New Roman" w:eastAsia="Helvetica" w:hAnsi="Times New Roman" w:cs="Times New Roman"/>
          <w:bCs/>
          <w:sz w:val="24"/>
          <w:szCs w:val="24"/>
        </w:rPr>
      </w:pPr>
      <w:r w:rsidRPr="00033E6F">
        <w:rPr>
          <w:rFonts w:ascii="Times New Roman" w:hAnsi="Times New Roman" w:cs="Times New Roman"/>
          <w:bCs/>
          <w:sz w:val="24"/>
          <w:szCs w:val="24"/>
        </w:rPr>
        <w:t>Figure 2</w:t>
      </w:r>
      <w:r w:rsidR="00DD4D4D" w:rsidRPr="00033E6F">
        <w:rPr>
          <w:rFonts w:ascii="Times New Roman" w:hAnsi="Times New Roman" w:cs="Times New Roman"/>
          <w:bCs/>
          <w:sz w:val="24"/>
          <w:szCs w:val="24"/>
        </w:rPr>
        <w:t>: Proportion of patients with non-cardiac reasons for index versus non-index hospital readmissions.</w:t>
      </w:r>
    </w:p>
    <w:p w:rsidR="00DD4D4D" w:rsidRPr="00033E6F" w:rsidRDefault="00295797" w:rsidP="00DD4D4D">
      <w:pPr>
        <w:pStyle w:val="Body"/>
        <w:rPr>
          <w:rFonts w:ascii="Times New Roman" w:hAnsi="Times New Roman" w:cs="Times New Roman"/>
          <w:bCs/>
          <w:sz w:val="24"/>
          <w:szCs w:val="24"/>
        </w:rPr>
      </w:pPr>
      <w:r w:rsidRPr="00033E6F">
        <w:rPr>
          <w:rFonts w:ascii="Times New Roman" w:hAnsi="Times New Roman" w:cs="Times New Roman"/>
          <w:bCs/>
          <w:sz w:val="24"/>
          <w:szCs w:val="24"/>
        </w:rPr>
        <w:t>Figure 3</w:t>
      </w:r>
      <w:r w:rsidR="00DD4D4D" w:rsidRPr="00033E6F">
        <w:rPr>
          <w:rFonts w:ascii="Times New Roman" w:hAnsi="Times New Roman" w:cs="Times New Roman"/>
          <w:bCs/>
          <w:sz w:val="24"/>
          <w:szCs w:val="24"/>
        </w:rPr>
        <w:t>: Odds of adverse outcomes for readmission to index compared with non-index hospital.</w:t>
      </w:r>
    </w:p>
    <w:p w:rsidR="00847A04" w:rsidRPr="00033E6F" w:rsidRDefault="00847A04" w:rsidP="00DD4D4D">
      <w:pPr>
        <w:pStyle w:val="Body"/>
        <w:spacing w:after="0" w:line="240" w:lineRule="auto"/>
        <w:jc w:val="both"/>
        <w:rPr>
          <w:rFonts w:ascii="Times New Roman" w:hAnsi="Times New Roman" w:cs="Times New Roman"/>
          <w:bCs/>
          <w:sz w:val="24"/>
          <w:szCs w:val="24"/>
        </w:rPr>
      </w:pPr>
    </w:p>
    <w:p w:rsidR="00211A3A" w:rsidRPr="00033E6F" w:rsidRDefault="00211A3A" w:rsidP="00DD4D4D">
      <w:pPr>
        <w:pStyle w:val="Body"/>
        <w:spacing w:after="0" w:line="240" w:lineRule="auto"/>
        <w:jc w:val="both"/>
        <w:rPr>
          <w:rFonts w:ascii="Times New Roman" w:hAnsi="Times New Roman" w:cs="Times New Roman"/>
          <w:bCs/>
          <w:sz w:val="24"/>
          <w:szCs w:val="24"/>
        </w:rPr>
      </w:pPr>
    </w:p>
    <w:p w:rsidR="00512B82" w:rsidRPr="00033E6F" w:rsidRDefault="00512B82" w:rsidP="00512B82">
      <w:r w:rsidRPr="00033E6F">
        <w:t>Supplementary Table 1: Classification of Clinic Classification Software codes for Readmissions Causes</w:t>
      </w:r>
    </w:p>
    <w:p w:rsidR="00295797" w:rsidRPr="00033E6F" w:rsidRDefault="00295797" w:rsidP="00295797">
      <w:pPr>
        <w:pStyle w:val="Body"/>
        <w:spacing w:after="0" w:line="240" w:lineRule="auto"/>
        <w:rPr>
          <w:rFonts w:ascii="Times New Roman" w:hAnsi="Times New Roman" w:cs="Times New Roman"/>
          <w:bCs/>
          <w:sz w:val="24"/>
          <w:szCs w:val="24"/>
        </w:rPr>
      </w:pPr>
    </w:p>
    <w:p w:rsidR="00295797" w:rsidRPr="00033E6F" w:rsidRDefault="00295797" w:rsidP="00295797">
      <w:pPr>
        <w:pStyle w:val="Body"/>
        <w:spacing w:after="0" w:line="240" w:lineRule="auto"/>
        <w:rPr>
          <w:rFonts w:ascii="Times New Roman" w:eastAsia="Helvetica" w:hAnsi="Times New Roman" w:cs="Times New Roman"/>
          <w:sz w:val="24"/>
          <w:szCs w:val="24"/>
        </w:rPr>
      </w:pPr>
      <w:r w:rsidRPr="00033E6F">
        <w:rPr>
          <w:rFonts w:ascii="Times New Roman" w:hAnsi="Times New Roman" w:cs="Times New Roman"/>
          <w:bCs/>
          <w:sz w:val="24"/>
          <w:szCs w:val="24"/>
        </w:rPr>
        <w:t>Supplementary Table 2:</w:t>
      </w:r>
      <w:r w:rsidRPr="00033E6F">
        <w:rPr>
          <w:rFonts w:ascii="Times New Roman" w:hAnsi="Times New Roman" w:cs="Times New Roman"/>
          <w:sz w:val="24"/>
          <w:szCs w:val="24"/>
        </w:rPr>
        <w:t xml:space="preserve"> Factors associated with 30-day unplanned readmissions after PCI to the index or non-index hospital.</w:t>
      </w:r>
    </w:p>
    <w:p w:rsidR="00295797" w:rsidRPr="00033E6F" w:rsidRDefault="00295797" w:rsidP="00DD4D4D">
      <w:pPr>
        <w:pStyle w:val="Body"/>
        <w:spacing w:after="0" w:line="240" w:lineRule="auto"/>
        <w:jc w:val="both"/>
        <w:rPr>
          <w:rFonts w:ascii="Times New Roman" w:eastAsia="Helvetica" w:hAnsi="Times New Roman" w:cs="Times New Roman"/>
          <w:bCs/>
          <w:sz w:val="24"/>
          <w:szCs w:val="24"/>
        </w:rPr>
      </w:pPr>
    </w:p>
    <w:p w:rsidR="00211A3A" w:rsidRPr="00033E6F" w:rsidRDefault="00211A3A" w:rsidP="00211A3A">
      <w:pPr>
        <w:pStyle w:val="Body"/>
        <w:spacing w:after="0" w:line="240" w:lineRule="auto"/>
        <w:rPr>
          <w:rFonts w:ascii="Times New Roman" w:eastAsia="Helvetica" w:hAnsi="Times New Roman" w:cs="Times New Roman"/>
          <w:sz w:val="24"/>
          <w:szCs w:val="24"/>
        </w:rPr>
      </w:pPr>
      <w:r w:rsidRPr="00033E6F">
        <w:rPr>
          <w:rFonts w:ascii="Times New Roman" w:hAnsi="Times New Roman" w:cs="Times New Roman"/>
          <w:bCs/>
          <w:sz w:val="24"/>
          <w:szCs w:val="24"/>
        </w:rPr>
        <w:t>Supplementary Figure 1:</w:t>
      </w:r>
      <w:r w:rsidRPr="00033E6F">
        <w:rPr>
          <w:rFonts w:ascii="Times New Roman" w:hAnsi="Times New Roman" w:cs="Times New Roman"/>
          <w:sz w:val="24"/>
          <w:szCs w:val="24"/>
        </w:rPr>
        <w:t xml:space="preserve"> Flow diagram of patient inclusion.</w:t>
      </w:r>
    </w:p>
    <w:p w:rsidR="00211A3A" w:rsidRPr="00033E6F" w:rsidRDefault="00211A3A" w:rsidP="00211A3A">
      <w:pPr>
        <w:pStyle w:val="Body"/>
        <w:spacing w:after="0" w:line="240" w:lineRule="auto"/>
        <w:jc w:val="both"/>
        <w:rPr>
          <w:rFonts w:ascii="Times New Roman" w:eastAsia="Helvetica" w:hAnsi="Times New Roman" w:cs="Times New Roman"/>
          <w:bCs/>
          <w:sz w:val="24"/>
          <w:szCs w:val="24"/>
        </w:rPr>
      </w:pPr>
    </w:p>
    <w:p w:rsidR="009A579C" w:rsidRDefault="00211A3A" w:rsidP="00211A3A">
      <w:pPr>
        <w:pStyle w:val="Body"/>
        <w:spacing w:after="0" w:line="240" w:lineRule="auto"/>
        <w:jc w:val="both"/>
        <w:rPr>
          <w:rFonts w:ascii="Times New Roman" w:hAnsi="Times New Roman" w:cs="Times New Roman"/>
          <w:bCs/>
          <w:sz w:val="24"/>
          <w:szCs w:val="24"/>
        </w:rPr>
      </w:pPr>
      <w:r w:rsidRPr="00033E6F">
        <w:rPr>
          <w:rFonts w:ascii="Times New Roman" w:hAnsi="Times New Roman" w:cs="Times New Roman"/>
          <w:bCs/>
          <w:sz w:val="24"/>
          <w:szCs w:val="24"/>
        </w:rPr>
        <w:t>Supplementary Figure 2: Rate of readmissions to different and same hospital between 2010 and 2014.</w:t>
      </w:r>
    </w:p>
    <w:p w:rsidR="009A579C" w:rsidRDefault="009A579C">
      <w:pPr>
        <w:rPr>
          <w:rFonts w:eastAsia="Arial Unicode MS"/>
          <w:bCs/>
          <w:color w:val="000000"/>
          <w:u w:color="000000"/>
        </w:rPr>
      </w:pPr>
      <w:r>
        <w:rPr>
          <w:bCs/>
        </w:rPr>
        <w:br w:type="page"/>
      </w:r>
    </w:p>
    <w:p w:rsidR="009A579C" w:rsidRDefault="009A579C" w:rsidP="009A579C">
      <w:pPr>
        <w:pStyle w:val="Body"/>
        <w:spacing w:after="0" w:line="480" w:lineRule="auto"/>
        <w:jc w:val="both"/>
        <w:rPr>
          <w:rFonts w:ascii="Helvetica" w:eastAsia="Helvetica" w:hAnsi="Helvetica" w:cs="Helvetica"/>
        </w:rPr>
      </w:pPr>
      <w:r>
        <w:rPr>
          <w:rFonts w:ascii="Helvetica" w:hAnsi="Helvetica"/>
          <w:b/>
          <w:bCs/>
          <w:lang w:val="fr-FR"/>
        </w:rPr>
        <w:lastRenderedPageBreak/>
        <w:t xml:space="preserve">Table </w:t>
      </w:r>
      <w:proofErr w:type="gramStart"/>
      <w:r>
        <w:rPr>
          <w:rFonts w:ascii="Helvetica" w:hAnsi="Helvetica"/>
          <w:b/>
          <w:bCs/>
          <w:lang w:val="fr-FR"/>
        </w:rPr>
        <w:t>1:</w:t>
      </w:r>
      <w:proofErr w:type="gramEnd"/>
      <w:r>
        <w:rPr>
          <w:rFonts w:ascii="Helvetica" w:hAnsi="Helvetica"/>
        </w:rPr>
        <w:t xml:space="preserve"> Descriptive statistics for the PCI cohort according to unplanned readmission within 30 days.</w:t>
      </w:r>
    </w:p>
    <w:p w:rsidR="009A579C" w:rsidRDefault="009A579C" w:rsidP="009A579C">
      <w:pPr>
        <w:pStyle w:val="Body"/>
        <w:spacing w:after="0" w:line="480" w:lineRule="auto"/>
        <w:jc w:val="both"/>
        <w:rPr>
          <w:rFonts w:ascii="Helvetica" w:eastAsia="Helvetica" w:hAnsi="Helvetica" w:cs="Helvetica"/>
        </w:rPr>
      </w:pPr>
    </w:p>
    <w:tbl>
      <w:tblPr>
        <w:tblW w:w="9394" w:type="dxa"/>
        <w:shd w:val="clear" w:color="auto" w:fill="CED7E7"/>
        <w:tblCellMar>
          <w:left w:w="0" w:type="dxa"/>
          <w:right w:w="0" w:type="dxa"/>
        </w:tblCellMar>
        <w:tblLook w:val="0000" w:firstRow="0" w:lastRow="0" w:firstColumn="0" w:lastColumn="0" w:noHBand="0" w:noVBand="0"/>
      </w:tblPr>
      <w:tblGrid>
        <w:gridCol w:w="3544"/>
        <w:gridCol w:w="1701"/>
        <w:gridCol w:w="1984"/>
        <w:gridCol w:w="2165"/>
      </w:tblGrid>
      <w:tr w:rsidR="009A579C" w:rsidTr="00326067">
        <w:trPr>
          <w:cantSplit/>
          <w:trHeight w:val="289"/>
        </w:trPr>
        <w:tc>
          <w:tcPr>
            <w:tcW w:w="3544" w:type="dxa"/>
            <w:tcBorders>
              <w:top w:val="single" w:sz="4" w:space="0" w:color="auto"/>
              <w:bottom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Variable</w:t>
            </w:r>
          </w:p>
        </w:tc>
        <w:tc>
          <w:tcPr>
            <w:tcW w:w="1701" w:type="dxa"/>
            <w:tcBorders>
              <w:top w:val="single" w:sz="4" w:space="0" w:color="auto"/>
              <w:bottom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No readmission (n=1,983,491)</w:t>
            </w:r>
          </w:p>
        </w:tc>
        <w:tc>
          <w:tcPr>
            <w:tcW w:w="1984" w:type="dxa"/>
            <w:tcBorders>
              <w:top w:val="single" w:sz="4" w:space="0" w:color="auto"/>
              <w:bottom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Readmit non-index hospital (n=45,334)</w:t>
            </w:r>
          </w:p>
        </w:tc>
        <w:tc>
          <w:tcPr>
            <w:tcW w:w="2165" w:type="dxa"/>
            <w:tcBorders>
              <w:top w:val="single" w:sz="4" w:space="0" w:color="auto"/>
              <w:bottom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Readmit index hospital (n=155,025)</w:t>
            </w:r>
          </w:p>
        </w:tc>
      </w:tr>
      <w:tr w:rsidR="009A579C" w:rsidTr="00326067">
        <w:trPr>
          <w:cantSplit/>
          <w:trHeight w:val="20"/>
        </w:trPr>
        <w:tc>
          <w:tcPr>
            <w:tcW w:w="3544" w:type="dxa"/>
            <w:tcBorders>
              <w:top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Mean age (</w:t>
            </w:r>
            <w:r>
              <w:rPr>
                <w:rFonts w:ascii="Helvetica" w:hAnsi="Helvetica"/>
                <w:sz w:val="20"/>
                <w:szCs w:val="20"/>
              </w:rPr>
              <w:t xml:space="preserve">years, </w:t>
            </w:r>
            <w:r w:rsidRPr="00BA5B84">
              <w:rPr>
                <w:rFonts w:ascii="Helvetica" w:hAnsi="Helvetica"/>
                <w:sz w:val="20"/>
                <w:szCs w:val="20"/>
              </w:rPr>
              <w:t>±SD)</w:t>
            </w:r>
          </w:p>
        </w:tc>
        <w:tc>
          <w:tcPr>
            <w:tcW w:w="1701" w:type="dxa"/>
            <w:tcBorders>
              <w:top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64.1±12.2</w:t>
            </w:r>
          </w:p>
        </w:tc>
        <w:tc>
          <w:tcPr>
            <w:tcW w:w="1984" w:type="dxa"/>
            <w:tcBorders>
              <w:top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66.3±12.8</w:t>
            </w:r>
          </w:p>
        </w:tc>
        <w:tc>
          <w:tcPr>
            <w:tcW w:w="2165" w:type="dxa"/>
            <w:tcBorders>
              <w:top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66.2±12.7</w:t>
            </w:r>
          </w:p>
        </w:tc>
      </w:tr>
      <w:tr w:rsidR="009A579C" w:rsidTr="00326067">
        <w:trPr>
          <w:cantSplit/>
          <w:trHeight w:val="20"/>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Pr>
                <w:rFonts w:ascii="Helvetica" w:hAnsi="Helvetica"/>
                <w:sz w:val="20"/>
                <w:szCs w:val="20"/>
              </w:rPr>
              <w:t>Women</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31.1%</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38.7%</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39.0%</w:t>
            </w:r>
          </w:p>
        </w:tc>
      </w:tr>
      <w:tr w:rsidR="009A579C" w:rsidTr="00326067">
        <w:trPr>
          <w:cantSplit/>
          <w:trHeight w:val="1177"/>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Year</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2010</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2011</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2012</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2013</w:t>
            </w:r>
          </w:p>
          <w:p w:rsidR="009A579C" w:rsidRPr="00BA5B84" w:rsidRDefault="009A579C" w:rsidP="00326067">
            <w:pPr>
              <w:pStyle w:val="Body"/>
              <w:spacing w:after="0" w:line="480" w:lineRule="auto"/>
              <w:rPr>
                <w:sz w:val="20"/>
                <w:szCs w:val="20"/>
              </w:rPr>
            </w:pPr>
            <w:r w:rsidRPr="00BA5B84">
              <w:rPr>
                <w:rFonts w:ascii="Helvetica" w:hAnsi="Helvetica"/>
                <w:sz w:val="20"/>
                <w:szCs w:val="20"/>
              </w:rPr>
              <w:t>2014</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22.1%</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20.5%</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19.1%</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19.8%</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18.5%</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23.8%</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21.8%</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19.1%</w:t>
            </w:r>
            <w:r w:rsidRPr="00BA5B84">
              <w:rPr>
                <w:rFonts w:ascii="Helvetica" w:eastAsia="Helvetica" w:hAnsi="Helvetica" w:cs="Helvetica"/>
                <w:sz w:val="20"/>
                <w:szCs w:val="20"/>
              </w:rPr>
              <w:cr/>
            </w:r>
            <w:r w:rsidRPr="00BA5B84">
              <w:rPr>
                <w:rFonts w:ascii="Helvetica" w:hAnsi="Helvetica"/>
                <w:sz w:val="20"/>
                <w:szCs w:val="20"/>
              </w:rPr>
              <w:t>18.5%</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16.9%</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22.1%</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21.1%</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19.1%</w:t>
            </w:r>
            <w:r w:rsidRPr="00BA5B84">
              <w:rPr>
                <w:rFonts w:ascii="Helvetica" w:eastAsia="Helvetica" w:hAnsi="Helvetica" w:cs="Helvetica"/>
                <w:sz w:val="20"/>
                <w:szCs w:val="20"/>
              </w:rPr>
              <w:cr/>
            </w:r>
            <w:r w:rsidRPr="00BA5B84">
              <w:rPr>
                <w:rFonts w:ascii="Helvetica" w:hAnsi="Helvetica"/>
                <w:sz w:val="20"/>
                <w:szCs w:val="20"/>
              </w:rPr>
              <w:t>19.7%</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18.1%</w:t>
            </w:r>
          </w:p>
        </w:tc>
      </w:tr>
      <w:tr w:rsidR="009A579C" w:rsidTr="00326067">
        <w:trPr>
          <w:cantSplit/>
          <w:trHeight w:val="51"/>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Elective index PCI</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17.3%</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15.9%</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10.4%</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Weekend admission</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20.2%</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20.5%</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21.6%</w:t>
            </w:r>
          </w:p>
        </w:tc>
      </w:tr>
      <w:tr w:rsidR="009A579C" w:rsidTr="00326067">
        <w:trPr>
          <w:cantSplit/>
          <w:trHeight w:val="1381"/>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Primary expected payer</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Medicare</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Medicaid</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Private</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Uninsured</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No charge</w:t>
            </w:r>
          </w:p>
          <w:p w:rsidR="009A579C" w:rsidRPr="00BA5B84" w:rsidRDefault="009A579C" w:rsidP="00326067">
            <w:pPr>
              <w:pStyle w:val="Body"/>
              <w:spacing w:after="0" w:line="480" w:lineRule="auto"/>
              <w:rPr>
                <w:sz w:val="20"/>
                <w:szCs w:val="20"/>
              </w:rPr>
            </w:pPr>
            <w:r w:rsidRPr="00BA5B84">
              <w:rPr>
                <w:rFonts w:ascii="Helvetica" w:hAnsi="Helvetica"/>
                <w:sz w:val="20"/>
                <w:szCs w:val="20"/>
              </w:rPr>
              <w:t>Other</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50.4%</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7.4%</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31.8%</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5.9%</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0.8%</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3.7%</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63.0%</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10.2%</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18.7%</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4.7%</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0.6%</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2.9%</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61.0%</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9.4%</w:t>
            </w:r>
            <w:r w:rsidRPr="00BA5B84">
              <w:rPr>
                <w:rFonts w:ascii="Helvetica" w:eastAsia="Helvetica" w:hAnsi="Helvetica" w:cs="Helvetica"/>
                <w:sz w:val="20"/>
                <w:szCs w:val="20"/>
              </w:rPr>
              <w:cr/>
            </w:r>
            <w:r w:rsidRPr="00BA5B84">
              <w:rPr>
                <w:rFonts w:ascii="Helvetica" w:hAnsi="Helvetica"/>
                <w:sz w:val="20"/>
                <w:szCs w:val="20"/>
              </w:rPr>
              <w:t>21.2%</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4.3%</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0.8%</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3.3%</w:t>
            </w:r>
          </w:p>
        </w:tc>
      </w:tr>
      <w:tr w:rsidR="009A579C" w:rsidTr="00326067">
        <w:trPr>
          <w:cantSplit/>
          <w:trHeight w:val="1294"/>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lastRenderedPageBreak/>
              <w:t>Median household income based on ZIP code</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0-25</w:t>
            </w:r>
            <w:r w:rsidRPr="00BA5B84">
              <w:rPr>
                <w:rFonts w:ascii="Helvetica" w:hAnsi="Helvetica"/>
                <w:sz w:val="20"/>
                <w:szCs w:val="20"/>
                <w:vertAlign w:val="superscript"/>
              </w:rPr>
              <w:t>th</w:t>
            </w:r>
            <w:r w:rsidRPr="00BA5B84">
              <w:rPr>
                <w:rFonts w:ascii="Helvetica" w:hAnsi="Helvetica"/>
                <w:sz w:val="20"/>
                <w:szCs w:val="20"/>
              </w:rPr>
              <w:t xml:space="preserve"> percentile</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26-50</w:t>
            </w:r>
            <w:r w:rsidRPr="00BA5B84">
              <w:rPr>
                <w:rFonts w:ascii="Helvetica" w:hAnsi="Helvetica"/>
                <w:sz w:val="20"/>
                <w:szCs w:val="20"/>
                <w:vertAlign w:val="superscript"/>
              </w:rPr>
              <w:t>th</w:t>
            </w:r>
            <w:r w:rsidRPr="00BA5B84">
              <w:rPr>
                <w:rFonts w:ascii="Helvetica" w:hAnsi="Helvetica"/>
                <w:sz w:val="20"/>
                <w:szCs w:val="20"/>
              </w:rPr>
              <w:t xml:space="preserve"> percentile</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51-75</w:t>
            </w:r>
            <w:r w:rsidRPr="00BA5B84">
              <w:rPr>
                <w:rFonts w:ascii="Helvetica" w:hAnsi="Helvetica"/>
                <w:sz w:val="20"/>
                <w:szCs w:val="20"/>
                <w:vertAlign w:val="superscript"/>
              </w:rPr>
              <w:t>th</w:t>
            </w:r>
            <w:r w:rsidRPr="00BA5B84">
              <w:rPr>
                <w:rFonts w:ascii="Helvetica" w:hAnsi="Helvetica"/>
                <w:sz w:val="20"/>
                <w:szCs w:val="20"/>
              </w:rPr>
              <w:t xml:space="preserve"> percentile</w:t>
            </w:r>
          </w:p>
          <w:p w:rsidR="009A579C" w:rsidRPr="00BA5B84" w:rsidRDefault="009A579C" w:rsidP="00326067">
            <w:pPr>
              <w:pStyle w:val="Body"/>
              <w:spacing w:after="0" w:line="480" w:lineRule="auto"/>
              <w:rPr>
                <w:sz w:val="20"/>
                <w:szCs w:val="20"/>
              </w:rPr>
            </w:pPr>
            <w:r w:rsidRPr="00BA5B84">
              <w:rPr>
                <w:rFonts w:ascii="Helvetica" w:hAnsi="Helvetica"/>
                <w:sz w:val="20"/>
                <w:szCs w:val="20"/>
              </w:rPr>
              <w:t>76-100</w:t>
            </w:r>
            <w:r w:rsidRPr="00BA5B84">
              <w:rPr>
                <w:rFonts w:ascii="Helvetica" w:hAnsi="Helvetica"/>
                <w:sz w:val="20"/>
                <w:szCs w:val="20"/>
                <w:vertAlign w:val="superscript"/>
              </w:rPr>
              <w:t>th</w:t>
            </w:r>
            <w:r w:rsidRPr="00BA5B84">
              <w:rPr>
                <w:rFonts w:ascii="Helvetica" w:hAnsi="Helvetica"/>
                <w:sz w:val="20"/>
                <w:szCs w:val="20"/>
              </w:rPr>
              <w:t xml:space="preserve"> percentile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eastAsia="Helvetica" w:hAnsi="Helvetica" w:cs="Helvetica"/>
                <w:sz w:val="20"/>
                <w:szCs w:val="20"/>
              </w:rPr>
            </w:pPr>
          </w:p>
          <w:p w:rsidR="009A579C" w:rsidRPr="00BA5B84" w:rsidRDefault="009A579C" w:rsidP="00326067">
            <w:pPr>
              <w:pStyle w:val="Body"/>
              <w:spacing w:after="0" w:line="480" w:lineRule="auto"/>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28.7%</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25.2%</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24.0%</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22.1%</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29.8%</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25.0%</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23.3%</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22.0%</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eastAsia="Helvetica" w:hAnsi="Helvetica" w:cs="Helvetica"/>
                <w:sz w:val="20"/>
                <w:szCs w:val="20"/>
              </w:rPr>
            </w:pPr>
          </w:p>
          <w:p w:rsidR="009A579C" w:rsidRPr="00BA5B84" w:rsidRDefault="009A579C" w:rsidP="00326067">
            <w:pPr>
              <w:pStyle w:val="Body"/>
              <w:spacing w:after="0" w:line="480" w:lineRule="auto"/>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31.3%</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25.6%</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23.2%</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20.0%</w:t>
            </w:r>
          </w:p>
        </w:tc>
      </w:tr>
      <w:tr w:rsidR="009A579C" w:rsidTr="00326067">
        <w:trPr>
          <w:cantSplit/>
          <w:trHeight w:val="85"/>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Smoker</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42.2%</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41.9%</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39.9%</w:t>
            </w:r>
          </w:p>
        </w:tc>
      </w:tr>
      <w:tr w:rsidR="009A579C" w:rsidTr="00326067">
        <w:trPr>
          <w:cantSplit/>
          <w:trHeight w:val="20"/>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Alcohol misuse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2.6%</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3.4%</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2.6%</w:t>
            </w:r>
          </w:p>
        </w:tc>
      </w:tr>
      <w:tr w:rsidR="009A579C" w:rsidTr="00326067">
        <w:trPr>
          <w:cantSplit/>
          <w:trHeight w:val="139"/>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Pr>
                <w:rFonts w:ascii="Helvetica" w:hAnsi="Helvetica"/>
                <w:sz w:val="20"/>
                <w:szCs w:val="20"/>
              </w:rPr>
              <w:t>Co</w:t>
            </w:r>
            <w:r w:rsidRPr="00BA5B84">
              <w:rPr>
                <w:rFonts w:ascii="Helvetica" w:hAnsi="Helvetica"/>
                <w:sz w:val="20"/>
                <w:szCs w:val="20"/>
              </w:rPr>
              <w:t>morbidities</w:t>
            </w:r>
          </w:p>
        </w:tc>
        <w:tc>
          <w:tcPr>
            <w:tcW w:w="1701"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c>
          <w:tcPr>
            <w:tcW w:w="1984"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c>
          <w:tcPr>
            <w:tcW w:w="2165"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r>
      <w:tr w:rsidR="009A579C" w:rsidTr="00326067">
        <w:trPr>
          <w:cantSplit/>
          <w:trHeight w:val="20"/>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D</w:t>
            </w:r>
            <w:r>
              <w:rPr>
                <w:rFonts w:ascii="Helvetica" w:hAnsi="Helvetica"/>
                <w:sz w:val="20"/>
                <w:szCs w:val="20"/>
              </w:rPr>
              <w:t>yslipid</w:t>
            </w:r>
            <w:r w:rsidRPr="00BA5B84">
              <w:rPr>
                <w:rFonts w:ascii="Helvetica" w:hAnsi="Helvetica"/>
                <w:sz w:val="20"/>
                <w:szCs w:val="20"/>
              </w:rPr>
              <w:t>emia</w:t>
            </w:r>
            <w:r>
              <w:rPr>
                <w:rFonts w:ascii="Malgun Gothic" w:eastAsia="Malgun Gothic" w:hAnsi="Malgun Gothic" w:hint="eastAsia"/>
                <w:sz w:val="20"/>
                <w:szCs w:val="20"/>
              </w:rPr>
              <w:t>†</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69.9%</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69.9%</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69.1%</w:t>
            </w:r>
          </w:p>
        </w:tc>
      </w:tr>
      <w:tr w:rsidR="009A579C" w:rsidTr="00326067">
        <w:trPr>
          <w:cantSplit/>
          <w:trHeight w:val="20"/>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Hypertension</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74.4%</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79.5%</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77.6%</w:t>
            </w:r>
          </w:p>
        </w:tc>
      </w:tr>
      <w:tr w:rsidR="009A579C" w:rsidTr="00326067">
        <w:trPr>
          <w:cantSplit/>
          <w:trHeight w:val="213"/>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Diabetes mellitus</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35.7%</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46.0%</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43.5%</w:t>
            </w:r>
          </w:p>
        </w:tc>
      </w:tr>
      <w:tr w:rsidR="009A579C" w:rsidTr="00326067">
        <w:trPr>
          <w:cantSplit/>
          <w:trHeight w:val="247"/>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Obesity</w:t>
            </w:r>
            <w:r>
              <w:rPr>
                <w:rFonts w:ascii="Malgun Gothic" w:eastAsia="Malgun Gothic" w:hAnsi="Malgun Gothic" w:hint="eastAsia"/>
                <w:sz w:val="20"/>
                <w:szCs w:val="20"/>
              </w:rPr>
              <w:t>‡</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15.9%</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16.9%</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15.9%</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Previous heart failure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1.0%</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2.2%</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1.8%</w:t>
            </w:r>
          </w:p>
        </w:tc>
      </w:tr>
      <w:tr w:rsidR="009A579C" w:rsidTr="00326067">
        <w:trPr>
          <w:cantSplit/>
          <w:trHeight w:val="272"/>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Previous coronary artery disease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94.4%</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95.5%</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94.2%</w:t>
            </w:r>
          </w:p>
        </w:tc>
      </w:tr>
      <w:tr w:rsidR="009A579C" w:rsidTr="00326067">
        <w:trPr>
          <w:cantSplit/>
          <w:trHeight w:val="352"/>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Previous myocardial infarction</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14.2%</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17.8%</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15.1%</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Previous PCI</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21.1%</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23.6%</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21.5%</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Previous CABG</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7.7%</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10.6%</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9.0%</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Previous heart valve disease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0.3%</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0.8%</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0.6%</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Atrial fibrillation</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10.3%</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17.3%</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16.4%</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Previous stroke/TIA</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6.3%</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10.4%</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9.0%</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Peripheral vascular disease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10.4%</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17.0%</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14.6%</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Pulmonary circulatory disorder</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0.2%</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0.4%</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0.4%</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lastRenderedPageBreak/>
              <w:t>Peptic ulcer disease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0.02%</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0.04%</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0.02%</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Chronic lung disease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15.6%</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25.5%</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23.1%</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 xml:space="preserve">Renal failure </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11.7%</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23.9%</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21.1%</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Liver disease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1.2%</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2.2%</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1.8%</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Hypothyroidism</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8.7%</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11.1%</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11.1%</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Fluid and electrolyte disorder</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10.7%</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17.6%</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16.9%</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Anemia</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9.4%</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20.2%</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17.1%</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Cancer</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1.6%</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3.0%</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2.6%</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Depression</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6.2%</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9.1%</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8.6%</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Dementia</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1.3%</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2.8%</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2.3%</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 xml:space="preserve">Mean </w:t>
            </w:r>
            <w:proofErr w:type="spellStart"/>
            <w:r w:rsidRPr="00BA5B84">
              <w:rPr>
                <w:rFonts w:ascii="Helvetica" w:hAnsi="Helvetica"/>
                <w:sz w:val="20"/>
                <w:szCs w:val="20"/>
              </w:rPr>
              <w:t>Charlson</w:t>
            </w:r>
            <w:proofErr w:type="spellEnd"/>
            <w:r w:rsidRPr="00BA5B84">
              <w:rPr>
                <w:rFonts w:ascii="Helvetica" w:hAnsi="Helvetica"/>
                <w:sz w:val="20"/>
                <w:szCs w:val="20"/>
              </w:rPr>
              <w:t xml:space="preserve"> comorbidity index (±SD)</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1.2±1.3</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1.9±1.7</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1.7±1.6</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Mean number of co-morbidities (±SD)</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4.8±2.0</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5.7±2.3</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5.4±2.2</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Hospital variables</w:t>
            </w:r>
          </w:p>
        </w:tc>
        <w:tc>
          <w:tcPr>
            <w:tcW w:w="1701"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c>
          <w:tcPr>
            <w:tcW w:w="1984"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c>
          <w:tcPr>
            <w:tcW w:w="2165"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Size based on number of beds</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Small</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Medium</w:t>
            </w:r>
          </w:p>
          <w:p w:rsidR="009A579C" w:rsidRPr="00BA5B84" w:rsidRDefault="009A579C" w:rsidP="00326067">
            <w:pPr>
              <w:pStyle w:val="Body"/>
              <w:spacing w:after="0" w:line="480" w:lineRule="auto"/>
              <w:rPr>
                <w:sz w:val="20"/>
                <w:szCs w:val="20"/>
              </w:rPr>
            </w:pPr>
            <w:r w:rsidRPr="00BA5B84">
              <w:rPr>
                <w:rFonts w:ascii="Helvetica" w:hAnsi="Helvetica"/>
                <w:sz w:val="20"/>
                <w:szCs w:val="20"/>
              </w:rPr>
              <w:t>Large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5.8%</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20.6%</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73.6%</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6.5%</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20.1%</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73.5%</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4.6%</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20.5%</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74.9%</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Urban classification</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99.8%</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99.8%</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99.8%</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Teaching hospital</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54.9%</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57.7%</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53.2%</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Procedural details</w:t>
            </w:r>
          </w:p>
        </w:tc>
        <w:tc>
          <w:tcPr>
            <w:tcW w:w="1701"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c>
          <w:tcPr>
            <w:tcW w:w="1984"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c>
          <w:tcPr>
            <w:tcW w:w="2165"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Multi-vessel disease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16.1%</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16.1%</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16.2%</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Bifurcation disease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2.9%</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3.0%</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2.7%</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lastRenderedPageBreak/>
              <w:t>Use of circulatory support</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2.4%</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3.8%</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3.6%</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Use of vasopressor</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0.4%</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0.5%</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0.5%</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Use of intra-aortic balloon pump</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2.2%</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3.4%</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3.2%</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Use of fractional flow reserve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1.9%</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2.2%</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2.0%</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Use of intravascular ultrasound</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7.1%</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7.6%</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7.0%</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Use of drug-eluting stent</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75.2%</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68.4%</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69.6%</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proofErr w:type="spellStart"/>
            <w:r w:rsidRPr="00BA5B84">
              <w:rPr>
                <w:rFonts w:ascii="Helvetica" w:hAnsi="Helvetica"/>
                <w:sz w:val="20"/>
                <w:szCs w:val="20"/>
              </w:rPr>
              <w:t>Periprocedural</w:t>
            </w:r>
            <w:proofErr w:type="spellEnd"/>
            <w:r w:rsidRPr="00BA5B84">
              <w:rPr>
                <w:rFonts w:ascii="Helvetica" w:hAnsi="Helvetica"/>
                <w:sz w:val="20"/>
                <w:szCs w:val="20"/>
              </w:rPr>
              <w:t xml:space="preserve"> events</w:t>
            </w:r>
          </w:p>
        </w:tc>
        <w:tc>
          <w:tcPr>
            <w:tcW w:w="1701"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c>
          <w:tcPr>
            <w:tcW w:w="1984"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c>
          <w:tcPr>
            <w:tcW w:w="2165" w:type="dxa"/>
            <w:shd w:val="clear" w:color="auto" w:fill="auto"/>
            <w:tcMar>
              <w:top w:w="80" w:type="dxa"/>
              <w:left w:w="80" w:type="dxa"/>
              <w:bottom w:w="80" w:type="dxa"/>
              <w:right w:w="80" w:type="dxa"/>
            </w:tcMar>
          </w:tcPr>
          <w:p w:rsidR="009A579C" w:rsidRPr="00BA5B84" w:rsidRDefault="009A579C" w:rsidP="00326067">
            <w:pPr>
              <w:spacing w:line="480" w:lineRule="auto"/>
              <w:rPr>
                <w:sz w:val="20"/>
                <w:szCs w:val="20"/>
              </w:rPr>
            </w:pP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Complete heart block</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0.9%</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1.1%</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1.0%</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Stroke or TIA</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2.7%</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3.9%</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3.2%</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Cardiogenic shock</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2.1%</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3.4%</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3.1%</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Cardiac arrest</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1.4%</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1.6%</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1.6%</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Acute kidney injury</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6.0%</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11.8%</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10.7%</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Major bleeding</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0.5%</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0.9%</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0.9%</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Blood transfusion</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0.04%</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0.04%</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0.08%</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Vascular complication</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0.7%</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1.0%</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1.0%</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Coronary artery bypass graft</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1.2%</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1.1%</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1.4%</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Mean length of stay (days) (±SD)</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3.3±4.1</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4.3±3.7</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4.1±3.4</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Mean cost of index PCI (USD) (±SD)</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$20,597±14,966</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$22,694±13,936</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$22,286±13,366</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Mean cost of readmission (USD) (±SD)</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$12,459±20,296</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$11,459±15,067</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Mean cost of index PCI and readmission (USD) SD)</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$20,597±14,966</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$34,933±25,650</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$33,730±21,804</w:t>
            </w:r>
          </w:p>
        </w:tc>
      </w:tr>
      <w:tr w:rsidR="009A579C" w:rsidTr="00326067">
        <w:trPr>
          <w:cantSplit/>
        </w:trPr>
        <w:tc>
          <w:tcPr>
            <w:tcW w:w="354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lastRenderedPageBreak/>
              <w:t>Discharge location</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Home or self-care</w:t>
            </w:r>
          </w:p>
          <w:p w:rsidR="009A579C" w:rsidRPr="00BA5B84" w:rsidRDefault="009A579C" w:rsidP="00326067">
            <w:pPr>
              <w:pStyle w:val="Body"/>
              <w:spacing w:after="0" w:line="480" w:lineRule="auto"/>
              <w:rPr>
                <w:rFonts w:ascii="Helvetica" w:eastAsia="Helvetica" w:hAnsi="Helvetica" w:cs="Helvetica"/>
                <w:sz w:val="20"/>
                <w:szCs w:val="20"/>
              </w:rPr>
            </w:pPr>
            <w:r w:rsidRPr="00BA5B84">
              <w:rPr>
                <w:rFonts w:ascii="Helvetica" w:hAnsi="Helvetica"/>
                <w:sz w:val="20"/>
                <w:szCs w:val="20"/>
              </w:rPr>
              <w:t>Nursing facility</w:t>
            </w:r>
          </w:p>
          <w:p w:rsidR="009A579C" w:rsidRPr="00BA5B84" w:rsidRDefault="009A579C" w:rsidP="00326067">
            <w:pPr>
              <w:pStyle w:val="Body"/>
              <w:spacing w:after="0" w:line="480" w:lineRule="auto"/>
              <w:rPr>
                <w:sz w:val="20"/>
                <w:szCs w:val="20"/>
              </w:rPr>
            </w:pPr>
            <w:r w:rsidRPr="00BA5B84">
              <w:rPr>
                <w:rFonts w:ascii="Helvetica" w:hAnsi="Helvetica"/>
                <w:sz w:val="20"/>
                <w:szCs w:val="20"/>
              </w:rPr>
              <w:t>Discharge against medical advice</w:t>
            </w:r>
          </w:p>
        </w:tc>
        <w:tc>
          <w:tcPr>
            <w:tcW w:w="1701"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92.8%</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6.8%</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0.4%</w:t>
            </w:r>
          </w:p>
        </w:tc>
        <w:tc>
          <w:tcPr>
            <w:tcW w:w="1984"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84.5%</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14.1%</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1.4%</w:t>
            </w:r>
          </w:p>
        </w:tc>
        <w:tc>
          <w:tcPr>
            <w:tcW w:w="2165" w:type="dxa"/>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eastAsia="Helvetica" w:hAnsi="Helvetica" w:cs="Helvetica"/>
                <w:sz w:val="20"/>
                <w:szCs w:val="20"/>
              </w:rPr>
            </w:pP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85.5%</w:t>
            </w:r>
          </w:p>
          <w:p w:rsidR="009A579C" w:rsidRPr="00BA5B84" w:rsidRDefault="009A579C" w:rsidP="00326067">
            <w:pPr>
              <w:pStyle w:val="Body"/>
              <w:spacing w:after="0" w:line="480" w:lineRule="auto"/>
              <w:jc w:val="center"/>
              <w:rPr>
                <w:rFonts w:ascii="Helvetica" w:eastAsia="Helvetica" w:hAnsi="Helvetica" w:cs="Helvetica"/>
                <w:sz w:val="20"/>
                <w:szCs w:val="20"/>
              </w:rPr>
            </w:pPr>
            <w:r w:rsidRPr="00BA5B84">
              <w:rPr>
                <w:rFonts w:ascii="Helvetica" w:hAnsi="Helvetica"/>
                <w:sz w:val="20"/>
                <w:szCs w:val="20"/>
              </w:rPr>
              <w:t>13.8%</w:t>
            </w:r>
          </w:p>
          <w:p w:rsidR="009A579C" w:rsidRPr="00BA5B84" w:rsidRDefault="009A579C" w:rsidP="00326067">
            <w:pPr>
              <w:pStyle w:val="Body"/>
              <w:spacing w:after="0" w:line="480" w:lineRule="auto"/>
              <w:jc w:val="center"/>
              <w:rPr>
                <w:sz w:val="20"/>
                <w:szCs w:val="20"/>
              </w:rPr>
            </w:pPr>
            <w:r w:rsidRPr="00BA5B84">
              <w:rPr>
                <w:rFonts w:ascii="Helvetica" w:hAnsi="Helvetica"/>
                <w:sz w:val="20"/>
                <w:szCs w:val="20"/>
              </w:rPr>
              <w:t>0.7%</w:t>
            </w:r>
          </w:p>
        </w:tc>
      </w:tr>
      <w:tr w:rsidR="009A579C" w:rsidTr="00326067">
        <w:trPr>
          <w:cantSplit/>
        </w:trPr>
        <w:tc>
          <w:tcPr>
            <w:tcW w:w="3544" w:type="dxa"/>
            <w:tcBorders>
              <w:bottom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rPr>
                <w:rFonts w:ascii="Helvetica" w:hAnsi="Helvetica"/>
                <w:sz w:val="20"/>
                <w:szCs w:val="20"/>
              </w:rPr>
            </w:pPr>
            <w:r w:rsidRPr="00BA5B84">
              <w:rPr>
                <w:rFonts w:ascii="Helvetica" w:hAnsi="Helvetica"/>
                <w:sz w:val="20"/>
                <w:szCs w:val="20"/>
              </w:rPr>
              <w:t>Readmission length of stay (days)</w:t>
            </w:r>
          </w:p>
        </w:tc>
        <w:tc>
          <w:tcPr>
            <w:tcW w:w="1701" w:type="dxa"/>
            <w:tcBorders>
              <w:bottom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w:t>
            </w:r>
          </w:p>
        </w:tc>
        <w:tc>
          <w:tcPr>
            <w:tcW w:w="1984" w:type="dxa"/>
            <w:tcBorders>
              <w:bottom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4.5±6.2</w:t>
            </w:r>
          </w:p>
        </w:tc>
        <w:tc>
          <w:tcPr>
            <w:tcW w:w="2165" w:type="dxa"/>
            <w:tcBorders>
              <w:bottom w:val="single" w:sz="4" w:space="0" w:color="auto"/>
            </w:tcBorders>
            <w:shd w:val="clear" w:color="auto" w:fill="auto"/>
            <w:tcMar>
              <w:top w:w="80" w:type="dxa"/>
              <w:left w:w="80" w:type="dxa"/>
              <w:bottom w:w="80" w:type="dxa"/>
              <w:right w:w="80" w:type="dxa"/>
            </w:tcMar>
          </w:tcPr>
          <w:p w:rsidR="009A579C" w:rsidRPr="00BA5B84" w:rsidRDefault="009A579C" w:rsidP="00326067">
            <w:pPr>
              <w:pStyle w:val="Body"/>
              <w:spacing w:after="0" w:line="480" w:lineRule="auto"/>
              <w:jc w:val="center"/>
              <w:rPr>
                <w:rFonts w:ascii="Helvetica" w:hAnsi="Helvetica"/>
                <w:sz w:val="20"/>
                <w:szCs w:val="20"/>
              </w:rPr>
            </w:pPr>
            <w:r w:rsidRPr="00BA5B84">
              <w:rPr>
                <w:rFonts w:ascii="Helvetica" w:hAnsi="Helvetica"/>
                <w:sz w:val="20"/>
                <w:szCs w:val="20"/>
              </w:rPr>
              <w:t>4.0±4.9</w:t>
            </w:r>
          </w:p>
        </w:tc>
      </w:tr>
    </w:tbl>
    <w:p w:rsidR="009A579C" w:rsidRPr="00CD6201" w:rsidRDefault="009A579C" w:rsidP="009A579C">
      <w:pPr>
        <w:pStyle w:val="Body"/>
        <w:spacing w:after="0" w:line="480" w:lineRule="auto"/>
        <w:rPr>
          <w:rFonts w:ascii="Helvetica" w:hAnsi="Helvetica" w:cs="Helvetica"/>
        </w:rPr>
      </w:pPr>
      <w:r>
        <w:rPr>
          <w:rFonts w:ascii="Helvetica" w:hAnsi="Helvetica"/>
        </w:rPr>
        <w:t xml:space="preserve">CABG = coronary artery bypass graft, IQR = interquartile range, PCI = percutaneous coronary intervention, </w:t>
      </w:r>
      <w:r>
        <w:rPr>
          <w:rFonts w:ascii="Helvetica" w:hAnsi="Helvetica"/>
          <w:lang w:val="de-DE"/>
        </w:rPr>
        <w:t>TIA = transient ischaemic attack,</w:t>
      </w:r>
      <w:r>
        <w:rPr>
          <w:rFonts w:ascii="Helvetica" w:hAnsi="Helvetica"/>
        </w:rPr>
        <w:t xml:space="preserve"> SD = standard deviation, USD = </w:t>
      </w:r>
      <w:r w:rsidRPr="00CD6201">
        <w:rPr>
          <w:rFonts w:ascii="Helvetica" w:hAnsi="Helvetica" w:cs="Helvetica"/>
        </w:rPr>
        <w:t>United States Dollars</w:t>
      </w:r>
    </w:p>
    <w:p w:rsidR="009A579C" w:rsidRPr="00CD6201" w:rsidRDefault="009A579C" w:rsidP="009A579C">
      <w:pPr>
        <w:pStyle w:val="Body"/>
        <w:spacing w:after="0" w:line="480" w:lineRule="auto"/>
        <w:rPr>
          <w:rFonts w:ascii="Helvetica" w:eastAsia="Malgun Gothic" w:hAnsi="Helvetica" w:cs="Helvetica"/>
        </w:rPr>
      </w:pPr>
      <w:r w:rsidRPr="00AA7C44">
        <w:rPr>
          <w:rFonts w:ascii="Helvetica" w:eastAsia="Malgun Gothic" w:hAnsi="Helvetica" w:cs="Helvetica"/>
          <w:vertAlign w:val="superscript"/>
        </w:rPr>
        <w:t>†</w:t>
      </w:r>
      <w:proofErr w:type="spellStart"/>
      <w:r w:rsidRPr="00CD6201">
        <w:rPr>
          <w:rFonts w:ascii="Helvetica" w:eastAsia="Malgun Gothic" w:hAnsi="Helvetica" w:cs="Helvetica"/>
        </w:rPr>
        <w:t>Dislipidemia</w:t>
      </w:r>
      <w:proofErr w:type="spellEnd"/>
      <w:r w:rsidRPr="00CD6201">
        <w:rPr>
          <w:rFonts w:ascii="Helvetica" w:eastAsia="Malgun Gothic" w:hAnsi="Helvetica" w:cs="Helvetica"/>
        </w:rPr>
        <w:t xml:space="preserve"> defined by ICD-9 codes:</w:t>
      </w:r>
      <w:r>
        <w:rPr>
          <w:rFonts w:ascii="Helvetica" w:eastAsia="Malgun Gothic" w:hAnsi="Helvetica" w:cs="Helvetica"/>
        </w:rPr>
        <w:t xml:space="preserve"> 272.0 (pure hypercholesterolemia), 272.1 (pure hyperglyceridemia), 272.2 (mixed hyperlipidemia), 272.3 (hyperchylomicronemia) and 272.4 (other an unspecified hyperlipidemia)</w:t>
      </w:r>
    </w:p>
    <w:p w:rsidR="009A579C" w:rsidRPr="00CD6201" w:rsidRDefault="009A579C" w:rsidP="009A579C">
      <w:pPr>
        <w:pStyle w:val="Body"/>
        <w:spacing w:after="0" w:line="480" w:lineRule="auto"/>
        <w:rPr>
          <w:rFonts w:ascii="Helvetica" w:eastAsia="Helvetica" w:hAnsi="Helvetica" w:cs="Helvetica"/>
        </w:rPr>
      </w:pPr>
      <w:r w:rsidRPr="00AA7C44">
        <w:rPr>
          <w:rFonts w:ascii="Helvetica" w:eastAsia="Malgun Gothic" w:hAnsi="Helvetica" w:cs="Helvetica"/>
          <w:vertAlign w:val="superscript"/>
        </w:rPr>
        <w:t>‡</w:t>
      </w:r>
      <w:r>
        <w:rPr>
          <w:rFonts w:ascii="Helvetica" w:eastAsia="Malgun Gothic" w:hAnsi="Helvetica" w:cs="Helvetica"/>
        </w:rPr>
        <w:t xml:space="preserve">Obesity defined by variable “CM_OBESE” which is the AHRQ comorbidity measure for ICD-9-CM codes for obesity. This </w:t>
      </w:r>
      <w:r w:rsidRPr="00AA7C44">
        <w:rPr>
          <w:rFonts w:ascii="Helvetica" w:eastAsia="Malgun Gothic" w:hAnsi="Helvetica" w:cs="Helvetica"/>
        </w:rPr>
        <w:t xml:space="preserve">is explained in more detail on website: </w:t>
      </w:r>
      <w:hyperlink r:id="rId11" w:history="1">
        <w:r w:rsidRPr="00AA7C44">
          <w:rPr>
            <w:rStyle w:val="Hyperlink"/>
            <w:rFonts w:ascii="Helvetica" w:hAnsi="Helvetica" w:cs="Helvetica"/>
          </w:rPr>
          <w:t>https://www.hcup-us.ahrq.gov/db/vars/cm_obese/nisnote.jsp</w:t>
        </w:r>
      </w:hyperlink>
    </w:p>
    <w:p w:rsidR="009A579C" w:rsidRDefault="009A579C" w:rsidP="009A579C">
      <w:pPr>
        <w:spacing w:line="480" w:lineRule="auto"/>
      </w:pPr>
    </w:p>
    <w:p w:rsidR="009A579C" w:rsidRDefault="009A579C">
      <w:pPr>
        <w:rPr>
          <w:rFonts w:eastAsia="Helvetica"/>
          <w:bCs/>
          <w:color w:val="000000"/>
          <w:u w:color="000000"/>
        </w:rPr>
      </w:pPr>
      <w:r>
        <w:rPr>
          <w:rFonts w:eastAsia="Helvetica"/>
          <w:bCs/>
        </w:rPr>
        <w:br w:type="page"/>
      </w:r>
    </w:p>
    <w:p w:rsidR="009A579C" w:rsidRDefault="009A579C" w:rsidP="009A579C">
      <w:pPr>
        <w:pStyle w:val="Body"/>
        <w:spacing w:after="0" w:line="480" w:lineRule="auto"/>
        <w:rPr>
          <w:rFonts w:ascii="Helvetica" w:hAnsi="Helvetica"/>
        </w:rPr>
      </w:pPr>
      <w:r>
        <w:rPr>
          <w:rFonts w:ascii="Helvetica" w:hAnsi="Helvetica"/>
          <w:b/>
          <w:bCs/>
          <w:lang w:val="fr-FR"/>
        </w:rPr>
        <w:lastRenderedPageBreak/>
        <w:t xml:space="preserve">Table </w:t>
      </w:r>
      <w:proofErr w:type="gramStart"/>
      <w:r>
        <w:rPr>
          <w:rFonts w:ascii="Helvetica" w:hAnsi="Helvetica"/>
          <w:b/>
          <w:bCs/>
          <w:lang w:val="fr-FR"/>
        </w:rPr>
        <w:t>2:</w:t>
      </w:r>
      <w:proofErr w:type="gramEnd"/>
      <w:r>
        <w:rPr>
          <w:rFonts w:ascii="Helvetica" w:hAnsi="Helvetica"/>
        </w:rPr>
        <w:t xml:space="preserve"> Causes of 30-day unplanned readmissions according to discharge to same or different hospital.</w:t>
      </w:r>
    </w:p>
    <w:p w:rsidR="009A579C" w:rsidRDefault="009A579C" w:rsidP="009A579C">
      <w:pPr>
        <w:pStyle w:val="Body"/>
        <w:spacing w:after="0" w:line="480" w:lineRule="auto"/>
        <w:rPr>
          <w:rFonts w:ascii="Helvetica" w:eastAsia="Helvetica" w:hAnsi="Helvetica" w:cs="Helvetica"/>
          <w:b/>
          <w:bCs/>
        </w:rPr>
      </w:pPr>
    </w:p>
    <w:tbl>
      <w:tblPr>
        <w:tblW w:w="0" w:type="auto"/>
        <w:tblInd w:w="108" w:type="dxa"/>
        <w:shd w:val="clear" w:color="auto" w:fill="CED7E7"/>
        <w:tblCellMar>
          <w:left w:w="0" w:type="dxa"/>
          <w:right w:w="0" w:type="dxa"/>
        </w:tblCellMar>
        <w:tblLook w:val="0000" w:firstRow="0" w:lastRow="0" w:firstColumn="0" w:lastColumn="0" w:noHBand="0" w:noVBand="0"/>
      </w:tblPr>
      <w:tblGrid>
        <w:gridCol w:w="3795"/>
        <w:gridCol w:w="1961"/>
        <w:gridCol w:w="1791"/>
      </w:tblGrid>
      <w:tr w:rsidR="009A579C" w:rsidTr="00326067">
        <w:trPr>
          <w:cantSplit/>
          <w:trHeight w:val="270"/>
        </w:trPr>
        <w:tc>
          <w:tcPr>
            <w:tcW w:w="0" w:type="auto"/>
            <w:tcBorders>
              <w:top w:val="single" w:sz="4" w:space="0" w:color="auto"/>
              <w:bottom w:val="single" w:sz="4" w:space="0" w:color="auto"/>
            </w:tcBorders>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b/>
                <w:sz w:val="20"/>
                <w:szCs w:val="20"/>
              </w:rPr>
            </w:pPr>
            <w:r w:rsidRPr="00B03463">
              <w:rPr>
                <w:rFonts w:ascii="Helvetica" w:hAnsi="Helvetica" w:cs="Helvetica"/>
                <w:b/>
                <w:sz w:val="20"/>
                <w:szCs w:val="20"/>
              </w:rPr>
              <w:t>Causes of readmissions</w:t>
            </w:r>
          </w:p>
        </w:tc>
        <w:tc>
          <w:tcPr>
            <w:tcW w:w="0" w:type="auto"/>
            <w:tcBorders>
              <w:top w:val="single" w:sz="4" w:space="0" w:color="auto"/>
              <w:bottom w:val="single" w:sz="4" w:space="0" w:color="auto"/>
            </w:tcBorders>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b/>
                <w:sz w:val="20"/>
                <w:szCs w:val="20"/>
              </w:rPr>
            </w:pPr>
            <w:r>
              <w:rPr>
                <w:rFonts w:ascii="Helvetica" w:hAnsi="Helvetica" w:cs="Helvetica"/>
                <w:b/>
                <w:sz w:val="20"/>
                <w:szCs w:val="20"/>
              </w:rPr>
              <w:t>Non-index hospital</w:t>
            </w:r>
          </w:p>
        </w:tc>
        <w:tc>
          <w:tcPr>
            <w:tcW w:w="1791" w:type="dxa"/>
            <w:tcBorders>
              <w:top w:val="single" w:sz="4" w:space="0" w:color="auto"/>
              <w:bottom w:val="single" w:sz="4" w:space="0" w:color="auto"/>
            </w:tcBorders>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b/>
                <w:sz w:val="20"/>
                <w:szCs w:val="20"/>
              </w:rPr>
            </w:pPr>
            <w:r>
              <w:rPr>
                <w:rFonts w:ascii="Helvetica" w:hAnsi="Helvetica" w:cs="Helvetica"/>
                <w:b/>
                <w:sz w:val="20"/>
                <w:szCs w:val="20"/>
              </w:rPr>
              <w:t>Index hospital</w:t>
            </w:r>
          </w:p>
        </w:tc>
      </w:tr>
      <w:tr w:rsidR="009A579C" w:rsidTr="00326067">
        <w:trPr>
          <w:cantSplit/>
          <w:trHeight w:val="270"/>
        </w:trPr>
        <w:tc>
          <w:tcPr>
            <w:tcW w:w="7547" w:type="dxa"/>
            <w:gridSpan w:val="3"/>
            <w:tcBorders>
              <w:top w:val="single" w:sz="4" w:space="0" w:color="auto"/>
            </w:tcBorders>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Cardiac causes for readmission</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Coronary artery disease including angina</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11.9</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19.3</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Heart failure</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10.5</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9.7</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Acute myocardial infarction</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7.9</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8.8</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Arrhythmias</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6.4</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6.5</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Pericarditis</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0.5</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0.6</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Valve disorders</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0.4</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0.4</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Conduction disorders</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0.3</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0.3</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Other cardiac</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0.9</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1.0</w:t>
            </w:r>
            <w:r>
              <w:rPr>
                <w:rFonts w:ascii="Helvetica" w:hAnsi="Helvetica" w:cs="Helvetica"/>
                <w:sz w:val="20"/>
                <w:szCs w:val="20"/>
              </w:rPr>
              <w:t>%</w:t>
            </w:r>
          </w:p>
        </w:tc>
      </w:tr>
      <w:tr w:rsidR="009A579C" w:rsidTr="00326067">
        <w:trPr>
          <w:cantSplit/>
          <w:trHeight w:val="270"/>
        </w:trPr>
        <w:tc>
          <w:tcPr>
            <w:tcW w:w="7547" w:type="dxa"/>
            <w:gridSpan w:val="3"/>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Non-cardiac causes for readmission</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Non-specific chest pain</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9.1</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10.5</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Infections</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6.8</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5.2</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Gastrointestinal</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6.7</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5.9</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Respiratory</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5.2</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4.1</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Bleeding</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3.5</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2.8</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TIA/stroke</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3.3</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2.2</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Peripheral vascular disease</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2.3</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2.5</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Neuropsychiatric</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2.3</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1.1</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Renal failure</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2.1</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1.8</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lastRenderedPageBreak/>
              <w:t>Hematological/neoplasm</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2.0</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1.4</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Genitourinary</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2.0</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1.4</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Trauma</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1.9</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1.1</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Endocrine/metabolic</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1.8</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1.2</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Syncope</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1.3</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1.0</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proofErr w:type="spellStart"/>
            <w:r w:rsidRPr="00B03463">
              <w:rPr>
                <w:rFonts w:ascii="Helvetica" w:hAnsi="Helvetica" w:cs="Helvetica"/>
                <w:sz w:val="20"/>
                <w:szCs w:val="20"/>
              </w:rPr>
              <w:t>Rheumatological</w:t>
            </w:r>
            <w:proofErr w:type="spellEnd"/>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1.1</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0.9</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ENT problem</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1.0</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0.7</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Poisoning</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0.3</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0.3</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Dermatological</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0.1</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0.1</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Oral health problem</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0.1</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0.1</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proofErr w:type="spellStart"/>
            <w:r w:rsidRPr="00B03463">
              <w:rPr>
                <w:rFonts w:ascii="Helvetica" w:hAnsi="Helvetica" w:cs="Helvetica"/>
                <w:sz w:val="20"/>
                <w:szCs w:val="20"/>
              </w:rPr>
              <w:t>Opthalmological</w:t>
            </w:r>
            <w:proofErr w:type="spellEnd"/>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0.1</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0.0</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Obstetric or pregnancy problem</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0.0</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0.1</w:t>
            </w:r>
            <w:r>
              <w:rPr>
                <w:rFonts w:ascii="Helvetica" w:hAnsi="Helvetica" w:cs="Helvetica"/>
                <w:sz w:val="20"/>
                <w:szCs w:val="20"/>
              </w:rPr>
              <w:t>%</w:t>
            </w:r>
          </w:p>
        </w:tc>
      </w:tr>
      <w:tr w:rsidR="009A579C" w:rsidTr="00326067">
        <w:trPr>
          <w:cantSplit/>
          <w:trHeight w:val="270"/>
        </w:trPr>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Hyper/hypotension</w:t>
            </w:r>
          </w:p>
        </w:tc>
        <w:tc>
          <w:tcPr>
            <w:tcW w:w="0" w:type="auto"/>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0.0</w:t>
            </w:r>
            <w:r>
              <w:rPr>
                <w:rFonts w:ascii="Helvetica" w:hAnsi="Helvetica" w:cs="Helvetica"/>
                <w:sz w:val="20"/>
                <w:szCs w:val="20"/>
              </w:rPr>
              <w:t>%</w:t>
            </w:r>
          </w:p>
        </w:tc>
        <w:tc>
          <w:tcPr>
            <w:tcW w:w="1791" w:type="dxa"/>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0.0</w:t>
            </w:r>
            <w:r>
              <w:rPr>
                <w:rFonts w:ascii="Helvetica" w:hAnsi="Helvetica" w:cs="Helvetica"/>
                <w:sz w:val="20"/>
                <w:szCs w:val="20"/>
              </w:rPr>
              <w:t>%</w:t>
            </w:r>
          </w:p>
        </w:tc>
      </w:tr>
      <w:tr w:rsidR="009A579C" w:rsidTr="00326067">
        <w:trPr>
          <w:cantSplit/>
          <w:trHeight w:val="270"/>
        </w:trPr>
        <w:tc>
          <w:tcPr>
            <w:tcW w:w="0" w:type="auto"/>
            <w:tcBorders>
              <w:bottom w:val="single" w:sz="4" w:space="0" w:color="auto"/>
            </w:tcBorders>
            <w:shd w:val="clear" w:color="auto" w:fill="auto"/>
            <w:tcMar>
              <w:top w:w="80" w:type="dxa"/>
              <w:left w:w="80" w:type="dxa"/>
              <w:bottom w:w="80" w:type="dxa"/>
              <w:right w:w="80" w:type="dxa"/>
            </w:tcMar>
          </w:tcPr>
          <w:p w:rsidR="009A579C" w:rsidRPr="00B03463" w:rsidRDefault="009A579C" w:rsidP="00326067">
            <w:pPr>
              <w:pStyle w:val="Body"/>
              <w:spacing w:after="0" w:line="480" w:lineRule="auto"/>
              <w:rPr>
                <w:rFonts w:ascii="Helvetica" w:hAnsi="Helvetica" w:cs="Helvetica"/>
                <w:sz w:val="20"/>
                <w:szCs w:val="20"/>
              </w:rPr>
            </w:pPr>
            <w:r w:rsidRPr="00B03463">
              <w:rPr>
                <w:rFonts w:ascii="Helvetica" w:hAnsi="Helvetica" w:cs="Helvetica"/>
                <w:sz w:val="20"/>
                <w:szCs w:val="20"/>
              </w:rPr>
              <w:t>Other non-cardiac</w:t>
            </w:r>
          </w:p>
        </w:tc>
        <w:tc>
          <w:tcPr>
            <w:tcW w:w="0" w:type="auto"/>
            <w:tcBorders>
              <w:bottom w:val="single" w:sz="4" w:space="0" w:color="auto"/>
            </w:tcBorders>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8.1</w:t>
            </w:r>
            <w:r>
              <w:rPr>
                <w:rFonts w:ascii="Helvetica" w:hAnsi="Helvetica" w:cs="Helvetica"/>
                <w:sz w:val="20"/>
                <w:szCs w:val="20"/>
              </w:rPr>
              <w:t>%</w:t>
            </w:r>
          </w:p>
        </w:tc>
        <w:tc>
          <w:tcPr>
            <w:tcW w:w="1791" w:type="dxa"/>
            <w:tcBorders>
              <w:bottom w:val="single" w:sz="4" w:space="0" w:color="auto"/>
            </w:tcBorders>
            <w:shd w:val="clear" w:color="auto" w:fill="auto"/>
            <w:tcMar>
              <w:top w:w="80" w:type="dxa"/>
              <w:left w:w="80" w:type="dxa"/>
              <w:bottom w:w="80" w:type="dxa"/>
              <w:right w:w="80" w:type="dxa"/>
            </w:tcMar>
          </w:tcPr>
          <w:p w:rsidR="009A579C" w:rsidRPr="00B03463" w:rsidRDefault="009A579C" w:rsidP="00326067">
            <w:pPr>
              <w:pStyle w:val="Body"/>
              <w:spacing w:after="0" w:line="480" w:lineRule="auto"/>
              <w:jc w:val="center"/>
              <w:rPr>
                <w:rFonts w:ascii="Helvetica" w:hAnsi="Helvetica" w:cs="Helvetica"/>
                <w:sz w:val="20"/>
                <w:szCs w:val="20"/>
              </w:rPr>
            </w:pPr>
            <w:r w:rsidRPr="00B03463">
              <w:rPr>
                <w:rFonts w:ascii="Helvetica" w:hAnsi="Helvetica" w:cs="Helvetica"/>
                <w:sz w:val="20"/>
                <w:szCs w:val="20"/>
              </w:rPr>
              <w:t>9.1</w:t>
            </w:r>
            <w:r>
              <w:rPr>
                <w:rFonts w:ascii="Helvetica" w:hAnsi="Helvetica" w:cs="Helvetica"/>
                <w:sz w:val="20"/>
                <w:szCs w:val="20"/>
              </w:rPr>
              <w:t>%</w:t>
            </w:r>
          </w:p>
        </w:tc>
      </w:tr>
    </w:tbl>
    <w:p w:rsidR="009A579C" w:rsidRDefault="009A579C" w:rsidP="009A579C">
      <w:pPr>
        <w:spacing w:line="480" w:lineRule="auto"/>
      </w:pPr>
    </w:p>
    <w:p w:rsidR="009A579C" w:rsidRDefault="009A579C">
      <w:pPr>
        <w:rPr>
          <w:rFonts w:eastAsia="Helvetica"/>
          <w:bCs/>
          <w:color w:val="000000"/>
          <w:u w:color="000000"/>
        </w:rPr>
      </w:pPr>
      <w:r>
        <w:rPr>
          <w:rFonts w:eastAsia="Helvetica"/>
          <w:bCs/>
        </w:rPr>
        <w:br w:type="page"/>
      </w:r>
    </w:p>
    <w:p w:rsidR="009A579C" w:rsidRDefault="009A579C" w:rsidP="009A579C">
      <w:pPr>
        <w:spacing w:line="480" w:lineRule="auto"/>
        <w:jc w:val="both"/>
        <w:rPr>
          <w:rFonts w:ascii="Helvetica" w:eastAsia="Malgun Gothic" w:hAnsi="Helvetica" w:cs="Calibri"/>
          <w:b/>
          <w:color w:val="000000"/>
          <w:lang w:eastAsia="en-GB"/>
        </w:rPr>
      </w:pPr>
      <w:r>
        <w:rPr>
          <w:rFonts w:ascii="Helvetica" w:eastAsia="Malgun Gothic" w:hAnsi="Helvetica" w:cs="Calibri"/>
          <w:b/>
          <w:color w:val="000000"/>
          <w:lang w:eastAsia="en-GB"/>
        </w:rPr>
        <w:lastRenderedPageBreak/>
        <w:t>Table 3</w:t>
      </w:r>
      <w:r w:rsidRPr="00A443CA">
        <w:rPr>
          <w:rFonts w:ascii="Helvetica" w:eastAsia="Malgun Gothic" w:hAnsi="Helvetica" w:cs="Calibri"/>
          <w:b/>
          <w:color w:val="000000"/>
          <w:lang w:eastAsia="en-GB"/>
        </w:rPr>
        <w:t xml:space="preserve">: Rates and adjusted odds of adverse outcomes for readmission to </w:t>
      </w:r>
      <w:r>
        <w:rPr>
          <w:rFonts w:ascii="Helvetica" w:eastAsia="Malgun Gothic" w:hAnsi="Helvetica" w:cs="Calibri"/>
          <w:b/>
          <w:color w:val="000000"/>
          <w:lang w:eastAsia="en-GB"/>
        </w:rPr>
        <w:t>non-index</w:t>
      </w:r>
      <w:r w:rsidRPr="00A443CA">
        <w:rPr>
          <w:rFonts w:ascii="Helvetica" w:eastAsia="Malgun Gothic" w:hAnsi="Helvetica" w:cs="Calibri"/>
          <w:b/>
          <w:color w:val="000000"/>
          <w:lang w:eastAsia="en-GB"/>
        </w:rPr>
        <w:t xml:space="preserve"> compared to index hospital</w:t>
      </w:r>
      <w:r>
        <w:rPr>
          <w:rFonts w:ascii="Helvetica" w:eastAsia="Malgun Gothic" w:hAnsi="Helvetica" w:cs="Calibri"/>
          <w:b/>
          <w:color w:val="000000"/>
          <w:lang w:eastAsia="en-GB"/>
        </w:rPr>
        <w:t>.</w:t>
      </w:r>
    </w:p>
    <w:p w:rsidR="009A579C" w:rsidRPr="005E5996" w:rsidRDefault="009A579C" w:rsidP="009A579C">
      <w:pPr>
        <w:spacing w:line="480" w:lineRule="auto"/>
        <w:jc w:val="both"/>
        <w:rPr>
          <w:rFonts w:ascii="Helvetica" w:eastAsia="Malgun Gothic" w:hAnsi="Helvetica" w:cs="Calibri"/>
          <w:b/>
          <w:color w:val="000000"/>
          <w:lang w:eastAsia="en-G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08"/>
        <w:gridCol w:w="1366"/>
        <w:gridCol w:w="2387"/>
        <w:gridCol w:w="1134"/>
      </w:tblGrid>
      <w:tr w:rsidR="009A579C" w:rsidTr="00326067">
        <w:tc>
          <w:tcPr>
            <w:tcW w:w="3369" w:type="dxa"/>
            <w:tcBorders>
              <w:top w:val="single" w:sz="4" w:space="0" w:color="auto"/>
              <w:bottom w:val="single" w:sz="4" w:space="0" w:color="auto"/>
            </w:tcBorders>
          </w:tcPr>
          <w:p w:rsidR="009A579C" w:rsidRDefault="009A579C" w:rsidP="00326067">
            <w:pPr>
              <w:spacing w:line="480" w:lineRule="auto"/>
              <w:rPr>
                <w:rFonts w:ascii="Helvetica" w:eastAsia="Malgun Gothic" w:hAnsi="Helvetica" w:cs="Calibri"/>
                <w:color w:val="000000"/>
                <w:lang w:eastAsia="en-GB"/>
              </w:rPr>
            </w:pPr>
            <w:r>
              <w:rPr>
                <w:rFonts w:ascii="Helvetica" w:eastAsia="Malgun Gothic" w:hAnsi="Helvetica" w:cs="Calibri"/>
                <w:color w:val="000000"/>
                <w:lang w:eastAsia="en-GB"/>
              </w:rPr>
              <w:t>Outcome during readmission</w:t>
            </w:r>
          </w:p>
        </w:tc>
        <w:tc>
          <w:tcPr>
            <w:tcW w:w="1208" w:type="dxa"/>
            <w:tcBorders>
              <w:top w:val="single" w:sz="4" w:space="0" w:color="auto"/>
              <w:bottom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Rate in non-index hospital</w:t>
            </w:r>
          </w:p>
        </w:tc>
        <w:tc>
          <w:tcPr>
            <w:tcW w:w="1366" w:type="dxa"/>
            <w:tcBorders>
              <w:top w:val="single" w:sz="4" w:space="0" w:color="auto"/>
              <w:bottom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Rate in index hospital</w:t>
            </w:r>
          </w:p>
        </w:tc>
        <w:tc>
          <w:tcPr>
            <w:tcW w:w="2387" w:type="dxa"/>
            <w:tcBorders>
              <w:top w:val="single" w:sz="4" w:space="0" w:color="auto"/>
              <w:bottom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Odds ratio (95%CI) for admission to non-index hospital</w:t>
            </w:r>
          </w:p>
        </w:tc>
        <w:tc>
          <w:tcPr>
            <w:tcW w:w="1134" w:type="dxa"/>
            <w:tcBorders>
              <w:top w:val="single" w:sz="4" w:space="0" w:color="auto"/>
              <w:bottom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p-value</w:t>
            </w:r>
          </w:p>
        </w:tc>
      </w:tr>
      <w:tr w:rsidR="009A579C" w:rsidTr="00326067">
        <w:tc>
          <w:tcPr>
            <w:tcW w:w="3369" w:type="dxa"/>
            <w:tcBorders>
              <w:top w:val="single" w:sz="4" w:space="0" w:color="auto"/>
            </w:tcBorders>
          </w:tcPr>
          <w:p w:rsidR="009A579C" w:rsidRDefault="009A579C" w:rsidP="00326067">
            <w:pPr>
              <w:spacing w:line="480" w:lineRule="auto"/>
              <w:rPr>
                <w:rFonts w:ascii="Helvetica" w:eastAsia="Malgun Gothic" w:hAnsi="Helvetica" w:cs="Calibri"/>
                <w:color w:val="000000"/>
                <w:lang w:eastAsia="en-GB"/>
              </w:rPr>
            </w:pPr>
            <w:r>
              <w:rPr>
                <w:rFonts w:ascii="Helvetica" w:eastAsia="Malgun Gothic" w:hAnsi="Helvetica" w:cs="Calibri"/>
                <w:color w:val="000000"/>
                <w:lang w:eastAsia="en-GB"/>
              </w:rPr>
              <w:t>Acute myocardial infarction</w:t>
            </w:r>
          </w:p>
        </w:tc>
        <w:tc>
          <w:tcPr>
            <w:tcW w:w="1208" w:type="dxa"/>
            <w:tcBorders>
              <w:top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9.2%</w:t>
            </w:r>
          </w:p>
        </w:tc>
        <w:tc>
          <w:tcPr>
            <w:tcW w:w="1366" w:type="dxa"/>
            <w:tcBorders>
              <w:top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8.3%</w:t>
            </w:r>
          </w:p>
        </w:tc>
        <w:tc>
          <w:tcPr>
            <w:tcW w:w="2387" w:type="dxa"/>
            <w:tcBorders>
              <w:top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0.88 (0.82-0.95)</w:t>
            </w:r>
          </w:p>
        </w:tc>
        <w:tc>
          <w:tcPr>
            <w:tcW w:w="1134" w:type="dxa"/>
            <w:tcBorders>
              <w:top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0.001</w:t>
            </w:r>
          </w:p>
        </w:tc>
      </w:tr>
      <w:tr w:rsidR="009A579C" w:rsidTr="00326067">
        <w:tc>
          <w:tcPr>
            <w:tcW w:w="3369" w:type="dxa"/>
          </w:tcPr>
          <w:p w:rsidR="009A579C" w:rsidRDefault="009A579C" w:rsidP="00326067">
            <w:pPr>
              <w:spacing w:line="480" w:lineRule="auto"/>
              <w:rPr>
                <w:rFonts w:ascii="Helvetica" w:eastAsia="Malgun Gothic" w:hAnsi="Helvetica" w:cs="Calibri"/>
                <w:color w:val="000000"/>
                <w:lang w:eastAsia="en-GB"/>
              </w:rPr>
            </w:pPr>
            <w:r>
              <w:rPr>
                <w:rFonts w:ascii="Helvetica" w:eastAsia="Malgun Gothic" w:hAnsi="Helvetica" w:cs="Calibri"/>
                <w:color w:val="000000"/>
                <w:lang w:eastAsia="en-GB"/>
              </w:rPr>
              <w:t>PCI</w:t>
            </w:r>
          </w:p>
        </w:tc>
        <w:tc>
          <w:tcPr>
            <w:tcW w:w="1208" w:type="dxa"/>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18.2%</w:t>
            </w:r>
          </w:p>
        </w:tc>
        <w:tc>
          <w:tcPr>
            <w:tcW w:w="1366" w:type="dxa"/>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8.6%</w:t>
            </w:r>
          </w:p>
        </w:tc>
        <w:tc>
          <w:tcPr>
            <w:tcW w:w="2387" w:type="dxa"/>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0.44 (0.41-0.49)</w:t>
            </w:r>
          </w:p>
        </w:tc>
        <w:tc>
          <w:tcPr>
            <w:tcW w:w="1134" w:type="dxa"/>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&lt;0.001</w:t>
            </w:r>
          </w:p>
        </w:tc>
      </w:tr>
      <w:tr w:rsidR="009A579C" w:rsidTr="00326067">
        <w:tc>
          <w:tcPr>
            <w:tcW w:w="3369" w:type="dxa"/>
          </w:tcPr>
          <w:p w:rsidR="009A579C" w:rsidRDefault="009A579C" w:rsidP="00326067">
            <w:pPr>
              <w:spacing w:line="480" w:lineRule="auto"/>
              <w:rPr>
                <w:rFonts w:ascii="Helvetica" w:eastAsia="Malgun Gothic" w:hAnsi="Helvetica" w:cs="Calibri"/>
                <w:color w:val="000000"/>
                <w:lang w:eastAsia="en-GB"/>
              </w:rPr>
            </w:pPr>
            <w:r>
              <w:rPr>
                <w:rFonts w:ascii="Helvetica" w:eastAsia="Malgun Gothic" w:hAnsi="Helvetica" w:cs="Calibri"/>
                <w:color w:val="000000"/>
                <w:lang w:eastAsia="en-GB"/>
              </w:rPr>
              <w:t>Death</w:t>
            </w:r>
          </w:p>
        </w:tc>
        <w:tc>
          <w:tcPr>
            <w:tcW w:w="1208" w:type="dxa"/>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2.1%</w:t>
            </w:r>
          </w:p>
        </w:tc>
        <w:tc>
          <w:tcPr>
            <w:tcW w:w="1366" w:type="dxa"/>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2.7%</w:t>
            </w:r>
          </w:p>
        </w:tc>
        <w:tc>
          <w:tcPr>
            <w:tcW w:w="2387" w:type="dxa"/>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1.30 (1.14-1.48)</w:t>
            </w:r>
          </w:p>
        </w:tc>
        <w:tc>
          <w:tcPr>
            <w:tcW w:w="1134" w:type="dxa"/>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&lt;0.001</w:t>
            </w:r>
          </w:p>
        </w:tc>
      </w:tr>
      <w:tr w:rsidR="009A579C" w:rsidTr="00326067">
        <w:tc>
          <w:tcPr>
            <w:tcW w:w="3369" w:type="dxa"/>
            <w:tcBorders>
              <w:bottom w:val="single" w:sz="4" w:space="0" w:color="auto"/>
            </w:tcBorders>
          </w:tcPr>
          <w:p w:rsidR="009A579C" w:rsidRDefault="009A579C" w:rsidP="00326067">
            <w:pPr>
              <w:spacing w:line="480" w:lineRule="auto"/>
              <w:rPr>
                <w:rFonts w:ascii="Helvetica" w:eastAsia="Malgun Gothic" w:hAnsi="Helvetica" w:cs="Calibri"/>
                <w:color w:val="000000"/>
                <w:lang w:eastAsia="en-GB"/>
              </w:rPr>
            </w:pPr>
            <w:r>
              <w:rPr>
                <w:rFonts w:ascii="Helvetica" w:eastAsia="Malgun Gothic" w:hAnsi="Helvetica" w:cs="Calibri"/>
                <w:color w:val="000000"/>
                <w:lang w:eastAsia="en-GB"/>
              </w:rPr>
              <w:t>Composite of acute myocardial infarction, PCI, death</w:t>
            </w:r>
          </w:p>
        </w:tc>
        <w:tc>
          <w:tcPr>
            <w:tcW w:w="1208" w:type="dxa"/>
            <w:tcBorders>
              <w:bottom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23.9%</w:t>
            </w:r>
          </w:p>
        </w:tc>
        <w:tc>
          <w:tcPr>
            <w:tcW w:w="1366" w:type="dxa"/>
            <w:tcBorders>
              <w:bottom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15.7%</w:t>
            </w:r>
          </w:p>
        </w:tc>
        <w:tc>
          <w:tcPr>
            <w:tcW w:w="2387" w:type="dxa"/>
            <w:tcBorders>
              <w:bottom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0.61 (0.57-0.65)</w:t>
            </w:r>
          </w:p>
        </w:tc>
        <w:tc>
          <w:tcPr>
            <w:tcW w:w="1134" w:type="dxa"/>
            <w:tcBorders>
              <w:bottom w:val="single" w:sz="4" w:space="0" w:color="auto"/>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&lt;0.001</w:t>
            </w:r>
          </w:p>
        </w:tc>
      </w:tr>
    </w:tbl>
    <w:p w:rsidR="009A579C" w:rsidRDefault="009A579C" w:rsidP="009A579C">
      <w:pPr>
        <w:spacing w:line="480" w:lineRule="auto"/>
        <w:rPr>
          <w:b/>
        </w:rPr>
      </w:pPr>
    </w:p>
    <w:p w:rsidR="009A579C" w:rsidRDefault="009A579C">
      <w:pPr>
        <w:rPr>
          <w:b/>
        </w:rPr>
      </w:pPr>
      <w:r>
        <w:rPr>
          <w:b/>
        </w:rPr>
        <w:br w:type="page"/>
      </w:r>
    </w:p>
    <w:p w:rsidR="009A579C" w:rsidRPr="009A579C" w:rsidRDefault="009A579C" w:rsidP="009A579C">
      <w:pPr>
        <w:pStyle w:val="Body"/>
        <w:spacing w:after="0" w:line="240" w:lineRule="auto"/>
        <w:jc w:val="both"/>
        <w:rPr>
          <w:rFonts w:ascii="Times New Roman" w:hAnsi="Times New Roman" w:cs="Times New Roman"/>
          <w:b/>
          <w:bCs/>
          <w:sz w:val="24"/>
          <w:szCs w:val="24"/>
        </w:rPr>
      </w:pPr>
      <w:r w:rsidRPr="009A579C">
        <w:rPr>
          <w:rFonts w:ascii="Times New Roman" w:hAnsi="Times New Roman" w:cs="Times New Roman"/>
          <w:b/>
          <w:bCs/>
          <w:sz w:val="24"/>
          <w:szCs w:val="24"/>
        </w:rPr>
        <w:lastRenderedPageBreak/>
        <w:t>Figure 1: Proportion of readmissions to index hospital at different timing of follow up.</w:t>
      </w:r>
    </w:p>
    <w:p w:rsidR="009A579C" w:rsidRPr="00033E6F" w:rsidRDefault="009A579C" w:rsidP="009A579C">
      <w:pPr>
        <w:pStyle w:val="Body"/>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lang w:val="en-GB" w:eastAsia="en-GB"/>
        </w:rPr>
        <w:drawing>
          <wp:inline distT="0" distB="0" distL="0" distR="0">
            <wp:extent cx="5727700" cy="31292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2">
                      <a:extLst>
                        <a:ext uri="{28A0092B-C50C-407E-A947-70E740481C1C}">
                          <a14:useLocalDpi xmlns:a14="http://schemas.microsoft.com/office/drawing/2010/main" val="0"/>
                        </a:ext>
                      </a:extLst>
                    </a:blip>
                    <a:stretch>
                      <a:fillRect/>
                    </a:stretch>
                  </pic:blipFill>
                  <pic:spPr>
                    <a:xfrm>
                      <a:off x="0" y="0"/>
                      <a:ext cx="5727700" cy="3129280"/>
                    </a:xfrm>
                    <a:prstGeom prst="rect">
                      <a:avLst/>
                    </a:prstGeom>
                  </pic:spPr>
                </pic:pic>
              </a:graphicData>
            </a:graphic>
          </wp:inline>
        </w:drawing>
      </w:r>
    </w:p>
    <w:p w:rsidR="009A579C" w:rsidRPr="00033E6F" w:rsidRDefault="009A579C" w:rsidP="009A579C">
      <w:pPr>
        <w:pStyle w:val="Body"/>
        <w:spacing w:after="0" w:line="240" w:lineRule="auto"/>
        <w:jc w:val="both"/>
        <w:rPr>
          <w:rFonts w:ascii="Times New Roman" w:eastAsia="Helvetica" w:hAnsi="Times New Roman" w:cs="Times New Roman"/>
          <w:bCs/>
          <w:sz w:val="24"/>
          <w:szCs w:val="24"/>
        </w:rPr>
      </w:pPr>
    </w:p>
    <w:p w:rsidR="009A579C" w:rsidRDefault="009A579C">
      <w:pPr>
        <w:rPr>
          <w:rFonts w:eastAsia="Arial Unicode MS"/>
          <w:bCs/>
          <w:color w:val="000000"/>
          <w:u w:color="000000"/>
        </w:rPr>
      </w:pPr>
      <w:r>
        <w:rPr>
          <w:bCs/>
        </w:rPr>
        <w:br w:type="page"/>
      </w:r>
    </w:p>
    <w:p w:rsidR="009A579C" w:rsidRPr="009A579C" w:rsidRDefault="009A579C" w:rsidP="009A579C">
      <w:pPr>
        <w:pStyle w:val="Body"/>
        <w:rPr>
          <w:rFonts w:ascii="Times New Roman" w:eastAsia="Helvetica" w:hAnsi="Times New Roman" w:cs="Times New Roman"/>
          <w:b/>
          <w:bCs/>
          <w:sz w:val="24"/>
          <w:szCs w:val="24"/>
        </w:rPr>
      </w:pPr>
      <w:r w:rsidRPr="009A579C">
        <w:rPr>
          <w:rFonts w:ascii="Times New Roman" w:hAnsi="Times New Roman" w:cs="Times New Roman"/>
          <w:b/>
          <w:bCs/>
          <w:sz w:val="24"/>
          <w:szCs w:val="24"/>
        </w:rPr>
        <w:lastRenderedPageBreak/>
        <w:t>Figure 2: Proportion of patients with non-cardiac reasons for index versus non-index hospital readmissions.</w:t>
      </w:r>
    </w:p>
    <w:p w:rsidR="009A579C" w:rsidRDefault="009A579C" w:rsidP="009A579C">
      <w:pPr>
        <w:pStyle w:val="Body"/>
        <w:rPr>
          <w:rFonts w:ascii="Times New Roman" w:hAnsi="Times New Roman" w:cs="Times New Roman"/>
          <w:bCs/>
          <w:sz w:val="24"/>
          <w:szCs w:val="24"/>
        </w:rPr>
      </w:pPr>
      <w:r>
        <w:rPr>
          <w:rFonts w:ascii="Times New Roman" w:hAnsi="Times New Roman" w:cs="Times New Roman"/>
          <w:bCs/>
          <w:noProof/>
          <w:sz w:val="24"/>
          <w:szCs w:val="24"/>
          <w:lang w:val="en-GB" w:eastAsia="en-GB"/>
        </w:rPr>
        <w:drawing>
          <wp:inline distT="0" distB="0" distL="0" distR="0">
            <wp:extent cx="5727700" cy="35350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3">
                      <a:extLst>
                        <a:ext uri="{28A0092B-C50C-407E-A947-70E740481C1C}">
                          <a14:useLocalDpi xmlns:a14="http://schemas.microsoft.com/office/drawing/2010/main" val="0"/>
                        </a:ext>
                      </a:extLst>
                    </a:blip>
                    <a:stretch>
                      <a:fillRect/>
                    </a:stretch>
                  </pic:blipFill>
                  <pic:spPr>
                    <a:xfrm>
                      <a:off x="0" y="0"/>
                      <a:ext cx="5727700" cy="3535045"/>
                    </a:xfrm>
                    <a:prstGeom prst="rect">
                      <a:avLst/>
                    </a:prstGeom>
                  </pic:spPr>
                </pic:pic>
              </a:graphicData>
            </a:graphic>
          </wp:inline>
        </w:drawing>
      </w:r>
    </w:p>
    <w:p w:rsidR="009A579C" w:rsidRDefault="009A579C">
      <w:pPr>
        <w:rPr>
          <w:rFonts w:eastAsia="Arial Unicode MS"/>
          <w:bCs/>
          <w:color w:val="000000"/>
          <w:u w:color="000000"/>
        </w:rPr>
      </w:pPr>
      <w:r>
        <w:rPr>
          <w:bCs/>
        </w:rPr>
        <w:br w:type="page"/>
      </w:r>
    </w:p>
    <w:p w:rsidR="009A579C" w:rsidRPr="009A579C" w:rsidRDefault="009A579C" w:rsidP="009A579C">
      <w:pPr>
        <w:pStyle w:val="Body"/>
        <w:rPr>
          <w:rFonts w:ascii="Times New Roman" w:hAnsi="Times New Roman" w:cs="Times New Roman"/>
          <w:b/>
          <w:bCs/>
          <w:sz w:val="24"/>
          <w:szCs w:val="24"/>
        </w:rPr>
      </w:pPr>
      <w:r w:rsidRPr="009A579C">
        <w:rPr>
          <w:rFonts w:ascii="Times New Roman" w:hAnsi="Times New Roman" w:cs="Times New Roman"/>
          <w:b/>
          <w:bCs/>
          <w:sz w:val="24"/>
          <w:szCs w:val="24"/>
        </w:rPr>
        <w:lastRenderedPageBreak/>
        <w:t>Figure 3: Odds of adverse outcomes for readmission to index compared with non-index hospital.</w:t>
      </w:r>
    </w:p>
    <w:p w:rsidR="009A579C" w:rsidRPr="0086619C" w:rsidRDefault="009A579C" w:rsidP="009A579C">
      <w:pPr>
        <w:spacing w:line="480" w:lineRule="auto"/>
        <w:rPr>
          <w:b/>
        </w:rPr>
      </w:pPr>
      <w:r>
        <w:rPr>
          <w:b/>
          <w:noProof/>
          <w:lang w:val="en-GB" w:eastAsia="en-GB"/>
        </w:rPr>
        <w:drawing>
          <wp:inline distT="0" distB="0" distL="0" distR="0">
            <wp:extent cx="5727700" cy="33540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
                    <pic:cNvPicPr/>
                  </pic:nvPicPr>
                  <pic:blipFill>
                    <a:blip r:embed="rId14">
                      <a:extLst>
                        <a:ext uri="{28A0092B-C50C-407E-A947-70E740481C1C}">
                          <a14:useLocalDpi xmlns:a14="http://schemas.microsoft.com/office/drawing/2010/main" val="0"/>
                        </a:ext>
                      </a:extLst>
                    </a:blip>
                    <a:stretch>
                      <a:fillRect/>
                    </a:stretch>
                  </pic:blipFill>
                  <pic:spPr>
                    <a:xfrm>
                      <a:off x="0" y="0"/>
                      <a:ext cx="5727700" cy="3354070"/>
                    </a:xfrm>
                    <a:prstGeom prst="rect">
                      <a:avLst/>
                    </a:prstGeom>
                  </pic:spPr>
                </pic:pic>
              </a:graphicData>
            </a:graphic>
          </wp:inline>
        </w:drawing>
      </w:r>
    </w:p>
    <w:p w:rsidR="00211A3A" w:rsidRPr="00DD4D4D" w:rsidRDefault="00211A3A" w:rsidP="00211A3A">
      <w:pPr>
        <w:pStyle w:val="Body"/>
        <w:spacing w:after="0" w:line="240" w:lineRule="auto"/>
        <w:jc w:val="both"/>
        <w:rPr>
          <w:rFonts w:ascii="Times New Roman" w:eastAsia="Helvetica" w:hAnsi="Times New Roman" w:cs="Times New Roman"/>
          <w:bCs/>
          <w:sz w:val="24"/>
          <w:szCs w:val="24"/>
        </w:rPr>
      </w:pPr>
    </w:p>
    <w:p w:rsidR="00211A3A" w:rsidRDefault="00211A3A" w:rsidP="00211A3A">
      <w:pPr>
        <w:pStyle w:val="Body"/>
        <w:spacing w:after="0" w:line="240" w:lineRule="auto"/>
        <w:rPr>
          <w:rFonts w:ascii="Times New Roman" w:hAnsi="Times New Roman" w:cs="Times New Roman"/>
          <w:bCs/>
          <w:sz w:val="24"/>
          <w:szCs w:val="24"/>
        </w:rPr>
      </w:pPr>
    </w:p>
    <w:p w:rsidR="009A579C" w:rsidRDefault="009A579C">
      <w:pPr>
        <w:rPr>
          <w:rFonts w:eastAsia="Helvetica"/>
          <w:bCs/>
          <w:color w:val="000000"/>
          <w:u w:color="000000"/>
        </w:rPr>
      </w:pPr>
      <w:r>
        <w:rPr>
          <w:rFonts w:eastAsia="Helvetica"/>
          <w:bCs/>
        </w:rPr>
        <w:br w:type="page"/>
      </w:r>
    </w:p>
    <w:p w:rsidR="009A579C" w:rsidRPr="00170B0D" w:rsidRDefault="009A579C" w:rsidP="009A579C">
      <w:pPr>
        <w:rPr>
          <w:rFonts w:ascii="Helvetica" w:hAnsi="Helvetica" w:cs="Helvetica"/>
          <w:b/>
        </w:rPr>
      </w:pPr>
      <w:r w:rsidRPr="00170B0D">
        <w:rPr>
          <w:rFonts w:ascii="Helvetica" w:hAnsi="Helvetica" w:cs="Helvetica"/>
          <w:b/>
        </w:rPr>
        <w:lastRenderedPageBreak/>
        <w:t xml:space="preserve">Supplementary Table 1: </w:t>
      </w:r>
      <w:r w:rsidRPr="00170B0D">
        <w:rPr>
          <w:rFonts w:ascii="Helvetica" w:hAnsi="Helvetica" w:cs="Helvetica"/>
        </w:rPr>
        <w:t>Classification of Clinic Classification Software codes for Readmissions Causes</w:t>
      </w:r>
    </w:p>
    <w:tbl>
      <w:tblPr>
        <w:tblW w:w="9711" w:type="dxa"/>
        <w:tblInd w:w="93" w:type="dxa"/>
        <w:tblLook w:val="04A0" w:firstRow="1" w:lastRow="0" w:firstColumn="1" w:lastColumn="0" w:noHBand="0" w:noVBand="1"/>
      </w:tblPr>
      <w:tblGrid>
        <w:gridCol w:w="2504"/>
        <w:gridCol w:w="682"/>
        <w:gridCol w:w="6525"/>
      </w:tblGrid>
      <w:tr w:rsidR="009A579C" w:rsidRPr="00170B0D" w:rsidTr="00326067">
        <w:trPr>
          <w:trHeight w:val="300"/>
        </w:trPr>
        <w:tc>
          <w:tcPr>
            <w:tcW w:w="2504"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Causes of readmission</w:t>
            </w:r>
          </w:p>
        </w:tc>
        <w:tc>
          <w:tcPr>
            <w:tcW w:w="682"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CCS code</w:t>
            </w:r>
          </w:p>
        </w:tc>
        <w:tc>
          <w:tcPr>
            <w:tcW w:w="6525"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Diagnosis</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Respiratory</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127</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Chronic obstructive pulmonary disease and bronchiectasis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128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Asthma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130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Pleurisy, pneumothorax, pulmonary collapse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131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Respiratory failure, insufficiency and arrest</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132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Lung disease due to external agents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133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lower respiratory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134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upper respiratory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221</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Respiratory distress syndrome</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Infection</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Tuberculosis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Septicemia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Bacterial infection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Mycoses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HIV infection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Hepatitis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Viral infection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infection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Sexually transmitted infection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76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Meningitis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77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Encephalitis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78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CNS infection and poliomyelitis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90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Inflammation or infection of eye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122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Pneumonia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123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Influenza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124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Acute and chronic tonsillitis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125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Acute bronchitis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126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upper respiratory infections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129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Aspiration pneumonitis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135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Intestinal infection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197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Skin and subcutaneous tissue infections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201</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Infective arthritis and osteomyelitis (except that caused by tuberculosis or sexually transmitted disease)</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Bleeding </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60</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Acute </w:t>
            </w:r>
            <w:proofErr w:type="spellStart"/>
            <w:r w:rsidRPr="00170B0D">
              <w:rPr>
                <w:rFonts w:ascii="Helvetica" w:hAnsi="Helvetica" w:cs="Helvetica"/>
                <w:color w:val="000000"/>
                <w:sz w:val="20"/>
                <w:szCs w:val="20"/>
                <w:lang w:eastAsia="en-GB"/>
              </w:rPr>
              <w:t>posthemorrhagic</w:t>
            </w:r>
            <w:proofErr w:type="spellEnd"/>
            <w:r w:rsidRPr="00170B0D">
              <w:rPr>
                <w:rFonts w:ascii="Helvetica" w:hAnsi="Helvetica" w:cs="Helvetica"/>
                <w:color w:val="000000"/>
                <w:sz w:val="20"/>
                <w:szCs w:val="20"/>
                <w:lang w:eastAsia="en-GB"/>
              </w:rPr>
              <w:t xml:space="preserve"> anemia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153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Gastrointestinal hemorrhage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182</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Hemorrhage during pregnancy; </w:t>
            </w:r>
            <w:proofErr w:type="spellStart"/>
            <w:r w:rsidRPr="00170B0D">
              <w:rPr>
                <w:rFonts w:ascii="Helvetica" w:hAnsi="Helvetica" w:cs="Helvetica"/>
                <w:color w:val="000000"/>
                <w:sz w:val="20"/>
                <w:szCs w:val="20"/>
                <w:lang w:eastAsia="en-GB"/>
              </w:rPr>
              <w:t>abrutio</w:t>
            </w:r>
            <w:proofErr w:type="spellEnd"/>
            <w:r w:rsidRPr="00170B0D">
              <w:rPr>
                <w:rFonts w:ascii="Helvetica" w:hAnsi="Helvetica" w:cs="Helvetica"/>
                <w:color w:val="000000"/>
                <w:sz w:val="20"/>
                <w:szCs w:val="20"/>
                <w:lang w:eastAsia="en-GB"/>
              </w:rPr>
              <w:t xml:space="preserve"> placenta; placenta </w:t>
            </w:r>
            <w:proofErr w:type="spellStart"/>
            <w:r w:rsidRPr="00170B0D">
              <w:rPr>
                <w:rFonts w:ascii="Helvetica" w:hAnsi="Helvetica" w:cs="Helvetica"/>
                <w:color w:val="000000"/>
                <w:sz w:val="20"/>
                <w:szCs w:val="20"/>
                <w:lang w:eastAsia="en-GB"/>
              </w:rPr>
              <w:t>previa</w:t>
            </w:r>
            <w:proofErr w:type="spellEnd"/>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Peripheral vascular disease </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114</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Peripheral and visceral atherosclerosis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115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Aortic, peripheral and visceral artery aneurysms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116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Aortic and peripheral arterial embolism or thrombosis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117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circulatory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118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Phlebitis, thrombophlebitis and thromboembolism</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119</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Varicose veins of lower extremities</w:t>
            </w:r>
          </w:p>
        </w:tc>
      </w:tr>
      <w:tr w:rsidR="009A579C" w:rsidRPr="00170B0D" w:rsidTr="00326067">
        <w:trPr>
          <w:trHeight w:val="274"/>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Genitourinary </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159</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Urinary tract infection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160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Calculus of the urinary tract</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161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diseases of kidney and ureters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162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diseases of bladder and urethra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163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Genitourinary symptoms and ill-defined conditions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164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Hyperplasia of prostate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165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Inflammatory conditions of the male genital organs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166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male genital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170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Prolapse of female genital organs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175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female genital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215</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Genitourinary congenital anomalies</w:t>
            </w:r>
          </w:p>
        </w:tc>
      </w:tr>
      <w:tr w:rsidR="009A579C" w:rsidRPr="00170B0D" w:rsidTr="00326067">
        <w:trPr>
          <w:trHeight w:val="5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Renal disease</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156</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Nephritis; </w:t>
            </w:r>
            <w:proofErr w:type="spellStart"/>
            <w:r w:rsidRPr="00170B0D">
              <w:rPr>
                <w:rFonts w:ascii="Helvetica" w:hAnsi="Helvetica" w:cs="Helvetica"/>
                <w:color w:val="000000"/>
                <w:sz w:val="20"/>
                <w:szCs w:val="20"/>
                <w:lang w:eastAsia="en-GB"/>
              </w:rPr>
              <w:t>nephrosis</w:t>
            </w:r>
            <w:proofErr w:type="spellEnd"/>
            <w:r w:rsidRPr="00170B0D">
              <w:rPr>
                <w:rFonts w:ascii="Helvetica" w:hAnsi="Helvetica" w:cs="Helvetica"/>
                <w:color w:val="000000"/>
                <w:sz w:val="20"/>
                <w:szCs w:val="20"/>
                <w:lang w:eastAsia="en-GB"/>
              </w:rPr>
              <w:t>; renal sclerosis</w:t>
            </w:r>
          </w:p>
        </w:tc>
      </w:tr>
      <w:tr w:rsidR="009A579C" w:rsidRPr="00170B0D" w:rsidTr="00326067">
        <w:trPr>
          <w:trHeight w:val="5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157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Acute and unspecified renal failure</w:t>
            </w:r>
          </w:p>
        </w:tc>
      </w:tr>
      <w:tr w:rsidR="009A579C" w:rsidRPr="00170B0D" w:rsidTr="00326067">
        <w:trPr>
          <w:trHeight w:val="5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158</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Chronic kidney disease</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Gastrointestinal </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138</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Esophageal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139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Gastroduodenal ulcer (except hemorrhage)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140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Gastritis and </w:t>
            </w:r>
            <w:proofErr w:type="spellStart"/>
            <w:r w:rsidRPr="00170B0D">
              <w:rPr>
                <w:rFonts w:ascii="Helvetica" w:hAnsi="Helvetica" w:cs="Helvetica"/>
                <w:color w:val="000000"/>
                <w:sz w:val="20"/>
                <w:szCs w:val="20"/>
                <w:lang w:eastAsia="en-GB"/>
              </w:rPr>
              <w:t>duodenitis</w:t>
            </w:r>
            <w:proofErr w:type="spellEnd"/>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141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disorders of stomach and duodenum</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142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Appendicitis and other </w:t>
            </w:r>
            <w:proofErr w:type="spellStart"/>
            <w:r w:rsidRPr="00170B0D">
              <w:rPr>
                <w:rFonts w:ascii="Helvetica" w:hAnsi="Helvetica" w:cs="Helvetica"/>
                <w:color w:val="000000"/>
                <w:sz w:val="20"/>
                <w:szCs w:val="20"/>
                <w:lang w:eastAsia="en-GB"/>
              </w:rPr>
              <w:t>appendiceal</w:t>
            </w:r>
            <w:proofErr w:type="spellEnd"/>
            <w:r w:rsidRPr="00170B0D">
              <w:rPr>
                <w:rFonts w:ascii="Helvetica" w:hAnsi="Helvetica" w:cs="Helvetica"/>
                <w:color w:val="000000"/>
                <w:sz w:val="20"/>
                <w:szCs w:val="20"/>
                <w:lang w:eastAsia="en-GB"/>
              </w:rPr>
              <w:t xml:space="preserve"> conditions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143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Abdominal hernia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144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Regional enteritis and ulcerative colitis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145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Intestinal obstruction without hernia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146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Diverticulosis and diverticulitis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147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Anal and rectal conditions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148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Peritonitis and intestinal abscess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149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Biliary tract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150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Liver disease; alcohol-related</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151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liver diseases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152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Pancreatic disorders (not diabetes)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154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Noninfectious gastroenteritis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155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gastrointestinal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214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Digestive congenital anomalies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222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Hemolytic jaundice and perinatal jaundice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250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Nausea and vomiting</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251</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Abdominal pain</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TIA/stroke</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109</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Acute cerebrovascular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110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Occlusion of stenosis of </w:t>
            </w:r>
            <w:proofErr w:type="spellStart"/>
            <w:r w:rsidRPr="00170B0D">
              <w:rPr>
                <w:rFonts w:ascii="Helvetica" w:hAnsi="Helvetica" w:cs="Helvetica"/>
                <w:color w:val="000000"/>
                <w:sz w:val="20"/>
                <w:szCs w:val="20"/>
                <w:lang w:eastAsia="en-GB"/>
              </w:rPr>
              <w:t>precerebral</w:t>
            </w:r>
            <w:proofErr w:type="spellEnd"/>
            <w:r w:rsidRPr="00170B0D">
              <w:rPr>
                <w:rFonts w:ascii="Helvetica" w:hAnsi="Helvetica" w:cs="Helvetica"/>
                <w:color w:val="000000"/>
                <w:sz w:val="20"/>
                <w:szCs w:val="20"/>
                <w:lang w:eastAsia="en-GB"/>
              </w:rPr>
              <w:t xml:space="preserve"> arteries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111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and ill-defined cerebrovascular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112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Transient cerebral ischemia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113</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Late effects of cerebrovascular disease</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Trauma</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207</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Pathological fracture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225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Joint disorders and dislocations; trauma-related</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226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Fracture of neck of femur (hip)</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227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Spinal cord injury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228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Skull and face fractures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229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Fracture of upper limb</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230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Fracture of lower limb</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231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fractures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232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Sprains and strains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233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Intracranial injury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234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Crushing injury or internal injury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235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Open wounds of head; neck; and trunk</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236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Open wounds of extremities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239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Superficial injury; contusion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244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injuries and conditions due to external causes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260</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All (external causes of injury and poisoning)</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Endocrine/metabolic</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48</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Thyroid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49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Diabetes mellitus without complication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50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Diabetes mellitus with complication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51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endocrine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53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Disorders of lipid metabolism</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58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nutritional and endocrine/metabolic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186</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Diabetes or abnormal glucose tolerance complicating pregnancy; childbirth; or the puerperium</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Neuropsychiatric </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650</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Adjustment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Anxiety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Attention-deficit, conduct, and disruptive behavior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Delirium, dementia, and amnestic and other cognitive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Developmental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Disorders usually diagnosed in infancy and childhood or adolescence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Impulse control disorders, NEC</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Mood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Personality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Schizophrenia and other psychotic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660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Alcohol-related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661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Substance-related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662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Suicide and intentional self-inflicted injury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663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Screening and history of mental health and substance abuse codes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670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Miscellaneous mental health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79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Parkinson's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80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Multiple sclerosis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81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hereditary and degenerative nervous system conditions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82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Paralysis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83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Epilepsy, convulsions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84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Headache including migraine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85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Coma, stupor and brain damage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95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nervous system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216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Nervous system congenital anomalies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Adjustment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Anxiety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Attention-deficit, conduct, and disruptive behavior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Delirium, dementia, and amnestic and other cognitive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Developmental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Disorders usually diagnosed in infancy and childhood or adolescence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Impulse control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Mood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Personality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659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Schizophrenia and other psychotic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660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Alcohol-related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661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Substance-related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662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Suicide and intentional self-inflicted injury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663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Screening and history of mental health and substance abuse codes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670</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Miscellaneous mental health disorders</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Hematological/neoplastic </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11</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head and neck</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esophagus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stomach</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colon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rectum and anus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liver and intrahepatic bile ducts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pancreas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other gastrointestinal organs, peritoneum</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bronchus, lung</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other respiratory and intrathoracic</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bone and connective tissue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Melanoma of skin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non-epithelial cancer of skin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breast</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uterus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cervix</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ovary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other female genital organs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prostate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30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testis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31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other male genital organs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32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bladder</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33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kidney and renal pelvis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34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other urinary organs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35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brain and nervous system</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36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of thyroid</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37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Hodgkin's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38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Non-Hodgkin's lymphoma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39</w:t>
            </w:r>
          </w:p>
        </w:tc>
        <w:tc>
          <w:tcPr>
            <w:tcW w:w="6525" w:type="dxa"/>
            <w:noWrap/>
            <w:hideMark/>
          </w:tcPr>
          <w:p w:rsidR="009A579C" w:rsidRPr="00170B0D" w:rsidRDefault="009A579C" w:rsidP="00326067">
            <w:pPr>
              <w:rPr>
                <w:rFonts w:ascii="Helvetica" w:hAnsi="Helvetica" w:cs="Helvetica"/>
                <w:color w:val="000000"/>
                <w:sz w:val="20"/>
                <w:szCs w:val="20"/>
                <w:lang w:eastAsia="en-GB"/>
              </w:rPr>
            </w:pPr>
            <w:proofErr w:type="spellStart"/>
            <w:r w:rsidRPr="00170B0D">
              <w:rPr>
                <w:rFonts w:ascii="Helvetica" w:hAnsi="Helvetica" w:cs="Helvetica"/>
                <w:color w:val="000000"/>
                <w:sz w:val="20"/>
                <w:szCs w:val="20"/>
                <w:lang w:eastAsia="en-GB"/>
              </w:rPr>
              <w:t>Leukemias</w:t>
            </w:r>
            <w:proofErr w:type="spellEnd"/>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40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Multiple myeloma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41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Cancer, other and unspecified primary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42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Secondary malignancies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43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Malignant neoplasm without specification of site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44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Neoplasm of unspecified nature or uncertain behavior</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46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Benign neoplasm of uterus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47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and unspecified benign neoplasm</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59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Deficiency and other anemias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 Sickle cell anemia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Coagulation and hemorrhagic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Disease of white blood cells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64</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hematologic conditions</w:t>
            </w:r>
          </w:p>
        </w:tc>
      </w:tr>
      <w:tr w:rsidR="009A579C" w:rsidRPr="00170B0D" w:rsidTr="00326067">
        <w:trPr>
          <w:trHeight w:val="300"/>
        </w:trPr>
        <w:tc>
          <w:tcPr>
            <w:tcW w:w="2504"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Rheumatology problem</w:t>
            </w:r>
          </w:p>
        </w:tc>
        <w:tc>
          <w:tcPr>
            <w:tcW w:w="682"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54</w:t>
            </w:r>
          </w:p>
        </w:tc>
        <w:tc>
          <w:tcPr>
            <w:tcW w:w="6525"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Gout and other crystal </w:t>
            </w:r>
            <w:proofErr w:type="spellStart"/>
            <w:r w:rsidRPr="00170B0D">
              <w:rPr>
                <w:rFonts w:ascii="Helvetica" w:hAnsi="Helvetica" w:cs="Helvetica"/>
                <w:color w:val="000000"/>
                <w:sz w:val="20"/>
                <w:szCs w:val="20"/>
                <w:lang w:eastAsia="en-GB"/>
              </w:rPr>
              <w:t>arthropathies</w:t>
            </w:r>
            <w:proofErr w:type="spellEnd"/>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proofErr w:type="spellStart"/>
            <w:r w:rsidRPr="00170B0D">
              <w:rPr>
                <w:rFonts w:ascii="Helvetica" w:hAnsi="Helvetica" w:cs="Helvetica"/>
                <w:color w:val="000000"/>
                <w:sz w:val="20"/>
                <w:szCs w:val="20"/>
                <w:lang w:eastAsia="en-GB"/>
              </w:rPr>
              <w:t>Opthalmology</w:t>
            </w:r>
            <w:proofErr w:type="spellEnd"/>
            <w:r w:rsidRPr="00170B0D">
              <w:rPr>
                <w:rFonts w:ascii="Helvetica" w:hAnsi="Helvetica" w:cs="Helvetica"/>
                <w:color w:val="000000"/>
                <w:sz w:val="20"/>
                <w:szCs w:val="20"/>
                <w:lang w:eastAsia="en-GB"/>
              </w:rPr>
              <w:t xml:space="preserve"> problem</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86</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Cataract</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87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Retinal detachment defects, vascular occlusion and retinopathy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88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Glaucoma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89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Blindness and vision defects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91</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eye disorders</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ENT problem</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92</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Otitis media and related conditions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93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Conditions associate with dizziness or vertigo</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94</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ear and sense organ disorder</w:t>
            </w:r>
          </w:p>
        </w:tc>
      </w:tr>
      <w:tr w:rsidR="009A579C" w:rsidRPr="00170B0D" w:rsidTr="00326067">
        <w:trPr>
          <w:trHeight w:val="300"/>
        </w:trPr>
        <w:tc>
          <w:tcPr>
            <w:tcW w:w="2504"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Non-specific chest pain</w:t>
            </w:r>
          </w:p>
        </w:tc>
        <w:tc>
          <w:tcPr>
            <w:tcW w:w="682"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102</w:t>
            </w:r>
          </w:p>
        </w:tc>
        <w:tc>
          <w:tcPr>
            <w:tcW w:w="6525"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Non-specific chest pain</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Oral health problem</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136</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Disorders of teeth and jaw</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137</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Diseases of mouth; excluding dental</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Obstetric admission including pregnancy</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174</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Female infertility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176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Contraceptive and procreative management</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177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Spontaneous abortion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178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Induced abortion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179</w:t>
            </w:r>
          </w:p>
        </w:tc>
        <w:tc>
          <w:tcPr>
            <w:tcW w:w="6525" w:type="dxa"/>
            <w:noWrap/>
            <w:hideMark/>
          </w:tcPr>
          <w:p w:rsidR="009A579C" w:rsidRPr="00170B0D" w:rsidRDefault="009A579C" w:rsidP="00326067">
            <w:pPr>
              <w:rPr>
                <w:rFonts w:ascii="Helvetica" w:hAnsi="Helvetica" w:cs="Helvetica"/>
                <w:color w:val="000000"/>
                <w:sz w:val="20"/>
                <w:szCs w:val="20"/>
                <w:lang w:eastAsia="en-GB"/>
              </w:rPr>
            </w:pPr>
            <w:proofErr w:type="spellStart"/>
            <w:r w:rsidRPr="00170B0D">
              <w:rPr>
                <w:rFonts w:ascii="Helvetica" w:hAnsi="Helvetica" w:cs="Helvetica"/>
                <w:color w:val="000000"/>
                <w:sz w:val="20"/>
                <w:szCs w:val="20"/>
                <w:lang w:eastAsia="en-GB"/>
              </w:rPr>
              <w:t>Postabortion</w:t>
            </w:r>
            <w:proofErr w:type="spellEnd"/>
            <w:r w:rsidRPr="00170B0D">
              <w:rPr>
                <w:rFonts w:ascii="Helvetica" w:hAnsi="Helvetica" w:cs="Helvetica"/>
                <w:color w:val="000000"/>
                <w:sz w:val="20"/>
                <w:szCs w:val="20"/>
                <w:lang w:eastAsia="en-GB"/>
              </w:rPr>
              <w:t xml:space="preserve"> complication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180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Ectopic pregnancy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181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complications of pregnancy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184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Early or threatened labor</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185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Prolonged pregnancy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187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Malposition; </w:t>
            </w:r>
            <w:proofErr w:type="spellStart"/>
            <w:r w:rsidRPr="00170B0D">
              <w:rPr>
                <w:rFonts w:ascii="Helvetica" w:hAnsi="Helvetica" w:cs="Helvetica"/>
                <w:color w:val="000000"/>
                <w:sz w:val="20"/>
                <w:szCs w:val="20"/>
                <w:lang w:eastAsia="en-GB"/>
              </w:rPr>
              <w:t>malpresentation</w:t>
            </w:r>
            <w:proofErr w:type="spellEnd"/>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188</w:t>
            </w:r>
          </w:p>
        </w:tc>
        <w:tc>
          <w:tcPr>
            <w:tcW w:w="6525" w:type="dxa"/>
            <w:noWrap/>
            <w:hideMark/>
          </w:tcPr>
          <w:p w:rsidR="009A579C" w:rsidRPr="00170B0D" w:rsidRDefault="009A579C" w:rsidP="00326067">
            <w:pPr>
              <w:rPr>
                <w:rFonts w:ascii="Helvetica" w:hAnsi="Helvetica" w:cs="Helvetica"/>
                <w:color w:val="000000"/>
                <w:sz w:val="20"/>
                <w:szCs w:val="20"/>
                <w:lang w:eastAsia="en-GB"/>
              </w:rPr>
            </w:pPr>
            <w:proofErr w:type="spellStart"/>
            <w:r w:rsidRPr="00170B0D">
              <w:rPr>
                <w:rFonts w:ascii="Helvetica" w:hAnsi="Helvetica" w:cs="Helvetica"/>
                <w:color w:val="000000"/>
                <w:sz w:val="20"/>
                <w:szCs w:val="20"/>
                <w:lang w:eastAsia="en-GB"/>
              </w:rPr>
              <w:t>Fetopelvic</w:t>
            </w:r>
            <w:proofErr w:type="spellEnd"/>
            <w:r w:rsidRPr="00170B0D">
              <w:rPr>
                <w:rFonts w:ascii="Helvetica" w:hAnsi="Helvetica" w:cs="Helvetica"/>
                <w:color w:val="000000"/>
                <w:sz w:val="20"/>
                <w:szCs w:val="20"/>
                <w:lang w:eastAsia="en-GB"/>
              </w:rPr>
              <w:t xml:space="preserve"> disproportion; obstruction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189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Previous C-section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190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Fetal distress and abnormal forces of labor</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191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Polyhydramnios and other problems of amniotic cavity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192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Umbilical cord complication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193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OB-related trauma to perineum and vulva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194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Forceps delivery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195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complications of birth; puerperium affecting management of mother</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196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pregnancy and deliver including normal</w:t>
            </w:r>
          </w:p>
        </w:tc>
      </w:tr>
      <w:tr w:rsidR="009A579C" w:rsidRPr="00170B0D" w:rsidTr="00326067">
        <w:trPr>
          <w:trHeight w:val="147"/>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218</w:t>
            </w:r>
          </w:p>
        </w:tc>
        <w:tc>
          <w:tcPr>
            <w:tcW w:w="6525" w:type="dxa"/>
            <w:noWrap/>
            <w:hideMark/>
          </w:tcPr>
          <w:p w:rsidR="009A579C" w:rsidRPr="00170B0D" w:rsidRDefault="009A579C" w:rsidP="00326067">
            <w:pPr>
              <w:rPr>
                <w:rFonts w:ascii="Helvetica" w:hAnsi="Helvetica" w:cs="Helvetica"/>
                <w:color w:val="000000"/>
                <w:sz w:val="20"/>
                <w:szCs w:val="20"/>
                <w:lang w:eastAsia="en-GB"/>
              </w:rPr>
            </w:pPr>
            <w:proofErr w:type="spellStart"/>
            <w:r w:rsidRPr="00170B0D">
              <w:rPr>
                <w:rFonts w:ascii="Helvetica" w:hAnsi="Helvetica" w:cs="Helvetica"/>
                <w:color w:val="000000"/>
                <w:sz w:val="20"/>
                <w:szCs w:val="20"/>
                <w:lang w:eastAsia="en-GB"/>
              </w:rPr>
              <w:t>Liveborn</w:t>
            </w:r>
            <w:proofErr w:type="spellEnd"/>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219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Short gestation; low birth weight; and fetal growth retardation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220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Intrauterine hypoxia and birth asphyxia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223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Birth trauma</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224</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perinatal conditions</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lastRenderedPageBreak/>
              <w:t>Dermatology problem</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198</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inflammatory condition of skin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199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Chronic ulcer of skin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200</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skin disorders</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Poisoning</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241</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Poisoning by </w:t>
            </w:r>
            <w:proofErr w:type="spellStart"/>
            <w:r w:rsidRPr="00170B0D">
              <w:rPr>
                <w:rFonts w:ascii="Helvetica" w:hAnsi="Helvetica" w:cs="Helvetica"/>
                <w:color w:val="000000"/>
                <w:sz w:val="20"/>
                <w:szCs w:val="20"/>
                <w:lang w:eastAsia="en-GB"/>
              </w:rPr>
              <w:t>psychotrophic</w:t>
            </w:r>
            <w:proofErr w:type="spellEnd"/>
            <w:r w:rsidRPr="00170B0D">
              <w:rPr>
                <w:rFonts w:ascii="Helvetica" w:hAnsi="Helvetica" w:cs="Helvetica"/>
                <w:color w:val="000000"/>
                <w:sz w:val="20"/>
                <w:szCs w:val="20"/>
                <w:lang w:eastAsia="en-GB"/>
              </w:rPr>
              <w:t xml:space="preserve"> agents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242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Poisoning by other medication and drugs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243</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Poisoning by nonmedical substances</w:t>
            </w:r>
          </w:p>
        </w:tc>
      </w:tr>
      <w:tr w:rsidR="009A579C" w:rsidRPr="00170B0D" w:rsidTr="00326067">
        <w:trPr>
          <w:trHeight w:val="300"/>
        </w:trPr>
        <w:tc>
          <w:tcPr>
            <w:tcW w:w="2504"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Syncope</w:t>
            </w:r>
          </w:p>
        </w:tc>
        <w:tc>
          <w:tcPr>
            <w:tcW w:w="682"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245</w:t>
            </w:r>
          </w:p>
        </w:tc>
        <w:tc>
          <w:tcPr>
            <w:tcW w:w="6525"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Syncope</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Other non-cardiac </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10</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Immunization and screening for infectious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45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Maintenance chemotherapy, radiotherapy</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52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Nutritional deficiencies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55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Fluid and electrolyte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56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Cystic fibrosis</w:t>
            </w:r>
          </w:p>
        </w:tc>
      </w:tr>
      <w:tr w:rsidR="009A579C" w:rsidRPr="00170B0D" w:rsidTr="00326067">
        <w:trPr>
          <w:trHeight w:val="257"/>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57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Immunity disorder</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120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Hemorrhoids</w:t>
            </w:r>
          </w:p>
        </w:tc>
      </w:tr>
      <w:tr w:rsidR="009A579C" w:rsidRPr="00170B0D" w:rsidTr="00326067">
        <w:trPr>
          <w:trHeight w:val="259"/>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121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diseases of veins and lymphatics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167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Nonmalignant breast conditions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168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Inflammatory disease of female pelvic organs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169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Endometriosis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172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Ovarian cyst</w:t>
            </w:r>
          </w:p>
        </w:tc>
      </w:tr>
      <w:tr w:rsidR="009A579C" w:rsidRPr="00170B0D" w:rsidTr="00326067">
        <w:trPr>
          <w:trHeight w:val="316"/>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173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Menopausal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202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Rheumatoid arthritis and related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203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Osteoarthritis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204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non-traumatic joint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205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Spondylosis; intervertebral disc disorders; other back problems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206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Osteoporosis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208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Acquired foot deformities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209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acquired deformities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210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Systemic lupus erythematosus and connective tissue disorders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211</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connective tissue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212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bone disease and musculoskeletal deformities</w:t>
            </w:r>
          </w:p>
        </w:tc>
      </w:tr>
      <w:tr w:rsidR="009A579C" w:rsidRPr="00170B0D" w:rsidTr="00326067">
        <w:trPr>
          <w:trHeight w:val="295"/>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217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congenital anomalies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237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Complication of device; implant or graft</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238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Complications of surgical procedure or medical care</w:t>
            </w:r>
          </w:p>
        </w:tc>
      </w:tr>
      <w:tr w:rsidR="009A579C" w:rsidRPr="00170B0D" w:rsidTr="00326067">
        <w:trPr>
          <w:trHeight w:val="209"/>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240</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Burns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246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Fever of unknown origin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247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Lymphadenitis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248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Gangrene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252</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Malaise and fatigue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253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Allergic reactions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254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Rehabilitation care; fitting of prostheses; and adjustment of devices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255</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Administrative/social admission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256</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Medical examination/evaluation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257</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aftercare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258</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screening for suspected conditions (not mental disorders or infectious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259</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Residual codes; unclassified</w:t>
            </w:r>
          </w:p>
        </w:tc>
      </w:tr>
      <w:tr w:rsidR="009A579C" w:rsidRPr="00170B0D" w:rsidTr="00326067">
        <w:trPr>
          <w:trHeight w:val="300"/>
        </w:trPr>
        <w:tc>
          <w:tcPr>
            <w:tcW w:w="2504"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lastRenderedPageBreak/>
              <w:t xml:space="preserve">Heart failure </w:t>
            </w:r>
          </w:p>
        </w:tc>
        <w:tc>
          <w:tcPr>
            <w:tcW w:w="682"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108</w:t>
            </w:r>
          </w:p>
        </w:tc>
        <w:tc>
          <w:tcPr>
            <w:tcW w:w="6525"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Congestive heart failure non-hypertensive</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Arrhythmia </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106</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Cardiac dysrhythmias</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107</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Cardiac arrest and ventricular fibrillation</w:t>
            </w:r>
          </w:p>
        </w:tc>
      </w:tr>
      <w:tr w:rsidR="009A579C" w:rsidRPr="00170B0D" w:rsidTr="00326067">
        <w:trPr>
          <w:trHeight w:val="300"/>
        </w:trPr>
        <w:tc>
          <w:tcPr>
            <w:tcW w:w="2504"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Conduction disorder </w:t>
            </w:r>
          </w:p>
        </w:tc>
        <w:tc>
          <w:tcPr>
            <w:tcW w:w="682"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105</w:t>
            </w:r>
          </w:p>
        </w:tc>
        <w:tc>
          <w:tcPr>
            <w:tcW w:w="6525"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Conduction disorders</w:t>
            </w:r>
          </w:p>
        </w:tc>
      </w:tr>
      <w:tr w:rsidR="009A579C" w:rsidRPr="00170B0D" w:rsidTr="00326067">
        <w:trPr>
          <w:trHeight w:val="300"/>
        </w:trPr>
        <w:tc>
          <w:tcPr>
            <w:tcW w:w="2504"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Valve disorders </w:t>
            </w:r>
          </w:p>
        </w:tc>
        <w:tc>
          <w:tcPr>
            <w:tcW w:w="682"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96</w:t>
            </w:r>
          </w:p>
        </w:tc>
        <w:tc>
          <w:tcPr>
            <w:tcW w:w="6525"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Heart valve disorder</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Hyper/hypotension </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98</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Essential hypertension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99</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Hypertension with complications and secondary hypertension</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183</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Hypertension complicating pregnancy; childbirth and the puerperium</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249</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Shock</w:t>
            </w:r>
          </w:p>
        </w:tc>
      </w:tr>
      <w:tr w:rsidR="009A579C" w:rsidRPr="00170B0D" w:rsidTr="00326067">
        <w:trPr>
          <w:trHeight w:val="300"/>
        </w:trPr>
        <w:tc>
          <w:tcPr>
            <w:tcW w:w="2504"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Pericarditis </w:t>
            </w:r>
          </w:p>
        </w:tc>
        <w:tc>
          <w:tcPr>
            <w:tcW w:w="682"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97</w:t>
            </w:r>
          </w:p>
        </w:tc>
        <w:tc>
          <w:tcPr>
            <w:tcW w:w="6525"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proofErr w:type="spellStart"/>
            <w:r w:rsidRPr="00170B0D">
              <w:rPr>
                <w:rFonts w:ascii="Helvetica" w:hAnsi="Helvetica" w:cs="Helvetica"/>
                <w:color w:val="000000"/>
                <w:sz w:val="20"/>
                <w:szCs w:val="20"/>
                <w:lang w:eastAsia="en-GB"/>
              </w:rPr>
              <w:t>Peri</w:t>
            </w:r>
            <w:proofErr w:type="spellEnd"/>
            <w:r w:rsidRPr="00170B0D">
              <w:rPr>
                <w:rFonts w:ascii="Helvetica" w:hAnsi="Helvetica" w:cs="Helvetica"/>
                <w:color w:val="000000"/>
                <w:sz w:val="20"/>
                <w:szCs w:val="20"/>
                <w:lang w:eastAsia="en-GB"/>
              </w:rPr>
              <w:t>-, endo- and myocarditis, cardiomyopathy</w:t>
            </w:r>
          </w:p>
        </w:tc>
      </w:tr>
      <w:tr w:rsidR="009A579C" w:rsidRPr="00170B0D" w:rsidTr="00326067">
        <w:trPr>
          <w:trHeight w:val="300"/>
        </w:trPr>
        <w:tc>
          <w:tcPr>
            <w:tcW w:w="2504"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Coronary artery disease including angina</w:t>
            </w:r>
          </w:p>
        </w:tc>
        <w:tc>
          <w:tcPr>
            <w:tcW w:w="682"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101</w:t>
            </w:r>
          </w:p>
        </w:tc>
        <w:tc>
          <w:tcPr>
            <w:tcW w:w="6525"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Coronary atherosclerosis and other heart disease includes angina</w:t>
            </w:r>
          </w:p>
        </w:tc>
      </w:tr>
      <w:tr w:rsidR="009A579C" w:rsidRPr="00170B0D" w:rsidTr="00326067">
        <w:trPr>
          <w:trHeight w:val="300"/>
        </w:trPr>
        <w:tc>
          <w:tcPr>
            <w:tcW w:w="2504"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Acute myocardial infarction  </w:t>
            </w:r>
          </w:p>
        </w:tc>
        <w:tc>
          <w:tcPr>
            <w:tcW w:w="682"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100</w:t>
            </w:r>
          </w:p>
        </w:tc>
        <w:tc>
          <w:tcPr>
            <w:tcW w:w="6525" w:type="dxa"/>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Acute myocardial infarction</w:t>
            </w:r>
          </w:p>
        </w:tc>
      </w:tr>
      <w:tr w:rsidR="009A579C" w:rsidRPr="00170B0D" w:rsidTr="00326067">
        <w:trPr>
          <w:trHeight w:val="300"/>
        </w:trPr>
        <w:tc>
          <w:tcPr>
            <w:tcW w:w="2504" w:type="dxa"/>
            <w:vMerge w:val="restart"/>
            <w:tcBorders>
              <w:top w:val="single" w:sz="4" w:space="0" w:color="auto"/>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 xml:space="preserve">Others (cardiac)  </w:t>
            </w:r>
          </w:p>
        </w:tc>
        <w:tc>
          <w:tcPr>
            <w:tcW w:w="682"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103</w:t>
            </w:r>
          </w:p>
        </w:tc>
        <w:tc>
          <w:tcPr>
            <w:tcW w:w="6525" w:type="dxa"/>
            <w:tcBorders>
              <w:top w:val="single" w:sz="4" w:space="0" w:color="auto"/>
              <w:left w:val="nil"/>
              <w:bottom w:val="nil"/>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Pulmonary heart disease</w:t>
            </w:r>
          </w:p>
        </w:tc>
      </w:tr>
      <w:tr w:rsidR="009A579C" w:rsidRPr="00170B0D" w:rsidTr="00326067">
        <w:trPr>
          <w:trHeight w:val="300"/>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104</w:t>
            </w:r>
          </w:p>
        </w:tc>
        <w:tc>
          <w:tcPr>
            <w:tcW w:w="6525" w:type="dxa"/>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Other and ill-defined heart disease</w:t>
            </w:r>
          </w:p>
        </w:tc>
      </w:tr>
      <w:tr w:rsidR="009A579C" w:rsidRPr="00170B0D" w:rsidTr="00326067">
        <w:trPr>
          <w:trHeight w:val="83"/>
        </w:trPr>
        <w:tc>
          <w:tcPr>
            <w:tcW w:w="0" w:type="auto"/>
            <w:vMerge/>
            <w:tcBorders>
              <w:top w:val="single" w:sz="4" w:space="0" w:color="auto"/>
              <w:left w:val="nil"/>
              <w:bottom w:val="single" w:sz="4" w:space="0" w:color="auto"/>
              <w:right w:val="nil"/>
            </w:tcBorders>
            <w:vAlign w:val="center"/>
            <w:hideMark/>
          </w:tcPr>
          <w:p w:rsidR="009A579C" w:rsidRPr="00170B0D" w:rsidRDefault="009A579C" w:rsidP="00326067">
            <w:pPr>
              <w:spacing w:line="256" w:lineRule="auto"/>
              <w:rPr>
                <w:rFonts w:ascii="Helvetica" w:hAnsi="Helvetica" w:cs="Helvetica"/>
                <w:color w:val="000000"/>
                <w:sz w:val="20"/>
                <w:szCs w:val="20"/>
                <w:lang w:eastAsia="en-GB"/>
              </w:rPr>
            </w:pPr>
          </w:p>
        </w:tc>
        <w:tc>
          <w:tcPr>
            <w:tcW w:w="682"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213</w:t>
            </w:r>
          </w:p>
        </w:tc>
        <w:tc>
          <w:tcPr>
            <w:tcW w:w="6525" w:type="dxa"/>
            <w:tcBorders>
              <w:top w:val="nil"/>
              <w:left w:val="nil"/>
              <w:bottom w:val="single" w:sz="4" w:space="0" w:color="auto"/>
              <w:right w:val="nil"/>
            </w:tcBorders>
            <w:noWrap/>
            <w:hideMark/>
          </w:tcPr>
          <w:p w:rsidR="009A579C" w:rsidRPr="00170B0D" w:rsidRDefault="009A579C" w:rsidP="00326067">
            <w:pPr>
              <w:rPr>
                <w:rFonts w:ascii="Helvetica" w:hAnsi="Helvetica" w:cs="Helvetica"/>
                <w:color w:val="000000"/>
                <w:sz w:val="20"/>
                <w:szCs w:val="20"/>
                <w:lang w:eastAsia="en-GB"/>
              </w:rPr>
            </w:pPr>
            <w:r w:rsidRPr="00170B0D">
              <w:rPr>
                <w:rFonts w:ascii="Helvetica" w:hAnsi="Helvetica" w:cs="Helvetica"/>
                <w:color w:val="000000"/>
                <w:sz w:val="20"/>
                <w:szCs w:val="20"/>
                <w:lang w:eastAsia="en-GB"/>
              </w:rPr>
              <w:t>Cardiac and circulatory congenital anomalies</w:t>
            </w:r>
          </w:p>
        </w:tc>
      </w:tr>
    </w:tbl>
    <w:p w:rsidR="009A579C" w:rsidRPr="00170B0D" w:rsidRDefault="009A579C" w:rsidP="009A579C">
      <w:pPr>
        <w:rPr>
          <w:rFonts w:ascii="Helvetica" w:eastAsia="Calibri" w:hAnsi="Helvetica" w:cs="Helvetica"/>
          <w:b/>
        </w:rPr>
      </w:pPr>
    </w:p>
    <w:p w:rsidR="009A579C" w:rsidRPr="00170B0D" w:rsidRDefault="009A579C" w:rsidP="009A579C">
      <w:pPr>
        <w:spacing w:after="160" w:line="256" w:lineRule="auto"/>
        <w:rPr>
          <w:rFonts w:ascii="Helvetica" w:hAnsi="Helvetica" w:cs="Helvetica"/>
          <w:b/>
        </w:rPr>
        <w:sectPr w:rsidR="009A579C" w:rsidRPr="00170B0D">
          <w:pgSz w:w="11906" w:h="16838"/>
          <w:pgMar w:top="1440" w:right="1440" w:bottom="1440" w:left="1440" w:header="708" w:footer="708" w:gutter="0"/>
          <w:cols w:space="708"/>
          <w:docGrid w:linePitch="360"/>
        </w:sectPr>
      </w:pPr>
    </w:p>
    <w:p w:rsidR="009A579C" w:rsidRPr="00170B0D" w:rsidRDefault="009A579C" w:rsidP="009A579C">
      <w:pPr>
        <w:spacing w:line="480" w:lineRule="auto"/>
        <w:rPr>
          <w:rFonts w:ascii="Helvetica" w:hAnsi="Helvetica" w:cs="Helvetica"/>
          <w:b/>
        </w:rPr>
      </w:pPr>
      <w:r w:rsidRPr="00170B0D">
        <w:rPr>
          <w:rFonts w:ascii="Helvetica" w:hAnsi="Helvetica" w:cs="Helvetica"/>
          <w:b/>
        </w:rPr>
        <w:lastRenderedPageBreak/>
        <w:t>Supplementary Table 2: Factors associated with 30-day unplanned readmissions after PCI to the index or non-index hospital.</w:t>
      </w:r>
    </w:p>
    <w:tbl>
      <w:tblPr>
        <w:tblW w:w="1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330"/>
        <w:gridCol w:w="993"/>
        <w:gridCol w:w="920"/>
        <w:gridCol w:w="1020"/>
        <w:gridCol w:w="1320"/>
        <w:gridCol w:w="992"/>
        <w:gridCol w:w="992"/>
        <w:gridCol w:w="1027"/>
      </w:tblGrid>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Variable</w:t>
            </w:r>
          </w:p>
        </w:tc>
        <w:tc>
          <w:tcPr>
            <w:tcW w:w="4263" w:type="dxa"/>
            <w:gridSpan w:val="4"/>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r w:rsidRPr="00170B0D">
              <w:rPr>
                <w:rFonts w:ascii="Helvetica" w:hAnsi="Helvetica" w:cs="Helvetica"/>
                <w:color w:val="000000"/>
                <w:lang w:eastAsia="en-GB"/>
              </w:rPr>
              <w:t>Index hospital</w:t>
            </w:r>
          </w:p>
        </w:tc>
        <w:tc>
          <w:tcPr>
            <w:tcW w:w="4331" w:type="dxa"/>
            <w:gridSpan w:val="4"/>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r w:rsidRPr="00170B0D">
              <w:rPr>
                <w:rFonts w:ascii="Helvetica" w:hAnsi="Helvetica" w:cs="Helvetica"/>
                <w:color w:val="000000"/>
                <w:lang w:eastAsia="en-GB"/>
              </w:rPr>
              <w:t>Non-index hospital</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33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Odds ratio</w:t>
            </w:r>
          </w:p>
        </w:tc>
        <w:tc>
          <w:tcPr>
            <w:tcW w:w="993"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 xml:space="preserve">95%CI </w:t>
            </w:r>
          </w:p>
        </w:tc>
        <w:tc>
          <w:tcPr>
            <w:tcW w:w="92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p>
        </w:tc>
        <w:tc>
          <w:tcPr>
            <w:tcW w:w="102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p-value</w:t>
            </w:r>
          </w:p>
        </w:tc>
        <w:tc>
          <w:tcPr>
            <w:tcW w:w="132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Odds ratio</w:t>
            </w:r>
          </w:p>
        </w:tc>
        <w:tc>
          <w:tcPr>
            <w:tcW w:w="992"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 xml:space="preserve">95%CI </w:t>
            </w:r>
          </w:p>
        </w:tc>
        <w:tc>
          <w:tcPr>
            <w:tcW w:w="992"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p>
        </w:tc>
        <w:tc>
          <w:tcPr>
            <w:tcW w:w="1027"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p-value</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Age (per year)</w:t>
            </w:r>
          </w:p>
        </w:tc>
        <w:tc>
          <w:tcPr>
            <w:tcW w:w="133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993"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92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102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0.10</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0.99</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0.002</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Women</w:t>
            </w:r>
          </w:p>
        </w:tc>
        <w:tc>
          <w:tcPr>
            <w:tcW w:w="133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1.23</w:t>
            </w:r>
          </w:p>
        </w:tc>
        <w:tc>
          <w:tcPr>
            <w:tcW w:w="993"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1.20</w:t>
            </w:r>
          </w:p>
        </w:tc>
        <w:tc>
          <w:tcPr>
            <w:tcW w:w="92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1.26</w:t>
            </w:r>
          </w:p>
        </w:tc>
        <w:tc>
          <w:tcPr>
            <w:tcW w:w="102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1.21</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1.16</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1.26</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4586" w:type="dxa"/>
            <w:gridSpan w:val="2"/>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Year vs 2010</w:t>
            </w:r>
          </w:p>
        </w:tc>
        <w:tc>
          <w:tcPr>
            <w:tcW w:w="993"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p>
        </w:tc>
        <w:tc>
          <w:tcPr>
            <w:tcW w:w="9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0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3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027"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2011</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0.99</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0.94</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1.05</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0.79</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0.94</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0.85</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1.03</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0.20</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2012</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0.93</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0.89</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0.98</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0.012</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0.88</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0.80</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0.014</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2013</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0.93</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0.97</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0.003</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0.82</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0.75</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0.90</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2014</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0.87</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0.82</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0.92</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0.76</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0.69</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0.83</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Elective index PCI</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0.57</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0.55</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0.59</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0.92</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0.87</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0.014</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Weekend admission</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 xml:space="preserve">1.02 </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0.99</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1.04</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0.22</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0.95</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1.04</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0.92</w:t>
            </w:r>
          </w:p>
        </w:tc>
      </w:tr>
      <w:tr w:rsidR="009A579C" w:rsidRPr="00170B0D" w:rsidTr="00326067">
        <w:trPr>
          <w:trHeight w:val="285"/>
        </w:trPr>
        <w:tc>
          <w:tcPr>
            <w:tcW w:w="5579" w:type="dxa"/>
            <w:gridSpan w:val="3"/>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Primary expected payer vs Medicare</w:t>
            </w:r>
          </w:p>
        </w:tc>
        <w:tc>
          <w:tcPr>
            <w:tcW w:w="92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p>
        </w:tc>
        <w:tc>
          <w:tcPr>
            <w:tcW w:w="10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3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027"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Medicaid</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1.12</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1.16</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1.21</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1.13</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1.30</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lastRenderedPageBreak/>
              <w:t>Private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0.70</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0.68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0.72</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0.63</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0.59</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0.66</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Uninsured</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0.72</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0.68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0.76</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0.80</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0.73</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No charge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0.89</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0.79</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0.049</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0.79</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0.63</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0.034</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Other</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0.82</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0.77</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0.87</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0.76</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0.69</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0.85</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315"/>
        </w:trPr>
        <w:tc>
          <w:tcPr>
            <w:tcW w:w="8839" w:type="dxa"/>
            <w:gridSpan w:val="6"/>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Median household income based on ZIP code vs 0-25</w:t>
            </w:r>
            <w:r w:rsidRPr="00170B0D">
              <w:rPr>
                <w:rFonts w:ascii="Helvetica" w:hAnsi="Helvetica" w:cs="Helvetica"/>
                <w:color w:val="000000"/>
                <w:vertAlign w:val="superscript"/>
                <w:lang w:eastAsia="en-GB"/>
              </w:rPr>
              <w:t>th</w:t>
            </w:r>
            <w:r w:rsidRPr="00170B0D">
              <w:rPr>
                <w:rFonts w:ascii="Helvetica" w:hAnsi="Helvetica" w:cs="Helvetica"/>
                <w:color w:val="000000"/>
                <w:lang w:eastAsia="en-GB"/>
              </w:rPr>
              <w:t xml:space="preserve"> percentile</w:t>
            </w:r>
          </w:p>
        </w:tc>
        <w:tc>
          <w:tcPr>
            <w:tcW w:w="992"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p>
        </w:tc>
        <w:tc>
          <w:tcPr>
            <w:tcW w:w="992"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027"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r>
      <w:tr w:rsidR="009A579C" w:rsidRPr="00170B0D" w:rsidTr="00326067">
        <w:trPr>
          <w:trHeight w:val="31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26-50</w:t>
            </w:r>
            <w:r w:rsidRPr="00170B0D">
              <w:rPr>
                <w:rFonts w:ascii="Helvetica" w:hAnsi="Helvetica" w:cs="Helvetica"/>
                <w:color w:val="000000"/>
                <w:vertAlign w:val="superscript"/>
                <w:lang w:eastAsia="en-GB"/>
              </w:rPr>
              <w:t>th</w:t>
            </w:r>
            <w:r w:rsidRPr="00170B0D">
              <w:rPr>
                <w:rFonts w:ascii="Helvetica" w:hAnsi="Helvetica" w:cs="Helvetica"/>
                <w:color w:val="000000"/>
                <w:lang w:eastAsia="en-GB"/>
              </w:rPr>
              <w:t xml:space="preserve"> percentile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0.97</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0.94</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0.038</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0.95</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1.06</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0.95</w:t>
            </w:r>
          </w:p>
        </w:tc>
      </w:tr>
      <w:tr w:rsidR="009A579C" w:rsidRPr="00170B0D" w:rsidTr="00326067">
        <w:trPr>
          <w:trHeight w:val="31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51-75</w:t>
            </w:r>
            <w:r w:rsidRPr="00170B0D">
              <w:rPr>
                <w:rFonts w:ascii="Helvetica" w:hAnsi="Helvetica" w:cs="Helvetica"/>
                <w:color w:val="000000"/>
                <w:vertAlign w:val="superscript"/>
                <w:lang w:eastAsia="en-GB"/>
              </w:rPr>
              <w:t>th</w:t>
            </w:r>
            <w:r w:rsidRPr="00170B0D">
              <w:rPr>
                <w:rFonts w:ascii="Helvetica" w:hAnsi="Helvetica" w:cs="Helvetica"/>
                <w:color w:val="000000"/>
                <w:lang w:eastAsia="en-GB"/>
              </w:rPr>
              <w:t xml:space="preserve"> percentile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0.96</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0.93</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0.99</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0.014</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0.98</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0.92</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1.05</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0.60</w:t>
            </w:r>
          </w:p>
        </w:tc>
      </w:tr>
      <w:tr w:rsidR="009A579C" w:rsidRPr="00170B0D" w:rsidTr="00326067">
        <w:trPr>
          <w:trHeight w:val="31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76-100</w:t>
            </w:r>
            <w:r w:rsidRPr="00170B0D">
              <w:rPr>
                <w:rFonts w:ascii="Helvetica" w:hAnsi="Helvetica" w:cs="Helvetica"/>
                <w:color w:val="000000"/>
                <w:vertAlign w:val="superscript"/>
                <w:lang w:eastAsia="en-GB"/>
              </w:rPr>
              <w:t>th</w:t>
            </w:r>
            <w:r w:rsidRPr="00170B0D">
              <w:rPr>
                <w:rFonts w:ascii="Helvetica" w:hAnsi="Helvetica" w:cs="Helvetica"/>
                <w:color w:val="000000"/>
                <w:lang w:eastAsia="en-GB"/>
              </w:rPr>
              <w:t xml:space="preserve"> percentile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0.92</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0.89</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0.96</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1.11</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1.04</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1.19</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0.002</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Smoker</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0.94</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0.92</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0.96</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0.96</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1.04</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0.97</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Alcohol misuse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1.02</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0.96</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1.08</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0.57</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1.30</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1.18</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1.44</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4586" w:type="dxa"/>
            <w:gridSpan w:val="2"/>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Comorbidities</w:t>
            </w:r>
          </w:p>
        </w:tc>
        <w:tc>
          <w:tcPr>
            <w:tcW w:w="993"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p>
        </w:tc>
        <w:tc>
          <w:tcPr>
            <w:tcW w:w="9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0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3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027"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Dyslipidemia</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0.88</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0.86</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0.90</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0.88</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0.85</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0.92</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Hypertension</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1.06</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1.04</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1.09</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1.11</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1.06</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1.16</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Diabetes mellitus</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1.20</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1.23</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1.26</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1.21</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1.31</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Obesity</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 xml:space="preserve">0.92 </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0.89</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0.94</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0.97</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0.93</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1.02</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0.25</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Previous heart failure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0.94</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0.86</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1.03</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0.20</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0.86</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1.17</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0.96</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lastRenderedPageBreak/>
              <w:t>Previous coronary artery disease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0.98</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0.94</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1.02</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0.33</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1.22</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1.11</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1.33</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Previous myocardial infarction</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1.01</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1.04</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0.53</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1.14</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1.08</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1.21</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Previous PCI</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1.03</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0.89</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1.03</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0.99</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0.17</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Previous CABG</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1.07</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1.03</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1.11</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0.001</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1.19</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1.12</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1.26</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Previous heart valve disease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1.10</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0.93</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1.29</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0.26</w:t>
            </w:r>
          </w:p>
        </w:tc>
        <w:tc>
          <w:tcPr>
            <w:tcW w:w="13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1.10</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0.84</w:t>
            </w:r>
          </w:p>
        </w:tc>
        <w:tc>
          <w:tcPr>
            <w:tcW w:w="992"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1.43</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0.50</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Atrial fibrillation</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1.39</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1.35</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1.43</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1.43</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1.36</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1.51</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Previous stroke/TIA</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1.13</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1.10</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1.18</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1.29</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1.21</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1.38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Peripheral vascular disease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1.16</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1.12</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1.19</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1.25</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1.19</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1.32</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Pulmonary circulatory disorder</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1.04</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0.86</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1.25</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0.72</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0.88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0.15</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1.22</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0.45</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Peptic ulcer disease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0.44</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0.22</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0.90</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0.024</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1.02</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0.50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2.11</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0.95</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Chronic lung disease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1.35</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1.31</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1.38</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1.48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1.42</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1.55</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 xml:space="preserve">Renal failure </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1.43</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1.47</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1.52</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1.44</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1.60</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lastRenderedPageBreak/>
              <w:t>Liver disease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1.38</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1.49</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1.35</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1.19</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1.53</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Hypothyroidism</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1.03</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0.99</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1.06</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0.12</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1.02</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0.96</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0.52</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Fluid and electrolyte disorder</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1.20</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1.16</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1.24</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1.19</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1.13</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1.25</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Anemia</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1.26</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1.22</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1.30</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1.45</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1.38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1.53</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Cancer</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1.35</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1.26</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1.45</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1.46</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1.30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1.62</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Depression</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1.23</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1.19</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1.28</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1.21</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1.14</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Dementia</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1.10</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1.02</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1.18</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1.38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1.23</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1.55</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4586" w:type="dxa"/>
            <w:gridSpan w:val="2"/>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Hospital variables</w:t>
            </w:r>
          </w:p>
        </w:tc>
        <w:tc>
          <w:tcPr>
            <w:tcW w:w="993"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p>
        </w:tc>
        <w:tc>
          <w:tcPr>
            <w:tcW w:w="9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0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320"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c>
          <w:tcPr>
            <w:tcW w:w="1027"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r>
      <w:tr w:rsidR="009A579C" w:rsidRPr="00170B0D" w:rsidTr="00326067">
        <w:trPr>
          <w:trHeight w:val="285"/>
        </w:trPr>
        <w:tc>
          <w:tcPr>
            <w:tcW w:w="6499" w:type="dxa"/>
            <w:gridSpan w:val="4"/>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Size based on number of beds vs small</w:t>
            </w:r>
          </w:p>
        </w:tc>
        <w:tc>
          <w:tcPr>
            <w:tcW w:w="102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p>
        </w:tc>
        <w:tc>
          <w:tcPr>
            <w:tcW w:w="1320"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c>
          <w:tcPr>
            <w:tcW w:w="1027"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Medium</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1.10</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1.21</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0.047</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0.80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0.70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0.90</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Large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1.12</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1.02</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1.23</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0.019</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0.77</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0.68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0.86</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Urban classification</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1.22</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0.90</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1.65</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1.11</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0.74</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1.66</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0.63</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Teaching hospital</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 xml:space="preserve">0.96 </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0.93</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0.99</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0.007</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1.04</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1.17</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0.002</w:t>
            </w:r>
          </w:p>
        </w:tc>
      </w:tr>
      <w:tr w:rsidR="009A579C" w:rsidRPr="00170B0D" w:rsidTr="00326067">
        <w:trPr>
          <w:trHeight w:val="285"/>
        </w:trPr>
        <w:tc>
          <w:tcPr>
            <w:tcW w:w="4586" w:type="dxa"/>
            <w:gridSpan w:val="2"/>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Procedural details</w:t>
            </w:r>
          </w:p>
        </w:tc>
        <w:tc>
          <w:tcPr>
            <w:tcW w:w="993"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p>
        </w:tc>
        <w:tc>
          <w:tcPr>
            <w:tcW w:w="9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0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320"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c>
          <w:tcPr>
            <w:tcW w:w="1027" w:type="dxa"/>
            <w:shd w:val="clear" w:color="auto" w:fill="auto"/>
            <w:noWrap/>
          </w:tcPr>
          <w:p w:rsidR="009A579C" w:rsidRPr="00170B0D" w:rsidRDefault="009A579C" w:rsidP="00326067">
            <w:pPr>
              <w:spacing w:line="480" w:lineRule="auto"/>
              <w:rPr>
                <w:rFonts w:ascii="Helvetica" w:hAnsi="Helvetica" w:cs="Helvetica"/>
                <w:sz w:val="20"/>
                <w:szCs w:val="20"/>
                <w:lang w:eastAsia="en-GB"/>
              </w:rPr>
            </w:pP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Multivessel disease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1.03</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1.00</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1.06</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0.022</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0.96</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0.92</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1.01</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0.14</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lastRenderedPageBreak/>
              <w:t>Bifurcation disease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0.93</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0.87</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0.99</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0.026</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1.01</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0.90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1.13</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0.88</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Use of circulatory support</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1.14</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0.97</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1.34</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0.10</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1.16</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0.88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1.53</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0.28</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Use of vasopressor</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1.06</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0.90</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1.24</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0.51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0.80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0.60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1.06</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0.12</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Use of intra-aortic balloon pump</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1.16</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1.38</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0.083</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1.15</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0.85</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1.54</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0.37</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Use of fractional flow reserve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1.14</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1.06</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1.22</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1.22</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1.38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0.002</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Use of intravascular ultrasound</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1.02</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1.06</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0.41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1.06</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0.98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1.14</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0.14</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Use of drug eluting stent</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0.87</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0.85</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0.89</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0.81</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0.78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0.84</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4586" w:type="dxa"/>
            <w:gridSpan w:val="2"/>
            <w:shd w:val="clear" w:color="auto" w:fill="auto"/>
            <w:noWrap/>
            <w:hideMark/>
          </w:tcPr>
          <w:p w:rsidR="009A579C" w:rsidRPr="00170B0D" w:rsidRDefault="009A579C" w:rsidP="00326067">
            <w:pPr>
              <w:spacing w:line="480" w:lineRule="auto"/>
              <w:rPr>
                <w:rFonts w:ascii="Helvetica" w:hAnsi="Helvetica" w:cs="Helvetica"/>
                <w:color w:val="000000"/>
                <w:lang w:eastAsia="en-GB"/>
              </w:rPr>
            </w:pPr>
            <w:proofErr w:type="spellStart"/>
            <w:r w:rsidRPr="00170B0D">
              <w:rPr>
                <w:rFonts w:ascii="Helvetica" w:hAnsi="Helvetica" w:cs="Helvetica"/>
                <w:color w:val="000000"/>
                <w:lang w:eastAsia="en-GB"/>
              </w:rPr>
              <w:t>Periprocedural</w:t>
            </w:r>
            <w:proofErr w:type="spellEnd"/>
            <w:r w:rsidRPr="00170B0D">
              <w:rPr>
                <w:rFonts w:ascii="Helvetica" w:hAnsi="Helvetica" w:cs="Helvetica"/>
                <w:color w:val="000000"/>
                <w:lang w:eastAsia="en-GB"/>
              </w:rPr>
              <w:t xml:space="preserve"> events</w:t>
            </w:r>
          </w:p>
        </w:tc>
        <w:tc>
          <w:tcPr>
            <w:tcW w:w="993"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p>
        </w:tc>
        <w:tc>
          <w:tcPr>
            <w:tcW w:w="9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0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3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027"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Complete heart block</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0.94</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0.84</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1.04</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0.84</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0.96</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Stroke/TIA</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0.96</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0.91</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1.02</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0.22</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1.05</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0.95</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1.15</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0.32</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Cardiogenic shock</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1.01</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0.95</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1.09</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0.69</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1.06</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1.36</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0.004</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Cardiac arrest</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0.95</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0.88</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1.03</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0.23</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0.90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0.78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1.03</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0.13</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Acute kidney injury</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1.09</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1.05</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1.13</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1.02</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0.013</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lastRenderedPageBreak/>
              <w:t>Major bleeding</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1.18</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1.04</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1.33</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0.010</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1.06</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0.88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1.28</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0.53</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Blood transfusion</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1.34</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0.95</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1.90</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0.094</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0.74</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0.33</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1.66</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0.47</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Vascular complication</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1.18</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1.06</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1.31</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0.002</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1.10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0.94</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1.30</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0.23</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Coronary artery bypass graft</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0.83</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0.76</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0.92</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0.61</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0.50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0.75</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Length of stay (per day)</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0.99</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0.99</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0.99</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1.00</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0.99</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1.00</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0.039</w:t>
            </w:r>
          </w:p>
        </w:tc>
      </w:tr>
      <w:tr w:rsidR="009A579C" w:rsidRPr="00170B0D" w:rsidTr="00326067">
        <w:trPr>
          <w:trHeight w:val="285"/>
        </w:trPr>
        <w:tc>
          <w:tcPr>
            <w:tcW w:w="6499" w:type="dxa"/>
            <w:gridSpan w:val="4"/>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Discharge location vs home or self-care</w:t>
            </w:r>
          </w:p>
        </w:tc>
        <w:tc>
          <w:tcPr>
            <w:tcW w:w="1020"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p>
        </w:tc>
        <w:tc>
          <w:tcPr>
            <w:tcW w:w="1320"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992" w:type="dxa"/>
            <w:shd w:val="clear" w:color="auto" w:fill="auto"/>
            <w:noWrap/>
            <w:hideMark/>
          </w:tcPr>
          <w:p w:rsidR="009A579C" w:rsidRPr="00170B0D" w:rsidRDefault="009A579C" w:rsidP="00326067">
            <w:pPr>
              <w:spacing w:line="480" w:lineRule="auto"/>
              <w:rPr>
                <w:rFonts w:ascii="Helvetica" w:hAnsi="Helvetica" w:cs="Helvetica"/>
                <w:sz w:val="20"/>
                <w:szCs w:val="20"/>
                <w:lang w:eastAsia="en-GB"/>
              </w:rPr>
            </w:pPr>
          </w:p>
        </w:tc>
        <w:tc>
          <w:tcPr>
            <w:tcW w:w="1027" w:type="dxa"/>
            <w:shd w:val="clear" w:color="auto" w:fill="auto"/>
            <w:noWrap/>
            <w:vAlign w:val="bottom"/>
            <w:hideMark/>
          </w:tcPr>
          <w:p w:rsidR="009A579C" w:rsidRPr="00170B0D" w:rsidRDefault="009A579C" w:rsidP="00326067">
            <w:pPr>
              <w:spacing w:line="480" w:lineRule="auto"/>
              <w:rPr>
                <w:rFonts w:ascii="Helvetica" w:hAnsi="Helvetica" w:cs="Helvetica"/>
                <w:sz w:val="20"/>
                <w:szCs w:val="20"/>
                <w:lang w:eastAsia="en-GB"/>
              </w:rPr>
            </w:pP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Nursing facility</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1.45</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1.40</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1.50</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1.36</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1.28</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1.45</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r w:rsidR="009A579C" w:rsidRPr="00170B0D" w:rsidTr="00326067">
        <w:trPr>
          <w:trHeight w:val="285"/>
        </w:trPr>
        <w:tc>
          <w:tcPr>
            <w:tcW w:w="3256" w:type="dxa"/>
            <w:shd w:val="clear" w:color="auto" w:fill="auto"/>
            <w:noWrap/>
            <w:hideMark/>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Discharge against medical advice</w:t>
            </w:r>
          </w:p>
        </w:tc>
        <w:tc>
          <w:tcPr>
            <w:tcW w:w="133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1.58</w:t>
            </w:r>
          </w:p>
        </w:tc>
        <w:tc>
          <w:tcPr>
            <w:tcW w:w="993"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1.40</w:t>
            </w:r>
          </w:p>
        </w:tc>
        <w:tc>
          <w:tcPr>
            <w:tcW w:w="9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1.78</w:t>
            </w:r>
          </w:p>
        </w:tc>
        <w:tc>
          <w:tcPr>
            <w:tcW w:w="1020"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c>
          <w:tcPr>
            <w:tcW w:w="1320"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3.21</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2.77</w:t>
            </w:r>
          </w:p>
        </w:tc>
        <w:tc>
          <w:tcPr>
            <w:tcW w:w="992" w:type="dxa"/>
            <w:shd w:val="clear" w:color="auto" w:fill="auto"/>
            <w:noWrap/>
            <w:vAlign w:val="bottom"/>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rPr>
              <w:t>3.72</w:t>
            </w:r>
          </w:p>
        </w:tc>
        <w:tc>
          <w:tcPr>
            <w:tcW w:w="1027" w:type="dxa"/>
            <w:shd w:val="clear" w:color="auto" w:fill="auto"/>
            <w:noWrap/>
          </w:tcPr>
          <w:p w:rsidR="009A579C" w:rsidRPr="00170B0D" w:rsidRDefault="009A579C" w:rsidP="00326067">
            <w:pPr>
              <w:spacing w:line="480" w:lineRule="auto"/>
              <w:rPr>
                <w:rFonts w:ascii="Helvetica" w:hAnsi="Helvetica" w:cs="Helvetica"/>
                <w:color w:val="000000"/>
                <w:lang w:eastAsia="en-GB"/>
              </w:rPr>
            </w:pPr>
            <w:r w:rsidRPr="00170B0D">
              <w:rPr>
                <w:rFonts w:ascii="Helvetica" w:hAnsi="Helvetica" w:cs="Helvetica"/>
                <w:color w:val="000000"/>
                <w:lang w:eastAsia="en-GB"/>
              </w:rPr>
              <w:t>&lt;0.001</w:t>
            </w:r>
          </w:p>
        </w:tc>
      </w:tr>
    </w:tbl>
    <w:p w:rsidR="009A579C" w:rsidRPr="00170B0D" w:rsidRDefault="009A579C" w:rsidP="009A579C">
      <w:pPr>
        <w:pStyle w:val="Body"/>
        <w:spacing w:after="0" w:line="480" w:lineRule="auto"/>
        <w:rPr>
          <w:rFonts w:ascii="Helvetica" w:hAnsi="Helvetica" w:cs="Helvetica"/>
          <w:b/>
          <w:sz w:val="24"/>
          <w:szCs w:val="24"/>
        </w:rPr>
      </w:pPr>
      <w:r w:rsidRPr="00170B0D">
        <w:rPr>
          <w:rFonts w:ascii="Helvetica" w:hAnsi="Helvetica" w:cs="Helvetica"/>
        </w:rPr>
        <w:t>CABG = coronary artery bypass graft, PCI = percutaneous coronary intervention, TIA = transient ischemic attack</w:t>
      </w:r>
    </w:p>
    <w:p w:rsidR="009A579C" w:rsidRDefault="009A579C" w:rsidP="009A579C">
      <w:pPr>
        <w:spacing w:after="160" w:line="259" w:lineRule="auto"/>
        <w:rPr>
          <w:rFonts w:ascii="Helvetica" w:hAnsi="Helvetica" w:cs="Helvetica"/>
          <w:b/>
        </w:rPr>
      </w:pPr>
      <w:r>
        <w:rPr>
          <w:rFonts w:ascii="Helvetica" w:hAnsi="Helvetica" w:cs="Helvetica"/>
          <w:b/>
        </w:rPr>
        <w:br w:type="page"/>
      </w:r>
    </w:p>
    <w:p w:rsidR="009A579C" w:rsidRPr="00C51112" w:rsidRDefault="009A579C" w:rsidP="009A5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b/>
          <w:color w:val="333333"/>
          <w:lang w:eastAsia="en-GB"/>
        </w:rPr>
      </w:pPr>
      <w:r w:rsidRPr="00C51112">
        <w:rPr>
          <w:rFonts w:ascii="Helvetica" w:hAnsi="Helvetica" w:cs="Helvetica"/>
          <w:b/>
          <w:color w:val="333333"/>
          <w:lang w:eastAsia="en-GB"/>
        </w:rPr>
        <w:lastRenderedPageBreak/>
        <w:t xml:space="preserve">Supplementary Table 3: Impact of adjustments for readmission hospital that had PCI facilities on odds of adverse outcomes for readmission to non-index compared to index hospital </w:t>
      </w:r>
    </w:p>
    <w:p w:rsidR="009A579C" w:rsidRDefault="009A579C" w:rsidP="009A579C">
      <w:pPr>
        <w:spacing w:line="480" w:lineRule="auto"/>
        <w:rPr>
          <w:rFonts w:ascii="Helvetica" w:hAnsi="Helvetica" w:cs="Helvetica"/>
          <w:b/>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5"/>
        <w:gridCol w:w="2835"/>
      </w:tblGrid>
      <w:tr w:rsidR="009A579C" w:rsidTr="00326067">
        <w:tc>
          <w:tcPr>
            <w:tcW w:w="3369" w:type="dxa"/>
            <w:tcBorders>
              <w:top w:val="single" w:sz="4" w:space="0" w:color="auto"/>
              <w:left w:val="nil"/>
              <w:bottom w:val="single" w:sz="4" w:space="0" w:color="auto"/>
              <w:right w:val="nil"/>
            </w:tcBorders>
            <w:hideMark/>
          </w:tcPr>
          <w:p w:rsidR="009A579C" w:rsidRDefault="009A579C" w:rsidP="00326067">
            <w:pPr>
              <w:spacing w:line="480" w:lineRule="auto"/>
              <w:rPr>
                <w:rFonts w:ascii="Helvetica" w:eastAsia="Malgun Gothic" w:hAnsi="Helvetica" w:cs="Calibri"/>
                <w:color w:val="000000"/>
                <w:lang w:eastAsia="en-GB"/>
              </w:rPr>
            </w:pPr>
            <w:r>
              <w:rPr>
                <w:rFonts w:ascii="Helvetica" w:eastAsia="Malgun Gothic" w:hAnsi="Helvetica" w:cs="Calibri"/>
                <w:color w:val="000000"/>
                <w:lang w:eastAsia="en-GB"/>
              </w:rPr>
              <w:t>Outcome during readmission</w:t>
            </w:r>
          </w:p>
        </w:tc>
        <w:tc>
          <w:tcPr>
            <w:tcW w:w="2835" w:type="dxa"/>
            <w:tcBorders>
              <w:top w:val="single" w:sz="4" w:space="0" w:color="auto"/>
              <w:left w:val="nil"/>
              <w:bottom w:val="single" w:sz="4" w:space="0" w:color="auto"/>
              <w:right w:val="nil"/>
            </w:tcBorders>
            <w:hideMark/>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Odds ratio (95%CI) for admission to non-index vs index hospital</w:t>
            </w:r>
            <w:r w:rsidRPr="00600C23">
              <w:rPr>
                <w:rFonts w:ascii="Arial" w:hAnsi="Arial" w:cs="Arial"/>
                <w:color w:val="222222"/>
                <w:shd w:val="clear" w:color="auto" w:fill="FFFFFF"/>
                <w:vertAlign w:val="superscript"/>
              </w:rPr>
              <w:t>†</w:t>
            </w:r>
            <w:r>
              <w:rPr>
                <w:rFonts w:ascii="Helvetica" w:eastAsia="Malgun Gothic" w:hAnsi="Helvetica" w:cs="Calibri"/>
                <w:color w:val="000000"/>
                <w:lang w:eastAsia="en-GB"/>
              </w:rPr>
              <w:t xml:space="preserve"> </w:t>
            </w:r>
          </w:p>
        </w:tc>
        <w:tc>
          <w:tcPr>
            <w:tcW w:w="2835" w:type="dxa"/>
            <w:tcBorders>
              <w:top w:val="single" w:sz="4" w:space="0" w:color="auto"/>
              <w:left w:val="nil"/>
              <w:bottom w:val="single" w:sz="4" w:space="0" w:color="auto"/>
              <w:right w:val="nil"/>
            </w:tcBorders>
            <w:hideMark/>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Odds ratio  (95%CI) for admission to non-index vs index hospital</w:t>
            </w:r>
            <w:r w:rsidRPr="00600C23">
              <w:rPr>
                <w:rFonts w:ascii="Arial" w:hAnsi="Arial" w:cs="Arial"/>
                <w:color w:val="3C4043"/>
                <w:sz w:val="21"/>
                <w:szCs w:val="21"/>
                <w:shd w:val="clear" w:color="auto" w:fill="FFFFFF"/>
                <w:vertAlign w:val="superscript"/>
              </w:rPr>
              <w:t>‡</w:t>
            </w:r>
          </w:p>
        </w:tc>
      </w:tr>
      <w:tr w:rsidR="009A579C" w:rsidTr="00326067">
        <w:tc>
          <w:tcPr>
            <w:tcW w:w="3369" w:type="dxa"/>
            <w:tcBorders>
              <w:top w:val="single" w:sz="4" w:space="0" w:color="auto"/>
              <w:left w:val="nil"/>
              <w:bottom w:val="nil"/>
              <w:right w:val="nil"/>
            </w:tcBorders>
            <w:hideMark/>
          </w:tcPr>
          <w:p w:rsidR="009A579C" w:rsidRDefault="009A579C" w:rsidP="00326067">
            <w:pPr>
              <w:spacing w:line="480" w:lineRule="auto"/>
              <w:rPr>
                <w:rFonts w:ascii="Helvetica" w:eastAsia="Malgun Gothic" w:hAnsi="Helvetica" w:cs="Calibri"/>
                <w:color w:val="000000"/>
                <w:lang w:eastAsia="en-GB"/>
              </w:rPr>
            </w:pPr>
            <w:r>
              <w:rPr>
                <w:rFonts w:ascii="Helvetica" w:eastAsia="Malgun Gothic" w:hAnsi="Helvetica" w:cs="Calibri"/>
                <w:color w:val="000000"/>
                <w:lang w:eastAsia="en-GB"/>
              </w:rPr>
              <w:t>Acute myocardial infarction</w:t>
            </w:r>
          </w:p>
        </w:tc>
        <w:tc>
          <w:tcPr>
            <w:tcW w:w="2835" w:type="dxa"/>
            <w:tcBorders>
              <w:top w:val="single" w:sz="4" w:space="0" w:color="auto"/>
              <w:left w:val="nil"/>
              <w:bottom w:val="nil"/>
              <w:right w:val="nil"/>
            </w:tcBorders>
            <w:hideMark/>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0.88 (0.82-0.95)</w:t>
            </w:r>
          </w:p>
        </w:tc>
        <w:tc>
          <w:tcPr>
            <w:tcW w:w="2835" w:type="dxa"/>
            <w:tcBorders>
              <w:top w:val="single" w:sz="4" w:space="0" w:color="auto"/>
              <w:left w:val="nil"/>
              <w:bottom w:val="nil"/>
              <w:right w:val="nil"/>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1.08 (1.00-1.17)</w:t>
            </w:r>
          </w:p>
        </w:tc>
      </w:tr>
      <w:tr w:rsidR="009A579C" w:rsidTr="00326067">
        <w:tc>
          <w:tcPr>
            <w:tcW w:w="3369" w:type="dxa"/>
            <w:hideMark/>
          </w:tcPr>
          <w:p w:rsidR="009A579C" w:rsidRDefault="009A579C" w:rsidP="00326067">
            <w:pPr>
              <w:spacing w:line="480" w:lineRule="auto"/>
              <w:rPr>
                <w:rFonts w:ascii="Helvetica" w:eastAsia="Malgun Gothic" w:hAnsi="Helvetica" w:cs="Calibri"/>
                <w:color w:val="000000"/>
                <w:lang w:eastAsia="en-GB"/>
              </w:rPr>
            </w:pPr>
            <w:r>
              <w:rPr>
                <w:rFonts w:ascii="Helvetica" w:eastAsia="Malgun Gothic" w:hAnsi="Helvetica" w:cs="Calibri"/>
                <w:color w:val="000000"/>
                <w:lang w:eastAsia="en-GB"/>
              </w:rPr>
              <w:t>PCI</w:t>
            </w:r>
          </w:p>
        </w:tc>
        <w:tc>
          <w:tcPr>
            <w:tcW w:w="2835" w:type="dxa"/>
            <w:hideMark/>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0.44 (0.41-0.49)</w:t>
            </w:r>
          </w:p>
        </w:tc>
        <w:tc>
          <w:tcPr>
            <w:tcW w:w="2835" w:type="dxa"/>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0.65 (0.59-0.71)</w:t>
            </w:r>
          </w:p>
        </w:tc>
      </w:tr>
      <w:tr w:rsidR="009A579C" w:rsidTr="00326067">
        <w:tc>
          <w:tcPr>
            <w:tcW w:w="3369" w:type="dxa"/>
            <w:hideMark/>
          </w:tcPr>
          <w:p w:rsidR="009A579C" w:rsidRDefault="009A579C" w:rsidP="00326067">
            <w:pPr>
              <w:spacing w:line="480" w:lineRule="auto"/>
              <w:rPr>
                <w:rFonts w:ascii="Helvetica" w:eastAsia="Malgun Gothic" w:hAnsi="Helvetica" w:cs="Calibri"/>
                <w:color w:val="000000"/>
                <w:lang w:eastAsia="en-GB"/>
              </w:rPr>
            </w:pPr>
            <w:r>
              <w:rPr>
                <w:rFonts w:ascii="Helvetica" w:eastAsia="Malgun Gothic" w:hAnsi="Helvetica" w:cs="Calibri"/>
                <w:color w:val="000000"/>
                <w:lang w:eastAsia="en-GB"/>
              </w:rPr>
              <w:t>Death</w:t>
            </w:r>
          </w:p>
        </w:tc>
        <w:tc>
          <w:tcPr>
            <w:tcW w:w="2835" w:type="dxa"/>
            <w:hideMark/>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1.30 (1.14-1.48)</w:t>
            </w:r>
          </w:p>
        </w:tc>
        <w:tc>
          <w:tcPr>
            <w:tcW w:w="2835" w:type="dxa"/>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1.62 (1.40-1.86)</w:t>
            </w:r>
          </w:p>
        </w:tc>
      </w:tr>
      <w:tr w:rsidR="009A579C" w:rsidTr="00326067">
        <w:tc>
          <w:tcPr>
            <w:tcW w:w="3369" w:type="dxa"/>
            <w:tcBorders>
              <w:top w:val="nil"/>
              <w:left w:val="nil"/>
              <w:bottom w:val="single" w:sz="4" w:space="0" w:color="auto"/>
              <w:right w:val="nil"/>
            </w:tcBorders>
            <w:hideMark/>
          </w:tcPr>
          <w:p w:rsidR="009A579C" w:rsidRDefault="009A579C" w:rsidP="00326067">
            <w:pPr>
              <w:spacing w:line="480" w:lineRule="auto"/>
              <w:rPr>
                <w:rFonts w:ascii="Helvetica" w:eastAsia="Malgun Gothic" w:hAnsi="Helvetica" w:cs="Calibri"/>
                <w:color w:val="000000"/>
                <w:lang w:eastAsia="en-GB"/>
              </w:rPr>
            </w:pPr>
            <w:r>
              <w:rPr>
                <w:rFonts w:ascii="Helvetica" w:eastAsia="Malgun Gothic" w:hAnsi="Helvetica" w:cs="Calibri"/>
                <w:color w:val="000000"/>
                <w:lang w:eastAsia="en-GB"/>
              </w:rPr>
              <w:t>Composite of acute myocardial infarction, PCI, death</w:t>
            </w:r>
          </w:p>
        </w:tc>
        <w:tc>
          <w:tcPr>
            <w:tcW w:w="2835" w:type="dxa"/>
            <w:tcBorders>
              <w:top w:val="nil"/>
              <w:left w:val="nil"/>
              <w:bottom w:val="single" w:sz="4" w:space="0" w:color="auto"/>
              <w:right w:val="nil"/>
            </w:tcBorders>
            <w:hideMark/>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0.61 (0.57-0.65)</w:t>
            </w:r>
          </w:p>
        </w:tc>
        <w:tc>
          <w:tcPr>
            <w:tcW w:w="2835" w:type="dxa"/>
            <w:tcBorders>
              <w:top w:val="nil"/>
              <w:left w:val="nil"/>
              <w:bottom w:val="single" w:sz="4" w:space="0" w:color="auto"/>
              <w:right w:val="nil"/>
            </w:tcBorders>
          </w:tcPr>
          <w:p w:rsidR="009A579C" w:rsidRDefault="009A579C" w:rsidP="00326067">
            <w:pPr>
              <w:spacing w:line="480" w:lineRule="auto"/>
              <w:jc w:val="center"/>
              <w:rPr>
                <w:rFonts w:ascii="Helvetica" w:eastAsia="Malgun Gothic" w:hAnsi="Helvetica" w:cs="Calibri"/>
                <w:color w:val="000000"/>
                <w:lang w:eastAsia="en-GB"/>
              </w:rPr>
            </w:pPr>
            <w:r>
              <w:rPr>
                <w:rFonts w:ascii="Helvetica" w:eastAsia="Malgun Gothic" w:hAnsi="Helvetica" w:cs="Calibri"/>
                <w:color w:val="000000"/>
                <w:lang w:eastAsia="en-GB"/>
              </w:rPr>
              <w:t>0.82 (0.76-0.88)</w:t>
            </w:r>
          </w:p>
        </w:tc>
      </w:tr>
    </w:tbl>
    <w:p w:rsidR="009A579C" w:rsidRDefault="009A579C" w:rsidP="009A5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hd w:val="clear" w:color="auto" w:fill="FFFFFF"/>
        </w:rPr>
      </w:pPr>
      <w:r>
        <w:rPr>
          <w:color w:val="333333"/>
          <w:lang w:eastAsia="en-GB"/>
        </w:rPr>
        <w:t xml:space="preserve"> </w:t>
      </w:r>
      <w:r w:rsidRPr="00600C23">
        <w:rPr>
          <w:rFonts w:ascii="Arial" w:hAnsi="Arial" w:cs="Arial"/>
          <w:color w:val="222222"/>
          <w:shd w:val="clear" w:color="auto" w:fill="FFFFFF"/>
          <w:vertAlign w:val="superscript"/>
        </w:rPr>
        <w:t>†</w:t>
      </w:r>
      <w:r>
        <w:rPr>
          <w:rFonts w:ascii="Arial" w:hAnsi="Arial" w:cs="Arial"/>
          <w:color w:val="222222"/>
          <w:shd w:val="clear" w:color="auto" w:fill="FFFFFF"/>
        </w:rPr>
        <w:t>Adjusted for all variables in Table 1.</w:t>
      </w:r>
    </w:p>
    <w:p w:rsidR="009A579C" w:rsidRPr="00600C23" w:rsidRDefault="009A579C" w:rsidP="009A5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lang w:eastAsia="en-GB"/>
        </w:rPr>
      </w:pPr>
      <w:r>
        <w:rPr>
          <w:rFonts w:ascii="Arial" w:hAnsi="Arial" w:cs="Arial"/>
          <w:color w:val="222222"/>
          <w:shd w:val="clear" w:color="auto" w:fill="FFFFFF"/>
        </w:rPr>
        <w:t xml:space="preserve"> </w:t>
      </w:r>
      <w:r w:rsidRPr="00600C23">
        <w:rPr>
          <w:rFonts w:ascii="Arial" w:hAnsi="Arial" w:cs="Arial"/>
          <w:color w:val="3C4043"/>
          <w:sz w:val="21"/>
          <w:szCs w:val="21"/>
          <w:shd w:val="clear" w:color="auto" w:fill="FFFFFF"/>
          <w:vertAlign w:val="superscript"/>
        </w:rPr>
        <w:t>‡</w:t>
      </w:r>
      <w:r>
        <w:rPr>
          <w:rFonts w:ascii="Arial" w:hAnsi="Arial" w:cs="Arial"/>
          <w:color w:val="3C4043"/>
          <w:sz w:val="21"/>
          <w:szCs w:val="21"/>
          <w:shd w:val="clear" w:color="auto" w:fill="FFFFFF"/>
        </w:rPr>
        <w:t>Adjusted for all variables in Table 1 and whether readmission hospital had PCI facilities.</w:t>
      </w:r>
    </w:p>
    <w:p w:rsidR="009A579C" w:rsidRPr="00170B0D" w:rsidRDefault="009A579C" w:rsidP="009A579C">
      <w:pPr>
        <w:spacing w:line="480" w:lineRule="auto"/>
        <w:rPr>
          <w:rFonts w:ascii="Helvetica" w:hAnsi="Helvetica" w:cs="Helvetica"/>
          <w:b/>
        </w:rPr>
      </w:pPr>
    </w:p>
    <w:p w:rsidR="009A579C" w:rsidRPr="00170B0D" w:rsidRDefault="009A579C" w:rsidP="009A579C">
      <w:pPr>
        <w:spacing w:after="160" w:line="256" w:lineRule="auto"/>
        <w:rPr>
          <w:rFonts w:ascii="Helvetica" w:hAnsi="Helvetica" w:cs="Helvetica"/>
          <w:b/>
        </w:rPr>
        <w:sectPr w:rsidR="009A579C" w:rsidRPr="00170B0D" w:rsidSect="00170B0D">
          <w:pgSz w:w="16838" w:h="11906" w:orient="landscape"/>
          <w:pgMar w:top="1440" w:right="1440" w:bottom="1440" w:left="1440" w:header="708" w:footer="708" w:gutter="0"/>
          <w:cols w:space="708"/>
          <w:docGrid w:linePitch="360"/>
        </w:sectPr>
      </w:pPr>
      <w:r w:rsidRPr="00170B0D">
        <w:rPr>
          <w:rFonts w:ascii="Helvetica" w:hAnsi="Helvetica" w:cs="Helvetica"/>
          <w:b/>
        </w:rPr>
        <w:br w:type="page"/>
      </w:r>
    </w:p>
    <w:p w:rsidR="009A579C" w:rsidRPr="00170B0D" w:rsidRDefault="009A579C" w:rsidP="009A579C">
      <w:pPr>
        <w:pStyle w:val="Body"/>
        <w:spacing w:after="0" w:line="240" w:lineRule="auto"/>
        <w:rPr>
          <w:rFonts w:ascii="Helvetica" w:hAnsi="Helvetica" w:cs="Helvetica"/>
          <w:b/>
          <w:sz w:val="24"/>
          <w:szCs w:val="24"/>
        </w:rPr>
      </w:pPr>
      <w:r w:rsidRPr="00170B0D">
        <w:rPr>
          <w:rFonts w:ascii="Helvetica" w:hAnsi="Helvetica" w:cs="Helvetica"/>
          <w:b/>
          <w:bCs/>
          <w:sz w:val="24"/>
          <w:szCs w:val="24"/>
        </w:rPr>
        <w:lastRenderedPageBreak/>
        <w:t>Supplementary Figure 1:</w:t>
      </w:r>
      <w:r w:rsidRPr="00170B0D">
        <w:rPr>
          <w:rFonts w:ascii="Helvetica" w:hAnsi="Helvetica" w:cs="Helvetica"/>
          <w:b/>
          <w:sz w:val="24"/>
          <w:szCs w:val="24"/>
        </w:rPr>
        <w:t xml:space="preserve"> Flow diagram of patient inclusion.</w:t>
      </w:r>
    </w:p>
    <w:p w:rsidR="009A579C" w:rsidRPr="00170B0D" w:rsidRDefault="009A579C" w:rsidP="009A579C">
      <w:pPr>
        <w:pStyle w:val="Body"/>
        <w:spacing w:after="0" w:line="240" w:lineRule="auto"/>
        <w:rPr>
          <w:rFonts w:ascii="Helvetica" w:eastAsia="Helvetica" w:hAnsi="Helvetica" w:cs="Helvetica"/>
          <w:sz w:val="24"/>
          <w:szCs w:val="24"/>
        </w:rPr>
      </w:pPr>
      <w:r w:rsidRPr="00170B0D">
        <w:rPr>
          <w:rFonts w:ascii="Helvetica" w:eastAsia="Helvetica" w:hAnsi="Helvetica" w:cs="Helvetica"/>
          <w:noProof/>
          <w:sz w:val="24"/>
          <w:szCs w:val="24"/>
          <w:lang w:val="en-GB" w:eastAsia="en-GB"/>
        </w:rPr>
        <w:drawing>
          <wp:inline distT="0" distB="0" distL="0" distR="0" wp14:anchorId="7BCCC27A" wp14:editId="794DBF86">
            <wp:extent cx="5731510" cy="43345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ure 1.tif"/>
                    <pic:cNvPicPr/>
                  </pic:nvPicPr>
                  <pic:blipFill>
                    <a:blip r:embed="rId15">
                      <a:extLst>
                        <a:ext uri="{28A0092B-C50C-407E-A947-70E740481C1C}">
                          <a14:useLocalDpi xmlns:a14="http://schemas.microsoft.com/office/drawing/2010/main" val="0"/>
                        </a:ext>
                      </a:extLst>
                    </a:blip>
                    <a:stretch>
                      <a:fillRect/>
                    </a:stretch>
                  </pic:blipFill>
                  <pic:spPr>
                    <a:xfrm>
                      <a:off x="0" y="0"/>
                      <a:ext cx="5731510" cy="4334510"/>
                    </a:xfrm>
                    <a:prstGeom prst="rect">
                      <a:avLst/>
                    </a:prstGeom>
                  </pic:spPr>
                </pic:pic>
              </a:graphicData>
            </a:graphic>
          </wp:inline>
        </w:drawing>
      </w:r>
    </w:p>
    <w:p w:rsidR="009A579C" w:rsidRPr="00170B0D" w:rsidRDefault="009A579C" w:rsidP="009A579C">
      <w:pPr>
        <w:pStyle w:val="Body"/>
        <w:spacing w:after="0" w:line="240" w:lineRule="auto"/>
        <w:jc w:val="both"/>
        <w:rPr>
          <w:rFonts w:ascii="Helvetica" w:eastAsia="Helvetica" w:hAnsi="Helvetica" w:cs="Helvetica"/>
          <w:bCs/>
          <w:sz w:val="24"/>
          <w:szCs w:val="24"/>
        </w:rPr>
      </w:pPr>
    </w:p>
    <w:p w:rsidR="009A579C" w:rsidRPr="00170B0D" w:rsidRDefault="009A579C" w:rsidP="009A579C">
      <w:pPr>
        <w:pStyle w:val="Body"/>
        <w:spacing w:after="0" w:line="240" w:lineRule="auto"/>
        <w:jc w:val="both"/>
        <w:rPr>
          <w:rFonts w:ascii="Helvetica" w:eastAsia="Helvetica" w:hAnsi="Helvetica" w:cs="Helvetica"/>
          <w:bCs/>
          <w:sz w:val="24"/>
          <w:szCs w:val="24"/>
        </w:rPr>
      </w:pPr>
    </w:p>
    <w:p w:rsidR="009A579C" w:rsidRPr="00170B0D" w:rsidRDefault="009A579C" w:rsidP="009A579C">
      <w:pPr>
        <w:spacing w:after="160" w:line="259" w:lineRule="auto"/>
        <w:rPr>
          <w:rFonts w:ascii="Helvetica" w:eastAsia="Arial Unicode MS" w:hAnsi="Helvetica" w:cs="Helvetica"/>
          <w:bCs/>
          <w:color w:val="000000"/>
          <w:u w:color="000000"/>
        </w:rPr>
      </w:pPr>
      <w:r w:rsidRPr="00170B0D">
        <w:rPr>
          <w:rFonts w:ascii="Helvetica" w:hAnsi="Helvetica" w:cs="Helvetica"/>
          <w:bCs/>
        </w:rPr>
        <w:br w:type="page"/>
      </w:r>
    </w:p>
    <w:p w:rsidR="009A579C" w:rsidRPr="00170B0D" w:rsidRDefault="009A579C" w:rsidP="009A579C">
      <w:pPr>
        <w:pStyle w:val="Body"/>
        <w:spacing w:after="0" w:line="240" w:lineRule="auto"/>
        <w:jc w:val="both"/>
        <w:rPr>
          <w:rFonts w:ascii="Helvetica" w:eastAsia="Helvetica" w:hAnsi="Helvetica" w:cs="Helvetica"/>
          <w:b/>
          <w:bCs/>
          <w:sz w:val="24"/>
          <w:szCs w:val="24"/>
        </w:rPr>
      </w:pPr>
      <w:r w:rsidRPr="00170B0D">
        <w:rPr>
          <w:rFonts w:ascii="Helvetica" w:hAnsi="Helvetica" w:cs="Helvetica"/>
          <w:b/>
          <w:bCs/>
          <w:sz w:val="24"/>
          <w:szCs w:val="24"/>
        </w:rPr>
        <w:lastRenderedPageBreak/>
        <w:t>Supplementary Figure 2: Rate of readmissions to different and same hospital between 2010 and 2014.</w:t>
      </w:r>
    </w:p>
    <w:p w:rsidR="009A579C" w:rsidRPr="00170B0D" w:rsidRDefault="009A579C" w:rsidP="009A579C">
      <w:pPr>
        <w:spacing w:after="160" w:line="256" w:lineRule="auto"/>
        <w:rPr>
          <w:rFonts w:ascii="Helvetica" w:hAnsi="Helvetica" w:cs="Helvetica"/>
          <w:b/>
        </w:rPr>
      </w:pPr>
      <w:r w:rsidRPr="00170B0D">
        <w:rPr>
          <w:rFonts w:ascii="Helvetica" w:hAnsi="Helvetica" w:cs="Helvetica"/>
          <w:b/>
          <w:noProof/>
          <w:lang w:eastAsia="en-GB"/>
        </w:rPr>
        <w:drawing>
          <wp:inline distT="0" distB="0" distL="0" distR="0" wp14:anchorId="36B9659A" wp14:editId="017B8A68">
            <wp:extent cx="5731510" cy="36487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Figure 2.tif"/>
                    <pic:cNvPicPr/>
                  </pic:nvPicPr>
                  <pic:blipFill>
                    <a:blip r:embed="rId16">
                      <a:extLst>
                        <a:ext uri="{28A0092B-C50C-407E-A947-70E740481C1C}">
                          <a14:useLocalDpi xmlns:a14="http://schemas.microsoft.com/office/drawing/2010/main" val="0"/>
                        </a:ext>
                      </a:extLst>
                    </a:blip>
                    <a:stretch>
                      <a:fillRect/>
                    </a:stretch>
                  </pic:blipFill>
                  <pic:spPr>
                    <a:xfrm>
                      <a:off x="0" y="0"/>
                      <a:ext cx="5731510" cy="3648710"/>
                    </a:xfrm>
                    <a:prstGeom prst="rect">
                      <a:avLst/>
                    </a:prstGeom>
                  </pic:spPr>
                </pic:pic>
              </a:graphicData>
            </a:graphic>
          </wp:inline>
        </w:drawing>
      </w:r>
    </w:p>
    <w:p w:rsidR="009A579C" w:rsidRPr="00170B0D" w:rsidRDefault="009A579C" w:rsidP="009A579C">
      <w:pPr>
        <w:rPr>
          <w:rFonts w:ascii="Helvetica" w:hAnsi="Helvetica" w:cs="Helvetica"/>
        </w:rPr>
      </w:pPr>
    </w:p>
    <w:p w:rsidR="00211A3A" w:rsidRPr="00DD4D4D" w:rsidRDefault="00211A3A" w:rsidP="00DD4D4D">
      <w:pPr>
        <w:pStyle w:val="Body"/>
        <w:spacing w:after="0" w:line="240" w:lineRule="auto"/>
        <w:jc w:val="both"/>
        <w:rPr>
          <w:rFonts w:ascii="Times New Roman" w:eastAsia="Helvetica" w:hAnsi="Times New Roman" w:cs="Times New Roman"/>
          <w:bCs/>
          <w:sz w:val="24"/>
          <w:szCs w:val="24"/>
        </w:rPr>
      </w:pPr>
      <w:bookmarkStart w:id="0" w:name="_GoBack"/>
      <w:bookmarkEnd w:id="0"/>
    </w:p>
    <w:sectPr w:rsidR="00211A3A" w:rsidRPr="00DD4D4D">
      <w:headerReference w:type="default" r:id="rId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44" w:rsidRDefault="00787E44">
      <w:r>
        <w:separator/>
      </w:r>
    </w:p>
  </w:endnote>
  <w:endnote w:type="continuationSeparator" w:id="0">
    <w:p w:rsidR="00787E44" w:rsidRDefault="0078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Calibri"/>
    <w:charset w:val="00"/>
    <w:family w:val="swiss"/>
    <w:pitch w:val="variable"/>
    <w:sig w:usb0="E1000AEF" w:usb1="5000A1FF" w:usb2="00000000" w:usb3="00000000" w:csb0="000001BF" w:csb1="00000000"/>
  </w:font>
  <w:font w:name="MS Mincho">
    <w:altName w:val="Yu Gothic UI"/>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44" w:rsidRDefault="00787E44">
      <w:r>
        <w:separator/>
      </w:r>
    </w:p>
  </w:footnote>
  <w:footnote w:type="continuationSeparator" w:id="0">
    <w:p w:rsidR="00787E44" w:rsidRDefault="00787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B1" w:rsidRDefault="00614FB1">
    <w:pPr>
      <w:pStyle w:val="Header"/>
      <w:jc w:val="right"/>
    </w:pPr>
    <w:r>
      <w:fldChar w:fldCharType="begin"/>
    </w:r>
    <w:r>
      <w:instrText xml:space="preserve"> PAGE   \* MERGEFORMAT </w:instrText>
    </w:r>
    <w:r>
      <w:fldChar w:fldCharType="separate"/>
    </w:r>
    <w:r w:rsidR="009A579C">
      <w:rPr>
        <w:noProof/>
      </w:rPr>
      <w:t>39</w:t>
    </w:r>
    <w:r>
      <w:rPr>
        <w:noProof/>
      </w:rPr>
      <w:fldChar w:fldCharType="end"/>
    </w:r>
  </w:p>
  <w:p w:rsidR="00480D06" w:rsidRDefault="00480D0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52F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4EE873"/>
    <w:lvl w:ilvl="0" w:tplc="6E1ED600">
      <w:start w:val="1"/>
      <w:numFmt w:val="bullet"/>
      <w:lvlText w:val="·"/>
      <w:lvlJc w:val="left"/>
      <w:pPr>
        <w:tabs>
          <w:tab w:val="num" w:pos="567"/>
        </w:tabs>
        <w:ind w:left="56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BB0FC7C">
      <w:start w:val="1"/>
      <w:numFmt w:val="bullet"/>
      <w:lvlText w:val="o"/>
      <w:lvlJc w:val="left"/>
      <w:pPr>
        <w:tabs>
          <w:tab w:val="num" w:pos="1287"/>
        </w:tabs>
        <w:ind w:left="128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EE0A8558">
      <w:start w:val="1"/>
      <w:numFmt w:val="bullet"/>
      <w:lvlText w:val="▪"/>
      <w:lvlJc w:val="left"/>
      <w:pPr>
        <w:tabs>
          <w:tab w:val="num" w:pos="2007"/>
        </w:tabs>
        <w:ind w:left="200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834644C">
      <w:start w:val="1"/>
      <w:numFmt w:val="bullet"/>
      <w:lvlText w:val="·"/>
      <w:lvlJc w:val="left"/>
      <w:pPr>
        <w:tabs>
          <w:tab w:val="num" w:pos="2727"/>
        </w:tabs>
        <w:ind w:left="272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2AC4FD5C">
      <w:start w:val="1"/>
      <w:numFmt w:val="bullet"/>
      <w:lvlText w:val="o"/>
      <w:lvlJc w:val="left"/>
      <w:pPr>
        <w:tabs>
          <w:tab w:val="num" w:pos="3447"/>
        </w:tabs>
        <w:ind w:left="344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D2AF7E2">
      <w:start w:val="1"/>
      <w:numFmt w:val="bullet"/>
      <w:lvlText w:val="▪"/>
      <w:lvlJc w:val="left"/>
      <w:pPr>
        <w:tabs>
          <w:tab w:val="num" w:pos="4167"/>
        </w:tabs>
        <w:ind w:left="416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2A2E977A">
      <w:start w:val="1"/>
      <w:numFmt w:val="bullet"/>
      <w:lvlText w:val="·"/>
      <w:lvlJc w:val="left"/>
      <w:pPr>
        <w:tabs>
          <w:tab w:val="num" w:pos="4887"/>
        </w:tabs>
        <w:ind w:left="488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A280AF60">
      <w:start w:val="1"/>
      <w:numFmt w:val="bullet"/>
      <w:lvlText w:val="o"/>
      <w:lvlJc w:val="left"/>
      <w:pPr>
        <w:tabs>
          <w:tab w:val="num" w:pos="5607"/>
        </w:tabs>
        <w:ind w:left="560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64CC832C">
      <w:start w:val="1"/>
      <w:numFmt w:val="bullet"/>
      <w:lvlText w:val="▪"/>
      <w:lvlJc w:val="left"/>
      <w:pPr>
        <w:tabs>
          <w:tab w:val="num" w:pos="6327"/>
        </w:tabs>
        <w:ind w:left="632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5E4607"/>
    <w:multiLevelType w:val="hybridMultilevel"/>
    <w:tmpl w:val="8776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151F"/>
    <w:multiLevelType w:val="hybridMultilevel"/>
    <w:tmpl w:val="130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2048"/>
    <w:multiLevelType w:val="hybridMultilevel"/>
    <w:tmpl w:val="6484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2123F"/>
    <w:multiLevelType w:val="hybridMultilevel"/>
    <w:tmpl w:val="6BCC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E3FF8"/>
    <w:multiLevelType w:val="hybridMultilevel"/>
    <w:tmpl w:val="7EE6A86C"/>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66729"/>
    <w:multiLevelType w:val="hybridMultilevel"/>
    <w:tmpl w:val="894EE872"/>
    <w:lvl w:ilvl="0" w:tplc="B15C86EC">
      <w:start w:val="1"/>
      <w:numFmt w:val="bullet"/>
      <w:lvlText w:val="·"/>
      <w:lvlJc w:val="left"/>
      <w:pPr>
        <w:tabs>
          <w:tab w:val="num" w:pos="567"/>
        </w:tabs>
        <w:ind w:left="56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C529ECE">
      <w:start w:val="1"/>
      <w:numFmt w:val="bullet"/>
      <w:lvlText w:val="o"/>
      <w:lvlJc w:val="left"/>
      <w:pPr>
        <w:tabs>
          <w:tab w:val="num" w:pos="1287"/>
        </w:tabs>
        <w:ind w:left="128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BB9E462E">
      <w:start w:val="1"/>
      <w:numFmt w:val="bullet"/>
      <w:lvlText w:val="▪"/>
      <w:lvlJc w:val="left"/>
      <w:pPr>
        <w:tabs>
          <w:tab w:val="num" w:pos="2007"/>
        </w:tabs>
        <w:ind w:left="200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866A250">
      <w:start w:val="1"/>
      <w:numFmt w:val="bullet"/>
      <w:lvlText w:val="·"/>
      <w:lvlJc w:val="left"/>
      <w:pPr>
        <w:tabs>
          <w:tab w:val="num" w:pos="2727"/>
        </w:tabs>
        <w:ind w:left="272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77027EA">
      <w:start w:val="1"/>
      <w:numFmt w:val="bullet"/>
      <w:lvlText w:val="o"/>
      <w:lvlJc w:val="left"/>
      <w:pPr>
        <w:tabs>
          <w:tab w:val="num" w:pos="3447"/>
        </w:tabs>
        <w:ind w:left="344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B8CA9EC2">
      <w:start w:val="1"/>
      <w:numFmt w:val="bullet"/>
      <w:lvlText w:val="▪"/>
      <w:lvlJc w:val="left"/>
      <w:pPr>
        <w:tabs>
          <w:tab w:val="num" w:pos="4167"/>
        </w:tabs>
        <w:ind w:left="416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BC831B2">
      <w:start w:val="1"/>
      <w:numFmt w:val="bullet"/>
      <w:lvlText w:val="·"/>
      <w:lvlJc w:val="left"/>
      <w:pPr>
        <w:tabs>
          <w:tab w:val="num" w:pos="4887"/>
        </w:tabs>
        <w:ind w:left="488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D80CCB64">
      <w:start w:val="1"/>
      <w:numFmt w:val="bullet"/>
      <w:lvlText w:val="o"/>
      <w:lvlJc w:val="left"/>
      <w:pPr>
        <w:tabs>
          <w:tab w:val="num" w:pos="5607"/>
        </w:tabs>
        <w:ind w:left="560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5F8CDE30">
      <w:start w:val="1"/>
      <w:numFmt w:val="bullet"/>
      <w:lvlText w:val="▪"/>
      <w:lvlJc w:val="left"/>
      <w:pPr>
        <w:tabs>
          <w:tab w:val="num" w:pos="6327"/>
        </w:tabs>
        <w:ind w:left="632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0002FF3"/>
    <w:multiLevelType w:val="hybridMultilevel"/>
    <w:tmpl w:val="4B74F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35AF8"/>
    <w:multiLevelType w:val="hybridMultilevel"/>
    <w:tmpl w:val="0EAE87A0"/>
    <w:lvl w:ilvl="0" w:tplc="166CB1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4"/>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9D"/>
    <w:rsid w:val="00007A09"/>
    <w:rsid w:val="00033E6F"/>
    <w:rsid w:val="00035DD8"/>
    <w:rsid w:val="00076406"/>
    <w:rsid w:val="000A4818"/>
    <w:rsid w:val="000A4B13"/>
    <w:rsid w:val="000C1950"/>
    <w:rsid w:val="000D1DC7"/>
    <w:rsid w:val="00106EA5"/>
    <w:rsid w:val="001235A5"/>
    <w:rsid w:val="00130B85"/>
    <w:rsid w:val="001468A7"/>
    <w:rsid w:val="0015309A"/>
    <w:rsid w:val="00155C59"/>
    <w:rsid w:val="00192E60"/>
    <w:rsid w:val="001A5204"/>
    <w:rsid w:val="001C5230"/>
    <w:rsid w:val="001D7546"/>
    <w:rsid w:val="00211A3A"/>
    <w:rsid w:val="00235783"/>
    <w:rsid w:val="002663F3"/>
    <w:rsid w:val="00295797"/>
    <w:rsid w:val="002A3C6C"/>
    <w:rsid w:val="002C44A6"/>
    <w:rsid w:val="002E760C"/>
    <w:rsid w:val="002F410B"/>
    <w:rsid w:val="00324ED8"/>
    <w:rsid w:val="00332D2A"/>
    <w:rsid w:val="00337705"/>
    <w:rsid w:val="00372762"/>
    <w:rsid w:val="0039339D"/>
    <w:rsid w:val="003B0459"/>
    <w:rsid w:val="003C1565"/>
    <w:rsid w:val="003E6157"/>
    <w:rsid w:val="003F1B39"/>
    <w:rsid w:val="00437131"/>
    <w:rsid w:val="0044616C"/>
    <w:rsid w:val="00451C07"/>
    <w:rsid w:val="00480D06"/>
    <w:rsid w:val="004B7A99"/>
    <w:rsid w:val="004E4200"/>
    <w:rsid w:val="00512B82"/>
    <w:rsid w:val="00524E7E"/>
    <w:rsid w:val="00527885"/>
    <w:rsid w:val="00555245"/>
    <w:rsid w:val="0055734E"/>
    <w:rsid w:val="0057043E"/>
    <w:rsid w:val="00593FC3"/>
    <w:rsid w:val="005A17ED"/>
    <w:rsid w:val="005E39E7"/>
    <w:rsid w:val="005F4739"/>
    <w:rsid w:val="006045E9"/>
    <w:rsid w:val="00613AB5"/>
    <w:rsid w:val="00614FB1"/>
    <w:rsid w:val="006231B5"/>
    <w:rsid w:val="006279C7"/>
    <w:rsid w:val="00642AED"/>
    <w:rsid w:val="0064354D"/>
    <w:rsid w:val="00660209"/>
    <w:rsid w:val="00663BE7"/>
    <w:rsid w:val="0067509C"/>
    <w:rsid w:val="006A7971"/>
    <w:rsid w:val="006B6059"/>
    <w:rsid w:val="006F6F9C"/>
    <w:rsid w:val="007101E8"/>
    <w:rsid w:val="00727A6C"/>
    <w:rsid w:val="00733A9D"/>
    <w:rsid w:val="00737D8C"/>
    <w:rsid w:val="00786ECA"/>
    <w:rsid w:val="00787E44"/>
    <w:rsid w:val="007A57AE"/>
    <w:rsid w:val="007B3C04"/>
    <w:rsid w:val="00813A5B"/>
    <w:rsid w:val="008256CD"/>
    <w:rsid w:val="008332FE"/>
    <w:rsid w:val="00847A04"/>
    <w:rsid w:val="008552B1"/>
    <w:rsid w:val="008679D5"/>
    <w:rsid w:val="008778FC"/>
    <w:rsid w:val="008A6C72"/>
    <w:rsid w:val="00902495"/>
    <w:rsid w:val="00907282"/>
    <w:rsid w:val="00907979"/>
    <w:rsid w:val="00911867"/>
    <w:rsid w:val="009366E2"/>
    <w:rsid w:val="00962564"/>
    <w:rsid w:val="00964F6B"/>
    <w:rsid w:val="009806E0"/>
    <w:rsid w:val="009A579C"/>
    <w:rsid w:val="009C00C2"/>
    <w:rsid w:val="009D5B18"/>
    <w:rsid w:val="00A21B4C"/>
    <w:rsid w:val="00A2212F"/>
    <w:rsid w:val="00A77884"/>
    <w:rsid w:val="00A96DBB"/>
    <w:rsid w:val="00AB0ABF"/>
    <w:rsid w:val="00B27080"/>
    <w:rsid w:val="00B31581"/>
    <w:rsid w:val="00B372D3"/>
    <w:rsid w:val="00B44929"/>
    <w:rsid w:val="00B45E21"/>
    <w:rsid w:val="00B53F81"/>
    <w:rsid w:val="00B67F42"/>
    <w:rsid w:val="00B702E9"/>
    <w:rsid w:val="00BE35E4"/>
    <w:rsid w:val="00C166A8"/>
    <w:rsid w:val="00C32442"/>
    <w:rsid w:val="00C3669E"/>
    <w:rsid w:val="00C4003F"/>
    <w:rsid w:val="00C44C8A"/>
    <w:rsid w:val="00C52165"/>
    <w:rsid w:val="00C827C3"/>
    <w:rsid w:val="00C82F3C"/>
    <w:rsid w:val="00C952CE"/>
    <w:rsid w:val="00CA42AF"/>
    <w:rsid w:val="00CC1482"/>
    <w:rsid w:val="00CC1D00"/>
    <w:rsid w:val="00D36BF7"/>
    <w:rsid w:val="00D374A5"/>
    <w:rsid w:val="00D66D37"/>
    <w:rsid w:val="00D71927"/>
    <w:rsid w:val="00DA14F4"/>
    <w:rsid w:val="00DD4D4D"/>
    <w:rsid w:val="00DE1437"/>
    <w:rsid w:val="00E24FCE"/>
    <w:rsid w:val="00E50A8C"/>
    <w:rsid w:val="00E55C2F"/>
    <w:rsid w:val="00E7384B"/>
    <w:rsid w:val="00E82F19"/>
    <w:rsid w:val="00E854B4"/>
    <w:rsid w:val="00E93FA2"/>
    <w:rsid w:val="00E946BF"/>
    <w:rsid w:val="00E972CB"/>
    <w:rsid w:val="00EA758B"/>
    <w:rsid w:val="00EB2A43"/>
    <w:rsid w:val="00EF1CBF"/>
    <w:rsid w:val="00F7060C"/>
    <w:rsid w:val="00F805FB"/>
    <w:rsid w:val="00F835F4"/>
    <w:rsid w:val="00F90771"/>
    <w:rsid w:val="00F91F75"/>
    <w:rsid w:val="00F958CA"/>
    <w:rsid w:val="00FA23EF"/>
    <w:rsid w:val="00FA299A"/>
    <w:rsid w:val="00FB1512"/>
    <w:rsid w:val="00FB71EB"/>
    <w:rsid w:val="00FB7D72"/>
    <w:rsid w:val="00FC26AE"/>
    <w:rsid w:val="00FD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14:docId w14:val="6CB151DF"/>
  <w14:defaultImageDpi w14:val="300"/>
  <w15:chartTrackingRefBased/>
  <w15:docId w15:val="{8672C7B0-AB80-4A40-B261-4254371A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lang w:val="en-US" w:eastAsia="en-US"/>
    </w:rPr>
  </w:style>
  <w:style w:type="paragraph" w:customStyle="1" w:styleId="Body">
    <w:name w:val="Body"/>
    <w:pPr>
      <w:spacing w:after="200" w:line="276" w:lineRule="auto"/>
    </w:pPr>
    <w:rPr>
      <w:rFonts w:ascii="Calibri" w:eastAsia="Arial Unicode MS" w:hAnsi="Calibri" w:cs="Arial Unicode MS"/>
      <w:color w:val="000000"/>
      <w:sz w:val="22"/>
      <w:szCs w:val="22"/>
      <w:u w:color="000000"/>
      <w:lang w:val="en-US" w:eastAsia="en-US"/>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rPr>
      <w:rFonts w:ascii="Times New Roman" w:eastAsia="Times New Roman" w:hAnsi="Times New Roman" w:cs="Times New Roman"/>
      <w:sz w:val="24"/>
      <w:szCs w:val="24"/>
    </w:rPr>
  </w:style>
  <w:style w:type="paragraph" w:customStyle="1" w:styleId="EndnoteText1">
    <w:name w:val="Endnote Text1"/>
    <w:rPr>
      <w:rFonts w:ascii="Calibri" w:eastAsia="Calibri" w:hAnsi="Calibri" w:cs="Calibri"/>
      <w:color w:val="000000"/>
      <w:u w:color="000000"/>
      <w:lang w:val="en-US" w:eastAsia="en-US"/>
    </w:rPr>
  </w:style>
  <w:style w:type="paragraph" w:customStyle="1" w:styleId="Default">
    <w:name w:val="Default"/>
    <w:rPr>
      <w:rFonts w:ascii="Helvetica Neue" w:eastAsia="Helvetica Neue" w:hAnsi="Helvetica Neue" w:cs="Helvetica Neue"/>
      <w:color w:val="000000"/>
      <w:sz w:val="22"/>
      <w:szCs w:val="22"/>
      <w:lang w:val="en-US" w:eastAsia="en-US"/>
    </w:rPr>
  </w:style>
  <w:style w:type="paragraph" w:customStyle="1" w:styleId="MediumGrid1-Accent21">
    <w:name w:val="Medium Grid 1 - Accent 21"/>
    <w:qFormat/>
    <w:pPr>
      <w:spacing w:after="160" w:line="259" w:lineRule="auto"/>
      <w:ind w:left="720"/>
    </w:pPr>
    <w:rPr>
      <w:rFonts w:ascii="Calibri" w:eastAsia="Arial Unicode MS" w:hAnsi="Calibri" w:cs="Arial Unicode MS"/>
      <w:color w:val="000000"/>
      <w:sz w:val="22"/>
      <w:szCs w:val="22"/>
      <w:u w:color="000000"/>
      <w:lang w:val="en-US" w:eastAsia="en-US"/>
    </w:rPr>
  </w:style>
  <w:style w:type="paragraph" w:styleId="BalloonText">
    <w:name w:val="Balloon Text"/>
    <w:basedOn w:val="Normal"/>
    <w:link w:val="BalloonTextChar"/>
    <w:uiPriority w:val="99"/>
    <w:locked/>
    <w:rsid w:val="0039339D"/>
    <w:rPr>
      <w:rFonts w:ascii="Lucida Grande" w:hAnsi="Lucida Grande" w:cs="Lucida Grande"/>
      <w:sz w:val="18"/>
      <w:szCs w:val="18"/>
    </w:rPr>
  </w:style>
  <w:style w:type="character" w:customStyle="1" w:styleId="BalloonTextChar">
    <w:name w:val="Balloon Text Char"/>
    <w:link w:val="BalloonText"/>
    <w:uiPriority w:val="99"/>
    <w:rsid w:val="0039339D"/>
    <w:rPr>
      <w:rFonts w:ascii="Lucida Grande" w:hAnsi="Lucida Grande" w:cs="Lucida Grande"/>
      <w:sz w:val="18"/>
      <w:szCs w:val="18"/>
    </w:rPr>
  </w:style>
  <w:style w:type="character" w:styleId="CommentReference">
    <w:name w:val="annotation reference"/>
    <w:uiPriority w:val="99"/>
    <w:locked/>
    <w:rsid w:val="00337705"/>
    <w:rPr>
      <w:sz w:val="18"/>
      <w:szCs w:val="18"/>
    </w:rPr>
  </w:style>
  <w:style w:type="paragraph" w:styleId="CommentText">
    <w:name w:val="annotation text"/>
    <w:basedOn w:val="Normal"/>
    <w:link w:val="CommentTextChar"/>
    <w:uiPriority w:val="99"/>
    <w:locked/>
    <w:rsid w:val="00337705"/>
  </w:style>
  <w:style w:type="character" w:customStyle="1" w:styleId="CommentTextChar">
    <w:name w:val="Comment Text Char"/>
    <w:link w:val="CommentText"/>
    <w:uiPriority w:val="99"/>
    <w:rsid w:val="00337705"/>
    <w:rPr>
      <w:sz w:val="24"/>
      <w:szCs w:val="24"/>
    </w:rPr>
  </w:style>
  <w:style w:type="paragraph" w:styleId="CommentSubject">
    <w:name w:val="annotation subject"/>
    <w:basedOn w:val="CommentText"/>
    <w:next w:val="CommentText"/>
    <w:link w:val="CommentSubjectChar"/>
    <w:uiPriority w:val="99"/>
    <w:locked/>
    <w:rsid w:val="00337705"/>
    <w:rPr>
      <w:b/>
      <w:bCs/>
      <w:sz w:val="20"/>
      <w:szCs w:val="20"/>
    </w:rPr>
  </w:style>
  <w:style w:type="character" w:customStyle="1" w:styleId="CommentSubjectChar">
    <w:name w:val="Comment Subject Char"/>
    <w:link w:val="CommentSubject"/>
    <w:uiPriority w:val="99"/>
    <w:rsid w:val="00337705"/>
    <w:rPr>
      <w:b/>
      <w:bCs/>
      <w:sz w:val="24"/>
      <w:szCs w:val="24"/>
    </w:rPr>
  </w:style>
  <w:style w:type="paragraph" w:customStyle="1" w:styleId="ydpc2abba0dyiv3885100275msonormal">
    <w:name w:val="ydpc2abba0dyiv3885100275msonormal"/>
    <w:basedOn w:val="Normal"/>
    <w:rsid w:val="00155C59"/>
    <w:pPr>
      <w:spacing w:before="100" w:beforeAutospacing="1" w:after="100" w:afterAutospacing="1"/>
    </w:pPr>
    <w:rPr>
      <w:lang w:val="en-GB" w:eastAsia="en-GB"/>
    </w:rPr>
  </w:style>
  <w:style w:type="character" w:customStyle="1" w:styleId="ydpc2abba0dyiv3885100275">
    <w:name w:val="ydpc2abba0dyiv3885100275"/>
    <w:rsid w:val="00155C59"/>
  </w:style>
  <w:style w:type="paragraph" w:styleId="EndnoteText">
    <w:name w:val="endnote text"/>
    <w:basedOn w:val="Normal"/>
    <w:link w:val="EndnoteTextChar"/>
    <w:uiPriority w:val="99"/>
    <w:locked/>
    <w:rsid w:val="00555245"/>
    <w:rPr>
      <w:sz w:val="20"/>
      <w:szCs w:val="20"/>
    </w:rPr>
  </w:style>
  <w:style w:type="character" w:customStyle="1" w:styleId="EndnoteTextChar">
    <w:name w:val="Endnote Text Char"/>
    <w:link w:val="EndnoteText"/>
    <w:uiPriority w:val="99"/>
    <w:rsid w:val="00555245"/>
    <w:rPr>
      <w:lang w:val="en-US" w:eastAsia="en-US"/>
    </w:rPr>
  </w:style>
  <w:style w:type="character" w:styleId="EndnoteReference">
    <w:name w:val="endnote reference"/>
    <w:uiPriority w:val="99"/>
    <w:locked/>
    <w:rsid w:val="00555245"/>
    <w:rPr>
      <w:vertAlign w:val="superscript"/>
    </w:rPr>
  </w:style>
  <w:style w:type="paragraph" w:customStyle="1" w:styleId="EndNoteBibliography">
    <w:name w:val="EndNote Bibliography"/>
    <w:basedOn w:val="Normal"/>
    <w:link w:val="EndNoteBibliographyChar"/>
    <w:uiPriority w:val="99"/>
    <w:rsid w:val="001C5230"/>
    <w:pPr>
      <w:spacing w:after="200"/>
      <w:jc w:val="both"/>
    </w:pPr>
    <w:rPr>
      <w:rFonts w:eastAsia="MS Mincho"/>
      <w:lang w:eastAsia="ja-JP"/>
    </w:rPr>
  </w:style>
  <w:style w:type="character" w:customStyle="1" w:styleId="EndNoteBibliographyChar">
    <w:name w:val="EndNote Bibliography Char"/>
    <w:link w:val="EndNoteBibliography"/>
    <w:uiPriority w:val="99"/>
    <w:locked/>
    <w:rsid w:val="001C5230"/>
    <w:rPr>
      <w:rFonts w:eastAsia="MS Mincho"/>
      <w:sz w:val="24"/>
      <w:szCs w:val="24"/>
      <w:lang w:val="en-US" w:eastAsia="ja-JP"/>
    </w:rPr>
  </w:style>
  <w:style w:type="paragraph" w:styleId="ListParagraph">
    <w:name w:val="List Paragraph"/>
    <w:basedOn w:val="Normal"/>
    <w:uiPriority w:val="34"/>
    <w:qFormat/>
    <w:rsid w:val="00DD4D4D"/>
    <w:pPr>
      <w:ind w:left="720"/>
      <w:contextualSpacing/>
    </w:pPr>
  </w:style>
  <w:style w:type="paragraph" w:styleId="Header">
    <w:name w:val="header"/>
    <w:basedOn w:val="Normal"/>
    <w:link w:val="HeaderChar"/>
    <w:uiPriority w:val="99"/>
    <w:locked/>
    <w:rsid w:val="00614FB1"/>
    <w:pPr>
      <w:tabs>
        <w:tab w:val="center" w:pos="4513"/>
        <w:tab w:val="right" w:pos="9026"/>
      </w:tabs>
    </w:pPr>
  </w:style>
  <w:style w:type="character" w:customStyle="1" w:styleId="HeaderChar">
    <w:name w:val="Header Char"/>
    <w:link w:val="Header"/>
    <w:uiPriority w:val="99"/>
    <w:rsid w:val="00614FB1"/>
    <w:rPr>
      <w:sz w:val="24"/>
      <w:szCs w:val="24"/>
      <w:lang w:val="en-US" w:eastAsia="en-US"/>
    </w:rPr>
  </w:style>
  <w:style w:type="paragraph" w:styleId="Footer">
    <w:name w:val="footer"/>
    <w:basedOn w:val="Normal"/>
    <w:link w:val="FooterChar"/>
    <w:uiPriority w:val="99"/>
    <w:locked/>
    <w:rsid w:val="00614FB1"/>
    <w:pPr>
      <w:tabs>
        <w:tab w:val="center" w:pos="4513"/>
        <w:tab w:val="right" w:pos="9026"/>
      </w:tabs>
    </w:pPr>
  </w:style>
  <w:style w:type="character" w:customStyle="1" w:styleId="FooterChar">
    <w:name w:val="Footer Char"/>
    <w:link w:val="Footer"/>
    <w:uiPriority w:val="99"/>
    <w:rsid w:val="00614FB1"/>
    <w:rPr>
      <w:sz w:val="24"/>
      <w:szCs w:val="24"/>
      <w:lang w:val="en-US" w:eastAsia="en-US"/>
    </w:rPr>
  </w:style>
  <w:style w:type="table" w:styleId="TableGrid">
    <w:name w:val="Table Grid"/>
    <w:basedOn w:val="TableNormal"/>
    <w:uiPriority w:val="39"/>
    <w:locked/>
    <w:rsid w:val="009A57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9A579C"/>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locked/>
    <w:rsid w:val="009A579C"/>
    <w:rPr>
      <w:color w:val="954F72" w:themeColor="followedHyperlink"/>
      <w:u w:val="single"/>
    </w:rPr>
  </w:style>
  <w:style w:type="paragraph" w:customStyle="1" w:styleId="msonormal0">
    <w:name w:val="msonormal"/>
    <w:basedOn w:val="Normal"/>
    <w:rsid w:val="009A579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267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masmamas1@yahoo.co.uk" TargetMode="External"/><Relationship Id="rId13" Type="http://schemas.openxmlformats.org/officeDocument/2006/relationships/image" Target="media/image2.t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up-us.ahrq.gov/db/vars/cm_obese/nisnote.jsp" TargetMode="External"/><Relationship Id="rId5" Type="http://schemas.openxmlformats.org/officeDocument/2006/relationships/webSettings" Target="webSettings.xml"/><Relationship Id="rId15" Type="http://schemas.openxmlformats.org/officeDocument/2006/relationships/image" Target="media/image4.tif"/><Relationship Id="rId10" Type="http://schemas.openxmlformats.org/officeDocument/2006/relationships/hyperlink" Target="https://www.hcup-us.ahrq.gov/toolssoftware/comorbidity/comorbidity.j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cup-us.ahrq.gov/nrdoverview.jsp" TargetMode="External"/><Relationship Id="rId14"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CE78E-E878-4CF6-8241-30563CB5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7138</Words>
  <Characters>40691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47734</CharactersWithSpaces>
  <SharedDoc>false</SharedDoc>
  <HLinks>
    <vt:vector size="18" baseType="variant">
      <vt:variant>
        <vt:i4>6619184</vt:i4>
      </vt:variant>
      <vt:variant>
        <vt:i4>6</vt:i4>
      </vt:variant>
      <vt:variant>
        <vt:i4>0</vt:i4>
      </vt:variant>
      <vt:variant>
        <vt:i4>5</vt:i4>
      </vt:variant>
      <vt:variant>
        <vt:lpwstr>https://www.hcup-us.ahrq.gov/toolssoftware/comorbidity/comorbidity.jsp</vt:lpwstr>
      </vt:variant>
      <vt:variant>
        <vt:lpwstr/>
      </vt:variant>
      <vt:variant>
        <vt:i4>131144</vt:i4>
      </vt:variant>
      <vt:variant>
        <vt:i4>3</vt:i4>
      </vt:variant>
      <vt:variant>
        <vt:i4>0</vt:i4>
      </vt:variant>
      <vt:variant>
        <vt:i4>5</vt:i4>
      </vt:variant>
      <vt:variant>
        <vt:lpwstr>https://www.hcup-us.ahrq.gov/nrdoverview.jsp</vt:lpwstr>
      </vt:variant>
      <vt:variant>
        <vt:lpwstr/>
      </vt:variant>
      <vt:variant>
        <vt:i4>7864387</vt:i4>
      </vt:variant>
      <vt:variant>
        <vt:i4>0</vt:i4>
      </vt:variant>
      <vt:variant>
        <vt:i4>0</vt:i4>
      </vt:variant>
      <vt:variant>
        <vt:i4>5</vt:i4>
      </vt:variant>
      <vt:variant>
        <vt:lpwstr>mailto:mamasmamas1@yahoo.co.uk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 Park</dc:creator>
  <cp:keywords/>
  <cp:lastModifiedBy>hfk44</cp:lastModifiedBy>
  <cp:revision>11</cp:revision>
  <dcterms:created xsi:type="dcterms:W3CDTF">2020-01-28T15:24:00Z</dcterms:created>
  <dcterms:modified xsi:type="dcterms:W3CDTF">2020-02-10T21:28:00Z</dcterms:modified>
</cp:coreProperties>
</file>