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5C46C" w14:textId="77777777" w:rsidR="009B70BD" w:rsidRDefault="009B70BD" w:rsidP="009B70BD">
      <w:pPr>
        <w:jc w:val="center"/>
      </w:pPr>
      <w:r w:rsidRPr="00937B4E">
        <w:rPr>
          <w:rStyle w:val="Heading1Char"/>
          <w:sz w:val="36"/>
          <w:szCs w:val="36"/>
        </w:rPr>
        <w:t>Are all online hotel prices created dynamic? An empirical assessment</w:t>
      </w:r>
      <w:r>
        <w:t>.</w:t>
      </w:r>
    </w:p>
    <w:p w14:paraId="0A4D2FD1" w14:textId="77777777" w:rsidR="009B70BD" w:rsidRPr="009C3A86" w:rsidRDefault="009B70BD" w:rsidP="009B70BD">
      <w:pPr>
        <w:rPr>
          <w:color w:val="000000"/>
          <w:lang w:val="en-US"/>
        </w:rPr>
      </w:pPr>
    </w:p>
    <w:p w14:paraId="4E300A77" w14:textId="77777777" w:rsidR="009B70BD" w:rsidRDefault="009B70BD" w:rsidP="009B70BD">
      <w:pPr>
        <w:autoSpaceDE w:val="0"/>
        <w:autoSpaceDN w:val="0"/>
        <w:adjustRightInd w:val="0"/>
        <w:spacing w:line="240" w:lineRule="auto"/>
        <w:ind w:left="-567" w:right="-227"/>
        <w:rPr>
          <w:i/>
          <w:iCs/>
          <w:color w:val="000000"/>
          <w:lang w:val="en-US"/>
        </w:rPr>
      </w:pPr>
      <w:r w:rsidRPr="009C3A86">
        <w:rPr>
          <w:b/>
          <w:color w:val="000000"/>
          <w:sz w:val="28"/>
          <w:szCs w:val="28"/>
          <w:lang w:val="en-US"/>
        </w:rPr>
        <w:t>Giuseppe Melis</w:t>
      </w:r>
      <w:r w:rsidRPr="009C3A86">
        <w:rPr>
          <w:color w:val="000000"/>
          <w:lang w:val="en-US"/>
        </w:rPr>
        <w:tab/>
      </w:r>
      <w:r w:rsidRPr="009C3A86">
        <w:rPr>
          <w:color w:val="000000"/>
          <w:lang w:val="en-US"/>
        </w:rPr>
        <w:tab/>
      </w:r>
      <w:r w:rsidRPr="009C3A86">
        <w:rPr>
          <w:color w:val="000000"/>
          <w:lang w:val="en-US"/>
        </w:rPr>
        <w:tab/>
      </w:r>
      <w:r w:rsidRPr="009C3A86">
        <w:rPr>
          <w:color w:val="000000"/>
          <w:lang w:val="en-US"/>
        </w:rPr>
        <w:tab/>
      </w:r>
      <w:r w:rsidRPr="00E75760">
        <w:rPr>
          <w:b/>
          <w:color w:val="000000"/>
          <w:sz w:val="28"/>
          <w:szCs w:val="28"/>
          <w:lang w:val="en-US"/>
        </w:rPr>
        <w:t>Claudio A. Piga</w:t>
      </w:r>
      <w:r w:rsidRPr="00E75760">
        <w:rPr>
          <w:color w:val="000000"/>
          <w:vertAlign w:val="superscript"/>
          <w:lang w:val="en-US"/>
        </w:rPr>
        <w:t>*</w:t>
      </w:r>
      <w:r>
        <w:rPr>
          <w:color w:val="000000"/>
          <w:lang w:val="en-US"/>
        </w:rPr>
        <w:t xml:space="preserve"> </w:t>
      </w:r>
      <w:r>
        <w:rPr>
          <w:i/>
          <w:iCs/>
          <w:color w:val="000000"/>
          <w:lang w:val="en-US"/>
        </w:rPr>
        <w:t>(</w:t>
      </w:r>
      <w:r w:rsidRPr="00F433F9">
        <w:rPr>
          <w:i/>
          <w:iCs/>
          <w:color w:val="000000"/>
          <w:sz w:val="20"/>
          <w:szCs w:val="20"/>
          <w:lang w:val="en-US"/>
        </w:rPr>
        <w:t>corresponding author</w:t>
      </w:r>
      <w:r>
        <w:rPr>
          <w:i/>
          <w:iCs/>
          <w:color w:val="000000"/>
          <w:lang w:val="en-US"/>
        </w:rPr>
        <w:t>)</w:t>
      </w:r>
    </w:p>
    <w:p w14:paraId="240E5125" w14:textId="77777777" w:rsidR="009B70BD" w:rsidRPr="00F433F9" w:rsidRDefault="009B70BD" w:rsidP="009B70BD">
      <w:pPr>
        <w:autoSpaceDE w:val="0"/>
        <w:autoSpaceDN w:val="0"/>
        <w:adjustRightInd w:val="0"/>
        <w:spacing w:line="240" w:lineRule="auto"/>
        <w:ind w:left="-567" w:right="-227"/>
        <w:rPr>
          <w:color w:val="000000"/>
          <w:sz w:val="20"/>
          <w:szCs w:val="20"/>
          <w:lang w:val="en-US"/>
        </w:rPr>
      </w:pPr>
      <w:r w:rsidRPr="00F433F9">
        <w:rPr>
          <w:color w:val="000000"/>
          <w:sz w:val="20"/>
          <w:szCs w:val="20"/>
          <w:lang w:val="en-US"/>
        </w:rPr>
        <w:t>Department of Economics and Business</w:t>
      </w:r>
      <w:r w:rsidRPr="00F433F9">
        <w:rPr>
          <w:color w:val="000000"/>
          <w:sz w:val="20"/>
          <w:szCs w:val="20"/>
          <w:lang w:val="en-US"/>
        </w:rPr>
        <w:tab/>
      </w:r>
      <w:r>
        <w:rPr>
          <w:color w:val="000000"/>
          <w:sz w:val="20"/>
          <w:szCs w:val="20"/>
          <w:lang w:val="en-US"/>
        </w:rPr>
        <w:tab/>
      </w:r>
      <w:r w:rsidRPr="00F433F9">
        <w:rPr>
          <w:color w:val="000000"/>
          <w:sz w:val="20"/>
          <w:szCs w:val="20"/>
          <w:lang w:val="en-US"/>
        </w:rPr>
        <w:t>Keele Management School,</w:t>
      </w:r>
    </w:p>
    <w:p w14:paraId="544BD115" w14:textId="77777777" w:rsidR="009B70BD" w:rsidRPr="00F433F9" w:rsidRDefault="009B70BD" w:rsidP="009B70BD">
      <w:pPr>
        <w:autoSpaceDE w:val="0"/>
        <w:autoSpaceDN w:val="0"/>
        <w:adjustRightInd w:val="0"/>
        <w:spacing w:line="240" w:lineRule="auto"/>
        <w:ind w:left="-567" w:right="-227"/>
        <w:rPr>
          <w:color w:val="000000"/>
          <w:sz w:val="20"/>
          <w:szCs w:val="20"/>
          <w:lang w:val="it-IT"/>
        </w:rPr>
      </w:pPr>
      <w:r w:rsidRPr="00F433F9">
        <w:rPr>
          <w:color w:val="000000"/>
          <w:sz w:val="20"/>
          <w:szCs w:val="20"/>
          <w:lang w:val="it-IT"/>
        </w:rPr>
        <w:t xml:space="preserve">University of Cagliari </w:t>
      </w:r>
      <w:r>
        <w:rPr>
          <w:color w:val="000000"/>
          <w:sz w:val="20"/>
          <w:szCs w:val="20"/>
          <w:lang w:val="it-IT"/>
        </w:rPr>
        <w:tab/>
      </w:r>
      <w:r>
        <w:rPr>
          <w:color w:val="000000"/>
          <w:sz w:val="20"/>
          <w:szCs w:val="20"/>
          <w:lang w:val="it-IT"/>
        </w:rPr>
        <w:tab/>
      </w:r>
      <w:r>
        <w:rPr>
          <w:color w:val="000000"/>
          <w:sz w:val="20"/>
          <w:szCs w:val="20"/>
          <w:lang w:val="it-IT"/>
        </w:rPr>
        <w:tab/>
      </w:r>
      <w:r>
        <w:rPr>
          <w:color w:val="000000"/>
          <w:sz w:val="20"/>
          <w:szCs w:val="20"/>
          <w:lang w:val="it-IT"/>
        </w:rPr>
        <w:tab/>
      </w:r>
      <w:r w:rsidRPr="009C3A86">
        <w:rPr>
          <w:color w:val="000000"/>
          <w:sz w:val="20"/>
          <w:szCs w:val="20"/>
          <w:lang w:val="it-IT"/>
        </w:rPr>
        <w:t>Keele University</w:t>
      </w:r>
    </w:p>
    <w:p w14:paraId="7BA0E7E5" w14:textId="77777777" w:rsidR="009B70BD" w:rsidRPr="00F433F9" w:rsidRDefault="009B70BD" w:rsidP="009B70BD">
      <w:pPr>
        <w:autoSpaceDE w:val="0"/>
        <w:autoSpaceDN w:val="0"/>
        <w:adjustRightInd w:val="0"/>
        <w:spacing w:line="240" w:lineRule="auto"/>
        <w:ind w:left="-567" w:right="-227"/>
        <w:rPr>
          <w:color w:val="000000"/>
          <w:sz w:val="20"/>
          <w:szCs w:val="20"/>
          <w:lang w:val="en-US"/>
        </w:rPr>
      </w:pPr>
      <w:r w:rsidRPr="00F433F9">
        <w:rPr>
          <w:color w:val="000000"/>
          <w:sz w:val="20"/>
          <w:szCs w:val="20"/>
          <w:lang w:val="it-IT"/>
        </w:rPr>
        <w:t>Viale Sant’Ignazio, 09123 Cagliari (Italy).</w:t>
      </w:r>
      <w:r>
        <w:rPr>
          <w:color w:val="000000"/>
          <w:sz w:val="20"/>
          <w:szCs w:val="20"/>
          <w:lang w:val="it-IT"/>
        </w:rPr>
        <w:tab/>
      </w:r>
      <w:r>
        <w:rPr>
          <w:color w:val="000000"/>
          <w:sz w:val="20"/>
          <w:szCs w:val="20"/>
          <w:lang w:val="it-IT"/>
        </w:rPr>
        <w:tab/>
      </w:r>
      <w:r w:rsidRPr="00F433F9">
        <w:rPr>
          <w:color w:val="000000"/>
          <w:sz w:val="20"/>
          <w:szCs w:val="20"/>
          <w:lang w:val="en-US"/>
        </w:rPr>
        <w:t>Keele</w:t>
      </w:r>
      <w:r>
        <w:rPr>
          <w:color w:val="000000"/>
          <w:sz w:val="20"/>
          <w:szCs w:val="20"/>
          <w:lang w:val="en-US"/>
        </w:rPr>
        <w:t xml:space="preserve">, </w:t>
      </w:r>
      <w:r w:rsidRPr="00F433F9">
        <w:rPr>
          <w:color w:val="000000"/>
          <w:sz w:val="20"/>
          <w:szCs w:val="20"/>
          <w:lang w:val="en-US"/>
        </w:rPr>
        <w:t>Staffordshire, ST5 5BG (United Kingdom)</w:t>
      </w:r>
    </w:p>
    <w:p w14:paraId="66ED3127" w14:textId="77777777" w:rsidR="009B70BD" w:rsidRPr="00F433F9" w:rsidRDefault="009B70BD" w:rsidP="009B70BD">
      <w:pPr>
        <w:autoSpaceDE w:val="0"/>
        <w:autoSpaceDN w:val="0"/>
        <w:adjustRightInd w:val="0"/>
        <w:spacing w:after="120" w:line="240" w:lineRule="auto"/>
        <w:ind w:left="-567" w:right="-227"/>
        <w:rPr>
          <w:color w:val="000000"/>
          <w:sz w:val="20"/>
          <w:szCs w:val="20"/>
          <w:lang w:val="en-US"/>
        </w:rPr>
      </w:pPr>
      <w:hyperlink r:id="rId8" w:history="1">
        <w:r w:rsidRPr="00F433F9">
          <w:rPr>
            <w:rStyle w:val="Hyperlink"/>
            <w:sz w:val="20"/>
            <w:szCs w:val="20"/>
            <w:lang w:val="en-US"/>
          </w:rPr>
          <w:t>gemelis@unica.it</w:t>
        </w:r>
      </w:hyperlink>
      <w:r w:rsidRPr="00F433F9">
        <w:rPr>
          <w:color w:val="000000"/>
          <w:sz w:val="20"/>
          <w:szCs w:val="20"/>
          <w:lang w:val="en-US"/>
        </w:rPr>
        <w:t xml:space="preserve"> </w:t>
      </w:r>
      <w:r>
        <w:rPr>
          <w:color w:val="000000"/>
          <w:sz w:val="20"/>
          <w:szCs w:val="20"/>
          <w:lang w:val="en-US"/>
        </w:rPr>
        <w:tab/>
      </w:r>
      <w:r>
        <w:rPr>
          <w:color w:val="000000"/>
          <w:sz w:val="20"/>
          <w:szCs w:val="20"/>
          <w:lang w:val="en-US"/>
        </w:rPr>
        <w:tab/>
      </w:r>
      <w:r>
        <w:rPr>
          <w:color w:val="000000"/>
          <w:sz w:val="20"/>
          <w:szCs w:val="20"/>
          <w:lang w:val="en-US"/>
        </w:rPr>
        <w:tab/>
      </w:r>
      <w:r>
        <w:rPr>
          <w:color w:val="000000"/>
          <w:sz w:val="20"/>
          <w:szCs w:val="20"/>
          <w:lang w:val="en-US"/>
        </w:rPr>
        <w:tab/>
        <w:t>c.piga@keele.ac.uk</w:t>
      </w:r>
    </w:p>
    <w:p w14:paraId="348393D7" w14:textId="77777777" w:rsidR="009B70BD" w:rsidRDefault="009B70BD" w:rsidP="009B70BD">
      <w:pPr>
        <w:autoSpaceDE w:val="0"/>
        <w:autoSpaceDN w:val="0"/>
        <w:adjustRightInd w:val="0"/>
        <w:spacing w:line="240" w:lineRule="auto"/>
        <w:ind w:right="34"/>
        <w:rPr>
          <w:b/>
          <w:bCs/>
          <w:color w:val="000000"/>
        </w:rPr>
      </w:pPr>
    </w:p>
    <w:p w14:paraId="36CB5D72" w14:textId="77777777" w:rsidR="009B70BD" w:rsidRDefault="009B70BD" w:rsidP="009B70BD">
      <w:pPr>
        <w:autoSpaceDE w:val="0"/>
        <w:autoSpaceDN w:val="0"/>
        <w:adjustRightInd w:val="0"/>
        <w:spacing w:line="240" w:lineRule="auto"/>
        <w:ind w:right="34"/>
        <w:rPr>
          <w:b/>
          <w:bCs/>
          <w:color w:val="000000"/>
        </w:rPr>
      </w:pPr>
      <w:r>
        <w:rPr>
          <w:b/>
          <w:bCs/>
          <w:color w:val="000000"/>
        </w:rPr>
        <w:t xml:space="preserve">Abstract: </w:t>
      </w:r>
    </w:p>
    <w:p w14:paraId="32CCBD0D" w14:textId="77777777" w:rsidR="009B70BD" w:rsidRDefault="009B70BD" w:rsidP="009B70BD">
      <w:pPr>
        <w:autoSpaceDE w:val="0"/>
        <w:autoSpaceDN w:val="0"/>
        <w:adjustRightInd w:val="0"/>
        <w:spacing w:line="240" w:lineRule="auto"/>
        <w:ind w:right="34"/>
        <w:rPr>
          <w:b/>
          <w:bCs/>
          <w:color w:val="000000"/>
        </w:rPr>
      </w:pPr>
      <w:r>
        <w:rPr>
          <w:lang w:val="en-US"/>
        </w:rPr>
        <w:t>Understanding how tourist firms set their online prices is important given their growing reliance on Online Travel Agencies (OTA). The article investigates whether the narrative of a pervasive presence of dynamic pricing provides a realistic description of hotels’ online pricing behavior and thus challenges the view that dynamic pricing should be considered the prevailing norm for the industry. The evidence suggests a heterogeneous attitude across hotels, with uniform pricing being more widespread in most hotels of our sample, namely, the 3-star or less, while dynamic pricing is more likely applied in higher quality hotels</w:t>
      </w:r>
    </w:p>
    <w:p w14:paraId="737D5F01" w14:textId="77777777" w:rsidR="009B70BD" w:rsidRDefault="009B70BD" w:rsidP="009B70BD">
      <w:pPr>
        <w:autoSpaceDE w:val="0"/>
        <w:autoSpaceDN w:val="0"/>
        <w:adjustRightInd w:val="0"/>
        <w:spacing w:line="240" w:lineRule="auto"/>
        <w:ind w:right="34"/>
        <w:rPr>
          <w:b/>
          <w:bCs/>
          <w:color w:val="000000"/>
        </w:rPr>
      </w:pPr>
      <w:r>
        <w:rPr>
          <w:b/>
          <w:bCs/>
          <w:color w:val="000000"/>
        </w:rPr>
        <w:t xml:space="preserve">Keywords: </w:t>
      </w:r>
      <w:r>
        <w:rPr>
          <w:i/>
          <w:iCs/>
          <w:color w:val="000000"/>
        </w:rPr>
        <w:t>Revenue Management; Online travel agents; dynamic pricing.</w:t>
      </w:r>
    </w:p>
    <w:p w14:paraId="2BB2ADEA" w14:textId="77777777" w:rsidR="009B70BD" w:rsidRDefault="009B70BD" w:rsidP="009B70BD">
      <w:pPr>
        <w:rPr>
          <w:b/>
          <w:bCs/>
          <w:sz w:val="20"/>
          <w:szCs w:val="20"/>
        </w:rPr>
      </w:pPr>
    </w:p>
    <w:p w14:paraId="00C6A9ED" w14:textId="77777777" w:rsidR="009B70BD" w:rsidRDefault="009B70BD" w:rsidP="009B70BD">
      <w:pPr>
        <w:rPr>
          <w:b/>
          <w:bCs/>
          <w:sz w:val="20"/>
          <w:szCs w:val="20"/>
        </w:rPr>
      </w:pPr>
      <w:r>
        <w:rPr>
          <w:b/>
          <w:bCs/>
          <w:sz w:val="20"/>
          <w:szCs w:val="20"/>
        </w:rPr>
        <w:t>Word Count (</w:t>
      </w:r>
      <w:r w:rsidRPr="004E460F">
        <w:rPr>
          <w:bCs/>
          <w:sz w:val="20"/>
          <w:szCs w:val="20"/>
        </w:rPr>
        <w:t>including</w:t>
      </w:r>
      <w:r>
        <w:rPr>
          <w:b/>
          <w:bCs/>
          <w:sz w:val="20"/>
          <w:szCs w:val="20"/>
        </w:rPr>
        <w:t xml:space="preserve"> </w:t>
      </w:r>
      <w:r w:rsidRPr="004E460F">
        <w:rPr>
          <w:bCs/>
          <w:sz w:val="20"/>
          <w:szCs w:val="20"/>
        </w:rPr>
        <w:t>this Title page and all references, Tables and Figures</w:t>
      </w:r>
      <w:r>
        <w:rPr>
          <w:bCs/>
          <w:sz w:val="20"/>
          <w:szCs w:val="20"/>
        </w:rPr>
        <w:t>)</w:t>
      </w:r>
      <w:r>
        <w:rPr>
          <w:b/>
          <w:bCs/>
          <w:sz w:val="20"/>
          <w:szCs w:val="20"/>
        </w:rPr>
        <w:t xml:space="preserve">: 9352. </w:t>
      </w:r>
    </w:p>
    <w:p w14:paraId="60719A40" w14:textId="77777777" w:rsidR="009B70BD" w:rsidRDefault="009B70BD" w:rsidP="009B70BD">
      <w:pPr>
        <w:rPr>
          <w:b/>
          <w:bCs/>
          <w:sz w:val="20"/>
          <w:szCs w:val="20"/>
        </w:rPr>
      </w:pPr>
      <w:r>
        <w:rPr>
          <w:b/>
          <w:bCs/>
          <w:sz w:val="20"/>
          <w:szCs w:val="20"/>
        </w:rPr>
        <w:t>Acknowledgements</w:t>
      </w:r>
    </w:p>
    <w:p w14:paraId="01376917" w14:textId="77777777" w:rsidR="009B70BD" w:rsidRDefault="009B70BD" w:rsidP="009B70BD">
      <w:pPr>
        <w:rPr>
          <w:sz w:val="20"/>
          <w:szCs w:val="20"/>
        </w:rPr>
      </w:pPr>
      <w:r>
        <w:rPr>
          <w:sz w:val="20"/>
          <w:szCs w:val="20"/>
        </w:rPr>
        <w:t>We are extremely grateful to Marcello Mariani and Adrian Palmer for helpful comments and suggestions. The usual disclaimer applies. Piga gratefully acknowledges receipt of the Visiting Scientist scholarship offered by the Sardinian Regional Government, L.R.7/07.</w:t>
      </w:r>
    </w:p>
    <w:p w14:paraId="45C73C25" w14:textId="77777777" w:rsidR="009B70BD" w:rsidRDefault="009B70BD" w:rsidP="009B70BD">
      <w:pPr>
        <w:ind w:firstLine="0"/>
        <w:rPr>
          <w:sz w:val="20"/>
          <w:szCs w:val="20"/>
        </w:rPr>
      </w:pPr>
    </w:p>
    <w:p w14:paraId="45F7A140" w14:textId="77777777" w:rsidR="00937B4E" w:rsidRDefault="00937B4E" w:rsidP="00937B4E">
      <w:pPr>
        <w:rPr>
          <w:b/>
          <w:bCs/>
          <w:sz w:val="20"/>
          <w:szCs w:val="20"/>
        </w:rPr>
      </w:pPr>
      <w:bookmarkStart w:id="0" w:name="_GoBack"/>
      <w:bookmarkEnd w:id="0"/>
    </w:p>
    <w:p w14:paraId="45F7A141" w14:textId="77777777" w:rsidR="00937B4E" w:rsidRDefault="00937B4E" w:rsidP="00937B4E">
      <w:pPr>
        <w:rPr>
          <w:sz w:val="20"/>
          <w:szCs w:val="20"/>
        </w:rPr>
      </w:pPr>
      <w:r>
        <w:rPr>
          <w:sz w:val="20"/>
          <w:szCs w:val="20"/>
        </w:rPr>
        <w:br w:type="page"/>
      </w:r>
    </w:p>
    <w:p w14:paraId="45F7A142" w14:textId="77777777" w:rsidR="00505C4E" w:rsidRPr="00937B4E" w:rsidRDefault="00505C4E" w:rsidP="00937B4E">
      <w:pPr>
        <w:pStyle w:val="Heading1"/>
        <w:rPr>
          <w:rStyle w:val="Strong"/>
          <w:b/>
          <w:bCs/>
        </w:rPr>
      </w:pPr>
      <w:r w:rsidRPr="00937B4E">
        <w:rPr>
          <w:rStyle w:val="Strong"/>
          <w:b/>
          <w:bCs/>
        </w:rPr>
        <w:lastRenderedPageBreak/>
        <w:t>Introduction</w:t>
      </w:r>
    </w:p>
    <w:p w14:paraId="45F7A143" w14:textId="77777777" w:rsidR="00C540A4" w:rsidRDefault="00C540A4" w:rsidP="00505C4E">
      <w:pPr>
        <w:rPr>
          <w:lang w:val="en-US"/>
        </w:rPr>
      </w:pPr>
      <w:r>
        <w:t>Online Tra</w:t>
      </w:r>
      <w:r w:rsidR="00F01AC8">
        <w:t xml:space="preserve">vel Agents (OTAs) have become </w:t>
      </w:r>
      <w:r>
        <w:t>a key distribution cha</w:t>
      </w:r>
      <w:r w:rsidR="00F01AC8">
        <w:t xml:space="preserve">nnel for many hospitality firms; nonetheless, </w:t>
      </w:r>
      <w:r>
        <w:t>very little is known about the way such firms set and manage their prices on the OTAs</w:t>
      </w:r>
      <w:r w:rsidR="00F01AC8">
        <w:t>’</w:t>
      </w:r>
      <w:r>
        <w:t xml:space="preserve"> platforms. From a</w:t>
      </w:r>
      <w:r w:rsidR="006652A2">
        <w:t xml:space="preserve"> firm’s</w:t>
      </w:r>
      <w:r>
        <w:t xml:space="preserve"> </w:t>
      </w:r>
      <w:r w:rsidR="006652A2">
        <w:t>perspective</w:t>
      </w:r>
      <w:r>
        <w:t>, a platform enhances price transparency and lowers menu costs, i.e., the cost incurred by a firm when it modifies its price, thereby contributing to the creation of a frictionless market</w:t>
      </w:r>
      <w:r w:rsidR="006652A2">
        <w:t xml:space="preserve"> (</w:t>
      </w:r>
      <w:r w:rsidR="006652A2">
        <w:rPr>
          <w:bCs/>
        </w:rPr>
        <w:t xml:space="preserve">Bryniolfsson and Smith, </w:t>
      </w:r>
      <w:r w:rsidRPr="005E470A">
        <w:rPr>
          <w:bCs/>
        </w:rPr>
        <w:t>2000)</w:t>
      </w:r>
      <w:r w:rsidRPr="005E470A">
        <w:t>.</w:t>
      </w:r>
      <w:r>
        <w:t xml:space="preserve"> From an economic perspective, </w:t>
      </w:r>
      <w:r>
        <w:rPr>
          <w:lang w:val="en-US"/>
        </w:rPr>
        <w:t xml:space="preserve">companies that use OTAs as distribution channels </w:t>
      </w:r>
      <w:r w:rsidR="00012B83">
        <w:rPr>
          <w:lang w:val="en-US"/>
        </w:rPr>
        <w:t>must</w:t>
      </w:r>
      <w:r>
        <w:rPr>
          <w:lang w:val="en-US"/>
        </w:rPr>
        <w:t xml:space="preserve"> set their prices in a context where competition is intensified on both the supply side (more firms against which to compete) and on the demand side, with consumers better informed and potentially capable to choose among alternative destinations located afar from each other (Andrés-Martínez</w:t>
      </w:r>
      <w:r w:rsidR="0071075C">
        <w:rPr>
          <w:lang w:val="en-US"/>
        </w:rPr>
        <w:t xml:space="preserve"> et al.,</w:t>
      </w:r>
      <w:r>
        <w:rPr>
          <w:lang w:val="en-US"/>
        </w:rPr>
        <w:t xml:space="preserve"> 2014: 172). </w:t>
      </w:r>
    </w:p>
    <w:p w14:paraId="45F7A144" w14:textId="4DD85548" w:rsidR="004312BE" w:rsidRDefault="00C540A4">
      <w:pPr>
        <w:rPr>
          <w:lang w:val="en-US"/>
        </w:rPr>
      </w:pPr>
      <w:r>
        <w:rPr>
          <w:lang w:val="en-US"/>
        </w:rPr>
        <w:t xml:space="preserve">Prima facie, both </w:t>
      </w:r>
      <w:r w:rsidR="000A5499">
        <w:rPr>
          <w:lang w:val="en-US"/>
        </w:rPr>
        <w:t>perspectives</w:t>
      </w:r>
      <w:r>
        <w:rPr>
          <w:lang w:val="en-US"/>
        </w:rPr>
        <w:t xml:space="preserve"> call for a somewhat sophisticated pricing approach </w:t>
      </w:r>
      <w:r w:rsidR="00485C5A">
        <w:rPr>
          <w:lang w:val="en-US"/>
        </w:rPr>
        <w:t xml:space="preserve">enabling </w:t>
      </w:r>
      <w:r>
        <w:rPr>
          <w:lang w:val="en-US"/>
        </w:rPr>
        <w:t>firm</w:t>
      </w:r>
      <w:r w:rsidR="00485C5A">
        <w:rPr>
          <w:lang w:val="en-US"/>
        </w:rPr>
        <w:t>s</w:t>
      </w:r>
      <w:r>
        <w:rPr>
          <w:lang w:val="en-US"/>
        </w:rPr>
        <w:t xml:space="preserve"> to adapt to the varying market conditions that prevail on the platform. Indeed, as Noone and Mattila (2009: 272) observe </w:t>
      </w:r>
      <w:r w:rsidR="00012B83">
        <w:rPr>
          <w:lang w:val="en-US"/>
        </w:rPr>
        <w:t>“...</w:t>
      </w:r>
      <w:r>
        <w:rPr>
          <w:lang w:val="en-US"/>
        </w:rPr>
        <w:t xml:space="preserve"> the growth of the Internet as a channel of distribution has significantly increased customer exposure to revenue management pricing practices”. </w:t>
      </w:r>
      <w:r w:rsidR="00D328CA">
        <w:rPr>
          <w:lang w:val="en-US"/>
        </w:rPr>
        <w:t>This work aims</w:t>
      </w:r>
      <w:r w:rsidR="004312BE">
        <w:rPr>
          <w:lang w:val="en-US"/>
        </w:rPr>
        <w:t xml:space="preserve"> to better qualify such a statement by </w:t>
      </w:r>
      <w:r w:rsidR="00D328CA">
        <w:rPr>
          <w:lang w:val="en-US"/>
        </w:rPr>
        <w:t xml:space="preserve">investigating whether the propensity to apply such techniques is widespread in the universe of firms, or is instead largely </w:t>
      </w:r>
      <w:r w:rsidR="00181E84">
        <w:rPr>
          <w:lang w:val="en-US"/>
        </w:rPr>
        <w:t>heterogeneous</w:t>
      </w:r>
      <w:r w:rsidR="00D328CA">
        <w:rPr>
          <w:lang w:val="en-US"/>
        </w:rPr>
        <w:t xml:space="preserve"> and thus</w:t>
      </w:r>
      <w:r w:rsidR="00607B81">
        <w:rPr>
          <w:lang w:val="en-US"/>
        </w:rPr>
        <w:t xml:space="preserve"> can be</w:t>
      </w:r>
      <w:r w:rsidR="00D328CA">
        <w:rPr>
          <w:lang w:val="en-US"/>
        </w:rPr>
        <w:t xml:space="preserve"> related to specific firms and market attributes (</w:t>
      </w:r>
      <w:r w:rsidR="007A10DD">
        <w:rPr>
          <w:color w:val="222222"/>
          <w:lang w:val="en-US"/>
        </w:rPr>
        <w:t>Dolnicar</w:t>
      </w:r>
      <w:r w:rsidR="00D328CA">
        <w:rPr>
          <w:color w:val="222222"/>
          <w:lang w:val="en-US"/>
        </w:rPr>
        <w:t xml:space="preserve"> and </w:t>
      </w:r>
      <w:r w:rsidR="007A10DD">
        <w:rPr>
          <w:color w:val="222222"/>
          <w:lang w:val="en-US"/>
        </w:rPr>
        <w:t>Ring</w:t>
      </w:r>
      <w:r w:rsidR="00D328CA">
        <w:rPr>
          <w:color w:val="222222"/>
          <w:lang w:val="en-US"/>
        </w:rPr>
        <w:t>,</w:t>
      </w:r>
      <w:r w:rsidR="007A10DD">
        <w:rPr>
          <w:color w:val="222222"/>
          <w:lang w:val="en-US"/>
        </w:rPr>
        <w:t xml:space="preserve"> </w:t>
      </w:r>
      <w:r w:rsidR="00D328CA" w:rsidRPr="00D328CA">
        <w:rPr>
          <w:color w:val="222222"/>
          <w:lang w:val="en-US"/>
        </w:rPr>
        <w:t>2014)</w:t>
      </w:r>
      <w:r w:rsidR="00D328CA">
        <w:rPr>
          <w:lang w:val="en-US"/>
        </w:rPr>
        <w:t xml:space="preserve">. </w:t>
      </w:r>
    </w:p>
    <w:p w14:paraId="45F7A145" w14:textId="77777777" w:rsidR="007137D5" w:rsidRDefault="00F61013">
      <w:pPr>
        <w:rPr>
          <w:lang w:val="en-US"/>
        </w:rPr>
      </w:pPr>
      <w:r>
        <w:rPr>
          <w:lang w:val="en-US"/>
        </w:rPr>
        <w:t>Revenue Management (</w:t>
      </w:r>
      <w:r>
        <w:t xml:space="preserve">RM) denotes a broad set of price-setting techniques that are profitably used by such companies as airlines, hotels, </w:t>
      </w:r>
      <w:r w:rsidR="006652A2">
        <w:t>cruise shipping</w:t>
      </w:r>
      <w:r>
        <w:t xml:space="preserve"> (Kimes, 1989).</w:t>
      </w:r>
      <w:r w:rsidR="006652A2">
        <w:t xml:space="preserve"> </w:t>
      </w:r>
      <w:r w:rsidR="006652A2">
        <w:rPr>
          <w:lang w:val="en-US"/>
        </w:rPr>
        <w:t>T</w:t>
      </w:r>
      <w:r w:rsidR="000717D4">
        <w:rPr>
          <w:lang w:val="en-US"/>
        </w:rPr>
        <w:t xml:space="preserve">he academic literature has </w:t>
      </w:r>
      <w:r w:rsidR="007A10DD">
        <w:rPr>
          <w:lang w:val="en-US"/>
        </w:rPr>
        <w:t>mostly</w:t>
      </w:r>
      <w:r w:rsidR="000717D4">
        <w:rPr>
          <w:lang w:val="en-US"/>
        </w:rPr>
        <w:t xml:space="preserve"> focused on the </w:t>
      </w:r>
      <w:r w:rsidR="00BE4DBB">
        <w:rPr>
          <w:lang w:val="en-US"/>
        </w:rPr>
        <w:t xml:space="preserve">theoretical </w:t>
      </w:r>
      <w:r w:rsidR="000717D4">
        <w:rPr>
          <w:lang w:val="en-US"/>
        </w:rPr>
        <w:t xml:space="preserve">reasons why the adoption of </w:t>
      </w:r>
      <w:r w:rsidR="00006A8B">
        <w:rPr>
          <w:lang w:val="en-US"/>
        </w:rPr>
        <w:t>RM</w:t>
      </w:r>
      <w:r w:rsidR="000717D4">
        <w:rPr>
          <w:lang w:val="en-US"/>
        </w:rPr>
        <w:t xml:space="preserve"> </w:t>
      </w:r>
      <w:r w:rsidR="000A5499">
        <w:rPr>
          <w:lang w:val="en-US"/>
        </w:rPr>
        <w:t>manifest itself</w:t>
      </w:r>
      <w:r w:rsidR="000717D4">
        <w:rPr>
          <w:lang w:val="en-US"/>
        </w:rPr>
        <w:t xml:space="preserve"> in price variation over time</w:t>
      </w:r>
      <w:r w:rsidR="003A37CE">
        <w:rPr>
          <w:lang w:val="en-US"/>
        </w:rPr>
        <w:t xml:space="preserve"> (</w:t>
      </w:r>
      <w:r w:rsidR="003A37CE" w:rsidRPr="003A37CE">
        <w:rPr>
          <w:lang w:val="en-US"/>
        </w:rPr>
        <w:t>Talluri</w:t>
      </w:r>
      <w:r w:rsidR="003A37CE">
        <w:rPr>
          <w:lang w:val="en-US"/>
        </w:rPr>
        <w:t xml:space="preserve"> and van Ryzin, </w:t>
      </w:r>
      <w:r w:rsidR="003A37CE" w:rsidRPr="003A37CE">
        <w:rPr>
          <w:lang w:val="en-US"/>
        </w:rPr>
        <w:t>2004</w:t>
      </w:r>
      <w:r w:rsidR="003A37CE">
        <w:rPr>
          <w:lang w:val="en-US"/>
        </w:rPr>
        <w:t xml:space="preserve">). </w:t>
      </w:r>
      <w:r w:rsidR="00B14BD3">
        <w:rPr>
          <w:lang w:val="en-US"/>
        </w:rPr>
        <w:t xml:space="preserve">The empirical studies based on the airline industry </w:t>
      </w:r>
      <w:r w:rsidR="007A10DD">
        <w:rPr>
          <w:lang w:val="en-US"/>
        </w:rPr>
        <w:t>robustly</w:t>
      </w:r>
      <w:r w:rsidR="00B14BD3">
        <w:rPr>
          <w:lang w:val="en-US"/>
        </w:rPr>
        <w:t xml:space="preserve"> support </w:t>
      </w:r>
      <w:r w:rsidR="00607B81">
        <w:rPr>
          <w:lang w:val="en-US"/>
        </w:rPr>
        <w:t xml:space="preserve">the notion </w:t>
      </w:r>
      <w:r w:rsidR="007A10DD">
        <w:rPr>
          <w:lang w:val="en-US"/>
        </w:rPr>
        <w:t xml:space="preserve">of an intense </w:t>
      </w:r>
      <w:r w:rsidR="004F1528">
        <w:rPr>
          <w:lang w:val="en-US"/>
        </w:rPr>
        <w:t xml:space="preserve">intertemporal </w:t>
      </w:r>
      <w:r w:rsidR="007A10DD">
        <w:rPr>
          <w:lang w:val="en-US"/>
        </w:rPr>
        <w:t>dynami</w:t>
      </w:r>
      <w:r w:rsidR="00607B81">
        <w:rPr>
          <w:lang w:val="en-US"/>
        </w:rPr>
        <w:t>sm in the fares set by both low-</w:t>
      </w:r>
      <w:r w:rsidR="007A10DD">
        <w:rPr>
          <w:lang w:val="en-US"/>
        </w:rPr>
        <w:t>cost carriers</w:t>
      </w:r>
      <w:r w:rsidR="00B14BD3">
        <w:rPr>
          <w:lang w:val="en-US"/>
        </w:rPr>
        <w:t xml:space="preserve"> </w:t>
      </w:r>
      <w:r w:rsidR="000717D4">
        <w:rPr>
          <w:lang w:val="en-US"/>
        </w:rPr>
        <w:t>(</w:t>
      </w:r>
      <w:r w:rsidR="00DA7C10">
        <w:rPr>
          <w:lang w:val="en-US"/>
        </w:rPr>
        <w:t xml:space="preserve">Alderighi </w:t>
      </w:r>
      <w:r w:rsidR="00DA7C10">
        <w:rPr>
          <w:i/>
          <w:lang w:val="en-US"/>
        </w:rPr>
        <w:t>et al.,</w:t>
      </w:r>
      <w:r w:rsidR="008D514A">
        <w:rPr>
          <w:lang w:val="en-US"/>
        </w:rPr>
        <w:t xml:space="preserve"> 2016</w:t>
      </w:r>
      <w:r w:rsidR="000717D4">
        <w:rPr>
          <w:lang w:val="en-US"/>
        </w:rPr>
        <w:t>)</w:t>
      </w:r>
      <w:r w:rsidR="00607B81">
        <w:rPr>
          <w:lang w:val="en-US"/>
        </w:rPr>
        <w:t xml:space="preserve"> and full-service carriers (Bilotkach </w:t>
      </w:r>
      <w:r w:rsidR="00607B81">
        <w:rPr>
          <w:i/>
          <w:lang w:val="en-US"/>
        </w:rPr>
        <w:t>et al.</w:t>
      </w:r>
      <w:r w:rsidR="00F14A0D">
        <w:rPr>
          <w:lang w:val="en-US"/>
        </w:rPr>
        <w:t>, 2010</w:t>
      </w:r>
      <w:r w:rsidR="00607B81">
        <w:rPr>
          <w:lang w:val="en-US"/>
        </w:rPr>
        <w:t>)</w:t>
      </w:r>
      <w:r w:rsidR="000717D4">
        <w:rPr>
          <w:lang w:val="en-US"/>
        </w:rPr>
        <w:t>.</w:t>
      </w:r>
      <w:r w:rsidR="000B32F2">
        <w:rPr>
          <w:lang w:val="en-US"/>
        </w:rPr>
        <w:t xml:space="preserve"> In hotel markets,</w:t>
      </w:r>
      <w:r w:rsidR="004F1528">
        <w:rPr>
          <w:lang w:val="en-US"/>
        </w:rPr>
        <w:t xml:space="preserve"> intertemporal pricing also </w:t>
      </w:r>
      <w:r w:rsidR="006652A2">
        <w:rPr>
          <w:lang w:val="en-US"/>
        </w:rPr>
        <w:t>represents</w:t>
      </w:r>
      <w:r w:rsidR="004F1528">
        <w:rPr>
          <w:lang w:val="en-US"/>
        </w:rPr>
        <w:t xml:space="preserve"> an empirical regularity, although little attention has been given to whether it characterizes the</w:t>
      </w:r>
      <w:r w:rsidR="000A5499">
        <w:rPr>
          <w:lang w:val="en-US"/>
        </w:rPr>
        <w:t xml:space="preserve"> price setting behavior of</w:t>
      </w:r>
      <w:r w:rsidR="000717D4">
        <w:rPr>
          <w:lang w:val="en-US"/>
        </w:rPr>
        <w:t xml:space="preserve"> </w:t>
      </w:r>
      <w:r w:rsidR="004312BE">
        <w:rPr>
          <w:lang w:val="en-US"/>
        </w:rPr>
        <w:t xml:space="preserve">all </w:t>
      </w:r>
      <w:r w:rsidR="00A95C99">
        <w:rPr>
          <w:lang w:val="en-US"/>
        </w:rPr>
        <w:t>the firms in the sample</w:t>
      </w:r>
      <w:r w:rsidR="004F1528">
        <w:rPr>
          <w:lang w:val="en-US"/>
        </w:rPr>
        <w:t xml:space="preserve"> (Abrate </w:t>
      </w:r>
      <w:r w:rsidR="004F1528">
        <w:rPr>
          <w:i/>
          <w:lang w:val="en-US"/>
        </w:rPr>
        <w:t>et al.</w:t>
      </w:r>
      <w:r w:rsidR="004F1528">
        <w:rPr>
          <w:lang w:val="en-US"/>
        </w:rPr>
        <w:t>, 2012; Fleischer, 2012)</w:t>
      </w:r>
      <w:r w:rsidR="000717D4">
        <w:rPr>
          <w:lang w:val="en-US"/>
        </w:rPr>
        <w:t>.</w:t>
      </w:r>
      <w:r w:rsidR="00A95C99">
        <w:rPr>
          <w:lang w:val="en-US"/>
        </w:rPr>
        <w:t xml:space="preserve"> </w:t>
      </w:r>
      <w:r w:rsidR="003B1D24">
        <w:rPr>
          <w:lang w:val="en-US"/>
        </w:rPr>
        <w:t>An exception in the literature is Abrate and V</w:t>
      </w:r>
      <w:r w:rsidR="00E75760">
        <w:rPr>
          <w:lang w:val="en-US"/>
        </w:rPr>
        <w:t xml:space="preserve">iglia (2016), whose approach, which </w:t>
      </w:r>
      <w:r w:rsidR="003B1D24">
        <w:rPr>
          <w:lang w:val="en-US"/>
        </w:rPr>
        <w:t>explicitly</w:t>
      </w:r>
      <w:r w:rsidR="00E75760">
        <w:rPr>
          <w:lang w:val="en-US"/>
        </w:rPr>
        <w:t xml:space="preserve"> controls</w:t>
      </w:r>
      <w:r w:rsidR="003B1D24">
        <w:rPr>
          <w:lang w:val="en-US"/>
        </w:rPr>
        <w:t xml:space="preserve"> for the presence of heterogeneous behavior in the use of intertemporal pricing across hotel operators, is in line</w:t>
      </w:r>
      <w:r w:rsidR="002B180F">
        <w:rPr>
          <w:lang w:val="en-US"/>
        </w:rPr>
        <w:t xml:space="preserve"> with the findings from </w:t>
      </w:r>
      <w:r w:rsidR="00BE4DBB">
        <w:rPr>
          <w:lang w:val="en-US"/>
        </w:rPr>
        <w:t>a survey carried out by the Global Business Travel Association</w:t>
      </w:r>
      <w:r w:rsidR="000E09F9">
        <w:rPr>
          <w:lang w:val="en-US"/>
        </w:rPr>
        <w:t xml:space="preserve"> (GBTA)</w:t>
      </w:r>
      <w:r w:rsidR="00BE4DBB">
        <w:rPr>
          <w:lang w:val="en-US"/>
        </w:rPr>
        <w:t xml:space="preserve"> in 2014, </w:t>
      </w:r>
      <w:r w:rsidR="002B180F">
        <w:rPr>
          <w:lang w:val="en-US"/>
        </w:rPr>
        <w:t xml:space="preserve">where </w:t>
      </w:r>
      <w:r w:rsidR="00BE4DBB">
        <w:rPr>
          <w:lang w:val="en-US"/>
        </w:rPr>
        <w:t xml:space="preserve">it emerged </w:t>
      </w:r>
      <w:r w:rsidR="00BE4DBB">
        <w:rPr>
          <w:lang w:val="en-US"/>
        </w:rPr>
        <w:lastRenderedPageBreak/>
        <w:t xml:space="preserve">that although 75% of the respondents declared to be aware of the possibility to use Dynamic Pricing (DP) to manage their hotel rates, </w:t>
      </w:r>
      <w:r w:rsidR="00AA724D">
        <w:rPr>
          <w:lang w:val="en-US"/>
        </w:rPr>
        <w:t xml:space="preserve">only 22% made active use of it </w:t>
      </w:r>
      <w:r w:rsidR="00AC1EFE">
        <w:rPr>
          <w:lang w:val="en-US"/>
        </w:rPr>
        <w:t xml:space="preserve">(GBTA, 2014). </w:t>
      </w:r>
      <w:r w:rsidR="00D1210E">
        <w:rPr>
          <w:lang w:val="en-US"/>
        </w:rPr>
        <w:t>Such evidence casts doubts on whether</w:t>
      </w:r>
      <w:r w:rsidR="00A622F5">
        <w:rPr>
          <w:lang w:val="en-US"/>
        </w:rPr>
        <w:t xml:space="preserve"> a generalized definition of RM as a system aimed at increasing “revenue per transaction through systematic and continuous manipulation of rates”, as found </w:t>
      </w:r>
      <w:r w:rsidR="00D1210E">
        <w:rPr>
          <w:lang w:val="en-US"/>
        </w:rPr>
        <w:t xml:space="preserve">for example </w:t>
      </w:r>
      <w:r w:rsidR="00A622F5">
        <w:rPr>
          <w:lang w:val="en-US"/>
        </w:rPr>
        <w:t>in Solnet et al. (2016</w:t>
      </w:r>
      <w:r w:rsidR="00ED29EE">
        <w:rPr>
          <w:lang w:val="en-US"/>
        </w:rPr>
        <w:t>:</w:t>
      </w:r>
      <w:r w:rsidR="00A622F5">
        <w:rPr>
          <w:lang w:val="en-US"/>
        </w:rPr>
        <w:t>120)</w:t>
      </w:r>
      <w:r w:rsidR="009E3DC6">
        <w:rPr>
          <w:lang w:val="en-US"/>
        </w:rPr>
        <w:t>,</w:t>
      </w:r>
      <w:r w:rsidR="00A622F5">
        <w:rPr>
          <w:lang w:val="en-US"/>
        </w:rPr>
        <w:t xml:space="preserve"> </w:t>
      </w:r>
      <w:r w:rsidR="00D1210E">
        <w:rPr>
          <w:lang w:val="en-US"/>
        </w:rPr>
        <w:t>can</w:t>
      </w:r>
      <w:r w:rsidR="00A622F5">
        <w:rPr>
          <w:lang w:val="en-US"/>
        </w:rPr>
        <w:t xml:space="preserve"> describe adequately</w:t>
      </w:r>
      <w:r w:rsidR="00D1210E">
        <w:rPr>
          <w:lang w:val="en-US"/>
        </w:rPr>
        <w:t xml:space="preserve"> the price setting behavior of hospitality firms</w:t>
      </w:r>
      <w:r w:rsidR="009E3DC6">
        <w:rPr>
          <w:lang w:val="en-US"/>
        </w:rPr>
        <w:t xml:space="preserve"> in general, and of those </w:t>
      </w:r>
      <w:r w:rsidR="009414AA">
        <w:rPr>
          <w:lang w:val="en-US"/>
        </w:rPr>
        <w:t>selling via</w:t>
      </w:r>
      <w:r w:rsidR="00D1210E">
        <w:rPr>
          <w:lang w:val="en-US"/>
        </w:rPr>
        <w:t xml:space="preserve"> an OTA</w:t>
      </w:r>
      <w:r w:rsidR="009E3DC6">
        <w:rPr>
          <w:lang w:val="en-US"/>
        </w:rPr>
        <w:t xml:space="preserve"> in particular</w:t>
      </w:r>
      <w:r w:rsidR="00E926EB">
        <w:rPr>
          <w:lang w:val="en-US"/>
        </w:rPr>
        <w:t>.</w:t>
      </w:r>
    </w:p>
    <w:p w14:paraId="45F7A146" w14:textId="77777777" w:rsidR="000717D4" w:rsidRDefault="006F3218">
      <w:pPr>
        <w:rPr>
          <w:lang w:val="en-US"/>
        </w:rPr>
      </w:pPr>
      <w:r>
        <w:rPr>
          <w:lang w:val="en-US"/>
        </w:rPr>
        <w:t>Indeed, there is a growing literature focusing on the relative merits of uniform pricing</w:t>
      </w:r>
      <w:r w:rsidR="007137D5">
        <w:rPr>
          <w:lang w:val="en-US"/>
        </w:rPr>
        <w:t>. Constant manipulation of rates may lead either to discounts that reduce the reference price that customers are willing to pay for the service (Viglia et al., 2016) or to price hikes that can be perceived as unfair (Orbach and Einav, 2007)</w:t>
      </w:r>
      <w:r w:rsidR="007137D5">
        <w:t xml:space="preserve">. Ultimately, the tension between dynamic and uniform pricing can only be resolved via an empirical examination of their relative presence. </w:t>
      </w:r>
    </w:p>
    <w:p w14:paraId="45F7A147" w14:textId="69F8E2FA" w:rsidR="0036414C" w:rsidRDefault="00DB7FA6" w:rsidP="009535BB">
      <w:r>
        <w:t xml:space="preserve">To </w:t>
      </w:r>
      <w:r w:rsidR="007877AE">
        <w:t>assess</w:t>
      </w:r>
      <w:r>
        <w:t xml:space="preserve"> the extent by which DP is applied in a wide sample of online hotels in four large Mediterranean macro-destinations, this study tests whether the use of an online platform is, as often stated in the literature and the media, accompanied by a frequent change in </w:t>
      </w:r>
      <w:r w:rsidR="00E94660">
        <w:t xml:space="preserve">a hotel room’s </w:t>
      </w:r>
      <w:r>
        <w:t>posted price.</w:t>
      </w:r>
      <w:r w:rsidR="0036414C" w:rsidRPr="0036414C">
        <w:t xml:space="preserve"> </w:t>
      </w:r>
      <w:r>
        <w:t>Furthermore, it</w:t>
      </w:r>
      <w:r w:rsidR="009535BB">
        <w:t xml:space="preserve"> </w:t>
      </w:r>
      <w:r>
        <w:t>empirically investigates whether</w:t>
      </w:r>
      <w:r w:rsidR="009535BB">
        <w:t xml:space="preserve"> the intertemporal pricing behaviour of hospitality firms operating on an OTA</w:t>
      </w:r>
      <w:r>
        <w:t xml:space="preserve"> is</w:t>
      </w:r>
      <w:r w:rsidR="006E1EC2">
        <w:t>, when present,</w:t>
      </w:r>
      <w:r>
        <w:t xml:space="preserve"> more prevalent in some clusters of firms</w:t>
      </w:r>
      <w:r w:rsidR="009535BB">
        <w:t xml:space="preserve">. </w:t>
      </w:r>
      <w:r w:rsidR="005559B9">
        <w:t>To strengthen the robustness of the analysis, th</w:t>
      </w:r>
      <w:r w:rsidR="00A554AB">
        <w:t>is study</w:t>
      </w:r>
      <w:r w:rsidR="005559B9">
        <w:t xml:space="preserve"> </w:t>
      </w:r>
      <w:r w:rsidR="00A554AB">
        <w:t xml:space="preserve">is based on a </w:t>
      </w:r>
      <w:r w:rsidR="005559B9">
        <w:t>sample period cover</w:t>
      </w:r>
      <w:r w:rsidR="00A554AB">
        <w:t>ing</w:t>
      </w:r>
      <w:r w:rsidR="005559B9">
        <w:t xml:space="preserve"> two consecutive Summer seasons (2014 and 2015)</w:t>
      </w:r>
      <w:r w:rsidR="00A554AB">
        <w:t xml:space="preserve"> and finds similar results in both years;</w:t>
      </w:r>
      <w:r w:rsidR="005559B9">
        <w:t xml:space="preserve"> </w:t>
      </w:r>
      <w:r w:rsidR="00A554AB">
        <w:t xml:space="preserve">it </w:t>
      </w:r>
      <w:r w:rsidR="005559B9">
        <w:t>thus complements other studies</w:t>
      </w:r>
      <w:r w:rsidR="00A554AB">
        <w:t xml:space="preserve"> focussing on the estimation of the hedonic value of certain sites and establishment’s characteristics in similar geographic areas</w:t>
      </w:r>
      <w:r w:rsidR="00485C5A">
        <w:t xml:space="preserve"> with a predominant share of leisure customers</w:t>
      </w:r>
      <w:r w:rsidR="00A554AB">
        <w:t xml:space="preserve"> (</w:t>
      </w:r>
      <w:r w:rsidR="00485C5A">
        <w:rPr>
          <w:lang w:val="en-US"/>
        </w:rPr>
        <w:t xml:space="preserve">Fleischer A., </w:t>
      </w:r>
      <w:r w:rsidR="00485C5A" w:rsidRPr="00AC1EFE">
        <w:rPr>
          <w:lang w:val="en-US"/>
        </w:rPr>
        <w:t>2012.</w:t>
      </w:r>
      <w:r w:rsidR="00485C5A">
        <w:rPr>
          <w:lang w:val="en-US"/>
        </w:rPr>
        <w:t xml:space="preserve">; </w:t>
      </w:r>
      <w:r w:rsidR="00A554AB" w:rsidRPr="0036414C">
        <w:t>Rigall-I-Torrent et al</w:t>
      </w:r>
      <w:r w:rsidR="00A554AB">
        <w:t xml:space="preserve">., </w:t>
      </w:r>
      <w:r w:rsidR="00A554AB" w:rsidRPr="0036414C">
        <w:t>2011)</w:t>
      </w:r>
    </w:p>
    <w:p w14:paraId="45F7A14B" w14:textId="77777777" w:rsidR="00C540A4" w:rsidRPr="0009067A" w:rsidRDefault="00505C4E" w:rsidP="00D26D94">
      <w:pPr>
        <w:pStyle w:val="Heading1"/>
        <w:rPr>
          <w:rStyle w:val="Strong"/>
          <w:b/>
          <w:bCs/>
        </w:rPr>
      </w:pPr>
      <w:r w:rsidRPr="0009067A">
        <w:rPr>
          <w:rStyle w:val="Strong"/>
          <w:b/>
          <w:bCs/>
        </w:rPr>
        <w:t>Literature review</w:t>
      </w:r>
      <w:r w:rsidR="001E0331">
        <w:rPr>
          <w:rStyle w:val="Strong"/>
          <w:b/>
          <w:bCs/>
        </w:rPr>
        <w:t xml:space="preserve"> and main </w:t>
      </w:r>
      <w:r w:rsidR="001E0331" w:rsidRPr="00D26D94">
        <w:rPr>
          <w:rStyle w:val="Strong"/>
          <w:b/>
          <w:bCs/>
        </w:rPr>
        <w:t>research</w:t>
      </w:r>
      <w:r w:rsidR="001E0331">
        <w:rPr>
          <w:rStyle w:val="Strong"/>
          <w:b/>
          <w:bCs/>
        </w:rPr>
        <w:t xml:space="preserve"> questions</w:t>
      </w:r>
    </w:p>
    <w:p w14:paraId="45F7A14C" w14:textId="699CC427" w:rsidR="00C540A4" w:rsidRDefault="000B42B5">
      <w:r>
        <w:t xml:space="preserve">The existing literature </w:t>
      </w:r>
      <w:r w:rsidR="00C540A4">
        <w:t xml:space="preserve">has highlighted a </w:t>
      </w:r>
      <w:r>
        <w:t>set</w:t>
      </w:r>
      <w:r w:rsidR="00C540A4">
        <w:t xml:space="preserve"> of major drivers </w:t>
      </w:r>
      <w:r>
        <w:t>that are expected to enhance or hinder</w:t>
      </w:r>
      <w:r w:rsidR="00C540A4">
        <w:t xml:space="preserve"> price variation over time in travel and tourism markets</w:t>
      </w:r>
      <w:r w:rsidR="00432B01">
        <w:t xml:space="preserve"> </w:t>
      </w:r>
      <w:r w:rsidR="009C3A86">
        <w:t>(</w:t>
      </w:r>
      <w:r w:rsidR="00432B01">
        <w:t xml:space="preserve">Chen </w:t>
      </w:r>
      <w:r w:rsidR="00DB71E1">
        <w:t>and</w:t>
      </w:r>
      <w:r w:rsidR="00CA2743">
        <w:t xml:space="preserve"> Schwartz</w:t>
      </w:r>
      <w:r w:rsidR="00432B01">
        <w:t>, 2008</w:t>
      </w:r>
      <w:r w:rsidR="00391574">
        <w:t>; Mauri, 2012</w:t>
      </w:r>
      <w:r w:rsidR="00432B01">
        <w:t>)</w:t>
      </w:r>
      <w:r w:rsidR="00C540A4">
        <w:t xml:space="preserve">. </w:t>
      </w:r>
      <w:r>
        <w:t xml:space="preserve">We will consider them in the two subsequent subsections. </w:t>
      </w:r>
    </w:p>
    <w:p w14:paraId="45F7A14D" w14:textId="77777777" w:rsidR="003308BA" w:rsidRPr="003308BA" w:rsidRDefault="003308BA" w:rsidP="003308BA">
      <w:pPr>
        <w:pStyle w:val="Heading3"/>
        <w:rPr>
          <w:rFonts w:ascii="Times New Roman" w:hAnsi="Times New Roman"/>
        </w:rPr>
      </w:pPr>
      <w:r w:rsidRPr="003308BA">
        <w:rPr>
          <w:rFonts w:ascii="Times New Roman" w:hAnsi="Times New Roman"/>
        </w:rPr>
        <w:t xml:space="preserve">2.1 Factors expected to </w:t>
      </w:r>
      <w:r w:rsidR="009E3DC6">
        <w:rPr>
          <w:rFonts w:ascii="Times New Roman" w:hAnsi="Times New Roman"/>
        </w:rPr>
        <w:t>boost</w:t>
      </w:r>
      <w:r w:rsidRPr="003308BA">
        <w:rPr>
          <w:rFonts w:ascii="Times New Roman" w:hAnsi="Times New Roman"/>
        </w:rPr>
        <w:t xml:space="preserve"> dynamic pricing.</w:t>
      </w:r>
    </w:p>
    <w:p w14:paraId="45F7A14E" w14:textId="2072F0CA" w:rsidR="003308BA" w:rsidRDefault="003308BA">
      <w:r>
        <w:t xml:space="preserve">Intertemporal price variation can be revealed by either upward or downward </w:t>
      </w:r>
      <w:r w:rsidR="00E87EBC">
        <w:t xml:space="preserve">price </w:t>
      </w:r>
      <w:r>
        <w:t>adjustments</w:t>
      </w:r>
      <w:r w:rsidR="00FD2B8A">
        <w:t xml:space="preserve"> during the booking period preceding</w:t>
      </w:r>
      <w:r w:rsidR="00386919">
        <w:rPr>
          <w:lang w:val="en-US"/>
        </w:rPr>
        <w:t xml:space="preserve"> the date of </w:t>
      </w:r>
      <w:r w:rsidR="00FD2B8A">
        <w:rPr>
          <w:lang w:val="en-US"/>
        </w:rPr>
        <w:t>the service’s</w:t>
      </w:r>
      <w:r w:rsidR="00FC2F00">
        <w:rPr>
          <w:lang w:val="en-US"/>
        </w:rPr>
        <w:t xml:space="preserve"> consumption</w:t>
      </w:r>
      <w:r w:rsidR="00485C5A">
        <w:rPr>
          <w:lang w:val="en-US"/>
        </w:rPr>
        <w:t xml:space="preserve">. </w:t>
      </w:r>
      <w:r w:rsidR="00386919">
        <w:rPr>
          <w:lang w:val="en-US"/>
        </w:rPr>
        <w:lastRenderedPageBreak/>
        <w:t xml:space="preserve">We </w:t>
      </w:r>
      <w:r w:rsidR="007877AE">
        <w:rPr>
          <w:lang w:val="en-US"/>
        </w:rPr>
        <w:t xml:space="preserve">therefore </w:t>
      </w:r>
      <w:r w:rsidR="00386919">
        <w:rPr>
          <w:lang w:val="en-US"/>
        </w:rPr>
        <w:t xml:space="preserve">consider those factors that are expected to </w:t>
      </w:r>
      <w:r w:rsidR="00901D6F">
        <w:rPr>
          <w:lang w:val="en-US"/>
        </w:rPr>
        <w:t>lead to</w:t>
      </w:r>
      <w:r w:rsidR="007877AE">
        <w:rPr>
          <w:lang w:val="en-US"/>
        </w:rPr>
        <w:t>, respectively,</w:t>
      </w:r>
      <w:r w:rsidR="00901D6F">
        <w:rPr>
          <w:lang w:val="en-US"/>
        </w:rPr>
        <w:t xml:space="preserve"> price increases</w:t>
      </w:r>
      <w:r w:rsidR="007877AE">
        <w:rPr>
          <w:lang w:val="en-US"/>
        </w:rPr>
        <w:t xml:space="preserve"> and decreases.</w:t>
      </w:r>
      <w:r>
        <w:t xml:space="preserve"> </w:t>
      </w:r>
    </w:p>
    <w:p w14:paraId="45F7A14F" w14:textId="6D7DBE08" w:rsidR="00C540A4" w:rsidRDefault="00C540A4">
      <w:r>
        <w:t xml:space="preserve">First, </w:t>
      </w:r>
      <w:r w:rsidR="00901D6F">
        <w:t xml:space="preserve">because </w:t>
      </w:r>
      <w:r>
        <w:t xml:space="preserve">consumers may be heterogeneous along such relevant dimensions as their willingness to pay for the service or the uncertainty </w:t>
      </w:r>
      <w:r w:rsidR="00172B39">
        <w:t xml:space="preserve">on </w:t>
      </w:r>
      <w:r>
        <w:t>whether they need to travel</w:t>
      </w:r>
      <w:r w:rsidR="00901D6F">
        <w:t xml:space="preserve">, firms may want to segment the market and </w:t>
      </w:r>
      <w:r w:rsidR="00563A76">
        <w:t xml:space="preserve">price </w:t>
      </w:r>
      <w:r w:rsidR="00563A76" w:rsidRPr="00563A76">
        <w:t xml:space="preserve">discriminate the business </w:t>
      </w:r>
      <w:r w:rsidR="00DB71E1">
        <w:t>traveller</w:t>
      </w:r>
      <w:r w:rsidR="00563A76" w:rsidRPr="00563A76">
        <w:t xml:space="preserve">s' segment from other lower demand </w:t>
      </w:r>
      <w:r w:rsidR="00DB71E1">
        <w:t>traveller</w:t>
      </w:r>
      <w:r w:rsidR="00563A76" w:rsidRPr="00563A76">
        <w:t>s, e.g., those trave</w:t>
      </w:r>
      <w:r w:rsidR="00DB71E1">
        <w:t>l</w:t>
      </w:r>
      <w:r w:rsidR="00563A76" w:rsidRPr="00563A76">
        <w:t xml:space="preserve">ling for leisure or </w:t>
      </w:r>
      <w:r w:rsidR="00563A76">
        <w:t xml:space="preserve">for visiting friends and family. The temporal effect </w:t>
      </w:r>
      <w:r w:rsidR="009414AA">
        <w:t>arises because</w:t>
      </w:r>
      <w:r>
        <w:t xml:space="preserve"> </w:t>
      </w:r>
      <w:r w:rsidR="009414AA">
        <w:t>business-</w:t>
      </w:r>
      <w:r w:rsidR="008309EB">
        <w:t>people</w:t>
      </w:r>
      <w:r>
        <w:t xml:space="preserve"> are more likely to discover whether they need to travel only a few days before the </w:t>
      </w:r>
      <w:r w:rsidR="00563A76">
        <w:t>consumption</w:t>
      </w:r>
      <w:r>
        <w:t xml:space="preserve"> date and their choice of travelling dates is</w:t>
      </w:r>
      <w:r w:rsidR="00563A76">
        <w:t xml:space="preserve"> therefore</w:t>
      </w:r>
      <w:r>
        <w:t xml:space="preserve"> very inflexible; </w:t>
      </w:r>
      <w:r w:rsidR="009414AA">
        <w:t>therefore</w:t>
      </w:r>
      <w:r>
        <w:t xml:space="preserve">, it should be expected that the prices </w:t>
      </w:r>
      <w:r w:rsidR="00563A76">
        <w:t>increase</w:t>
      </w:r>
      <w:r>
        <w:t xml:space="preserve"> a few days before the day of travel </w:t>
      </w:r>
      <w:r w:rsidR="00624EA5">
        <w:t>(Alderighi et. a</w:t>
      </w:r>
      <w:r w:rsidR="00F14A0D">
        <w:t>l. 2016)</w:t>
      </w:r>
      <w:r w:rsidR="00624EA5">
        <w:t>.</w:t>
      </w:r>
    </w:p>
    <w:p w14:paraId="0BF028A1" w14:textId="5653D184" w:rsidR="007D418B" w:rsidRDefault="007D418B">
      <w:r>
        <w:rPr>
          <w:lang w:val="en-US"/>
        </w:rPr>
        <w:t xml:space="preserve">Abrate </w:t>
      </w:r>
      <w:r>
        <w:rPr>
          <w:i/>
          <w:lang w:val="en-US"/>
        </w:rPr>
        <w:t>et al.</w:t>
      </w:r>
      <w:r>
        <w:rPr>
          <w:lang w:val="en-US"/>
        </w:rPr>
        <w:t xml:space="preserve"> (2012) study whether the temporal structure of hotel prices depends on the composition of customers’ type, defined by the motivation of stay, that is, leisure vs. business. They argue that on weekdays the hotels serve a larger proportion of business customers, while on weekends hotels serve predominantly leisure ones. Based on the price of a single room posted online between three months and one day before the stay by about 1000 hotels in eight European capitals, their evidence reveals that over 90% of prices changed during the period, and that the intertemporal price profile varies depending mainly on the mix of customers the hotels anticipate they will be serving</w:t>
      </w:r>
      <w:r>
        <w:rPr>
          <w:color w:val="000000"/>
          <w:lang w:val="en-US"/>
        </w:rPr>
        <w:t>.</w:t>
      </w:r>
    </w:p>
    <w:p w14:paraId="45F7A150" w14:textId="77777777" w:rsidR="00C540A4" w:rsidRDefault="00C540A4">
      <w:r>
        <w:t xml:space="preserve">Second, firms may respond to the online presence of strategic customers, i.e., those who may postpone the purchase in anticipation of last-minute discounts, by committing to raise prices over time </w:t>
      </w:r>
      <w:r w:rsidR="00172B39">
        <w:t>to</w:t>
      </w:r>
      <w:r>
        <w:t xml:space="preserve"> discourage such behaviour </w:t>
      </w:r>
      <w:r w:rsidR="00624EA5">
        <w:t>(Li et al., 2014)</w:t>
      </w:r>
      <w:r>
        <w:t xml:space="preserve">. </w:t>
      </w:r>
      <w:r w:rsidR="00FB2E98">
        <w:t xml:space="preserve">Such a strategy </w:t>
      </w:r>
      <w:r w:rsidR="00F01AC8">
        <w:t>may nonetheless be</w:t>
      </w:r>
      <w:r w:rsidR="00FB2E98">
        <w:t xml:space="preserve"> compatible with price reductions, </w:t>
      </w:r>
      <w:r w:rsidR="00C40A13">
        <w:t>if</w:t>
      </w:r>
      <w:r w:rsidR="00FB2E98">
        <w:t xml:space="preserve"> these occur randomly and do not </w:t>
      </w:r>
      <w:r w:rsidR="000F272D">
        <w:t>disrupt the overall increasing temporal trend of prices</w:t>
      </w:r>
      <w:r w:rsidR="00FB2E98">
        <w:t xml:space="preserve"> </w:t>
      </w:r>
      <w:r w:rsidR="00624EA5">
        <w:t>(Sweeting, 2012).</w:t>
      </w:r>
    </w:p>
    <w:p w14:paraId="45F7A151" w14:textId="67D8501D" w:rsidR="00C540A4" w:rsidRDefault="00FB2E98">
      <w:r>
        <w:t>Thirdly,</w:t>
      </w:r>
      <w:r w:rsidR="007877AE">
        <w:t xml:space="preserve"> “inventory control”</w:t>
      </w:r>
      <w:r>
        <w:t xml:space="preserve"> </w:t>
      </w:r>
      <w:r w:rsidR="007877AE">
        <w:t>is a central</w:t>
      </w:r>
      <w:r w:rsidR="000F272D">
        <w:t xml:space="preserve"> aspect of </w:t>
      </w:r>
      <w:r w:rsidR="002C024F">
        <w:t>RM</w:t>
      </w:r>
      <w:r w:rsidR="000F272D">
        <w:t xml:space="preserve"> in airline markets</w:t>
      </w:r>
      <w:r w:rsidR="00FE3DA5">
        <w:t>. It</w:t>
      </w:r>
      <w:r w:rsidR="000F272D">
        <w:t xml:space="preserve"> consists in </w:t>
      </w:r>
      <w:r w:rsidR="007877AE" w:rsidRPr="000F272D">
        <w:rPr>
          <w:i/>
        </w:rPr>
        <w:t>i</w:t>
      </w:r>
      <w:r w:rsidR="007877AE">
        <w:t xml:space="preserve">) </w:t>
      </w:r>
      <w:r w:rsidR="000F272D" w:rsidRPr="000F272D">
        <w:t xml:space="preserve">setting ticket classes, i.e., fare levels and associated restrictions (refundability, advance purchase, business vs. economy) and </w:t>
      </w:r>
      <w:r w:rsidR="000F272D" w:rsidRPr="000F272D">
        <w:rPr>
          <w:i/>
        </w:rPr>
        <w:t>ii</w:t>
      </w:r>
      <w:r w:rsidR="000F272D" w:rsidRPr="000F272D">
        <w:t>) defining the number of seats available at each fare.</w:t>
      </w:r>
      <w:r w:rsidR="000F272D">
        <w:t xml:space="preserve"> The equivalent in hotel markets would be</w:t>
      </w:r>
      <w:r w:rsidR="00FE3DA5">
        <w:t xml:space="preserve">, assuming identical room characteristics, </w:t>
      </w:r>
      <w:r w:rsidR="000F272D">
        <w:t xml:space="preserve">deciding </w:t>
      </w:r>
      <w:r w:rsidR="000F272D">
        <w:rPr>
          <w:i/>
        </w:rPr>
        <w:t>i)</w:t>
      </w:r>
      <w:r w:rsidR="000F272D">
        <w:t xml:space="preserve"> the relevant booking classes and </w:t>
      </w:r>
      <w:r w:rsidR="000F272D">
        <w:rPr>
          <w:i/>
        </w:rPr>
        <w:t>ii</w:t>
      </w:r>
      <w:r w:rsidR="000F272D">
        <w:t xml:space="preserve">) </w:t>
      </w:r>
      <w:r w:rsidR="00FE3DA5">
        <w:t>the number of rooms</w:t>
      </w:r>
      <w:r w:rsidR="000F272D">
        <w:t xml:space="preserve"> to sell in each class.</w:t>
      </w:r>
      <w:r w:rsidR="00FE3DA5">
        <w:t xml:space="preserve"> Dana (1999) demonstrates</w:t>
      </w:r>
      <w:r w:rsidR="008A5DA3">
        <w:t xml:space="preserve"> </w:t>
      </w:r>
      <w:r w:rsidR="00FE3DA5">
        <w:t>that it is optimal for firms to divide their capacity</w:t>
      </w:r>
      <w:r w:rsidR="000F272D">
        <w:t xml:space="preserve"> </w:t>
      </w:r>
      <w:r w:rsidR="00FE3DA5">
        <w:t xml:space="preserve">into </w:t>
      </w:r>
      <w:r w:rsidR="0071453F">
        <w:t>“buckets”</w:t>
      </w:r>
      <w:r w:rsidR="00FE3DA5">
        <w:t xml:space="preserve">, each characterised by a varying number of seats or rooms and by a monotonically increasing price level. </w:t>
      </w:r>
      <w:r w:rsidR="0071453F">
        <w:t xml:space="preserve">The units in a bucket are all sold at the same price, and once they sell out, the price moves automatically upwards to the next bucket’s price </w:t>
      </w:r>
      <w:r w:rsidR="0071453F">
        <w:lastRenderedPageBreak/>
        <w:t xml:space="preserve">level. </w:t>
      </w:r>
      <w:r w:rsidR="008D514A">
        <w:t>Alderighi et al. (2016</w:t>
      </w:r>
      <w:r w:rsidR="004B7BB4">
        <w:t>)</w:t>
      </w:r>
      <w:r w:rsidR="0071453F">
        <w:t xml:space="preserve"> test the implications of Dana’s model for the case of the airline industry</w:t>
      </w:r>
      <w:r w:rsidR="004B7BB4">
        <w:t xml:space="preserve">; they find that the fare goes up as the plane fills up. </w:t>
      </w:r>
      <w:r w:rsidR="007A4B94">
        <w:t>T</w:t>
      </w:r>
      <w:r w:rsidR="00B84E23">
        <w:t>he fi</w:t>
      </w:r>
      <w:r w:rsidR="008D514A">
        <w:t>ndings in Alderighi et al. (2016</w:t>
      </w:r>
      <w:r w:rsidR="00AB728E">
        <w:t xml:space="preserve">) </w:t>
      </w:r>
      <w:r w:rsidR="00B84E23">
        <w:t>suggest that having information on the load factor of an aircraft or hotel at the time a price is posted, is necessary to disentangle an intertemporal price discrimination motive from cost-based pricing. In this work, we do not have information of the number of rooms available in the hotel at the time a price was posted; this is not a limitation, because both intertemporal price discrimination and cost-based pricing</w:t>
      </w:r>
      <w:r w:rsidR="0003276A">
        <w:t xml:space="preserve"> related to inventory control</w:t>
      </w:r>
      <w:r w:rsidR="00B84E23">
        <w:t xml:space="preserve"> are expected to </w:t>
      </w:r>
      <w:r w:rsidR="00DC544B">
        <w:t xml:space="preserve">operate in the same direction to produce a variation </w:t>
      </w:r>
      <w:r w:rsidR="00B84E23">
        <w:t>in room prices, which is the focus of our empirical strategy.</w:t>
      </w:r>
    </w:p>
    <w:p w14:paraId="45F7A153" w14:textId="75269D4B" w:rsidR="00292782" w:rsidRDefault="00B84E23" w:rsidP="00292782">
      <w:r>
        <w:t xml:space="preserve">Prices may </w:t>
      </w:r>
      <w:r w:rsidR="009D6975">
        <w:t>be dropped</w:t>
      </w:r>
      <w:r>
        <w:t xml:space="preserve"> for two</w:t>
      </w:r>
      <w:r w:rsidR="0052326B">
        <w:t xml:space="preserve"> main theoretical reasons. One</w:t>
      </w:r>
      <w:r w:rsidR="0071453F">
        <w:t xml:space="preserve">, hotels and airlines offer a highly perishable product. Because an unsold seat or room carries no value for the firm, </w:t>
      </w:r>
      <w:r w:rsidR="0052326B">
        <w:t>there is a strong incentive to lower</w:t>
      </w:r>
      <w:r w:rsidR="0071453F">
        <w:t xml:space="preserve"> prices</w:t>
      </w:r>
      <w:r w:rsidR="0052326B">
        <w:t>, which</w:t>
      </w:r>
      <w:r w:rsidR="0071453F">
        <w:t xml:space="preserve"> are therefore expected to fall </w:t>
      </w:r>
      <w:r w:rsidR="00ED5254">
        <w:t>as the consumption date nears</w:t>
      </w:r>
      <w:r w:rsidR="009C0B6A">
        <w:t xml:space="preserve"> (</w:t>
      </w:r>
      <w:r w:rsidR="00B2415F">
        <w:t>Talluri</w:t>
      </w:r>
      <w:r w:rsidR="009C0B6A">
        <w:t xml:space="preserve"> and van Ryzin, 2004</w:t>
      </w:r>
      <w:r w:rsidR="00DA4839">
        <w:t xml:space="preserve">). </w:t>
      </w:r>
      <w:r w:rsidR="0052326B">
        <w:t>Two</w:t>
      </w:r>
      <w:r w:rsidR="00C540A4">
        <w:t>, a price reduction is the simplest method to stimulate a sluggish demand. To reduce learning effects that enhance strategic behaviour by consumers, the literature has revealed that European low-cost airlines offer secret discounts (Bachis and Piga, 201</w:t>
      </w:r>
      <w:r w:rsidR="00E13926">
        <w:t>1</w:t>
      </w:r>
      <w:r w:rsidR="00C540A4">
        <w:t>) or generally apply price reductions randomly to reduce their predictability</w:t>
      </w:r>
      <w:r w:rsidR="007A4B94">
        <w:t xml:space="preserve"> and enhance a flight’s load factor (</w:t>
      </w:r>
      <w:r w:rsidR="00292782">
        <w:t>Bilotkach et al.</w:t>
      </w:r>
      <w:r w:rsidR="007A4B94">
        <w:t>,</w:t>
      </w:r>
      <w:r w:rsidR="00292782">
        <w:t xml:space="preserve"> 2014)</w:t>
      </w:r>
      <w:r w:rsidR="007A4B94">
        <w:t>.</w:t>
      </w:r>
    </w:p>
    <w:p w14:paraId="45F7A154" w14:textId="77777777" w:rsidR="00AA4536" w:rsidRPr="008E1B51" w:rsidRDefault="0052326B" w:rsidP="0052326B">
      <w:pPr>
        <w:pStyle w:val="Heading3"/>
        <w:rPr>
          <w:rFonts w:ascii="Times New Roman" w:hAnsi="Times New Roman"/>
        </w:rPr>
      </w:pPr>
      <w:r w:rsidRPr="008E1B51">
        <w:rPr>
          <w:rFonts w:ascii="Times New Roman" w:hAnsi="Times New Roman"/>
        </w:rPr>
        <w:t>2.2 Reasons favo</w:t>
      </w:r>
      <w:r w:rsidR="00292782">
        <w:rPr>
          <w:rFonts w:ascii="Times New Roman" w:hAnsi="Times New Roman"/>
        </w:rPr>
        <w:t>u</w:t>
      </w:r>
      <w:r w:rsidRPr="008E1B51">
        <w:rPr>
          <w:rFonts w:ascii="Times New Roman" w:hAnsi="Times New Roman"/>
        </w:rPr>
        <w:t>ring uniform pricing</w:t>
      </w:r>
      <w:r w:rsidR="00AB4E1F" w:rsidRPr="008E1B51">
        <w:rPr>
          <w:rFonts w:ascii="Times New Roman" w:hAnsi="Times New Roman"/>
        </w:rPr>
        <w:t>.</w:t>
      </w:r>
    </w:p>
    <w:p w14:paraId="45F7A155" w14:textId="2B76C410" w:rsidR="00AA4536" w:rsidRDefault="00AB4E1F" w:rsidP="00AA4536">
      <w:pPr>
        <w:rPr>
          <w:lang w:val="en-US"/>
        </w:rPr>
      </w:pPr>
      <w:r>
        <w:rPr>
          <w:lang w:val="en-US"/>
        </w:rPr>
        <w:t xml:space="preserve">There are both cost-based </w:t>
      </w:r>
      <w:r w:rsidR="00060C2F">
        <w:rPr>
          <w:lang w:val="en-US"/>
        </w:rPr>
        <w:t>and</w:t>
      </w:r>
      <w:r w:rsidR="00B2415F">
        <w:rPr>
          <w:lang w:val="en-US"/>
        </w:rPr>
        <w:t xml:space="preserve"> strategic reasons why firms may choose a uniform pricing approach.</w:t>
      </w:r>
      <w:r>
        <w:rPr>
          <w:lang w:val="en-US"/>
        </w:rPr>
        <w:t xml:space="preserve"> </w:t>
      </w:r>
      <w:r w:rsidR="00AA4536" w:rsidRPr="00AA4536">
        <w:rPr>
          <w:lang w:val="en-US"/>
        </w:rPr>
        <w:t>Zbaracki et al. (2004) show that</w:t>
      </w:r>
      <w:r>
        <w:rPr>
          <w:lang w:val="en-US"/>
        </w:rPr>
        <w:t>, for the case of industrial products and services,</w:t>
      </w:r>
      <w:r w:rsidR="00AA4536" w:rsidRPr="00AA4536">
        <w:rPr>
          <w:lang w:val="en-US"/>
        </w:rPr>
        <w:t xml:space="preserve"> managerial and customer costs to change prices are relevant. </w:t>
      </w:r>
      <w:r w:rsidR="006F7429">
        <w:rPr>
          <w:lang w:val="en-US"/>
        </w:rPr>
        <w:t>Among</w:t>
      </w:r>
      <w:r w:rsidR="00AA4536" w:rsidRPr="00AA4536">
        <w:rPr>
          <w:lang w:val="en-US"/>
        </w:rPr>
        <w:t xml:space="preserve"> managerial costs</w:t>
      </w:r>
      <w:r w:rsidR="006F7429">
        <w:rPr>
          <w:lang w:val="en-US"/>
        </w:rPr>
        <w:t xml:space="preserve"> they include</w:t>
      </w:r>
      <w:r w:rsidR="00AA4536" w:rsidRPr="00AA4536">
        <w:rPr>
          <w:lang w:val="en-US"/>
        </w:rPr>
        <w:t xml:space="preserve"> those related to the </w:t>
      </w:r>
      <w:r w:rsidR="00FD2B8A">
        <w:rPr>
          <w:lang w:val="en-US"/>
        </w:rPr>
        <w:t xml:space="preserve">managers’ </w:t>
      </w:r>
      <w:r w:rsidR="0046541D">
        <w:rPr>
          <w:lang w:val="en-US"/>
        </w:rPr>
        <w:t>effort</w:t>
      </w:r>
      <w:r w:rsidR="00AA4536" w:rsidRPr="00AA4536">
        <w:rPr>
          <w:lang w:val="en-US"/>
        </w:rPr>
        <w:t xml:space="preserve"> to gather the information, those </w:t>
      </w:r>
      <w:r w:rsidR="0046541D">
        <w:rPr>
          <w:lang w:val="en-US"/>
        </w:rPr>
        <w:t>associated</w:t>
      </w:r>
      <w:r w:rsidR="00AA4536" w:rsidRPr="00AA4536">
        <w:rPr>
          <w:lang w:val="en-US"/>
        </w:rPr>
        <w:t xml:space="preserve"> to the </w:t>
      </w:r>
      <w:r w:rsidR="0046541D">
        <w:rPr>
          <w:lang w:val="en-US"/>
        </w:rPr>
        <w:t>time and attention</w:t>
      </w:r>
      <w:r w:rsidR="00AA4536" w:rsidRPr="00AA4536">
        <w:rPr>
          <w:lang w:val="en-US"/>
        </w:rPr>
        <w:t xml:space="preserve"> to make the decision and, finally, the communication costs </w:t>
      </w:r>
      <w:r w:rsidR="0046541D">
        <w:rPr>
          <w:lang w:val="en-US"/>
        </w:rPr>
        <w:t>inside</w:t>
      </w:r>
      <w:r w:rsidR="00AA4536" w:rsidRPr="00AA4536">
        <w:rPr>
          <w:lang w:val="en-US"/>
        </w:rPr>
        <w:t xml:space="preserve"> the firm, to explain the logic of the change. </w:t>
      </w:r>
      <w:r w:rsidR="00FD2B8A">
        <w:rPr>
          <w:lang w:val="en-US"/>
        </w:rPr>
        <w:t>C</w:t>
      </w:r>
      <w:r w:rsidR="006F7429">
        <w:rPr>
          <w:lang w:val="en-US"/>
        </w:rPr>
        <w:t>ustomer</w:t>
      </w:r>
      <w:r w:rsidR="007F1C24">
        <w:rPr>
          <w:lang w:val="en-US"/>
        </w:rPr>
        <w:t xml:space="preserve"> </w:t>
      </w:r>
      <w:r w:rsidR="00AA4536" w:rsidRPr="00AA4536">
        <w:rPr>
          <w:lang w:val="en-US"/>
        </w:rPr>
        <w:t xml:space="preserve">costs include </w:t>
      </w:r>
      <w:r w:rsidR="007F1C24">
        <w:rPr>
          <w:lang w:val="en-US"/>
        </w:rPr>
        <w:t xml:space="preserve">those incurred to </w:t>
      </w:r>
      <w:r w:rsidR="00FD2B8A">
        <w:rPr>
          <w:lang w:val="en-US"/>
        </w:rPr>
        <w:t>inform</w:t>
      </w:r>
      <w:r w:rsidR="00AA4536" w:rsidRPr="00AA4536">
        <w:rPr>
          <w:lang w:val="en-US"/>
        </w:rPr>
        <w:t xml:space="preserve"> customers. </w:t>
      </w:r>
      <w:r w:rsidR="00810456">
        <w:rPr>
          <w:lang w:val="en-US"/>
        </w:rPr>
        <w:t>Their estimates indicate</w:t>
      </w:r>
      <w:r w:rsidR="00AA4536" w:rsidRPr="00AA4536">
        <w:rPr>
          <w:lang w:val="en-US"/>
        </w:rPr>
        <w:t xml:space="preserve"> managerial costs are more than 6 times, and customer costs are more than 20 times, the simple cost of changing nominal prices, the so called </w:t>
      </w:r>
      <w:r w:rsidR="00DA4839" w:rsidRPr="00A55103">
        <w:rPr>
          <w:lang w:val="en-US"/>
        </w:rPr>
        <w:t>“</w:t>
      </w:r>
      <w:r w:rsidR="00AA4536" w:rsidRPr="00AA4536">
        <w:rPr>
          <w:lang w:val="en-US"/>
        </w:rPr>
        <w:t>menu costs</w:t>
      </w:r>
      <w:r w:rsidR="00DA4839" w:rsidRPr="00A55103">
        <w:rPr>
          <w:lang w:val="en-US"/>
        </w:rPr>
        <w:t>”</w:t>
      </w:r>
      <w:r w:rsidR="00DA4839">
        <w:rPr>
          <w:lang w:val="en-US"/>
        </w:rPr>
        <w:t xml:space="preserve"> </w:t>
      </w:r>
      <w:r w:rsidR="009D6975">
        <w:rPr>
          <w:lang w:val="en-US"/>
        </w:rPr>
        <w:t>(</w:t>
      </w:r>
      <w:r w:rsidR="009D6975">
        <w:rPr>
          <w:bCs/>
        </w:rPr>
        <w:t xml:space="preserve">Bryniolfsson and Smith, </w:t>
      </w:r>
      <w:r w:rsidR="009D6975" w:rsidRPr="005E470A">
        <w:rPr>
          <w:bCs/>
        </w:rPr>
        <w:t>2000)</w:t>
      </w:r>
      <w:r w:rsidR="00AA4536" w:rsidRPr="00AA4536">
        <w:rPr>
          <w:lang w:val="en-US"/>
        </w:rPr>
        <w:t>.</w:t>
      </w:r>
      <w:r w:rsidR="009D6975">
        <w:rPr>
          <w:lang w:val="en-US"/>
        </w:rPr>
        <w:t xml:space="preserve"> </w:t>
      </w:r>
    </w:p>
    <w:p w14:paraId="45F7A156" w14:textId="77777777" w:rsidR="009D6975" w:rsidRPr="00AA4536" w:rsidRDefault="005372CB" w:rsidP="00AA4536">
      <w:pPr>
        <w:rPr>
          <w:lang w:val="en-US"/>
        </w:rPr>
      </w:pPr>
      <w:r>
        <w:rPr>
          <w:lang w:val="en-US"/>
        </w:rPr>
        <w:t xml:space="preserve">As far as the strategic reasons favoring a uniform pricing approach are concerned, perceived (un)fairness, </w:t>
      </w:r>
      <w:r w:rsidR="004B4498">
        <w:rPr>
          <w:lang w:val="en-US"/>
        </w:rPr>
        <w:t>uninformed customers</w:t>
      </w:r>
      <w:r>
        <w:rPr>
          <w:lang w:val="en-US"/>
        </w:rPr>
        <w:t xml:space="preserve"> and demand uncertainty are often cited factors (Orbach and Einav, 2007)</w:t>
      </w:r>
      <w:r>
        <w:t xml:space="preserve">. </w:t>
      </w:r>
    </w:p>
    <w:p w14:paraId="45F7A157" w14:textId="77777777" w:rsidR="006E4952" w:rsidRPr="001518E7" w:rsidRDefault="00F24C7E" w:rsidP="00F24C7E">
      <w:pPr>
        <w:rPr>
          <w:lang w:val="en-US"/>
        </w:rPr>
      </w:pPr>
      <w:r>
        <w:lastRenderedPageBreak/>
        <w:t xml:space="preserve">The (un)fairness of a price is a very controversial issue </w:t>
      </w:r>
      <w:r w:rsidR="00ED5254">
        <w:t>for several reasons</w:t>
      </w:r>
      <w:r>
        <w:t xml:space="preserve"> but above all because</w:t>
      </w:r>
      <w:r>
        <w:rPr>
          <w:lang w:val="en-US"/>
        </w:rPr>
        <w:t xml:space="preserve"> the perception of </w:t>
      </w:r>
      <w:r w:rsidR="00ED5254">
        <w:rPr>
          <w:lang w:val="en-US"/>
        </w:rPr>
        <w:t>(un)</w:t>
      </w:r>
      <w:r>
        <w:rPr>
          <w:lang w:val="en-US"/>
        </w:rPr>
        <w:t xml:space="preserve">fairness of a price is always a matter of judgment that depends on </w:t>
      </w:r>
      <w:r w:rsidR="00E87EBC">
        <w:rPr>
          <w:lang w:val="en-US"/>
        </w:rPr>
        <w:t xml:space="preserve">such </w:t>
      </w:r>
      <w:r>
        <w:rPr>
          <w:lang w:val="en-US"/>
        </w:rPr>
        <w:t xml:space="preserve">factors as the context of past purchases, product knowledge and brand communication strategies both formal (advertising) and informal (word of mouth, online reviews). </w:t>
      </w:r>
      <w:r w:rsidR="00E87EBC">
        <w:rPr>
          <w:lang w:val="en-US"/>
        </w:rPr>
        <w:t>Thus,</w:t>
      </w:r>
      <w:r>
        <w:rPr>
          <w:lang w:val="en-US"/>
        </w:rPr>
        <w:t xml:space="preserve"> the decision to purchase is not only based on the price quoted by the company, but </w:t>
      </w:r>
      <w:r w:rsidR="00ED5254">
        <w:rPr>
          <w:lang w:val="en-US"/>
        </w:rPr>
        <w:t xml:space="preserve">on </w:t>
      </w:r>
      <w:r w:rsidR="00ED5254" w:rsidRPr="001518E7">
        <w:rPr>
          <w:lang w:val="en-US"/>
        </w:rPr>
        <w:t>its</w:t>
      </w:r>
      <w:r w:rsidRPr="001518E7">
        <w:rPr>
          <w:lang w:val="en-US"/>
        </w:rPr>
        <w:t xml:space="preserve"> comparison </w:t>
      </w:r>
      <w:r w:rsidR="00ED5254" w:rsidRPr="001518E7">
        <w:rPr>
          <w:lang w:val="en-US"/>
        </w:rPr>
        <w:t>with</w:t>
      </w:r>
      <w:r w:rsidRPr="001518E7">
        <w:rPr>
          <w:lang w:val="en-US"/>
        </w:rPr>
        <w:t xml:space="preserve"> the</w:t>
      </w:r>
      <w:r w:rsidR="00ED5254" w:rsidRPr="001518E7">
        <w:rPr>
          <w:lang w:val="en-US"/>
        </w:rPr>
        <w:t xml:space="preserve"> customer’s</w:t>
      </w:r>
      <w:r w:rsidRPr="001518E7">
        <w:rPr>
          <w:lang w:val="en-US"/>
        </w:rPr>
        <w:t xml:space="preserve"> </w:t>
      </w:r>
      <w:r w:rsidR="00A72E1B" w:rsidRPr="001518E7">
        <w:rPr>
          <w:lang w:val="en-US"/>
        </w:rPr>
        <w:t>singular</w:t>
      </w:r>
      <w:r w:rsidRPr="001518E7">
        <w:rPr>
          <w:lang w:val="en-US"/>
        </w:rPr>
        <w:t xml:space="preserve"> idea of the current price</w:t>
      </w:r>
      <w:r w:rsidR="00A72E1B" w:rsidRPr="001518E7">
        <w:rPr>
          <w:lang w:val="en-US"/>
        </w:rPr>
        <w:t xml:space="preserve"> (Kotler et al., 2015)</w:t>
      </w:r>
      <w:r w:rsidR="00ED5254" w:rsidRPr="001518E7">
        <w:rPr>
          <w:lang w:val="en-US"/>
        </w:rPr>
        <w:t>.</w:t>
      </w:r>
      <w:r w:rsidRPr="001518E7">
        <w:rPr>
          <w:lang w:val="en-US"/>
        </w:rPr>
        <w:t xml:space="preserve"> </w:t>
      </w:r>
      <w:r w:rsidR="00ED5254" w:rsidRPr="001518E7">
        <w:rPr>
          <w:lang w:val="en-US"/>
        </w:rPr>
        <w:t xml:space="preserve">Specifically, </w:t>
      </w:r>
      <w:r w:rsidR="006E4952" w:rsidRPr="001518E7">
        <w:rPr>
          <w:lang w:val="en-US"/>
        </w:rPr>
        <w:t>posted price's unfairness</w:t>
      </w:r>
      <w:r w:rsidR="00FB6DD9" w:rsidRPr="001518E7">
        <w:rPr>
          <w:lang w:val="en-US"/>
        </w:rPr>
        <w:t xml:space="preserve"> (or attractiveness)</w:t>
      </w:r>
      <w:r w:rsidR="006E4952" w:rsidRPr="001518E7">
        <w:rPr>
          <w:lang w:val="en-US"/>
        </w:rPr>
        <w:t xml:space="preserve"> </w:t>
      </w:r>
      <w:r w:rsidR="00ED5254" w:rsidRPr="001518E7">
        <w:rPr>
          <w:lang w:val="en-US"/>
        </w:rPr>
        <w:t>may arise from its relative evaluation</w:t>
      </w:r>
      <w:r w:rsidR="006E4952" w:rsidRPr="001518E7">
        <w:rPr>
          <w:lang w:val="en-US"/>
        </w:rPr>
        <w:t xml:space="preserve"> </w:t>
      </w:r>
      <w:r w:rsidR="00ED5254" w:rsidRPr="001518E7">
        <w:rPr>
          <w:lang w:val="en-US"/>
        </w:rPr>
        <w:t>with</w:t>
      </w:r>
      <w:r w:rsidR="006E4952" w:rsidRPr="001518E7">
        <w:rPr>
          <w:lang w:val="en-US"/>
        </w:rPr>
        <w:t xml:space="preserve"> a regular price, a reference, or a standar</w:t>
      </w:r>
      <w:r w:rsidR="00ED5254" w:rsidRPr="001518E7">
        <w:rPr>
          <w:lang w:val="en-US"/>
        </w:rPr>
        <w:t>d</w:t>
      </w:r>
      <w:r w:rsidR="006E4952" w:rsidRPr="001518E7">
        <w:rPr>
          <w:lang w:val="en-US"/>
        </w:rPr>
        <w:t xml:space="preserve"> (</w:t>
      </w:r>
      <w:r w:rsidR="00BE5713" w:rsidRPr="001518E7">
        <w:rPr>
          <w:lang w:val="en-US"/>
        </w:rPr>
        <w:t>Nieto-García et al., 2017</w:t>
      </w:r>
      <w:r w:rsidR="006E4952" w:rsidRPr="001518E7">
        <w:rPr>
          <w:lang w:val="en-US"/>
        </w:rPr>
        <w:t xml:space="preserve">). </w:t>
      </w:r>
      <w:r w:rsidR="00FB6DD9" w:rsidRPr="001518E7">
        <w:rPr>
          <w:lang w:val="en-US"/>
        </w:rPr>
        <w:t xml:space="preserve">Viglia et al (2016) </w:t>
      </w:r>
      <w:r w:rsidR="00FC34D1" w:rsidRPr="001518E7">
        <w:rPr>
          <w:lang w:val="en-US"/>
        </w:rPr>
        <w:t xml:space="preserve">distinguish between memory-based reference prices, those associated with past purchasing experience, from stimulus-based ones, which are based on the observation of the current distribution of prices offered by equivalent suppliers of the product/service. They </w:t>
      </w:r>
      <w:r w:rsidR="00FB6DD9" w:rsidRPr="001518E7">
        <w:rPr>
          <w:lang w:val="en-US"/>
        </w:rPr>
        <w:t xml:space="preserve">argue that reference prices are a strong element to the moderation of price changes dynamics, </w:t>
      </w:r>
      <w:r w:rsidR="00FC34D1" w:rsidRPr="001518E7">
        <w:rPr>
          <w:lang w:val="en-US"/>
        </w:rPr>
        <w:t xml:space="preserve">and that hotels </w:t>
      </w:r>
      <w:r w:rsidR="008D007C" w:rsidRPr="001518E7">
        <w:rPr>
          <w:lang w:val="en-US"/>
        </w:rPr>
        <w:t xml:space="preserve">should be very cautious in lowering their prices, because doing so affects the reference price formation, especially if discounts are offered for longer periods. </w:t>
      </w:r>
      <w:r w:rsidR="00141AC6" w:rsidRPr="001518E7">
        <w:rPr>
          <w:lang w:val="en-US"/>
        </w:rPr>
        <w:t xml:space="preserve">Furthermore, loyal customers dislike price changes </w:t>
      </w:r>
      <w:r w:rsidR="00A02AE0" w:rsidRPr="001518E7">
        <w:rPr>
          <w:lang w:val="en-US"/>
        </w:rPr>
        <w:t>induced by</w:t>
      </w:r>
      <w:r w:rsidR="00141AC6" w:rsidRPr="001518E7">
        <w:rPr>
          <w:lang w:val="en-US"/>
        </w:rPr>
        <w:t xml:space="preserve"> RM more intensely</w:t>
      </w:r>
      <w:r w:rsidR="00A02AE0" w:rsidRPr="001518E7">
        <w:rPr>
          <w:lang w:val="en-US"/>
        </w:rPr>
        <w:t xml:space="preserve"> (Sahut et al., 2016)</w:t>
      </w:r>
      <w:r w:rsidR="00141AC6" w:rsidRPr="001518E7">
        <w:rPr>
          <w:lang w:val="en-US"/>
        </w:rPr>
        <w:t>.</w:t>
      </w:r>
    </w:p>
    <w:p w14:paraId="45F7A158" w14:textId="39BC305B" w:rsidR="00F24C7E" w:rsidRPr="001518E7" w:rsidRDefault="00F24C7E" w:rsidP="00F24C7E">
      <w:pPr>
        <w:rPr>
          <w:lang w:val="en-US"/>
        </w:rPr>
      </w:pPr>
      <w:r>
        <w:rPr>
          <w:lang w:val="en-US"/>
        </w:rPr>
        <w:t xml:space="preserve">In the travel and tourism industry, the high variability of prices over time can therefore be perceived as "unfair" by consumers who have paid a higher price than other customers. </w:t>
      </w:r>
      <w:r w:rsidR="00125DEB">
        <w:rPr>
          <w:lang w:val="en-US"/>
        </w:rPr>
        <w:t>The</w:t>
      </w:r>
      <w:r>
        <w:rPr>
          <w:lang w:val="en-US"/>
        </w:rPr>
        <w:t xml:space="preserve"> perception of price equity/iniquity plays an important role in customer satisfaction and subsequent behavior (Oliver and Swan 1989). If hotel clients perceive </w:t>
      </w:r>
      <w:r w:rsidR="002C024F">
        <w:rPr>
          <w:lang w:val="en-US"/>
        </w:rPr>
        <w:t>RM</w:t>
      </w:r>
      <w:r>
        <w:rPr>
          <w:lang w:val="en-US"/>
        </w:rPr>
        <w:t xml:space="preserve"> practices as unfair, the increase in revenues resulting from such practices may be only short-term</w:t>
      </w:r>
      <w:r w:rsidR="0066771F">
        <w:rPr>
          <w:lang w:val="en-US"/>
        </w:rPr>
        <w:t xml:space="preserve">, </w:t>
      </w:r>
      <w:r>
        <w:rPr>
          <w:lang w:val="en-US"/>
        </w:rPr>
        <w:t xml:space="preserve">lead to a decrease in customer satisfaction and, ultimately, to the reduction of their loyalty (Kimes 2002). </w:t>
      </w:r>
      <w:r w:rsidRPr="001518E7">
        <w:rPr>
          <w:lang w:val="en-US"/>
        </w:rPr>
        <w:t xml:space="preserve">This is important </w:t>
      </w:r>
      <w:r w:rsidR="004B4498" w:rsidRPr="001518E7">
        <w:rPr>
          <w:lang w:val="en-US"/>
        </w:rPr>
        <w:t xml:space="preserve">for </w:t>
      </w:r>
      <w:r w:rsidRPr="001518E7">
        <w:rPr>
          <w:lang w:val="en-US"/>
        </w:rPr>
        <w:t>online</w:t>
      </w:r>
      <w:r w:rsidR="004B4498" w:rsidRPr="001518E7">
        <w:rPr>
          <w:lang w:val="en-US"/>
        </w:rPr>
        <w:t xml:space="preserve"> markets</w:t>
      </w:r>
      <w:r w:rsidRPr="001518E7">
        <w:rPr>
          <w:lang w:val="en-US"/>
        </w:rPr>
        <w:t xml:space="preserve"> </w:t>
      </w:r>
      <w:r w:rsidR="00E13926" w:rsidRPr="001518E7">
        <w:rPr>
          <w:lang w:val="en-US"/>
        </w:rPr>
        <w:t>due to</w:t>
      </w:r>
      <w:r w:rsidRPr="001518E7">
        <w:rPr>
          <w:lang w:val="en-US"/>
        </w:rPr>
        <w:t xml:space="preserve"> the growing reliance of customers on reviews and ratings issued by past customers (Leung et al., 2013)</w:t>
      </w:r>
      <w:r w:rsidR="00F8092C" w:rsidRPr="001518E7">
        <w:rPr>
          <w:lang w:val="en-US"/>
        </w:rPr>
        <w:t>.</w:t>
      </w:r>
      <w:r w:rsidRPr="001518E7">
        <w:rPr>
          <w:lang w:val="en-US"/>
        </w:rPr>
        <w:t xml:space="preserve"> </w:t>
      </w:r>
      <w:r w:rsidR="00F8092C" w:rsidRPr="001518E7">
        <w:rPr>
          <w:lang w:val="en-US"/>
        </w:rPr>
        <w:t>In particular, the reference prices play a very negative role in the cases of price changes made by the hotels that compete in the same destination (Viglia</w:t>
      </w:r>
      <w:r w:rsidR="00FB6DD9" w:rsidRPr="001518E7">
        <w:rPr>
          <w:lang w:val="en-US"/>
        </w:rPr>
        <w:t xml:space="preserve"> et al.</w:t>
      </w:r>
      <w:r w:rsidR="00F8092C" w:rsidRPr="001518E7">
        <w:rPr>
          <w:lang w:val="en-US"/>
        </w:rPr>
        <w:t>, 2016: 52-53).</w:t>
      </w:r>
      <w:r w:rsidR="00141AC6" w:rsidRPr="001518E7">
        <w:rPr>
          <w:lang w:val="en-US"/>
        </w:rPr>
        <w:t xml:space="preserve"> </w:t>
      </w:r>
    </w:p>
    <w:p w14:paraId="45F7A159" w14:textId="6831313F" w:rsidR="00141AC6" w:rsidRPr="00056E4A" w:rsidRDefault="004B4498" w:rsidP="00F24C7E">
      <w:pPr>
        <w:rPr>
          <w:lang w:val="en-US"/>
        </w:rPr>
      </w:pPr>
      <w:r>
        <w:rPr>
          <w:lang w:val="en-US"/>
        </w:rPr>
        <w:t>Because hotel services are typical examples of “experience goods”</w:t>
      </w:r>
      <w:r w:rsidR="00727E9D">
        <w:rPr>
          <w:lang w:val="en-US"/>
        </w:rPr>
        <w:t xml:space="preserve"> </w:t>
      </w:r>
      <w:r w:rsidR="00114149">
        <w:rPr>
          <w:lang w:val="en-US"/>
        </w:rPr>
        <w:t>(</w:t>
      </w:r>
      <w:r w:rsidR="00727E9D">
        <w:rPr>
          <w:lang w:val="en-US"/>
        </w:rPr>
        <w:t>Nelson, 1970</w:t>
      </w:r>
      <w:r w:rsidR="00114149">
        <w:rPr>
          <w:lang w:val="en-US"/>
        </w:rPr>
        <w:t>)</w:t>
      </w:r>
      <w:r>
        <w:rPr>
          <w:lang w:val="en-US"/>
        </w:rPr>
        <w:t>, i.e., goods whose quality can only be properly assessed after consumption, customers could perceive the price as a quality signal; any price drop below the uniform price could lead to a sharp decrease in demand</w:t>
      </w:r>
      <w:r w:rsidR="00914F68">
        <w:rPr>
          <w:lang w:val="en-US"/>
        </w:rPr>
        <w:t xml:space="preserve">. </w:t>
      </w:r>
      <w:r w:rsidR="00F24E11">
        <w:rPr>
          <w:lang w:val="en-US"/>
        </w:rPr>
        <w:t>That is,</w:t>
      </w:r>
      <w:r w:rsidR="008A5DA3">
        <w:rPr>
          <w:lang w:val="en-US"/>
        </w:rPr>
        <w:t xml:space="preserve"> if the hotel manager</w:t>
      </w:r>
      <w:r w:rsidR="00914F68">
        <w:rPr>
          <w:lang w:val="en-US"/>
        </w:rPr>
        <w:t xml:space="preserve"> drops its price</w:t>
      </w:r>
      <w:r w:rsidR="00495291">
        <w:rPr>
          <w:lang w:val="en-US"/>
        </w:rPr>
        <w:t xml:space="preserve"> during the booking period</w:t>
      </w:r>
      <w:r w:rsidR="00914F68">
        <w:rPr>
          <w:lang w:val="en-US"/>
        </w:rPr>
        <w:t>, the potential customers may think something is less than ideal in either the hotel or the destination, and be deterred from buying</w:t>
      </w:r>
      <w:r w:rsidR="005D5242">
        <w:rPr>
          <w:lang w:val="en-US"/>
        </w:rPr>
        <w:t xml:space="preserve"> (Orbach and Einav, </w:t>
      </w:r>
      <w:r w:rsidR="005D5242" w:rsidRPr="001518E7">
        <w:rPr>
          <w:lang w:val="en-US"/>
        </w:rPr>
        <w:t>2007)</w:t>
      </w:r>
      <w:r w:rsidR="00914F68" w:rsidRPr="001518E7">
        <w:rPr>
          <w:lang w:val="en-US"/>
        </w:rPr>
        <w:t>.</w:t>
      </w:r>
      <w:r w:rsidR="00A00647" w:rsidRPr="001518E7">
        <w:rPr>
          <w:lang w:val="en-US"/>
        </w:rPr>
        <w:t xml:space="preserve"> </w:t>
      </w:r>
      <w:r w:rsidR="00773C46" w:rsidRPr="001518E7">
        <w:rPr>
          <w:lang w:val="en-US"/>
        </w:rPr>
        <w:t xml:space="preserve">Using </w:t>
      </w:r>
      <w:r w:rsidR="00773C46" w:rsidRPr="001518E7">
        <w:rPr>
          <w:lang w:val="en-US"/>
        </w:rPr>
        <w:lastRenderedPageBreak/>
        <w:t xml:space="preserve">experimental methods, </w:t>
      </w:r>
      <w:r w:rsidR="00A00647" w:rsidRPr="001518E7">
        <w:rPr>
          <w:lang w:val="en-US"/>
        </w:rPr>
        <w:t>Nieto-García et al. (2017) investigate the impact of the electronic Word-of-Mouth generated by customers’ ratings on willingness to pay for a hotel room, and find a positive interaction with customers’ internal reference price</w:t>
      </w:r>
      <w:r w:rsidR="00A96F76" w:rsidRPr="001518E7">
        <w:rPr>
          <w:lang w:val="en-US"/>
        </w:rPr>
        <w:t xml:space="preserve">, that is, customers </w:t>
      </w:r>
      <w:r w:rsidR="005017E3" w:rsidRPr="001518E7">
        <w:rPr>
          <w:lang w:val="en-US"/>
        </w:rPr>
        <w:t xml:space="preserve">value positive ratings more </w:t>
      </w:r>
      <w:r w:rsidR="005017E3">
        <w:rPr>
          <w:lang w:val="en-US"/>
        </w:rPr>
        <w:t xml:space="preserve">when they have </w:t>
      </w:r>
      <w:r w:rsidR="00A96F76" w:rsidRPr="001518E7">
        <w:rPr>
          <w:lang w:val="en-US"/>
        </w:rPr>
        <w:t>a high reference price</w:t>
      </w:r>
      <w:r w:rsidR="00773C46" w:rsidRPr="001518E7">
        <w:rPr>
          <w:lang w:val="en-US"/>
        </w:rPr>
        <w:t>.</w:t>
      </w:r>
      <w:r w:rsidR="00141AC6" w:rsidRPr="001518E7">
        <w:rPr>
          <w:lang w:val="en-US"/>
        </w:rPr>
        <w:t xml:space="preserve"> This is consistent with the finding in Sahut et al. (2016) that business customers perceive RM practices as less unfair than leisure consumers do.</w:t>
      </w:r>
    </w:p>
    <w:p w14:paraId="45F7A15A" w14:textId="77426BA1" w:rsidR="00914F68" w:rsidRDefault="00914F68" w:rsidP="00F24C7E">
      <w:pPr>
        <w:rPr>
          <w:lang w:val="en-US"/>
        </w:rPr>
      </w:pPr>
      <w:r>
        <w:rPr>
          <w:lang w:val="en-US"/>
        </w:rPr>
        <w:t xml:space="preserve">Demand uncertainty </w:t>
      </w:r>
      <w:r w:rsidR="00A93A36">
        <w:rPr>
          <w:lang w:val="en-US"/>
        </w:rPr>
        <w:t>may favor price uniformity;</w:t>
      </w:r>
      <w:r w:rsidR="00A81909">
        <w:rPr>
          <w:lang w:val="en-US"/>
        </w:rPr>
        <w:t xml:space="preserve"> </w:t>
      </w:r>
      <w:r w:rsidR="00A93A36">
        <w:rPr>
          <w:lang w:val="en-US"/>
        </w:rPr>
        <w:t>if</w:t>
      </w:r>
      <w:r w:rsidR="00A81909">
        <w:rPr>
          <w:lang w:val="en-US"/>
        </w:rPr>
        <w:t xml:space="preserve"> hotel managers </w:t>
      </w:r>
      <w:r w:rsidR="00A93A36">
        <w:rPr>
          <w:lang w:val="en-US"/>
        </w:rPr>
        <w:t>are</w:t>
      </w:r>
      <w:r w:rsidR="00A81909">
        <w:rPr>
          <w:lang w:val="en-US"/>
        </w:rPr>
        <w:t xml:space="preserve"> unable to predict the demand for specific dates, arguably because their</w:t>
      </w:r>
      <w:r w:rsidR="00A93A36">
        <w:rPr>
          <w:lang w:val="en-US"/>
        </w:rPr>
        <w:t xml:space="preserve"> relative</w:t>
      </w:r>
      <w:r w:rsidR="00A81909">
        <w:rPr>
          <w:lang w:val="en-US"/>
        </w:rPr>
        <w:t xml:space="preserve"> prospective appeal is unknown</w:t>
      </w:r>
      <w:r w:rsidR="00A93A36">
        <w:rPr>
          <w:lang w:val="en-US"/>
        </w:rPr>
        <w:t>, they</w:t>
      </w:r>
      <w:r w:rsidR="00A81909">
        <w:rPr>
          <w:lang w:val="en-US"/>
        </w:rPr>
        <w:t xml:space="preserve"> may decide to treat all dates</w:t>
      </w:r>
      <w:r w:rsidR="00E13926">
        <w:rPr>
          <w:lang w:val="en-US"/>
        </w:rPr>
        <w:t xml:space="preserve"> of stay</w:t>
      </w:r>
      <w:r w:rsidR="00A81909">
        <w:rPr>
          <w:lang w:val="en-US"/>
        </w:rPr>
        <w:t xml:space="preserve"> in a period (say, </w:t>
      </w:r>
      <w:r w:rsidR="00125DEB">
        <w:rPr>
          <w:lang w:val="en-US"/>
        </w:rPr>
        <w:t xml:space="preserve">in </w:t>
      </w:r>
      <w:r w:rsidR="00A81909">
        <w:rPr>
          <w:lang w:val="en-US"/>
        </w:rPr>
        <w:t>August or June) identically</w:t>
      </w:r>
      <w:r w:rsidR="005D5242">
        <w:rPr>
          <w:lang w:val="en-US"/>
        </w:rPr>
        <w:t xml:space="preserve"> (Orbach and Einav, 2007)</w:t>
      </w:r>
      <w:r w:rsidR="00A81909">
        <w:rPr>
          <w:lang w:val="en-US"/>
        </w:rPr>
        <w:t xml:space="preserve">. </w:t>
      </w:r>
    </w:p>
    <w:p w14:paraId="45F7A15B" w14:textId="3C1FDC17" w:rsidR="00AB05D0" w:rsidRDefault="00AB05D0" w:rsidP="00F24C7E">
      <w:pPr>
        <w:rPr>
          <w:lang w:val="en-US"/>
        </w:rPr>
      </w:pPr>
      <w:r>
        <w:rPr>
          <w:lang w:val="en-US"/>
        </w:rPr>
        <w:t>The above discussion has highlighted drivers of both price change and uniformity</w:t>
      </w:r>
      <w:r w:rsidR="00E13926">
        <w:rPr>
          <w:lang w:val="en-US"/>
        </w:rPr>
        <w:t xml:space="preserve">; </w:t>
      </w:r>
      <w:r w:rsidR="00F03AB8">
        <w:rPr>
          <w:lang w:val="en-US"/>
        </w:rPr>
        <w:t xml:space="preserve">these are summarized in Table 1. </w:t>
      </w:r>
      <w:bookmarkStart w:id="1" w:name="_Hlk487392142"/>
      <w:r w:rsidR="00F03AB8">
        <w:rPr>
          <w:lang w:val="en-US"/>
        </w:rPr>
        <w:t xml:space="preserve">Due to lack of data, we cannot test the relevance of each driver individually, but only </w:t>
      </w:r>
      <w:r w:rsidR="00125DEB">
        <w:rPr>
          <w:lang w:val="en-US"/>
        </w:rPr>
        <w:t>assess their net impact</w:t>
      </w:r>
      <w:r w:rsidR="00544803">
        <w:rPr>
          <w:lang w:val="en-US"/>
        </w:rPr>
        <w:t xml:space="preserve"> in terms of firms’ actual engagement in DP</w:t>
      </w:r>
      <w:r w:rsidR="00E13926">
        <w:rPr>
          <w:lang w:val="en-US"/>
        </w:rPr>
        <w:t>:</w:t>
      </w:r>
      <w:bookmarkEnd w:id="1"/>
    </w:p>
    <w:p w14:paraId="45F7A15C" w14:textId="40F96DFB" w:rsidR="00E13926" w:rsidRPr="00E13926" w:rsidRDefault="00E13926" w:rsidP="00F24C7E">
      <w:pPr>
        <w:rPr>
          <w:lang w:val="en-US"/>
        </w:rPr>
      </w:pPr>
      <w:r>
        <w:rPr>
          <w:b/>
          <w:lang w:val="en-US"/>
        </w:rPr>
        <w:t>Research Question</w:t>
      </w:r>
      <w:r w:rsidR="001C2163">
        <w:rPr>
          <w:b/>
          <w:lang w:val="en-US"/>
        </w:rPr>
        <w:t xml:space="preserve"> (RQ)</w:t>
      </w:r>
      <w:r>
        <w:rPr>
          <w:b/>
          <w:lang w:val="en-US"/>
        </w:rPr>
        <w:t xml:space="preserve"> 1: </w:t>
      </w:r>
      <w:r>
        <w:rPr>
          <w:lang w:val="en-US"/>
        </w:rPr>
        <w:t xml:space="preserve">How widespread is the adoption of </w:t>
      </w:r>
      <w:r w:rsidR="002C024F">
        <w:rPr>
          <w:lang w:val="en-US"/>
        </w:rPr>
        <w:t>DP</w:t>
      </w:r>
      <w:r>
        <w:rPr>
          <w:lang w:val="en-US"/>
        </w:rPr>
        <w:t xml:space="preserve"> strategies among the hotels that operate </w:t>
      </w:r>
      <w:r w:rsidR="00544803">
        <w:rPr>
          <w:lang w:val="en-US"/>
        </w:rPr>
        <w:t>using an OTA’s platform</w:t>
      </w:r>
      <w:r>
        <w:rPr>
          <w:lang w:val="en-US"/>
        </w:rPr>
        <w:t>?</w:t>
      </w:r>
    </w:p>
    <w:p w14:paraId="45F7A15D" w14:textId="77777777" w:rsidR="00AA4536" w:rsidRDefault="00E13926" w:rsidP="00E13926">
      <w:pPr>
        <w:pStyle w:val="Heading3"/>
        <w:rPr>
          <w:lang w:val="en-US"/>
        </w:rPr>
      </w:pPr>
      <w:r w:rsidRPr="008E1B51">
        <w:rPr>
          <w:rFonts w:ascii="Times New Roman" w:hAnsi="Times New Roman"/>
        </w:rPr>
        <w:t>2.3 The importance of the organization</w:t>
      </w:r>
      <w:r w:rsidR="00DD4C14" w:rsidRPr="008E1B51">
        <w:rPr>
          <w:rFonts w:ascii="Times New Roman" w:hAnsi="Times New Roman"/>
        </w:rPr>
        <w:t>al</w:t>
      </w:r>
      <w:r w:rsidRPr="008E1B51">
        <w:rPr>
          <w:rFonts w:ascii="Times New Roman" w:hAnsi="Times New Roman"/>
        </w:rPr>
        <w:t xml:space="preserve"> </w:t>
      </w:r>
      <w:r w:rsidR="00DD4C14" w:rsidRPr="008E1B51">
        <w:rPr>
          <w:rFonts w:ascii="Times New Roman" w:hAnsi="Times New Roman"/>
        </w:rPr>
        <w:t>design</w:t>
      </w:r>
      <w:r w:rsidRPr="008E1B51">
        <w:rPr>
          <w:rFonts w:ascii="Times New Roman" w:hAnsi="Times New Roman"/>
        </w:rPr>
        <w:t xml:space="preserve"> </w:t>
      </w:r>
      <w:r w:rsidR="00DD4C14" w:rsidRPr="008E1B51">
        <w:rPr>
          <w:rFonts w:ascii="Times New Roman" w:hAnsi="Times New Roman"/>
        </w:rPr>
        <w:t>and other characteristics</w:t>
      </w:r>
      <w:r w:rsidR="00DD4C14">
        <w:rPr>
          <w:lang w:val="en-US"/>
        </w:rPr>
        <w:t>.</w:t>
      </w:r>
    </w:p>
    <w:p w14:paraId="45F7A15E" w14:textId="4656D5B5" w:rsidR="007314C3" w:rsidRDefault="001A7088">
      <w:pPr>
        <w:rPr>
          <w:lang w:val="en-US"/>
        </w:rPr>
      </w:pPr>
      <w:r>
        <w:t xml:space="preserve">The application of RM techniques becomes a capability that enhances a firm’s competitive advantage only if an organizational architecture supports it by integrating the dispersed knowledge available in various hotel’s functions (marketing, front-office, sales, etc.) into adequate pricing methods (Aubke et al., 2014). </w:t>
      </w:r>
      <w:r>
        <w:rPr>
          <w:lang w:val="en-US"/>
        </w:rPr>
        <w:t xml:space="preserve">This means that </w:t>
      </w:r>
      <w:r w:rsidR="0063425B">
        <w:rPr>
          <w:lang w:val="en-US"/>
        </w:rPr>
        <w:t>hotel</w:t>
      </w:r>
      <w:r w:rsidR="00D5145D">
        <w:rPr>
          <w:lang w:val="en-US"/>
        </w:rPr>
        <w:t xml:space="preserve">s differ in their degree of organizational complexity, which in turn may impact on the way they design and implement their pricing schemes. </w:t>
      </w:r>
      <w:r w:rsidR="00AA4536" w:rsidRPr="00AA4536">
        <w:rPr>
          <w:lang w:val="en-US"/>
        </w:rPr>
        <w:t xml:space="preserve">Selmi and Dornier (2011) emphasize the role of the human factor in the establishment and development of an effective </w:t>
      </w:r>
      <w:r w:rsidR="002C024F">
        <w:rPr>
          <w:lang w:val="en-US"/>
        </w:rPr>
        <w:t>RM</w:t>
      </w:r>
      <w:r w:rsidR="00AA4536" w:rsidRPr="00AA4536">
        <w:rPr>
          <w:lang w:val="en-US"/>
        </w:rPr>
        <w:t xml:space="preserve"> system. Their qualitative analysis base</w:t>
      </w:r>
      <w:r w:rsidR="00D24300">
        <w:rPr>
          <w:lang w:val="en-US"/>
        </w:rPr>
        <w:t>d on interviews to both general</w:t>
      </w:r>
      <w:r w:rsidR="00AA4536" w:rsidRPr="00AA4536">
        <w:rPr>
          <w:lang w:val="en-US"/>
        </w:rPr>
        <w:t xml:space="preserve"> and specific revenue managers highlights </w:t>
      </w:r>
      <w:r w:rsidR="005C357D" w:rsidRPr="00AA4536">
        <w:rPr>
          <w:lang w:val="en-US"/>
        </w:rPr>
        <w:t>several</w:t>
      </w:r>
      <w:r w:rsidR="00AA4536" w:rsidRPr="00AA4536">
        <w:rPr>
          <w:lang w:val="en-US"/>
        </w:rPr>
        <w:t xml:space="preserve"> relevant points. First, both types of managers </w:t>
      </w:r>
      <w:r w:rsidR="004C46CE" w:rsidRPr="00AA4536">
        <w:rPr>
          <w:lang w:val="en-US"/>
        </w:rPr>
        <w:t>must</w:t>
      </w:r>
      <w:r w:rsidR="00AA4536" w:rsidRPr="00AA4536">
        <w:rPr>
          <w:lang w:val="en-US"/>
        </w:rPr>
        <w:t xml:space="preserve"> work together to determine the hotel's strategy. Second, RM personnel must be properly trained but an understanding of RM concepts is also a requisite for hotel managers. Third, the IT infrastructure constitutes an invaluable source of information but it does not take away a revenue manager's autonomy of decision</w:t>
      </w:r>
      <w:r w:rsidR="00914819">
        <w:rPr>
          <w:lang w:val="en-US"/>
        </w:rPr>
        <w:t xml:space="preserve"> and the associated</w:t>
      </w:r>
      <w:r w:rsidR="00125903">
        <w:rPr>
          <w:lang w:val="en-US"/>
        </w:rPr>
        <w:t xml:space="preserve"> ability to integrate the different departments of the firm (Pinchuk, 2008). </w:t>
      </w:r>
    </w:p>
    <w:p w14:paraId="45F7A160" w14:textId="46BF986C" w:rsidR="00EE27E1" w:rsidRDefault="007314C3">
      <w:pPr>
        <w:rPr>
          <w:lang w:val="en-US"/>
        </w:rPr>
      </w:pPr>
      <w:r>
        <w:rPr>
          <w:lang w:val="en-US"/>
        </w:rPr>
        <w:lastRenderedPageBreak/>
        <w:t xml:space="preserve">Aubke et al. (2014) argue that RM needs to be well integrated into the overall business structure. </w:t>
      </w:r>
      <w:r w:rsidR="005120D5">
        <w:rPr>
          <w:lang w:val="en-US"/>
        </w:rPr>
        <w:t xml:space="preserve">Using a sample of </w:t>
      </w:r>
      <w:r w:rsidR="005706EA">
        <w:rPr>
          <w:lang w:val="en-US"/>
        </w:rPr>
        <w:t>inter</w:t>
      </w:r>
      <w:r w:rsidR="00005017">
        <w:rPr>
          <w:lang w:val="en-US"/>
        </w:rPr>
        <w:t xml:space="preserve">national 4* and 5* hotels </w:t>
      </w:r>
      <w:r w:rsidR="008104A6">
        <w:rPr>
          <w:lang w:val="en-US"/>
        </w:rPr>
        <w:t xml:space="preserve">employing a specific </w:t>
      </w:r>
      <w:r w:rsidR="005706EA">
        <w:rPr>
          <w:lang w:val="en-US"/>
        </w:rPr>
        <w:t xml:space="preserve">RM </w:t>
      </w:r>
      <w:r w:rsidR="008104A6">
        <w:rPr>
          <w:lang w:val="en-US"/>
        </w:rPr>
        <w:t>team</w:t>
      </w:r>
      <w:r w:rsidR="005706EA">
        <w:rPr>
          <w:lang w:val="en-US"/>
        </w:rPr>
        <w:t xml:space="preserve">, </w:t>
      </w:r>
      <w:r w:rsidR="00005017">
        <w:rPr>
          <w:lang w:val="en-US"/>
        </w:rPr>
        <w:t xml:space="preserve">they conclude that effective RM is principally a result </w:t>
      </w:r>
      <w:r w:rsidR="008104A6">
        <w:rPr>
          <w:lang w:val="en-US"/>
        </w:rPr>
        <w:t xml:space="preserve">of the RM team’s </w:t>
      </w:r>
      <w:r w:rsidR="00005017">
        <w:rPr>
          <w:lang w:val="en-US"/>
        </w:rPr>
        <w:t>coordinated knowledge exchange and communication</w:t>
      </w:r>
      <w:r w:rsidR="008104A6">
        <w:rPr>
          <w:lang w:val="en-US"/>
        </w:rPr>
        <w:t xml:space="preserve"> </w:t>
      </w:r>
      <w:r w:rsidR="00005017">
        <w:rPr>
          <w:lang w:val="en-US"/>
        </w:rPr>
        <w:t xml:space="preserve">both among </w:t>
      </w:r>
      <w:r w:rsidR="008104A6">
        <w:rPr>
          <w:lang w:val="en-US"/>
        </w:rPr>
        <w:t>its</w:t>
      </w:r>
      <w:r w:rsidR="00005017">
        <w:rPr>
          <w:lang w:val="en-US"/>
        </w:rPr>
        <w:t xml:space="preserve"> members as well as with other </w:t>
      </w:r>
      <w:r w:rsidR="00DB0350">
        <w:rPr>
          <w:lang w:val="en-US"/>
        </w:rPr>
        <w:t xml:space="preserve">functional managers across the firm’s organizational </w:t>
      </w:r>
      <w:r w:rsidR="008104A6">
        <w:rPr>
          <w:lang w:val="en-US"/>
        </w:rPr>
        <w:t>architecture</w:t>
      </w:r>
      <w:r w:rsidR="00DB0350">
        <w:rPr>
          <w:lang w:val="en-US"/>
        </w:rPr>
        <w:t xml:space="preserve">. </w:t>
      </w:r>
      <w:r w:rsidR="00485CE6">
        <w:rPr>
          <w:lang w:val="en-US"/>
        </w:rPr>
        <w:t xml:space="preserve">Along similar lines, </w:t>
      </w:r>
      <w:r w:rsidR="00485CE6">
        <w:t>Solnet et al. (2016) argue that the choice to supply a higher quality service (4* and 5*) hotels implies the adoption of a corporate culture that is more receptive to the implementation of new pricing techniques</w:t>
      </w:r>
      <w:r w:rsidR="009227B6">
        <w:t xml:space="preserve">. </w:t>
      </w:r>
      <w:r w:rsidR="009227B6">
        <w:rPr>
          <w:lang w:val="en-US"/>
        </w:rPr>
        <w:t xml:space="preserve">Furthermore, </w:t>
      </w:r>
      <w:r w:rsidR="00125903" w:rsidRPr="003B5C23">
        <w:rPr>
          <w:lang w:val="en-US"/>
        </w:rPr>
        <w:t>Israeli (2002) carries out an analysis considering both star rating and corporate affiliation for a sample of 215 hotel stars from 2 to 5 stars</w:t>
      </w:r>
      <w:r w:rsidR="00125903">
        <w:rPr>
          <w:lang w:val="en-US"/>
        </w:rPr>
        <w:t xml:space="preserve">. He found that 1) </w:t>
      </w:r>
      <w:r w:rsidR="001A7088">
        <w:rPr>
          <w:lang w:val="en-US"/>
        </w:rPr>
        <w:t xml:space="preserve">much of the price variation in room prices can be explained by the hotels quality measure of star rating; 2) the impact of corporate affiliation is not </w:t>
      </w:r>
      <w:r w:rsidR="009227B6">
        <w:rPr>
          <w:lang w:val="en-US"/>
        </w:rPr>
        <w:t xml:space="preserve">as </w:t>
      </w:r>
      <w:r w:rsidR="001A7088">
        <w:rPr>
          <w:lang w:val="en-US"/>
        </w:rPr>
        <w:t xml:space="preserve">consistent as the star rating </w:t>
      </w:r>
      <w:r w:rsidR="009227B6">
        <w:rPr>
          <w:lang w:val="en-US"/>
        </w:rPr>
        <w:t>but</w:t>
      </w:r>
      <w:r w:rsidR="001A7088">
        <w:rPr>
          <w:lang w:val="en-US"/>
        </w:rPr>
        <w:t xml:space="preserve"> is a factor that explain the application of some premium price in the industry (Israeli, 2002: 419).</w:t>
      </w:r>
      <w:r w:rsidR="006D1894">
        <w:rPr>
          <w:lang w:val="en-US"/>
        </w:rPr>
        <w:t xml:space="preserve"> </w:t>
      </w:r>
    </w:p>
    <w:p w14:paraId="49C741A4" w14:textId="63233A88" w:rsidR="000A02C5" w:rsidRDefault="000D0506">
      <w:pPr>
        <w:rPr>
          <w:lang w:val="en-US"/>
        </w:rPr>
      </w:pPr>
      <w:r>
        <w:t xml:space="preserve">Precisely because </w:t>
      </w:r>
      <w:r w:rsidR="000A02C5">
        <w:t xml:space="preserve">a </w:t>
      </w:r>
      <w:r w:rsidR="00EA6748">
        <w:t>RM</w:t>
      </w:r>
      <w:r w:rsidR="000A02C5">
        <w:t xml:space="preserve"> system</w:t>
      </w:r>
      <w:r w:rsidR="00EA6748">
        <w:t xml:space="preserve"> need</w:t>
      </w:r>
      <w:r w:rsidR="000A02C5">
        <w:t>s</w:t>
      </w:r>
      <w:r w:rsidR="00EA6748">
        <w:t xml:space="preserve"> to be consistently amalgamated with the rest of the hotel’s organizational processes, practitioners often state that </w:t>
      </w:r>
      <w:r w:rsidR="000A02C5">
        <w:t>its</w:t>
      </w:r>
      <w:r w:rsidR="00EA6748">
        <w:t xml:space="preserve"> set-up costs operate as a barrier to implementation (see, for instance, </w:t>
      </w:r>
      <w:r w:rsidR="00EA6748" w:rsidRPr="00EA6748">
        <w:t>http://ideas.com/four-myths-revenue-management/</w:t>
      </w:r>
      <w:r w:rsidR="00EA6748">
        <w:t xml:space="preserve">). In other words, </w:t>
      </w:r>
      <w:r w:rsidR="000A02C5">
        <w:t xml:space="preserve">the initial investment, </w:t>
      </w:r>
      <w:r w:rsidR="00EA6748">
        <w:t xml:space="preserve">both in terms of IT infrastructure and dedicated workforce, is too expensive and </w:t>
      </w:r>
      <w:r w:rsidR="000A02C5">
        <w:t xml:space="preserve">generates economies of scale that </w:t>
      </w:r>
      <w:r w:rsidR="00EA6748">
        <w:t xml:space="preserve">can only be profitably </w:t>
      </w:r>
      <w:r w:rsidR="000A02C5">
        <w:t>enjoyed</w:t>
      </w:r>
      <w:r w:rsidR="00EA6748">
        <w:t xml:space="preserve"> by large hotels</w:t>
      </w:r>
      <w:r w:rsidR="000A02C5">
        <w:t xml:space="preserve">. This argument, however, neglects the fact that modern online and cloud technology reduces the need to own an in-house IT server fully dedicated to RM. </w:t>
      </w:r>
      <w:r w:rsidR="00056E4A">
        <w:t>Similarly</w:t>
      </w:r>
      <w:r w:rsidR="006024C0">
        <w:t xml:space="preserve">, hotel’s proprietary software needs not be developed, given the presence of several RM providers, which offer </w:t>
      </w:r>
      <w:r w:rsidR="009C1DE3">
        <w:t xml:space="preserve">personalized </w:t>
      </w:r>
      <w:r w:rsidR="006024C0">
        <w:t>platforms specifically designed for budget and midscale hotels (</w:t>
      </w:r>
      <w:r w:rsidR="003B79E1">
        <w:t xml:space="preserve">see, for instance, </w:t>
      </w:r>
      <w:r w:rsidR="006024C0" w:rsidRPr="006024C0">
        <w:t>https://www.easybookonline.com/</w:t>
      </w:r>
      <w:r w:rsidR="006024C0">
        <w:t>).</w:t>
      </w:r>
      <w:r w:rsidR="00EA6748">
        <w:t xml:space="preserve"> </w:t>
      </w:r>
      <w:r w:rsidR="009C1DE3">
        <w:t xml:space="preserve">Similarly, hotels affiliated to such OTAs as Booking.com or Expedia, </w:t>
      </w:r>
      <w:r w:rsidR="005B652F">
        <w:t>can choose between several customizable options to use the platform not only as a distribution channel but also as a RM tool</w:t>
      </w:r>
      <w:r w:rsidR="006D2255">
        <w:t xml:space="preserve"> (see </w:t>
      </w:r>
      <w:r w:rsidR="006D2255" w:rsidRPr="006D2255">
        <w:t>https://www.booking.com/affiliate-program/v2/index.html</w:t>
      </w:r>
      <w:r w:rsidR="006D2255">
        <w:t>)</w:t>
      </w:r>
      <w:r w:rsidR="005B652F">
        <w:t xml:space="preserve">. </w:t>
      </w:r>
    </w:p>
    <w:p w14:paraId="45F7A163" w14:textId="44CC433F" w:rsidR="008E5DA6" w:rsidRPr="00161485" w:rsidRDefault="00D36DC5">
      <w:pPr>
        <w:rPr>
          <w:lang w:val="en-US"/>
        </w:rPr>
      </w:pPr>
      <w:r>
        <w:rPr>
          <w:lang w:val="en-US"/>
        </w:rPr>
        <w:t xml:space="preserve">Overall, the foregoing discussion suggests that the pricing scheme which </w:t>
      </w:r>
      <w:r w:rsidR="000952E8">
        <w:rPr>
          <w:lang w:val="en-US"/>
        </w:rPr>
        <w:t>a</w:t>
      </w:r>
      <w:r w:rsidR="00810627">
        <w:rPr>
          <w:lang w:val="en-US"/>
        </w:rPr>
        <w:t xml:space="preserve"> hotel applies</w:t>
      </w:r>
      <w:r>
        <w:rPr>
          <w:lang w:val="en-US"/>
        </w:rPr>
        <w:t xml:space="preserve"> is the </w:t>
      </w:r>
      <w:r w:rsidR="00CD1F22">
        <w:rPr>
          <w:lang w:val="en-US"/>
        </w:rPr>
        <w:t>outcome</w:t>
      </w:r>
      <w:r>
        <w:rPr>
          <w:lang w:val="en-US"/>
        </w:rPr>
        <w:t xml:space="preserve"> of a complex interaction between an </w:t>
      </w:r>
      <w:r w:rsidR="00810627">
        <w:rPr>
          <w:lang w:val="en-US"/>
        </w:rPr>
        <w:t xml:space="preserve">internal </w:t>
      </w:r>
      <w:r>
        <w:rPr>
          <w:lang w:val="en-US"/>
        </w:rPr>
        <w:t>organization’s c</w:t>
      </w:r>
      <w:r w:rsidR="00810627">
        <w:rPr>
          <w:lang w:val="en-US"/>
        </w:rPr>
        <w:t xml:space="preserve">haracteristics, its culture, </w:t>
      </w:r>
      <w:r w:rsidR="008E1B51">
        <w:rPr>
          <w:lang w:val="en-US"/>
        </w:rPr>
        <w:t xml:space="preserve">the </w:t>
      </w:r>
      <w:r>
        <w:rPr>
          <w:lang w:val="en-US"/>
        </w:rPr>
        <w:t>processes linking the operation</w:t>
      </w:r>
      <w:r w:rsidR="000952E8">
        <w:rPr>
          <w:lang w:val="en-US"/>
        </w:rPr>
        <w:t>s</w:t>
      </w:r>
      <w:r>
        <w:rPr>
          <w:lang w:val="en-US"/>
        </w:rPr>
        <w:t xml:space="preserve"> of the various functions (marketing, </w:t>
      </w:r>
      <w:r w:rsidR="002C024F">
        <w:rPr>
          <w:lang w:val="en-US"/>
        </w:rPr>
        <w:t>RM</w:t>
      </w:r>
      <w:r>
        <w:rPr>
          <w:lang w:val="en-US"/>
        </w:rPr>
        <w:t>)</w:t>
      </w:r>
      <w:r w:rsidR="00810627">
        <w:rPr>
          <w:lang w:val="en-US"/>
        </w:rPr>
        <w:t>, and the way in which information derived from the external environment (customers and competitors) is perceived and processed</w:t>
      </w:r>
      <w:r w:rsidR="000952E8">
        <w:rPr>
          <w:lang w:val="en-US"/>
        </w:rPr>
        <w:t xml:space="preserve">. </w:t>
      </w:r>
      <w:r w:rsidR="001972B0">
        <w:rPr>
          <w:lang w:val="en-US"/>
        </w:rPr>
        <w:t xml:space="preserve">Financial barriers may also play a role. </w:t>
      </w:r>
      <w:r w:rsidR="000952E8">
        <w:rPr>
          <w:lang w:val="en-US"/>
        </w:rPr>
        <w:t xml:space="preserve">Because such aspects are generally unobserved by the researcher, it </w:t>
      </w:r>
      <w:r w:rsidR="000952E8">
        <w:rPr>
          <w:lang w:val="en-US"/>
        </w:rPr>
        <w:lastRenderedPageBreak/>
        <w:t xml:space="preserve">is </w:t>
      </w:r>
      <w:r w:rsidR="005C357D">
        <w:rPr>
          <w:lang w:val="en-US"/>
        </w:rPr>
        <w:t>im</w:t>
      </w:r>
      <w:r w:rsidR="000952E8">
        <w:rPr>
          <w:lang w:val="en-US"/>
        </w:rPr>
        <w:t>possible to establish a direct causation betw</w:t>
      </w:r>
      <w:r w:rsidR="005C357D">
        <w:rPr>
          <w:lang w:val="en-US"/>
        </w:rPr>
        <w:t xml:space="preserve">een the way an organization is </w:t>
      </w:r>
      <w:r w:rsidR="000952E8">
        <w:rPr>
          <w:lang w:val="en-US"/>
        </w:rPr>
        <w:t xml:space="preserve">managed, and the pricing scheme it adopts. However, </w:t>
      </w:r>
      <w:r w:rsidR="001972B0">
        <w:rPr>
          <w:lang w:val="en-US"/>
        </w:rPr>
        <w:t xml:space="preserve">hotel size captures the role of economies of scale, while </w:t>
      </w:r>
      <w:r w:rsidR="000952E8">
        <w:rPr>
          <w:lang w:val="en-US"/>
        </w:rPr>
        <w:t xml:space="preserve">organizational complexity is positively correlated with such </w:t>
      </w:r>
      <w:r w:rsidR="000952E8" w:rsidRPr="00161485">
        <w:rPr>
          <w:lang w:val="en-US"/>
        </w:rPr>
        <w:t>observable characteristic</w:t>
      </w:r>
      <w:r w:rsidR="008952F8" w:rsidRPr="00161485">
        <w:rPr>
          <w:lang w:val="en-US"/>
        </w:rPr>
        <w:t xml:space="preserve">s as the star classification or </w:t>
      </w:r>
      <w:r w:rsidR="003B79E1">
        <w:rPr>
          <w:lang w:val="en-US"/>
        </w:rPr>
        <w:t xml:space="preserve">chain </w:t>
      </w:r>
      <w:r w:rsidR="008952F8" w:rsidRPr="00161485">
        <w:rPr>
          <w:lang w:val="en-US"/>
        </w:rPr>
        <w:t>membership</w:t>
      </w:r>
      <w:r w:rsidR="008E5DA6" w:rsidRPr="00161485">
        <w:rPr>
          <w:lang w:val="en-US"/>
        </w:rPr>
        <w:t xml:space="preserve">, which we adopt in this study to address our: </w:t>
      </w:r>
    </w:p>
    <w:p w14:paraId="45F7A164" w14:textId="77777777" w:rsidR="00D5145D" w:rsidRPr="00161485" w:rsidRDefault="001C2163">
      <w:pPr>
        <w:rPr>
          <w:lang w:val="en-US"/>
        </w:rPr>
      </w:pPr>
      <w:r w:rsidRPr="00161485">
        <w:rPr>
          <w:b/>
          <w:lang w:val="en-US"/>
        </w:rPr>
        <w:t>RQ</w:t>
      </w:r>
      <w:r w:rsidR="008E5DA6" w:rsidRPr="00161485">
        <w:rPr>
          <w:b/>
          <w:lang w:val="en-US"/>
        </w:rPr>
        <w:t xml:space="preserve"> 2a: </w:t>
      </w:r>
      <w:r w:rsidR="00A37D9A" w:rsidRPr="00161485">
        <w:rPr>
          <w:lang w:val="en-US"/>
        </w:rPr>
        <w:t xml:space="preserve">How is the propensity to engage in </w:t>
      </w:r>
      <w:r w:rsidR="002C024F" w:rsidRPr="00161485">
        <w:rPr>
          <w:lang w:val="en-US"/>
        </w:rPr>
        <w:t>DP</w:t>
      </w:r>
      <w:r w:rsidR="00A37D9A" w:rsidRPr="00161485">
        <w:rPr>
          <w:lang w:val="en-US"/>
        </w:rPr>
        <w:t xml:space="preserve"> correlated with </w:t>
      </w:r>
      <w:r w:rsidR="00DD4C14" w:rsidRPr="00161485">
        <w:rPr>
          <w:lang w:val="en-US"/>
        </w:rPr>
        <w:t xml:space="preserve">a hotel’s star </w:t>
      </w:r>
      <w:r w:rsidR="00B76D8F" w:rsidRPr="00161485">
        <w:rPr>
          <w:lang w:val="en-US"/>
        </w:rPr>
        <w:t>category</w:t>
      </w:r>
      <w:r w:rsidR="008952F8" w:rsidRPr="00161485">
        <w:rPr>
          <w:lang w:val="en-US"/>
        </w:rPr>
        <w:t>,</w:t>
      </w:r>
      <w:r w:rsidR="00DD4C14" w:rsidRPr="00161485">
        <w:rPr>
          <w:lang w:val="en-US"/>
        </w:rPr>
        <w:t xml:space="preserve"> size</w:t>
      </w:r>
      <w:r w:rsidR="008952F8" w:rsidRPr="00161485">
        <w:rPr>
          <w:lang w:val="en-US"/>
        </w:rPr>
        <w:t xml:space="preserve"> and chain membership</w:t>
      </w:r>
      <w:r w:rsidR="00DD4C14" w:rsidRPr="00161485">
        <w:rPr>
          <w:lang w:val="en-US"/>
        </w:rPr>
        <w:t>?</w:t>
      </w:r>
      <w:r w:rsidR="00A37D9A" w:rsidRPr="00161485">
        <w:rPr>
          <w:lang w:val="en-US"/>
        </w:rPr>
        <w:t xml:space="preserve"> </w:t>
      </w:r>
    </w:p>
    <w:p w14:paraId="45F7A165" w14:textId="77777777" w:rsidR="002D0036" w:rsidRPr="00161485" w:rsidRDefault="002D0036">
      <w:r w:rsidRPr="00161485">
        <w:t>Th</w:t>
      </w:r>
      <w:r w:rsidR="000351EB" w:rsidRPr="00161485">
        <w:t xml:space="preserve">e analysis in Fleischer (2012) </w:t>
      </w:r>
      <w:r w:rsidRPr="00161485">
        <w:t>focuses on whether the hotels charge higher prices for a room with a sea view, after controlling for other possible price shifters</w:t>
      </w:r>
      <w:r w:rsidR="00DB0350" w:rsidRPr="00161485">
        <w:t>.</w:t>
      </w:r>
      <w:r w:rsidRPr="00161485">
        <w:t xml:space="preserve"> The findings, which are based on only two specific days of stay, indicate a statistically significant </w:t>
      </w:r>
      <w:r w:rsidR="008E1B51" w:rsidRPr="00161485">
        <w:t>“</w:t>
      </w:r>
      <w:r w:rsidRPr="00161485">
        <w:t>price premium</w:t>
      </w:r>
      <w:r w:rsidR="008E1B51" w:rsidRPr="00161485">
        <w:t>”</w:t>
      </w:r>
      <w:r w:rsidRPr="00161485">
        <w:t xml:space="preserve"> just above 10% in both days, and no significant variation of such a premium across the sampled Mediterranean areas. </w:t>
      </w:r>
    </w:p>
    <w:p w14:paraId="45F7A166" w14:textId="77777777" w:rsidR="00DD4C14" w:rsidRPr="00161485" w:rsidRDefault="002D0036">
      <w:pPr>
        <w:rPr>
          <w:lang w:val="en-US"/>
        </w:rPr>
      </w:pPr>
      <w:r w:rsidRPr="00161485">
        <w:rPr>
          <w:lang w:val="en-US"/>
        </w:rPr>
        <w:t>Abrate and Viglia (2016) find empirical support to the hypothesis of a positive impact of online customer’s ratings on prices</w:t>
      </w:r>
      <w:r w:rsidR="00E87CC9" w:rsidRPr="00161485">
        <w:rPr>
          <w:lang w:val="en-US"/>
        </w:rPr>
        <w:t xml:space="preserve">. </w:t>
      </w:r>
      <w:r w:rsidR="0069569E" w:rsidRPr="00161485">
        <w:rPr>
          <w:lang w:val="en-US"/>
        </w:rPr>
        <w:t>Their empirical model also includes the booking time</w:t>
      </w:r>
      <w:r w:rsidR="006372E2" w:rsidRPr="00161485">
        <w:rPr>
          <w:lang w:val="en-US"/>
        </w:rPr>
        <w:t>.</w:t>
      </w:r>
      <w:r w:rsidR="0069569E" w:rsidRPr="00161485">
        <w:rPr>
          <w:lang w:val="en-US"/>
        </w:rPr>
        <w:t xml:space="preserve"> </w:t>
      </w:r>
      <w:r w:rsidR="00E87CC9" w:rsidRPr="00161485">
        <w:rPr>
          <w:lang w:val="en-US"/>
        </w:rPr>
        <w:t xml:space="preserve">There is, at least to our knowledge, no study that looks at the relationships between customers’ ratings </w:t>
      </w:r>
      <w:r w:rsidR="0069569E" w:rsidRPr="00161485">
        <w:rPr>
          <w:lang w:val="en-US"/>
        </w:rPr>
        <w:t xml:space="preserve">or the booking time </w:t>
      </w:r>
      <w:r w:rsidR="00E87CC9" w:rsidRPr="00161485">
        <w:rPr>
          <w:lang w:val="en-US"/>
        </w:rPr>
        <w:t xml:space="preserve">and a firms’ propensity to engage in </w:t>
      </w:r>
      <w:r w:rsidR="002C024F" w:rsidRPr="00161485">
        <w:rPr>
          <w:lang w:val="en-US"/>
        </w:rPr>
        <w:t>DP</w:t>
      </w:r>
      <w:r w:rsidRPr="00161485">
        <w:rPr>
          <w:lang w:val="en-US"/>
        </w:rPr>
        <w:t>, within a sample that</w:t>
      </w:r>
      <w:r w:rsidR="00FB5E75" w:rsidRPr="00161485">
        <w:rPr>
          <w:lang w:val="en-US"/>
        </w:rPr>
        <w:t xml:space="preserve"> also</w:t>
      </w:r>
      <w:r w:rsidRPr="00161485">
        <w:rPr>
          <w:lang w:val="en-US"/>
        </w:rPr>
        <w:t xml:space="preserve"> includes multiple </w:t>
      </w:r>
      <w:r w:rsidR="0069569E" w:rsidRPr="00161485">
        <w:rPr>
          <w:lang w:val="en-US"/>
        </w:rPr>
        <w:t xml:space="preserve">spatial contexts and </w:t>
      </w:r>
      <w:r w:rsidR="00FB5E75" w:rsidRPr="00161485">
        <w:rPr>
          <w:lang w:val="en-US"/>
        </w:rPr>
        <w:t>contiguous</w:t>
      </w:r>
      <w:r w:rsidR="0069569E" w:rsidRPr="00161485">
        <w:rPr>
          <w:lang w:val="en-US"/>
        </w:rPr>
        <w:t xml:space="preserve"> dates of stay across a full tourist season</w:t>
      </w:r>
      <w:r w:rsidR="00E87CC9" w:rsidRPr="00161485">
        <w:rPr>
          <w:lang w:val="en-US"/>
        </w:rPr>
        <w:t xml:space="preserve">. </w:t>
      </w:r>
      <w:r w:rsidR="003E2472" w:rsidRPr="00161485">
        <w:rPr>
          <w:lang w:val="en-US"/>
        </w:rPr>
        <w:t xml:space="preserve">Similarly, there are no studies that analyze price changes at different times of the season and between different seasons. </w:t>
      </w:r>
      <w:r w:rsidR="0069569E" w:rsidRPr="00161485">
        <w:rPr>
          <w:lang w:val="en-US"/>
        </w:rPr>
        <w:t xml:space="preserve">We therefore extend the </w:t>
      </w:r>
      <w:r w:rsidR="001C2163" w:rsidRPr="00161485">
        <w:rPr>
          <w:lang w:val="en-US"/>
        </w:rPr>
        <w:t>RQ</w:t>
      </w:r>
      <w:r w:rsidR="0069569E" w:rsidRPr="00161485">
        <w:rPr>
          <w:lang w:val="en-US"/>
        </w:rPr>
        <w:t xml:space="preserve"> 2a to include geographical, reputational and seasonality factors:</w:t>
      </w:r>
    </w:p>
    <w:p w14:paraId="45F7A167" w14:textId="77777777" w:rsidR="0069569E" w:rsidRPr="0069569E" w:rsidRDefault="001C2163">
      <w:pPr>
        <w:rPr>
          <w:b/>
          <w:lang w:val="en-US"/>
        </w:rPr>
      </w:pPr>
      <w:r>
        <w:rPr>
          <w:b/>
          <w:lang w:val="en-US"/>
        </w:rPr>
        <w:t>RQ</w:t>
      </w:r>
      <w:r w:rsidR="0069569E">
        <w:rPr>
          <w:b/>
          <w:lang w:val="en-US"/>
        </w:rPr>
        <w:t xml:space="preserve"> 2b: </w:t>
      </w:r>
      <w:r w:rsidR="0069569E">
        <w:rPr>
          <w:lang w:val="en-US"/>
        </w:rPr>
        <w:t xml:space="preserve">How is the propensity to engage in </w:t>
      </w:r>
      <w:r w:rsidR="002C024F">
        <w:rPr>
          <w:lang w:val="en-US"/>
        </w:rPr>
        <w:t>DP</w:t>
      </w:r>
      <w:r w:rsidR="0069569E">
        <w:rPr>
          <w:lang w:val="en-US"/>
        </w:rPr>
        <w:t xml:space="preserve"> correlated with the area in which </w:t>
      </w:r>
      <w:r w:rsidR="000B0837">
        <w:rPr>
          <w:lang w:val="en-US"/>
        </w:rPr>
        <w:t>a hotel</w:t>
      </w:r>
      <w:r w:rsidR="0069569E">
        <w:rPr>
          <w:lang w:val="en-US"/>
        </w:rPr>
        <w:t xml:space="preserve"> is located, the number of days separating the </w:t>
      </w:r>
      <w:r w:rsidR="00FB5E75">
        <w:rPr>
          <w:lang w:val="en-US"/>
        </w:rPr>
        <w:t>room booking</w:t>
      </w:r>
      <w:r w:rsidR="0069569E">
        <w:rPr>
          <w:lang w:val="en-US"/>
        </w:rPr>
        <w:t xml:space="preserve"> from the “day of stay”, the customers’ ratings and the period of stay during the season</w:t>
      </w:r>
      <w:r w:rsidR="001E0331">
        <w:rPr>
          <w:lang w:val="en-US"/>
        </w:rPr>
        <w:t xml:space="preserve">? </w:t>
      </w:r>
    </w:p>
    <w:p w14:paraId="45F7A168" w14:textId="77777777" w:rsidR="00DD4C14" w:rsidRDefault="001E0331">
      <w:pPr>
        <w:rPr>
          <w:lang w:val="en-US"/>
        </w:rPr>
      </w:pPr>
      <w:r>
        <w:rPr>
          <w:lang w:val="en-US"/>
        </w:rPr>
        <w:t>It is worth stressing that the focus on correlation is due to the impossibility to establish causation effects</w:t>
      </w:r>
      <w:r w:rsidR="00FB5E75">
        <w:rPr>
          <w:lang w:val="en-US"/>
        </w:rPr>
        <w:t xml:space="preserve"> in our research design</w:t>
      </w:r>
      <w:r>
        <w:rPr>
          <w:lang w:val="en-US"/>
        </w:rPr>
        <w:t xml:space="preserve">. </w:t>
      </w:r>
      <w:r w:rsidR="00C41344">
        <w:rPr>
          <w:lang w:val="en-US"/>
        </w:rPr>
        <w:t xml:space="preserve">The straightforward implication is that while we cannot state that any of the factors mentioned in </w:t>
      </w:r>
      <w:r w:rsidR="006372E2">
        <w:rPr>
          <w:lang w:val="en-US"/>
        </w:rPr>
        <w:t>RQ</w:t>
      </w:r>
      <w:r w:rsidR="00C41344">
        <w:rPr>
          <w:lang w:val="en-US"/>
        </w:rPr>
        <w:t xml:space="preserve"> 2a and 2b, “determines” a firm’s propensity towards </w:t>
      </w:r>
      <w:r w:rsidR="002C024F">
        <w:rPr>
          <w:lang w:val="en-US"/>
        </w:rPr>
        <w:t>DP</w:t>
      </w:r>
      <w:r w:rsidR="00C41344">
        <w:rPr>
          <w:lang w:val="en-US"/>
        </w:rPr>
        <w:t xml:space="preserve">, we can evaluate the extent to which such a propensity co-moves with those factors. </w:t>
      </w:r>
    </w:p>
    <w:p w14:paraId="45F7A169" w14:textId="77777777" w:rsidR="00847725" w:rsidRDefault="00847725" w:rsidP="00847725">
      <w:pPr>
        <w:pStyle w:val="Heading1"/>
        <w:rPr>
          <w:lang w:val="en-US"/>
        </w:rPr>
      </w:pPr>
      <w:r>
        <w:rPr>
          <w:lang w:val="en-US"/>
        </w:rPr>
        <w:t>Data Collection</w:t>
      </w:r>
    </w:p>
    <w:p w14:paraId="45F7A16A" w14:textId="6B3CA970" w:rsidR="00C41344" w:rsidRDefault="00CD1F22">
      <w:r>
        <w:t xml:space="preserve">We collected </w:t>
      </w:r>
      <w:r w:rsidR="003C4797">
        <w:t xml:space="preserve">primary </w:t>
      </w:r>
      <w:r>
        <w:t xml:space="preserve">data </w:t>
      </w:r>
      <w:r w:rsidR="003C4797">
        <w:t xml:space="preserve">using an "electronic </w:t>
      </w:r>
      <w:r w:rsidR="000229C6">
        <w:t>web-crawler</w:t>
      </w:r>
      <w:r w:rsidR="003C4797">
        <w:t>", a programme designed to connect directly to Booking.com</w:t>
      </w:r>
      <w:r w:rsidR="005A063E">
        <w:t>.</w:t>
      </w:r>
      <w:r w:rsidR="003C4797">
        <w:t xml:space="preserve"> The </w:t>
      </w:r>
      <w:r w:rsidR="000229C6">
        <w:t>crawler</w:t>
      </w:r>
      <w:r w:rsidR="003C4797">
        <w:t xml:space="preserve"> was designed to </w:t>
      </w:r>
      <w:r w:rsidR="003C4797">
        <w:rPr>
          <w:color w:val="000000"/>
          <w:szCs w:val="22"/>
          <w:shd w:val="clear" w:color="auto" w:fill="FFFFFF"/>
        </w:rPr>
        <w:t>automatically launch the online queries necessary to book an accommodation in a specific locality</w:t>
      </w:r>
      <w:r w:rsidR="003C4797">
        <w:rPr>
          <w:color w:val="000000"/>
          <w:shd w:val="clear" w:color="auto" w:fill="FFFFFF"/>
        </w:rPr>
        <w:t>,</w:t>
      </w:r>
      <w:r w:rsidR="003C4797">
        <w:t xml:space="preserve"> and </w:t>
      </w:r>
      <w:r w:rsidR="003C4797">
        <w:lastRenderedPageBreak/>
        <w:t xml:space="preserve">subsequently retrieve the posted prices together with information on the </w:t>
      </w:r>
      <w:r w:rsidR="005A063E">
        <w:t>characteristics</w:t>
      </w:r>
      <w:r w:rsidR="003C4797">
        <w:t xml:space="preserve"> of</w:t>
      </w:r>
      <w:r w:rsidR="005A063E">
        <w:t xml:space="preserve"> the</w:t>
      </w:r>
      <w:r w:rsidR="003C4797">
        <w:t xml:space="preserve"> rooms offered and the establishment's name and rating resulting from the past customers' evaluation. Separately, the programme also retrieved other establishment's characteristics, including its type, its size measured by the number of rooms, if it is part of a chain and its star classification. </w:t>
      </w:r>
      <w:r w:rsidR="005A063E">
        <w:t xml:space="preserve">In this work, to simplify the comparisons and provide a more direct link with the existing literature, the analysis uses data </w:t>
      </w:r>
      <w:r w:rsidR="00FF64A4">
        <w:t xml:space="preserve">only </w:t>
      </w:r>
      <w:r w:rsidR="005A063E">
        <w:t>from establishments classified as Hotels</w:t>
      </w:r>
      <w:r w:rsidR="00FF64A4">
        <w:t xml:space="preserve">, </w:t>
      </w:r>
      <w:r w:rsidR="00B84BDC">
        <w:t>if</w:t>
      </w:r>
      <w:r w:rsidR="00FF64A4">
        <w:t xml:space="preserve"> they state a star classification on their Booking.com website</w:t>
      </w:r>
      <w:r w:rsidR="00305FA4">
        <w:t xml:space="preserve">. </w:t>
      </w:r>
      <w:r w:rsidR="00B84BDC">
        <w:t>Furthermore</w:t>
      </w:r>
      <w:r w:rsidR="00305FA4">
        <w:t xml:space="preserve">, </w:t>
      </w:r>
      <w:r w:rsidR="00B84BDC">
        <w:t>the study includes only double or twin rooms</w:t>
      </w:r>
      <w:r w:rsidR="00FF64A4">
        <w:t xml:space="preserve">. </w:t>
      </w:r>
    </w:p>
    <w:p w14:paraId="45F7A16B" w14:textId="1060B4F3" w:rsidR="00F07F13" w:rsidRDefault="005A063E">
      <w:pPr>
        <w:ind w:firstLine="0"/>
      </w:pPr>
      <w:r>
        <w:t xml:space="preserve">The queries specified the </w:t>
      </w:r>
      <w:r w:rsidR="007B324B">
        <w:t xml:space="preserve">most important </w:t>
      </w:r>
      <w:r>
        <w:t xml:space="preserve">tourist seaside localities </w:t>
      </w:r>
      <w:r w:rsidR="00662635">
        <w:t xml:space="preserve">(62 overall) </w:t>
      </w:r>
      <w:r w:rsidR="007B324B">
        <w:t xml:space="preserve">in four renowned </w:t>
      </w:r>
      <w:r w:rsidR="0009320B">
        <w:t>islands</w:t>
      </w:r>
      <w:r w:rsidR="007B324B">
        <w:t xml:space="preserve"> in the western part of the Mediterranean Sea</w:t>
      </w:r>
      <w:r w:rsidR="00B90577">
        <w:t>, denoted as macro-destinations</w:t>
      </w:r>
      <w:r w:rsidR="0009320B">
        <w:t xml:space="preserve">: Sardinia, Sicily, </w:t>
      </w:r>
      <w:r w:rsidR="007B324B">
        <w:t xml:space="preserve">Corsica, </w:t>
      </w:r>
      <w:r w:rsidR="0009320B">
        <w:t xml:space="preserve">and </w:t>
      </w:r>
      <w:r w:rsidR="007B324B">
        <w:t xml:space="preserve">the Balearics. </w:t>
      </w:r>
      <w:r>
        <w:t>The period covered in our sample runs from 1st April until the 30</w:t>
      </w:r>
      <w:r w:rsidRPr="005A063E">
        <w:rPr>
          <w:vertAlign w:val="superscript"/>
        </w:rPr>
        <w:t>th</w:t>
      </w:r>
      <w:r>
        <w:t xml:space="preserve"> September. These denote the days of stay, which, for analytical purposes, were further divided into three sub-periods: April-June, July-August, and September. The first and the third correspond to periods of medium demand, while the second on</w:t>
      </w:r>
      <w:r w:rsidR="006372E2">
        <w:t>e identifies the peak-season</w:t>
      </w:r>
      <w:r>
        <w:t>. The data collection was repeated in two consecutive years, 2014 and 2015.</w:t>
      </w:r>
    </w:p>
    <w:p w14:paraId="45F7A16C" w14:textId="3577F7F7" w:rsidR="005A063E" w:rsidRDefault="006372E2">
      <w:r>
        <w:t>As</w:t>
      </w:r>
      <w:r w:rsidR="00D159FA">
        <w:t xml:space="preserve"> in many airline studies (Alderighi et. al., 2015; </w:t>
      </w:r>
      <w:r w:rsidR="0071075C">
        <w:t>Bilotkach et al., 2010</w:t>
      </w:r>
      <w:r w:rsidR="00AB5D99">
        <w:t xml:space="preserve">), </w:t>
      </w:r>
      <w:r w:rsidR="000229C6">
        <w:t xml:space="preserve">the </w:t>
      </w:r>
      <w:r w:rsidR="00230B39">
        <w:t>crawler operated daily and issue</w:t>
      </w:r>
      <w:r w:rsidR="003B79E1">
        <w:t>d</w:t>
      </w:r>
      <w:r w:rsidR="00230B39">
        <w:t xml:space="preserve"> queries specifying </w:t>
      </w:r>
      <w:r w:rsidR="003B79E1">
        <w:t xml:space="preserve">the intervals separating the </w:t>
      </w:r>
      <w:r w:rsidR="00230B39">
        <w:t xml:space="preserve">dates of stay from the query date. </w:t>
      </w:r>
      <w:r w:rsidR="00026CC3">
        <w:t>F</w:t>
      </w:r>
      <w:r w:rsidR="004C46CE">
        <w:t>or a "hotel</w:t>
      </w:r>
      <w:r w:rsidR="00847725">
        <w:t>/day of stay"</w:t>
      </w:r>
      <w:r w:rsidR="00230B39">
        <w:t xml:space="preserve"> combination, </w:t>
      </w:r>
      <w:r w:rsidR="00847725">
        <w:t>the crawler requested</w:t>
      </w:r>
      <w:r w:rsidR="00230B39">
        <w:t xml:space="preserve"> prices</w:t>
      </w:r>
      <w:r w:rsidR="00B90577">
        <w:t xml:space="preserve"> 70,</w:t>
      </w:r>
      <w:r w:rsidR="00230B39">
        <w:t xml:space="preserve"> 65, 60, 55, 50, 45, 40, 35</w:t>
      </w:r>
      <w:r w:rsidR="00EB77A8">
        <w:t>,</w:t>
      </w:r>
      <w:r w:rsidR="00230B39">
        <w:t xml:space="preserve"> 30, 25, 20, 14, 7, 4 and 1 day prior to the date of stay, which henceforth we denote as the booking time. </w:t>
      </w:r>
      <w:r w:rsidR="008104A6">
        <w:t>For</w:t>
      </w:r>
      <w:r w:rsidR="00847725">
        <w:t xml:space="preserve"> a given date of stay, booking time and consequently prices may not have been collected for the whole booking period if an establishment reached full capacity utilization early in the booking period (or decided to stop posting prices on Booking.com on specific dates of stay). </w:t>
      </w:r>
      <w:r w:rsidR="00EB77A8">
        <w:t>Thus,</w:t>
      </w:r>
      <w:r w:rsidR="00847725">
        <w:t xml:space="preserve"> only combinations of "hotel/day of stay" with </w:t>
      </w:r>
      <w:r w:rsidR="001C2163">
        <w:t>at least</w:t>
      </w:r>
      <w:r w:rsidR="00D14C37">
        <w:t xml:space="preserve"> 5 </w:t>
      </w:r>
      <w:r w:rsidR="00847725">
        <w:t>prices retrieved on different booking times, were considered.</w:t>
      </w:r>
      <w:r w:rsidR="00F2580F">
        <w:t xml:space="preserve"> </w:t>
      </w:r>
      <w:r w:rsidR="001C2163">
        <w:t>P</w:t>
      </w:r>
      <w:r w:rsidR="00F2580F">
        <w:t>rices were in British Sterling</w:t>
      </w:r>
      <w:r w:rsidR="004C46CE">
        <w:t>.</w:t>
      </w:r>
    </w:p>
    <w:p w14:paraId="45F7A16D" w14:textId="56708576" w:rsidR="00226323" w:rsidRDefault="00EB77A8">
      <w:pPr>
        <w:rPr>
          <w:lang w:val="en-US"/>
        </w:rPr>
      </w:pPr>
      <w:r>
        <w:rPr>
          <w:lang w:val="en-US"/>
        </w:rPr>
        <w:t>T</w:t>
      </w:r>
      <w:r w:rsidR="009C4891">
        <w:rPr>
          <w:lang w:val="en-US"/>
        </w:rPr>
        <w:t xml:space="preserve">he sample presents the following characteristics in terms of </w:t>
      </w:r>
      <w:r w:rsidR="00B90577">
        <w:rPr>
          <w:lang w:val="en-US"/>
        </w:rPr>
        <w:t>number of hotels in each macro-destination</w:t>
      </w:r>
      <w:r w:rsidR="009C4891">
        <w:rPr>
          <w:lang w:val="en-US"/>
        </w:rPr>
        <w:t>:</w:t>
      </w:r>
      <w:r w:rsidR="00A877A9">
        <w:rPr>
          <w:lang w:val="en-US"/>
        </w:rPr>
        <w:t xml:space="preserve"> </w:t>
      </w:r>
      <w:r w:rsidR="005A6D28" w:rsidRPr="005A6D28">
        <w:rPr>
          <w:i/>
          <w:lang w:val="en-US"/>
        </w:rPr>
        <w:t>i</w:t>
      </w:r>
      <w:r w:rsidR="00A877A9">
        <w:rPr>
          <w:lang w:val="en-US"/>
        </w:rPr>
        <w:t>) the number of hotels in each star classification remains quite stable across period</w:t>
      </w:r>
      <w:r w:rsidR="008A5DA3">
        <w:rPr>
          <w:lang w:val="en-US"/>
        </w:rPr>
        <w:t>s</w:t>
      </w:r>
      <w:r w:rsidR="00A877A9">
        <w:rPr>
          <w:lang w:val="en-US"/>
        </w:rPr>
        <w:t xml:space="preserve">; </w:t>
      </w:r>
      <w:r w:rsidR="005A6D28" w:rsidRPr="005A6D28">
        <w:rPr>
          <w:i/>
          <w:lang w:val="en-US"/>
        </w:rPr>
        <w:t>ii</w:t>
      </w:r>
      <w:r w:rsidR="00A877A9">
        <w:rPr>
          <w:lang w:val="en-US"/>
        </w:rPr>
        <w:t xml:space="preserve">) at least seventy percent of hotels are classified as either 3- or 4-star, a proportion that reaches ninety percent in Sardinia; </w:t>
      </w:r>
      <w:r w:rsidR="005A6D28">
        <w:rPr>
          <w:i/>
          <w:lang w:val="en-US"/>
        </w:rPr>
        <w:t>iii</w:t>
      </w:r>
      <w:r w:rsidR="00531FAB">
        <w:rPr>
          <w:lang w:val="en-US"/>
        </w:rPr>
        <w:t>) in Sardinia and Sicily, the incidence of 5-star hotels is about seven percent, slightly higher than in Corsica and Balearics (</w:t>
      </w:r>
      <w:r w:rsidR="005A6D28">
        <w:rPr>
          <w:lang w:val="en-US"/>
        </w:rPr>
        <w:t>slightly less than</w:t>
      </w:r>
      <w:r w:rsidR="00531FAB">
        <w:rPr>
          <w:lang w:val="en-US"/>
        </w:rPr>
        <w:t xml:space="preserve"> five percent), where, however, we record a larger presence of </w:t>
      </w:r>
      <w:r w:rsidR="00531FAB">
        <w:rPr>
          <w:lang w:val="en-US"/>
        </w:rPr>
        <w:lastRenderedPageBreak/>
        <w:t>1- and 2-star hotels</w:t>
      </w:r>
      <w:r w:rsidR="007329A0">
        <w:rPr>
          <w:lang w:val="en-US"/>
        </w:rPr>
        <w:t xml:space="preserve">; </w:t>
      </w:r>
      <w:r w:rsidR="007329A0" w:rsidRPr="007329A0">
        <w:rPr>
          <w:i/>
          <w:lang w:val="en-US"/>
        </w:rPr>
        <w:t>iv</w:t>
      </w:r>
      <w:r w:rsidR="007329A0">
        <w:rPr>
          <w:i/>
          <w:lang w:val="en-US"/>
        </w:rPr>
        <w:t xml:space="preserve">) </w:t>
      </w:r>
      <w:r w:rsidR="00226323">
        <w:rPr>
          <w:lang w:val="en-US"/>
        </w:rPr>
        <w:t>the maximum number of hotels ranges from 387 in the Balearics to 155 in Corsica, with intermediate values in Sardinia (218) and Sicily (181)</w:t>
      </w:r>
      <w:r w:rsidR="00531FAB">
        <w:rPr>
          <w:lang w:val="en-US"/>
        </w:rPr>
        <w:t>.</w:t>
      </w:r>
    </w:p>
    <w:p w14:paraId="45F7A16E" w14:textId="70AD14CC" w:rsidR="00531FAB" w:rsidRDefault="00226323">
      <w:pPr>
        <w:rPr>
          <w:lang w:val="en-US"/>
        </w:rPr>
      </w:pPr>
      <w:r>
        <w:rPr>
          <w:lang w:val="en-US"/>
        </w:rPr>
        <w:t xml:space="preserve">The number of hotels in the sample reflects the relative tourist demand in the four </w:t>
      </w:r>
      <w:r w:rsidR="004640FA">
        <w:rPr>
          <w:lang w:val="en-US"/>
        </w:rPr>
        <w:t>macro-regions</w:t>
      </w:r>
      <w:r>
        <w:rPr>
          <w:lang w:val="en-US"/>
        </w:rPr>
        <w:t xml:space="preserve">, as also exemplified in Table </w:t>
      </w:r>
      <w:r w:rsidR="00493E43">
        <w:rPr>
          <w:lang w:val="en-US"/>
        </w:rPr>
        <w:t xml:space="preserve">2 </w:t>
      </w:r>
      <w:r>
        <w:rPr>
          <w:lang w:val="en-US"/>
        </w:rPr>
        <w:t xml:space="preserve">by the number of passengers using the airports located in each </w:t>
      </w:r>
      <w:r w:rsidR="004640FA">
        <w:rPr>
          <w:lang w:val="en-US"/>
        </w:rPr>
        <w:t>macro-region</w:t>
      </w:r>
      <w:r>
        <w:rPr>
          <w:lang w:val="en-US"/>
        </w:rPr>
        <w:t xml:space="preserve">. The Table indicates that the yearly number of total passengers slightly increased </w:t>
      </w:r>
      <w:r w:rsidR="004640FA">
        <w:rPr>
          <w:lang w:val="en-US"/>
        </w:rPr>
        <w:t xml:space="preserve">everywhere </w:t>
      </w:r>
      <w:r>
        <w:rPr>
          <w:lang w:val="en-US"/>
        </w:rPr>
        <w:t xml:space="preserve">in 2015, </w:t>
      </w:r>
      <w:r w:rsidR="004F5A24">
        <w:rPr>
          <w:lang w:val="en-US"/>
        </w:rPr>
        <w:t>but that</w:t>
      </w:r>
      <w:r>
        <w:rPr>
          <w:lang w:val="en-US"/>
        </w:rPr>
        <w:t xml:space="preserve"> the share of passengers in each period </w:t>
      </w:r>
      <w:r w:rsidR="004F5A24">
        <w:rPr>
          <w:lang w:val="en-US"/>
        </w:rPr>
        <w:t xml:space="preserve">remained stable and similar in all macro-regions, with about 32% of passenger in each year in Apr-Jun, 36% in Jul-Aug and 13% in September. The same shares at each airport level are also stable over each period in the two years.  </w:t>
      </w:r>
    </w:p>
    <w:p w14:paraId="45F7A16F" w14:textId="16A75FDD" w:rsidR="00B90577" w:rsidRDefault="00531FAB">
      <w:pPr>
        <w:rPr>
          <w:lang w:val="en-US"/>
        </w:rPr>
      </w:pPr>
      <w:r>
        <w:rPr>
          <w:lang w:val="en-US"/>
        </w:rPr>
        <w:t xml:space="preserve">Table </w:t>
      </w:r>
      <w:r w:rsidR="00493E43">
        <w:rPr>
          <w:lang w:val="en-US"/>
        </w:rPr>
        <w:t xml:space="preserve">3 </w:t>
      </w:r>
      <w:r>
        <w:rPr>
          <w:lang w:val="en-US"/>
        </w:rPr>
        <w:t>clearly shows that, holding the star classification fixed, prices vary across the season</w:t>
      </w:r>
      <w:r w:rsidR="000E4299">
        <w:rPr>
          <w:lang w:val="en-US"/>
        </w:rPr>
        <w:t xml:space="preserve"> in both years</w:t>
      </w:r>
      <w:r>
        <w:rPr>
          <w:lang w:val="en-US"/>
        </w:rPr>
        <w:t xml:space="preserve">, with higher prices </w:t>
      </w:r>
      <w:r w:rsidR="004640FA">
        <w:rPr>
          <w:lang w:val="en-US"/>
        </w:rPr>
        <w:t>for stays</w:t>
      </w:r>
      <w:r>
        <w:rPr>
          <w:lang w:val="en-US"/>
        </w:rPr>
        <w:t xml:space="preserve"> in July-August, followed by those in September and in April-June. </w:t>
      </w:r>
      <w:r w:rsidR="002325D2">
        <w:rPr>
          <w:lang w:val="en-US"/>
        </w:rPr>
        <w:t>Note</w:t>
      </w:r>
      <w:r w:rsidR="000E4299">
        <w:rPr>
          <w:lang w:val="en-US"/>
        </w:rPr>
        <w:t xml:space="preserve"> that in this work, seasonal adjustments of price are not considered as evidence of </w:t>
      </w:r>
      <w:r w:rsidR="002C024F">
        <w:rPr>
          <w:lang w:val="en-US"/>
        </w:rPr>
        <w:t>DP</w:t>
      </w:r>
      <w:r w:rsidR="000E4299">
        <w:rPr>
          <w:lang w:val="en-US"/>
        </w:rPr>
        <w:t xml:space="preserve">, which we identify only in terms of price variations across the booking times, holding the date of stay fixed. </w:t>
      </w:r>
    </w:p>
    <w:p w14:paraId="45F7A170" w14:textId="77777777" w:rsidR="003C4797" w:rsidRDefault="00847725" w:rsidP="00847725">
      <w:pPr>
        <w:pStyle w:val="Heading1"/>
        <w:rPr>
          <w:lang w:val="en-US"/>
        </w:rPr>
      </w:pPr>
      <w:r>
        <w:rPr>
          <w:lang w:val="en-US"/>
        </w:rPr>
        <w:t>Descriptive evidence</w:t>
      </w:r>
    </w:p>
    <w:p w14:paraId="45F7A171" w14:textId="06D126F1" w:rsidR="00F2580F" w:rsidRDefault="009C4891" w:rsidP="005A6D28">
      <w:pPr>
        <w:rPr>
          <w:lang w:val="en-US"/>
        </w:rPr>
      </w:pPr>
      <w:r>
        <w:rPr>
          <w:lang w:val="en-US"/>
        </w:rPr>
        <w:t xml:space="preserve">Table </w:t>
      </w:r>
      <w:r w:rsidR="00493E43">
        <w:rPr>
          <w:lang w:val="en-US"/>
        </w:rPr>
        <w:t xml:space="preserve">4 </w:t>
      </w:r>
      <w:r w:rsidR="00EB77A8">
        <w:rPr>
          <w:lang w:val="en-US"/>
        </w:rPr>
        <w:t xml:space="preserve">sheds some light on the extent by which DP is widespread in each geographical area. The row “Total” </w:t>
      </w:r>
      <w:r w:rsidR="00327885">
        <w:rPr>
          <w:lang w:val="en-US"/>
        </w:rPr>
        <w:t>reports</w:t>
      </w:r>
      <w:r w:rsidR="00EB77A8">
        <w:rPr>
          <w:lang w:val="en-US"/>
        </w:rPr>
        <w:t>, for each macro-destination,</w:t>
      </w:r>
      <w:r w:rsidR="00327885">
        <w:rPr>
          <w:lang w:val="en-US"/>
        </w:rPr>
        <w:t xml:space="preserve"> the </w:t>
      </w:r>
      <w:r w:rsidR="00EB77A8">
        <w:rPr>
          <w:lang w:val="en-US"/>
        </w:rPr>
        <w:t>proportion of observations denoting</w:t>
      </w:r>
      <w:r w:rsidR="00327885">
        <w:rPr>
          <w:lang w:val="en-US"/>
        </w:rPr>
        <w:t xml:space="preserve"> a price variation</w:t>
      </w:r>
      <w:r w:rsidR="00494A0B">
        <w:rPr>
          <w:lang w:val="en-US"/>
        </w:rPr>
        <w:t xml:space="preserve"> (either an increase or a decrease)</w:t>
      </w:r>
      <w:r w:rsidR="00327885">
        <w:rPr>
          <w:lang w:val="en-US"/>
        </w:rPr>
        <w:t xml:space="preserve"> between two consecutive booking times</w:t>
      </w:r>
      <w:r w:rsidR="00494A0B">
        <w:rPr>
          <w:lang w:val="en-US"/>
        </w:rPr>
        <w:t>, holding the date of stay</w:t>
      </w:r>
      <w:r w:rsidR="0098374C">
        <w:rPr>
          <w:lang w:val="en-US"/>
        </w:rPr>
        <w:t xml:space="preserve"> fixed</w:t>
      </w:r>
      <w:r w:rsidR="00CD6B0B">
        <w:rPr>
          <w:lang w:val="en-US"/>
        </w:rPr>
        <w:t xml:space="preserve">. </w:t>
      </w:r>
      <w:r w:rsidR="00EB77A8">
        <w:rPr>
          <w:lang w:val="en-US"/>
        </w:rPr>
        <w:t>Values are</w:t>
      </w:r>
      <w:r w:rsidR="00CD6B0B">
        <w:rPr>
          <w:lang w:val="en-US"/>
        </w:rPr>
        <w:t xml:space="preserve"> generally below </w:t>
      </w:r>
      <w:r w:rsidR="00EB77A8">
        <w:rPr>
          <w:lang w:val="en-US"/>
        </w:rPr>
        <w:t>20%</w:t>
      </w:r>
      <w:r w:rsidR="00CD6B0B">
        <w:rPr>
          <w:lang w:val="en-US"/>
        </w:rPr>
        <w:t xml:space="preserve"> in </w:t>
      </w:r>
      <w:r w:rsidR="00EB77A8">
        <w:rPr>
          <w:lang w:val="en-US"/>
        </w:rPr>
        <w:t>most</w:t>
      </w:r>
      <w:r w:rsidR="00CD6B0B">
        <w:rPr>
          <w:lang w:val="en-US"/>
        </w:rPr>
        <w:t xml:space="preserve"> periods, with a peak of about </w:t>
      </w:r>
      <w:r w:rsidR="00EB77A8">
        <w:rPr>
          <w:lang w:val="en-US"/>
        </w:rPr>
        <w:t>24%</w:t>
      </w:r>
      <w:r w:rsidR="00CD6B0B">
        <w:rPr>
          <w:lang w:val="en-US"/>
        </w:rPr>
        <w:t xml:space="preserve"> in July-August 2015; </w:t>
      </w:r>
      <w:r w:rsidR="0098374C">
        <w:rPr>
          <w:lang w:val="en-US"/>
        </w:rPr>
        <w:t>they are</w:t>
      </w:r>
      <w:r w:rsidR="00CD6B0B">
        <w:rPr>
          <w:lang w:val="en-US"/>
        </w:rPr>
        <w:t xml:space="preserve"> always the lowest in the April-June period in both years</w:t>
      </w:r>
      <w:r w:rsidR="0098374C">
        <w:rPr>
          <w:lang w:val="en-US"/>
        </w:rPr>
        <w:t>, although</w:t>
      </w:r>
      <w:r w:rsidR="00EB77A8">
        <w:rPr>
          <w:lang w:val="en-US"/>
        </w:rPr>
        <w:t xml:space="preserve"> more price dynamism seems to characterize the year 2015</w:t>
      </w:r>
      <w:r w:rsidR="00CD6B0B">
        <w:rPr>
          <w:lang w:val="en-US"/>
        </w:rPr>
        <w:t xml:space="preserve">. Overall, the evidence </w:t>
      </w:r>
      <w:r w:rsidR="0098374C">
        <w:rPr>
          <w:lang w:val="en-US"/>
        </w:rPr>
        <w:t>indicates</w:t>
      </w:r>
      <w:r w:rsidR="00CD6B0B">
        <w:rPr>
          <w:lang w:val="en-US"/>
        </w:rPr>
        <w:t xml:space="preserve"> that less than one hotels in five, in every macro-destination, </w:t>
      </w:r>
      <w:r w:rsidR="00494A0B">
        <w:rPr>
          <w:lang w:val="en-US"/>
        </w:rPr>
        <w:t>changed</w:t>
      </w:r>
      <w:r w:rsidR="00CD6B0B">
        <w:rPr>
          <w:lang w:val="en-US"/>
        </w:rPr>
        <w:t xml:space="preserve"> its </w:t>
      </w:r>
      <w:r w:rsidR="00494A0B">
        <w:rPr>
          <w:lang w:val="en-US"/>
        </w:rPr>
        <w:t xml:space="preserve">online </w:t>
      </w:r>
      <w:r w:rsidR="00CD6B0B">
        <w:rPr>
          <w:lang w:val="en-US"/>
        </w:rPr>
        <w:t>room prices</w:t>
      </w:r>
      <w:r w:rsidR="00494A0B">
        <w:rPr>
          <w:lang w:val="en-US"/>
        </w:rPr>
        <w:t xml:space="preserve"> during two consecutive sample observations of the booking times.</w:t>
      </w:r>
    </w:p>
    <w:p w14:paraId="45F7A172" w14:textId="5B209AE7" w:rsidR="003C4797" w:rsidRDefault="009C4891">
      <w:pPr>
        <w:rPr>
          <w:lang w:val="en-US"/>
        </w:rPr>
      </w:pPr>
      <w:r>
        <w:rPr>
          <w:lang w:val="en-US"/>
        </w:rPr>
        <w:t xml:space="preserve">Table </w:t>
      </w:r>
      <w:r w:rsidR="00493E43">
        <w:rPr>
          <w:lang w:val="en-US"/>
        </w:rPr>
        <w:t>4</w:t>
      </w:r>
      <w:r w:rsidR="0066771F">
        <w:rPr>
          <w:lang w:val="en-US"/>
        </w:rPr>
        <w:t xml:space="preserve"> also</w:t>
      </w:r>
      <w:r w:rsidR="00493E43">
        <w:rPr>
          <w:lang w:val="en-US"/>
        </w:rPr>
        <w:t xml:space="preserve"> </w:t>
      </w:r>
      <w:r w:rsidR="00494A0B">
        <w:rPr>
          <w:lang w:val="en-US"/>
        </w:rPr>
        <w:t xml:space="preserve">reports the same </w:t>
      </w:r>
      <w:r w:rsidR="00EB77A8">
        <w:rPr>
          <w:lang w:val="en-US"/>
        </w:rPr>
        <w:t>values</w:t>
      </w:r>
      <w:r w:rsidR="00494A0B">
        <w:rPr>
          <w:lang w:val="en-US"/>
        </w:rPr>
        <w:t xml:space="preserve"> broken down by star classification, and highlights important differences between types of hotels. In all periods, those classified as 3-star or less exhibit </w:t>
      </w:r>
      <w:r w:rsidR="003D650C">
        <w:rPr>
          <w:lang w:val="en-US"/>
        </w:rPr>
        <w:t xml:space="preserve">a much smaller propensity to change their online prices; the likelihood of a price variation in such establishments is </w:t>
      </w:r>
      <w:r w:rsidR="0098374C">
        <w:rPr>
          <w:lang w:val="en-US"/>
        </w:rPr>
        <w:t>below the</w:t>
      </w:r>
      <w:r w:rsidR="003D650C">
        <w:rPr>
          <w:lang w:val="en-US"/>
        </w:rPr>
        <w:t xml:space="preserve"> </w:t>
      </w:r>
      <w:r w:rsidR="0098374C">
        <w:rPr>
          <w:lang w:val="en-US"/>
        </w:rPr>
        <w:t>20</w:t>
      </w:r>
      <w:r w:rsidR="00EB77A8">
        <w:rPr>
          <w:lang w:val="en-US"/>
        </w:rPr>
        <w:t>%</w:t>
      </w:r>
      <w:r w:rsidR="003D650C">
        <w:rPr>
          <w:lang w:val="en-US"/>
        </w:rPr>
        <w:t xml:space="preserve"> </w:t>
      </w:r>
      <w:r w:rsidR="0098374C">
        <w:rPr>
          <w:lang w:val="en-US"/>
        </w:rPr>
        <w:t>threshold</w:t>
      </w:r>
      <w:r w:rsidR="003D650C">
        <w:rPr>
          <w:lang w:val="en-US"/>
        </w:rPr>
        <w:t xml:space="preserve">. Notably, even for higher quality hotels the propensity to vary price dynamically hardly </w:t>
      </w:r>
      <w:r w:rsidR="00E33C67">
        <w:rPr>
          <w:lang w:val="en-US"/>
        </w:rPr>
        <w:t>exceeds</w:t>
      </w:r>
      <w:r w:rsidR="003D650C">
        <w:rPr>
          <w:lang w:val="en-US"/>
        </w:rPr>
        <w:t xml:space="preserve"> the </w:t>
      </w:r>
      <w:r w:rsidR="00EB77A8">
        <w:rPr>
          <w:lang w:val="en-US"/>
        </w:rPr>
        <w:t xml:space="preserve">30% </w:t>
      </w:r>
      <w:r w:rsidR="003D650C">
        <w:rPr>
          <w:lang w:val="en-US"/>
        </w:rPr>
        <w:t>value</w:t>
      </w:r>
      <w:r w:rsidR="00EB77A8">
        <w:rPr>
          <w:lang w:val="en-US"/>
        </w:rPr>
        <w:t xml:space="preserve"> in 2014, except for Sicily</w:t>
      </w:r>
      <w:r w:rsidR="003D650C">
        <w:rPr>
          <w:lang w:val="en-US"/>
        </w:rPr>
        <w:t xml:space="preserve">; it increases in 2015, especially for 5-star hotels </w:t>
      </w:r>
      <w:r w:rsidR="00F2580F">
        <w:rPr>
          <w:lang w:val="en-US"/>
        </w:rPr>
        <w:t xml:space="preserve">in Sardinia and Corsica </w:t>
      </w:r>
      <w:r w:rsidR="003D650C">
        <w:rPr>
          <w:lang w:val="en-US"/>
        </w:rPr>
        <w:t>during the July-August</w:t>
      </w:r>
      <w:r w:rsidR="00F2580F">
        <w:rPr>
          <w:lang w:val="en-US"/>
        </w:rPr>
        <w:t xml:space="preserve"> period, where it </w:t>
      </w:r>
      <w:r w:rsidR="00E33C67">
        <w:rPr>
          <w:lang w:val="en-US"/>
        </w:rPr>
        <w:t>surpasses</w:t>
      </w:r>
      <w:r w:rsidR="00F2580F">
        <w:rPr>
          <w:lang w:val="en-US"/>
        </w:rPr>
        <w:t xml:space="preserve"> the </w:t>
      </w:r>
      <w:r w:rsidR="00EB77A8">
        <w:rPr>
          <w:lang w:val="en-US"/>
        </w:rPr>
        <w:t>50%</w:t>
      </w:r>
      <w:r w:rsidR="00F2580F">
        <w:rPr>
          <w:lang w:val="en-US"/>
        </w:rPr>
        <w:t xml:space="preserve"> level. For 4-star hotels the </w:t>
      </w:r>
      <w:r w:rsidR="00EB77A8">
        <w:rPr>
          <w:lang w:val="en-US"/>
        </w:rPr>
        <w:t>proportion of observations with price changes</w:t>
      </w:r>
      <w:r w:rsidR="00F2580F">
        <w:rPr>
          <w:lang w:val="en-US"/>
        </w:rPr>
        <w:t xml:space="preserve">, even in 2015, tends to stay </w:t>
      </w:r>
      <w:r w:rsidR="00F2580F">
        <w:rPr>
          <w:lang w:val="en-US"/>
        </w:rPr>
        <w:lastRenderedPageBreak/>
        <w:t xml:space="preserve">around the </w:t>
      </w:r>
      <w:r w:rsidR="00EB77A8">
        <w:rPr>
          <w:lang w:val="en-US"/>
        </w:rPr>
        <w:t>30%</w:t>
      </w:r>
      <w:r w:rsidR="00F2580F">
        <w:rPr>
          <w:lang w:val="en-US"/>
        </w:rPr>
        <w:t xml:space="preserve"> value, with</w:t>
      </w:r>
      <w:r w:rsidR="00E33C67">
        <w:rPr>
          <w:lang w:val="en-US"/>
        </w:rPr>
        <w:t xml:space="preserve"> only</w:t>
      </w:r>
      <w:r w:rsidR="00F2580F">
        <w:rPr>
          <w:lang w:val="en-US"/>
        </w:rPr>
        <w:t xml:space="preserve"> a peak of about </w:t>
      </w:r>
      <w:r w:rsidR="0098374C">
        <w:rPr>
          <w:lang w:val="en-US"/>
        </w:rPr>
        <w:t>44%</w:t>
      </w:r>
      <w:r w:rsidR="00F2580F">
        <w:rPr>
          <w:lang w:val="en-US"/>
        </w:rPr>
        <w:t xml:space="preserve"> in Corsica in July-September 2015. </w:t>
      </w:r>
      <w:r w:rsidR="0098374C">
        <w:rPr>
          <w:lang w:val="en-US"/>
        </w:rPr>
        <w:t>Overall</w:t>
      </w:r>
      <w:r w:rsidR="00E33C67">
        <w:rPr>
          <w:lang w:val="en-US"/>
        </w:rPr>
        <w:t xml:space="preserve">, the analysis based on the star classification </w:t>
      </w:r>
      <w:r w:rsidR="00980459">
        <w:rPr>
          <w:lang w:val="en-US"/>
        </w:rPr>
        <w:t xml:space="preserve">points </w:t>
      </w:r>
      <w:r w:rsidR="005C357D">
        <w:rPr>
          <w:lang w:val="en-US"/>
        </w:rPr>
        <w:t>toward a</w:t>
      </w:r>
      <w:r w:rsidR="00980459">
        <w:rPr>
          <w:lang w:val="en-US"/>
        </w:rPr>
        <w:t xml:space="preserve"> heterogeneous propensity to change room prices dynamically, which is </w:t>
      </w:r>
      <w:r w:rsidR="00EB77A8">
        <w:rPr>
          <w:lang w:val="en-US"/>
        </w:rPr>
        <w:t>stronger</w:t>
      </w:r>
      <w:r w:rsidR="00980459">
        <w:rPr>
          <w:lang w:val="en-US"/>
        </w:rPr>
        <w:t xml:space="preserve"> for 4- and 5-star hotels. </w:t>
      </w:r>
    </w:p>
    <w:p w14:paraId="45F7A173" w14:textId="2041C17F" w:rsidR="00BB067D" w:rsidRDefault="0009320B">
      <w:pPr>
        <w:rPr>
          <w:lang w:val="en-US"/>
        </w:rPr>
      </w:pPr>
      <w:r>
        <w:rPr>
          <w:lang w:val="en-US"/>
        </w:rPr>
        <w:t>We also</w:t>
      </w:r>
      <w:r w:rsidR="00E42487">
        <w:rPr>
          <w:lang w:val="en-US"/>
        </w:rPr>
        <w:t xml:space="preserve"> investigate the possibility that price variations occur asymmetrically during the booking times’ period. </w:t>
      </w:r>
      <w:r w:rsidR="009C4891">
        <w:rPr>
          <w:lang w:val="en-US"/>
        </w:rPr>
        <w:t xml:space="preserve">Table </w:t>
      </w:r>
      <w:r w:rsidR="00493E43">
        <w:rPr>
          <w:lang w:val="en-US"/>
        </w:rPr>
        <w:t xml:space="preserve">5 </w:t>
      </w:r>
      <w:r w:rsidR="005E2E8C">
        <w:rPr>
          <w:lang w:val="en-US"/>
        </w:rPr>
        <w:t xml:space="preserve">reports the same </w:t>
      </w:r>
      <w:r w:rsidR="00EB77A8">
        <w:rPr>
          <w:lang w:val="en-US"/>
        </w:rPr>
        <w:t>statistic</w:t>
      </w:r>
      <w:r w:rsidR="005E2E8C">
        <w:rPr>
          <w:lang w:val="en-US"/>
        </w:rPr>
        <w:t xml:space="preserve"> </w:t>
      </w:r>
      <w:r w:rsidR="0062219F">
        <w:rPr>
          <w:lang w:val="en-US"/>
        </w:rPr>
        <w:t xml:space="preserve">of Table </w:t>
      </w:r>
      <w:r w:rsidR="00493E43">
        <w:rPr>
          <w:lang w:val="en-US"/>
        </w:rPr>
        <w:t>4</w:t>
      </w:r>
      <w:r w:rsidR="0062219F">
        <w:rPr>
          <w:lang w:val="en-US"/>
        </w:rPr>
        <w:t>,</w:t>
      </w:r>
      <w:r w:rsidR="005E2E8C">
        <w:rPr>
          <w:lang w:val="en-US"/>
        </w:rPr>
        <w:t xml:space="preserve"> broken down by different booking times</w:t>
      </w:r>
      <w:r w:rsidR="00E42487">
        <w:rPr>
          <w:lang w:val="en-US"/>
        </w:rPr>
        <w:t>.</w:t>
      </w:r>
      <w:r w:rsidR="009B3E26">
        <w:rPr>
          <w:lang w:val="en-US"/>
        </w:rPr>
        <w:t xml:space="preserve"> In all macro-destinations and across all the stay periods, the probability to observe a price change </w:t>
      </w:r>
      <w:r w:rsidR="004F5A24">
        <w:rPr>
          <w:lang w:val="en-US"/>
        </w:rPr>
        <w:t>rises</w:t>
      </w:r>
      <w:r w:rsidR="009B3E26">
        <w:rPr>
          <w:lang w:val="en-US"/>
        </w:rPr>
        <w:t xml:space="preserve"> as the booking times decrease (i.e., as the date of stay nears), with marked differences across years.</w:t>
      </w:r>
      <w:r w:rsidR="00E42487">
        <w:rPr>
          <w:lang w:val="en-US"/>
        </w:rPr>
        <w:t xml:space="preserve"> </w:t>
      </w:r>
      <w:r w:rsidR="005E2E8C">
        <w:rPr>
          <w:lang w:val="en-US"/>
        </w:rPr>
        <w:t>In 2014,</w:t>
      </w:r>
      <w:r w:rsidR="009B3E26">
        <w:rPr>
          <w:lang w:val="en-US"/>
        </w:rPr>
        <w:t xml:space="preserve"> the difference between the values in early booking times (45-70) and late booking times (1-4) is generally much smaller than in 2015, </w:t>
      </w:r>
      <w:r w:rsidR="00EB77A8">
        <w:rPr>
          <w:lang w:val="en-US"/>
        </w:rPr>
        <w:t>in each period of stay</w:t>
      </w:r>
      <w:r w:rsidR="009B3E26">
        <w:rPr>
          <w:lang w:val="en-US"/>
        </w:rPr>
        <w:t xml:space="preserve">. </w:t>
      </w:r>
      <w:r w:rsidR="00CF257A">
        <w:rPr>
          <w:lang w:val="en-US"/>
        </w:rPr>
        <w:t>Nonetheless,</w:t>
      </w:r>
      <w:r w:rsidR="005C7433">
        <w:rPr>
          <w:lang w:val="en-US"/>
        </w:rPr>
        <w:t xml:space="preserve"> even in the July-August 2015 period, which records the largest incidence of price variation, our data indicate that no more</w:t>
      </w:r>
      <w:r w:rsidR="00CF257A">
        <w:rPr>
          <w:lang w:val="en-US"/>
        </w:rPr>
        <w:t xml:space="preserve"> than 40% of observations (that is, about</w:t>
      </w:r>
      <w:r w:rsidR="005C7433">
        <w:rPr>
          <w:lang w:val="en-US"/>
        </w:rPr>
        <w:t xml:space="preserve"> four hotels out of ten</w:t>
      </w:r>
      <w:r w:rsidR="00CF257A">
        <w:rPr>
          <w:lang w:val="en-US"/>
        </w:rPr>
        <w:t>)</w:t>
      </w:r>
      <w:r w:rsidR="005C7433">
        <w:rPr>
          <w:lang w:val="en-US"/>
        </w:rPr>
        <w:t xml:space="preserve"> </w:t>
      </w:r>
      <w:r w:rsidR="00CF257A">
        <w:rPr>
          <w:lang w:val="en-US"/>
        </w:rPr>
        <w:t>denote a price change</w:t>
      </w:r>
      <w:r w:rsidR="005C7433">
        <w:rPr>
          <w:lang w:val="en-US"/>
        </w:rPr>
        <w:t xml:space="preserve"> in the </w:t>
      </w:r>
      <w:r w:rsidR="00CF257A">
        <w:rPr>
          <w:lang w:val="en-US"/>
        </w:rPr>
        <w:t>1-4 booking period</w:t>
      </w:r>
      <w:r w:rsidR="005C7433">
        <w:rPr>
          <w:lang w:val="en-US"/>
        </w:rPr>
        <w:t xml:space="preserve">. </w:t>
      </w:r>
    </w:p>
    <w:p w14:paraId="45F7A174" w14:textId="77777777" w:rsidR="00F979D2" w:rsidRDefault="00F979D2">
      <w:pPr>
        <w:rPr>
          <w:lang w:val="en-US"/>
        </w:rPr>
      </w:pPr>
      <w:r>
        <w:rPr>
          <w:lang w:val="en-US"/>
        </w:rPr>
        <w:t xml:space="preserve">To sum up, the descriptive statistical analysis suggests three main aspects with regards to the incidence of </w:t>
      </w:r>
      <w:r w:rsidR="002C024F">
        <w:rPr>
          <w:lang w:val="en-US"/>
        </w:rPr>
        <w:t>DP</w:t>
      </w:r>
      <w:r>
        <w:rPr>
          <w:lang w:val="en-US"/>
        </w:rPr>
        <w:t xml:space="preserve"> in our data: </w:t>
      </w:r>
      <w:r w:rsidRPr="00F979D2">
        <w:rPr>
          <w:i/>
          <w:lang w:val="en-US"/>
        </w:rPr>
        <w:t>a</w:t>
      </w:r>
      <w:r>
        <w:rPr>
          <w:lang w:val="en-US"/>
        </w:rPr>
        <w:t xml:space="preserve">) in all macro-destinations and </w:t>
      </w:r>
      <w:r w:rsidR="0098374C">
        <w:rPr>
          <w:lang w:val="en-US"/>
        </w:rPr>
        <w:t>years</w:t>
      </w:r>
      <w:r>
        <w:rPr>
          <w:lang w:val="en-US"/>
        </w:rPr>
        <w:t xml:space="preserve">, only a small proportion of hotels </w:t>
      </w:r>
      <w:r w:rsidR="0098374C">
        <w:rPr>
          <w:lang w:val="en-US"/>
        </w:rPr>
        <w:t>have varied</w:t>
      </w:r>
      <w:r>
        <w:rPr>
          <w:lang w:val="en-US"/>
        </w:rPr>
        <w:t xml:space="preserve"> their prices </w:t>
      </w:r>
      <w:r w:rsidR="000865EA">
        <w:rPr>
          <w:lang w:val="en-US"/>
        </w:rPr>
        <w:t>over two consecutive booking times, suggesting that</w:t>
      </w:r>
      <w:r>
        <w:rPr>
          <w:lang w:val="en-US"/>
        </w:rPr>
        <w:t xml:space="preserve"> </w:t>
      </w:r>
      <w:r w:rsidR="002C024F">
        <w:rPr>
          <w:lang w:val="en-US"/>
        </w:rPr>
        <w:t>DP</w:t>
      </w:r>
      <w:r>
        <w:rPr>
          <w:lang w:val="en-US"/>
        </w:rPr>
        <w:t xml:space="preserve"> </w:t>
      </w:r>
      <w:r w:rsidR="004F2D3D">
        <w:rPr>
          <w:lang w:val="en-US"/>
        </w:rPr>
        <w:t xml:space="preserve">appears to be on average a rather sporadic </w:t>
      </w:r>
      <w:r w:rsidR="00C63F65">
        <w:rPr>
          <w:lang w:val="en-US"/>
        </w:rPr>
        <w:t>phenomenon</w:t>
      </w:r>
      <w:r>
        <w:rPr>
          <w:lang w:val="en-US"/>
        </w:rPr>
        <w:t xml:space="preserve">; </w:t>
      </w:r>
      <w:r>
        <w:rPr>
          <w:i/>
          <w:lang w:val="en-US"/>
        </w:rPr>
        <w:t>b</w:t>
      </w:r>
      <w:r>
        <w:rPr>
          <w:lang w:val="en-US"/>
        </w:rPr>
        <w:t xml:space="preserve">) there seems to be some heterogeneity </w:t>
      </w:r>
      <w:r w:rsidR="001627EE">
        <w:rPr>
          <w:lang w:val="en-US"/>
        </w:rPr>
        <w:t xml:space="preserve">among hotels, with some, possibly higher quality hotels, actively involved in managing their prices over the booking period, while others choosing to maintain their prices fixed; </w:t>
      </w:r>
      <w:r w:rsidR="001627EE" w:rsidRPr="001627EE">
        <w:rPr>
          <w:i/>
          <w:lang w:val="en-US"/>
        </w:rPr>
        <w:t>c</w:t>
      </w:r>
      <w:r w:rsidR="001627EE">
        <w:rPr>
          <w:lang w:val="en-US"/>
        </w:rPr>
        <w:t xml:space="preserve">) the intensity with which price variations are observed appears to be stronger during the last days of the booking period. </w:t>
      </w:r>
    </w:p>
    <w:p w14:paraId="45F7A175" w14:textId="77777777" w:rsidR="001627EE" w:rsidRDefault="001627EE" w:rsidP="001627EE">
      <w:pPr>
        <w:pStyle w:val="Heading1"/>
        <w:rPr>
          <w:lang w:val="en-US"/>
        </w:rPr>
      </w:pPr>
      <w:r>
        <w:rPr>
          <w:lang w:val="en-US"/>
        </w:rPr>
        <w:t>Econometric methodology</w:t>
      </w:r>
    </w:p>
    <w:p w14:paraId="45F7A177" w14:textId="1D4407D0" w:rsidR="00437B36" w:rsidRDefault="00085E99" w:rsidP="00085E99">
      <w:r>
        <w:t>In the previous Section,</w:t>
      </w:r>
      <w:r w:rsidR="00687A5D">
        <w:t xml:space="preserve"> a dummy variable equal to 1 identifies </w:t>
      </w:r>
      <w:r w:rsidR="00AA0ECD">
        <w:t xml:space="preserve">a </w:t>
      </w:r>
      <w:r w:rsidR="002C024F">
        <w:t>DP</w:t>
      </w:r>
      <w:r w:rsidR="00AA0ECD">
        <w:t xml:space="preserve"> treatment</w:t>
      </w:r>
      <w:r w:rsidR="00EE63A2">
        <w:t xml:space="preserve"> as</w:t>
      </w:r>
      <w:r>
        <w:t xml:space="preserve"> a change in a room’s price over two consecutive booking times. That is, </w:t>
      </w:r>
      <m:oMath>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jt</m:t>
            </m:r>
          </m:sup>
        </m:sSubSup>
        <m:r>
          <w:rPr>
            <w:rFonts w:ascii="Cambria Math" w:hAnsi="Cambria Math"/>
          </w:rPr>
          <m:t xml:space="preserve">=1 </m:t>
        </m:r>
        <m:r>
          <m:rPr>
            <m:nor/>
          </m:rPr>
          <w:rPr>
            <w:rFonts w:ascii="Cambria Math" w:hAnsi="Cambria Math"/>
          </w:rPr>
          <m:t xml:space="preserve"> if</m:t>
        </m:r>
        <m:r>
          <w:rPr>
            <w:rFonts w:ascii="Cambria Math" w:hAnsi="Cambria Math"/>
          </w:rPr>
          <m:t xml:space="preserve"> </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j</m:t>
                </m:r>
              </m:sup>
            </m:sSubSup>
            <m:r>
              <m:rPr>
                <m:sty m:val="bi"/>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t-1</m:t>
                </m:r>
              </m:sub>
              <m:sup>
                <m:r>
                  <w:rPr>
                    <w:rFonts w:ascii="Cambria Math" w:hAnsi="Cambria Math"/>
                  </w:rPr>
                  <m:t>j</m:t>
                </m:r>
              </m:sup>
            </m:sSubSup>
          </m:e>
        </m:d>
        <m:r>
          <w:rPr>
            <w:rFonts w:ascii="Cambria Math" w:hAnsi="Cambria Math"/>
          </w:rPr>
          <m:t>&gt;0</m:t>
        </m:r>
      </m:oMath>
      <w:r w:rsidR="00437B36">
        <w:t xml:space="preserve">, where </w:t>
      </w:r>
      <w:r w:rsidR="00437B36">
        <w:rPr>
          <w:i/>
        </w:rPr>
        <w:t>j</w:t>
      </w:r>
      <w:r w:rsidR="00437B36">
        <w:t xml:space="preserve"> denotes a “hotel/room type/date of stay” combination, and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j</m:t>
                </m:r>
              </m:sup>
            </m:sSubSup>
            <m:r>
              <m:rPr>
                <m:sty m:val="bi"/>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t-1</m:t>
                </m:r>
              </m:sub>
              <m:sup>
                <m:r>
                  <w:rPr>
                    <w:rFonts w:ascii="Cambria Math" w:hAnsi="Cambria Math"/>
                  </w:rPr>
                  <m:t>j</m:t>
                </m:r>
              </m:sup>
            </m:sSubSup>
          </m:e>
        </m:d>
      </m:oMath>
      <w:r w:rsidR="00437B36">
        <w:t xml:space="preserve"> </w:t>
      </w:r>
      <w:r w:rsidR="00891FB7">
        <w:t xml:space="preserve">is the absolute difference of </w:t>
      </w:r>
      <w:r w:rsidR="00437B36">
        <w:t>price</w:t>
      </w:r>
      <w:r w:rsidR="00891FB7">
        <w:t>s</w:t>
      </w:r>
      <w:r w:rsidR="00437B36">
        <w:t xml:space="preserve"> in two consecutive booking times</w:t>
      </w:r>
      <w:r w:rsidR="00A40677">
        <w:t xml:space="preserve"> </w:t>
      </w:r>
      <w:r w:rsidR="00A40677">
        <w:rPr>
          <w:i/>
        </w:rPr>
        <w:t>t</w:t>
      </w:r>
      <w:r w:rsidR="00437B36">
        <w:t xml:space="preserve">. Such a specification for the </w:t>
      </w:r>
      <w:r w:rsidR="00AA0ECD">
        <w:t>treatment</w:t>
      </w:r>
      <w:r w:rsidR="00437B36">
        <w:t xml:space="preserve"> variable </w:t>
      </w:r>
      <m:oMath>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jt</m:t>
            </m:r>
          </m:sup>
        </m:sSubSup>
      </m:oMath>
      <w:r w:rsidR="00437B36">
        <w:t xml:space="preserve"> is useful for the investigation of when, during the booking period, the hotels are more likely to engage in </w:t>
      </w:r>
      <w:r w:rsidR="002C024F">
        <w:t>DP</w:t>
      </w:r>
      <w:r w:rsidR="00437B36">
        <w:t xml:space="preserve">. </w:t>
      </w:r>
    </w:p>
    <w:p w14:paraId="45F7A178" w14:textId="77777777" w:rsidR="00A40677" w:rsidRDefault="00437B36" w:rsidP="00085E99">
      <w:r>
        <w:t xml:space="preserve">However, </w:t>
      </w:r>
      <w:r w:rsidR="00A40677">
        <w:t xml:space="preserve">the descriptive analysis in the previous section has highlighted that the probability that this may happen is indeed rather small at each point in time, </w:t>
      </w:r>
      <w:r w:rsidR="00264E18">
        <w:t>although</w:t>
      </w:r>
      <w:r w:rsidR="00A40677">
        <w:t xml:space="preserve"> </w:t>
      </w:r>
      <w:r w:rsidR="00264E18">
        <w:t>this</w:t>
      </w:r>
      <w:r w:rsidR="00A40677">
        <w:t xml:space="preserve"> does not rule out the possibility that all or most “hotel/room type/date of stay” </w:t>
      </w:r>
      <w:r w:rsidR="00A40677">
        <w:lastRenderedPageBreak/>
        <w:t xml:space="preserve">combinations receive a </w:t>
      </w:r>
      <w:r w:rsidR="002C024F">
        <w:t>DP</w:t>
      </w:r>
      <w:r w:rsidR="00A40677">
        <w:t xml:space="preserve"> treatment at least once during the booking period. If this were the case, then</w:t>
      </w:r>
      <w:r>
        <w:t xml:space="preserve"> </w:t>
      </w:r>
      <w:r w:rsidR="00A40677">
        <w:t>this would im</w:t>
      </w:r>
      <w:r w:rsidR="00264E18">
        <w:t>ply that most hotels manage the</w:t>
      </w:r>
      <w:r w:rsidR="00A40677">
        <w:t xml:space="preserve"> dates of stay dynamically</w:t>
      </w:r>
      <w:r w:rsidR="00AA0ECD">
        <w:t>, even if the treatment occurs sporadically over the booking period</w:t>
      </w:r>
      <w:r w:rsidR="00A40677">
        <w:t xml:space="preserve">. The following </w:t>
      </w:r>
      <w:r w:rsidR="004141F1">
        <w:t>treatment</w:t>
      </w:r>
      <w:r w:rsidR="00A40677">
        <w:t xml:space="preserve"> variable </w:t>
      </w:r>
      <w:r w:rsidR="00B36F5C">
        <w:t>captures</w:t>
      </w:r>
      <w:r w:rsidR="00A40677">
        <w:t xml:space="preserve"> this possibility: </w:t>
      </w:r>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j</m:t>
            </m:r>
          </m:sup>
        </m:sSubSup>
        <m:r>
          <w:rPr>
            <w:rFonts w:ascii="Cambria Math" w:hAnsi="Cambria Math"/>
          </w:rPr>
          <m:t xml:space="preserve">=1  </m:t>
        </m:r>
        <m:r>
          <m:rPr>
            <m:nor/>
          </m:rPr>
          <w:rPr>
            <w:rFonts w:ascii="Cambria Math" w:hAnsi="Cambria Math"/>
          </w:rPr>
          <m:t>if</m:t>
        </m:r>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t</m:t>
            </m:r>
          </m:sub>
          <m:sup/>
          <m:e>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jt</m:t>
                </m:r>
              </m:sup>
            </m:sSubSup>
          </m:e>
        </m:nary>
        <m:r>
          <w:rPr>
            <w:rFonts w:ascii="Cambria Math" w:hAnsi="Cambria Math"/>
          </w:rPr>
          <m:t>&gt;0</m:t>
        </m:r>
      </m:oMath>
      <w:r w:rsidR="00264E18">
        <w:t xml:space="preserve">. </w:t>
      </w:r>
      <w:r w:rsidR="008F2072">
        <w:t xml:space="preserve">The main difference between the two treatments is that </w:t>
      </w:r>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j</m:t>
            </m:r>
          </m:sup>
        </m:sSubSup>
      </m:oMath>
      <w:r w:rsidR="008F2072">
        <w:t xml:space="preserve"> is independent of the booking time and can be estimated by considering a smaller sample which includes only one observation for each “hotel/room type/date of stay” combination. </w:t>
      </w:r>
    </w:p>
    <w:p w14:paraId="45F7A179" w14:textId="1BDD26A7" w:rsidR="00264E18" w:rsidRDefault="00264E18" w:rsidP="00085E99">
      <w:r>
        <w:t xml:space="preserve">Both </w:t>
      </w:r>
      <w:r w:rsidR="00AA0ECD">
        <w:t>treatment</w:t>
      </w:r>
      <w:r>
        <w:t xml:space="preserve"> variables are binary and are therefore estimated using a probit model (Wooldridge 2002)</w:t>
      </w:r>
      <w:r w:rsidR="00B60B98">
        <w:t xml:space="preserve">: </w:t>
      </w:r>
      <m:oMath>
        <m:r>
          <w:rPr>
            <w:rFonts w:ascii="Cambria Math" w:hAnsi="Cambria Math"/>
          </w:rPr>
          <m:t>P</m:t>
        </m:r>
        <m:d>
          <m:dPr>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n</m:t>
                </m:r>
              </m:sub>
              <m:sup>
                <m:r>
                  <w:rPr>
                    <w:rFonts w:ascii="Cambria Math" w:hAnsi="Cambria Math"/>
                  </w:rPr>
                  <m:t>j</m:t>
                </m:r>
              </m:sup>
            </m:sSubSup>
            <m:r>
              <w:rPr>
                <w:rFonts w:ascii="Cambria Math" w:hAnsi="Cambria Math"/>
              </w:rPr>
              <m:t>=1</m:t>
            </m:r>
          </m:e>
          <m:e>
            <m:r>
              <m:rPr>
                <m:sty m:val="bi"/>
              </m:rPr>
              <w:rPr>
                <w:rFonts w:ascii="Cambria Math" w:hAnsi="Cambria Math"/>
              </w:rPr>
              <m:t>X</m:t>
            </m:r>
          </m:e>
        </m:d>
        <m:r>
          <w:rPr>
            <w:rFonts w:ascii="Cambria Math" w:hAnsi="Cambria Math"/>
          </w:rPr>
          <m:t>=G</m:t>
        </m:r>
        <m:d>
          <m:dPr>
            <m:ctrlPr>
              <w:rPr>
                <w:rFonts w:ascii="Cambria Math" w:hAnsi="Cambria Math"/>
                <w:i/>
              </w:rPr>
            </m:ctrlPr>
          </m:dPr>
          <m:e>
            <m:r>
              <m:rPr>
                <m:sty m:val="bi"/>
              </m:rPr>
              <w:rPr>
                <w:rFonts w:ascii="Cambria Math" w:hAnsi="Cambria Math"/>
              </w:rPr>
              <m:t>Xβ</m:t>
            </m:r>
            <m:ctrlPr>
              <w:rPr>
                <w:rFonts w:ascii="Cambria Math" w:hAnsi="Cambria Math"/>
                <w:b/>
                <w:i/>
              </w:rPr>
            </m:ctrlPr>
          </m:e>
        </m:d>
        <m:r>
          <m:rPr>
            <m:sty m:val="bi"/>
          </m:rPr>
          <w:rPr>
            <w:rFonts w:ascii="Cambria Math" w:hAnsi="Cambria Math"/>
          </w:rPr>
          <m:t xml:space="preserve">, </m:t>
        </m:r>
      </m:oMath>
      <w:r w:rsidR="00AA0ECD" w:rsidRPr="00AA0ECD">
        <w:t xml:space="preserve">where </w:t>
      </w:r>
      <m:oMath>
        <m:r>
          <w:rPr>
            <w:rFonts w:ascii="Cambria Math" w:hAnsi="Cambria Math"/>
          </w:rPr>
          <m:t>P</m:t>
        </m:r>
        <m:d>
          <m:dPr>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n</m:t>
                </m:r>
              </m:sub>
              <m:sup>
                <m:r>
                  <w:rPr>
                    <w:rFonts w:ascii="Cambria Math" w:hAnsi="Cambria Math"/>
                  </w:rPr>
                  <m:t>j</m:t>
                </m:r>
              </m:sup>
            </m:sSubSup>
            <m:r>
              <w:rPr>
                <w:rFonts w:ascii="Cambria Math" w:hAnsi="Cambria Math"/>
              </w:rPr>
              <m:t>=1</m:t>
            </m:r>
          </m:e>
          <m:e>
            <m:r>
              <m:rPr>
                <m:sty m:val="bi"/>
              </m:rPr>
              <w:rPr>
                <w:rFonts w:ascii="Cambria Math" w:hAnsi="Cambria Math"/>
              </w:rPr>
              <m:t>X</m:t>
            </m:r>
          </m:e>
        </m:d>
      </m:oMath>
      <w:r w:rsidR="00AA0ECD">
        <w:t xml:space="preserve"> denotes the probability that the treatment is administered, given a set of </w:t>
      </w:r>
      <w:r w:rsidR="004141F1">
        <w:t xml:space="preserve">contributing </w:t>
      </w:r>
      <w:r w:rsidR="00AA0ECD">
        <w:t xml:space="preserve">factors </w:t>
      </w:r>
      <w:r w:rsidR="00AA0ECD" w:rsidRPr="00AA0ECD">
        <w:rPr>
          <w:b/>
          <w:i/>
        </w:rPr>
        <w:t>X</w:t>
      </w:r>
      <w:r w:rsidR="00AA0ECD">
        <w:t xml:space="preserve"> and </w:t>
      </w:r>
      <w:r w:rsidR="00AA0ECD" w:rsidRPr="00B36F5C">
        <w:rPr>
          <w:i/>
        </w:rPr>
        <w:t>G</w:t>
      </w:r>
      <w:r w:rsidR="00AA0ECD">
        <w:t xml:space="preserve"> is the standard normal cumulative distribution function</w:t>
      </w:r>
      <w:r w:rsidR="00BE5D4F">
        <w:t xml:space="preserve">, which we will use to calculate the estimated probabilities after the coefficients </w:t>
      </w:r>
      <m:oMath>
        <m:r>
          <m:rPr>
            <m:sty m:val="bi"/>
          </m:rPr>
          <w:rPr>
            <w:rFonts w:ascii="Cambria Math" w:hAnsi="Cambria Math"/>
          </w:rPr>
          <m:t>β</m:t>
        </m:r>
      </m:oMath>
      <w:r w:rsidR="00BE5D4F">
        <w:t xml:space="preserve"> are estimated.</w:t>
      </w:r>
      <w:r w:rsidR="00AA0ECD">
        <w:t xml:space="preserve"> </w:t>
      </w:r>
      <w:r w:rsidR="004141F1">
        <w:t xml:space="preserve">The set of factors </w:t>
      </w:r>
      <w:r w:rsidR="004141F1">
        <w:rPr>
          <w:b/>
        </w:rPr>
        <w:t xml:space="preserve">X </w:t>
      </w:r>
      <w:r w:rsidR="004141F1">
        <w:t xml:space="preserve">include: a dummy for each macro-destination, interacted separately with the customers’ </w:t>
      </w:r>
      <w:r w:rsidR="008A2597">
        <w:t>R</w:t>
      </w:r>
      <w:r w:rsidR="004141F1">
        <w:t>atings, with the six periods of stay (April-June, July-Aug</w:t>
      </w:r>
      <w:r w:rsidR="008A2597">
        <w:t>ust</w:t>
      </w:r>
      <w:r w:rsidR="004141F1">
        <w:t xml:space="preserve"> and September) in each year and also with three dummies identifying </w:t>
      </w:r>
      <w:r w:rsidR="008A2597">
        <w:t>S</w:t>
      </w:r>
      <w:r w:rsidR="004141F1">
        <w:t xml:space="preserve">mall, </w:t>
      </w:r>
      <w:r w:rsidR="008A2597">
        <w:t>M</w:t>
      </w:r>
      <w:r w:rsidR="004141F1">
        <w:t xml:space="preserve">edium and </w:t>
      </w:r>
      <w:r w:rsidR="008A2597">
        <w:t>L</w:t>
      </w:r>
      <w:r w:rsidR="004141F1">
        <w:t xml:space="preserve">arge size hotels; a dummy for each star classification, interacted with the booking times’ dummies </w:t>
      </w:r>
      <w:r w:rsidR="00BE5D4F">
        <w:t>only in the regression</w:t>
      </w:r>
      <w:r w:rsidR="004141F1">
        <w:t xml:space="preserve"> using </w:t>
      </w:r>
      <m:oMath>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jt</m:t>
            </m:r>
          </m:sup>
        </m:sSubSup>
      </m:oMath>
      <w:r w:rsidR="004141F1">
        <w:t xml:space="preserve"> as treatment; a dummy for each </w:t>
      </w:r>
      <w:r w:rsidR="008A2597">
        <w:t>T</w:t>
      </w:r>
      <w:r w:rsidR="004141F1">
        <w:t>own where the hotels are located</w:t>
      </w:r>
      <w:r w:rsidR="008A2597">
        <w:t xml:space="preserve">. The hotel size dummies were constructed using the threshold of </w:t>
      </w:r>
      <w:r w:rsidR="00B36F5C">
        <w:t>25</w:t>
      </w:r>
      <w:r w:rsidR="008A2597">
        <w:t xml:space="preserve"> room</w:t>
      </w:r>
      <w:r w:rsidR="00B36F5C">
        <w:t>s</w:t>
      </w:r>
      <w:r w:rsidR="008A2597">
        <w:t xml:space="preserve"> to denote Small hotels; Large hotel</w:t>
      </w:r>
      <w:r w:rsidR="00B36F5C">
        <w:t>s</w:t>
      </w:r>
      <w:r w:rsidR="008A2597">
        <w:t xml:space="preserve"> have more than </w:t>
      </w:r>
      <w:r w:rsidR="00B36F5C">
        <w:t>70</w:t>
      </w:r>
      <w:r w:rsidR="008A2597">
        <w:t xml:space="preserve"> rooms, while Medium hotels </w:t>
      </w:r>
      <w:r w:rsidR="00EE63A2">
        <w:t>defined accordingly</w:t>
      </w:r>
      <w:r w:rsidR="008A2597">
        <w:t xml:space="preserve">. </w:t>
      </w:r>
    </w:p>
    <w:p w14:paraId="45F7A17A" w14:textId="77777777" w:rsidR="00570253" w:rsidRDefault="00BE5D4F" w:rsidP="00085E99">
      <w:r>
        <w:t>The use of</w:t>
      </w:r>
      <w:r w:rsidR="00570253">
        <w:t xml:space="preserve"> many categorical factors aims at generating </w:t>
      </w:r>
      <w:r>
        <w:t xml:space="preserve">pre-defined clusters within which we calculate the probability to observe a </w:t>
      </w:r>
      <w:r w:rsidR="002C024F">
        <w:t>DP</w:t>
      </w:r>
      <w:r>
        <w:t xml:space="preserve"> treatment. For instance, although the previous section has indicated a smaller probability of the treatment </w:t>
      </w:r>
      <m:oMath>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jt</m:t>
            </m:r>
          </m:sup>
        </m:sSubSup>
      </m:oMath>
      <w:r>
        <w:t xml:space="preserve"> in, say, 3-star hotels, it might be possible that after controlling for such factors as Ratings or hotel size, we might be able to find no difference between 3-star and higher class hotels.</w:t>
      </w:r>
    </w:p>
    <w:p w14:paraId="45F7A17B" w14:textId="38F5F816" w:rsidR="00570253" w:rsidRDefault="005C357D" w:rsidP="001627EE">
      <w:r>
        <w:t>Note</w:t>
      </w:r>
      <w:r w:rsidR="00DE2FE4">
        <w:t xml:space="preserve"> that the variable Ratings </w:t>
      </w:r>
      <w:r w:rsidR="00D6561B">
        <w:t>may</w:t>
      </w:r>
      <w:r w:rsidR="00DE2FE4">
        <w:t xml:space="preserve"> be simultaneously determined with our dependent variables, an aspect which prevents an interpretation of the econometric estimates in term</w:t>
      </w:r>
      <w:r w:rsidR="005E7BC1">
        <w:t>s</w:t>
      </w:r>
      <w:r w:rsidR="00DE2FE4">
        <w:t xml:space="preserve"> of causality</w:t>
      </w:r>
      <w:r w:rsidR="005E7BC1">
        <w:t xml:space="preserve"> but that does not prevent one in terms of correlation with the treatment</w:t>
      </w:r>
      <w:r w:rsidR="00DE2FE4">
        <w:t xml:space="preserve"> (Wooldridge 2002). </w:t>
      </w:r>
      <w:r w:rsidR="005E7BC1">
        <w:t>Indeed, o</w:t>
      </w:r>
      <w:r w:rsidR="00DE2FE4">
        <w:t xml:space="preserve">n the one hand, the price discrimination due to a strong price variations is likely to affect an establishment's rating negatively, and may thus act as a deterrent to price fluctuations (Xia </w:t>
      </w:r>
      <w:r w:rsidR="00DE2FE4">
        <w:rPr>
          <w:i/>
          <w:iCs/>
        </w:rPr>
        <w:t>et al</w:t>
      </w:r>
      <w:r w:rsidR="00DE2FE4">
        <w:t xml:space="preserve">. 2004; Bolton </w:t>
      </w:r>
      <w:r w:rsidR="00DE2FE4">
        <w:rPr>
          <w:i/>
          <w:iCs/>
        </w:rPr>
        <w:t>et al</w:t>
      </w:r>
      <w:r w:rsidR="00DE2FE4">
        <w:t xml:space="preserve">. 2003); on the other, if a firm's competitive advantage arises from a high service quality, or if price fluctuations are perceived to be an industry's common practice, then a firm can freely </w:t>
      </w:r>
      <w:r w:rsidR="00DE2FE4">
        <w:lastRenderedPageBreak/>
        <w:t xml:space="preserve">adjust its prices dynamically without fearing to attract criticism from its customers (Ferguson 2014). </w:t>
      </w:r>
      <w:r w:rsidR="00B10F9E">
        <w:t>Nonetheless,</w:t>
      </w:r>
      <w:r w:rsidR="00570253">
        <w:t xml:space="preserve"> it is also likely that the simultaneity bias induced by the Ratings variable is rather negligible: indeed, the value of Ratings in each establishment is largely invariant over the sample p</w:t>
      </w:r>
      <w:r w:rsidR="00D6561B">
        <w:t>eriod</w:t>
      </w:r>
      <w:r w:rsidR="00570253">
        <w:t xml:space="preserve">. It is thus generally pre-determined when the hotel managers make their observed </w:t>
      </w:r>
      <w:r w:rsidR="002C024F">
        <w:t>DP</w:t>
      </w:r>
      <w:r w:rsidR="00570253">
        <w:t xml:space="preserve"> decisions. </w:t>
      </w:r>
    </w:p>
    <w:p w14:paraId="45F7A17C" w14:textId="167B4FD3" w:rsidR="009D1014" w:rsidRDefault="004E4BD3" w:rsidP="001627EE">
      <w:r>
        <w:t>We choose</w:t>
      </w:r>
      <w:r w:rsidR="00B10F9E">
        <w:t>,</w:t>
      </w:r>
      <w:r>
        <w:t xml:space="preserve"> </w:t>
      </w:r>
      <w:r w:rsidR="00B10F9E">
        <w:t xml:space="preserve">nevertheless, </w:t>
      </w:r>
      <w:r>
        <w:t>to discuss the impact of each factor in terms of their correlation with the treatment because some</w:t>
      </w:r>
      <w:r w:rsidR="008B0D00">
        <w:t xml:space="preserve">, </w:t>
      </w:r>
      <w:r w:rsidR="00B10F9E">
        <w:t>e.g.,</w:t>
      </w:r>
      <w:r w:rsidR="008B0D00">
        <w:t xml:space="preserve"> star </w:t>
      </w:r>
      <w:r w:rsidR="006D71E2">
        <w:t xml:space="preserve">or </w:t>
      </w:r>
      <w:r>
        <w:t>size, cannot, by themselves, be associated with a causality effect. For instance, 4</w:t>
      </w:r>
      <w:r w:rsidR="006D71E2">
        <w:t xml:space="preserve"> or </w:t>
      </w:r>
      <w:r>
        <w:t xml:space="preserve">5-star </w:t>
      </w:r>
      <w:r w:rsidR="00D6561B">
        <w:t xml:space="preserve">and/or </w:t>
      </w:r>
      <w:r w:rsidR="006D71E2">
        <w:t>l</w:t>
      </w:r>
      <w:r w:rsidR="00D6561B">
        <w:t>arge hotels</w:t>
      </w:r>
      <w:r>
        <w:t xml:space="preserve"> are more likely to </w:t>
      </w:r>
      <w:r w:rsidR="00D6561B">
        <w:t xml:space="preserve">employ both a more complex organizational design and higher quality human capital; both unobserved factors are likely to be ultimately responsible for the observed price dynamism. Star classification and/or size may well operate as their proxy, </w:t>
      </w:r>
      <w:r w:rsidR="008B0D00">
        <w:t xml:space="preserve">and profitably be used to investigate the second research question of whether different clusters exhibit a stronger than average propensity to </w:t>
      </w:r>
      <w:r w:rsidR="002C024F">
        <w:t>DP</w:t>
      </w:r>
      <w:r w:rsidR="008B0D00">
        <w:t>.</w:t>
      </w:r>
    </w:p>
    <w:p w14:paraId="45F7A17D" w14:textId="77777777" w:rsidR="00DE2FE4" w:rsidRDefault="00B60B98" w:rsidP="00B60B98">
      <w:pPr>
        <w:pStyle w:val="Heading1"/>
        <w:rPr>
          <w:lang w:val="en-US"/>
        </w:rPr>
      </w:pPr>
      <w:r>
        <w:rPr>
          <w:lang w:val="en-US"/>
        </w:rPr>
        <w:t>Results</w:t>
      </w:r>
    </w:p>
    <w:p w14:paraId="45F7A17E" w14:textId="77777777" w:rsidR="00B60B98" w:rsidRDefault="00B60B98" w:rsidP="00B60B98">
      <w:pPr>
        <w:rPr>
          <w:lang w:val="en-US"/>
        </w:rPr>
      </w:pPr>
      <w:r>
        <w:rPr>
          <w:lang w:val="en-US"/>
        </w:rPr>
        <w:t xml:space="preserve">Because the estimation of both types of treatment includes a high number of interacted factors, reporting the list of </w:t>
      </w:r>
      <w:r w:rsidR="00A06533">
        <w:rPr>
          <w:lang w:val="en-US"/>
        </w:rPr>
        <w:t>all their</w:t>
      </w:r>
      <w:r>
        <w:rPr>
          <w:lang w:val="en-US"/>
        </w:rPr>
        <w:t xml:space="preserve"> coefficients wo</w:t>
      </w:r>
      <w:r w:rsidR="00A06533">
        <w:rPr>
          <w:lang w:val="en-US"/>
        </w:rPr>
        <w:t>uld be uninformative, difficult to read and space consuming. Furthermore, probit models involve a non-linear estimation process, resulting in estimates that do not have a direct clear interpretation in terms of the factor’s impact on observing the treatment</w:t>
      </w:r>
      <w:r w:rsidR="00C163EC">
        <w:rPr>
          <w:lang w:val="en-US"/>
        </w:rPr>
        <w:t>, a problem which is</w:t>
      </w:r>
      <w:r w:rsidR="0070548C">
        <w:rPr>
          <w:lang w:val="en-US"/>
        </w:rPr>
        <w:t xml:space="preserve"> here</w:t>
      </w:r>
      <w:r w:rsidR="00C163EC">
        <w:rPr>
          <w:lang w:val="en-US"/>
        </w:rPr>
        <w:t xml:space="preserve"> exacerbated by the need to omit several base categories to avoid the dummy trap</w:t>
      </w:r>
      <w:r w:rsidR="00A06533">
        <w:rPr>
          <w:lang w:val="en-US"/>
        </w:rPr>
        <w:t xml:space="preserve">. </w:t>
      </w:r>
      <w:r w:rsidR="0070548C">
        <w:rPr>
          <w:lang w:val="en-US"/>
        </w:rPr>
        <w:t>Therefore</w:t>
      </w:r>
      <w:r w:rsidR="00A06533">
        <w:rPr>
          <w:lang w:val="en-US"/>
        </w:rPr>
        <w:t>, all results are reported only in graphical form. We first run the probit models. Then, using the command “Margin</w:t>
      </w:r>
      <w:r w:rsidR="00084CA9">
        <w:rPr>
          <w:lang w:val="en-US"/>
        </w:rPr>
        <w:t>s</w:t>
      </w:r>
      <w:r w:rsidR="00A06533">
        <w:rPr>
          <w:lang w:val="en-US"/>
        </w:rPr>
        <w:t>” in Stata</w:t>
      </w:r>
      <w:r w:rsidR="00084CA9">
        <w:rPr>
          <w:lang w:val="en-US"/>
        </w:rPr>
        <w:t>14</w:t>
      </w:r>
      <w:r w:rsidR="00A06533">
        <w:rPr>
          <w:lang w:val="en-US"/>
        </w:rPr>
        <w:t>, we calculate the predicted probability</w:t>
      </w:r>
      <w:r w:rsidR="00C163EC">
        <w:rPr>
          <w:lang w:val="en-US"/>
        </w:rPr>
        <w:t xml:space="preserve">, based on the probit estimated coefficients, of observing the </w:t>
      </w:r>
      <w:r w:rsidR="002C024F">
        <w:rPr>
          <w:lang w:val="en-US"/>
        </w:rPr>
        <w:t>DP</w:t>
      </w:r>
      <w:r w:rsidR="00C163EC">
        <w:rPr>
          <w:lang w:val="en-US"/>
        </w:rPr>
        <w:t xml:space="preserve"> treatment</w:t>
      </w:r>
      <w:r w:rsidR="00A06533">
        <w:rPr>
          <w:lang w:val="en-US"/>
        </w:rPr>
        <w:t xml:space="preserve"> </w:t>
      </w:r>
      <w:r w:rsidR="00C163EC">
        <w:rPr>
          <w:lang w:val="en-US"/>
        </w:rPr>
        <w:t>in</w:t>
      </w:r>
      <w:r w:rsidR="00A06533">
        <w:rPr>
          <w:lang w:val="en-US"/>
        </w:rPr>
        <w:t xml:space="preserve"> clusters created by considering one fixed</w:t>
      </w:r>
      <w:r w:rsidR="00E935D1">
        <w:rPr>
          <w:lang w:val="en-US"/>
        </w:rPr>
        <w:t xml:space="preserve"> </w:t>
      </w:r>
      <w:r w:rsidR="00A06533">
        <w:rPr>
          <w:lang w:val="en-US"/>
        </w:rPr>
        <w:t>(i.e., the macro</w:t>
      </w:r>
      <w:r w:rsidR="00C163EC">
        <w:rPr>
          <w:lang w:val="en-US"/>
        </w:rPr>
        <w:t>-destination), and two variable</w:t>
      </w:r>
      <w:r w:rsidR="00E935D1">
        <w:rPr>
          <w:lang w:val="en-US"/>
        </w:rPr>
        <w:t xml:space="preserve"> factors</w:t>
      </w:r>
      <w:r w:rsidR="00C163EC">
        <w:rPr>
          <w:lang w:val="en-US"/>
        </w:rPr>
        <w:t xml:space="preserve">, for instance, the star classification and the hotel </w:t>
      </w:r>
      <w:r w:rsidR="00084CA9">
        <w:rPr>
          <w:lang w:val="en-US"/>
        </w:rPr>
        <w:t>size</w:t>
      </w:r>
      <w:r w:rsidR="00C163EC">
        <w:rPr>
          <w:lang w:val="en-US"/>
        </w:rPr>
        <w:t xml:space="preserve">. The estimated probabilities are then reported on a graph, to provide a clear image of differences between clusters. </w:t>
      </w:r>
    </w:p>
    <w:p w14:paraId="45F7A17F" w14:textId="77777777" w:rsidR="00E935D1" w:rsidRPr="008E1B51" w:rsidRDefault="00E935D1" w:rsidP="00E935D1">
      <w:pPr>
        <w:pStyle w:val="Heading3"/>
        <w:rPr>
          <w:rFonts w:ascii="Times New Roman" w:hAnsi="Times New Roman"/>
          <w:lang w:val="en-US"/>
        </w:rPr>
      </w:pPr>
      <w:r w:rsidRPr="008E1B51">
        <w:rPr>
          <w:rFonts w:ascii="Times New Roman" w:hAnsi="Times New Roman"/>
          <w:lang w:val="en-US"/>
        </w:rPr>
        <w:t xml:space="preserve">6.1 Treatment </w:t>
      </w:r>
      <w:r w:rsidR="003824D1" w:rsidRPr="008E1B51">
        <w:rPr>
          <w:rFonts w:ascii="Times New Roman" w:hAnsi="Times New Roman"/>
          <w:lang w:val="en-US"/>
        </w:rPr>
        <w:t>independent of the booking time</w:t>
      </w:r>
    </w:p>
    <w:p w14:paraId="45F7A180" w14:textId="19694CC9" w:rsidR="00C163EC" w:rsidRDefault="00C163EC" w:rsidP="00B60B98">
      <w:r>
        <w:rPr>
          <w:lang w:val="en-US"/>
        </w:rPr>
        <w:t xml:space="preserve">Figures 1 to 3 report the estimated probability of </w:t>
      </w:r>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j</m:t>
            </m:r>
          </m:sup>
        </m:sSubSup>
      </m:oMath>
      <w:r>
        <w:t xml:space="preserve">, that is, the </w:t>
      </w:r>
      <w:r w:rsidR="009A330A">
        <w:t xml:space="preserve">predicted </w:t>
      </w:r>
      <w:r>
        <w:t xml:space="preserve">proportion of dates of stay in which </w:t>
      </w:r>
      <w:r w:rsidR="000B0837">
        <w:t>a hotel</w:t>
      </w:r>
      <w:r w:rsidR="001D7EA4">
        <w:t xml:space="preserve"> cluster</w:t>
      </w:r>
      <w:r>
        <w:t xml:space="preserve"> changed its prices</w:t>
      </w:r>
      <w:r w:rsidR="00084CA9">
        <w:t xml:space="preserve"> at least once</w:t>
      </w:r>
      <w:r>
        <w:t xml:space="preserve"> during the booking </w:t>
      </w:r>
      <w:r w:rsidR="00E935D1">
        <w:t xml:space="preserve">period. The two variable factors in Figure 1 are the star classification and the Rating, whose </w:t>
      </w:r>
      <w:r w:rsidR="00084CA9">
        <w:t>values in the predictions’ calculation correspond to</w:t>
      </w:r>
      <w:r w:rsidR="00E935D1">
        <w:t xml:space="preserve"> </w:t>
      </w:r>
      <w:r w:rsidR="00084CA9">
        <w:t>the 25</w:t>
      </w:r>
      <w:r w:rsidR="00084CA9" w:rsidRPr="00084CA9">
        <w:rPr>
          <w:vertAlign w:val="superscript"/>
        </w:rPr>
        <w:t>th</w:t>
      </w:r>
      <w:r w:rsidR="00084CA9">
        <w:t xml:space="preserve">, median and </w:t>
      </w:r>
      <w:r w:rsidR="00084CA9">
        <w:lastRenderedPageBreak/>
        <w:t>90</w:t>
      </w:r>
      <w:r w:rsidR="00084CA9" w:rsidRPr="00084CA9">
        <w:rPr>
          <w:vertAlign w:val="superscript"/>
        </w:rPr>
        <w:t>th</w:t>
      </w:r>
      <w:r w:rsidR="00084CA9">
        <w:t xml:space="preserve"> percentile of its distribution</w:t>
      </w:r>
      <w:r w:rsidR="003824D1">
        <w:t xml:space="preserve"> (i.e., Low, Medium, High)</w:t>
      </w:r>
      <w:r w:rsidR="00E935D1">
        <w:t xml:space="preserve">. The reported values suggest a direct answer </w:t>
      </w:r>
      <w:r w:rsidR="003824D1">
        <w:t>to the first and the second research questions. Indeed, in all macro-destinations,</w:t>
      </w:r>
      <w:r w:rsidR="00E935D1">
        <w:t xml:space="preserve"> </w:t>
      </w:r>
      <w:r w:rsidR="003824D1">
        <w:t>it appears clear that 4- and 5-star hotels exhibit a stronger propensity to vary their prices dynamically. To explain how to interpret the graphed values, consider Corsica, where clearly Rating has no distinguishing impact. The model estimates that out of 100 dates of stay</w:t>
      </w:r>
      <w:r w:rsidR="001D7EA4">
        <w:t>, 5-star hotels have on average</w:t>
      </w:r>
      <w:r w:rsidR="003824D1">
        <w:t xml:space="preserve"> applied the </w:t>
      </w:r>
      <w:r w:rsidR="002C024F">
        <w:t>DP</w:t>
      </w:r>
      <w:r w:rsidR="003824D1">
        <w:t xml:space="preserve"> treatment in about 80 days; the proportion falls to 70 for 4-star hotels, it is about 50 for 3-star hotels, and</w:t>
      </w:r>
      <w:r w:rsidR="000B0837">
        <w:t xml:space="preserve"> slightly above 30 for</w:t>
      </w:r>
      <w:r w:rsidR="00BF3A21">
        <w:t xml:space="preserve"> 2-star ones. </w:t>
      </w:r>
      <w:r w:rsidR="00D232CE">
        <w:t xml:space="preserve">Similar values are found for the Balearics. </w:t>
      </w:r>
      <w:r w:rsidR="00BA6D26">
        <w:t xml:space="preserve">The </w:t>
      </w:r>
      <w:r w:rsidR="00056E4A">
        <w:t>high-</w:t>
      </w:r>
      <w:r w:rsidR="00BA6D26">
        <w:t xml:space="preserve">quality hotels in </w:t>
      </w:r>
      <w:r w:rsidR="00245E97">
        <w:t xml:space="preserve">Sardinia and Sicily </w:t>
      </w:r>
      <w:r w:rsidR="00E93CC4">
        <w:t>again</w:t>
      </w:r>
      <w:r w:rsidR="00D232CE">
        <w:t xml:space="preserve"> </w:t>
      </w:r>
      <w:r w:rsidR="00BA6D26">
        <w:t>show a</w:t>
      </w:r>
      <w:r w:rsidR="00245E97">
        <w:t xml:space="preserve"> </w:t>
      </w:r>
      <w:r w:rsidR="00D232CE">
        <w:t>s</w:t>
      </w:r>
      <w:r w:rsidR="00BA6D26">
        <w:t>tronger propensity</w:t>
      </w:r>
      <w:r w:rsidR="00D232CE">
        <w:t xml:space="preserve"> to </w:t>
      </w:r>
      <w:r w:rsidR="00E93CC4">
        <w:t>adjust</w:t>
      </w:r>
      <w:r w:rsidR="00D232CE">
        <w:t xml:space="preserve"> prices over the booking period</w:t>
      </w:r>
      <w:r w:rsidR="00245E97">
        <w:t xml:space="preserve">, </w:t>
      </w:r>
      <w:r w:rsidR="00E93CC4">
        <w:t>which also varies</w:t>
      </w:r>
      <w:r w:rsidR="00245E97">
        <w:t xml:space="preserve"> in terms of Ratings within each star category. The model’s prediction indicates a mild tendency for establishments</w:t>
      </w:r>
      <w:r w:rsidR="00E93CC4">
        <w:t xml:space="preserve"> with higher Rating</w:t>
      </w:r>
      <w:r w:rsidR="00245E97">
        <w:t xml:space="preserve"> to adopt </w:t>
      </w:r>
      <w:r w:rsidR="002C024F">
        <w:t>DP</w:t>
      </w:r>
      <w:r w:rsidR="00245E97">
        <w:t xml:space="preserve"> more frequently, holding the star classification fixed</w:t>
      </w:r>
      <w:r w:rsidR="000351EB">
        <w:t xml:space="preserve">. </w:t>
      </w:r>
      <w:r w:rsidR="00245E97">
        <w:t>Such a difference is not, however, statistically significant, as estimates from the Margin</w:t>
      </w:r>
      <w:r w:rsidR="00D232CE">
        <w:t>s</w:t>
      </w:r>
      <w:r w:rsidR="00245E97">
        <w:t xml:space="preserve"> command reveal (these are not reported to save space). </w:t>
      </w:r>
    </w:p>
    <w:p w14:paraId="45F7A181" w14:textId="12BB9D70" w:rsidR="00245E97" w:rsidRDefault="006052B2" w:rsidP="00B60B98">
      <w:r>
        <w:t xml:space="preserve">Replacing Rating with hotel size in </w:t>
      </w:r>
      <w:r w:rsidR="00245E97">
        <w:t xml:space="preserve">Figure 2 confirms the previous finding that </w:t>
      </w:r>
      <w:r w:rsidR="00F03C26">
        <w:t xml:space="preserve">the propensity to engage in </w:t>
      </w:r>
      <w:r w:rsidR="002C024F">
        <w:t>DP</w:t>
      </w:r>
      <w:r w:rsidR="00F03C26">
        <w:t xml:space="preserve"> tend to increase with the star classification, while size, like Rating, does not seem to be a correlated factor. </w:t>
      </w:r>
      <w:r w:rsidR="003270C5">
        <w:t xml:space="preserve">Most importantly, this finding suggests that the financial cost of setting-up a RM system does not seem to operate as a </w:t>
      </w:r>
      <w:r w:rsidR="002D611E">
        <w:t>constraint</w:t>
      </w:r>
      <w:r w:rsidR="003270C5">
        <w:t xml:space="preserve"> because within each star category the propensity towards DP does not vary significantly with the scale of the hotel.</w:t>
      </w:r>
    </w:p>
    <w:p w14:paraId="45F7A182" w14:textId="77777777" w:rsidR="00CE487D" w:rsidRDefault="00F03C26" w:rsidP="00B60B98">
      <w:r>
        <w:rPr>
          <w:lang w:val="en-US"/>
        </w:rPr>
        <w:t xml:space="preserve">Figure 3 investigates </w:t>
      </w:r>
      <w:r w:rsidR="005D3DEC">
        <w:rPr>
          <w:lang w:val="en-US"/>
        </w:rPr>
        <w:t>whether</w:t>
      </w:r>
      <w:r>
        <w:rPr>
          <w:lang w:val="en-US"/>
        </w:rPr>
        <w:t xml:space="preserve"> </w:t>
      </w:r>
      <w:r w:rsidR="005D3DEC">
        <w:rPr>
          <w:lang w:val="en-US"/>
        </w:rPr>
        <w:t xml:space="preserve">hotels in the same star category (and macro-destination) are more or less likely to apply </w:t>
      </w:r>
      <w:r w:rsidR="002C024F">
        <w:rPr>
          <w:lang w:val="en-US"/>
        </w:rPr>
        <w:t>DP</w:t>
      </w:r>
      <w:r w:rsidR="005D3DEC">
        <w:rPr>
          <w:lang w:val="en-US"/>
        </w:rPr>
        <w:t xml:space="preserve"> in different periods of the season, and in different years. In all macro-destinations, the lines for the April-June stay periods in both years lie below all the other lines, that is, the proportion of days in this period with </w:t>
      </w:r>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j</m:t>
            </m:r>
          </m:sup>
        </m:sSubSup>
        <m:r>
          <w:rPr>
            <w:rFonts w:ascii="Cambria Math" w:hAnsi="Cambria Math"/>
          </w:rPr>
          <m:t>=1</m:t>
        </m:r>
      </m:oMath>
      <w:r w:rsidR="005D3DEC">
        <w:t xml:space="preserve"> is the lowest within each star category. For example, in Sardinia</w:t>
      </w:r>
      <w:r w:rsidR="00CE487D">
        <w:t>’s 2-star hotels,</w:t>
      </w:r>
      <w:r w:rsidR="005D3DEC">
        <w:t xml:space="preserve"> only about </w:t>
      </w:r>
      <w:r w:rsidR="006052B2">
        <w:t>20%-25%</w:t>
      </w:r>
      <w:r w:rsidR="005D3DEC">
        <w:t xml:space="preserve"> of stay days in April-June</w:t>
      </w:r>
      <w:r w:rsidR="00CE487D">
        <w:t xml:space="preserve"> receive the treatment, but this proportion increases to about </w:t>
      </w:r>
      <w:r w:rsidR="006052B2">
        <w:t>35%-40%</w:t>
      </w:r>
      <w:r w:rsidR="00CE487D">
        <w:t xml:space="preserve"> in all the other periods. </w:t>
      </w:r>
      <w:r w:rsidR="006052B2">
        <w:t>Interestingly, for 4- and 5-star hotels the percentage of treated days ranges between 70% and 80% in the period of July-Sept 2015. Such high values are found in all macro-destinations.</w:t>
      </w:r>
    </w:p>
    <w:p w14:paraId="45F7A183" w14:textId="77777777" w:rsidR="00EC77DC" w:rsidRDefault="00EC77DC" w:rsidP="00B60B98">
      <w:r>
        <w:t xml:space="preserve">Finally, the correlation between chain membership and propensity to DP is investigated in Figure 4. We note two effects. First, 2-, 3- and 4-star hotels in a chain show similar patterns of DP; </w:t>
      </w:r>
      <w:r w:rsidR="00DE0459">
        <w:t xml:space="preserve">second, for 2- and 3-star hotels in a chain, the percentage of treated days is significantly higher relative to hotels in the same categories but not in a chain. </w:t>
      </w:r>
    </w:p>
    <w:p w14:paraId="45F7A184" w14:textId="77777777" w:rsidR="00F03C26" w:rsidRDefault="00CE487D" w:rsidP="00B60B98">
      <w:pPr>
        <w:rPr>
          <w:lang w:val="en-US"/>
        </w:rPr>
      </w:pPr>
      <w:r>
        <w:rPr>
          <w:lang w:val="en-US"/>
        </w:rPr>
        <w:lastRenderedPageBreak/>
        <w:t xml:space="preserve">To sum up, </w:t>
      </w:r>
      <w:r w:rsidR="00845085">
        <w:rPr>
          <w:lang w:val="en-US"/>
        </w:rPr>
        <w:t xml:space="preserve">the probability that </w:t>
      </w:r>
      <w:r w:rsidR="002C024F">
        <w:rPr>
          <w:lang w:val="en-US"/>
        </w:rPr>
        <w:t>DP</w:t>
      </w:r>
      <w:r w:rsidR="00845085">
        <w:rPr>
          <w:lang w:val="en-US"/>
        </w:rPr>
        <w:t xml:space="preserve"> is applied at least once during the booking period varies extensively and it is particularly low for 1- and 2-star hotels in all periods, and for </w:t>
      </w:r>
      <w:r w:rsidR="00DE0459">
        <w:rPr>
          <w:lang w:val="en-US"/>
        </w:rPr>
        <w:t>the</w:t>
      </w:r>
      <w:r w:rsidR="00845085">
        <w:rPr>
          <w:lang w:val="en-US"/>
        </w:rPr>
        <w:t xml:space="preserve"> 3-star hotels </w:t>
      </w:r>
      <w:r w:rsidR="00DE0459">
        <w:rPr>
          <w:lang w:val="en-US"/>
        </w:rPr>
        <w:t>not part of a chain</w:t>
      </w:r>
      <w:r w:rsidR="00845085">
        <w:rPr>
          <w:lang w:val="en-US"/>
        </w:rPr>
        <w:t xml:space="preserve">. </w:t>
      </w:r>
      <w:r w:rsidR="004F2D3D">
        <w:rPr>
          <w:lang w:val="en-US"/>
        </w:rPr>
        <w:t xml:space="preserve">The estimates confirm the low probability of observing the treatment for many hotels in the sample; in terms of the Research question 1, this implies that </w:t>
      </w:r>
      <w:r w:rsidR="002C024F">
        <w:rPr>
          <w:lang w:val="en-US"/>
        </w:rPr>
        <w:t>DP</w:t>
      </w:r>
      <w:r w:rsidR="009709D5">
        <w:rPr>
          <w:lang w:val="en-US"/>
        </w:rPr>
        <w:t xml:space="preserve"> is not very widespread across the universe of hotels using the Booking.com platform and that such hotels show at least an equal, if not stronger, pro</w:t>
      </w:r>
      <w:r w:rsidR="004B0B23">
        <w:rPr>
          <w:lang w:val="en-US"/>
        </w:rPr>
        <w:t>pensity towards uniform pricing</w:t>
      </w:r>
      <w:r w:rsidR="00845085">
        <w:rPr>
          <w:lang w:val="en-US"/>
        </w:rPr>
        <w:t>.</w:t>
      </w:r>
      <w:r w:rsidR="003F1E55">
        <w:rPr>
          <w:lang w:val="en-US"/>
        </w:rPr>
        <w:t xml:space="preserve"> </w:t>
      </w:r>
      <w:r w:rsidR="009709D5">
        <w:rPr>
          <w:lang w:val="en-US"/>
        </w:rPr>
        <w:t>As far as the Research Question 2</w:t>
      </w:r>
      <w:r w:rsidR="008952F8">
        <w:rPr>
          <w:lang w:val="en-US"/>
        </w:rPr>
        <w:t>a</w:t>
      </w:r>
      <w:r w:rsidR="009709D5">
        <w:rPr>
          <w:lang w:val="en-US"/>
        </w:rPr>
        <w:t xml:space="preserve"> is concerned</w:t>
      </w:r>
      <w:r w:rsidR="003F1E55">
        <w:rPr>
          <w:lang w:val="en-US"/>
        </w:rPr>
        <w:t>, the star classification</w:t>
      </w:r>
      <w:r w:rsidR="00DE0459">
        <w:rPr>
          <w:lang w:val="en-US"/>
        </w:rPr>
        <w:t xml:space="preserve"> and chain membership appear</w:t>
      </w:r>
      <w:r w:rsidR="003F1E55">
        <w:rPr>
          <w:lang w:val="en-US"/>
        </w:rPr>
        <w:t xml:space="preserve"> to be the factor</w:t>
      </w:r>
      <w:r w:rsidR="00DE0459">
        <w:rPr>
          <w:lang w:val="en-US"/>
        </w:rPr>
        <w:t>s that best correlate</w:t>
      </w:r>
      <w:r w:rsidR="003F1E55">
        <w:rPr>
          <w:lang w:val="en-US"/>
        </w:rPr>
        <w:t xml:space="preserve"> with the probability to observe the treatment of </w:t>
      </w:r>
      <w:r w:rsidR="002C024F">
        <w:rPr>
          <w:lang w:val="en-US"/>
        </w:rPr>
        <w:t>DP</w:t>
      </w:r>
      <w:r w:rsidR="003F1E55">
        <w:rPr>
          <w:lang w:val="en-US"/>
        </w:rPr>
        <w:t>.</w:t>
      </w:r>
      <w:r w:rsidR="009709D5">
        <w:rPr>
          <w:lang w:val="en-US"/>
        </w:rPr>
        <w:t xml:space="preserve"> </w:t>
      </w:r>
      <w:r w:rsidR="00DE0459">
        <w:rPr>
          <w:lang w:val="en-US"/>
        </w:rPr>
        <w:t xml:space="preserve">In terms of Research Question 2b, </w:t>
      </w:r>
      <w:r w:rsidR="0015620A">
        <w:rPr>
          <w:lang w:val="en-US"/>
        </w:rPr>
        <w:t>a more intense DP activity is recorded for</w:t>
      </w:r>
      <w:r w:rsidR="00DE0459">
        <w:rPr>
          <w:lang w:val="en-US"/>
        </w:rPr>
        <w:t xml:space="preserve"> the stay periods of July-August and September, especially in the year 2015</w:t>
      </w:r>
      <w:r w:rsidR="0015620A">
        <w:rPr>
          <w:lang w:val="en-US"/>
        </w:rPr>
        <w:t>.</w:t>
      </w:r>
      <w:r w:rsidR="00DE0459">
        <w:rPr>
          <w:lang w:val="en-US"/>
        </w:rPr>
        <w:t xml:space="preserve"> </w:t>
      </w:r>
    </w:p>
    <w:p w14:paraId="45F7A185" w14:textId="77777777" w:rsidR="00845085" w:rsidRPr="008E1B51" w:rsidRDefault="00845085" w:rsidP="00845085">
      <w:pPr>
        <w:pStyle w:val="Heading3"/>
        <w:numPr>
          <w:ilvl w:val="1"/>
          <w:numId w:val="4"/>
        </w:numPr>
        <w:rPr>
          <w:rFonts w:ascii="Times New Roman" w:hAnsi="Times New Roman"/>
          <w:lang w:val="en-US"/>
        </w:rPr>
      </w:pPr>
      <w:r w:rsidRPr="008E1B51">
        <w:rPr>
          <w:rFonts w:ascii="Times New Roman" w:hAnsi="Times New Roman"/>
          <w:lang w:val="en-US"/>
        </w:rPr>
        <w:t>The treatment varies with the booking time</w:t>
      </w:r>
    </w:p>
    <w:p w14:paraId="45F7A186" w14:textId="13B21DDC" w:rsidR="00845085" w:rsidRDefault="000372E8" w:rsidP="00845085">
      <w:r>
        <w:rPr>
          <w:lang w:val="en-US"/>
        </w:rPr>
        <w:t xml:space="preserve">Relative to </w:t>
      </w:r>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j</m:t>
            </m:r>
          </m:sup>
        </m:sSubSup>
      </m:oMath>
      <w:r>
        <w:t xml:space="preserve">, the investigation of </w:t>
      </w:r>
      <m:oMath>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j</m:t>
            </m:r>
          </m:sup>
        </m:sSubSup>
      </m:oMath>
      <w:r>
        <w:t xml:space="preserve"> should yield insights on when, during the booking period, price variations are more likely to occur across clusters. Figure </w:t>
      </w:r>
      <w:r w:rsidR="00A9151A">
        <w:t>5</w:t>
      </w:r>
      <w:r>
        <w:t xml:space="preserve"> reports, on the horizontal axis, the booking times, while each line corresponds to a star category. </w:t>
      </w:r>
      <w:r w:rsidR="00031E79">
        <w:t>The values in the Figure complemen</w:t>
      </w:r>
      <w:r w:rsidR="009C4891">
        <w:t xml:space="preserve">t well those reported in Table </w:t>
      </w:r>
      <w:r w:rsidR="00493E43">
        <w:t>4</w:t>
      </w:r>
      <w:r w:rsidR="00031E79">
        <w:t xml:space="preserve">, which do not differentiate for the star category; once this is added, it appears clear that high quality hotels, and </w:t>
      </w:r>
      <w:r w:rsidR="004B0B23">
        <w:t xml:space="preserve">especially </w:t>
      </w:r>
      <w:r w:rsidR="00031E79">
        <w:t xml:space="preserve">5-star ones, tend to have a higher than average propensity to vary their prices dynamically. </w:t>
      </w:r>
      <w:r w:rsidR="003F1E55">
        <w:t>Indeed</w:t>
      </w:r>
      <w:r w:rsidR="00031E79">
        <w:t>, the probability to observe a price variation between two consecutive booking times is much higher in 5- and 4-star hotels: in these clusters, it fluctuates between 20</w:t>
      </w:r>
      <w:r w:rsidR="00A9151A">
        <w:t>%</w:t>
      </w:r>
      <w:r w:rsidR="00031E79">
        <w:t xml:space="preserve"> a</w:t>
      </w:r>
      <w:r w:rsidR="00A9151A">
        <w:t>nd 30%</w:t>
      </w:r>
      <w:r w:rsidR="00031E79">
        <w:t xml:space="preserve"> for 4-star hotels, and between </w:t>
      </w:r>
      <w:r w:rsidR="00A9151A">
        <w:t>35%</w:t>
      </w:r>
      <w:r w:rsidR="00031E79">
        <w:t xml:space="preserve"> and </w:t>
      </w:r>
      <w:r w:rsidR="00A9151A">
        <w:t>47%</w:t>
      </w:r>
      <w:r w:rsidR="00031E79">
        <w:t xml:space="preserve"> for 5-star ones. </w:t>
      </w:r>
      <w:r w:rsidR="003F1E55">
        <w:t xml:space="preserve">In all other categories, it </w:t>
      </w:r>
      <w:r w:rsidR="00A9151A">
        <w:t>stays well below 2</w:t>
      </w:r>
      <w:r w:rsidR="003F1E55">
        <w:t>0</w:t>
      </w:r>
      <w:r w:rsidR="00A9151A">
        <w:t>%</w:t>
      </w:r>
      <w:r w:rsidR="003F1E55">
        <w:t xml:space="preserve">. Quite interestingly, over the last three weeks before the stay, the difference between categories tends to reduce drastically, due </w:t>
      </w:r>
      <w:r w:rsidR="00A765FC">
        <w:t>mostly</w:t>
      </w:r>
      <w:r w:rsidR="003F1E55">
        <w:t xml:space="preserve"> to a strong drop in the propensity of high quality hotels to vary their prices</w:t>
      </w:r>
      <w:r w:rsidR="00A765FC">
        <w:t>, but also partly to an increase in the same propensity by lower quality hotels</w:t>
      </w:r>
      <w:r w:rsidR="003F1E55">
        <w:t xml:space="preserve">. </w:t>
      </w:r>
    </w:p>
    <w:p w14:paraId="7B098710" w14:textId="77777777" w:rsidR="005203AF" w:rsidRDefault="00A765FC" w:rsidP="00845085">
      <w:pPr>
        <w:rPr>
          <w:lang w:val="en-US"/>
        </w:rPr>
      </w:pPr>
      <w:r>
        <w:rPr>
          <w:lang w:val="en-US"/>
        </w:rPr>
        <w:t xml:space="preserve">Figure </w:t>
      </w:r>
      <w:r w:rsidR="00A9151A">
        <w:rPr>
          <w:lang w:val="en-US"/>
        </w:rPr>
        <w:t>6</w:t>
      </w:r>
      <w:r>
        <w:rPr>
          <w:lang w:val="en-US"/>
        </w:rPr>
        <w:t xml:space="preserve"> shows</w:t>
      </w:r>
      <w:r w:rsidR="00752388">
        <w:rPr>
          <w:lang w:val="en-US"/>
        </w:rPr>
        <w:t>, in every sub-period,</w:t>
      </w:r>
      <w:r>
        <w:rPr>
          <w:lang w:val="en-US"/>
        </w:rPr>
        <w:t xml:space="preserve"> a growing probability of observing a price variation between two consecutive booking time</w:t>
      </w:r>
      <w:r w:rsidR="002C311F">
        <w:rPr>
          <w:lang w:val="en-US"/>
        </w:rPr>
        <w:t xml:space="preserve"> which</w:t>
      </w:r>
      <w:r>
        <w:rPr>
          <w:lang w:val="en-US"/>
        </w:rPr>
        <w:t xml:space="preserve"> is due to a composite effect of the two opposing trends in Figure </w:t>
      </w:r>
      <w:r w:rsidR="00A9151A">
        <w:rPr>
          <w:lang w:val="en-US"/>
        </w:rPr>
        <w:t>5</w:t>
      </w:r>
      <w:r>
        <w:rPr>
          <w:lang w:val="en-US"/>
        </w:rPr>
        <w:t xml:space="preserve">. </w:t>
      </w:r>
      <w:r w:rsidR="002C311F">
        <w:rPr>
          <w:lang w:val="en-US"/>
        </w:rPr>
        <w:t>T</w:t>
      </w:r>
      <w:r>
        <w:rPr>
          <w:lang w:val="en-US"/>
        </w:rPr>
        <w:t>he higher probabilities just a few days before the date of stay</w:t>
      </w:r>
      <w:r w:rsidR="002C311F">
        <w:rPr>
          <w:lang w:val="en-US"/>
        </w:rPr>
        <w:t xml:space="preserve"> capture the larger weight of 3-star or less hotels, which are more numerous in every macro-destination. More importantly, the analysis of </w:t>
      </w:r>
      <m:oMath>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j</m:t>
            </m:r>
          </m:sup>
        </m:sSubSup>
      </m:oMath>
      <w:r w:rsidR="002C311F">
        <w:rPr>
          <w:lang w:val="en-US"/>
        </w:rPr>
        <w:t xml:space="preserve"> confirms the previous finding that </w:t>
      </w:r>
      <w:r w:rsidR="002C024F">
        <w:rPr>
          <w:lang w:val="en-US"/>
        </w:rPr>
        <w:t>DP</w:t>
      </w:r>
      <w:r w:rsidR="002C311F">
        <w:rPr>
          <w:lang w:val="en-US"/>
        </w:rPr>
        <w:t xml:space="preserve"> is applied with a different intensity across different periods of the Summer season, with the lowest probability of observing the treatment reported in April-June</w:t>
      </w:r>
      <w:r w:rsidR="004B0B23">
        <w:rPr>
          <w:lang w:val="en-US"/>
        </w:rPr>
        <w:t>.</w:t>
      </w:r>
    </w:p>
    <w:p w14:paraId="45F7A187" w14:textId="333029FC" w:rsidR="003F1E55" w:rsidRDefault="00B9592E" w:rsidP="00845085">
      <w:pPr>
        <w:rPr>
          <w:lang w:val="en-US"/>
        </w:rPr>
      </w:pPr>
      <w:r>
        <w:rPr>
          <w:lang w:val="en-US"/>
        </w:rPr>
        <w:lastRenderedPageBreak/>
        <w:t xml:space="preserve">Overall, the use of </w:t>
      </w:r>
      <m:oMath>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j</m:t>
            </m:r>
          </m:sup>
        </m:sSubSup>
      </m:oMath>
      <w:r w:rsidR="00B43D02">
        <w:rPr>
          <w:lang w:val="en-US"/>
        </w:rPr>
        <w:t xml:space="preserve"> </w:t>
      </w:r>
      <w:r>
        <w:rPr>
          <w:lang w:val="en-US"/>
        </w:rPr>
        <w:t>confirms the robustness of the previous</w:t>
      </w:r>
      <w:r w:rsidR="004B0B23">
        <w:rPr>
          <w:lang w:val="en-US"/>
        </w:rPr>
        <w:t xml:space="preserve"> findings</w:t>
      </w:r>
      <w:r>
        <w:rPr>
          <w:lang w:val="en-US"/>
        </w:rPr>
        <w:t xml:space="preserve">: </w:t>
      </w:r>
      <w:r w:rsidR="002C024F">
        <w:rPr>
          <w:lang w:val="en-US"/>
        </w:rPr>
        <w:t>DP</w:t>
      </w:r>
      <w:r>
        <w:rPr>
          <w:lang w:val="en-US"/>
        </w:rPr>
        <w:t xml:space="preserve"> is prevalent only in higher quality hotels, which however are less numerous in every locality. Therefore, our work suggests that although </w:t>
      </w:r>
      <w:r w:rsidR="002C024F">
        <w:rPr>
          <w:lang w:val="en-US"/>
        </w:rPr>
        <w:t>DP</w:t>
      </w:r>
      <w:r>
        <w:rPr>
          <w:lang w:val="en-US"/>
        </w:rPr>
        <w:t xml:space="preserve"> is a relevant phenomenon in the hotel industry, its application is on average rather sporadic, with many firms choosing its mirror image, i.e., uniform pricing. Thus, our findings are consistent with the survey results published in GBTA (2014)</w:t>
      </w:r>
      <w:r w:rsidR="00F13B3F">
        <w:rPr>
          <w:lang w:val="en-US"/>
        </w:rPr>
        <w:t>.</w:t>
      </w:r>
    </w:p>
    <w:p w14:paraId="45F7A188" w14:textId="77777777" w:rsidR="005F2B48" w:rsidRDefault="00891FB7" w:rsidP="00891FB7">
      <w:pPr>
        <w:pStyle w:val="Heading1"/>
        <w:rPr>
          <w:lang w:val="en-US"/>
        </w:rPr>
      </w:pPr>
      <w:r>
        <w:rPr>
          <w:lang w:val="en-US"/>
        </w:rPr>
        <w:t>Price increases and decreases</w:t>
      </w:r>
    </w:p>
    <w:p w14:paraId="45F7A189" w14:textId="77777777" w:rsidR="00891FB7" w:rsidRDefault="00A66865" w:rsidP="00891FB7">
      <w:pPr>
        <w:rPr>
          <w:lang w:val="en-US"/>
        </w:rPr>
      </w:pPr>
      <w:r>
        <w:rPr>
          <w:lang w:val="en-US"/>
        </w:rPr>
        <w:t>W</w:t>
      </w:r>
      <w:r w:rsidR="007817A5">
        <w:rPr>
          <w:lang w:val="en-US"/>
        </w:rPr>
        <w:t>e</w:t>
      </w:r>
      <w:r>
        <w:rPr>
          <w:lang w:val="en-US"/>
        </w:rPr>
        <w:t xml:space="preserve"> now consider a third type of DP </w:t>
      </w:r>
      <w:r w:rsidR="007817A5">
        <w:rPr>
          <w:lang w:val="en-US"/>
        </w:rPr>
        <w:t>treatment</w:t>
      </w:r>
      <w:r w:rsidR="009E7471">
        <w:rPr>
          <w:lang w:val="en-US"/>
        </w:rPr>
        <w:t>, which can shed some light on whether DP is related to possible “last-minute discounts”</w:t>
      </w:r>
      <w:r w:rsidR="007817A5">
        <w:rPr>
          <w:lang w:val="en-US"/>
        </w:rPr>
        <w:t>:</w:t>
      </w:r>
    </w:p>
    <w:p w14:paraId="45F7A18A" w14:textId="77777777" w:rsidR="00C85395" w:rsidRDefault="009B70BD" w:rsidP="00891FB7">
      <m:oMath>
        <m:sSubSup>
          <m:sSubSupPr>
            <m:ctrlPr>
              <w:rPr>
                <w:rFonts w:ascii="Cambria Math" w:hAnsi="Cambria Math"/>
                <w:i/>
              </w:rPr>
            </m:ctrlPr>
          </m:sSubSupPr>
          <m:e>
            <m:r>
              <w:rPr>
                <w:rFonts w:ascii="Cambria Math" w:hAnsi="Cambria Math"/>
              </w:rPr>
              <m:t>Y</m:t>
            </m:r>
          </m:e>
          <m:sub>
            <m:r>
              <w:rPr>
                <w:rFonts w:ascii="Cambria Math" w:hAnsi="Cambria Math"/>
              </w:rPr>
              <m:t>3</m:t>
            </m:r>
          </m:sub>
          <m:sup>
            <m:r>
              <w:rPr>
                <w:rFonts w:ascii="Cambria Math" w:hAnsi="Cambria Math"/>
              </w:rPr>
              <m:t>jt</m:t>
            </m:r>
          </m:sup>
        </m:sSubSup>
        <m:r>
          <w:rPr>
            <w:rFonts w:ascii="Cambria Math" w:hAnsi="Cambria Math"/>
          </w:rPr>
          <m:t xml:space="preserve">=1 </m:t>
        </m:r>
        <m:r>
          <m:rPr>
            <m:nor/>
          </m:rPr>
          <w:rPr>
            <w:rFonts w:ascii="Cambria Math" w:hAnsi="Cambria Math"/>
          </w:rPr>
          <m:t xml:space="preserve">if </m:t>
        </m:r>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t-1</m:t>
            </m:r>
          </m:sub>
          <m:sup>
            <m:r>
              <w:rPr>
                <w:rFonts w:ascii="Cambria Math" w:hAnsi="Cambria Math"/>
              </w:rPr>
              <m:t>j</m:t>
            </m:r>
          </m:sup>
        </m:sSubSup>
        <m:r>
          <m:rPr>
            <m:sty m:val="bi"/>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j</m:t>
            </m:r>
          </m:sup>
        </m:sSubSup>
        <m:r>
          <w:rPr>
            <w:rFonts w:ascii="Cambria Math" w:hAnsi="Cambria Math"/>
          </w:rPr>
          <m:t xml:space="preserve">&gt;0  </m:t>
        </m:r>
        <m:r>
          <m:rPr>
            <m:nor/>
          </m:rPr>
          <w:rPr>
            <w:rFonts w:ascii="Cambria Math" w:hAnsi="Cambria Math"/>
          </w:rPr>
          <m:t>conditional on</m:t>
        </m:r>
        <m:r>
          <w:rPr>
            <w:rFonts w:ascii="Cambria Math" w:hAnsi="Cambria Math"/>
          </w:rPr>
          <m:t xml:space="preserve"> </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j</m:t>
                </m:r>
              </m:sup>
            </m:sSubSup>
            <m:r>
              <m:rPr>
                <m:sty m:val="bi"/>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t-1</m:t>
                </m:r>
              </m:sub>
              <m:sup>
                <m:r>
                  <w:rPr>
                    <w:rFonts w:ascii="Cambria Math" w:hAnsi="Cambria Math"/>
                  </w:rPr>
                  <m:t>j</m:t>
                </m:r>
              </m:sup>
            </m:sSubSup>
          </m:e>
        </m:d>
        <m:r>
          <w:rPr>
            <w:rFonts w:ascii="Cambria Math" w:hAnsi="Cambria Math"/>
          </w:rPr>
          <m:t>&gt;0</m:t>
        </m:r>
      </m:oMath>
      <w:r w:rsidR="007817A5">
        <w:t xml:space="preserve">. That is, we only consider the observations in which we record a variation between two consecutive booking times, and flag those corresponding to a price increase. </w:t>
      </w:r>
      <w:r w:rsidR="00B43D02">
        <w:t>Thus, we can</w:t>
      </w:r>
      <w:r w:rsidR="00C85395">
        <w:t xml:space="preserve"> address: </w:t>
      </w:r>
    </w:p>
    <w:p w14:paraId="45F7A18B" w14:textId="77777777" w:rsidR="007817A5" w:rsidRDefault="001C2163" w:rsidP="00891FB7">
      <w:r>
        <w:rPr>
          <w:b/>
        </w:rPr>
        <w:t>RQ</w:t>
      </w:r>
      <w:r w:rsidR="00C85395">
        <w:rPr>
          <w:b/>
        </w:rPr>
        <w:t xml:space="preserve"> 3. </w:t>
      </w:r>
      <w:r w:rsidR="00C85395" w:rsidRPr="00C85395">
        <w:t xml:space="preserve">Conditional on a price variation taking place, which factors are </w:t>
      </w:r>
      <w:r w:rsidR="00C85395">
        <w:t>more</w:t>
      </w:r>
      <w:r w:rsidR="00C85395" w:rsidRPr="00C85395">
        <w:t xml:space="preserve"> correlated with the probability to observe a price increase?</w:t>
      </w:r>
      <w:r w:rsidR="007817A5">
        <w:t xml:space="preserve"> </w:t>
      </w:r>
    </w:p>
    <w:p w14:paraId="45F7A18C" w14:textId="062F2FAF" w:rsidR="002E61DD" w:rsidRDefault="000B1671" w:rsidP="00290733">
      <w:r>
        <w:rPr>
          <w:lang w:val="en-US"/>
        </w:rPr>
        <w:t xml:space="preserve">Figure </w:t>
      </w:r>
      <w:r w:rsidR="009E7471">
        <w:rPr>
          <w:lang w:val="en-US"/>
        </w:rPr>
        <w:t>7</w:t>
      </w:r>
      <w:r>
        <w:rPr>
          <w:lang w:val="en-US"/>
        </w:rPr>
        <w:t xml:space="preserve"> reports the predicted probability </w:t>
      </w:r>
      <w:r w:rsidR="003A0B98">
        <w:rPr>
          <w:lang w:val="en-US"/>
        </w:rPr>
        <w:t>of an</w:t>
      </w:r>
      <w:r>
        <w:rPr>
          <w:lang w:val="en-US"/>
        </w:rPr>
        <w:t xml:space="preserve"> increase, broken down by star category and booking ti</w:t>
      </w:r>
      <w:r w:rsidR="009E7471">
        <w:rPr>
          <w:lang w:val="en-US"/>
        </w:rPr>
        <w:t>mes. In all macro-destinations except Corsica</w:t>
      </w:r>
      <w:r>
        <w:rPr>
          <w:lang w:val="en-US"/>
        </w:rPr>
        <w:t xml:space="preserve">, between 65 and 30 days </w:t>
      </w:r>
      <w:r w:rsidR="003C1693">
        <w:rPr>
          <w:lang w:val="en-US"/>
        </w:rPr>
        <w:t>prior to the date of stay</w:t>
      </w:r>
      <w:r>
        <w:rPr>
          <w:lang w:val="en-US"/>
        </w:rPr>
        <w:t xml:space="preserve"> the increases make up </w:t>
      </w:r>
      <w:r w:rsidR="00B43D02">
        <w:rPr>
          <w:lang w:val="en-US"/>
        </w:rPr>
        <w:t>most of</w:t>
      </w:r>
      <w:r>
        <w:rPr>
          <w:lang w:val="en-US"/>
        </w:rPr>
        <w:t xml:space="preserve"> price variation in all star categories. </w:t>
      </w:r>
      <w:r w:rsidR="00175EDB">
        <w:rPr>
          <w:lang w:val="en-US"/>
        </w:rPr>
        <w:t>Starting</w:t>
      </w:r>
      <w:r>
        <w:rPr>
          <w:lang w:val="en-US"/>
        </w:rPr>
        <w:t xml:space="preserve"> 25 days </w:t>
      </w:r>
      <w:r w:rsidR="00175EDB">
        <w:rPr>
          <w:lang w:val="en-US"/>
        </w:rPr>
        <w:t>and up to 7 days before the stay</w:t>
      </w:r>
      <w:r>
        <w:rPr>
          <w:lang w:val="en-US"/>
        </w:rPr>
        <w:t>, t</w:t>
      </w:r>
      <w:r w:rsidR="003C1693">
        <w:rPr>
          <w:lang w:val="en-US"/>
        </w:rPr>
        <w:t xml:space="preserve">he incidence of price increases </w:t>
      </w:r>
      <w:r w:rsidR="003A0B98">
        <w:rPr>
          <w:lang w:val="en-US"/>
        </w:rPr>
        <w:t>falls</w:t>
      </w:r>
      <w:r w:rsidR="003C1693">
        <w:rPr>
          <w:lang w:val="en-US"/>
        </w:rPr>
        <w:t>, and therefore that of decreases becomes predominant, especially within the clusters including the 3- and 2-star hotels in Sardinia, and</w:t>
      </w:r>
      <w:r w:rsidR="00175EDB">
        <w:rPr>
          <w:lang w:val="en-US"/>
        </w:rPr>
        <w:t xml:space="preserve"> all star categories in</w:t>
      </w:r>
      <w:r w:rsidR="003C1693">
        <w:rPr>
          <w:lang w:val="en-US"/>
        </w:rPr>
        <w:t xml:space="preserve"> Corsica. </w:t>
      </w:r>
      <w:r w:rsidR="00175EDB">
        <w:rPr>
          <w:lang w:val="en-US"/>
        </w:rPr>
        <w:t xml:space="preserve">During the last 7 days of the booking period, the proportion of price increases rises again, a finding which </w:t>
      </w:r>
      <w:r w:rsidR="00E62E8A">
        <w:rPr>
          <w:lang w:val="en-US"/>
        </w:rPr>
        <w:t xml:space="preserve">provides some support to the notion that prices posted in the final part of the booking period are the result of two conflicting forces. On the one hand, the perishable nature of hotel rooms tends to drive prices down; on the other, if prices were consistently dropped within two weeks of the stay date, potential buyers would soon </w:t>
      </w:r>
      <w:r w:rsidR="004A6A41">
        <w:rPr>
          <w:lang w:val="en-US"/>
        </w:rPr>
        <w:t xml:space="preserve">learn to postpone their purchases, thereby exacerbating the need for hotels to lower the price. </w:t>
      </w:r>
      <w:r w:rsidR="00B76D8F">
        <w:rPr>
          <w:lang w:val="en-US"/>
        </w:rPr>
        <w:t xml:space="preserve">As suggested in </w:t>
      </w:r>
      <w:r w:rsidR="00B76D8F">
        <w:t xml:space="preserve">Li et al. (2014), hotels </w:t>
      </w:r>
      <w:r w:rsidR="007006F6">
        <w:t xml:space="preserve">should </w:t>
      </w:r>
      <w:r w:rsidR="00B76D8F">
        <w:t>therefore commit to an increasing price profile</w:t>
      </w:r>
      <w:r w:rsidR="007006F6">
        <w:t xml:space="preserve">. Indeed, whenever a price variation is observed, </w:t>
      </w:r>
      <w:r w:rsidR="005C66B9">
        <w:t xml:space="preserve">such a variation is more likely to be an increase during the early part of the booking period (i.e., at least until 30 days before the stay date). </w:t>
      </w:r>
      <w:r w:rsidR="00EF5901">
        <w:t>Furthermore</w:t>
      </w:r>
      <w:r w:rsidR="005C66B9">
        <w:t xml:space="preserve">, although the proportion of decreases dominate in the final part of the booking period, these are overall not very likely to be observed. For instance, consider the Balearics </w:t>
      </w:r>
      <w:r w:rsidR="00EF5901">
        <w:t>i</w:t>
      </w:r>
      <w:r w:rsidR="005C66B9">
        <w:t xml:space="preserve">n Figure </w:t>
      </w:r>
      <w:r w:rsidR="00175EDB">
        <w:t>7</w:t>
      </w:r>
      <w:r w:rsidR="00EF5901">
        <w:t xml:space="preserve">, where on average </w:t>
      </w:r>
      <w:r w:rsidR="00175EDB">
        <w:t>55%</w:t>
      </w:r>
      <w:r w:rsidR="00EF5901">
        <w:t xml:space="preserve"> of variations in the last 14 days of the </w:t>
      </w:r>
      <w:r w:rsidR="00EF5901">
        <w:lastRenderedPageBreak/>
        <w:t xml:space="preserve">booking period are decreases. As previous findings in </w:t>
      </w:r>
      <w:r w:rsidR="009C4891">
        <w:t xml:space="preserve">Table </w:t>
      </w:r>
      <w:r w:rsidR="00493E43">
        <w:t xml:space="preserve">4 </w:t>
      </w:r>
      <w:r w:rsidR="002E61DD">
        <w:t xml:space="preserve">and </w:t>
      </w:r>
      <w:r w:rsidR="00EF5901">
        <w:t xml:space="preserve">Figure </w:t>
      </w:r>
      <w:r w:rsidR="00175EDB">
        <w:t>6</w:t>
      </w:r>
      <w:r w:rsidR="00EF5901">
        <w:t xml:space="preserve"> indicate, the probability of observing a variation during the same period is about 20</w:t>
      </w:r>
      <w:r w:rsidR="00175EDB">
        <w:t>%</w:t>
      </w:r>
      <w:r w:rsidR="00EF5901">
        <w:t xml:space="preserve"> on average; therefore, the probability of a price decrease</w:t>
      </w:r>
      <w:r w:rsidR="00686EEB">
        <w:t xml:space="preserve"> is </w:t>
      </w:r>
      <w:r w:rsidR="00C9046D">
        <w:t>about</w:t>
      </w:r>
      <w:r w:rsidR="00EF5901">
        <w:t xml:space="preserve"> 1</w:t>
      </w:r>
      <w:r w:rsidR="00B43D02">
        <w:t>1</w:t>
      </w:r>
      <w:r w:rsidR="00C9046D">
        <w:t>%</w:t>
      </w:r>
      <w:r w:rsidR="002E61DD">
        <w:t xml:space="preserve">, corresponding to one hotel in </w:t>
      </w:r>
      <w:r w:rsidR="00B43D02">
        <w:t>nine</w:t>
      </w:r>
      <w:r w:rsidR="002E61DD">
        <w:t xml:space="preserve"> dropping its room price. </w:t>
      </w:r>
    </w:p>
    <w:p w14:paraId="45F7A18E" w14:textId="77777777" w:rsidR="003E5836" w:rsidRDefault="00D56915" w:rsidP="00D56915">
      <w:pPr>
        <w:pStyle w:val="Heading1"/>
        <w:rPr>
          <w:lang w:val="en-US"/>
        </w:rPr>
      </w:pPr>
      <w:r>
        <w:rPr>
          <w:lang w:val="en-US"/>
        </w:rPr>
        <w:t>Discussion and concluding remarks</w:t>
      </w:r>
    </w:p>
    <w:p w14:paraId="45F7A18F" w14:textId="77777777" w:rsidR="00162B00" w:rsidRPr="00AF540D" w:rsidRDefault="00C12698" w:rsidP="00D56915">
      <w:r>
        <w:t>The study analyses the propensity to engage in DP of hotels on Booking.com</w:t>
      </w:r>
      <w:r w:rsidR="00D5503F">
        <w:t xml:space="preserve">. </w:t>
      </w:r>
      <w:r w:rsidR="00162B00" w:rsidRPr="00AF540D">
        <w:t xml:space="preserve">From </w:t>
      </w:r>
      <w:r w:rsidR="00B43D02" w:rsidRPr="00AF540D">
        <w:t>a</w:t>
      </w:r>
      <w:r w:rsidR="00162B00" w:rsidRPr="00AF540D">
        <w:t xml:space="preserve"> theoretical </w:t>
      </w:r>
      <w:r w:rsidR="00B43D02" w:rsidRPr="00AF540D">
        <w:t>viewpoint</w:t>
      </w:r>
      <w:r w:rsidR="00162B00" w:rsidRPr="00AF540D">
        <w:t>,</w:t>
      </w:r>
      <w:r w:rsidR="00B43D02" w:rsidRPr="00AF540D">
        <w:t xml:space="preserve"> the study’s novel</w:t>
      </w:r>
      <w:r w:rsidR="00162B00" w:rsidRPr="00AF540D">
        <w:t xml:space="preserve"> comparison</w:t>
      </w:r>
      <w:r w:rsidR="00B43D02" w:rsidRPr="00AF540D">
        <w:t xml:space="preserve"> of intertemporal</w:t>
      </w:r>
      <w:r w:rsidR="00213502" w:rsidRPr="00AF540D">
        <w:t xml:space="preserve"> pricing’s</w:t>
      </w:r>
      <w:r w:rsidR="00B43D02" w:rsidRPr="00AF540D">
        <w:t xml:space="preserve"> differences</w:t>
      </w:r>
      <w:r w:rsidR="00162B00" w:rsidRPr="00AF540D">
        <w:t xml:space="preserve"> </w:t>
      </w:r>
      <w:r w:rsidR="00213502" w:rsidRPr="00AF540D">
        <w:t>in</w:t>
      </w:r>
      <w:r w:rsidR="00162B00" w:rsidRPr="00AF540D">
        <w:t xml:space="preserve"> data </w:t>
      </w:r>
      <w:r w:rsidR="006F7429" w:rsidRPr="00AF540D">
        <w:t>covering</w:t>
      </w:r>
      <w:r w:rsidR="00162B00" w:rsidRPr="00AF540D">
        <w:t xml:space="preserve"> a </w:t>
      </w:r>
      <w:r w:rsidR="006F7429" w:rsidRPr="00AF540D">
        <w:t>six months’</w:t>
      </w:r>
      <w:r w:rsidR="00162B00" w:rsidRPr="00AF540D">
        <w:t xml:space="preserve"> </w:t>
      </w:r>
      <w:r w:rsidR="004F6A5D" w:rsidRPr="00AF540D">
        <w:t>period</w:t>
      </w:r>
      <w:r w:rsidR="00162B00" w:rsidRPr="00AF540D">
        <w:t xml:space="preserve"> </w:t>
      </w:r>
      <w:r w:rsidR="00213502" w:rsidRPr="00AF540D">
        <w:t>of</w:t>
      </w:r>
      <w:r w:rsidR="00162B00" w:rsidRPr="00AF540D">
        <w:t xml:space="preserve"> two </w:t>
      </w:r>
      <w:r w:rsidR="006F7429" w:rsidRPr="00AF540D">
        <w:t>consecutive</w:t>
      </w:r>
      <w:r w:rsidR="00162B00" w:rsidRPr="00AF540D">
        <w:t xml:space="preserve"> </w:t>
      </w:r>
      <w:r w:rsidR="00F41F1A" w:rsidRPr="00AF540D">
        <w:t xml:space="preserve">tourist </w:t>
      </w:r>
      <w:r w:rsidR="00162B00" w:rsidRPr="00AF540D">
        <w:t xml:space="preserve">seasons </w:t>
      </w:r>
      <w:r w:rsidR="00F41F1A" w:rsidRPr="00AF540D">
        <w:t xml:space="preserve">(2015 and 2016) </w:t>
      </w:r>
      <w:r w:rsidR="00E03DE7" w:rsidRPr="00AF540D">
        <w:t>is complemented by an analysis of</w:t>
      </w:r>
      <w:r w:rsidR="00213502" w:rsidRPr="00AF540D">
        <w:t xml:space="preserve"> its variations</w:t>
      </w:r>
      <w:r w:rsidR="00E03DE7" w:rsidRPr="00AF540D">
        <w:t xml:space="preserve"> across different geographical </w:t>
      </w:r>
      <w:r w:rsidR="00213502" w:rsidRPr="00AF540D">
        <w:t>macro-</w:t>
      </w:r>
      <w:r w:rsidR="00E03DE7" w:rsidRPr="00AF540D">
        <w:t xml:space="preserve">regions. Overall, the evidence suggests that the propensity to engage in DP is not as widespread as often the literature implies. </w:t>
      </w:r>
    </w:p>
    <w:p w14:paraId="45F7A190" w14:textId="77777777" w:rsidR="00F41F1A" w:rsidRPr="00AF540D" w:rsidRDefault="00755138" w:rsidP="00F41F1A">
      <w:r w:rsidRPr="00AF540D">
        <w:t>We</w:t>
      </w:r>
      <w:r w:rsidR="00E03DE7" w:rsidRPr="00AF540D">
        <w:t xml:space="preserve"> indeed </w:t>
      </w:r>
      <w:r w:rsidR="00445DD5" w:rsidRPr="00AF540D">
        <w:t>find no</w:t>
      </w:r>
      <w:r w:rsidR="006F7429" w:rsidRPr="00AF540D">
        <w:t xml:space="preserve"> compelling</w:t>
      </w:r>
      <w:r w:rsidR="00445DD5" w:rsidRPr="00AF540D">
        <w:t xml:space="preserve"> evidence in support of the view that most hotels are constantly reprogramming their yields by frequently adjusting their rooms’ prices. </w:t>
      </w:r>
      <w:r w:rsidR="005D7340" w:rsidRPr="00AF540D">
        <w:t xml:space="preserve">Although “menu costs” are low for online postings, changing prices entail managerial costs that may enhance price stickiness (Zbaracki et al. 2004). Furthermore, the implicit cost of risking to antagonize customers favours </w:t>
      </w:r>
      <w:r w:rsidRPr="00AF540D">
        <w:t>uniform pricing</w:t>
      </w:r>
      <w:r w:rsidR="005D7340" w:rsidRPr="00AF540D">
        <w:t xml:space="preserve"> and</w:t>
      </w:r>
      <w:r w:rsidR="00F41F1A" w:rsidRPr="00AF540D">
        <w:t xml:space="preserve"> is consistent with the theory of reference prices, which play a moderating function relative to the amplitude of the variability of rates gap (Sahut et al., 2016; Viglia et al, 2016).</w:t>
      </w:r>
    </w:p>
    <w:p w14:paraId="45F7A191" w14:textId="0FB6C797" w:rsidR="00445DD5" w:rsidRPr="00AF540D" w:rsidRDefault="00445DD5" w:rsidP="00F41F1A">
      <w:pPr>
        <w:rPr>
          <w:strike/>
        </w:rPr>
      </w:pPr>
      <w:r w:rsidRPr="00AF540D">
        <w:t xml:space="preserve">Furthermore, </w:t>
      </w:r>
      <w:r w:rsidR="00437360" w:rsidRPr="00AF540D">
        <w:t xml:space="preserve">findings highlight </w:t>
      </w:r>
      <w:r w:rsidR="00755138" w:rsidRPr="00AF540D">
        <w:t>a</w:t>
      </w:r>
      <w:r w:rsidRPr="00AF540D">
        <w:t xml:space="preserve"> </w:t>
      </w:r>
      <w:r w:rsidR="005A58BE" w:rsidRPr="00AF540D">
        <w:t>heterogeneous</w:t>
      </w:r>
      <w:r w:rsidRPr="00AF540D">
        <w:t xml:space="preserve">, and previously unreported, propensity towards online DP across </w:t>
      </w:r>
      <w:r w:rsidR="00B82673">
        <w:t>hotels</w:t>
      </w:r>
      <w:r w:rsidRPr="00AF540D">
        <w:t xml:space="preserve">. Star classification appears to be the strongest discriminant factor, with higher quality hotels (i.e., 4 and 5 star) always showing to be the most active in terms of DP. Although our data collection is similar to that in Abrate and Viglia (2016), we cover different periods and geographical areas, and reach a rather different conclusion, in so far as their findings suggest more price dynamism, i.e., a larger coefficient of variation, in lower quality firms. </w:t>
      </w:r>
      <w:r w:rsidR="007D17AB" w:rsidRPr="00AF540D">
        <w:t xml:space="preserve">If, as argued in Aubke et al. (2014), effective RM is principally due to the coordinated knowledge exchange and communication between various organizational functions, then our findings shed some light on the link between </w:t>
      </w:r>
      <w:r w:rsidR="000A70BE" w:rsidRPr="00AF540D">
        <w:t>the more complex organizational design of high quality hotels and dynamic pricing as a by-product of RM activities.</w:t>
      </w:r>
      <w:r w:rsidR="007D17AB" w:rsidRPr="00AF540D">
        <w:t xml:space="preserve"> </w:t>
      </w:r>
    </w:p>
    <w:p w14:paraId="45F7A192" w14:textId="77777777" w:rsidR="00445DD5" w:rsidRPr="00AF540D" w:rsidRDefault="00437360" w:rsidP="00445DD5">
      <w:r w:rsidRPr="00AF540D">
        <w:t>A</w:t>
      </w:r>
      <w:r w:rsidR="00445DD5" w:rsidRPr="00AF540D">
        <w:t xml:space="preserve">nother factor that appear to play a role in explaining the heterogeneous propensity to vary prices over time is the period during the season. </w:t>
      </w:r>
      <w:r w:rsidR="00EB5D8C" w:rsidRPr="00AF540D">
        <w:t xml:space="preserve">Because price dynamism is stronger in high demand periods, the evidence suggests that the cost of </w:t>
      </w:r>
      <w:r w:rsidR="00EB5D8C" w:rsidRPr="00AF540D">
        <w:lastRenderedPageBreak/>
        <w:t xml:space="preserve">antagonizing customers is lower, the higher the probability that a hotel is sold out. </w:t>
      </w:r>
      <w:r w:rsidR="00445DD5" w:rsidRPr="00AF540D">
        <w:t xml:space="preserve">Finally, the third </w:t>
      </w:r>
      <w:r w:rsidR="001C2163" w:rsidRPr="00AF540D">
        <w:t xml:space="preserve">RQ </w:t>
      </w:r>
      <w:r w:rsidR="00445DD5" w:rsidRPr="00AF540D">
        <w:t xml:space="preserve">investigates whether the price variation corresponds to an increase or a decrease. In all macro-destinations, </w:t>
      </w:r>
      <w:r w:rsidR="00686EEB" w:rsidRPr="00AF540D">
        <w:t>between 25 and 7 days before</w:t>
      </w:r>
      <w:r w:rsidR="00445DD5" w:rsidRPr="00AF540D">
        <w:t xml:space="preserve"> the day of stay</w:t>
      </w:r>
      <w:r w:rsidR="00686EEB" w:rsidRPr="00AF540D">
        <w:t>,</w:t>
      </w:r>
      <w:r w:rsidR="00445DD5" w:rsidRPr="00AF540D">
        <w:t xml:space="preserve"> the probability of a price drop </w:t>
      </w:r>
      <w:r w:rsidR="00686EEB" w:rsidRPr="00AF540D">
        <w:t xml:space="preserve">weakly </w:t>
      </w:r>
      <w:r w:rsidR="00445DD5" w:rsidRPr="00AF540D">
        <w:t>dominates</w:t>
      </w:r>
      <w:r w:rsidR="00686EEB" w:rsidRPr="00AF540D">
        <w:t xml:space="preserve"> and is slightly more pronounced in hotels with a lower star classification. While this finding </w:t>
      </w:r>
      <w:r w:rsidRPr="00AF540D">
        <w:t>supports</w:t>
      </w:r>
      <w:r w:rsidR="00445DD5" w:rsidRPr="00AF540D">
        <w:t xml:space="preserve"> the common belief that last-minute discounts are offered by hotels to improve their load factors (Mauri, 2012)</w:t>
      </w:r>
      <w:r w:rsidR="00EE7542" w:rsidRPr="00AF540D">
        <w:t>, it should also be viewed against the generally low propensity that the same hotels exhibit to engage in DP</w:t>
      </w:r>
      <w:r w:rsidR="00445DD5" w:rsidRPr="00AF540D">
        <w:t xml:space="preserve">. </w:t>
      </w:r>
    </w:p>
    <w:p w14:paraId="45F7A193" w14:textId="35DECF28" w:rsidR="00996658" w:rsidRPr="00AF540D" w:rsidRDefault="00D56915" w:rsidP="00D56915">
      <w:pPr>
        <w:rPr>
          <w:lang w:val="en-US"/>
        </w:rPr>
      </w:pPr>
      <w:r>
        <w:rPr>
          <w:lang w:val="en-US"/>
        </w:rPr>
        <w:t xml:space="preserve">The overall analysis suggests a set of managerial implications. First, </w:t>
      </w:r>
      <w:r w:rsidR="00B82673">
        <w:t>our findings do not point towards a deterrent effect resulting from the cost of running a RM system, given the lack of difference in the propensity towards DP across hotels of different size but same star classification. This suggests that technological and financial constraints do not constitute an insurmountable barrier to operate a RM system, whose implementation and possible success appears to be driven by the dominant corporate culture, the organizational design and the availability of skilled workforce</w:t>
      </w:r>
      <w:r>
        <w:rPr>
          <w:lang w:val="en-US"/>
        </w:rPr>
        <w:t xml:space="preserve">. Second, because active dynamic RM is more likely observed for firms that are </w:t>
      </w:r>
      <w:r w:rsidR="00EF4291">
        <w:rPr>
          <w:lang w:val="en-US"/>
        </w:rPr>
        <w:t xml:space="preserve">vertically </w:t>
      </w:r>
      <w:r>
        <w:rPr>
          <w:lang w:val="en-US"/>
        </w:rPr>
        <w:t xml:space="preserve">differentiated (that is, the 4- and 5-star hotels), </w:t>
      </w:r>
      <w:r w:rsidRPr="00AF540D">
        <w:rPr>
          <w:lang w:val="en-US"/>
        </w:rPr>
        <w:t>those that are not may need to be incentivized by the Destination Management Organization (DMO)</w:t>
      </w:r>
      <w:r w:rsidR="005620D5" w:rsidRPr="00AF540D">
        <w:rPr>
          <w:lang w:val="en-US"/>
        </w:rPr>
        <w:t xml:space="preserve"> to develop a local management culture that emphasizes the necessary redesign</w:t>
      </w:r>
      <w:r w:rsidR="00EF4291" w:rsidRPr="00AF540D">
        <w:rPr>
          <w:lang w:val="en-US"/>
        </w:rPr>
        <w:t xml:space="preserve"> </w:t>
      </w:r>
      <w:r w:rsidR="005620D5" w:rsidRPr="00AF540D">
        <w:rPr>
          <w:lang w:val="en-US"/>
        </w:rPr>
        <w:t xml:space="preserve">of lower quality firms’ </w:t>
      </w:r>
      <w:r w:rsidR="00EF4291" w:rsidRPr="00AF540D">
        <w:rPr>
          <w:lang w:val="en-US"/>
        </w:rPr>
        <w:t>internal organizational architecture</w:t>
      </w:r>
      <w:r w:rsidR="005620D5" w:rsidRPr="00AF540D">
        <w:rPr>
          <w:lang w:val="en-US"/>
        </w:rPr>
        <w:t xml:space="preserve"> to accommodate the appropriate pricing approach </w:t>
      </w:r>
      <w:r w:rsidR="00234FA8" w:rsidRPr="00AF540D">
        <w:rPr>
          <w:lang w:val="en-US"/>
        </w:rPr>
        <w:t>when implementing</w:t>
      </w:r>
      <w:r w:rsidR="005620D5" w:rsidRPr="00AF540D">
        <w:rPr>
          <w:lang w:val="en-US"/>
        </w:rPr>
        <w:t xml:space="preserve"> new marketing strategies aimed at revamping their products and </w:t>
      </w:r>
      <w:r w:rsidR="00234FA8" w:rsidRPr="00AF540D">
        <w:rPr>
          <w:lang w:val="en-US"/>
        </w:rPr>
        <w:t>the expansion of</w:t>
      </w:r>
      <w:r w:rsidR="005620D5" w:rsidRPr="00AF540D">
        <w:rPr>
          <w:lang w:val="en-US"/>
        </w:rPr>
        <w:t xml:space="preserve"> the set of ancillary services they offer (Crouch, 2011)</w:t>
      </w:r>
      <w:r w:rsidR="00234FA8" w:rsidRPr="00AF540D">
        <w:rPr>
          <w:lang w:val="en-US"/>
        </w:rPr>
        <w:t>.</w:t>
      </w:r>
    </w:p>
    <w:p w14:paraId="45F7A195" w14:textId="77777777" w:rsidR="009C4891" w:rsidRDefault="009C4891">
      <w:pPr>
        <w:spacing w:before="0" w:line="240" w:lineRule="auto"/>
        <w:ind w:firstLine="0"/>
        <w:contextualSpacing w:val="0"/>
        <w:jc w:val="left"/>
        <w:rPr>
          <w:lang w:val="en-US"/>
        </w:rPr>
      </w:pPr>
      <w:r w:rsidRPr="00AF540D">
        <w:rPr>
          <w:lang w:val="en-US"/>
        </w:rPr>
        <w:br w:type="page"/>
      </w:r>
    </w:p>
    <w:p w14:paraId="45F7A196" w14:textId="77777777" w:rsidR="00F37EF3" w:rsidRPr="00F37EF3" w:rsidRDefault="00F37EF3" w:rsidP="00E621C9">
      <w:pPr>
        <w:pStyle w:val="Heading1"/>
        <w:numPr>
          <w:ilvl w:val="0"/>
          <w:numId w:val="0"/>
        </w:numPr>
        <w:ind w:left="1440"/>
        <w:rPr>
          <w:rFonts w:cs="Times New Roman"/>
          <w:b w:val="0"/>
          <w:sz w:val="24"/>
          <w:szCs w:val="24"/>
          <w:lang w:val="en-US"/>
        </w:rPr>
      </w:pPr>
      <w:r w:rsidRPr="00F37EF3">
        <w:rPr>
          <w:rFonts w:cs="Times New Roman"/>
          <w:b w:val="0"/>
          <w:sz w:val="24"/>
          <w:szCs w:val="24"/>
          <w:lang w:val="en-US"/>
        </w:rPr>
        <w:lastRenderedPageBreak/>
        <w:t>REFERENCES</w:t>
      </w:r>
    </w:p>
    <w:p w14:paraId="45F7A197" w14:textId="77777777" w:rsidR="00F37EF3" w:rsidRPr="00AC1EFE" w:rsidRDefault="00F37EF3" w:rsidP="00F37EF3">
      <w:pPr>
        <w:ind w:left="426" w:hanging="426"/>
        <w:rPr>
          <w:lang w:val="en-US"/>
        </w:rPr>
      </w:pPr>
      <w:r w:rsidRPr="00445DD5">
        <w:rPr>
          <w:lang w:val="en-US"/>
        </w:rPr>
        <w:t xml:space="preserve">Abrate, G., Fraquelli, G., and Viglia, G. </w:t>
      </w:r>
      <w:r w:rsidR="007E7935" w:rsidRPr="00445DD5">
        <w:rPr>
          <w:lang w:val="en-US"/>
        </w:rPr>
        <w:t>(</w:t>
      </w:r>
      <w:r w:rsidRPr="00445DD5">
        <w:rPr>
          <w:lang w:val="en-US"/>
        </w:rPr>
        <w:t>2012</w:t>
      </w:r>
      <w:r w:rsidR="007E7935" w:rsidRPr="00445DD5">
        <w:rPr>
          <w:lang w:val="en-US"/>
        </w:rPr>
        <w:t>)</w:t>
      </w:r>
      <w:r w:rsidRPr="00445DD5">
        <w:rPr>
          <w:lang w:val="en-US"/>
        </w:rPr>
        <w:t xml:space="preserve">. </w:t>
      </w:r>
      <w:r w:rsidRPr="00AC1EFE">
        <w:rPr>
          <w:lang w:val="en-US"/>
        </w:rPr>
        <w:t>“Dynamic pricing strategies: Evidence from Europe</w:t>
      </w:r>
      <w:r w:rsidR="000B0837" w:rsidRPr="00AC1EFE">
        <w:rPr>
          <w:lang w:val="en-US"/>
        </w:rPr>
        <w:t>a</w:t>
      </w:r>
      <w:r w:rsidR="00EE7542">
        <w:rPr>
          <w:lang w:val="en-US"/>
        </w:rPr>
        <w:t>n</w:t>
      </w:r>
      <w:r w:rsidR="000B0837" w:rsidRPr="00AC1EFE">
        <w:rPr>
          <w:lang w:val="en-US"/>
        </w:rPr>
        <w:t xml:space="preserve"> hotel</w:t>
      </w:r>
      <w:r w:rsidRPr="00AC1EFE">
        <w:rPr>
          <w:lang w:val="en-US"/>
        </w:rPr>
        <w:t>s”</w:t>
      </w:r>
      <w:r w:rsidR="007E7935" w:rsidRPr="00AC1EFE">
        <w:rPr>
          <w:lang w:val="en-US"/>
        </w:rPr>
        <w:t>.</w:t>
      </w:r>
      <w:r w:rsidRPr="00AC1EFE">
        <w:rPr>
          <w:lang w:val="en-US"/>
        </w:rPr>
        <w:t xml:space="preserve"> </w:t>
      </w:r>
      <w:r w:rsidRPr="00AC1EFE">
        <w:rPr>
          <w:i/>
          <w:iCs/>
          <w:lang w:val="en-US"/>
        </w:rPr>
        <w:t>International Journal of Hospitality Management</w:t>
      </w:r>
      <w:r w:rsidR="007E7935" w:rsidRPr="00AC1EFE">
        <w:rPr>
          <w:iCs/>
          <w:lang w:val="en-US"/>
        </w:rPr>
        <w:t>,</w:t>
      </w:r>
      <w:r w:rsidRPr="00AC1EFE">
        <w:rPr>
          <w:lang w:val="en-US"/>
        </w:rPr>
        <w:t xml:space="preserve"> 31(1): 160-168.</w:t>
      </w:r>
    </w:p>
    <w:p w14:paraId="45F7A198" w14:textId="77777777" w:rsidR="004171B3" w:rsidRPr="00AC1EFE" w:rsidRDefault="004171B3" w:rsidP="004171B3">
      <w:pPr>
        <w:ind w:left="426" w:hanging="426"/>
        <w:rPr>
          <w:lang w:val="en-US"/>
        </w:rPr>
      </w:pPr>
      <w:r w:rsidRPr="00AC1EFE">
        <w:rPr>
          <w:lang w:val="en-US"/>
        </w:rPr>
        <w:t xml:space="preserve">Abrate, G., and Viglia, G. </w:t>
      </w:r>
      <w:r w:rsidR="007E7935" w:rsidRPr="00AC1EFE">
        <w:rPr>
          <w:lang w:val="en-US"/>
        </w:rPr>
        <w:t>(</w:t>
      </w:r>
      <w:r w:rsidRPr="00AC1EFE">
        <w:rPr>
          <w:lang w:val="en-US"/>
        </w:rPr>
        <w:t>2016</w:t>
      </w:r>
      <w:r w:rsidR="007E7935" w:rsidRPr="00AC1EFE">
        <w:rPr>
          <w:lang w:val="en-US"/>
        </w:rPr>
        <w:t>)</w:t>
      </w:r>
      <w:r w:rsidRPr="00AC1EFE">
        <w:rPr>
          <w:lang w:val="en-US"/>
        </w:rPr>
        <w:t xml:space="preserve">. “Strategic and tactical price decisions in hotel revenue management.”, </w:t>
      </w:r>
      <w:r w:rsidRPr="00AC1EFE">
        <w:rPr>
          <w:i/>
          <w:iCs/>
          <w:lang w:val="en-US"/>
        </w:rPr>
        <w:t>Tourism Management</w:t>
      </w:r>
      <w:r w:rsidRPr="00AC1EFE">
        <w:rPr>
          <w:iCs/>
          <w:lang w:val="en-US"/>
        </w:rPr>
        <w:t>,</w:t>
      </w:r>
      <w:r w:rsidRPr="00AC1EFE">
        <w:rPr>
          <w:lang w:val="en-US"/>
        </w:rPr>
        <w:t xml:space="preserve"> 55: 123--132.</w:t>
      </w:r>
    </w:p>
    <w:p w14:paraId="45F7A199" w14:textId="77777777" w:rsidR="00747AE1" w:rsidRPr="00AC1EFE" w:rsidRDefault="00747AE1" w:rsidP="00747AE1">
      <w:pPr>
        <w:ind w:left="426" w:hanging="426"/>
        <w:rPr>
          <w:lang w:val="en-US"/>
        </w:rPr>
      </w:pPr>
      <w:r w:rsidRPr="00ED29EE">
        <w:rPr>
          <w:lang w:val="it-IT"/>
        </w:rPr>
        <w:t xml:space="preserve">Alderighi M, Nicolini M, Piga CA. </w:t>
      </w:r>
      <w:r w:rsidR="007E7935" w:rsidRPr="00AC1EFE">
        <w:rPr>
          <w:lang w:val="en-US"/>
        </w:rPr>
        <w:t>(</w:t>
      </w:r>
      <w:r w:rsidRPr="00AC1EFE">
        <w:rPr>
          <w:lang w:val="en-US"/>
        </w:rPr>
        <w:t>2016</w:t>
      </w:r>
      <w:r w:rsidR="007E7935" w:rsidRPr="00AC1EFE">
        <w:rPr>
          <w:lang w:val="en-US"/>
        </w:rPr>
        <w:t>)</w:t>
      </w:r>
      <w:r w:rsidRPr="00AC1EFE">
        <w:rPr>
          <w:lang w:val="en-US"/>
        </w:rPr>
        <w:t xml:space="preserve">. </w:t>
      </w:r>
      <w:r w:rsidR="00617A1F" w:rsidRPr="00AC1EFE">
        <w:rPr>
          <w:lang w:val="en-US"/>
        </w:rPr>
        <w:t>“</w:t>
      </w:r>
      <w:r w:rsidRPr="00AC1EFE">
        <w:rPr>
          <w:lang w:val="en-US"/>
        </w:rPr>
        <w:t>Targeting leisure and business passengers with unsegmented pricing</w:t>
      </w:r>
      <w:r w:rsidR="00617A1F" w:rsidRPr="00AC1EFE">
        <w:rPr>
          <w:lang w:val="en-US"/>
        </w:rPr>
        <w:t>”</w:t>
      </w:r>
      <w:r w:rsidRPr="00AC1EFE">
        <w:rPr>
          <w:lang w:val="en-US"/>
        </w:rPr>
        <w:t xml:space="preserve">. </w:t>
      </w:r>
      <w:r w:rsidR="00617A1F" w:rsidRPr="00AC1EFE">
        <w:rPr>
          <w:i/>
          <w:lang w:val="en-US"/>
        </w:rPr>
        <w:t>Tourism Management</w:t>
      </w:r>
      <w:r w:rsidR="00617A1F" w:rsidRPr="00AC1EFE">
        <w:rPr>
          <w:lang w:val="en-US"/>
        </w:rPr>
        <w:t>,</w:t>
      </w:r>
      <w:r w:rsidRPr="00AC1EFE">
        <w:rPr>
          <w:lang w:val="en-US"/>
        </w:rPr>
        <w:t xml:space="preserve"> </w:t>
      </w:r>
      <w:r w:rsidR="00617A1F" w:rsidRPr="00AC1EFE">
        <w:rPr>
          <w:lang w:val="en-US"/>
        </w:rPr>
        <w:t>54</w:t>
      </w:r>
      <w:r w:rsidRPr="00AC1EFE">
        <w:rPr>
          <w:lang w:val="en-US"/>
        </w:rPr>
        <w:t>: 502-512.</w:t>
      </w:r>
    </w:p>
    <w:p w14:paraId="45F7A19A" w14:textId="77777777" w:rsidR="00F37EF3" w:rsidRPr="00AC1EFE" w:rsidRDefault="00F37EF3" w:rsidP="00F37EF3">
      <w:pPr>
        <w:ind w:left="426" w:hanging="426"/>
        <w:rPr>
          <w:lang w:val="en-US"/>
        </w:rPr>
      </w:pPr>
      <w:r w:rsidRPr="00AC1EFE">
        <w:rPr>
          <w:lang w:val="en-US"/>
        </w:rPr>
        <w:t xml:space="preserve">Andrés-Martínez, M. E., Gómez-Borja, M. Á., and Mondéjar-Jiménez, J. A. </w:t>
      </w:r>
      <w:r w:rsidR="007E7935" w:rsidRPr="00AC1EFE">
        <w:rPr>
          <w:lang w:val="en-US"/>
        </w:rPr>
        <w:t>(</w:t>
      </w:r>
      <w:r w:rsidRPr="00AC1EFE">
        <w:rPr>
          <w:lang w:val="en-US"/>
        </w:rPr>
        <w:t>2014</w:t>
      </w:r>
      <w:r w:rsidR="007E7935" w:rsidRPr="00AC1EFE">
        <w:rPr>
          <w:lang w:val="en-US"/>
        </w:rPr>
        <w:t>)</w:t>
      </w:r>
      <w:r w:rsidRPr="00AC1EFE">
        <w:rPr>
          <w:lang w:val="en-US"/>
        </w:rPr>
        <w:t>. “A model to evaluate the effects of price fairness perception in online hotel booking”</w:t>
      </w:r>
      <w:r w:rsidR="007E7935" w:rsidRPr="00AC1EFE">
        <w:rPr>
          <w:lang w:val="en-US"/>
        </w:rPr>
        <w:t>.</w:t>
      </w:r>
      <w:r w:rsidRPr="00AC1EFE">
        <w:rPr>
          <w:lang w:val="en-US"/>
        </w:rPr>
        <w:t xml:space="preserve"> </w:t>
      </w:r>
      <w:r w:rsidRPr="00AC1EFE">
        <w:rPr>
          <w:i/>
          <w:lang w:val="en-US"/>
        </w:rPr>
        <w:t>Electronic Commerce Research</w:t>
      </w:r>
      <w:r w:rsidR="007E7935" w:rsidRPr="00AC1EFE">
        <w:rPr>
          <w:lang w:val="en-US"/>
        </w:rPr>
        <w:t>,</w:t>
      </w:r>
      <w:r w:rsidRPr="00AC1EFE">
        <w:rPr>
          <w:lang w:val="en-US"/>
        </w:rPr>
        <w:t xml:space="preserve"> 14(2): 171-187.</w:t>
      </w:r>
    </w:p>
    <w:p w14:paraId="45F7A19B" w14:textId="77777777" w:rsidR="000A70BE" w:rsidRDefault="000A70BE" w:rsidP="00F37EF3">
      <w:pPr>
        <w:ind w:left="426" w:hanging="426"/>
        <w:rPr>
          <w:lang w:val="en-US"/>
        </w:rPr>
      </w:pPr>
      <w:r>
        <w:rPr>
          <w:lang w:val="en-US"/>
        </w:rPr>
        <w:t xml:space="preserve">Aubke, F., Wöber, K., Scott, N., and Baggio R. (2014). Knowledge sharing in revenue management teams: Antecedents and consequences of group cohesion. </w:t>
      </w:r>
      <w:r>
        <w:rPr>
          <w:i/>
          <w:lang w:val="en-US"/>
        </w:rPr>
        <w:t>International Journal of Hospitality Management</w:t>
      </w:r>
      <w:r>
        <w:rPr>
          <w:lang w:val="en-US"/>
        </w:rPr>
        <w:t>, 41:149-157.</w:t>
      </w:r>
    </w:p>
    <w:p w14:paraId="45F7A19C" w14:textId="77777777" w:rsidR="00F37EF3" w:rsidRPr="00AC1EFE" w:rsidRDefault="00F37EF3" w:rsidP="00F37EF3">
      <w:pPr>
        <w:ind w:left="426" w:hanging="426"/>
        <w:rPr>
          <w:lang w:val="en-US"/>
        </w:rPr>
      </w:pPr>
      <w:r w:rsidRPr="00AC1EFE">
        <w:rPr>
          <w:lang w:val="en-US"/>
        </w:rPr>
        <w:t xml:space="preserve">Bachis, E., Piga, C.A. </w:t>
      </w:r>
      <w:r w:rsidR="007E7935" w:rsidRPr="00AC1EFE">
        <w:rPr>
          <w:lang w:val="en-US"/>
        </w:rPr>
        <w:t>(</w:t>
      </w:r>
      <w:r w:rsidRPr="00AC1EFE">
        <w:rPr>
          <w:lang w:val="en-US"/>
        </w:rPr>
        <w:t>2011</w:t>
      </w:r>
      <w:r w:rsidR="007E7935" w:rsidRPr="00AC1EFE">
        <w:rPr>
          <w:lang w:val="en-US"/>
        </w:rPr>
        <w:t>)</w:t>
      </w:r>
      <w:r w:rsidRPr="00AC1EFE">
        <w:rPr>
          <w:lang w:val="en-US"/>
        </w:rPr>
        <w:t>. “Low-cost airlines and online price dispersion”</w:t>
      </w:r>
      <w:r w:rsidR="007E7935" w:rsidRPr="00AC1EFE">
        <w:rPr>
          <w:lang w:val="en-US"/>
        </w:rPr>
        <w:t>.</w:t>
      </w:r>
      <w:r w:rsidRPr="00AC1EFE">
        <w:rPr>
          <w:lang w:val="en-US"/>
        </w:rPr>
        <w:t xml:space="preserve"> </w:t>
      </w:r>
      <w:r w:rsidRPr="00AC1EFE">
        <w:rPr>
          <w:i/>
          <w:iCs/>
          <w:lang w:val="en-US"/>
        </w:rPr>
        <w:t>International Journal of Industrial Organization</w:t>
      </w:r>
      <w:r w:rsidR="007E7935" w:rsidRPr="00AC1EFE">
        <w:rPr>
          <w:iCs/>
          <w:lang w:val="en-US"/>
        </w:rPr>
        <w:t>,</w:t>
      </w:r>
      <w:r w:rsidRPr="00AC1EFE">
        <w:rPr>
          <w:lang w:val="en-US"/>
        </w:rPr>
        <w:t xml:space="preserve"> 26(6): 655-667.</w:t>
      </w:r>
    </w:p>
    <w:p w14:paraId="45F7A19D" w14:textId="77777777" w:rsidR="00292782" w:rsidRPr="00AC1EFE" w:rsidRDefault="00292782" w:rsidP="00292782">
      <w:pPr>
        <w:ind w:left="426" w:hanging="426"/>
        <w:rPr>
          <w:color w:val="222222"/>
          <w:lang w:val="en-US"/>
        </w:rPr>
      </w:pPr>
      <w:r w:rsidRPr="00AC1EFE">
        <w:rPr>
          <w:color w:val="222222"/>
          <w:lang w:val="en-US"/>
        </w:rPr>
        <w:t xml:space="preserve">Bilotkach, V., Gaggero, A., and Piga, C.A. (2014). “Airline Pricing under Different Market Conditions: evidence from European Low Cost Carriers”. </w:t>
      </w:r>
      <w:r w:rsidRPr="00AC1EFE">
        <w:rPr>
          <w:i/>
          <w:iCs/>
          <w:color w:val="222222"/>
          <w:lang w:val="en-US"/>
        </w:rPr>
        <w:t>Tourism Management</w:t>
      </w:r>
      <w:r w:rsidRPr="00AC1EFE">
        <w:rPr>
          <w:iCs/>
          <w:color w:val="222222"/>
          <w:lang w:val="en-US"/>
        </w:rPr>
        <w:t>,</w:t>
      </w:r>
      <w:r w:rsidRPr="00AC1EFE">
        <w:rPr>
          <w:color w:val="222222"/>
          <w:lang w:val="en-US"/>
        </w:rPr>
        <w:t xml:space="preserve"> 47:152-163.</w:t>
      </w:r>
    </w:p>
    <w:p w14:paraId="45F7A19E" w14:textId="77777777" w:rsidR="00F37EF3" w:rsidRPr="00AC1EFE" w:rsidRDefault="00F37EF3" w:rsidP="00F37EF3">
      <w:pPr>
        <w:ind w:left="426" w:hanging="426"/>
        <w:rPr>
          <w:lang w:val="en-US"/>
        </w:rPr>
      </w:pPr>
      <w:r w:rsidRPr="00AC1EFE">
        <w:rPr>
          <w:lang w:val="en-US"/>
        </w:rPr>
        <w:t xml:space="preserve">Bilotkach, V., Gorodnichenko, Y. and Talavera O. </w:t>
      </w:r>
      <w:r w:rsidR="007E7935" w:rsidRPr="00AC1EFE">
        <w:rPr>
          <w:lang w:val="en-US"/>
        </w:rPr>
        <w:t>(</w:t>
      </w:r>
      <w:r w:rsidRPr="00AC1EFE">
        <w:rPr>
          <w:lang w:val="en-US"/>
        </w:rPr>
        <w:t>2010</w:t>
      </w:r>
      <w:r w:rsidR="007E7935" w:rsidRPr="00AC1EFE">
        <w:rPr>
          <w:lang w:val="en-US"/>
        </w:rPr>
        <w:t>)</w:t>
      </w:r>
      <w:r w:rsidRPr="00AC1EFE">
        <w:rPr>
          <w:lang w:val="en-US"/>
        </w:rPr>
        <w:t xml:space="preserve">. Are airlines’ price-setting strategies different </w:t>
      </w:r>
      <w:r w:rsidRPr="00AC1EFE">
        <w:rPr>
          <w:i/>
          <w:lang w:val="en-US"/>
        </w:rPr>
        <w:t>Journal of Air Transport Management</w:t>
      </w:r>
      <w:r w:rsidRPr="00AC1EFE">
        <w:rPr>
          <w:lang w:val="en-US"/>
        </w:rPr>
        <w:t>, 2010,1</w:t>
      </w:r>
      <w:r w:rsidR="007E7935" w:rsidRPr="00AC1EFE">
        <w:rPr>
          <w:lang w:val="en-US"/>
        </w:rPr>
        <w:t>-</w:t>
      </w:r>
      <w:r w:rsidRPr="00AC1EFE">
        <w:rPr>
          <w:lang w:val="en-US"/>
        </w:rPr>
        <w:t>6, 16</w:t>
      </w:r>
    </w:p>
    <w:p w14:paraId="45F7A19F" w14:textId="77777777" w:rsidR="00F37EF3" w:rsidRPr="00AC1EFE" w:rsidRDefault="00F37EF3" w:rsidP="00F37EF3">
      <w:pPr>
        <w:ind w:left="426" w:hanging="426"/>
      </w:pPr>
      <w:r w:rsidRPr="00AC1EFE">
        <w:t xml:space="preserve">Bolton L. E., Warlop L., and Alba J.W. </w:t>
      </w:r>
      <w:r w:rsidR="007E7935" w:rsidRPr="00AC1EFE">
        <w:t>(</w:t>
      </w:r>
      <w:r w:rsidRPr="00AC1EFE">
        <w:t>2003</w:t>
      </w:r>
      <w:r w:rsidR="007E7935" w:rsidRPr="00AC1EFE">
        <w:t>)</w:t>
      </w:r>
      <w:r w:rsidRPr="00AC1EFE">
        <w:t>. “Consumer Perceptions of Price (Un)Fairness.”</w:t>
      </w:r>
      <w:r w:rsidR="006E04E8">
        <w:t>,</w:t>
      </w:r>
      <w:r w:rsidRPr="00AC1EFE">
        <w:t xml:space="preserve"> </w:t>
      </w:r>
      <w:r w:rsidRPr="006E04E8">
        <w:rPr>
          <w:i/>
          <w:iCs/>
        </w:rPr>
        <w:t>Journal of Consumer Research</w:t>
      </w:r>
      <w:r w:rsidRPr="00AC1EFE">
        <w:t xml:space="preserve"> 29:474-491.</w:t>
      </w:r>
    </w:p>
    <w:p w14:paraId="45F7A1A0" w14:textId="77777777" w:rsidR="004171B3" w:rsidRPr="00AC1EFE" w:rsidRDefault="004171B3" w:rsidP="00F37EF3">
      <w:pPr>
        <w:ind w:left="426" w:hanging="426"/>
      </w:pPr>
      <w:r w:rsidRPr="00AC1EFE">
        <w:t xml:space="preserve">Brynjolfsson, E. and Smith, MD. </w:t>
      </w:r>
      <w:r w:rsidR="007E7935" w:rsidRPr="00AC1EFE">
        <w:t>(</w:t>
      </w:r>
      <w:r w:rsidRPr="00AC1EFE">
        <w:t>2000</w:t>
      </w:r>
      <w:r w:rsidR="007E7935" w:rsidRPr="00AC1EFE">
        <w:t>)</w:t>
      </w:r>
      <w:r w:rsidRPr="00AC1EFE">
        <w:t xml:space="preserve">. “Frictionless Commerce? A comparison of Internet and conventional retailers”, </w:t>
      </w:r>
      <w:r w:rsidR="00E621C9" w:rsidRPr="00AC1EFE">
        <w:rPr>
          <w:i/>
        </w:rPr>
        <w:t>Management Science</w:t>
      </w:r>
      <w:r w:rsidR="00752388" w:rsidRPr="00AC1EFE">
        <w:t xml:space="preserve">, 46(4):563—58As Figure 5 </w:t>
      </w:r>
    </w:p>
    <w:p w14:paraId="45F7A1A1" w14:textId="77777777" w:rsidR="00F37EF3" w:rsidRPr="00AC1EFE" w:rsidRDefault="00F37EF3" w:rsidP="00F37EF3">
      <w:pPr>
        <w:ind w:left="426" w:hanging="426"/>
        <w:rPr>
          <w:color w:val="222222"/>
          <w:lang w:val="en-US"/>
        </w:rPr>
      </w:pPr>
      <w:r w:rsidRPr="00AC1EFE">
        <w:rPr>
          <w:color w:val="222222"/>
          <w:lang w:val="en-US"/>
        </w:rPr>
        <w:t xml:space="preserve">Chen, C. C., &amp; Schwartz, Z. </w:t>
      </w:r>
      <w:r w:rsidR="007E7935" w:rsidRPr="00AC1EFE">
        <w:rPr>
          <w:color w:val="222222"/>
          <w:lang w:val="en-US"/>
        </w:rPr>
        <w:t>(</w:t>
      </w:r>
      <w:r w:rsidRPr="00AC1EFE">
        <w:rPr>
          <w:color w:val="222222"/>
          <w:lang w:val="en-US"/>
        </w:rPr>
        <w:t>2008</w:t>
      </w:r>
      <w:r w:rsidR="007E7935" w:rsidRPr="00AC1EFE">
        <w:rPr>
          <w:color w:val="222222"/>
          <w:lang w:val="en-US"/>
        </w:rPr>
        <w:t>)</w:t>
      </w:r>
      <w:r w:rsidRPr="00AC1EFE">
        <w:rPr>
          <w:color w:val="222222"/>
          <w:lang w:val="en-US"/>
        </w:rPr>
        <w:t xml:space="preserve">. “Timing matters: </w:t>
      </w:r>
      <w:r w:rsidR="00DB71E1">
        <w:rPr>
          <w:color w:val="222222"/>
          <w:lang w:val="en-US"/>
        </w:rPr>
        <w:t>Traveller</w:t>
      </w:r>
      <w:r w:rsidRPr="00AC1EFE">
        <w:rPr>
          <w:color w:val="222222"/>
          <w:lang w:val="en-US"/>
        </w:rPr>
        <w:t xml:space="preserve">s' advanced-booking expectations and decisions”. </w:t>
      </w:r>
      <w:r w:rsidRPr="00AC1EFE">
        <w:rPr>
          <w:i/>
          <w:color w:val="222222"/>
          <w:lang w:val="en-US"/>
        </w:rPr>
        <w:t>Journal of Travel Research</w:t>
      </w:r>
      <w:r w:rsidRPr="00AC1EFE">
        <w:rPr>
          <w:color w:val="222222"/>
          <w:lang w:val="en-US"/>
        </w:rPr>
        <w:t>, 47(1), 35-42.</w:t>
      </w:r>
    </w:p>
    <w:p w14:paraId="45F7A1A2" w14:textId="77777777" w:rsidR="00F37EF3" w:rsidRPr="00AC1EFE" w:rsidRDefault="00F37EF3" w:rsidP="00F37EF3">
      <w:pPr>
        <w:ind w:left="426" w:hanging="426"/>
        <w:rPr>
          <w:color w:val="222222"/>
          <w:lang w:val="en-US"/>
        </w:rPr>
      </w:pPr>
      <w:r w:rsidRPr="00445DD5">
        <w:rPr>
          <w:color w:val="222222"/>
          <w:lang w:val="en-US"/>
        </w:rPr>
        <w:t xml:space="preserve">Choi, S., Mattila, A.S. </w:t>
      </w:r>
      <w:r w:rsidR="007E7935" w:rsidRPr="00445DD5">
        <w:rPr>
          <w:color w:val="222222"/>
          <w:lang w:val="en-US"/>
        </w:rPr>
        <w:t>(</w:t>
      </w:r>
      <w:r w:rsidRPr="00445DD5">
        <w:rPr>
          <w:color w:val="222222"/>
          <w:lang w:val="en-US"/>
        </w:rPr>
        <w:t>2004</w:t>
      </w:r>
      <w:r w:rsidR="007E7935" w:rsidRPr="00445DD5">
        <w:rPr>
          <w:color w:val="222222"/>
          <w:lang w:val="en-US"/>
        </w:rPr>
        <w:t>)</w:t>
      </w:r>
      <w:r w:rsidRPr="00445DD5">
        <w:rPr>
          <w:color w:val="222222"/>
          <w:lang w:val="en-US"/>
        </w:rPr>
        <w:t xml:space="preserve">. </w:t>
      </w:r>
      <w:r w:rsidRPr="00AC1EFE">
        <w:rPr>
          <w:color w:val="222222"/>
          <w:lang w:val="en-US"/>
        </w:rPr>
        <w:t xml:space="preserve">“Hotel revenue management and its impact on customers' perceptions of fairness.” </w:t>
      </w:r>
      <w:r w:rsidRPr="00AC1EFE">
        <w:rPr>
          <w:i/>
          <w:iCs/>
          <w:color w:val="222222"/>
          <w:lang w:val="en-US"/>
        </w:rPr>
        <w:t>Journal of Revenue and Pricing Management</w:t>
      </w:r>
      <w:r w:rsidR="00692435" w:rsidRPr="00AC1EFE">
        <w:rPr>
          <w:iCs/>
          <w:color w:val="222222"/>
          <w:lang w:val="en-US"/>
        </w:rPr>
        <w:t>,</w:t>
      </w:r>
      <w:r w:rsidRPr="00AC1EFE">
        <w:rPr>
          <w:color w:val="222222"/>
          <w:lang w:val="en-US"/>
        </w:rPr>
        <w:t xml:space="preserve"> 2(4): 303-314.</w:t>
      </w:r>
    </w:p>
    <w:p w14:paraId="45F7A1A3" w14:textId="77777777" w:rsidR="00046446" w:rsidRPr="0019200F" w:rsidRDefault="00046446" w:rsidP="00046446">
      <w:pPr>
        <w:ind w:left="426" w:hanging="426"/>
        <w:rPr>
          <w:color w:val="FF0000"/>
          <w:lang w:val="en-US"/>
        </w:rPr>
      </w:pPr>
      <w:r w:rsidRPr="00046446">
        <w:rPr>
          <w:lang w:val="en-US"/>
        </w:rPr>
        <w:t xml:space="preserve">Crouch, G. I. (2011). Destination competitiveness: An analysis of determinant attributes. </w:t>
      </w:r>
      <w:r w:rsidRPr="00AF540D">
        <w:rPr>
          <w:i/>
          <w:lang w:val="en-US"/>
        </w:rPr>
        <w:t>Journal of Travel Research</w:t>
      </w:r>
      <w:r w:rsidRPr="00046446">
        <w:rPr>
          <w:lang w:val="en-US"/>
        </w:rPr>
        <w:t>, 50(1), 27-45</w:t>
      </w:r>
      <w:r w:rsidRPr="0019200F">
        <w:rPr>
          <w:color w:val="FF0000"/>
          <w:lang w:val="en-US"/>
        </w:rPr>
        <w:t>.</w:t>
      </w:r>
    </w:p>
    <w:p w14:paraId="45F7A1A4" w14:textId="77777777" w:rsidR="00432B01" w:rsidRPr="00AC1EFE" w:rsidRDefault="009C3A86" w:rsidP="00F37EF3">
      <w:pPr>
        <w:ind w:left="426" w:hanging="426"/>
        <w:rPr>
          <w:color w:val="222222"/>
          <w:lang w:val="en-US"/>
        </w:rPr>
      </w:pPr>
      <w:r w:rsidRPr="00AC1EFE">
        <w:rPr>
          <w:color w:val="222222"/>
          <w:lang w:val="en-US"/>
        </w:rPr>
        <w:t xml:space="preserve">Dana Jr, J. D. (1999). “Equilibrium price dispersion under demand uncertainty: the roles of costly capacity and market structure”. </w:t>
      </w:r>
      <w:r w:rsidRPr="00AC1EFE">
        <w:rPr>
          <w:i/>
          <w:color w:val="222222"/>
          <w:lang w:val="en-US"/>
        </w:rPr>
        <w:t>Rand Journal of Economics</w:t>
      </w:r>
      <w:r w:rsidRPr="00AC1EFE">
        <w:rPr>
          <w:color w:val="222222"/>
          <w:lang w:val="en-US"/>
        </w:rPr>
        <w:t>, 30(3), 632-660.</w:t>
      </w:r>
    </w:p>
    <w:p w14:paraId="45F7A1A5" w14:textId="77777777" w:rsidR="00F37EF3" w:rsidRDefault="00F37EF3" w:rsidP="00F37EF3">
      <w:pPr>
        <w:ind w:left="426" w:hanging="426"/>
        <w:rPr>
          <w:color w:val="222222"/>
          <w:lang w:val="en-US"/>
        </w:rPr>
      </w:pPr>
      <w:r w:rsidRPr="00AC1EFE">
        <w:rPr>
          <w:color w:val="222222"/>
          <w:lang w:val="en-US"/>
        </w:rPr>
        <w:lastRenderedPageBreak/>
        <w:t xml:space="preserve">Dolnicar S., Ring A. </w:t>
      </w:r>
      <w:r w:rsidR="007E7935" w:rsidRPr="00AC1EFE">
        <w:rPr>
          <w:color w:val="222222"/>
          <w:lang w:val="en-US"/>
        </w:rPr>
        <w:t>(</w:t>
      </w:r>
      <w:r w:rsidRPr="00AC1EFE">
        <w:rPr>
          <w:color w:val="222222"/>
          <w:lang w:val="en-US"/>
        </w:rPr>
        <w:t>2014</w:t>
      </w:r>
      <w:r w:rsidR="007E7935" w:rsidRPr="00AC1EFE">
        <w:rPr>
          <w:color w:val="222222"/>
          <w:lang w:val="en-US"/>
        </w:rPr>
        <w:t>)</w:t>
      </w:r>
      <w:r w:rsidRPr="00AC1EFE">
        <w:rPr>
          <w:color w:val="222222"/>
          <w:lang w:val="en-US"/>
        </w:rPr>
        <w:t>. “Tourism marketing res</w:t>
      </w:r>
      <w:r w:rsidR="00692435" w:rsidRPr="00AC1EFE">
        <w:rPr>
          <w:color w:val="222222"/>
          <w:lang w:val="en-US"/>
        </w:rPr>
        <w:t>earch: Past, present and future</w:t>
      </w:r>
      <w:r w:rsidRPr="00AC1EFE">
        <w:rPr>
          <w:color w:val="222222"/>
          <w:lang w:val="en-US"/>
        </w:rPr>
        <w:t>”</w:t>
      </w:r>
      <w:r w:rsidR="00692435" w:rsidRPr="00AC1EFE">
        <w:rPr>
          <w:color w:val="222222"/>
          <w:lang w:val="en-US"/>
        </w:rPr>
        <w:t>.</w:t>
      </w:r>
      <w:r w:rsidRPr="00AC1EFE">
        <w:rPr>
          <w:color w:val="222222"/>
          <w:lang w:val="en-US"/>
        </w:rPr>
        <w:t xml:space="preserve"> </w:t>
      </w:r>
      <w:r w:rsidRPr="00AC1EFE">
        <w:rPr>
          <w:i/>
          <w:iCs/>
          <w:color w:val="222222"/>
          <w:lang w:val="en-US"/>
        </w:rPr>
        <w:t>Annals of Tourism Research</w:t>
      </w:r>
      <w:r w:rsidR="00692435" w:rsidRPr="00AC1EFE">
        <w:rPr>
          <w:color w:val="222222"/>
          <w:lang w:val="en-US"/>
        </w:rPr>
        <w:t>,</w:t>
      </w:r>
      <w:r w:rsidRPr="00AC1EFE">
        <w:rPr>
          <w:color w:val="222222"/>
          <w:lang w:val="en-US"/>
        </w:rPr>
        <w:t xml:space="preserve"> 47:31-47.</w:t>
      </w:r>
    </w:p>
    <w:p w14:paraId="45F7A1A7" w14:textId="77777777" w:rsidR="00F37EF3" w:rsidRPr="00AC1EFE" w:rsidRDefault="00F37EF3" w:rsidP="00F37EF3">
      <w:pPr>
        <w:ind w:left="426" w:hanging="426"/>
      </w:pPr>
      <w:r w:rsidRPr="00AC1EFE">
        <w:t xml:space="preserve">Ferguson JL. </w:t>
      </w:r>
      <w:r w:rsidR="007E7935" w:rsidRPr="00AC1EFE">
        <w:t>(</w:t>
      </w:r>
      <w:r w:rsidRPr="00AC1EFE">
        <w:t>2014</w:t>
      </w:r>
      <w:r w:rsidR="007E7935" w:rsidRPr="00AC1EFE">
        <w:t>)</w:t>
      </w:r>
      <w:r w:rsidRPr="00AC1EFE">
        <w:t xml:space="preserve">. “Implementing price increases in turbulent economies: Pricing approaches for reducing </w:t>
      </w:r>
      <w:r w:rsidR="00692435" w:rsidRPr="00AC1EFE">
        <w:t>perceptions of price unfairness</w:t>
      </w:r>
      <w:r w:rsidRPr="00AC1EFE">
        <w:t>”</w:t>
      </w:r>
      <w:r w:rsidR="00692435" w:rsidRPr="00AC1EFE">
        <w:t>.</w:t>
      </w:r>
      <w:r w:rsidRPr="00AC1EFE">
        <w:t xml:space="preserve"> </w:t>
      </w:r>
      <w:r w:rsidRPr="00AC1EFE">
        <w:rPr>
          <w:i/>
          <w:iCs/>
        </w:rPr>
        <w:t>Journal of Business Research</w:t>
      </w:r>
      <w:r w:rsidR="00692435" w:rsidRPr="00AC1EFE">
        <w:rPr>
          <w:iCs/>
        </w:rPr>
        <w:t>,</w:t>
      </w:r>
      <w:r w:rsidRPr="00AC1EFE">
        <w:t xml:space="preserve"> 67(1): 2732-2737.</w:t>
      </w:r>
    </w:p>
    <w:p w14:paraId="45F7A1A8" w14:textId="77777777" w:rsidR="00F37EF3" w:rsidRPr="00AC1EFE" w:rsidRDefault="00F37EF3" w:rsidP="00F37EF3">
      <w:pPr>
        <w:ind w:left="426" w:hanging="426"/>
        <w:rPr>
          <w:lang w:val="en-US"/>
        </w:rPr>
      </w:pPr>
      <w:r w:rsidRPr="00AC1EFE">
        <w:rPr>
          <w:lang w:val="en-US"/>
        </w:rPr>
        <w:t xml:space="preserve">Fleischer A. </w:t>
      </w:r>
      <w:r w:rsidR="007E7935" w:rsidRPr="00AC1EFE">
        <w:rPr>
          <w:lang w:val="en-US"/>
        </w:rPr>
        <w:t>(</w:t>
      </w:r>
      <w:r w:rsidRPr="00AC1EFE">
        <w:rPr>
          <w:lang w:val="en-US"/>
        </w:rPr>
        <w:t>2012</w:t>
      </w:r>
      <w:r w:rsidR="007E7935" w:rsidRPr="00AC1EFE">
        <w:rPr>
          <w:lang w:val="en-US"/>
        </w:rPr>
        <w:t>)</w:t>
      </w:r>
      <w:r w:rsidRPr="00AC1EFE">
        <w:rPr>
          <w:lang w:val="en-US"/>
        </w:rPr>
        <w:t xml:space="preserve">. “A room with a view—A valuation of the Mediterranean Sea view.” </w:t>
      </w:r>
      <w:r w:rsidRPr="00AC1EFE">
        <w:rPr>
          <w:i/>
          <w:iCs/>
          <w:lang w:val="en-US"/>
        </w:rPr>
        <w:t>Tourism Management</w:t>
      </w:r>
      <w:r w:rsidR="00692435" w:rsidRPr="00AC1EFE">
        <w:rPr>
          <w:iCs/>
          <w:lang w:val="en-US"/>
        </w:rPr>
        <w:t>,</w:t>
      </w:r>
      <w:r w:rsidRPr="00AC1EFE">
        <w:rPr>
          <w:lang w:val="en-US"/>
        </w:rPr>
        <w:t xml:space="preserve"> 33(3): 598-602.</w:t>
      </w:r>
    </w:p>
    <w:p w14:paraId="45F7A1AA" w14:textId="77777777" w:rsidR="00AC1EFE" w:rsidRPr="00AC1EFE" w:rsidRDefault="00AC1EFE" w:rsidP="00F37EF3">
      <w:pPr>
        <w:ind w:left="426" w:hanging="426"/>
        <w:rPr>
          <w:lang w:val="en-US"/>
        </w:rPr>
      </w:pPr>
      <w:r w:rsidRPr="00AC1EFE">
        <w:rPr>
          <w:lang w:val="en-US"/>
        </w:rPr>
        <w:t xml:space="preserve">GBTA (2014). </w:t>
      </w:r>
      <w:r w:rsidR="00F13B3F">
        <w:rPr>
          <w:i/>
          <w:lang w:val="en-US"/>
        </w:rPr>
        <w:t>Dynamic Hotel Pricing – Has its Time come?</w:t>
      </w:r>
      <w:r w:rsidRPr="00AC1EFE">
        <w:rPr>
          <w:lang w:val="en-US"/>
        </w:rPr>
        <w:t xml:space="preserve">, available at </w:t>
      </w:r>
      <w:hyperlink r:id="rId9" w:history="1">
        <w:r w:rsidRPr="00AC1EFE">
          <w:rPr>
            <w:rStyle w:val="Hyperlink"/>
            <w:lang w:val="en-US"/>
          </w:rPr>
          <w:t>http://www.gbta.org/pressreleases/pages/rls_100114.aspx</w:t>
        </w:r>
      </w:hyperlink>
    </w:p>
    <w:p w14:paraId="45F7A1AB" w14:textId="77777777" w:rsidR="00F37EF3" w:rsidRDefault="00F37EF3" w:rsidP="00F37EF3">
      <w:pPr>
        <w:ind w:left="426" w:hanging="426"/>
        <w:rPr>
          <w:lang w:val="en-US"/>
        </w:rPr>
      </w:pPr>
      <w:r w:rsidRPr="00AC1EFE">
        <w:rPr>
          <w:lang w:val="en-US"/>
        </w:rPr>
        <w:t xml:space="preserve">Heo C.Y., Lee S. </w:t>
      </w:r>
      <w:r w:rsidR="00692435" w:rsidRPr="00AC1EFE">
        <w:rPr>
          <w:lang w:val="en-US"/>
        </w:rPr>
        <w:t>(</w:t>
      </w:r>
      <w:r w:rsidRPr="00AC1EFE">
        <w:rPr>
          <w:lang w:val="en-US"/>
        </w:rPr>
        <w:t>2011</w:t>
      </w:r>
      <w:r w:rsidR="00692435" w:rsidRPr="00AC1EFE">
        <w:rPr>
          <w:lang w:val="en-US"/>
        </w:rPr>
        <w:t>)</w:t>
      </w:r>
      <w:r w:rsidRPr="00AC1EFE">
        <w:rPr>
          <w:lang w:val="en-US"/>
        </w:rPr>
        <w:t xml:space="preserve">. “Influences of consumer characteristics on fairness perceptions of revenue management pricing in the hotel industry.” </w:t>
      </w:r>
      <w:r w:rsidRPr="00AC1EFE">
        <w:rPr>
          <w:i/>
          <w:iCs/>
          <w:lang w:val="en-US"/>
        </w:rPr>
        <w:t>International Journal of Hospitality Management</w:t>
      </w:r>
      <w:r w:rsidR="00692435" w:rsidRPr="00AC1EFE">
        <w:rPr>
          <w:iCs/>
          <w:lang w:val="en-US"/>
        </w:rPr>
        <w:t>,</w:t>
      </w:r>
      <w:r w:rsidRPr="00AC1EFE">
        <w:rPr>
          <w:lang w:val="en-US"/>
        </w:rPr>
        <w:t xml:space="preserve"> 30:243–251.</w:t>
      </w:r>
    </w:p>
    <w:p w14:paraId="45F7A1AD" w14:textId="77777777" w:rsidR="00F37EF3" w:rsidRPr="00AC1EFE" w:rsidRDefault="00F37EF3" w:rsidP="00F37EF3">
      <w:pPr>
        <w:ind w:left="426" w:hanging="426"/>
        <w:rPr>
          <w:lang w:val="en-US"/>
        </w:rPr>
      </w:pPr>
      <w:r w:rsidRPr="00AC1EFE">
        <w:rPr>
          <w:lang w:val="en-US"/>
        </w:rPr>
        <w:t>Kimes S.</w:t>
      </w:r>
      <w:r w:rsidR="0071075C">
        <w:rPr>
          <w:lang w:val="en-US"/>
        </w:rPr>
        <w:t xml:space="preserve"> </w:t>
      </w:r>
      <w:r w:rsidRPr="00AC1EFE">
        <w:rPr>
          <w:lang w:val="en-US"/>
        </w:rPr>
        <w:t>E</w:t>
      </w:r>
      <w:r w:rsidRPr="00AC1EFE">
        <w:rPr>
          <w:iCs/>
          <w:lang w:val="en-US"/>
        </w:rPr>
        <w:t>.</w:t>
      </w:r>
      <w:r w:rsidRPr="00AC1EFE">
        <w:rPr>
          <w:lang w:val="en-US"/>
        </w:rPr>
        <w:t xml:space="preserve"> </w:t>
      </w:r>
      <w:r w:rsidR="005E4927" w:rsidRPr="00AC1EFE">
        <w:rPr>
          <w:lang w:val="en-US"/>
        </w:rPr>
        <w:t>(</w:t>
      </w:r>
      <w:r w:rsidRPr="00AC1EFE">
        <w:rPr>
          <w:lang w:val="en-US"/>
        </w:rPr>
        <w:t>1989</w:t>
      </w:r>
      <w:r w:rsidR="005E4927" w:rsidRPr="00AC1EFE">
        <w:rPr>
          <w:lang w:val="en-US"/>
        </w:rPr>
        <w:t>)</w:t>
      </w:r>
      <w:r w:rsidRPr="00AC1EFE">
        <w:rPr>
          <w:lang w:val="en-US"/>
        </w:rPr>
        <w:t>.</w:t>
      </w:r>
      <w:r w:rsidRPr="00AC1EFE">
        <w:rPr>
          <w:iCs/>
          <w:lang w:val="en-US"/>
        </w:rPr>
        <w:t xml:space="preserve"> “</w:t>
      </w:r>
      <w:r w:rsidR="00692435" w:rsidRPr="00AC1EFE">
        <w:rPr>
          <w:lang w:val="en-US"/>
        </w:rPr>
        <w:t>The Basics of Yield Management</w:t>
      </w:r>
      <w:r w:rsidRPr="00AC1EFE">
        <w:rPr>
          <w:lang w:val="en-US"/>
        </w:rPr>
        <w:t>”</w:t>
      </w:r>
      <w:r w:rsidR="00692435" w:rsidRPr="00AC1EFE">
        <w:rPr>
          <w:lang w:val="en-US"/>
        </w:rPr>
        <w:t>.</w:t>
      </w:r>
      <w:r w:rsidRPr="00AC1EFE">
        <w:rPr>
          <w:lang w:val="en-US"/>
        </w:rPr>
        <w:t xml:space="preserve"> </w:t>
      </w:r>
      <w:r w:rsidRPr="00AC1EFE">
        <w:rPr>
          <w:i/>
          <w:iCs/>
          <w:lang w:val="en-US"/>
        </w:rPr>
        <w:t>The Cornell Hotel and Restaurant Administration Quarterly</w:t>
      </w:r>
      <w:r w:rsidRPr="00AC1EFE">
        <w:rPr>
          <w:lang w:val="en-US"/>
        </w:rPr>
        <w:t xml:space="preserve"> 30(6): 14-19.</w:t>
      </w:r>
    </w:p>
    <w:p w14:paraId="45F7A1AE" w14:textId="77777777" w:rsidR="00114149" w:rsidRPr="00AC1EFE" w:rsidRDefault="00114149" w:rsidP="00F37EF3">
      <w:pPr>
        <w:ind w:left="426" w:hanging="426"/>
        <w:rPr>
          <w:lang w:val="en-US"/>
        </w:rPr>
      </w:pPr>
      <w:r w:rsidRPr="00AC1EFE">
        <w:rPr>
          <w:lang w:val="en-US"/>
        </w:rPr>
        <w:t xml:space="preserve">Kimes, S. E. (2002). Perceived fairness of yield management. </w:t>
      </w:r>
      <w:r w:rsidRPr="00AC1EFE">
        <w:rPr>
          <w:i/>
          <w:lang w:val="en-US"/>
        </w:rPr>
        <w:t>Cornell Hospitality Quarterly</w:t>
      </w:r>
      <w:r w:rsidRPr="00AC1EFE">
        <w:rPr>
          <w:lang w:val="en-US"/>
        </w:rPr>
        <w:t>, 43(1), 21.</w:t>
      </w:r>
    </w:p>
    <w:p w14:paraId="45F7A1B0" w14:textId="77777777" w:rsidR="00A72E1B" w:rsidRDefault="00A72E1B" w:rsidP="00F37EF3">
      <w:pPr>
        <w:ind w:left="426" w:hanging="426"/>
        <w:rPr>
          <w:lang w:val="en-US"/>
        </w:rPr>
      </w:pPr>
      <w:r w:rsidRPr="00445DD5">
        <w:rPr>
          <w:lang w:val="en-US"/>
        </w:rPr>
        <w:t xml:space="preserve">Kotler, P., Burton, S., Deans, K., Brown, L., and Armstrong, G. (2015). </w:t>
      </w:r>
      <w:r w:rsidRPr="00445DD5">
        <w:rPr>
          <w:i/>
          <w:lang w:val="en-US"/>
        </w:rPr>
        <w:t>Marketing</w:t>
      </w:r>
      <w:r w:rsidRPr="00445DD5">
        <w:rPr>
          <w:lang w:val="en-US"/>
        </w:rPr>
        <w:t>. Pearson Higher Education, AU.</w:t>
      </w:r>
    </w:p>
    <w:p w14:paraId="45F7A1B1" w14:textId="77777777" w:rsidR="00FA7B64" w:rsidRDefault="00FA7B64" w:rsidP="00F37EF3">
      <w:pPr>
        <w:ind w:left="426" w:hanging="426"/>
        <w:rPr>
          <w:lang w:val="en-US"/>
        </w:rPr>
      </w:pPr>
      <w:r w:rsidRPr="00FA7B64">
        <w:rPr>
          <w:lang w:val="en-US"/>
        </w:rPr>
        <w:t xml:space="preserve">Israeli, A. A. (2002). Star rating and corporate affiliation: their influence on room price and performance of hotels in Israel. </w:t>
      </w:r>
      <w:r w:rsidRPr="00056E4A">
        <w:rPr>
          <w:i/>
          <w:lang w:val="en-US"/>
        </w:rPr>
        <w:t>International Journal of Hospitality Management</w:t>
      </w:r>
      <w:r w:rsidRPr="00FA7B64">
        <w:rPr>
          <w:lang w:val="en-US"/>
        </w:rPr>
        <w:t>, 21(4), 405-424.</w:t>
      </w:r>
    </w:p>
    <w:p w14:paraId="45F7A1B3" w14:textId="77777777" w:rsidR="00F37EF3" w:rsidRPr="00AC1EFE" w:rsidRDefault="00F37EF3" w:rsidP="00F37EF3">
      <w:pPr>
        <w:ind w:left="426" w:hanging="426"/>
        <w:rPr>
          <w:lang w:val="en-US"/>
        </w:rPr>
      </w:pPr>
      <w:r w:rsidRPr="00AC1EFE">
        <w:rPr>
          <w:lang w:val="en-US"/>
        </w:rPr>
        <w:t xml:space="preserve">Leung, D., Law, R., Van Hoof, H., and Buhalis, D. </w:t>
      </w:r>
      <w:r w:rsidR="00692435" w:rsidRPr="00AC1EFE">
        <w:rPr>
          <w:lang w:val="en-US"/>
        </w:rPr>
        <w:t>(</w:t>
      </w:r>
      <w:r w:rsidRPr="00AC1EFE">
        <w:rPr>
          <w:lang w:val="en-US"/>
        </w:rPr>
        <w:t>2013</w:t>
      </w:r>
      <w:r w:rsidR="00692435" w:rsidRPr="00AC1EFE">
        <w:rPr>
          <w:lang w:val="en-US"/>
        </w:rPr>
        <w:t>)</w:t>
      </w:r>
      <w:r w:rsidRPr="00AC1EFE">
        <w:rPr>
          <w:lang w:val="en-US"/>
        </w:rPr>
        <w:t>. “Social media in tourism and h</w:t>
      </w:r>
      <w:r w:rsidR="00692435" w:rsidRPr="00AC1EFE">
        <w:rPr>
          <w:lang w:val="en-US"/>
        </w:rPr>
        <w:t>ospitality: A literature review</w:t>
      </w:r>
      <w:r w:rsidRPr="00AC1EFE">
        <w:rPr>
          <w:lang w:val="en-US"/>
        </w:rPr>
        <w:t>”</w:t>
      </w:r>
      <w:r w:rsidR="00692435" w:rsidRPr="00AC1EFE">
        <w:rPr>
          <w:lang w:val="en-US"/>
        </w:rPr>
        <w:t>.</w:t>
      </w:r>
      <w:r w:rsidRPr="00AC1EFE">
        <w:rPr>
          <w:lang w:val="en-US"/>
        </w:rPr>
        <w:t xml:space="preserve"> </w:t>
      </w:r>
      <w:r w:rsidRPr="00AC1EFE">
        <w:rPr>
          <w:i/>
          <w:lang w:val="en-US"/>
        </w:rPr>
        <w:t>Journal of Travel &amp; Tourism Marketing</w:t>
      </w:r>
      <w:r w:rsidR="00692435" w:rsidRPr="00AC1EFE">
        <w:rPr>
          <w:lang w:val="en-US"/>
        </w:rPr>
        <w:t>,</w:t>
      </w:r>
      <w:r w:rsidRPr="00AC1EFE">
        <w:rPr>
          <w:lang w:val="en-US"/>
        </w:rPr>
        <w:t xml:space="preserve"> 30(1-2): 3-22.</w:t>
      </w:r>
    </w:p>
    <w:p w14:paraId="45F7A1B4" w14:textId="77777777" w:rsidR="00624EA5" w:rsidRDefault="00624EA5" w:rsidP="00F37EF3">
      <w:pPr>
        <w:ind w:left="426" w:hanging="426"/>
        <w:rPr>
          <w:lang w:val="en-US"/>
        </w:rPr>
      </w:pPr>
      <w:r w:rsidRPr="00AC1EFE">
        <w:rPr>
          <w:lang w:val="en-US"/>
        </w:rPr>
        <w:t xml:space="preserve">Li, J., Granados, N. and Netessine, S. </w:t>
      </w:r>
      <w:r w:rsidR="00692435" w:rsidRPr="00AC1EFE">
        <w:rPr>
          <w:lang w:val="en-US"/>
        </w:rPr>
        <w:t>(</w:t>
      </w:r>
      <w:r w:rsidRPr="00AC1EFE">
        <w:rPr>
          <w:lang w:val="en-US"/>
        </w:rPr>
        <w:t>2014</w:t>
      </w:r>
      <w:r w:rsidR="00692435" w:rsidRPr="00AC1EFE">
        <w:rPr>
          <w:lang w:val="en-US"/>
        </w:rPr>
        <w:t>)</w:t>
      </w:r>
      <w:r w:rsidRPr="00AC1EFE">
        <w:rPr>
          <w:lang w:val="en-US"/>
        </w:rPr>
        <w:t xml:space="preserve">. “Are Consumers Strategic? Structural Estimation from the Air-Travel Industry”, </w:t>
      </w:r>
      <w:r w:rsidRPr="00AC1EFE">
        <w:rPr>
          <w:i/>
          <w:lang w:val="en-US"/>
        </w:rPr>
        <w:t>Management Science</w:t>
      </w:r>
      <w:r w:rsidRPr="00AC1EFE">
        <w:rPr>
          <w:lang w:val="en-US"/>
        </w:rPr>
        <w:t>, 60: 2114-2137</w:t>
      </w:r>
      <w:r w:rsidR="003F3175">
        <w:rPr>
          <w:lang w:val="en-US"/>
        </w:rPr>
        <w:t>.</w:t>
      </w:r>
    </w:p>
    <w:p w14:paraId="45F7A1B6" w14:textId="77777777" w:rsidR="00F37EF3" w:rsidRPr="00A72E1B" w:rsidRDefault="00F37EF3" w:rsidP="00F37EF3">
      <w:pPr>
        <w:ind w:left="426" w:hanging="426"/>
        <w:rPr>
          <w:lang w:val="en-US"/>
        </w:rPr>
      </w:pPr>
      <w:r w:rsidRPr="00A72E1B">
        <w:rPr>
          <w:lang w:val="en-US"/>
        </w:rPr>
        <w:t xml:space="preserve">Mauri A.G. </w:t>
      </w:r>
      <w:r w:rsidR="00692435" w:rsidRPr="00A72E1B">
        <w:rPr>
          <w:lang w:val="en-US"/>
        </w:rPr>
        <w:t>(</w:t>
      </w:r>
      <w:r w:rsidRPr="00A72E1B">
        <w:rPr>
          <w:lang w:val="en-US"/>
        </w:rPr>
        <w:t>2012</w:t>
      </w:r>
      <w:r w:rsidR="00692435" w:rsidRPr="00A72E1B">
        <w:rPr>
          <w:lang w:val="en-US"/>
        </w:rPr>
        <w:t>)</w:t>
      </w:r>
      <w:r w:rsidRPr="00A72E1B">
        <w:rPr>
          <w:lang w:val="en-US"/>
        </w:rPr>
        <w:t xml:space="preserve">. </w:t>
      </w:r>
      <w:r w:rsidRPr="00A72E1B">
        <w:rPr>
          <w:i/>
          <w:lang w:val="en-US"/>
        </w:rPr>
        <w:t>Hotel Revenue Management. Principles and Practices</w:t>
      </w:r>
      <w:r w:rsidRPr="00A72E1B">
        <w:rPr>
          <w:lang w:val="en-US"/>
        </w:rPr>
        <w:t>. Pearson Italia.</w:t>
      </w:r>
    </w:p>
    <w:p w14:paraId="45F7A1B7" w14:textId="77777777" w:rsidR="00727E9D" w:rsidRDefault="00727E9D" w:rsidP="00055C99">
      <w:pPr>
        <w:ind w:left="426" w:hanging="426"/>
        <w:rPr>
          <w:lang w:val="en-US"/>
        </w:rPr>
      </w:pPr>
      <w:r w:rsidRPr="00445DD5">
        <w:rPr>
          <w:lang w:val="en-US"/>
        </w:rPr>
        <w:t>Nelson, P. (1970). “</w:t>
      </w:r>
      <w:r w:rsidRPr="00AC1EFE">
        <w:rPr>
          <w:lang w:val="en-US"/>
        </w:rPr>
        <w:t xml:space="preserve">Information and consumer behavior”. </w:t>
      </w:r>
      <w:r w:rsidR="006652A2">
        <w:rPr>
          <w:i/>
          <w:lang w:val="en-US"/>
        </w:rPr>
        <w:t>Journal of P</w:t>
      </w:r>
      <w:r w:rsidRPr="00AC1EFE">
        <w:rPr>
          <w:i/>
          <w:lang w:val="en-US"/>
        </w:rPr>
        <w:t xml:space="preserve">olitical </w:t>
      </w:r>
      <w:r w:rsidR="006652A2">
        <w:rPr>
          <w:i/>
          <w:lang w:val="en-US"/>
        </w:rPr>
        <w:t>E</w:t>
      </w:r>
      <w:r w:rsidRPr="00AC1EFE">
        <w:rPr>
          <w:i/>
          <w:lang w:val="en-US"/>
        </w:rPr>
        <w:t>conomy</w:t>
      </w:r>
      <w:r w:rsidRPr="00AC1EFE">
        <w:rPr>
          <w:lang w:val="en-US"/>
        </w:rPr>
        <w:t xml:space="preserve">, 78(2), 311-329. </w:t>
      </w:r>
    </w:p>
    <w:p w14:paraId="45F7A1B8" w14:textId="77777777" w:rsidR="008C4FF0" w:rsidRPr="00AF540D" w:rsidRDefault="008C4FF0" w:rsidP="00055C99">
      <w:pPr>
        <w:ind w:left="426" w:hanging="426"/>
        <w:rPr>
          <w:lang w:val="en-US"/>
        </w:rPr>
      </w:pPr>
      <w:r w:rsidRPr="00AF540D">
        <w:rPr>
          <w:lang w:val="en-US"/>
        </w:rPr>
        <w:t xml:space="preserve">Nieto-García, M., Muñoz-Gallego, P. A., &amp; González-Benito, Ó. (2017). Tourists’ willingness to pay for an accommodation: The effect of eWOM and internal reference price. </w:t>
      </w:r>
      <w:r w:rsidRPr="00AF540D">
        <w:rPr>
          <w:i/>
          <w:iCs/>
          <w:lang w:val="en-US"/>
        </w:rPr>
        <w:t>International Journal of Hospitality Management</w:t>
      </w:r>
      <w:r w:rsidRPr="00AF540D">
        <w:rPr>
          <w:lang w:val="en-US"/>
        </w:rPr>
        <w:t xml:space="preserve">, </w:t>
      </w:r>
      <w:r w:rsidRPr="00AF540D">
        <w:rPr>
          <w:i/>
          <w:iCs/>
          <w:lang w:val="en-US"/>
        </w:rPr>
        <w:t>62</w:t>
      </w:r>
      <w:r w:rsidRPr="00AF540D">
        <w:rPr>
          <w:lang w:val="en-US"/>
        </w:rPr>
        <w:t>, 67-77.</w:t>
      </w:r>
    </w:p>
    <w:p w14:paraId="45F7A1B9" w14:textId="77777777" w:rsidR="00432B01" w:rsidRPr="00AC1EFE" w:rsidRDefault="00432B01" w:rsidP="00055C99">
      <w:pPr>
        <w:ind w:left="426" w:hanging="426"/>
        <w:rPr>
          <w:lang w:val="en-US"/>
        </w:rPr>
      </w:pPr>
      <w:r w:rsidRPr="00AF540D">
        <w:rPr>
          <w:lang w:val="en-US"/>
        </w:rPr>
        <w:lastRenderedPageBreak/>
        <w:t xml:space="preserve">Noone, B. M., &amp; Mattila, A. S. (2009). </w:t>
      </w:r>
      <w:r w:rsidR="00692435" w:rsidRPr="00AF540D">
        <w:rPr>
          <w:lang w:val="en-US"/>
        </w:rPr>
        <w:t>“</w:t>
      </w:r>
      <w:r w:rsidRPr="00AF540D">
        <w:rPr>
          <w:lang w:val="en-US"/>
        </w:rPr>
        <w:t>Hotel revenue management and the Internet: The effect of price presentation</w:t>
      </w:r>
      <w:r w:rsidRPr="00AC1EFE">
        <w:rPr>
          <w:lang w:val="en-US"/>
        </w:rPr>
        <w:t xml:space="preserve"> strategies on customers’ willingness to book</w:t>
      </w:r>
      <w:r w:rsidR="00692435" w:rsidRPr="00AC1EFE">
        <w:rPr>
          <w:lang w:val="en-US"/>
        </w:rPr>
        <w:t>”</w:t>
      </w:r>
      <w:r w:rsidRPr="00AC1EFE">
        <w:rPr>
          <w:lang w:val="en-US"/>
        </w:rPr>
        <w:t xml:space="preserve">. </w:t>
      </w:r>
      <w:r w:rsidRPr="00AC1EFE">
        <w:rPr>
          <w:i/>
          <w:lang w:val="en-US"/>
        </w:rPr>
        <w:t>International Journal of Hospitality Management</w:t>
      </w:r>
      <w:r w:rsidRPr="00AC1EFE">
        <w:rPr>
          <w:lang w:val="en-US"/>
        </w:rPr>
        <w:t>, 28(2), 272-279.</w:t>
      </w:r>
    </w:p>
    <w:p w14:paraId="45F7A1BA" w14:textId="77777777" w:rsidR="00F37EF3" w:rsidRPr="00AC1EFE" w:rsidRDefault="00F37EF3" w:rsidP="00F37EF3">
      <w:pPr>
        <w:ind w:left="426" w:hanging="426"/>
        <w:rPr>
          <w:lang w:val="en-US"/>
        </w:rPr>
      </w:pPr>
      <w:r w:rsidRPr="00AC1EFE">
        <w:rPr>
          <w:lang w:val="en-US"/>
        </w:rPr>
        <w:t xml:space="preserve">Oliver, R.L., Swan, J.E. </w:t>
      </w:r>
      <w:r w:rsidR="00432B01" w:rsidRPr="00AC1EFE">
        <w:rPr>
          <w:lang w:val="en-US"/>
        </w:rPr>
        <w:t>(</w:t>
      </w:r>
      <w:r w:rsidRPr="00AC1EFE">
        <w:rPr>
          <w:lang w:val="en-US"/>
        </w:rPr>
        <w:t>1989</w:t>
      </w:r>
      <w:r w:rsidR="00432B01" w:rsidRPr="00AC1EFE">
        <w:rPr>
          <w:lang w:val="en-US"/>
        </w:rPr>
        <w:t>)</w:t>
      </w:r>
      <w:r w:rsidRPr="00AC1EFE">
        <w:rPr>
          <w:lang w:val="en-US"/>
        </w:rPr>
        <w:t>. “Consumer perceptions of interpersonal equity and satisfaction in transactions: a f</w:t>
      </w:r>
      <w:r w:rsidR="00692435" w:rsidRPr="00AC1EFE">
        <w:rPr>
          <w:lang w:val="en-US"/>
        </w:rPr>
        <w:t>ield survey approach</w:t>
      </w:r>
      <w:r w:rsidRPr="00AC1EFE">
        <w:rPr>
          <w:lang w:val="en-US"/>
        </w:rPr>
        <w:t>”</w:t>
      </w:r>
      <w:r w:rsidR="00692435" w:rsidRPr="00AC1EFE">
        <w:rPr>
          <w:lang w:val="en-US"/>
        </w:rPr>
        <w:t>.</w:t>
      </w:r>
      <w:r w:rsidRPr="00AC1EFE">
        <w:rPr>
          <w:lang w:val="en-US"/>
        </w:rPr>
        <w:t xml:space="preserve"> </w:t>
      </w:r>
      <w:r w:rsidRPr="00AC1EFE">
        <w:rPr>
          <w:i/>
          <w:iCs/>
          <w:lang w:val="en-US"/>
        </w:rPr>
        <w:t>Journal of Marketing</w:t>
      </w:r>
      <w:r w:rsidR="00692435" w:rsidRPr="00AC1EFE">
        <w:rPr>
          <w:iCs/>
          <w:lang w:val="en-US"/>
        </w:rPr>
        <w:t>,</w:t>
      </w:r>
      <w:r w:rsidRPr="00AC1EFE">
        <w:rPr>
          <w:lang w:val="en-US"/>
        </w:rPr>
        <w:t xml:space="preserve"> 53(2): 21–35.</w:t>
      </w:r>
    </w:p>
    <w:p w14:paraId="45F7A1BB" w14:textId="77777777" w:rsidR="00F37EF3" w:rsidRDefault="00F37EF3" w:rsidP="00F37EF3">
      <w:pPr>
        <w:ind w:left="426" w:hanging="426"/>
        <w:rPr>
          <w:lang w:val="en-US"/>
        </w:rPr>
      </w:pPr>
      <w:r w:rsidRPr="00AC1EFE">
        <w:rPr>
          <w:lang w:val="en-US"/>
        </w:rPr>
        <w:t xml:space="preserve">Orbach, B. Y., &amp; Einav, L. </w:t>
      </w:r>
      <w:r w:rsidR="00432B01" w:rsidRPr="00AC1EFE">
        <w:rPr>
          <w:lang w:val="en-US"/>
        </w:rPr>
        <w:t>(</w:t>
      </w:r>
      <w:r w:rsidRPr="00AC1EFE">
        <w:rPr>
          <w:lang w:val="en-US"/>
        </w:rPr>
        <w:t>2007</w:t>
      </w:r>
      <w:r w:rsidR="00432B01" w:rsidRPr="00AC1EFE">
        <w:rPr>
          <w:lang w:val="en-US"/>
        </w:rPr>
        <w:t>)</w:t>
      </w:r>
      <w:r w:rsidRPr="00AC1EFE">
        <w:rPr>
          <w:lang w:val="en-US"/>
        </w:rPr>
        <w:t xml:space="preserve">. “Uniform prices for differentiated goods: The case of the movie-theater industry”. </w:t>
      </w:r>
      <w:r w:rsidRPr="00AC1EFE">
        <w:rPr>
          <w:i/>
          <w:lang w:val="en-US"/>
        </w:rPr>
        <w:t>International Review of Law and Economics</w:t>
      </w:r>
      <w:r w:rsidRPr="00AC1EFE">
        <w:rPr>
          <w:lang w:val="en-US"/>
        </w:rPr>
        <w:t>, 27(2), 129-</w:t>
      </w:r>
      <w:r w:rsidRPr="00AF540D">
        <w:rPr>
          <w:lang w:val="en-US"/>
        </w:rPr>
        <w:t>153.</w:t>
      </w:r>
    </w:p>
    <w:p w14:paraId="45F7A1BC" w14:textId="77777777" w:rsidR="00FA7B64" w:rsidRDefault="00FA7B64" w:rsidP="00F37EF3">
      <w:pPr>
        <w:ind w:left="426" w:hanging="426"/>
        <w:rPr>
          <w:lang w:val="en-US"/>
        </w:rPr>
      </w:pPr>
      <w:r w:rsidRPr="00FA7B64">
        <w:rPr>
          <w:lang w:val="en-US"/>
        </w:rPr>
        <w:t xml:space="preserve">Pinchuk, S. (2008). A system profit optimisation. </w:t>
      </w:r>
      <w:r w:rsidR="001E4C3B" w:rsidRPr="00056E4A">
        <w:rPr>
          <w:i/>
          <w:lang w:val="en-US"/>
        </w:rPr>
        <w:t>Journal of Revenue and Pricing Management</w:t>
      </w:r>
      <w:r w:rsidRPr="00FA7B64">
        <w:rPr>
          <w:lang w:val="en-US"/>
        </w:rPr>
        <w:t>, 7(1), 106-109.</w:t>
      </w:r>
    </w:p>
    <w:p w14:paraId="45F7A1BD" w14:textId="77777777" w:rsidR="00A61C93" w:rsidRPr="00AF540D" w:rsidRDefault="00A61C93" w:rsidP="00F37EF3">
      <w:pPr>
        <w:ind w:left="426" w:hanging="426"/>
        <w:rPr>
          <w:lang w:val="en-US"/>
        </w:rPr>
      </w:pPr>
      <w:r w:rsidRPr="00A61C93">
        <w:rPr>
          <w:lang w:val="en-US"/>
        </w:rPr>
        <w:t xml:space="preserve">Rigall-I-Torrent, R., Fluvià, M., Ballester, R., Saló, A., Ariza, E., &amp; Espinet, J. M. (2011). The effects of beach characteristics and location with respect to hotel prices. </w:t>
      </w:r>
      <w:r w:rsidRPr="00056E4A">
        <w:rPr>
          <w:i/>
          <w:lang w:val="en-US"/>
        </w:rPr>
        <w:t>Tourism Management</w:t>
      </w:r>
      <w:r w:rsidRPr="00A61C93">
        <w:rPr>
          <w:lang w:val="en-US"/>
        </w:rPr>
        <w:t>, 32(5), 1150-1158.</w:t>
      </w:r>
    </w:p>
    <w:p w14:paraId="45F7A1BE" w14:textId="77777777" w:rsidR="00F07F13" w:rsidRPr="00AF540D" w:rsidRDefault="001A1BBC">
      <w:pPr>
        <w:ind w:left="425" w:hanging="425"/>
        <w:rPr>
          <w:lang w:val="en-US"/>
        </w:rPr>
      </w:pPr>
      <w:r w:rsidRPr="00AF540D">
        <w:rPr>
          <w:lang w:val="en-US"/>
        </w:rPr>
        <w:t xml:space="preserve">Sahut, J. M., Hikkerova, L., and Pupion, P. C. (2016). Perceived unfairness of prices resulting from yield management practices in hotels. </w:t>
      </w:r>
      <w:r w:rsidRPr="00AF540D">
        <w:rPr>
          <w:i/>
          <w:iCs/>
          <w:lang w:val="en-US"/>
        </w:rPr>
        <w:t>Journal of Business Research</w:t>
      </w:r>
      <w:r w:rsidRPr="00AF540D">
        <w:rPr>
          <w:lang w:val="en-US"/>
        </w:rPr>
        <w:t xml:space="preserve">, </w:t>
      </w:r>
      <w:r w:rsidRPr="00AF540D">
        <w:rPr>
          <w:i/>
          <w:iCs/>
          <w:lang w:val="en-US"/>
        </w:rPr>
        <w:t>69</w:t>
      </w:r>
      <w:r w:rsidRPr="00AF540D">
        <w:rPr>
          <w:lang w:val="en-US"/>
        </w:rPr>
        <w:t>(11), 4901-4906.</w:t>
      </w:r>
    </w:p>
    <w:p w14:paraId="45F7A1BF" w14:textId="77777777" w:rsidR="009C0B6A" w:rsidRPr="00AF540D" w:rsidRDefault="009C0B6A" w:rsidP="00F37EF3">
      <w:pPr>
        <w:ind w:left="426" w:hanging="426"/>
        <w:rPr>
          <w:lang w:val="en-US"/>
        </w:rPr>
      </w:pPr>
      <w:r w:rsidRPr="00AF540D">
        <w:rPr>
          <w:lang w:val="en-US"/>
        </w:rPr>
        <w:t xml:space="preserve">Selmi N, Dornier R. 2011. “Yield Management in the French Hotel Business: an Assessment of the Importance of the Human Factor”. </w:t>
      </w:r>
      <w:r w:rsidRPr="00AF540D">
        <w:rPr>
          <w:i/>
          <w:lang w:val="en-US"/>
        </w:rPr>
        <w:t>International Business Research</w:t>
      </w:r>
      <w:r w:rsidRPr="00AF540D">
        <w:rPr>
          <w:lang w:val="en-US"/>
        </w:rPr>
        <w:t>. 4(2):58-66.</w:t>
      </w:r>
    </w:p>
    <w:p w14:paraId="45F7A1C0" w14:textId="77777777" w:rsidR="005D60DB" w:rsidRPr="00AF540D" w:rsidRDefault="005D60DB" w:rsidP="00F37EF3">
      <w:pPr>
        <w:ind w:left="426" w:hanging="426"/>
        <w:rPr>
          <w:lang w:val="en-US"/>
        </w:rPr>
      </w:pPr>
      <w:r w:rsidRPr="00AF540D">
        <w:rPr>
          <w:lang w:val="en-US"/>
        </w:rPr>
        <w:t xml:space="preserve">Solnet, D., Boztug, Y. and Dolnicar, S. (2016). An untapped gold mine? Exploring the potential of market basket analysis to grow hotel revenue. </w:t>
      </w:r>
      <w:r w:rsidRPr="00AF540D">
        <w:rPr>
          <w:i/>
          <w:lang w:val="en-US"/>
        </w:rPr>
        <w:t xml:space="preserve">International Journal of Hospitality Management, </w:t>
      </w:r>
      <w:r w:rsidRPr="00AF540D">
        <w:rPr>
          <w:lang w:val="en-US"/>
        </w:rPr>
        <w:t>56, 119-125.</w:t>
      </w:r>
    </w:p>
    <w:p w14:paraId="45F7A1C1" w14:textId="77777777" w:rsidR="00073408" w:rsidRPr="00AF540D" w:rsidRDefault="00073408" w:rsidP="00F37EF3">
      <w:pPr>
        <w:ind w:left="426" w:hanging="426"/>
        <w:rPr>
          <w:lang w:val="en-US"/>
        </w:rPr>
      </w:pPr>
      <w:r w:rsidRPr="00AF540D">
        <w:rPr>
          <w:lang w:val="en-US"/>
        </w:rPr>
        <w:t xml:space="preserve">Sweeting, A. </w:t>
      </w:r>
      <w:r w:rsidR="00E91DF2" w:rsidRPr="00AF540D">
        <w:rPr>
          <w:lang w:val="en-US"/>
        </w:rPr>
        <w:t>(</w:t>
      </w:r>
      <w:r w:rsidRPr="00AF540D">
        <w:rPr>
          <w:lang w:val="en-US"/>
        </w:rPr>
        <w:t>2012</w:t>
      </w:r>
      <w:r w:rsidR="00E91DF2" w:rsidRPr="00AF540D">
        <w:rPr>
          <w:lang w:val="en-US"/>
        </w:rPr>
        <w:t>)</w:t>
      </w:r>
      <w:r w:rsidRPr="00AF540D">
        <w:rPr>
          <w:lang w:val="en-US"/>
        </w:rPr>
        <w:t xml:space="preserve">. “Dynamic Pricing Behavior in Perishable Goods Markets: Evidence from Secondary Markets for Major League Baseball Tickets”. </w:t>
      </w:r>
      <w:r w:rsidRPr="00AF540D">
        <w:rPr>
          <w:i/>
          <w:lang w:val="en-US"/>
        </w:rPr>
        <w:t>Journal of Political Economy</w:t>
      </w:r>
      <w:r w:rsidRPr="00AF540D">
        <w:rPr>
          <w:lang w:val="en-US"/>
        </w:rPr>
        <w:t>. 120(6):1133-1172</w:t>
      </w:r>
    </w:p>
    <w:p w14:paraId="45F7A1C2" w14:textId="77777777" w:rsidR="00F37EF3" w:rsidRPr="00AF540D" w:rsidRDefault="00F37EF3" w:rsidP="00F37EF3">
      <w:pPr>
        <w:ind w:left="426" w:hanging="426"/>
        <w:rPr>
          <w:lang w:val="en-US"/>
        </w:rPr>
      </w:pPr>
      <w:r w:rsidRPr="00AF540D">
        <w:rPr>
          <w:lang w:val="en-US"/>
        </w:rPr>
        <w:t xml:space="preserve">Talluri KT, van Ryzin G. </w:t>
      </w:r>
      <w:r w:rsidR="00E91DF2" w:rsidRPr="00AF540D">
        <w:rPr>
          <w:lang w:val="en-US"/>
        </w:rPr>
        <w:t>(</w:t>
      </w:r>
      <w:r w:rsidRPr="00AF540D">
        <w:rPr>
          <w:lang w:val="en-US"/>
        </w:rPr>
        <w:t>2004</w:t>
      </w:r>
      <w:r w:rsidR="00E91DF2" w:rsidRPr="00AF540D">
        <w:rPr>
          <w:lang w:val="en-US"/>
        </w:rPr>
        <w:t>)</w:t>
      </w:r>
      <w:r w:rsidRPr="00AF540D">
        <w:rPr>
          <w:lang w:val="en-US"/>
        </w:rPr>
        <w:t xml:space="preserve">. </w:t>
      </w:r>
      <w:r w:rsidRPr="00AF540D">
        <w:rPr>
          <w:i/>
          <w:lang w:val="en-US"/>
        </w:rPr>
        <w:t>Theory and Practice of Revenue Management</w:t>
      </w:r>
      <w:r w:rsidRPr="00AF540D">
        <w:rPr>
          <w:lang w:val="en-US"/>
        </w:rPr>
        <w:t>. Springer: New York.</w:t>
      </w:r>
    </w:p>
    <w:p w14:paraId="45F7A1C3" w14:textId="77777777" w:rsidR="00F8092C" w:rsidRPr="00AF540D" w:rsidRDefault="00F8092C" w:rsidP="00F37EF3">
      <w:pPr>
        <w:ind w:left="426" w:hanging="426"/>
        <w:rPr>
          <w:lang w:val="en-US"/>
        </w:rPr>
      </w:pPr>
      <w:r w:rsidRPr="00AF540D">
        <w:rPr>
          <w:lang w:val="en-US"/>
        </w:rPr>
        <w:t xml:space="preserve">Viglia, G., Mauri, A., </w:t>
      </w:r>
      <w:r w:rsidR="005D60DB" w:rsidRPr="00AF540D">
        <w:rPr>
          <w:lang w:val="en-US"/>
        </w:rPr>
        <w:t xml:space="preserve">and </w:t>
      </w:r>
      <w:r w:rsidRPr="00AF540D">
        <w:rPr>
          <w:lang w:val="en-US"/>
        </w:rPr>
        <w:t xml:space="preserve">Carricano, M. (2016). The exploration of hotel reference prices under dynamic pricing scenarios and different forms of competition. </w:t>
      </w:r>
      <w:r w:rsidRPr="00AF540D">
        <w:rPr>
          <w:i/>
          <w:iCs/>
          <w:lang w:val="en-US"/>
        </w:rPr>
        <w:t>International Journal of Hospitality Management</w:t>
      </w:r>
      <w:r w:rsidRPr="00AF540D">
        <w:rPr>
          <w:lang w:val="en-US"/>
        </w:rPr>
        <w:t xml:space="preserve">, </w:t>
      </w:r>
      <w:r w:rsidRPr="00AF540D">
        <w:rPr>
          <w:i/>
          <w:iCs/>
          <w:lang w:val="en-US"/>
        </w:rPr>
        <w:t>52</w:t>
      </w:r>
      <w:r w:rsidRPr="00AF540D">
        <w:rPr>
          <w:lang w:val="en-US"/>
        </w:rPr>
        <w:t>, 46-55.</w:t>
      </w:r>
    </w:p>
    <w:p w14:paraId="45F7A1C4" w14:textId="77777777" w:rsidR="00F37EF3" w:rsidRPr="00AC1EFE" w:rsidRDefault="00F37EF3" w:rsidP="00F37EF3">
      <w:pPr>
        <w:ind w:left="426" w:hanging="426"/>
        <w:rPr>
          <w:lang w:val="en-US"/>
        </w:rPr>
      </w:pPr>
      <w:r w:rsidRPr="00AF540D">
        <w:t xml:space="preserve">Wooldridge, J. M. </w:t>
      </w:r>
      <w:r w:rsidR="00E91DF2" w:rsidRPr="00AF540D">
        <w:t>(</w:t>
      </w:r>
      <w:r w:rsidRPr="00AF540D">
        <w:t>2002</w:t>
      </w:r>
      <w:r w:rsidR="00E91DF2" w:rsidRPr="00AF540D">
        <w:t>)</w:t>
      </w:r>
      <w:r w:rsidRPr="00AF540D">
        <w:t xml:space="preserve">. </w:t>
      </w:r>
      <w:r w:rsidRPr="00AF540D">
        <w:rPr>
          <w:i/>
          <w:iCs/>
        </w:rPr>
        <w:t>Econometric Analysis of Cross Section and</w:t>
      </w:r>
      <w:r w:rsidRPr="00AC1EFE">
        <w:rPr>
          <w:i/>
          <w:iCs/>
        </w:rPr>
        <w:t xml:space="preserve"> Panel Data</w:t>
      </w:r>
      <w:r w:rsidRPr="00AC1EFE">
        <w:t>. 1</w:t>
      </w:r>
      <w:r w:rsidRPr="00AC1EFE">
        <w:rPr>
          <w:vertAlign w:val="superscript"/>
        </w:rPr>
        <w:t>st</w:t>
      </w:r>
      <w:r w:rsidRPr="00AC1EFE">
        <w:t xml:space="preserve"> Ed., MIT Press, Cambridge MA. </w:t>
      </w:r>
    </w:p>
    <w:p w14:paraId="45F7A1C5" w14:textId="77777777" w:rsidR="00F37EF3" w:rsidRPr="00AC1EFE" w:rsidRDefault="00F37EF3" w:rsidP="00F37EF3">
      <w:pPr>
        <w:ind w:left="720" w:hanging="720"/>
      </w:pPr>
      <w:r w:rsidRPr="00AC1EFE">
        <w:lastRenderedPageBreak/>
        <w:t xml:space="preserve">Xia L., Monroe K.B., Cox J.L. </w:t>
      </w:r>
      <w:r w:rsidR="00E91DF2" w:rsidRPr="00AC1EFE">
        <w:t>(</w:t>
      </w:r>
      <w:r w:rsidRPr="00AC1EFE">
        <w:t>2004</w:t>
      </w:r>
      <w:r w:rsidR="00E91DF2" w:rsidRPr="00AC1EFE">
        <w:t>)</w:t>
      </w:r>
      <w:r w:rsidRPr="00AC1EFE">
        <w:t>. “The Price is Unfair! A conceptual framewor</w:t>
      </w:r>
      <w:r w:rsidR="00E91DF2" w:rsidRPr="00AC1EFE">
        <w:t>k of Price Fairness Perceptions</w:t>
      </w:r>
      <w:r w:rsidRPr="00AC1EFE">
        <w:t>”</w:t>
      </w:r>
      <w:r w:rsidR="00E91DF2" w:rsidRPr="00AC1EFE">
        <w:t>.</w:t>
      </w:r>
      <w:r w:rsidRPr="00AC1EFE">
        <w:t xml:space="preserve"> </w:t>
      </w:r>
      <w:r w:rsidRPr="00AC1EFE">
        <w:rPr>
          <w:i/>
          <w:iCs/>
        </w:rPr>
        <w:t>Journal of Marketing</w:t>
      </w:r>
      <w:r w:rsidR="009C0B6A" w:rsidRPr="00AC1EFE">
        <w:rPr>
          <w:i/>
          <w:iCs/>
        </w:rPr>
        <w:t>,</w:t>
      </w:r>
      <w:r w:rsidRPr="00AC1EFE">
        <w:rPr>
          <w:iCs/>
        </w:rPr>
        <w:t xml:space="preserve"> </w:t>
      </w:r>
      <w:r w:rsidRPr="00AC1EFE">
        <w:t>68 (October):1-15.</w:t>
      </w:r>
    </w:p>
    <w:p w14:paraId="45F7A1C6" w14:textId="77777777" w:rsidR="00250204" w:rsidRDefault="009C0B6A" w:rsidP="00C720DD">
      <w:pPr>
        <w:ind w:left="720" w:hanging="720"/>
      </w:pPr>
      <w:r w:rsidRPr="00AC1EFE">
        <w:t xml:space="preserve">Zbaracki MJ, Ritson M, Levy D, Dutta S, and Bergen M. </w:t>
      </w:r>
      <w:r w:rsidR="00E91DF2" w:rsidRPr="00AC1EFE">
        <w:t>(</w:t>
      </w:r>
      <w:r w:rsidRPr="00AC1EFE">
        <w:t>2004</w:t>
      </w:r>
      <w:r w:rsidR="00E91DF2" w:rsidRPr="00AC1EFE">
        <w:t>)</w:t>
      </w:r>
      <w:r w:rsidRPr="00AC1EFE">
        <w:t>. “Managerial and customer costs of price adjustment</w:t>
      </w:r>
      <w:r w:rsidR="00617A1F" w:rsidRPr="00AC1EFE">
        <w:t>: Direct evidence from industria</w:t>
      </w:r>
      <w:r w:rsidRPr="00AC1EFE">
        <w:t xml:space="preserve">l markets”. </w:t>
      </w:r>
      <w:r w:rsidRPr="00AC1EFE">
        <w:rPr>
          <w:i/>
        </w:rPr>
        <w:t>The Review of Economics and Statistics,</w:t>
      </w:r>
      <w:r w:rsidR="00C720DD">
        <w:t xml:space="preserve"> 86(2): 514-533</w:t>
      </w:r>
    </w:p>
    <w:p w14:paraId="45F7A1C7" w14:textId="420E6FDF" w:rsidR="00250204" w:rsidRDefault="00250204" w:rsidP="00C720DD">
      <w:pPr>
        <w:ind w:left="720" w:hanging="720"/>
      </w:pPr>
    </w:p>
    <w:p w14:paraId="3EE695E7" w14:textId="309E1D94" w:rsidR="003A3E67" w:rsidRDefault="003A3E67" w:rsidP="00C720DD">
      <w:pPr>
        <w:ind w:left="720" w:hanging="720"/>
      </w:pPr>
    </w:p>
    <w:p w14:paraId="1C64ED6A" w14:textId="77777777" w:rsidR="003A3E67" w:rsidRPr="00056E4A" w:rsidRDefault="003A3E67" w:rsidP="003A3E67">
      <w:r w:rsidRPr="00056E4A">
        <w:t>Table 1 – Economic drivers of dynamic and uniform pricing</w:t>
      </w:r>
    </w:p>
    <w:tbl>
      <w:tblPr>
        <w:tblStyle w:val="TableGrid"/>
        <w:tblW w:w="0" w:type="auto"/>
        <w:tblLook w:val="04A0" w:firstRow="1" w:lastRow="0" w:firstColumn="1" w:lastColumn="0" w:noHBand="0" w:noVBand="1"/>
      </w:tblPr>
      <w:tblGrid>
        <w:gridCol w:w="2636"/>
        <w:gridCol w:w="1903"/>
        <w:gridCol w:w="2496"/>
      </w:tblGrid>
      <w:tr w:rsidR="003A3E67" w:rsidRPr="00056E4A" w14:paraId="586D573B" w14:textId="77777777" w:rsidTr="00696EF5">
        <w:tc>
          <w:tcPr>
            <w:tcW w:w="0" w:type="auto"/>
            <w:gridSpan w:val="3"/>
          </w:tcPr>
          <w:p w14:paraId="66F4CD1A" w14:textId="77777777" w:rsidR="003A3E67" w:rsidRPr="00056E4A" w:rsidRDefault="003A3E67" w:rsidP="00696EF5">
            <w:pPr>
              <w:spacing w:before="0" w:line="240" w:lineRule="auto"/>
              <w:ind w:firstLine="0"/>
              <w:jc w:val="center"/>
              <w:rPr>
                <w:rFonts w:ascii="Times New Roman" w:hAnsi="Times New Roman" w:cs="Times New Roman"/>
                <w:sz w:val="24"/>
                <w:szCs w:val="24"/>
              </w:rPr>
            </w:pPr>
            <w:r w:rsidRPr="00056E4A">
              <w:rPr>
                <w:rFonts w:ascii="Times New Roman" w:hAnsi="Times New Roman" w:cs="Times New Roman"/>
                <w:sz w:val="24"/>
                <w:szCs w:val="24"/>
              </w:rPr>
              <w:t>Factors likely to induce price</w:t>
            </w:r>
          </w:p>
        </w:tc>
      </w:tr>
      <w:tr w:rsidR="003A3E67" w:rsidRPr="00056E4A" w14:paraId="7A45D46E" w14:textId="77777777" w:rsidTr="00696EF5">
        <w:tc>
          <w:tcPr>
            <w:tcW w:w="0" w:type="auto"/>
          </w:tcPr>
          <w:p w14:paraId="75B844C7" w14:textId="77777777" w:rsidR="003A3E67" w:rsidRPr="00056E4A" w:rsidRDefault="003A3E67" w:rsidP="00696EF5">
            <w:pPr>
              <w:spacing w:before="0" w:line="240" w:lineRule="auto"/>
              <w:ind w:firstLine="0"/>
              <w:jc w:val="center"/>
              <w:rPr>
                <w:rFonts w:ascii="Times New Roman" w:hAnsi="Times New Roman" w:cs="Times New Roman"/>
                <w:b/>
                <w:sz w:val="24"/>
                <w:szCs w:val="24"/>
              </w:rPr>
            </w:pPr>
            <w:r w:rsidRPr="00056E4A">
              <w:rPr>
                <w:rFonts w:ascii="Times New Roman" w:hAnsi="Times New Roman" w:cs="Times New Roman"/>
                <w:b/>
                <w:sz w:val="24"/>
                <w:szCs w:val="24"/>
              </w:rPr>
              <w:t>Increases</w:t>
            </w:r>
          </w:p>
        </w:tc>
        <w:tc>
          <w:tcPr>
            <w:tcW w:w="0" w:type="auto"/>
          </w:tcPr>
          <w:p w14:paraId="39337809" w14:textId="77777777" w:rsidR="003A3E67" w:rsidRPr="00056E4A" w:rsidRDefault="003A3E67" w:rsidP="00696EF5">
            <w:pPr>
              <w:spacing w:before="0" w:line="240" w:lineRule="auto"/>
              <w:ind w:firstLine="0"/>
              <w:jc w:val="center"/>
              <w:rPr>
                <w:rFonts w:ascii="Times New Roman" w:hAnsi="Times New Roman" w:cs="Times New Roman"/>
                <w:b/>
                <w:sz w:val="24"/>
                <w:szCs w:val="24"/>
              </w:rPr>
            </w:pPr>
            <w:r w:rsidRPr="00056E4A">
              <w:rPr>
                <w:rFonts w:ascii="Times New Roman" w:hAnsi="Times New Roman" w:cs="Times New Roman"/>
                <w:b/>
                <w:sz w:val="24"/>
                <w:szCs w:val="24"/>
              </w:rPr>
              <w:t>Decreases</w:t>
            </w:r>
          </w:p>
        </w:tc>
        <w:tc>
          <w:tcPr>
            <w:tcW w:w="0" w:type="auto"/>
          </w:tcPr>
          <w:p w14:paraId="0690C0EC" w14:textId="77777777" w:rsidR="003A3E67" w:rsidRPr="00056E4A" w:rsidRDefault="003A3E67" w:rsidP="00696EF5">
            <w:pPr>
              <w:spacing w:before="0" w:line="240" w:lineRule="auto"/>
              <w:ind w:firstLine="0"/>
              <w:jc w:val="center"/>
              <w:rPr>
                <w:rFonts w:ascii="Times New Roman" w:hAnsi="Times New Roman" w:cs="Times New Roman"/>
                <w:b/>
                <w:sz w:val="24"/>
                <w:szCs w:val="24"/>
              </w:rPr>
            </w:pPr>
            <w:r w:rsidRPr="00056E4A">
              <w:rPr>
                <w:rFonts w:ascii="Times New Roman" w:hAnsi="Times New Roman" w:cs="Times New Roman"/>
                <w:b/>
                <w:sz w:val="24"/>
                <w:szCs w:val="24"/>
              </w:rPr>
              <w:t>Uniformity</w:t>
            </w:r>
          </w:p>
        </w:tc>
      </w:tr>
      <w:tr w:rsidR="003A3E67" w:rsidRPr="00056E4A" w14:paraId="42CB7488" w14:textId="77777777" w:rsidTr="00696EF5">
        <w:tc>
          <w:tcPr>
            <w:tcW w:w="0" w:type="auto"/>
          </w:tcPr>
          <w:p w14:paraId="63F370BA" w14:textId="77777777" w:rsidR="003A3E67" w:rsidRPr="00056E4A" w:rsidRDefault="003A3E67" w:rsidP="00696EF5">
            <w:pPr>
              <w:spacing w:before="0" w:line="240" w:lineRule="auto"/>
              <w:ind w:firstLine="0"/>
              <w:rPr>
                <w:rFonts w:ascii="Times New Roman" w:hAnsi="Times New Roman" w:cs="Times New Roman"/>
                <w:sz w:val="24"/>
                <w:szCs w:val="24"/>
              </w:rPr>
            </w:pPr>
            <w:r w:rsidRPr="00056E4A">
              <w:rPr>
                <w:rFonts w:ascii="Times New Roman" w:hAnsi="Times New Roman" w:cs="Times New Roman"/>
                <w:sz w:val="24"/>
                <w:szCs w:val="24"/>
              </w:rPr>
              <w:t xml:space="preserve">Customer Heterogeneity: </w:t>
            </w:r>
          </w:p>
          <w:p w14:paraId="0D3877A6" w14:textId="77777777" w:rsidR="003A3E67" w:rsidRPr="00056E4A" w:rsidRDefault="003A3E67" w:rsidP="00696EF5">
            <w:pPr>
              <w:spacing w:before="0" w:line="240" w:lineRule="auto"/>
              <w:ind w:firstLine="0"/>
              <w:rPr>
                <w:rFonts w:ascii="Times New Roman" w:hAnsi="Times New Roman" w:cs="Times New Roman"/>
                <w:sz w:val="24"/>
                <w:szCs w:val="24"/>
              </w:rPr>
            </w:pPr>
            <w:r w:rsidRPr="00056E4A">
              <w:rPr>
                <w:rFonts w:ascii="Times New Roman" w:hAnsi="Times New Roman" w:cs="Times New Roman"/>
                <w:sz w:val="24"/>
                <w:szCs w:val="24"/>
              </w:rPr>
              <w:t>Leisure vs Business</w:t>
            </w:r>
          </w:p>
        </w:tc>
        <w:tc>
          <w:tcPr>
            <w:tcW w:w="0" w:type="auto"/>
          </w:tcPr>
          <w:p w14:paraId="4A52DA3F" w14:textId="77777777" w:rsidR="003A3E67" w:rsidRPr="00056E4A" w:rsidRDefault="003A3E67" w:rsidP="00696EF5">
            <w:pPr>
              <w:spacing w:before="0" w:line="240" w:lineRule="auto"/>
              <w:ind w:firstLine="0"/>
              <w:rPr>
                <w:rFonts w:ascii="Times New Roman" w:hAnsi="Times New Roman" w:cs="Times New Roman"/>
                <w:sz w:val="24"/>
                <w:szCs w:val="24"/>
              </w:rPr>
            </w:pPr>
            <w:r w:rsidRPr="00056E4A">
              <w:rPr>
                <w:rFonts w:ascii="Times New Roman" w:hAnsi="Times New Roman" w:cs="Times New Roman"/>
                <w:sz w:val="24"/>
                <w:szCs w:val="24"/>
              </w:rPr>
              <w:t xml:space="preserve">Product </w:t>
            </w:r>
          </w:p>
          <w:p w14:paraId="678B6C8A" w14:textId="77777777" w:rsidR="003A3E67" w:rsidRPr="00056E4A" w:rsidRDefault="003A3E67" w:rsidP="00696EF5">
            <w:pPr>
              <w:spacing w:before="0" w:line="240" w:lineRule="auto"/>
              <w:ind w:firstLine="0"/>
              <w:rPr>
                <w:rFonts w:ascii="Times New Roman" w:hAnsi="Times New Roman" w:cs="Times New Roman"/>
                <w:sz w:val="24"/>
                <w:szCs w:val="24"/>
              </w:rPr>
            </w:pPr>
            <w:r w:rsidRPr="00056E4A">
              <w:rPr>
                <w:rFonts w:ascii="Times New Roman" w:hAnsi="Times New Roman" w:cs="Times New Roman"/>
                <w:sz w:val="24"/>
                <w:szCs w:val="24"/>
              </w:rPr>
              <w:t>Perishability</w:t>
            </w:r>
          </w:p>
        </w:tc>
        <w:tc>
          <w:tcPr>
            <w:tcW w:w="0" w:type="auto"/>
          </w:tcPr>
          <w:p w14:paraId="6ACFD92D" w14:textId="77777777" w:rsidR="003A3E67" w:rsidRPr="00056E4A" w:rsidRDefault="003A3E67" w:rsidP="00696EF5">
            <w:pPr>
              <w:spacing w:before="0" w:line="240" w:lineRule="auto"/>
              <w:ind w:firstLine="0"/>
              <w:rPr>
                <w:rFonts w:ascii="Times New Roman" w:hAnsi="Times New Roman" w:cs="Times New Roman"/>
                <w:sz w:val="24"/>
                <w:szCs w:val="24"/>
              </w:rPr>
            </w:pPr>
            <w:r w:rsidRPr="00056E4A">
              <w:rPr>
                <w:rFonts w:ascii="Times New Roman" w:hAnsi="Times New Roman" w:cs="Times New Roman"/>
                <w:sz w:val="24"/>
                <w:szCs w:val="24"/>
              </w:rPr>
              <w:t>Menu Costs</w:t>
            </w:r>
          </w:p>
        </w:tc>
      </w:tr>
      <w:tr w:rsidR="003A3E67" w:rsidRPr="00056E4A" w14:paraId="4C358540" w14:textId="77777777" w:rsidTr="00696EF5">
        <w:tc>
          <w:tcPr>
            <w:tcW w:w="0" w:type="auto"/>
          </w:tcPr>
          <w:p w14:paraId="12424F83" w14:textId="77777777" w:rsidR="003A3E67" w:rsidRPr="00056E4A" w:rsidRDefault="003A3E67" w:rsidP="00696EF5">
            <w:pPr>
              <w:spacing w:before="0" w:line="240" w:lineRule="auto"/>
              <w:ind w:firstLine="0"/>
              <w:rPr>
                <w:rFonts w:ascii="Times New Roman" w:hAnsi="Times New Roman" w:cs="Times New Roman"/>
                <w:sz w:val="24"/>
                <w:szCs w:val="24"/>
              </w:rPr>
            </w:pPr>
            <w:r w:rsidRPr="00056E4A">
              <w:rPr>
                <w:rFonts w:ascii="Times New Roman" w:hAnsi="Times New Roman" w:cs="Times New Roman"/>
                <w:sz w:val="24"/>
                <w:szCs w:val="24"/>
              </w:rPr>
              <w:t>Strategic Consumers</w:t>
            </w:r>
          </w:p>
        </w:tc>
        <w:tc>
          <w:tcPr>
            <w:tcW w:w="0" w:type="auto"/>
          </w:tcPr>
          <w:p w14:paraId="14F120B8" w14:textId="660916DC" w:rsidR="003A3E67" w:rsidRPr="00056E4A" w:rsidRDefault="003A3E67" w:rsidP="00696EF5">
            <w:pPr>
              <w:spacing w:before="0" w:line="240" w:lineRule="auto"/>
              <w:ind w:firstLine="0"/>
              <w:rPr>
                <w:rFonts w:ascii="Times New Roman" w:hAnsi="Times New Roman" w:cs="Times New Roman"/>
                <w:sz w:val="24"/>
                <w:szCs w:val="24"/>
              </w:rPr>
            </w:pPr>
            <w:r w:rsidRPr="00056E4A">
              <w:rPr>
                <w:rFonts w:ascii="Times New Roman" w:hAnsi="Times New Roman" w:cs="Times New Roman"/>
                <w:sz w:val="24"/>
                <w:szCs w:val="24"/>
              </w:rPr>
              <w:t>Demand</w:t>
            </w:r>
            <w:r>
              <w:rPr>
                <w:rFonts w:ascii="Times New Roman" w:hAnsi="Times New Roman" w:cs="Times New Roman"/>
                <w:sz w:val="24"/>
                <w:szCs w:val="24"/>
              </w:rPr>
              <w:t xml:space="preserve"> stimulus</w:t>
            </w:r>
          </w:p>
        </w:tc>
        <w:tc>
          <w:tcPr>
            <w:tcW w:w="0" w:type="auto"/>
          </w:tcPr>
          <w:p w14:paraId="0180FB4E" w14:textId="77777777" w:rsidR="003A3E67" w:rsidRPr="00056E4A" w:rsidRDefault="003A3E67" w:rsidP="00696EF5">
            <w:pPr>
              <w:spacing w:before="0" w:line="240" w:lineRule="auto"/>
              <w:ind w:firstLine="0"/>
              <w:rPr>
                <w:rFonts w:ascii="Times New Roman" w:hAnsi="Times New Roman" w:cs="Times New Roman"/>
                <w:sz w:val="24"/>
                <w:szCs w:val="24"/>
              </w:rPr>
            </w:pPr>
            <w:r w:rsidRPr="00056E4A">
              <w:rPr>
                <w:rFonts w:ascii="Times New Roman" w:hAnsi="Times New Roman" w:cs="Times New Roman"/>
                <w:sz w:val="24"/>
                <w:szCs w:val="24"/>
              </w:rPr>
              <w:t>Managerial Costs</w:t>
            </w:r>
          </w:p>
        </w:tc>
      </w:tr>
      <w:tr w:rsidR="003A3E67" w:rsidRPr="00056E4A" w14:paraId="24744087" w14:textId="77777777" w:rsidTr="00696EF5">
        <w:tc>
          <w:tcPr>
            <w:tcW w:w="0" w:type="auto"/>
          </w:tcPr>
          <w:p w14:paraId="3C45BEA5" w14:textId="77777777" w:rsidR="003A3E67" w:rsidRPr="00056E4A" w:rsidRDefault="003A3E67" w:rsidP="00696EF5">
            <w:pPr>
              <w:spacing w:before="0" w:line="240" w:lineRule="auto"/>
              <w:ind w:firstLine="0"/>
              <w:rPr>
                <w:rFonts w:ascii="Times New Roman" w:hAnsi="Times New Roman" w:cs="Times New Roman"/>
                <w:sz w:val="24"/>
                <w:szCs w:val="24"/>
              </w:rPr>
            </w:pPr>
            <w:r w:rsidRPr="00056E4A">
              <w:rPr>
                <w:rFonts w:ascii="Times New Roman" w:hAnsi="Times New Roman" w:cs="Times New Roman"/>
                <w:sz w:val="24"/>
                <w:szCs w:val="24"/>
              </w:rPr>
              <w:t>Occupancy/inventory</w:t>
            </w:r>
          </w:p>
        </w:tc>
        <w:tc>
          <w:tcPr>
            <w:tcW w:w="0" w:type="auto"/>
          </w:tcPr>
          <w:p w14:paraId="5AAF8F70" w14:textId="77777777" w:rsidR="003A3E67" w:rsidRPr="00056E4A" w:rsidRDefault="003A3E67" w:rsidP="00696EF5">
            <w:pPr>
              <w:spacing w:before="0" w:line="240" w:lineRule="auto"/>
              <w:ind w:firstLine="0"/>
              <w:rPr>
                <w:rFonts w:ascii="Times New Roman" w:hAnsi="Times New Roman" w:cs="Times New Roman"/>
                <w:sz w:val="24"/>
                <w:szCs w:val="24"/>
              </w:rPr>
            </w:pPr>
          </w:p>
        </w:tc>
        <w:tc>
          <w:tcPr>
            <w:tcW w:w="0" w:type="auto"/>
          </w:tcPr>
          <w:p w14:paraId="1C1EB12D" w14:textId="77777777" w:rsidR="003A3E67" w:rsidRPr="00056E4A" w:rsidRDefault="003A3E67" w:rsidP="00696EF5">
            <w:pPr>
              <w:spacing w:before="0" w:line="240" w:lineRule="auto"/>
              <w:ind w:firstLine="0"/>
              <w:rPr>
                <w:rFonts w:ascii="Times New Roman" w:hAnsi="Times New Roman" w:cs="Times New Roman"/>
                <w:sz w:val="24"/>
                <w:szCs w:val="24"/>
              </w:rPr>
            </w:pPr>
            <w:r w:rsidRPr="00056E4A">
              <w:rPr>
                <w:rFonts w:ascii="Times New Roman" w:hAnsi="Times New Roman" w:cs="Times New Roman"/>
                <w:sz w:val="24"/>
                <w:szCs w:val="24"/>
              </w:rPr>
              <w:t>Perceived unfairness:</w:t>
            </w:r>
          </w:p>
          <w:p w14:paraId="607FDDFE" w14:textId="77777777" w:rsidR="003A3E67" w:rsidRPr="00056E4A" w:rsidRDefault="003A3E67" w:rsidP="00696EF5">
            <w:pPr>
              <w:spacing w:before="0" w:line="240" w:lineRule="auto"/>
              <w:ind w:firstLine="0"/>
              <w:rPr>
                <w:rFonts w:ascii="Times New Roman" w:hAnsi="Times New Roman" w:cs="Times New Roman"/>
                <w:sz w:val="24"/>
                <w:szCs w:val="24"/>
              </w:rPr>
            </w:pPr>
            <w:r w:rsidRPr="00056E4A">
              <w:rPr>
                <w:rFonts w:ascii="Times New Roman" w:hAnsi="Times New Roman" w:cs="Times New Roman"/>
                <w:sz w:val="24"/>
                <w:szCs w:val="24"/>
              </w:rPr>
              <w:t>Reference price</w:t>
            </w:r>
          </w:p>
        </w:tc>
      </w:tr>
      <w:tr w:rsidR="003A3E67" w:rsidRPr="00056E4A" w14:paraId="70594B6C" w14:textId="77777777" w:rsidTr="00696EF5">
        <w:tc>
          <w:tcPr>
            <w:tcW w:w="0" w:type="auto"/>
          </w:tcPr>
          <w:p w14:paraId="1ADC3A0F" w14:textId="77777777" w:rsidR="003A3E67" w:rsidRPr="00056E4A" w:rsidRDefault="003A3E67" w:rsidP="00696EF5">
            <w:pPr>
              <w:spacing w:before="0" w:line="240" w:lineRule="auto"/>
              <w:ind w:firstLine="0"/>
              <w:rPr>
                <w:rFonts w:ascii="Times New Roman" w:hAnsi="Times New Roman" w:cs="Times New Roman"/>
                <w:sz w:val="24"/>
                <w:szCs w:val="24"/>
              </w:rPr>
            </w:pPr>
          </w:p>
        </w:tc>
        <w:tc>
          <w:tcPr>
            <w:tcW w:w="0" w:type="auto"/>
          </w:tcPr>
          <w:p w14:paraId="0DAC2213" w14:textId="77777777" w:rsidR="003A3E67" w:rsidRPr="00056E4A" w:rsidRDefault="003A3E67" w:rsidP="00696EF5">
            <w:pPr>
              <w:spacing w:before="0" w:line="240" w:lineRule="auto"/>
              <w:ind w:firstLine="0"/>
              <w:rPr>
                <w:rFonts w:ascii="Times New Roman" w:hAnsi="Times New Roman" w:cs="Times New Roman"/>
                <w:sz w:val="24"/>
                <w:szCs w:val="24"/>
              </w:rPr>
            </w:pPr>
          </w:p>
        </w:tc>
        <w:tc>
          <w:tcPr>
            <w:tcW w:w="0" w:type="auto"/>
          </w:tcPr>
          <w:p w14:paraId="1FA3F777" w14:textId="77777777" w:rsidR="003A3E67" w:rsidRPr="00056E4A" w:rsidRDefault="003A3E67" w:rsidP="00696EF5">
            <w:pPr>
              <w:spacing w:before="0" w:line="240" w:lineRule="auto"/>
              <w:ind w:firstLine="0"/>
              <w:rPr>
                <w:rFonts w:ascii="Times New Roman" w:hAnsi="Times New Roman" w:cs="Times New Roman"/>
                <w:sz w:val="24"/>
                <w:szCs w:val="24"/>
              </w:rPr>
            </w:pPr>
            <w:r w:rsidRPr="00056E4A">
              <w:rPr>
                <w:rFonts w:ascii="Times New Roman" w:hAnsi="Times New Roman" w:cs="Times New Roman"/>
                <w:sz w:val="24"/>
                <w:szCs w:val="24"/>
              </w:rPr>
              <w:t>Price as a quality signal</w:t>
            </w:r>
          </w:p>
        </w:tc>
      </w:tr>
      <w:tr w:rsidR="003A3E67" w:rsidRPr="00056E4A" w14:paraId="258F795E" w14:textId="77777777" w:rsidTr="00696EF5">
        <w:tc>
          <w:tcPr>
            <w:tcW w:w="0" w:type="auto"/>
          </w:tcPr>
          <w:p w14:paraId="2CAF5B1B" w14:textId="77777777" w:rsidR="003A3E67" w:rsidRPr="00056E4A" w:rsidRDefault="003A3E67" w:rsidP="00696EF5">
            <w:pPr>
              <w:spacing w:before="0" w:line="240" w:lineRule="auto"/>
              <w:ind w:firstLine="0"/>
              <w:rPr>
                <w:rFonts w:ascii="Times New Roman" w:hAnsi="Times New Roman" w:cs="Times New Roman"/>
                <w:sz w:val="24"/>
                <w:szCs w:val="24"/>
              </w:rPr>
            </w:pPr>
          </w:p>
        </w:tc>
        <w:tc>
          <w:tcPr>
            <w:tcW w:w="0" w:type="auto"/>
          </w:tcPr>
          <w:p w14:paraId="5E46F1CC" w14:textId="77777777" w:rsidR="003A3E67" w:rsidRPr="00056E4A" w:rsidRDefault="003A3E67" w:rsidP="00696EF5">
            <w:pPr>
              <w:spacing w:before="0" w:line="240" w:lineRule="auto"/>
              <w:ind w:firstLine="0"/>
              <w:rPr>
                <w:rFonts w:ascii="Times New Roman" w:hAnsi="Times New Roman" w:cs="Times New Roman"/>
                <w:sz w:val="24"/>
                <w:szCs w:val="24"/>
              </w:rPr>
            </w:pPr>
          </w:p>
        </w:tc>
        <w:tc>
          <w:tcPr>
            <w:tcW w:w="0" w:type="auto"/>
          </w:tcPr>
          <w:p w14:paraId="62B71AE4" w14:textId="77777777" w:rsidR="003A3E67" w:rsidRPr="00056E4A" w:rsidRDefault="003A3E67" w:rsidP="00696EF5">
            <w:pPr>
              <w:spacing w:before="0" w:line="240" w:lineRule="auto"/>
              <w:ind w:firstLine="0"/>
              <w:rPr>
                <w:rFonts w:ascii="Times New Roman" w:hAnsi="Times New Roman" w:cs="Times New Roman"/>
                <w:sz w:val="24"/>
                <w:szCs w:val="24"/>
              </w:rPr>
            </w:pPr>
            <w:r w:rsidRPr="00056E4A">
              <w:rPr>
                <w:rFonts w:ascii="Times New Roman" w:hAnsi="Times New Roman" w:cs="Times New Roman"/>
                <w:sz w:val="24"/>
                <w:szCs w:val="24"/>
              </w:rPr>
              <w:t>Demand uncertainty</w:t>
            </w:r>
          </w:p>
        </w:tc>
      </w:tr>
    </w:tbl>
    <w:p w14:paraId="69091E16" w14:textId="77777777" w:rsidR="003A3E67" w:rsidRDefault="003A3E67" w:rsidP="00C720DD">
      <w:pPr>
        <w:ind w:left="720" w:hanging="720"/>
        <w:sectPr w:rsidR="003A3E67" w:rsidSect="002B180F">
          <w:headerReference w:type="default" r:id="rId10"/>
          <w:pgSz w:w="11906" w:h="16838"/>
          <w:pgMar w:top="1418" w:right="1588" w:bottom="1418" w:left="1588" w:header="709" w:footer="709" w:gutter="0"/>
          <w:cols w:space="708"/>
          <w:docGrid w:linePitch="360"/>
        </w:sectPr>
      </w:pPr>
    </w:p>
    <w:p w14:paraId="45F7A1C8" w14:textId="25C39FEE" w:rsidR="00C540A4" w:rsidRDefault="00CB2D63" w:rsidP="00C720DD">
      <w:pPr>
        <w:ind w:left="720" w:hanging="720"/>
      </w:pPr>
      <w:r>
        <w:lastRenderedPageBreak/>
        <w:t xml:space="preserve">Table </w:t>
      </w:r>
      <w:r w:rsidR="00493E43">
        <w:t xml:space="preserve">2 </w:t>
      </w:r>
      <w:r>
        <w:t>– Number of total passengers (both domestic and international) in the macro-regions’ airports, by period.</w:t>
      </w:r>
    </w:p>
    <w:tbl>
      <w:tblPr>
        <w:tblStyle w:val="PlainTable11"/>
        <w:tblW w:w="10933" w:type="dxa"/>
        <w:tblLook w:val="04A0" w:firstRow="1" w:lastRow="0" w:firstColumn="1" w:lastColumn="0" w:noHBand="0" w:noVBand="1"/>
      </w:tblPr>
      <w:tblGrid>
        <w:gridCol w:w="1500"/>
        <w:gridCol w:w="1107"/>
        <w:gridCol w:w="1218"/>
        <w:gridCol w:w="1107"/>
        <w:gridCol w:w="1218"/>
        <w:gridCol w:w="1218"/>
        <w:gridCol w:w="1240"/>
        <w:gridCol w:w="1107"/>
        <w:gridCol w:w="1218"/>
      </w:tblGrid>
      <w:tr w:rsidR="00250204" w:rsidRPr="00250204" w14:paraId="45F7A1D2" w14:textId="77777777" w:rsidTr="0025020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1C9" w14:textId="5CDB36BD" w:rsidR="00250204" w:rsidRPr="00056E4A" w:rsidRDefault="00005E87">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Airport</w:t>
            </w:r>
          </w:p>
        </w:tc>
        <w:tc>
          <w:tcPr>
            <w:tcW w:w="1107" w:type="dxa"/>
            <w:noWrap/>
            <w:hideMark/>
          </w:tcPr>
          <w:p w14:paraId="45F7A1CA" w14:textId="77777777" w:rsidR="00250204" w:rsidRPr="00056E4A" w:rsidRDefault="00250204" w:rsidP="00056E4A">
            <w:pPr>
              <w:spacing w:before="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Apr-Jun14</w:t>
            </w:r>
          </w:p>
        </w:tc>
        <w:tc>
          <w:tcPr>
            <w:tcW w:w="1218" w:type="dxa"/>
            <w:noWrap/>
            <w:hideMark/>
          </w:tcPr>
          <w:p w14:paraId="45F7A1CB" w14:textId="77777777" w:rsidR="00250204" w:rsidRPr="00056E4A" w:rsidRDefault="00250204" w:rsidP="00056E4A">
            <w:pPr>
              <w:spacing w:before="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Jul-Aug14</w:t>
            </w:r>
          </w:p>
        </w:tc>
        <w:tc>
          <w:tcPr>
            <w:tcW w:w="1107" w:type="dxa"/>
            <w:noWrap/>
            <w:hideMark/>
          </w:tcPr>
          <w:p w14:paraId="45F7A1CC" w14:textId="77777777" w:rsidR="00250204" w:rsidRPr="00056E4A" w:rsidRDefault="00250204" w:rsidP="00056E4A">
            <w:pPr>
              <w:spacing w:before="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Sep-14</w:t>
            </w:r>
          </w:p>
        </w:tc>
        <w:tc>
          <w:tcPr>
            <w:tcW w:w="1218" w:type="dxa"/>
            <w:noWrap/>
            <w:hideMark/>
          </w:tcPr>
          <w:p w14:paraId="45F7A1CD" w14:textId="77777777" w:rsidR="00250204" w:rsidRPr="00056E4A" w:rsidRDefault="00250204" w:rsidP="00056E4A">
            <w:pPr>
              <w:spacing w:before="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All 2014</w:t>
            </w:r>
          </w:p>
        </w:tc>
        <w:tc>
          <w:tcPr>
            <w:tcW w:w="1218" w:type="dxa"/>
            <w:noWrap/>
            <w:hideMark/>
          </w:tcPr>
          <w:p w14:paraId="45F7A1CE" w14:textId="77777777" w:rsidR="00250204" w:rsidRPr="00056E4A" w:rsidRDefault="00250204" w:rsidP="00056E4A">
            <w:pPr>
              <w:spacing w:before="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Apr-Jun15</w:t>
            </w:r>
          </w:p>
        </w:tc>
        <w:tc>
          <w:tcPr>
            <w:tcW w:w="1240" w:type="dxa"/>
            <w:noWrap/>
            <w:hideMark/>
          </w:tcPr>
          <w:p w14:paraId="45F7A1CF" w14:textId="77777777" w:rsidR="00250204" w:rsidRPr="00056E4A" w:rsidRDefault="00250204" w:rsidP="00056E4A">
            <w:pPr>
              <w:spacing w:before="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Jul-Aug15</w:t>
            </w:r>
          </w:p>
        </w:tc>
        <w:tc>
          <w:tcPr>
            <w:tcW w:w="1107" w:type="dxa"/>
            <w:noWrap/>
            <w:hideMark/>
          </w:tcPr>
          <w:p w14:paraId="45F7A1D0" w14:textId="77777777" w:rsidR="00250204" w:rsidRPr="00056E4A" w:rsidRDefault="00250204" w:rsidP="00056E4A">
            <w:pPr>
              <w:spacing w:before="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Sep-15</w:t>
            </w:r>
          </w:p>
        </w:tc>
        <w:tc>
          <w:tcPr>
            <w:tcW w:w="1218" w:type="dxa"/>
            <w:noWrap/>
            <w:hideMark/>
          </w:tcPr>
          <w:p w14:paraId="45F7A1D1" w14:textId="77777777" w:rsidR="00250204" w:rsidRPr="00056E4A" w:rsidRDefault="00250204" w:rsidP="00056E4A">
            <w:pPr>
              <w:spacing w:before="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All 2015</w:t>
            </w:r>
          </w:p>
        </w:tc>
      </w:tr>
      <w:tr w:rsidR="00250204" w:rsidRPr="00250204" w14:paraId="45F7A1DC" w14:textId="77777777" w:rsidTr="002502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1D3" w14:textId="77777777" w:rsidR="00250204" w:rsidRPr="00056E4A" w:rsidRDefault="00250204" w:rsidP="00250204">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 xml:space="preserve">Alghero </w:t>
            </w:r>
          </w:p>
        </w:tc>
        <w:tc>
          <w:tcPr>
            <w:tcW w:w="1107" w:type="dxa"/>
            <w:noWrap/>
            <w:hideMark/>
          </w:tcPr>
          <w:p w14:paraId="45F7A1D4"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467,992</w:t>
            </w:r>
          </w:p>
        </w:tc>
        <w:tc>
          <w:tcPr>
            <w:tcW w:w="1218" w:type="dxa"/>
            <w:noWrap/>
            <w:hideMark/>
          </w:tcPr>
          <w:p w14:paraId="45F7A1D5"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450,724</w:t>
            </w:r>
          </w:p>
        </w:tc>
        <w:tc>
          <w:tcPr>
            <w:tcW w:w="1107" w:type="dxa"/>
            <w:noWrap/>
            <w:hideMark/>
          </w:tcPr>
          <w:p w14:paraId="45F7A1D6"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187353</w:t>
            </w:r>
          </w:p>
        </w:tc>
        <w:tc>
          <w:tcPr>
            <w:tcW w:w="1218" w:type="dxa"/>
            <w:noWrap/>
            <w:hideMark/>
          </w:tcPr>
          <w:p w14:paraId="45F7A1D7"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1,432,020</w:t>
            </w:r>
          </w:p>
        </w:tc>
        <w:tc>
          <w:tcPr>
            <w:tcW w:w="1218" w:type="dxa"/>
            <w:noWrap/>
            <w:hideMark/>
          </w:tcPr>
          <w:p w14:paraId="45F7A1D8"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492,295</w:t>
            </w:r>
          </w:p>
        </w:tc>
        <w:tc>
          <w:tcPr>
            <w:tcW w:w="1240" w:type="dxa"/>
            <w:noWrap/>
            <w:hideMark/>
          </w:tcPr>
          <w:p w14:paraId="45F7A1D9"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452,174</w:t>
            </w:r>
          </w:p>
        </w:tc>
        <w:tc>
          <w:tcPr>
            <w:tcW w:w="1107" w:type="dxa"/>
            <w:noWrap/>
            <w:hideMark/>
          </w:tcPr>
          <w:p w14:paraId="45F7A1DA"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191503</w:t>
            </w:r>
          </w:p>
        </w:tc>
        <w:tc>
          <w:tcPr>
            <w:tcW w:w="1218" w:type="dxa"/>
            <w:noWrap/>
            <w:hideMark/>
          </w:tcPr>
          <w:p w14:paraId="45F7A1DB"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1,677,967</w:t>
            </w:r>
          </w:p>
        </w:tc>
      </w:tr>
      <w:tr w:rsidR="00250204" w:rsidRPr="00250204" w14:paraId="45F7A1E6" w14:textId="77777777" w:rsidTr="00250204">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1DD" w14:textId="77777777" w:rsidR="00250204" w:rsidRPr="00056E4A" w:rsidRDefault="00250204" w:rsidP="00250204">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Cagliari</w:t>
            </w:r>
          </w:p>
        </w:tc>
        <w:tc>
          <w:tcPr>
            <w:tcW w:w="1107" w:type="dxa"/>
            <w:noWrap/>
            <w:hideMark/>
          </w:tcPr>
          <w:p w14:paraId="45F7A1DE"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970,851</w:t>
            </w:r>
          </w:p>
        </w:tc>
        <w:tc>
          <w:tcPr>
            <w:tcW w:w="1218" w:type="dxa"/>
            <w:noWrap/>
            <w:hideMark/>
          </w:tcPr>
          <w:p w14:paraId="45F7A1DF"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982,023</w:t>
            </w:r>
          </w:p>
        </w:tc>
        <w:tc>
          <w:tcPr>
            <w:tcW w:w="1107" w:type="dxa"/>
            <w:noWrap/>
            <w:hideMark/>
          </w:tcPr>
          <w:p w14:paraId="45F7A1E0"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397381</w:t>
            </w:r>
          </w:p>
        </w:tc>
        <w:tc>
          <w:tcPr>
            <w:tcW w:w="1218" w:type="dxa"/>
            <w:noWrap/>
            <w:hideMark/>
          </w:tcPr>
          <w:p w14:paraId="45F7A1E1"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3,072,868</w:t>
            </w:r>
          </w:p>
        </w:tc>
        <w:tc>
          <w:tcPr>
            <w:tcW w:w="1218" w:type="dxa"/>
            <w:noWrap/>
            <w:hideMark/>
          </w:tcPr>
          <w:p w14:paraId="45F7A1E2"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1,013,185</w:t>
            </w:r>
          </w:p>
        </w:tc>
        <w:tc>
          <w:tcPr>
            <w:tcW w:w="1240" w:type="dxa"/>
            <w:noWrap/>
            <w:hideMark/>
          </w:tcPr>
          <w:p w14:paraId="45F7A1E3"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966,467</w:t>
            </w:r>
          </w:p>
        </w:tc>
        <w:tc>
          <w:tcPr>
            <w:tcW w:w="1107" w:type="dxa"/>
            <w:noWrap/>
            <w:hideMark/>
          </w:tcPr>
          <w:p w14:paraId="45F7A1E4"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414617</w:t>
            </w:r>
          </w:p>
        </w:tc>
        <w:tc>
          <w:tcPr>
            <w:tcW w:w="1218" w:type="dxa"/>
            <w:noWrap/>
            <w:hideMark/>
          </w:tcPr>
          <w:p w14:paraId="45F7A1E5"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3,719,289</w:t>
            </w:r>
          </w:p>
        </w:tc>
      </w:tr>
      <w:tr w:rsidR="00250204" w:rsidRPr="00250204" w14:paraId="45F7A1F0" w14:textId="77777777" w:rsidTr="002502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1E7" w14:textId="77777777" w:rsidR="00250204" w:rsidRPr="00056E4A" w:rsidRDefault="00250204" w:rsidP="00250204">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Olbia</w:t>
            </w:r>
          </w:p>
        </w:tc>
        <w:tc>
          <w:tcPr>
            <w:tcW w:w="1107" w:type="dxa"/>
            <w:noWrap/>
            <w:hideMark/>
          </w:tcPr>
          <w:p w14:paraId="45F7A1E8"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563,820</w:t>
            </w:r>
          </w:p>
        </w:tc>
        <w:tc>
          <w:tcPr>
            <w:tcW w:w="1218" w:type="dxa"/>
            <w:noWrap/>
            <w:hideMark/>
          </w:tcPr>
          <w:p w14:paraId="45F7A1E9"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914,642</w:t>
            </w:r>
          </w:p>
        </w:tc>
        <w:tc>
          <w:tcPr>
            <w:tcW w:w="1107" w:type="dxa"/>
            <w:noWrap/>
            <w:hideMark/>
          </w:tcPr>
          <w:p w14:paraId="45F7A1EA"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292122</w:t>
            </w:r>
          </w:p>
        </w:tc>
        <w:tc>
          <w:tcPr>
            <w:tcW w:w="1218" w:type="dxa"/>
            <w:noWrap/>
            <w:hideMark/>
          </w:tcPr>
          <w:p w14:paraId="45F7A1EB"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1,993,110</w:t>
            </w:r>
          </w:p>
        </w:tc>
        <w:tc>
          <w:tcPr>
            <w:tcW w:w="1218" w:type="dxa"/>
            <w:noWrap/>
            <w:hideMark/>
          </w:tcPr>
          <w:p w14:paraId="45F7A1EC"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580,117</w:t>
            </w:r>
          </w:p>
        </w:tc>
        <w:tc>
          <w:tcPr>
            <w:tcW w:w="1240" w:type="dxa"/>
            <w:noWrap/>
            <w:hideMark/>
          </w:tcPr>
          <w:p w14:paraId="45F7A1ED"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985,409</w:t>
            </w:r>
          </w:p>
        </w:tc>
        <w:tc>
          <w:tcPr>
            <w:tcW w:w="1107" w:type="dxa"/>
            <w:noWrap/>
            <w:hideMark/>
          </w:tcPr>
          <w:p w14:paraId="45F7A1EE"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313467</w:t>
            </w:r>
          </w:p>
        </w:tc>
        <w:tc>
          <w:tcPr>
            <w:tcW w:w="1218" w:type="dxa"/>
            <w:noWrap/>
            <w:hideMark/>
          </w:tcPr>
          <w:p w14:paraId="45F7A1EF"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2,240,016</w:t>
            </w:r>
          </w:p>
        </w:tc>
      </w:tr>
      <w:tr w:rsidR="00250204" w:rsidRPr="00250204" w14:paraId="45F7A1FA" w14:textId="77777777" w:rsidTr="00250204">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1F1" w14:textId="77777777" w:rsidR="00250204" w:rsidRPr="00056E4A" w:rsidRDefault="00250204" w:rsidP="00056E4A">
            <w:pPr>
              <w:spacing w:before="0" w:line="240" w:lineRule="auto"/>
              <w:ind w:firstLine="0"/>
              <w:contextualSpacing w:val="0"/>
              <w:jc w:val="righ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Total Sardinia</w:t>
            </w:r>
          </w:p>
        </w:tc>
        <w:tc>
          <w:tcPr>
            <w:tcW w:w="1107" w:type="dxa"/>
            <w:noWrap/>
            <w:hideMark/>
          </w:tcPr>
          <w:p w14:paraId="45F7A1F2"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2,002,663</w:t>
            </w:r>
          </w:p>
        </w:tc>
        <w:tc>
          <w:tcPr>
            <w:tcW w:w="1218" w:type="dxa"/>
            <w:noWrap/>
            <w:hideMark/>
          </w:tcPr>
          <w:p w14:paraId="45F7A1F3"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2,347,389</w:t>
            </w:r>
          </w:p>
        </w:tc>
        <w:tc>
          <w:tcPr>
            <w:tcW w:w="1107" w:type="dxa"/>
            <w:noWrap/>
            <w:hideMark/>
          </w:tcPr>
          <w:p w14:paraId="45F7A1F4"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876856</w:t>
            </w:r>
          </w:p>
        </w:tc>
        <w:tc>
          <w:tcPr>
            <w:tcW w:w="1218" w:type="dxa"/>
            <w:noWrap/>
            <w:hideMark/>
          </w:tcPr>
          <w:p w14:paraId="45F7A1F5"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6,497,998</w:t>
            </w:r>
          </w:p>
        </w:tc>
        <w:tc>
          <w:tcPr>
            <w:tcW w:w="1218" w:type="dxa"/>
            <w:noWrap/>
            <w:hideMark/>
          </w:tcPr>
          <w:p w14:paraId="45F7A1F6"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2,085,597</w:t>
            </w:r>
          </w:p>
        </w:tc>
        <w:tc>
          <w:tcPr>
            <w:tcW w:w="1240" w:type="dxa"/>
            <w:noWrap/>
            <w:hideMark/>
          </w:tcPr>
          <w:p w14:paraId="45F7A1F7"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2,404,050</w:t>
            </w:r>
          </w:p>
        </w:tc>
        <w:tc>
          <w:tcPr>
            <w:tcW w:w="1107" w:type="dxa"/>
            <w:noWrap/>
            <w:hideMark/>
          </w:tcPr>
          <w:p w14:paraId="45F7A1F8"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919587</w:t>
            </w:r>
          </w:p>
        </w:tc>
        <w:tc>
          <w:tcPr>
            <w:tcW w:w="1218" w:type="dxa"/>
            <w:noWrap/>
            <w:hideMark/>
          </w:tcPr>
          <w:p w14:paraId="45F7A1F9"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7,637,272</w:t>
            </w:r>
          </w:p>
        </w:tc>
      </w:tr>
      <w:tr w:rsidR="00250204" w:rsidRPr="00250204" w14:paraId="45F7A204" w14:textId="77777777" w:rsidTr="002502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1FB" w14:textId="77777777" w:rsidR="00250204" w:rsidRPr="00056E4A" w:rsidRDefault="00250204" w:rsidP="00250204">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Catania</w:t>
            </w:r>
          </w:p>
        </w:tc>
        <w:tc>
          <w:tcPr>
            <w:tcW w:w="1107" w:type="dxa"/>
            <w:noWrap/>
            <w:hideMark/>
          </w:tcPr>
          <w:p w14:paraId="45F7A1FC"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2,079,123</w:t>
            </w:r>
          </w:p>
        </w:tc>
        <w:tc>
          <w:tcPr>
            <w:tcW w:w="1218" w:type="dxa"/>
            <w:noWrap/>
            <w:hideMark/>
          </w:tcPr>
          <w:p w14:paraId="45F7A1FD"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1,682,692</w:t>
            </w:r>
          </w:p>
        </w:tc>
        <w:tc>
          <w:tcPr>
            <w:tcW w:w="1107" w:type="dxa"/>
            <w:noWrap/>
            <w:hideMark/>
          </w:tcPr>
          <w:p w14:paraId="45F7A1FE"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766113</w:t>
            </w:r>
          </w:p>
        </w:tc>
        <w:tc>
          <w:tcPr>
            <w:tcW w:w="1218" w:type="dxa"/>
            <w:noWrap/>
            <w:hideMark/>
          </w:tcPr>
          <w:p w14:paraId="45F7A1FF"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6,060,759</w:t>
            </w:r>
          </w:p>
        </w:tc>
        <w:tc>
          <w:tcPr>
            <w:tcW w:w="1218" w:type="dxa"/>
            <w:noWrap/>
            <w:hideMark/>
          </w:tcPr>
          <w:p w14:paraId="45F7A200"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2,002,753</w:t>
            </w:r>
          </w:p>
        </w:tc>
        <w:tc>
          <w:tcPr>
            <w:tcW w:w="1240" w:type="dxa"/>
            <w:noWrap/>
            <w:hideMark/>
          </w:tcPr>
          <w:p w14:paraId="45F7A201"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1,544,113</w:t>
            </w:r>
          </w:p>
        </w:tc>
        <w:tc>
          <w:tcPr>
            <w:tcW w:w="1107" w:type="dxa"/>
            <w:noWrap/>
            <w:hideMark/>
          </w:tcPr>
          <w:p w14:paraId="45F7A202"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724177</w:t>
            </w:r>
          </w:p>
        </w:tc>
        <w:tc>
          <w:tcPr>
            <w:tcW w:w="1218" w:type="dxa"/>
            <w:noWrap/>
            <w:hideMark/>
          </w:tcPr>
          <w:p w14:paraId="45F7A203"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7,105,487</w:t>
            </w:r>
          </w:p>
        </w:tc>
      </w:tr>
      <w:tr w:rsidR="00250204" w:rsidRPr="00250204" w14:paraId="45F7A20E" w14:textId="77777777" w:rsidTr="00250204">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205" w14:textId="77777777" w:rsidR="00250204" w:rsidRPr="00056E4A" w:rsidRDefault="00250204" w:rsidP="00250204">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Palermo</w:t>
            </w:r>
          </w:p>
        </w:tc>
        <w:tc>
          <w:tcPr>
            <w:tcW w:w="1107" w:type="dxa"/>
            <w:noWrap/>
            <w:hideMark/>
          </w:tcPr>
          <w:p w14:paraId="45F7A206"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1,266,039</w:t>
            </w:r>
          </w:p>
        </w:tc>
        <w:tc>
          <w:tcPr>
            <w:tcW w:w="1218" w:type="dxa"/>
            <w:noWrap/>
            <w:hideMark/>
          </w:tcPr>
          <w:p w14:paraId="45F7A207"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1,071,511</w:t>
            </w:r>
          </w:p>
        </w:tc>
        <w:tc>
          <w:tcPr>
            <w:tcW w:w="1107" w:type="dxa"/>
            <w:noWrap/>
            <w:hideMark/>
          </w:tcPr>
          <w:p w14:paraId="45F7A208"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484810</w:t>
            </w:r>
          </w:p>
        </w:tc>
        <w:tc>
          <w:tcPr>
            <w:tcW w:w="1218" w:type="dxa"/>
            <w:noWrap/>
            <w:hideMark/>
          </w:tcPr>
          <w:p w14:paraId="45F7A209"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3,795,716</w:t>
            </w:r>
          </w:p>
        </w:tc>
        <w:tc>
          <w:tcPr>
            <w:tcW w:w="1218" w:type="dxa"/>
            <w:noWrap/>
            <w:hideMark/>
          </w:tcPr>
          <w:p w14:paraId="45F7A20A"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1,334,638</w:t>
            </w:r>
          </w:p>
        </w:tc>
        <w:tc>
          <w:tcPr>
            <w:tcW w:w="1240" w:type="dxa"/>
            <w:noWrap/>
            <w:hideMark/>
          </w:tcPr>
          <w:p w14:paraId="45F7A20B"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1,135,577</w:t>
            </w:r>
          </w:p>
        </w:tc>
        <w:tc>
          <w:tcPr>
            <w:tcW w:w="1107" w:type="dxa"/>
            <w:noWrap/>
            <w:hideMark/>
          </w:tcPr>
          <w:p w14:paraId="45F7A20C"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518033</w:t>
            </w:r>
          </w:p>
        </w:tc>
        <w:tc>
          <w:tcPr>
            <w:tcW w:w="1218" w:type="dxa"/>
            <w:noWrap/>
            <w:hideMark/>
          </w:tcPr>
          <w:p w14:paraId="45F7A20D"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4,910,791</w:t>
            </w:r>
          </w:p>
        </w:tc>
      </w:tr>
      <w:tr w:rsidR="00250204" w:rsidRPr="00250204" w14:paraId="45F7A218" w14:textId="77777777" w:rsidTr="002502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20F" w14:textId="77777777" w:rsidR="00250204" w:rsidRPr="00056E4A" w:rsidRDefault="00250204" w:rsidP="00250204">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Trapani</w:t>
            </w:r>
          </w:p>
        </w:tc>
        <w:tc>
          <w:tcPr>
            <w:tcW w:w="1107" w:type="dxa"/>
            <w:noWrap/>
            <w:hideMark/>
          </w:tcPr>
          <w:p w14:paraId="45F7A210"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479,493</w:t>
            </w:r>
          </w:p>
        </w:tc>
        <w:tc>
          <w:tcPr>
            <w:tcW w:w="1218" w:type="dxa"/>
            <w:noWrap/>
            <w:hideMark/>
          </w:tcPr>
          <w:p w14:paraId="45F7A211"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376,526</w:t>
            </w:r>
          </w:p>
        </w:tc>
        <w:tc>
          <w:tcPr>
            <w:tcW w:w="1107" w:type="dxa"/>
            <w:noWrap/>
            <w:hideMark/>
          </w:tcPr>
          <w:p w14:paraId="45F7A212"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176075</w:t>
            </w:r>
          </w:p>
        </w:tc>
        <w:tc>
          <w:tcPr>
            <w:tcW w:w="1218" w:type="dxa"/>
            <w:noWrap/>
            <w:hideMark/>
          </w:tcPr>
          <w:p w14:paraId="45F7A213"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1,364,251</w:t>
            </w:r>
          </w:p>
        </w:tc>
        <w:tc>
          <w:tcPr>
            <w:tcW w:w="1218" w:type="dxa"/>
            <w:noWrap/>
            <w:hideMark/>
          </w:tcPr>
          <w:p w14:paraId="45F7A214"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480,366</w:t>
            </w:r>
          </w:p>
        </w:tc>
        <w:tc>
          <w:tcPr>
            <w:tcW w:w="1240" w:type="dxa"/>
            <w:noWrap/>
            <w:hideMark/>
          </w:tcPr>
          <w:p w14:paraId="45F7A215"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358,282</w:t>
            </w:r>
          </w:p>
        </w:tc>
        <w:tc>
          <w:tcPr>
            <w:tcW w:w="1107" w:type="dxa"/>
            <w:noWrap/>
            <w:hideMark/>
          </w:tcPr>
          <w:p w14:paraId="45F7A216"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172499</w:t>
            </w:r>
          </w:p>
        </w:tc>
        <w:tc>
          <w:tcPr>
            <w:tcW w:w="1218" w:type="dxa"/>
            <w:noWrap/>
            <w:hideMark/>
          </w:tcPr>
          <w:p w14:paraId="45F7A217"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1,586,992</w:t>
            </w:r>
          </w:p>
        </w:tc>
      </w:tr>
      <w:tr w:rsidR="00250204" w:rsidRPr="00250204" w14:paraId="45F7A222" w14:textId="77777777" w:rsidTr="00250204">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219" w14:textId="77777777" w:rsidR="00250204" w:rsidRPr="00056E4A" w:rsidRDefault="00250204" w:rsidP="00056E4A">
            <w:pPr>
              <w:spacing w:before="0" w:line="240" w:lineRule="auto"/>
              <w:ind w:firstLine="0"/>
              <w:contextualSpacing w:val="0"/>
              <w:jc w:val="righ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Total Sicily</w:t>
            </w:r>
          </w:p>
        </w:tc>
        <w:tc>
          <w:tcPr>
            <w:tcW w:w="1107" w:type="dxa"/>
            <w:noWrap/>
            <w:hideMark/>
          </w:tcPr>
          <w:p w14:paraId="45F7A21A"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1,745,532</w:t>
            </w:r>
          </w:p>
        </w:tc>
        <w:tc>
          <w:tcPr>
            <w:tcW w:w="1218" w:type="dxa"/>
            <w:noWrap/>
            <w:hideMark/>
          </w:tcPr>
          <w:p w14:paraId="45F7A21B"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1,448,037</w:t>
            </w:r>
          </w:p>
        </w:tc>
        <w:tc>
          <w:tcPr>
            <w:tcW w:w="1107" w:type="dxa"/>
            <w:noWrap/>
            <w:hideMark/>
          </w:tcPr>
          <w:p w14:paraId="45F7A21C"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660885</w:t>
            </w:r>
          </w:p>
        </w:tc>
        <w:tc>
          <w:tcPr>
            <w:tcW w:w="1218" w:type="dxa"/>
            <w:noWrap/>
            <w:hideMark/>
          </w:tcPr>
          <w:p w14:paraId="45F7A21D"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5,159,967</w:t>
            </w:r>
          </w:p>
        </w:tc>
        <w:tc>
          <w:tcPr>
            <w:tcW w:w="1218" w:type="dxa"/>
            <w:noWrap/>
            <w:hideMark/>
          </w:tcPr>
          <w:p w14:paraId="45F7A21E"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1,815,004</w:t>
            </w:r>
          </w:p>
        </w:tc>
        <w:tc>
          <w:tcPr>
            <w:tcW w:w="1240" w:type="dxa"/>
            <w:noWrap/>
            <w:hideMark/>
          </w:tcPr>
          <w:p w14:paraId="45F7A21F"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1,493,859</w:t>
            </w:r>
          </w:p>
        </w:tc>
        <w:tc>
          <w:tcPr>
            <w:tcW w:w="1107" w:type="dxa"/>
            <w:noWrap/>
            <w:hideMark/>
          </w:tcPr>
          <w:p w14:paraId="45F7A220"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690532</w:t>
            </w:r>
          </w:p>
        </w:tc>
        <w:tc>
          <w:tcPr>
            <w:tcW w:w="1218" w:type="dxa"/>
            <w:noWrap/>
            <w:hideMark/>
          </w:tcPr>
          <w:p w14:paraId="45F7A221"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6,497,783</w:t>
            </w:r>
          </w:p>
        </w:tc>
      </w:tr>
      <w:tr w:rsidR="00250204" w:rsidRPr="00250204" w14:paraId="45F7A22C" w14:textId="77777777" w:rsidTr="002502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223" w14:textId="77777777" w:rsidR="00250204" w:rsidRPr="00056E4A" w:rsidRDefault="00250204" w:rsidP="00250204">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Ajaccio</w:t>
            </w:r>
          </w:p>
        </w:tc>
        <w:tc>
          <w:tcPr>
            <w:tcW w:w="1107" w:type="dxa"/>
            <w:noWrap/>
            <w:hideMark/>
          </w:tcPr>
          <w:p w14:paraId="45F7A224"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403,450</w:t>
            </w:r>
          </w:p>
        </w:tc>
        <w:tc>
          <w:tcPr>
            <w:tcW w:w="1218" w:type="dxa"/>
            <w:noWrap/>
            <w:hideMark/>
          </w:tcPr>
          <w:p w14:paraId="45F7A225"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433,958</w:t>
            </w:r>
          </w:p>
        </w:tc>
        <w:tc>
          <w:tcPr>
            <w:tcW w:w="1107" w:type="dxa"/>
            <w:hideMark/>
          </w:tcPr>
          <w:p w14:paraId="45F7A226"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153,860</w:t>
            </w:r>
          </w:p>
        </w:tc>
        <w:tc>
          <w:tcPr>
            <w:tcW w:w="1218" w:type="dxa"/>
            <w:noWrap/>
            <w:hideMark/>
          </w:tcPr>
          <w:p w14:paraId="45F7A227"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1,205,103</w:t>
            </w:r>
          </w:p>
        </w:tc>
        <w:tc>
          <w:tcPr>
            <w:tcW w:w="1218" w:type="dxa"/>
            <w:noWrap/>
            <w:hideMark/>
          </w:tcPr>
          <w:p w14:paraId="45F7A228"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402,350</w:t>
            </w:r>
          </w:p>
        </w:tc>
        <w:tc>
          <w:tcPr>
            <w:tcW w:w="1240" w:type="dxa"/>
            <w:noWrap/>
            <w:hideMark/>
          </w:tcPr>
          <w:p w14:paraId="45F7A229"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427,668</w:t>
            </w:r>
          </w:p>
        </w:tc>
        <w:tc>
          <w:tcPr>
            <w:tcW w:w="1107" w:type="dxa"/>
            <w:hideMark/>
          </w:tcPr>
          <w:p w14:paraId="45F7A22A"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494529"/>
                <w:sz w:val="18"/>
                <w:szCs w:val="18"/>
                <w:lang w:eastAsia="en-GB"/>
              </w:rPr>
            </w:pPr>
            <w:r w:rsidRPr="00056E4A">
              <w:rPr>
                <w:rFonts w:ascii="Arial" w:hAnsi="Arial" w:cs="Arial"/>
                <w:color w:val="494529"/>
                <w:sz w:val="18"/>
                <w:szCs w:val="18"/>
                <w:lang w:eastAsia="en-GB"/>
              </w:rPr>
              <w:t>157,372</w:t>
            </w:r>
          </w:p>
        </w:tc>
        <w:tc>
          <w:tcPr>
            <w:tcW w:w="1218" w:type="dxa"/>
            <w:noWrap/>
            <w:hideMark/>
          </w:tcPr>
          <w:p w14:paraId="45F7A22B"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1,362,353</w:t>
            </w:r>
          </w:p>
        </w:tc>
      </w:tr>
      <w:tr w:rsidR="00250204" w:rsidRPr="00250204" w14:paraId="45F7A236" w14:textId="77777777" w:rsidTr="00250204">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22D" w14:textId="77777777" w:rsidR="00250204" w:rsidRPr="00056E4A" w:rsidRDefault="00250204" w:rsidP="00250204">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Bastia</w:t>
            </w:r>
          </w:p>
        </w:tc>
        <w:tc>
          <w:tcPr>
            <w:tcW w:w="1107" w:type="dxa"/>
            <w:noWrap/>
            <w:hideMark/>
          </w:tcPr>
          <w:p w14:paraId="45F7A22E"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321,466</w:t>
            </w:r>
          </w:p>
        </w:tc>
        <w:tc>
          <w:tcPr>
            <w:tcW w:w="1218" w:type="dxa"/>
            <w:noWrap/>
            <w:hideMark/>
          </w:tcPr>
          <w:p w14:paraId="45F7A22F"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362,653</w:t>
            </w:r>
          </w:p>
        </w:tc>
        <w:tc>
          <w:tcPr>
            <w:tcW w:w="1107" w:type="dxa"/>
            <w:hideMark/>
          </w:tcPr>
          <w:p w14:paraId="45F7A230"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121,664</w:t>
            </w:r>
          </w:p>
        </w:tc>
        <w:tc>
          <w:tcPr>
            <w:tcW w:w="1218" w:type="dxa"/>
            <w:noWrap/>
            <w:hideMark/>
          </w:tcPr>
          <w:p w14:paraId="45F7A231"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1,007,739</w:t>
            </w:r>
          </w:p>
        </w:tc>
        <w:tc>
          <w:tcPr>
            <w:tcW w:w="1218" w:type="dxa"/>
            <w:noWrap/>
            <w:hideMark/>
          </w:tcPr>
          <w:p w14:paraId="45F7A232"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329,212</w:t>
            </w:r>
          </w:p>
        </w:tc>
        <w:tc>
          <w:tcPr>
            <w:tcW w:w="1240" w:type="dxa"/>
            <w:noWrap/>
            <w:hideMark/>
          </w:tcPr>
          <w:p w14:paraId="45F7A233"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369,097</w:t>
            </w:r>
          </w:p>
        </w:tc>
        <w:tc>
          <w:tcPr>
            <w:tcW w:w="1107" w:type="dxa"/>
            <w:hideMark/>
          </w:tcPr>
          <w:p w14:paraId="45F7A234"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494529"/>
                <w:sz w:val="18"/>
                <w:szCs w:val="18"/>
                <w:lang w:eastAsia="en-GB"/>
              </w:rPr>
            </w:pPr>
            <w:r w:rsidRPr="00056E4A">
              <w:rPr>
                <w:rFonts w:ascii="Arial" w:hAnsi="Arial" w:cs="Arial"/>
                <w:color w:val="494529"/>
                <w:sz w:val="18"/>
                <w:szCs w:val="18"/>
                <w:lang w:eastAsia="en-GB"/>
              </w:rPr>
              <w:t>139,625</w:t>
            </w:r>
          </w:p>
        </w:tc>
        <w:tc>
          <w:tcPr>
            <w:tcW w:w="1218" w:type="dxa"/>
            <w:noWrap/>
            <w:hideMark/>
          </w:tcPr>
          <w:p w14:paraId="45F7A235"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1,191,273</w:t>
            </w:r>
          </w:p>
        </w:tc>
      </w:tr>
      <w:tr w:rsidR="00250204" w:rsidRPr="00250204" w14:paraId="45F7A240" w14:textId="77777777" w:rsidTr="002502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237" w14:textId="77777777" w:rsidR="00250204" w:rsidRPr="00056E4A" w:rsidRDefault="00250204" w:rsidP="00250204">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Figari</w:t>
            </w:r>
          </w:p>
        </w:tc>
        <w:tc>
          <w:tcPr>
            <w:tcW w:w="1107" w:type="dxa"/>
            <w:noWrap/>
            <w:hideMark/>
          </w:tcPr>
          <w:p w14:paraId="45F7A238"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137,515</w:t>
            </w:r>
          </w:p>
        </w:tc>
        <w:tc>
          <w:tcPr>
            <w:tcW w:w="1218" w:type="dxa"/>
            <w:noWrap/>
            <w:hideMark/>
          </w:tcPr>
          <w:p w14:paraId="45F7A239"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213,481</w:t>
            </w:r>
          </w:p>
        </w:tc>
        <w:tc>
          <w:tcPr>
            <w:tcW w:w="1107" w:type="dxa"/>
            <w:hideMark/>
          </w:tcPr>
          <w:p w14:paraId="45F7A23A"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58,622</w:t>
            </w:r>
          </w:p>
        </w:tc>
        <w:tc>
          <w:tcPr>
            <w:tcW w:w="1218" w:type="dxa"/>
            <w:noWrap/>
            <w:hideMark/>
          </w:tcPr>
          <w:p w14:paraId="45F7A23B"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472,569</w:t>
            </w:r>
          </w:p>
        </w:tc>
        <w:tc>
          <w:tcPr>
            <w:tcW w:w="1218" w:type="dxa"/>
            <w:noWrap/>
            <w:hideMark/>
          </w:tcPr>
          <w:p w14:paraId="45F7A23C"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165,863</w:t>
            </w:r>
          </w:p>
        </w:tc>
        <w:tc>
          <w:tcPr>
            <w:tcW w:w="1240" w:type="dxa"/>
            <w:noWrap/>
            <w:hideMark/>
          </w:tcPr>
          <w:p w14:paraId="45F7A23D"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248,351</w:t>
            </w:r>
          </w:p>
        </w:tc>
        <w:tc>
          <w:tcPr>
            <w:tcW w:w="1107" w:type="dxa"/>
            <w:hideMark/>
          </w:tcPr>
          <w:p w14:paraId="45F7A23E"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494529"/>
                <w:sz w:val="18"/>
                <w:szCs w:val="18"/>
                <w:lang w:eastAsia="en-GB"/>
              </w:rPr>
            </w:pPr>
            <w:r w:rsidRPr="00056E4A">
              <w:rPr>
                <w:rFonts w:ascii="Arial" w:hAnsi="Arial" w:cs="Arial"/>
                <w:color w:val="494529"/>
                <w:sz w:val="18"/>
                <w:szCs w:val="18"/>
                <w:lang w:eastAsia="en-GB"/>
              </w:rPr>
              <w:t>68,371</w:t>
            </w:r>
          </w:p>
        </w:tc>
        <w:tc>
          <w:tcPr>
            <w:tcW w:w="1218" w:type="dxa"/>
            <w:noWrap/>
            <w:hideMark/>
          </w:tcPr>
          <w:p w14:paraId="45F7A23F"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586,046</w:t>
            </w:r>
          </w:p>
        </w:tc>
      </w:tr>
      <w:tr w:rsidR="00250204" w:rsidRPr="00250204" w14:paraId="45F7A24A" w14:textId="77777777" w:rsidTr="00250204">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241" w14:textId="77777777" w:rsidR="00250204" w:rsidRPr="00056E4A" w:rsidRDefault="00250204" w:rsidP="00250204">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Calvi</w:t>
            </w:r>
          </w:p>
        </w:tc>
        <w:tc>
          <w:tcPr>
            <w:tcW w:w="1107" w:type="dxa"/>
            <w:noWrap/>
            <w:hideMark/>
          </w:tcPr>
          <w:p w14:paraId="45F7A242"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98,521</w:t>
            </w:r>
          </w:p>
        </w:tc>
        <w:tc>
          <w:tcPr>
            <w:tcW w:w="1218" w:type="dxa"/>
            <w:noWrap/>
            <w:hideMark/>
          </w:tcPr>
          <w:p w14:paraId="45F7A243"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130,419</w:t>
            </w:r>
          </w:p>
        </w:tc>
        <w:tc>
          <w:tcPr>
            <w:tcW w:w="1107" w:type="dxa"/>
            <w:hideMark/>
          </w:tcPr>
          <w:p w14:paraId="45F7A244"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38,618</w:t>
            </w:r>
          </w:p>
        </w:tc>
        <w:tc>
          <w:tcPr>
            <w:tcW w:w="1218" w:type="dxa"/>
            <w:noWrap/>
            <w:hideMark/>
          </w:tcPr>
          <w:p w14:paraId="45F7A245"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305,062</w:t>
            </w:r>
          </w:p>
        </w:tc>
        <w:tc>
          <w:tcPr>
            <w:tcW w:w="1218" w:type="dxa"/>
            <w:noWrap/>
            <w:hideMark/>
          </w:tcPr>
          <w:p w14:paraId="45F7A246"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92,800</w:t>
            </w:r>
          </w:p>
        </w:tc>
        <w:tc>
          <w:tcPr>
            <w:tcW w:w="1240" w:type="dxa"/>
            <w:noWrap/>
            <w:hideMark/>
          </w:tcPr>
          <w:p w14:paraId="45F7A247"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130,011</w:t>
            </w:r>
          </w:p>
        </w:tc>
        <w:tc>
          <w:tcPr>
            <w:tcW w:w="1107" w:type="dxa"/>
            <w:hideMark/>
          </w:tcPr>
          <w:p w14:paraId="45F7A248"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494529"/>
                <w:sz w:val="18"/>
                <w:szCs w:val="18"/>
                <w:lang w:eastAsia="en-GB"/>
              </w:rPr>
            </w:pPr>
            <w:r w:rsidRPr="00056E4A">
              <w:rPr>
                <w:rFonts w:ascii="Arial" w:hAnsi="Arial" w:cs="Arial"/>
                <w:color w:val="494529"/>
                <w:sz w:val="18"/>
                <w:szCs w:val="18"/>
                <w:lang w:eastAsia="en-GB"/>
              </w:rPr>
              <w:t>36,195</w:t>
            </w:r>
          </w:p>
        </w:tc>
        <w:tc>
          <w:tcPr>
            <w:tcW w:w="1218" w:type="dxa"/>
            <w:noWrap/>
            <w:hideMark/>
          </w:tcPr>
          <w:p w14:paraId="45F7A249"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317,175</w:t>
            </w:r>
          </w:p>
        </w:tc>
      </w:tr>
      <w:tr w:rsidR="00250204" w:rsidRPr="00250204" w14:paraId="45F7A254" w14:textId="77777777" w:rsidTr="002502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24B" w14:textId="77777777" w:rsidR="00250204" w:rsidRPr="00056E4A" w:rsidRDefault="00250204" w:rsidP="00056E4A">
            <w:pPr>
              <w:spacing w:before="0" w:line="240" w:lineRule="auto"/>
              <w:ind w:firstLine="0"/>
              <w:contextualSpacing w:val="0"/>
              <w:jc w:val="righ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Total Corsica</w:t>
            </w:r>
          </w:p>
        </w:tc>
        <w:tc>
          <w:tcPr>
            <w:tcW w:w="1107" w:type="dxa"/>
            <w:noWrap/>
            <w:hideMark/>
          </w:tcPr>
          <w:p w14:paraId="45F7A24C"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960,952</w:t>
            </w:r>
          </w:p>
        </w:tc>
        <w:tc>
          <w:tcPr>
            <w:tcW w:w="1218" w:type="dxa"/>
            <w:noWrap/>
            <w:hideMark/>
          </w:tcPr>
          <w:p w14:paraId="45F7A24D"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1,140,511</w:t>
            </w:r>
          </w:p>
        </w:tc>
        <w:tc>
          <w:tcPr>
            <w:tcW w:w="1107" w:type="dxa"/>
            <w:noWrap/>
            <w:hideMark/>
          </w:tcPr>
          <w:p w14:paraId="45F7A24E"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372,764</w:t>
            </w:r>
          </w:p>
        </w:tc>
        <w:tc>
          <w:tcPr>
            <w:tcW w:w="1218" w:type="dxa"/>
            <w:noWrap/>
            <w:hideMark/>
          </w:tcPr>
          <w:p w14:paraId="45F7A24F"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2,990,473</w:t>
            </w:r>
          </w:p>
        </w:tc>
        <w:tc>
          <w:tcPr>
            <w:tcW w:w="1218" w:type="dxa"/>
            <w:noWrap/>
            <w:hideMark/>
          </w:tcPr>
          <w:p w14:paraId="45F7A250"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990,225</w:t>
            </w:r>
          </w:p>
        </w:tc>
        <w:tc>
          <w:tcPr>
            <w:tcW w:w="1240" w:type="dxa"/>
            <w:noWrap/>
            <w:hideMark/>
          </w:tcPr>
          <w:p w14:paraId="45F7A251"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1,175,127</w:t>
            </w:r>
          </w:p>
        </w:tc>
        <w:tc>
          <w:tcPr>
            <w:tcW w:w="1107" w:type="dxa"/>
            <w:noWrap/>
            <w:hideMark/>
          </w:tcPr>
          <w:p w14:paraId="45F7A252"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401,563</w:t>
            </w:r>
          </w:p>
        </w:tc>
        <w:tc>
          <w:tcPr>
            <w:tcW w:w="1218" w:type="dxa"/>
            <w:noWrap/>
            <w:hideMark/>
          </w:tcPr>
          <w:p w14:paraId="45F7A253"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3,456,847</w:t>
            </w:r>
          </w:p>
        </w:tc>
      </w:tr>
      <w:tr w:rsidR="00250204" w:rsidRPr="00250204" w14:paraId="45F7A25E" w14:textId="77777777" w:rsidTr="00250204">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255" w14:textId="77777777" w:rsidR="00250204" w:rsidRPr="00056E4A" w:rsidRDefault="00250204" w:rsidP="00250204">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Mallorca</w:t>
            </w:r>
          </w:p>
        </w:tc>
        <w:tc>
          <w:tcPr>
            <w:tcW w:w="1107" w:type="dxa"/>
            <w:noWrap/>
            <w:hideMark/>
          </w:tcPr>
          <w:p w14:paraId="45F7A256"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7,246,256</w:t>
            </w:r>
          </w:p>
        </w:tc>
        <w:tc>
          <w:tcPr>
            <w:tcW w:w="1218" w:type="dxa"/>
            <w:noWrap/>
            <w:hideMark/>
          </w:tcPr>
          <w:p w14:paraId="45F7A257"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7,194,751</w:t>
            </w:r>
          </w:p>
        </w:tc>
        <w:tc>
          <w:tcPr>
            <w:tcW w:w="1107" w:type="dxa"/>
            <w:noWrap/>
            <w:hideMark/>
          </w:tcPr>
          <w:p w14:paraId="45F7A258"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3,061,013</w:t>
            </w:r>
          </w:p>
        </w:tc>
        <w:tc>
          <w:tcPr>
            <w:tcW w:w="1218" w:type="dxa"/>
            <w:noWrap/>
            <w:hideMark/>
          </w:tcPr>
          <w:p w14:paraId="45F7A259"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21,087,942</w:t>
            </w:r>
          </w:p>
        </w:tc>
        <w:tc>
          <w:tcPr>
            <w:tcW w:w="1218" w:type="dxa"/>
            <w:noWrap/>
            <w:hideMark/>
          </w:tcPr>
          <w:p w14:paraId="45F7A25A"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7,399,767</w:t>
            </w:r>
          </w:p>
        </w:tc>
        <w:tc>
          <w:tcPr>
            <w:tcW w:w="1240" w:type="dxa"/>
            <w:noWrap/>
            <w:hideMark/>
          </w:tcPr>
          <w:p w14:paraId="45F7A25B"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7,278,878</w:t>
            </w:r>
          </w:p>
        </w:tc>
        <w:tc>
          <w:tcPr>
            <w:tcW w:w="1107" w:type="dxa"/>
            <w:noWrap/>
            <w:hideMark/>
          </w:tcPr>
          <w:p w14:paraId="45F7A25C"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3,114,934</w:t>
            </w:r>
          </w:p>
        </w:tc>
        <w:tc>
          <w:tcPr>
            <w:tcW w:w="1218" w:type="dxa"/>
            <w:noWrap/>
            <w:hideMark/>
          </w:tcPr>
          <w:p w14:paraId="45F7A25D"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23,745,131</w:t>
            </w:r>
          </w:p>
        </w:tc>
      </w:tr>
      <w:tr w:rsidR="00250204" w:rsidRPr="00250204" w14:paraId="45F7A268" w14:textId="77777777" w:rsidTr="002502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25F" w14:textId="77777777" w:rsidR="00250204" w:rsidRPr="00056E4A" w:rsidRDefault="00250204" w:rsidP="00250204">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Ibiza</w:t>
            </w:r>
          </w:p>
        </w:tc>
        <w:tc>
          <w:tcPr>
            <w:tcW w:w="1107" w:type="dxa"/>
            <w:noWrap/>
            <w:hideMark/>
          </w:tcPr>
          <w:p w14:paraId="45F7A260"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1,796,084</w:t>
            </w:r>
          </w:p>
        </w:tc>
        <w:tc>
          <w:tcPr>
            <w:tcW w:w="1218" w:type="dxa"/>
            <w:noWrap/>
            <w:hideMark/>
          </w:tcPr>
          <w:p w14:paraId="45F7A261"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2,401,736</w:t>
            </w:r>
          </w:p>
        </w:tc>
        <w:tc>
          <w:tcPr>
            <w:tcW w:w="1107" w:type="dxa"/>
            <w:noWrap/>
            <w:hideMark/>
          </w:tcPr>
          <w:p w14:paraId="45F7A262"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971,857</w:t>
            </w:r>
          </w:p>
        </w:tc>
        <w:tc>
          <w:tcPr>
            <w:tcW w:w="1218" w:type="dxa"/>
            <w:noWrap/>
            <w:hideMark/>
          </w:tcPr>
          <w:p w14:paraId="45F7A263"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5,869,053</w:t>
            </w:r>
          </w:p>
        </w:tc>
        <w:tc>
          <w:tcPr>
            <w:tcW w:w="1218" w:type="dxa"/>
            <w:noWrap/>
            <w:hideMark/>
          </w:tcPr>
          <w:p w14:paraId="45F7A264"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1,863,695</w:t>
            </w:r>
          </w:p>
        </w:tc>
        <w:tc>
          <w:tcPr>
            <w:tcW w:w="1240" w:type="dxa"/>
            <w:noWrap/>
            <w:hideMark/>
          </w:tcPr>
          <w:p w14:paraId="45F7A265"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2,483,197</w:t>
            </w:r>
          </w:p>
        </w:tc>
        <w:tc>
          <w:tcPr>
            <w:tcW w:w="1107" w:type="dxa"/>
            <w:noWrap/>
            <w:hideMark/>
          </w:tcPr>
          <w:p w14:paraId="45F7A266"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980,867</w:t>
            </w:r>
          </w:p>
        </w:tc>
        <w:tc>
          <w:tcPr>
            <w:tcW w:w="1218" w:type="dxa"/>
            <w:noWrap/>
            <w:hideMark/>
          </w:tcPr>
          <w:p w14:paraId="45F7A267"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6,477,283</w:t>
            </w:r>
          </w:p>
        </w:tc>
      </w:tr>
      <w:tr w:rsidR="00250204" w:rsidRPr="00250204" w14:paraId="45F7A272" w14:textId="77777777" w:rsidTr="00250204">
        <w:trPr>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269" w14:textId="77777777" w:rsidR="00250204" w:rsidRPr="00056E4A" w:rsidRDefault="00250204" w:rsidP="00250204">
            <w:pPr>
              <w:spacing w:before="0" w:line="240" w:lineRule="auto"/>
              <w:ind w:firstLine="0"/>
              <w:contextualSpacing w:val="0"/>
              <w:jc w:val="lef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Minorca</w:t>
            </w:r>
          </w:p>
        </w:tc>
        <w:tc>
          <w:tcPr>
            <w:tcW w:w="1107" w:type="dxa"/>
            <w:noWrap/>
            <w:hideMark/>
          </w:tcPr>
          <w:p w14:paraId="45F7A26A"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707,225</w:t>
            </w:r>
          </w:p>
        </w:tc>
        <w:tc>
          <w:tcPr>
            <w:tcW w:w="1218" w:type="dxa"/>
            <w:noWrap/>
            <w:hideMark/>
          </w:tcPr>
          <w:p w14:paraId="45F7A26B"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1,094,848</w:t>
            </w:r>
          </w:p>
        </w:tc>
        <w:tc>
          <w:tcPr>
            <w:tcW w:w="1107" w:type="dxa"/>
            <w:noWrap/>
            <w:hideMark/>
          </w:tcPr>
          <w:p w14:paraId="45F7A26C"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394,227</w:t>
            </w:r>
          </w:p>
        </w:tc>
        <w:tc>
          <w:tcPr>
            <w:tcW w:w="1218" w:type="dxa"/>
            <w:noWrap/>
            <w:hideMark/>
          </w:tcPr>
          <w:p w14:paraId="45F7A26D"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2,468,998</w:t>
            </w:r>
          </w:p>
        </w:tc>
        <w:tc>
          <w:tcPr>
            <w:tcW w:w="1218" w:type="dxa"/>
            <w:noWrap/>
            <w:hideMark/>
          </w:tcPr>
          <w:p w14:paraId="45F7A26E"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778,835</w:t>
            </w:r>
          </w:p>
        </w:tc>
        <w:tc>
          <w:tcPr>
            <w:tcW w:w="1240" w:type="dxa"/>
            <w:noWrap/>
            <w:hideMark/>
          </w:tcPr>
          <w:p w14:paraId="45F7A26F"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1,186,566</w:t>
            </w:r>
          </w:p>
        </w:tc>
        <w:tc>
          <w:tcPr>
            <w:tcW w:w="1107" w:type="dxa"/>
            <w:noWrap/>
            <w:hideMark/>
          </w:tcPr>
          <w:p w14:paraId="45F7A270"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425,298</w:t>
            </w:r>
          </w:p>
        </w:tc>
        <w:tc>
          <w:tcPr>
            <w:tcW w:w="1218" w:type="dxa"/>
            <w:noWrap/>
            <w:hideMark/>
          </w:tcPr>
          <w:p w14:paraId="45F7A271" w14:textId="77777777" w:rsidR="00250204" w:rsidRPr="00056E4A" w:rsidRDefault="00250204" w:rsidP="00250204">
            <w:pPr>
              <w:spacing w:before="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2,867,482</w:t>
            </w:r>
          </w:p>
        </w:tc>
      </w:tr>
      <w:tr w:rsidR="00250204" w:rsidRPr="00250204" w14:paraId="45F7A27C" w14:textId="77777777" w:rsidTr="002502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5F7A273" w14:textId="77777777" w:rsidR="00250204" w:rsidRPr="00056E4A" w:rsidRDefault="00250204" w:rsidP="00056E4A">
            <w:pPr>
              <w:spacing w:before="0" w:line="240" w:lineRule="auto"/>
              <w:ind w:firstLine="0"/>
              <w:contextualSpacing w:val="0"/>
              <w:jc w:val="right"/>
              <w:rPr>
                <w:rFonts w:ascii="Arial" w:hAnsi="Arial" w:cs="Arial"/>
                <w:color w:val="000000"/>
                <w:sz w:val="18"/>
                <w:szCs w:val="18"/>
                <w:u w:val="single"/>
                <w:lang w:eastAsia="en-GB"/>
              </w:rPr>
            </w:pPr>
            <w:r w:rsidRPr="00056E4A">
              <w:rPr>
                <w:rFonts w:ascii="Arial" w:hAnsi="Arial" w:cs="Arial"/>
                <w:color w:val="000000"/>
                <w:sz w:val="18"/>
                <w:szCs w:val="18"/>
                <w:u w:val="single"/>
                <w:lang w:eastAsia="en-GB"/>
              </w:rPr>
              <w:t>Total Balearics</w:t>
            </w:r>
          </w:p>
        </w:tc>
        <w:tc>
          <w:tcPr>
            <w:tcW w:w="1107" w:type="dxa"/>
            <w:noWrap/>
            <w:hideMark/>
          </w:tcPr>
          <w:p w14:paraId="45F7A274"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9,749,565</w:t>
            </w:r>
          </w:p>
        </w:tc>
        <w:tc>
          <w:tcPr>
            <w:tcW w:w="1218" w:type="dxa"/>
            <w:noWrap/>
            <w:hideMark/>
          </w:tcPr>
          <w:p w14:paraId="45F7A275"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10,691,335</w:t>
            </w:r>
          </w:p>
        </w:tc>
        <w:tc>
          <w:tcPr>
            <w:tcW w:w="1107" w:type="dxa"/>
            <w:noWrap/>
            <w:hideMark/>
          </w:tcPr>
          <w:p w14:paraId="45F7A276"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4,427,097</w:t>
            </w:r>
          </w:p>
        </w:tc>
        <w:tc>
          <w:tcPr>
            <w:tcW w:w="1218" w:type="dxa"/>
            <w:noWrap/>
            <w:hideMark/>
          </w:tcPr>
          <w:p w14:paraId="45F7A277"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29,425,993</w:t>
            </w:r>
          </w:p>
        </w:tc>
        <w:tc>
          <w:tcPr>
            <w:tcW w:w="1218" w:type="dxa"/>
            <w:noWrap/>
            <w:hideMark/>
          </w:tcPr>
          <w:p w14:paraId="45F7A278"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10,042,297</w:t>
            </w:r>
          </w:p>
        </w:tc>
        <w:tc>
          <w:tcPr>
            <w:tcW w:w="1240" w:type="dxa"/>
            <w:noWrap/>
            <w:hideMark/>
          </w:tcPr>
          <w:p w14:paraId="45F7A279"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10,948,641</w:t>
            </w:r>
          </w:p>
        </w:tc>
        <w:tc>
          <w:tcPr>
            <w:tcW w:w="1107" w:type="dxa"/>
            <w:noWrap/>
            <w:hideMark/>
          </w:tcPr>
          <w:p w14:paraId="45F7A27A"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n-GB"/>
              </w:rPr>
            </w:pPr>
            <w:r w:rsidRPr="00056E4A">
              <w:rPr>
                <w:rFonts w:ascii="Arial" w:hAnsi="Arial" w:cs="Arial"/>
                <w:color w:val="000000"/>
                <w:sz w:val="18"/>
                <w:szCs w:val="18"/>
                <w:lang w:eastAsia="en-GB"/>
              </w:rPr>
              <w:t>4,521,099</w:t>
            </w:r>
          </w:p>
        </w:tc>
        <w:tc>
          <w:tcPr>
            <w:tcW w:w="1218" w:type="dxa"/>
            <w:noWrap/>
            <w:hideMark/>
          </w:tcPr>
          <w:p w14:paraId="45F7A27B" w14:textId="77777777" w:rsidR="00250204" w:rsidRPr="00056E4A" w:rsidRDefault="00250204" w:rsidP="00250204">
            <w:pPr>
              <w:spacing w:before="0" w:line="240" w:lineRule="auto"/>
              <w:ind w:firstLine="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056E4A">
              <w:rPr>
                <w:rFonts w:ascii="Arial" w:hAnsi="Arial" w:cs="Arial"/>
                <w:sz w:val="18"/>
                <w:szCs w:val="18"/>
                <w:lang w:eastAsia="en-GB"/>
              </w:rPr>
              <w:t>33,089,896</w:t>
            </w:r>
          </w:p>
        </w:tc>
      </w:tr>
    </w:tbl>
    <w:p w14:paraId="45F7A27D" w14:textId="77777777" w:rsidR="00250204" w:rsidRDefault="00250204" w:rsidP="00250204">
      <w:pPr>
        <w:spacing w:before="0" w:line="240" w:lineRule="auto"/>
        <w:ind w:firstLine="0"/>
        <w:contextualSpacing w:val="0"/>
        <w:jc w:val="left"/>
      </w:pPr>
    </w:p>
    <w:p w14:paraId="45F7A27E" w14:textId="77777777" w:rsidR="00250204" w:rsidRDefault="00250204" w:rsidP="00250204">
      <w:pPr>
        <w:spacing w:before="0" w:line="240" w:lineRule="auto"/>
        <w:ind w:firstLine="0"/>
        <w:contextualSpacing w:val="0"/>
        <w:jc w:val="left"/>
      </w:pPr>
    </w:p>
    <w:p w14:paraId="45F7A27F" w14:textId="77777777" w:rsidR="00250204" w:rsidRDefault="00250204" w:rsidP="00250204">
      <w:pPr>
        <w:spacing w:before="0" w:line="240" w:lineRule="auto"/>
        <w:ind w:firstLine="0"/>
        <w:contextualSpacing w:val="0"/>
        <w:jc w:val="left"/>
        <w:sectPr w:rsidR="00250204" w:rsidSect="00250204">
          <w:pgSz w:w="16838" w:h="11906" w:orient="landscape"/>
          <w:pgMar w:top="1588" w:right="1418" w:bottom="1588" w:left="1418" w:header="709" w:footer="709" w:gutter="0"/>
          <w:cols w:space="708"/>
          <w:docGrid w:linePitch="360"/>
        </w:sectPr>
      </w:pPr>
    </w:p>
    <w:p w14:paraId="45F7A280" w14:textId="77777777" w:rsidR="000A773A" w:rsidRDefault="000A773A" w:rsidP="00250204">
      <w:pPr>
        <w:spacing w:before="0" w:line="240" w:lineRule="auto"/>
        <w:ind w:firstLine="0"/>
        <w:contextualSpacing w:val="0"/>
        <w:jc w:val="left"/>
      </w:pPr>
    </w:p>
    <w:p w14:paraId="45F7A281" w14:textId="224CF77F" w:rsidR="00C540A4" w:rsidRDefault="00C540A4" w:rsidP="002E4877">
      <w:pPr>
        <w:ind w:firstLine="0"/>
      </w:pPr>
      <w:r>
        <w:t xml:space="preserve">Table </w:t>
      </w:r>
      <w:r w:rsidR="00493E43">
        <w:t xml:space="preserve">3 </w:t>
      </w:r>
      <w:r>
        <w:t>– Mean price of a double room in hotel by period</w:t>
      </w:r>
      <w:r w:rsidR="00B90577">
        <w:t xml:space="preserve"> of stay</w:t>
      </w:r>
      <w:r>
        <w:t xml:space="preserve"> and star classification</w:t>
      </w:r>
      <w:r w:rsidR="00FB1907">
        <w:t>- Total N=1,358,697</w:t>
      </w:r>
    </w:p>
    <w:tbl>
      <w:tblPr>
        <w:tblW w:w="5000" w:type="pct"/>
        <w:tblBorders>
          <w:top w:val="single" w:sz="12" w:space="0" w:color="000000"/>
          <w:left w:val="nil"/>
          <w:bottom w:val="single" w:sz="12" w:space="0" w:color="000000"/>
          <w:right w:val="nil"/>
          <w:insideH w:val="nil"/>
          <w:insideV w:val="nil"/>
        </w:tblBorders>
        <w:tblCellMar>
          <w:left w:w="0" w:type="dxa"/>
          <w:right w:w="0" w:type="dxa"/>
        </w:tblCellMar>
        <w:tblLook w:val="00A0" w:firstRow="1" w:lastRow="0" w:firstColumn="1" w:lastColumn="0" w:noHBand="0" w:noVBand="0"/>
      </w:tblPr>
      <w:tblGrid>
        <w:gridCol w:w="1018"/>
        <w:gridCol w:w="700"/>
        <w:gridCol w:w="1383"/>
        <w:gridCol w:w="1222"/>
        <w:gridCol w:w="914"/>
        <w:gridCol w:w="1383"/>
        <w:gridCol w:w="1222"/>
        <w:gridCol w:w="912"/>
      </w:tblGrid>
      <w:tr w:rsidR="00EB77A8" w14:paraId="45F7A285" w14:textId="77777777" w:rsidTr="00EB77A8">
        <w:trPr>
          <w:trHeight w:val="255"/>
        </w:trPr>
        <w:tc>
          <w:tcPr>
            <w:tcW w:w="581" w:type="pct"/>
            <w:tcBorders>
              <w:bottom w:val="single" w:sz="6" w:space="0" w:color="000000"/>
              <w:right w:val="single" w:sz="6" w:space="0" w:color="000000"/>
            </w:tcBorders>
            <w:noWrap/>
            <w:tcMar>
              <w:top w:w="12" w:type="dxa"/>
              <w:left w:w="12" w:type="dxa"/>
              <w:bottom w:w="0" w:type="dxa"/>
              <w:right w:w="12" w:type="dxa"/>
            </w:tcMar>
            <w:vAlign w:val="bottom"/>
          </w:tcPr>
          <w:p w14:paraId="45F7A282" w14:textId="77777777" w:rsidR="00EB77A8" w:rsidRDefault="00EB77A8" w:rsidP="002E4877">
            <w:pPr>
              <w:spacing w:before="0" w:line="240" w:lineRule="auto"/>
              <w:ind w:firstLine="0"/>
              <w:jc w:val="center"/>
              <w:rPr>
                <w:rFonts w:ascii="Arial" w:hAnsi="Arial" w:cs="Arial"/>
                <w:i/>
                <w:iCs/>
                <w:sz w:val="20"/>
                <w:szCs w:val="20"/>
              </w:rPr>
            </w:pPr>
          </w:p>
        </w:tc>
        <w:tc>
          <w:tcPr>
            <w:tcW w:w="400" w:type="pct"/>
            <w:tcBorders>
              <w:top w:val="single" w:sz="12" w:space="0" w:color="000000"/>
              <w:left w:val="single" w:sz="6" w:space="0" w:color="000000"/>
              <w:bottom w:val="single" w:sz="6" w:space="0" w:color="000000"/>
              <w:right w:val="single" w:sz="4" w:space="0" w:color="auto"/>
            </w:tcBorders>
            <w:noWrap/>
            <w:tcMar>
              <w:top w:w="12" w:type="dxa"/>
              <w:left w:w="12" w:type="dxa"/>
              <w:bottom w:w="0" w:type="dxa"/>
              <w:right w:w="12" w:type="dxa"/>
            </w:tcMar>
            <w:vAlign w:val="bottom"/>
          </w:tcPr>
          <w:p w14:paraId="45F7A283" w14:textId="77777777" w:rsidR="00EB77A8" w:rsidRDefault="00EB77A8" w:rsidP="002E4877">
            <w:pPr>
              <w:spacing w:before="0" w:line="240" w:lineRule="auto"/>
              <w:ind w:firstLine="0"/>
              <w:jc w:val="center"/>
              <w:rPr>
                <w:rFonts w:ascii="Arial" w:hAnsi="Arial" w:cs="Arial"/>
                <w:i/>
                <w:iCs/>
                <w:sz w:val="20"/>
                <w:szCs w:val="20"/>
              </w:rPr>
            </w:pPr>
          </w:p>
        </w:tc>
        <w:tc>
          <w:tcPr>
            <w:tcW w:w="4019" w:type="pct"/>
            <w:gridSpan w:val="6"/>
            <w:tcBorders>
              <w:left w:val="single" w:sz="4" w:space="0" w:color="auto"/>
              <w:bottom w:val="single" w:sz="6" w:space="0" w:color="000000"/>
            </w:tcBorders>
            <w:noWrap/>
            <w:tcMar>
              <w:top w:w="12" w:type="dxa"/>
              <w:left w:w="12" w:type="dxa"/>
              <w:bottom w:w="0" w:type="dxa"/>
              <w:right w:w="12" w:type="dxa"/>
            </w:tcMar>
            <w:vAlign w:val="bottom"/>
          </w:tcPr>
          <w:p w14:paraId="45F7A284" w14:textId="77777777" w:rsidR="00EB77A8" w:rsidRDefault="00EB77A8" w:rsidP="00B90577">
            <w:pPr>
              <w:spacing w:before="0" w:line="240" w:lineRule="auto"/>
              <w:ind w:firstLine="0"/>
              <w:jc w:val="center"/>
              <w:rPr>
                <w:rFonts w:ascii="Arial" w:hAnsi="Arial" w:cs="Arial"/>
                <w:i/>
                <w:iCs/>
                <w:sz w:val="20"/>
                <w:szCs w:val="20"/>
              </w:rPr>
            </w:pPr>
            <w:r>
              <w:rPr>
                <w:rFonts w:ascii="Arial" w:hAnsi="Arial" w:cs="Arial"/>
                <w:i/>
                <w:iCs/>
                <w:sz w:val="20"/>
                <w:szCs w:val="20"/>
              </w:rPr>
              <w:t>Period of Stay</w:t>
            </w:r>
          </w:p>
        </w:tc>
      </w:tr>
      <w:tr w:rsidR="005F793D" w14:paraId="45F7A28E" w14:textId="77777777" w:rsidTr="003E5019">
        <w:trPr>
          <w:trHeight w:val="255"/>
        </w:trPr>
        <w:tc>
          <w:tcPr>
            <w:tcW w:w="581" w:type="pct"/>
            <w:tcBorders>
              <w:bottom w:val="single" w:sz="6" w:space="0" w:color="000000"/>
              <w:right w:val="single" w:sz="6" w:space="0" w:color="000000"/>
            </w:tcBorders>
            <w:noWrap/>
            <w:tcMar>
              <w:top w:w="12" w:type="dxa"/>
              <w:left w:w="12" w:type="dxa"/>
              <w:bottom w:w="0" w:type="dxa"/>
              <w:right w:w="12" w:type="dxa"/>
            </w:tcMar>
            <w:vAlign w:val="bottom"/>
          </w:tcPr>
          <w:p w14:paraId="45F7A286" w14:textId="77777777" w:rsidR="00B85617" w:rsidRDefault="00B85617" w:rsidP="002E4877">
            <w:pPr>
              <w:spacing w:before="0" w:line="240" w:lineRule="auto"/>
              <w:ind w:firstLine="0"/>
              <w:jc w:val="center"/>
              <w:rPr>
                <w:rFonts w:ascii="Arial" w:hAnsi="Arial" w:cs="Arial"/>
                <w:i/>
                <w:iCs/>
                <w:sz w:val="20"/>
                <w:szCs w:val="20"/>
              </w:rPr>
            </w:pPr>
          </w:p>
        </w:tc>
        <w:tc>
          <w:tcPr>
            <w:tcW w:w="400" w:type="pct"/>
            <w:tcBorders>
              <w:top w:val="single" w:sz="12" w:space="0" w:color="000000"/>
              <w:left w:val="single" w:sz="6" w:space="0" w:color="000000"/>
              <w:bottom w:val="single" w:sz="6" w:space="0" w:color="000000"/>
              <w:right w:val="single" w:sz="4" w:space="0" w:color="auto"/>
            </w:tcBorders>
            <w:noWrap/>
            <w:tcMar>
              <w:top w:w="12" w:type="dxa"/>
              <w:left w:w="12" w:type="dxa"/>
              <w:bottom w:w="0" w:type="dxa"/>
              <w:right w:w="12" w:type="dxa"/>
            </w:tcMar>
            <w:vAlign w:val="bottom"/>
          </w:tcPr>
          <w:p w14:paraId="45F7A287" w14:textId="77777777" w:rsidR="00B85617" w:rsidRDefault="00B85617" w:rsidP="002E4877">
            <w:pPr>
              <w:spacing w:before="0" w:line="240" w:lineRule="auto"/>
              <w:ind w:firstLine="0"/>
              <w:jc w:val="center"/>
              <w:rPr>
                <w:rFonts w:ascii="Arial" w:hAnsi="Arial" w:cs="Arial"/>
                <w:i/>
                <w:iCs/>
                <w:sz w:val="20"/>
                <w:szCs w:val="20"/>
              </w:rPr>
            </w:pPr>
            <w:r>
              <w:rPr>
                <w:rFonts w:ascii="Arial" w:hAnsi="Arial" w:cs="Arial"/>
                <w:i/>
                <w:iCs/>
                <w:sz w:val="20"/>
                <w:szCs w:val="20"/>
              </w:rPr>
              <w:t>Stars</w:t>
            </w:r>
          </w:p>
        </w:tc>
        <w:tc>
          <w:tcPr>
            <w:tcW w:w="790" w:type="pct"/>
            <w:tcBorders>
              <w:left w:val="single" w:sz="4" w:space="0" w:color="auto"/>
              <w:bottom w:val="single" w:sz="6" w:space="0" w:color="000000"/>
            </w:tcBorders>
            <w:noWrap/>
            <w:tcMar>
              <w:top w:w="12" w:type="dxa"/>
              <w:left w:w="12" w:type="dxa"/>
              <w:bottom w:w="0" w:type="dxa"/>
              <w:right w:w="12" w:type="dxa"/>
            </w:tcMar>
            <w:vAlign w:val="bottom"/>
          </w:tcPr>
          <w:p w14:paraId="45F7A288" w14:textId="77777777" w:rsidR="00B85617" w:rsidRDefault="00B85617" w:rsidP="00B90577">
            <w:pPr>
              <w:spacing w:before="0" w:line="240" w:lineRule="auto"/>
              <w:ind w:firstLine="0"/>
              <w:jc w:val="center"/>
              <w:rPr>
                <w:rFonts w:ascii="Arial" w:hAnsi="Arial" w:cs="Arial"/>
                <w:i/>
                <w:iCs/>
                <w:sz w:val="20"/>
                <w:szCs w:val="20"/>
              </w:rPr>
            </w:pPr>
            <w:r>
              <w:rPr>
                <w:rFonts w:ascii="Arial" w:hAnsi="Arial" w:cs="Arial"/>
                <w:i/>
                <w:iCs/>
                <w:sz w:val="20"/>
                <w:szCs w:val="20"/>
              </w:rPr>
              <w:t>Apr-Jun14</w:t>
            </w:r>
          </w:p>
        </w:tc>
        <w:tc>
          <w:tcPr>
            <w:tcW w:w="698" w:type="pct"/>
            <w:tcBorders>
              <w:bottom w:val="single" w:sz="6" w:space="0" w:color="000000"/>
            </w:tcBorders>
            <w:noWrap/>
            <w:tcMar>
              <w:top w:w="12" w:type="dxa"/>
              <w:left w:w="12" w:type="dxa"/>
              <w:bottom w:w="0" w:type="dxa"/>
              <w:right w:w="12" w:type="dxa"/>
            </w:tcMar>
            <w:vAlign w:val="bottom"/>
          </w:tcPr>
          <w:p w14:paraId="45F7A289" w14:textId="77777777" w:rsidR="00B85617" w:rsidRDefault="00B85617" w:rsidP="00B90577">
            <w:pPr>
              <w:spacing w:before="0" w:line="240" w:lineRule="auto"/>
              <w:ind w:firstLine="0"/>
              <w:jc w:val="center"/>
              <w:rPr>
                <w:rFonts w:ascii="Arial" w:hAnsi="Arial" w:cs="Arial"/>
                <w:i/>
                <w:iCs/>
                <w:sz w:val="20"/>
                <w:szCs w:val="20"/>
              </w:rPr>
            </w:pPr>
            <w:r>
              <w:rPr>
                <w:rFonts w:ascii="Arial" w:hAnsi="Arial" w:cs="Arial"/>
                <w:i/>
                <w:iCs/>
                <w:sz w:val="20"/>
                <w:szCs w:val="20"/>
              </w:rPr>
              <w:t>Jul-Aug14</w:t>
            </w:r>
          </w:p>
        </w:tc>
        <w:tc>
          <w:tcPr>
            <w:tcW w:w="522" w:type="pct"/>
            <w:tcBorders>
              <w:bottom w:val="single" w:sz="6" w:space="0" w:color="000000"/>
            </w:tcBorders>
            <w:noWrap/>
            <w:tcMar>
              <w:top w:w="12" w:type="dxa"/>
              <w:left w:w="12" w:type="dxa"/>
              <w:bottom w:w="0" w:type="dxa"/>
              <w:right w:w="12" w:type="dxa"/>
            </w:tcMar>
            <w:vAlign w:val="bottom"/>
          </w:tcPr>
          <w:p w14:paraId="45F7A28A" w14:textId="77777777" w:rsidR="00B85617" w:rsidRDefault="00B85617" w:rsidP="00B90577">
            <w:pPr>
              <w:spacing w:before="0" w:line="240" w:lineRule="auto"/>
              <w:ind w:firstLine="0"/>
              <w:jc w:val="center"/>
              <w:rPr>
                <w:rFonts w:ascii="Arial" w:hAnsi="Arial" w:cs="Arial"/>
                <w:i/>
                <w:iCs/>
                <w:sz w:val="20"/>
                <w:szCs w:val="20"/>
              </w:rPr>
            </w:pPr>
            <w:r>
              <w:rPr>
                <w:rFonts w:ascii="Arial" w:hAnsi="Arial" w:cs="Arial"/>
                <w:i/>
                <w:iCs/>
                <w:sz w:val="20"/>
                <w:szCs w:val="20"/>
              </w:rPr>
              <w:t>Sep14</w:t>
            </w:r>
          </w:p>
        </w:tc>
        <w:tc>
          <w:tcPr>
            <w:tcW w:w="790" w:type="pct"/>
            <w:tcBorders>
              <w:bottom w:val="single" w:sz="6" w:space="0" w:color="000000"/>
            </w:tcBorders>
            <w:noWrap/>
            <w:tcMar>
              <w:top w:w="12" w:type="dxa"/>
              <w:left w:w="12" w:type="dxa"/>
              <w:bottom w:w="0" w:type="dxa"/>
              <w:right w:w="12" w:type="dxa"/>
            </w:tcMar>
            <w:vAlign w:val="bottom"/>
          </w:tcPr>
          <w:p w14:paraId="45F7A28B" w14:textId="77777777" w:rsidR="00B85617" w:rsidRDefault="00B85617" w:rsidP="00B90577">
            <w:pPr>
              <w:spacing w:before="0" w:line="240" w:lineRule="auto"/>
              <w:ind w:firstLine="0"/>
              <w:jc w:val="center"/>
              <w:rPr>
                <w:rFonts w:ascii="Arial" w:hAnsi="Arial" w:cs="Arial"/>
                <w:i/>
                <w:iCs/>
                <w:sz w:val="20"/>
                <w:szCs w:val="20"/>
              </w:rPr>
            </w:pPr>
            <w:r>
              <w:rPr>
                <w:rFonts w:ascii="Arial" w:hAnsi="Arial" w:cs="Arial"/>
                <w:i/>
                <w:iCs/>
                <w:sz w:val="20"/>
                <w:szCs w:val="20"/>
              </w:rPr>
              <w:t>Apr-Jun15</w:t>
            </w:r>
          </w:p>
        </w:tc>
        <w:tc>
          <w:tcPr>
            <w:tcW w:w="698" w:type="pct"/>
            <w:tcBorders>
              <w:bottom w:val="single" w:sz="6" w:space="0" w:color="000000"/>
            </w:tcBorders>
            <w:noWrap/>
            <w:tcMar>
              <w:top w:w="12" w:type="dxa"/>
              <w:left w:w="12" w:type="dxa"/>
              <w:bottom w:w="0" w:type="dxa"/>
              <w:right w:w="12" w:type="dxa"/>
            </w:tcMar>
            <w:vAlign w:val="bottom"/>
          </w:tcPr>
          <w:p w14:paraId="45F7A28C" w14:textId="77777777" w:rsidR="00B85617" w:rsidRDefault="00B85617" w:rsidP="00B90577">
            <w:pPr>
              <w:spacing w:before="0" w:line="240" w:lineRule="auto"/>
              <w:ind w:firstLine="0"/>
              <w:jc w:val="center"/>
              <w:rPr>
                <w:rFonts w:ascii="Arial" w:hAnsi="Arial" w:cs="Arial"/>
                <w:i/>
                <w:iCs/>
                <w:sz w:val="20"/>
                <w:szCs w:val="20"/>
              </w:rPr>
            </w:pPr>
            <w:r>
              <w:rPr>
                <w:rFonts w:ascii="Arial" w:hAnsi="Arial" w:cs="Arial"/>
                <w:i/>
                <w:iCs/>
                <w:sz w:val="20"/>
                <w:szCs w:val="20"/>
              </w:rPr>
              <w:t>Jul-Aug15</w:t>
            </w:r>
          </w:p>
        </w:tc>
        <w:tc>
          <w:tcPr>
            <w:tcW w:w="521" w:type="pct"/>
            <w:tcBorders>
              <w:bottom w:val="single" w:sz="6" w:space="0" w:color="000000"/>
            </w:tcBorders>
            <w:noWrap/>
            <w:tcMar>
              <w:top w:w="12" w:type="dxa"/>
              <w:left w:w="12" w:type="dxa"/>
              <w:bottom w:w="0" w:type="dxa"/>
              <w:right w:w="12" w:type="dxa"/>
            </w:tcMar>
            <w:vAlign w:val="bottom"/>
          </w:tcPr>
          <w:p w14:paraId="45F7A28D" w14:textId="77777777" w:rsidR="00B85617" w:rsidRDefault="00B85617" w:rsidP="00B90577">
            <w:pPr>
              <w:spacing w:before="0" w:line="240" w:lineRule="auto"/>
              <w:ind w:firstLine="0"/>
              <w:jc w:val="center"/>
              <w:rPr>
                <w:rFonts w:ascii="Arial" w:hAnsi="Arial" w:cs="Arial"/>
                <w:i/>
                <w:iCs/>
                <w:sz w:val="20"/>
                <w:szCs w:val="20"/>
              </w:rPr>
            </w:pPr>
            <w:r>
              <w:rPr>
                <w:rFonts w:ascii="Arial" w:hAnsi="Arial" w:cs="Arial"/>
                <w:i/>
                <w:iCs/>
                <w:sz w:val="20"/>
                <w:szCs w:val="20"/>
              </w:rPr>
              <w:t>Sep15</w:t>
            </w:r>
          </w:p>
        </w:tc>
      </w:tr>
      <w:tr w:rsidR="005F793D" w14:paraId="45F7A297" w14:textId="77777777" w:rsidTr="003E5019">
        <w:trPr>
          <w:cantSplit/>
          <w:trHeight w:val="255"/>
        </w:trPr>
        <w:tc>
          <w:tcPr>
            <w:tcW w:w="581" w:type="pct"/>
            <w:vMerge w:val="restart"/>
            <w:tcBorders>
              <w:top w:val="single" w:sz="6" w:space="0" w:color="000000"/>
              <w:right w:val="single" w:sz="6" w:space="0" w:color="000000"/>
            </w:tcBorders>
            <w:noWrap/>
            <w:tcMar>
              <w:top w:w="12" w:type="dxa"/>
              <w:left w:w="12" w:type="dxa"/>
              <w:bottom w:w="0" w:type="dxa"/>
              <w:right w:w="12" w:type="dxa"/>
            </w:tcMar>
            <w:vAlign w:val="center"/>
          </w:tcPr>
          <w:p w14:paraId="45F7A28F" w14:textId="77777777" w:rsidR="001468F5" w:rsidRDefault="001468F5" w:rsidP="001468F5">
            <w:pPr>
              <w:spacing w:before="0" w:line="240" w:lineRule="auto"/>
              <w:ind w:firstLine="0"/>
              <w:jc w:val="center"/>
              <w:rPr>
                <w:rFonts w:ascii="Arial" w:hAnsi="Arial" w:cs="Arial"/>
                <w:sz w:val="18"/>
                <w:szCs w:val="18"/>
              </w:rPr>
            </w:pPr>
            <w:r>
              <w:rPr>
                <w:rFonts w:ascii="Arial" w:hAnsi="Arial" w:cs="Arial"/>
                <w:sz w:val="18"/>
                <w:szCs w:val="18"/>
              </w:rPr>
              <w:t>Sardinia</w:t>
            </w:r>
          </w:p>
        </w:tc>
        <w:tc>
          <w:tcPr>
            <w:tcW w:w="400" w:type="pct"/>
            <w:tcBorders>
              <w:top w:val="single" w:sz="6" w:space="0" w:color="000000"/>
              <w:left w:val="single" w:sz="6" w:space="0" w:color="000000"/>
              <w:right w:val="single" w:sz="4" w:space="0" w:color="auto"/>
            </w:tcBorders>
            <w:noWrap/>
            <w:tcMar>
              <w:top w:w="12" w:type="dxa"/>
              <w:left w:w="12" w:type="dxa"/>
              <w:bottom w:w="0" w:type="dxa"/>
              <w:right w:w="12" w:type="dxa"/>
            </w:tcMar>
            <w:vAlign w:val="bottom"/>
          </w:tcPr>
          <w:p w14:paraId="45F7A290" w14:textId="77777777" w:rsidR="001468F5" w:rsidRDefault="001468F5" w:rsidP="001468F5">
            <w:pPr>
              <w:spacing w:before="0" w:line="240" w:lineRule="auto"/>
              <w:ind w:firstLine="0"/>
              <w:jc w:val="center"/>
              <w:rPr>
                <w:rFonts w:ascii="Arial" w:hAnsi="Arial" w:cs="Arial"/>
                <w:sz w:val="20"/>
                <w:szCs w:val="20"/>
              </w:rPr>
            </w:pPr>
            <w:r>
              <w:rPr>
                <w:rFonts w:ascii="Arial" w:hAnsi="Arial" w:cs="Arial"/>
                <w:sz w:val="20"/>
                <w:szCs w:val="20"/>
              </w:rPr>
              <w:t>1</w:t>
            </w:r>
          </w:p>
        </w:tc>
        <w:tc>
          <w:tcPr>
            <w:tcW w:w="790" w:type="pct"/>
            <w:tcBorders>
              <w:top w:val="single" w:sz="6" w:space="0" w:color="000000"/>
              <w:left w:val="single" w:sz="4" w:space="0" w:color="auto"/>
            </w:tcBorders>
            <w:noWrap/>
            <w:tcMar>
              <w:top w:w="12" w:type="dxa"/>
              <w:left w:w="12" w:type="dxa"/>
              <w:bottom w:w="0" w:type="dxa"/>
              <w:right w:w="12" w:type="dxa"/>
            </w:tcMar>
            <w:vAlign w:val="bottom"/>
          </w:tcPr>
          <w:p w14:paraId="45F7A291"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79.5</w:t>
            </w:r>
          </w:p>
        </w:tc>
        <w:tc>
          <w:tcPr>
            <w:tcW w:w="698" w:type="pct"/>
            <w:tcBorders>
              <w:top w:val="single" w:sz="6" w:space="0" w:color="000000"/>
            </w:tcBorders>
            <w:noWrap/>
            <w:tcMar>
              <w:top w:w="12" w:type="dxa"/>
              <w:left w:w="12" w:type="dxa"/>
              <w:bottom w:w="0" w:type="dxa"/>
              <w:right w:w="12" w:type="dxa"/>
            </w:tcMar>
            <w:vAlign w:val="bottom"/>
          </w:tcPr>
          <w:p w14:paraId="45F7A292"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82.5</w:t>
            </w:r>
          </w:p>
        </w:tc>
        <w:tc>
          <w:tcPr>
            <w:tcW w:w="522" w:type="pct"/>
            <w:tcBorders>
              <w:top w:val="single" w:sz="6" w:space="0" w:color="000000"/>
            </w:tcBorders>
            <w:noWrap/>
            <w:tcMar>
              <w:top w:w="12" w:type="dxa"/>
              <w:left w:w="12" w:type="dxa"/>
              <w:bottom w:w="0" w:type="dxa"/>
              <w:right w:w="12" w:type="dxa"/>
            </w:tcMar>
            <w:vAlign w:val="bottom"/>
          </w:tcPr>
          <w:p w14:paraId="45F7A293"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65.3</w:t>
            </w:r>
          </w:p>
        </w:tc>
        <w:tc>
          <w:tcPr>
            <w:tcW w:w="790" w:type="pct"/>
            <w:tcBorders>
              <w:top w:val="single" w:sz="6" w:space="0" w:color="000000"/>
            </w:tcBorders>
            <w:noWrap/>
            <w:tcMar>
              <w:top w:w="12" w:type="dxa"/>
              <w:left w:w="12" w:type="dxa"/>
              <w:bottom w:w="0" w:type="dxa"/>
              <w:right w:w="12" w:type="dxa"/>
            </w:tcMar>
            <w:vAlign w:val="bottom"/>
          </w:tcPr>
          <w:p w14:paraId="45F7A294"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58.6</w:t>
            </w:r>
          </w:p>
        </w:tc>
        <w:tc>
          <w:tcPr>
            <w:tcW w:w="698" w:type="pct"/>
            <w:tcBorders>
              <w:top w:val="single" w:sz="6" w:space="0" w:color="000000"/>
            </w:tcBorders>
            <w:noWrap/>
            <w:tcMar>
              <w:top w:w="12" w:type="dxa"/>
              <w:left w:w="12" w:type="dxa"/>
              <w:bottom w:w="0" w:type="dxa"/>
              <w:right w:w="12" w:type="dxa"/>
            </w:tcMar>
            <w:vAlign w:val="bottom"/>
          </w:tcPr>
          <w:p w14:paraId="45F7A295"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61.6</w:t>
            </w:r>
          </w:p>
        </w:tc>
        <w:tc>
          <w:tcPr>
            <w:tcW w:w="521" w:type="pct"/>
            <w:tcBorders>
              <w:top w:val="single" w:sz="6" w:space="0" w:color="000000"/>
            </w:tcBorders>
            <w:noWrap/>
            <w:tcMar>
              <w:top w:w="12" w:type="dxa"/>
              <w:left w:w="12" w:type="dxa"/>
              <w:bottom w:w="0" w:type="dxa"/>
              <w:right w:w="12" w:type="dxa"/>
            </w:tcMar>
            <w:vAlign w:val="bottom"/>
          </w:tcPr>
          <w:p w14:paraId="45F7A296"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56.2</w:t>
            </w:r>
          </w:p>
        </w:tc>
      </w:tr>
      <w:tr w:rsidR="005F793D" w14:paraId="45F7A2A0" w14:textId="77777777" w:rsidTr="003E5019">
        <w:trPr>
          <w:cantSplit/>
          <w:trHeight w:val="255"/>
        </w:trPr>
        <w:tc>
          <w:tcPr>
            <w:tcW w:w="581" w:type="pct"/>
            <w:vMerge/>
            <w:tcBorders>
              <w:right w:val="single" w:sz="6" w:space="0" w:color="000000"/>
            </w:tcBorders>
            <w:vAlign w:val="center"/>
          </w:tcPr>
          <w:p w14:paraId="45F7A298" w14:textId="77777777" w:rsidR="001468F5" w:rsidRDefault="001468F5" w:rsidP="001468F5">
            <w:pPr>
              <w:spacing w:before="0" w:line="240" w:lineRule="auto"/>
              <w:ind w:firstLine="0"/>
              <w:jc w:val="center"/>
              <w:rPr>
                <w:rFonts w:ascii="Arial" w:hAnsi="Arial" w:cs="Arial"/>
                <w:sz w:val="18"/>
                <w:szCs w:val="18"/>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299" w14:textId="77777777" w:rsidR="001468F5" w:rsidRDefault="001468F5" w:rsidP="001468F5">
            <w:pPr>
              <w:spacing w:before="0" w:line="240" w:lineRule="auto"/>
              <w:ind w:firstLine="0"/>
              <w:jc w:val="center"/>
              <w:rPr>
                <w:rFonts w:ascii="Arial" w:hAnsi="Arial" w:cs="Arial"/>
                <w:sz w:val="20"/>
                <w:szCs w:val="20"/>
              </w:rPr>
            </w:pPr>
            <w:r>
              <w:rPr>
                <w:rFonts w:ascii="Arial" w:hAnsi="Arial" w:cs="Arial"/>
                <w:sz w:val="20"/>
                <w:szCs w:val="20"/>
              </w:rPr>
              <w:t>2</w:t>
            </w:r>
          </w:p>
        </w:tc>
        <w:tc>
          <w:tcPr>
            <w:tcW w:w="790" w:type="pct"/>
            <w:tcBorders>
              <w:left w:val="single" w:sz="4" w:space="0" w:color="auto"/>
            </w:tcBorders>
            <w:noWrap/>
            <w:tcMar>
              <w:top w:w="12" w:type="dxa"/>
              <w:left w:w="12" w:type="dxa"/>
              <w:bottom w:w="0" w:type="dxa"/>
              <w:right w:w="12" w:type="dxa"/>
            </w:tcMar>
            <w:vAlign w:val="bottom"/>
          </w:tcPr>
          <w:p w14:paraId="45F7A29A"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56.6</w:t>
            </w:r>
          </w:p>
        </w:tc>
        <w:tc>
          <w:tcPr>
            <w:tcW w:w="698" w:type="pct"/>
            <w:noWrap/>
            <w:tcMar>
              <w:top w:w="12" w:type="dxa"/>
              <w:left w:w="12" w:type="dxa"/>
              <w:bottom w:w="0" w:type="dxa"/>
              <w:right w:w="12" w:type="dxa"/>
            </w:tcMar>
            <w:vAlign w:val="bottom"/>
          </w:tcPr>
          <w:p w14:paraId="45F7A29B"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60.8</w:t>
            </w:r>
          </w:p>
        </w:tc>
        <w:tc>
          <w:tcPr>
            <w:tcW w:w="522" w:type="pct"/>
            <w:noWrap/>
            <w:tcMar>
              <w:top w:w="12" w:type="dxa"/>
              <w:left w:w="12" w:type="dxa"/>
              <w:bottom w:w="0" w:type="dxa"/>
              <w:right w:w="12" w:type="dxa"/>
            </w:tcMar>
            <w:vAlign w:val="bottom"/>
          </w:tcPr>
          <w:p w14:paraId="45F7A29C"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59.2</w:t>
            </w:r>
          </w:p>
        </w:tc>
        <w:tc>
          <w:tcPr>
            <w:tcW w:w="790" w:type="pct"/>
            <w:noWrap/>
            <w:tcMar>
              <w:top w:w="12" w:type="dxa"/>
              <w:left w:w="12" w:type="dxa"/>
              <w:bottom w:w="0" w:type="dxa"/>
              <w:right w:w="12" w:type="dxa"/>
            </w:tcMar>
            <w:vAlign w:val="bottom"/>
          </w:tcPr>
          <w:p w14:paraId="45F7A29D"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51.3</w:t>
            </w:r>
          </w:p>
        </w:tc>
        <w:tc>
          <w:tcPr>
            <w:tcW w:w="698" w:type="pct"/>
            <w:noWrap/>
            <w:tcMar>
              <w:top w:w="12" w:type="dxa"/>
              <w:left w:w="12" w:type="dxa"/>
              <w:bottom w:w="0" w:type="dxa"/>
              <w:right w:w="12" w:type="dxa"/>
            </w:tcMar>
            <w:vAlign w:val="bottom"/>
          </w:tcPr>
          <w:p w14:paraId="45F7A29E"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57.0</w:t>
            </w:r>
          </w:p>
        </w:tc>
        <w:tc>
          <w:tcPr>
            <w:tcW w:w="521" w:type="pct"/>
            <w:noWrap/>
            <w:tcMar>
              <w:top w:w="12" w:type="dxa"/>
              <w:left w:w="12" w:type="dxa"/>
              <w:bottom w:w="0" w:type="dxa"/>
              <w:right w:w="12" w:type="dxa"/>
            </w:tcMar>
            <w:vAlign w:val="bottom"/>
          </w:tcPr>
          <w:p w14:paraId="45F7A29F"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55.8</w:t>
            </w:r>
          </w:p>
        </w:tc>
      </w:tr>
      <w:tr w:rsidR="005F793D" w14:paraId="45F7A2A9" w14:textId="77777777" w:rsidTr="003E5019">
        <w:trPr>
          <w:cantSplit/>
          <w:trHeight w:val="255"/>
        </w:trPr>
        <w:tc>
          <w:tcPr>
            <w:tcW w:w="581" w:type="pct"/>
            <w:vMerge/>
            <w:tcBorders>
              <w:right w:val="single" w:sz="6" w:space="0" w:color="000000"/>
            </w:tcBorders>
            <w:vAlign w:val="center"/>
          </w:tcPr>
          <w:p w14:paraId="45F7A2A1" w14:textId="77777777" w:rsidR="001468F5" w:rsidRDefault="001468F5" w:rsidP="001468F5">
            <w:pPr>
              <w:spacing w:before="0" w:line="240" w:lineRule="auto"/>
              <w:ind w:firstLine="0"/>
              <w:jc w:val="center"/>
              <w:rPr>
                <w:rFonts w:ascii="Arial" w:hAnsi="Arial" w:cs="Arial"/>
                <w:sz w:val="18"/>
                <w:szCs w:val="18"/>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2A2" w14:textId="77777777" w:rsidR="001468F5" w:rsidRDefault="001468F5" w:rsidP="001468F5">
            <w:pPr>
              <w:spacing w:before="0" w:line="240" w:lineRule="auto"/>
              <w:ind w:firstLine="0"/>
              <w:jc w:val="center"/>
              <w:rPr>
                <w:rFonts w:ascii="Arial" w:hAnsi="Arial" w:cs="Arial"/>
                <w:sz w:val="20"/>
                <w:szCs w:val="20"/>
              </w:rPr>
            </w:pPr>
            <w:r>
              <w:rPr>
                <w:rFonts w:ascii="Arial" w:hAnsi="Arial" w:cs="Arial"/>
                <w:sz w:val="20"/>
                <w:szCs w:val="20"/>
              </w:rPr>
              <w:t>3</w:t>
            </w:r>
          </w:p>
        </w:tc>
        <w:tc>
          <w:tcPr>
            <w:tcW w:w="790" w:type="pct"/>
            <w:tcBorders>
              <w:left w:val="single" w:sz="4" w:space="0" w:color="auto"/>
            </w:tcBorders>
            <w:noWrap/>
            <w:tcMar>
              <w:top w:w="12" w:type="dxa"/>
              <w:left w:w="12" w:type="dxa"/>
              <w:bottom w:w="0" w:type="dxa"/>
              <w:right w:w="12" w:type="dxa"/>
            </w:tcMar>
            <w:vAlign w:val="bottom"/>
          </w:tcPr>
          <w:p w14:paraId="45F7A2A3"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63.5</w:t>
            </w:r>
          </w:p>
        </w:tc>
        <w:tc>
          <w:tcPr>
            <w:tcW w:w="698" w:type="pct"/>
            <w:noWrap/>
            <w:tcMar>
              <w:top w:w="12" w:type="dxa"/>
              <w:left w:w="12" w:type="dxa"/>
              <w:bottom w:w="0" w:type="dxa"/>
              <w:right w:w="12" w:type="dxa"/>
            </w:tcMar>
            <w:vAlign w:val="bottom"/>
          </w:tcPr>
          <w:p w14:paraId="45F7A2A4"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84.0</w:t>
            </w:r>
          </w:p>
        </w:tc>
        <w:tc>
          <w:tcPr>
            <w:tcW w:w="522" w:type="pct"/>
            <w:noWrap/>
            <w:tcMar>
              <w:top w:w="12" w:type="dxa"/>
              <w:left w:w="12" w:type="dxa"/>
              <w:bottom w:w="0" w:type="dxa"/>
              <w:right w:w="12" w:type="dxa"/>
            </w:tcMar>
            <w:vAlign w:val="bottom"/>
          </w:tcPr>
          <w:p w14:paraId="45F7A2A5"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66.2</w:t>
            </w:r>
          </w:p>
        </w:tc>
        <w:tc>
          <w:tcPr>
            <w:tcW w:w="790" w:type="pct"/>
            <w:noWrap/>
            <w:tcMar>
              <w:top w:w="12" w:type="dxa"/>
              <w:left w:w="12" w:type="dxa"/>
              <w:bottom w:w="0" w:type="dxa"/>
              <w:right w:w="12" w:type="dxa"/>
            </w:tcMar>
            <w:vAlign w:val="bottom"/>
          </w:tcPr>
          <w:p w14:paraId="45F7A2A6"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55.4</w:t>
            </w:r>
          </w:p>
        </w:tc>
        <w:tc>
          <w:tcPr>
            <w:tcW w:w="698" w:type="pct"/>
            <w:noWrap/>
            <w:tcMar>
              <w:top w:w="12" w:type="dxa"/>
              <w:left w:w="12" w:type="dxa"/>
              <w:bottom w:w="0" w:type="dxa"/>
              <w:right w:w="12" w:type="dxa"/>
            </w:tcMar>
            <w:vAlign w:val="bottom"/>
          </w:tcPr>
          <w:p w14:paraId="45F7A2A7"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80.5</w:t>
            </w:r>
          </w:p>
        </w:tc>
        <w:tc>
          <w:tcPr>
            <w:tcW w:w="521" w:type="pct"/>
            <w:noWrap/>
            <w:tcMar>
              <w:top w:w="12" w:type="dxa"/>
              <w:left w:w="12" w:type="dxa"/>
              <w:bottom w:w="0" w:type="dxa"/>
              <w:right w:w="12" w:type="dxa"/>
            </w:tcMar>
            <w:vAlign w:val="bottom"/>
          </w:tcPr>
          <w:p w14:paraId="45F7A2A8"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59.8</w:t>
            </w:r>
          </w:p>
        </w:tc>
      </w:tr>
      <w:tr w:rsidR="005F793D" w14:paraId="45F7A2B2" w14:textId="77777777" w:rsidTr="003E5019">
        <w:trPr>
          <w:cantSplit/>
          <w:trHeight w:val="255"/>
        </w:trPr>
        <w:tc>
          <w:tcPr>
            <w:tcW w:w="581" w:type="pct"/>
            <w:vMerge/>
            <w:tcBorders>
              <w:right w:val="single" w:sz="6" w:space="0" w:color="000000"/>
            </w:tcBorders>
            <w:vAlign w:val="center"/>
          </w:tcPr>
          <w:p w14:paraId="45F7A2AA" w14:textId="77777777" w:rsidR="001468F5" w:rsidRDefault="001468F5" w:rsidP="001468F5">
            <w:pPr>
              <w:spacing w:before="0" w:line="240" w:lineRule="auto"/>
              <w:ind w:firstLine="0"/>
              <w:jc w:val="center"/>
              <w:rPr>
                <w:rFonts w:ascii="Arial" w:hAnsi="Arial" w:cs="Arial"/>
                <w:sz w:val="18"/>
                <w:szCs w:val="18"/>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2AB" w14:textId="77777777" w:rsidR="001468F5" w:rsidRDefault="001468F5" w:rsidP="001468F5">
            <w:pPr>
              <w:spacing w:before="0" w:line="240" w:lineRule="auto"/>
              <w:ind w:firstLine="0"/>
              <w:jc w:val="center"/>
              <w:rPr>
                <w:rFonts w:ascii="Arial" w:hAnsi="Arial" w:cs="Arial"/>
                <w:sz w:val="20"/>
                <w:szCs w:val="20"/>
              </w:rPr>
            </w:pPr>
            <w:r>
              <w:rPr>
                <w:rFonts w:ascii="Arial" w:hAnsi="Arial" w:cs="Arial"/>
                <w:sz w:val="20"/>
                <w:szCs w:val="20"/>
              </w:rPr>
              <w:t>4</w:t>
            </w:r>
          </w:p>
        </w:tc>
        <w:tc>
          <w:tcPr>
            <w:tcW w:w="790" w:type="pct"/>
            <w:tcBorders>
              <w:left w:val="single" w:sz="4" w:space="0" w:color="auto"/>
            </w:tcBorders>
            <w:noWrap/>
            <w:tcMar>
              <w:top w:w="12" w:type="dxa"/>
              <w:left w:w="12" w:type="dxa"/>
              <w:bottom w:w="0" w:type="dxa"/>
              <w:right w:w="12" w:type="dxa"/>
            </w:tcMar>
            <w:vAlign w:val="bottom"/>
          </w:tcPr>
          <w:p w14:paraId="45F7A2AC"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99.3</w:t>
            </w:r>
          </w:p>
        </w:tc>
        <w:tc>
          <w:tcPr>
            <w:tcW w:w="698" w:type="pct"/>
            <w:noWrap/>
            <w:tcMar>
              <w:top w:w="12" w:type="dxa"/>
              <w:left w:w="12" w:type="dxa"/>
              <w:bottom w:w="0" w:type="dxa"/>
              <w:right w:w="12" w:type="dxa"/>
            </w:tcMar>
            <w:vAlign w:val="bottom"/>
          </w:tcPr>
          <w:p w14:paraId="45F7A2AD"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153.4</w:t>
            </w:r>
          </w:p>
        </w:tc>
        <w:tc>
          <w:tcPr>
            <w:tcW w:w="522" w:type="pct"/>
            <w:noWrap/>
            <w:tcMar>
              <w:top w:w="12" w:type="dxa"/>
              <w:left w:w="12" w:type="dxa"/>
              <w:bottom w:w="0" w:type="dxa"/>
              <w:right w:w="12" w:type="dxa"/>
            </w:tcMar>
            <w:vAlign w:val="bottom"/>
          </w:tcPr>
          <w:p w14:paraId="45F7A2AE"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122.1</w:t>
            </w:r>
          </w:p>
        </w:tc>
        <w:tc>
          <w:tcPr>
            <w:tcW w:w="790" w:type="pct"/>
            <w:noWrap/>
            <w:tcMar>
              <w:top w:w="12" w:type="dxa"/>
              <w:left w:w="12" w:type="dxa"/>
              <w:bottom w:w="0" w:type="dxa"/>
              <w:right w:w="12" w:type="dxa"/>
            </w:tcMar>
            <w:vAlign w:val="bottom"/>
          </w:tcPr>
          <w:p w14:paraId="45F7A2AF"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96.0</w:t>
            </w:r>
          </w:p>
        </w:tc>
        <w:tc>
          <w:tcPr>
            <w:tcW w:w="698" w:type="pct"/>
            <w:noWrap/>
            <w:tcMar>
              <w:top w:w="12" w:type="dxa"/>
              <w:left w:w="12" w:type="dxa"/>
              <w:bottom w:w="0" w:type="dxa"/>
              <w:right w:w="12" w:type="dxa"/>
            </w:tcMar>
            <w:vAlign w:val="bottom"/>
          </w:tcPr>
          <w:p w14:paraId="45F7A2B0"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141.3</w:t>
            </w:r>
          </w:p>
        </w:tc>
        <w:tc>
          <w:tcPr>
            <w:tcW w:w="521" w:type="pct"/>
            <w:noWrap/>
            <w:tcMar>
              <w:top w:w="12" w:type="dxa"/>
              <w:left w:w="12" w:type="dxa"/>
              <w:bottom w:w="0" w:type="dxa"/>
              <w:right w:w="12" w:type="dxa"/>
            </w:tcMar>
            <w:vAlign w:val="bottom"/>
          </w:tcPr>
          <w:p w14:paraId="45F7A2B1"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111.7</w:t>
            </w:r>
          </w:p>
        </w:tc>
      </w:tr>
      <w:tr w:rsidR="005F793D" w14:paraId="45F7A2BB" w14:textId="77777777" w:rsidTr="003E5019">
        <w:trPr>
          <w:cantSplit/>
          <w:trHeight w:val="255"/>
        </w:trPr>
        <w:tc>
          <w:tcPr>
            <w:tcW w:w="581" w:type="pct"/>
            <w:vMerge/>
            <w:tcBorders>
              <w:right w:val="single" w:sz="6" w:space="0" w:color="000000"/>
            </w:tcBorders>
            <w:vAlign w:val="center"/>
          </w:tcPr>
          <w:p w14:paraId="45F7A2B3" w14:textId="77777777" w:rsidR="001468F5" w:rsidRDefault="001468F5" w:rsidP="001468F5">
            <w:pPr>
              <w:spacing w:before="0" w:line="240" w:lineRule="auto"/>
              <w:ind w:firstLine="0"/>
              <w:jc w:val="center"/>
              <w:rPr>
                <w:rFonts w:ascii="Arial" w:hAnsi="Arial" w:cs="Arial"/>
                <w:sz w:val="18"/>
                <w:szCs w:val="18"/>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2B4" w14:textId="77777777" w:rsidR="001468F5" w:rsidRDefault="001468F5" w:rsidP="001468F5">
            <w:pPr>
              <w:spacing w:before="0" w:line="240" w:lineRule="auto"/>
              <w:ind w:firstLine="0"/>
              <w:jc w:val="center"/>
              <w:rPr>
                <w:rFonts w:ascii="Arial" w:hAnsi="Arial" w:cs="Arial"/>
                <w:sz w:val="20"/>
                <w:szCs w:val="20"/>
              </w:rPr>
            </w:pPr>
            <w:r>
              <w:rPr>
                <w:rFonts w:ascii="Arial" w:hAnsi="Arial" w:cs="Arial"/>
                <w:sz w:val="20"/>
                <w:szCs w:val="20"/>
              </w:rPr>
              <w:t>5</w:t>
            </w:r>
          </w:p>
        </w:tc>
        <w:tc>
          <w:tcPr>
            <w:tcW w:w="790" w:type="pct"/>
            <w:tcBorders>
              <w:left w:val="single" w:sz="4" w:space="0" w:color="auto"/>
            </w:tcBorders>
            <w:noWrap/>
            <w:tcMar>
              <w:top w:w="12" w:type="dxa"/>
              <w:left w:w="12" w:type="dxa"/>
              <w:bottom w:w="0" w:type="dxa"/>
              <w:right w:w="12" w:type="dxa"/>
            </w:tcMar>
            <w:vAlign w:val="bottom"/>
          </w:tcPr>
          <w:p w14:paraId="45F7A2B5"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173.5</w:t>
            </w:r>
          </w:p>
        </w:tc>
        <w:tc>
          <w:tcPr>
            <w:tcW w:w="698" w:type="pct"/>
            <w:noWrap/>
            <w:tcMar>
              <w:top w:w="12" w:type="dxa"/>
              <w:left w:w="12" w:type="dxa"/>
              <w:bottom w:w="0" w:type="dxa"/>
              <w:right w:w="12" w:type="dxa"/>
            </w:tcMar>
            <w:vAlign w:val="bottom"/>
          </w:tcPr>
          <w:p w14:paraId="45F7A2B6"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395.0</w:t>
            </w:r>
          </w:p>
        </w:tc>
        <w:tc>
          <w:tcPr>
            <w:tcW w:w="522" w:type="pct"/>
            <w:noWrap/>
            <w:tcMar>
              <w:top w:w="12" w:type="dxa"/>
              <w:left w:w="12" w:type="dxa"/>
              <w:bottom w:w="0" w:type="dxa"/>
              <w:right w:w="12" w:type="dxa"/>
            </w:tcMar>
            <w:vAlign w:val="bottom"/>
          </w:tcPr>
          <w:p w14:paraId="45F7A2B7"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280.1</w:t>
            </w:r>
          </w:p>
        </w:tc>
        <w:tc>
          <w:tcPr>
            <w:tcW w:w="790" w:type="pct"/>
            <w:noWrap/>
            <w:tcMar>
              <w:top w:w="12" w:type="dxa"/>
              <w:left w:w="12" w:type="dxa"/>
              <w:bottom w:w="0" w:type="dxa"/>
              <w:right w:w="12" w:type="dxa"/>
            </w:tcMar>
            <w:vAlign w:val="bottom"/>
          </w:tcPr>
          <w:p w14:paraId="45F7A2B8"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227.4</w:t>
            </w:r>
          </w:p>
        </w:tc>
        <w:tc>
          <w:tcPr>
            <w:tcW w:w="698" w:type="pct"/>
            <w:noWrap/>
            <w:tcMar>
              <w:top w:w="12" w:type="dxa"/>
              <w:left w:w="12" w:type="dxa"/>
              <w:bottom w:w="0" w:type="dxa"/>
              <w:right w:w="12" w:type="dxa"/>
            </w:tcMar>
            <w:vAlign w:val="bottom"/>
          </w:tcPr>
          <w:p w14:paraId="45F7A2B9"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440.3</w:t>
            </w:r>
          </w:p>
        </w:tc>
        <w:tc>
          <w:tcPr>
            <w:tcW w:w="521" w:type="pct"/>
            <w:noWrap/>
            <w:tcMar>
              <w:top w:w="12" w:type="dxa"/>
              <w:left w:w="12" w:type="dxa"/>
              <w:bottom w:w="0" w:type="dxa"/>
              <w:right w:w="12" w:type="dxa"/>
            </w:tcMar>
            <w:vAlign w:val="bottom"/>
          </w:tcPr>
          <w:p w14:paraId="45F7A2BA"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234.5</w:t>
            </w:r>
          </w:p>
        </w:tc>
      </w:tr>
      <w:tr w:rsidR="005F793D" w14:paraId="45F7A2C4" w14:textId="77777777" w:rsidTr="003E5019">
        <w:trPr>
          <w:cantSplit/>
          <w:trHeight w:val="255"/>
        </w:trPr>
        <w:tc>
          <w:tcPr>
            <w:tcW w:w="581" w:type="pct"/>
            <w:vMerge/>
            <w:tcBorders>
              <w:bottom w:val="single" w:sz="4" w:space="0" w:color="auto"/>
              <w:right w:val="single" w:sz="6" w:space="0" w:color="000000"/>
            </w:tcBorders>
            <w:vAlign w:val="center"/>
          </w:tcPr>
          <w:p w14:paraId="45F7A2BC" w14:textId="77777777" w:rsidR="001468F5" w:rsidRDefault="001468F5" w:rsidP="001468F5">
            <w:pPr>
              <w:spacing w:before="0" w:line="240" w:lineRule="auto"/>
              <w:ind w:firstLine="0"/>
              <w:jc w:val="center"/>
              <w:rPr>
                <w:rFonts w:ascii="Arial" w:hAnsi="Arial" w:cs="Arial"/>
                <w:sz w:val="18"/>
                <w:szCs w:val="18"/>
              </w:rPr>
            </w:pPr>
          </w:p>
        </w:tc>
        <w:tc>
          <w:tcPr>
            <w:tcW w:w="400" w:type="pct"/>
            <w:tcBorders>
              <w:left w:val="single" w:sz="6" w:space="0" w:color="000000"/>
              <w:bottom w:val="single" w:sz="4" w:space="0" w:color="auto"/>
              <w:right w:val="single" w:sz="4" w:space="0" w:color="auto"/>
            </w:tcBorders>
            <w:noWrap/>
            <w:tcMar>
              <w:top w:w="12" w:type="dxa"/>
              <w:left w:w="12" w:type="dxa"/>
              <w:bottom w:w="0" w:type="dxa"/>
              <w:right w:w="12" w:type="dxa"/>
            </w:tcMar>
            <w:vAlign w:val="bottom"/>
          </w:tcPr>
          <w:p w14:paraId="45F7A2BD" w14:textId="77777777" w:rsidR="001468F5" w:rsidRDefault="001468F5" w:rsidP="001468F5">
            <w:pPr>
              <w:spacing w:before="0" w:line="240" w:lineRule="auto"/>
              <w:ind w:firstLine="0"/>
              <w:jc w:val="center"/>
              <w:rPr>
                <w:rFonts w:ascii="Arial" w:hAnsi="Arial" w:cs="Arial"/>
                <w:sz w:val="20"/>
                <w:szCs w:val="20"/>
              </w:rPr>
            </w:pPr>
            <w:r>
              <w:rPr>
                <w:rFonts w:ascii="Arial" w:hAnsi="Arial" w:cs="Arial"/>
                <w:sz w:val="20"/>
                <w:szCs w:val="20"/>
              </w:rPr>
              <w:t>N</w:t>
            </w:r>
          </w:p>
        </w:tc>
        <w:tc>
          <w:tcPr>
            <w:tcW w:w="790" w:type="pct"/>
            <w:tcBorders>
              <w:left w:val="single" w:sz="4" w:space="0" w:color="auto"/>
              <w:bottom w:val="single" w:sz="4" w:space="0" w:color="auto"/>
            </w:tcBorders>
            <w:noWrap/>
            <w:tcMar>
              <w:top w:w="12" w:type="dxa"/>
              <w:left w:w="12" w:type="dxa"/>
              <w:bottom w:w="0" w:type="dxa"/>
              <w:right w:w="12" w:type="dxa"/>
            </w:tcMar>
            <w:vAlign w:val="bottom"/>
          </w:tcPr>
          <w:p w14:paraId="45F7A2BE"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97,434</w:t>
            </w:r>
          </w:p>
        </w:tc>
        <w:tc>
          <w:tcPr>
            <w:tcW w:w="698" w:type="pct"/>
            <w:tcBorders>
              <w:bottom w:val="single" w:sz="4" w:space="0" w:color="auto"/>
            </w:tcBorders>
            <w:noWrap/>
            <w:tcMar>
              <w:top w:w="12" w:type="dxa"/>
              <w:left w:w="12" w:type="dxa"/>
              <w:bottom w:w="0" w:type="dxa"/>
              <w:right w:w="12" w:type="dxa"/>
            </w:tcMar>
            <w:vAlign w:val="bottom"/>
          </w:tcPr>
          <w:p w14:paraId="45F7A2BF"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73,965</w:t>
            </w:r>
          </w:p>
        </w:tc>
        <w:tc>
          <w:tcPr>
            <w:tcW w:w="522" w:type="pct"/>
            <w:tcBorders>
              <w:bottom w:val="single" w:sz="4" w:space="0" w:color="auto"/>
            </w:tcBorders>
            <w:noWrap/>
            <w:tcMar>
              <w:top w:w="12" w:type="dxa"/>
              <w:left w:w="12" w:type="dxa"/>
              <w:bottom w:w="0" w:type="dxa"/>
              <w:right w:w="12" w:type="dxa"/>
            </w:tcMar>
            <w:vAlign w:val="bottom"/>
          </w:tcPr>
          <w:p w14:paraId="45F7A2C0"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 xml:space="preserve">42,242   </w:t>
            </w:r>
          </w:p>
        </w:tc>
        <w:tc>
          <w:tcPr>
            <w:tcW w:w="790" w:type="pct"/>
            <w:tcBorders>
              <w:bottom w:val="single" w:sz="4" w:space="0" w:color="auto"/>
            </w:tcBorders>
            <w:noWrap/>
            <w:tcMar>
              <w:top w:w="12" w:type="dxa"/>
              <w:left w:w="12" w:type="dxa"/>
              <w:bottom w:w="0" w:type="dxa"/>
              <w:right w:w="12" w:type="dxa"/>
            </w:tcMar>
            <w:vAlign w:val="bottom"/>
          </w:tcPr>
          <w:p w14:paraId="45F7A2C1"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47,005</w:t>
            </w:r>
          </w:p>
        </w:tc>
        <w:tc>
          <w:tcPr>
            <w:tcW w:w="698" w:type="pct"/>
            <w:tcBorders>
              <w:bottom w:val="single" w:sz="4" w:space="0" w:color="auto"/>
            </w:tcBorders>
            <w:noWrap/>
            <w:tcMar>
              <w:top w:w="12" w:type="dxa"/>
              <w:left w:w="12" w:type="dxa"/>
              <w:bottom w:w="0" w:type="dxa"/>
              <w:right w:w="12" w:type="dxa"/>
            </w:tcMar>
            <w:vAlign w:val="bottom"/>
          </w:tcPr>
          <w:p w14:paraId="45F7A2C2"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60,500</w:t>
            </w:r>
          </w:p>
        </w:tc>
        <w:tc>
          <w:tcPr>
            <w:tcW w:w="521" w:type="pct"/>
            <w:tcBorders>
              <w:bottom w:val="single" w:sz="4" w:space="0" w:color="auto"/>
            </w:tcBorders>
            <w:noWrap/>
            <w:tcMar>
              <w:top w:w="12" w:type="dxa"/>
              <w:left w:w="12" w:type="dxa"/>
              <w:bottom w:w="0" w:type="dxa"/>
              <w:right w:w="12" w:type="dxa"/>
            </w:tcMar>
            <w:vAlign w:val="bottom"/>
          </w:tcPr>
          <w:p w14:paraId="45F7A2C3" w14:textId="77777777" w:rsidR="001468F5" w:rsidRDefault="001468F5" w:rsidP="001468F5">
            <w:pPr>
              <w:spacing w:before="0" w:line="240" w:lineRule="auto"/>
              <w:ind w:firstLine="0"/>
              <w:jc w:val="right"/>
              <w:rPr>
                <w:rFonts w:ascii="Arial" w:hAnsi="Arial" w:cs="Arial"/>
                <w:sz w:val="20"/>
                <w:szCs w:val="20"/>
              </w:rPr>
            </w:pPr>
            <w:r>
              <w:rPr>
                <w:rFonts w:ascii="Arial" w:hAnsi="Arial" w:cs="Arial"/>
                <w:sz w:val="20"/>
                <w:szCs w:val="20"/>
              </w:rPr>
              <w:t>27,260</w:t>
            </w:r>
          </w:p>
        </w:tc>
      </w:tr>
      <w:tr w:rsidR="003E5019" w14:paraId="45F7A2CD" w14:textId="77777777" w:rsidTr="003E5019">
        <w:trPr>
          <w:cantSplit/>
          <w:trHeight w:val="255"/>
        </w:trPr>
        <w:tc>
          <w:tcPr>
            <w:tcW w:w="581" w:type="pct"/>
            <w:vMerge w:val="restart"/>
            <w:tcBorders>
              <w:top w:val="single" w:sz="4" w:space="0" w:color="auto"/>
              <w:right w:val="single" w:sz="6" w:space="0" w:color="000000"/>
            </w:tcBorders>
            <w:noWrap/>
            <w:tcMar>
              <w:top w:w="12" w:type="dxa"/>
              <w:left w:w="12" w:type="dxa"/>
              <w:bottom w:w="0" w:type="dxa"/>
              <w:right w:w="12" w:type="dxa"/>
            </w:tcMar>
            <w:vAlign w:val="center"/>
          </w:tcPr>
          <w:p w14:paraId="45F7A2C5" w14:textId="77777777" w:rsidR="003E5019" w:rsidRDefault="003E5019" w:rsidP="003E5019">
            <w:pPr>
              <w:spacing w:before="0" w:line="240" w:lineRule="auto"/>
              <w:ind w:firstLine="0"/>
              <w:jc w:val="center"/>
              <w:rPr>
                <w:rFonts w:ascii="Arial" w:hAnsi="Arial" w:cs="Arial"/>
                <w:sz w:val="18"/>
                <w:szCs w:val="18"/>
              </w:rPr>
            </w:pPr>
            <w:r>
              <w:rPr>
                <w:rFonts w:ascii="Arial" w:hAnsi="Arial" w:cs="Arial"/>
                <w:sz w:val="18"/>
                <w:szCs w:val="18"/>
              </w:rPr>
              <w:t>Sicily</w:t>
            </w:r>
          </w:p>
        </w:tc>
        <w:tc>
          <w:tcPr>
            <w:tcW w:w="400" w:type="pct"/>
            <w:tcBorders>
              <w:top w:val="single" w:sz="4" w:space="0" w:color="auto"/>
              <w:left w:val="single" w:sz="6" w:space="0" w:color="000000"/>
              <w:right w:val="single" w:sz="4" w:space="0" w:color="auto"/>
            </w:tcBorders>
            <w:noWrap/>
            <w:tcMar>
              <w:top w:w="12" w:type="dxa"/>
              <w:left w:w="12" w:type="dxa"/>
              <w:bottom w:w="0" w:type="dxa"/>
              <w:right w:w="12" w:type="dxa"/>
            </w:tcMar>
            <w:vAlign w:val="bottom"/>
          </w:tcPr>
          <w:p w14:paraId="45F7A2C6" w14:textId="77777777" w:rsidR="003E5019" w:rsidRDefault="003E5019" w:rsidP="003E5019">
            <w:pPr>
              <w:spacing w:before="0" w:line="240" w:lineRule="auto"/>
              <w:ind w:firstLine="0"/>
              <w:jc w:val="center"/>
              <w:rPr>
                <w:rFonts w:ascii="Arial" w:hAnsi="Arial" w:cs="Arial"/>
                <w:sz w:val="20"/>
                <w:szCs w:val="20"/>
              </w:rPr>
            </w:pPr>
            <w:r>
              <w:rPr>
                <w:rFonts w:ascii="Arial" w:hAnsi="Arial" w:cs="Arial"/>
                <w:sz w:val="20"/>
                <w:szCs w:val="20"/>
              </w:rPr>
              <w:t>1</w:t>
            </w:r>
          </w:p>
        </w:tc>
        <w:tc>
          <w:tcPr>
            <w:tcW w:w="790" w:type="pct"/>
            <w:tcBorders>
              <w:top w:val="single" w:sz="4" w:space="0" w:color="auto"/>
              <w:left w:val="single" w:sz="4" w:space="0" w:color="auto"/>
            </w:tcBorders>
            <w:noWrap/>
            <w:tcMar>
              <w:top w:w="12" w:type="dxa"/>
              <w:left w:w="12" w:type="dxa"/>
              <w:bottom w:w="0" w:type="dxa"/>
              <w:right w:w="12" w:type="dxa"/>
            </w:tcMar>
            <w:vAlign w:val="bottom"/>
          </w:tcPr>
          <w:p w14:paraId="45F7A2C7"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45.6</w:t>
            </w:r>
          </w:p>
        </w:tc>
        <w:tc>
          <w:tcPr>
            <w:tcW w:w="698" w:type="pct"/>
            <w:tcBorders>
              <w:top w:val="single" w:sz="4" w:space="0" w:color="auto"/>
            </w:tcBorders>
            <w:noWrap/>
            <w:tcMar>
              <w:top w:w="12" w:type="dxa"/>
              <w:left w:w="12" w:type="dxa"/>
              <w:bottom w:w="0" w:type="dxa"/>
              <w:right w:w="12" w:type="dxa"/>
            </w:tcMar>
            <w:vAlign w:val="bottom"/>
          </w:tcPr>
          <w:p w14:paraId="45F7A2C8"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49.2</w:t>
            </w:r>
          </w:p>
        </w:tc>
        <w:tc>
          <w:tcPr>
            <w:tcW w:w="522" w:type="pct"/>
            <w:tcBorders>
              <w:top w:val="single" w:sz="4" w:space="0" w:color="auto"/>
            </w:tcBorders>
            <w:noWrap/>
            <w:tcMar>
              <w:top w:w="12" w:type="dxa"/>
              <w:left w:w="12" w:type="dxa"/>
              <w:bottom w:w="0" w:type="dxa"/>
              <w:right w:w="12" w:type="dxa"/>
            </w:tcMar>
            <w:vAlign w:val="bottom"/>
          </w:tcPr>
          <w:p w14:paraId="45F7A2C9"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39.9</w:t>
            </w:r>
          </w:p>
        </w:tc>
        <w:tc>
          <w:tcPr>
            <w:tcW w:w="790" w:type="pct"/>
            <w:tcBorders>
              <w:top w:val="single" w:sz="4" w:space="0" w:color="auto"/>
            </w:tcBorders>
            <w:noWrap/>
            <w:tcMar>
              <w:top w:w="12" w:type="dxa"/>
              <w:left w:w="12" w:type="dxa"/>
              <w:bottom w:w="0" w:type="dxa"/>
              <w:right w:w="12" w:type="dxa"/>
            </w:tcMar>
            <w:vAlign w:val="bottom"/>
          </w:tcPr>
          <w:p w14:paraId="45F7A2CA"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36.9</w:t>
            </w:r>
          </w:p>
        </w:tc>
        <w:tc>
          <w:tcPr>
            <w:tcW w:w="698" w:type="pct"/>
            <w:tcBorders>
              <w:top w:val="single" w:sz="4" w:space="0" w:color="auto"/>
            </w:tcBorders>
            <w:noWrap/>
            <w:tcMar>
              <w:top w:w="12" w:type="dxa"/>
              <w:left w:w="12" w:type="dxa"/>
              <w:bottom w:w="0" w:type="dxa"/>
              <w:right w:w="12" w:type="dxa"/>
            </w:tcMar>
            <w:vAlign w:val="bottom"/>
          </w:tcPr>
          <w:p w14:paraId="45F7A2CB"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40.2</w:t>
            </w:r>
          </w:p>
        </w:tc>
        <w:tc>
          <w:tcPr>
            <w:tcW w:w="521" w:type="pct"/>
            <w:tcBorders>
              <w:top w:val="single" w:sz="4" w:space="0" w:color="auto"/>
            </w:tcBorders>
            <w:noWrap/>
            <w:tcMar>
              <w:top w:w="12" w:type="dxa"/>
              <w:left w:w="12" w:type="dxa"/>
              <w:bottom w:w="0" w:type="dxa"/>
              <w:right w:w="12" w:type="dxa"/>
            </w:tcMar>
            <w:vAlign w:val="bottom"/>
          </w:tcPr>
          <w:p w14:paraId="45F7A2CC"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38.3</w:t>
            </w:r>
          </w:p>
        </w:tc>
      </w:tr>
      <w:tr w:rsidR="003E5019" w14:paraId="45F7A2D6" w14:textId="77777777" w:rsidTr="003E5019">
        <w:trPr>
          <w:cantSplit/>
          <w:trHeight w:val="255"/>
        </w:trPr>
        <w:tc>
          <w:tcPr>
            <w:tcW w:w="581" w:type="pct"/>
            <w:vMerge/>
            <w:tcBorders>
              <w:right w:val="single" w:sz="6" w:space="0" w:color="000000"/>
            </w:tcBorders>
            <w:vAlign w:val="center"/>
          </w:tcPr>
          <w:p w14:paraId="45F7A2CE" w14:textId="77777777" w:rsidR="003E5019" w:rsidRDefault="003E5019" w:rsidP="003E5019">
            <w:pPr>
              <w:spacing w:before="0" w:line="240" w:lineRule="auto"/>
              <w:ind w:firstLine="0"/>
              <w:jc w:val="center"/>
              <w:rPr>
                <w:rFonts w:ascii="Arial" w:hAnsi="Arial" w:cs="Arial"/>
                <w:sz w:val="18"/>
                <w:szCs w:val="18"/>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2CF" w14:textId="77777777" w:rsidR="003E5019" w:rsidRDefault="003E5019" w:rsidP="003E5019">
            <w:pPr>
              <w:spacing w:before="0" w:line="240" w:lineRule="auto"/>
              <w:ind w:firstLine="0"/>
              <w:jc w:val="center"/>
              <w:rPr>
                <w:rFonts w:ascii="Arial" w:hAnsi="Arial" w:cs="Arial"/>
                <w:sz w:val="20"/>
                <w:szCs w:val="20"/>
              </w:rPr>
            </w:pPr>
            <w:r>
              <w:rPr>
                <w:rFonts w:ascii="Arial" w:hAnsi="Arial" w:cs="Arial"/>
                <w:sz w:val="20"/>
                <w:szCs w:val="20"/>
              </w:rPr>
              <w:t>2</w:t>
            </w:r>
          </w:p>
        </w:tc>
        <w:tc>
          <w:tcPr>
            <w:tcW w:w="790" w:type="pct"/>
            <w:tcBorders>
              <w:left w:val="single" w:sz="4" w:space="0" w:color="auto"/>
            </w:tcBorders>
            <w:noWrap/>
            <w:tcMar>
              <w:top w:w="12" w:type="dxa"/>
              <w:left w:w="12" w:type="dxa"/>
              <w:bottom w:w="0" w:type="dxa"/>
              <w:right w:w="12" w:type="dxa"/>
            </w:tcMar>
            <w:vAlign w:val="bottom"/>
          </w:tcPr>
          <w:p w14:paraId="45F7A2D0"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56.0</w:t>
            </w:r>
          </w:p>
        </w:tc>
        <w:tc>
          <w:tcPr>
            <w:tcW w:w="698" w:type="pct"/>
            <w:noWrap/>
            <w:tcMar>
              <w:top w:w="12" w:type="dxa"/>
              <w:left w:w="12" w:type="dxa"/>
              <w:bottom w:w="0" w:type="dxa"/>
              <w:right w:w="12" w:type="dxa"/>
            </w:tcMar>
            <w:vAlign w:val="bottom"/>
          </w:tcPr>
          <w:p w14:paraId="45F7A2D1"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59.1</w:t>
            </w:r>
          </w:p>
        </w:tc>
        <w:tc>
          <w:tcPr>
            <w:tcW w:w="522" w:type="pct"/>
            <w:noWrap/>
            <w:tcMar>
              <w:top w:w="12" w:type="dxa"/>
              <w:left w:w="12" w:type="dxa"/>
              <w:bottom w:w="0" w:type="dxa"/>
              <w:right w:w="12" w:type="dxa"/>
            </w:tcMar>
            <w:vAlign w:val="bottom"/>
          </w:tcPr>
          <w:p w14:paraId="45F7A2D2"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59.9</w:t>
            </w:r>
          </w:p>
        </w:tc>
        <w:tc>
          <w:tcPr>
            <w:tcW w:w="790" w:type="pct"/>
            <w:noWrap/>
            <w:tcMar>
              <w:top w:w="12" w:type="dxa"/>
              <w:left w:w="12" w:type="dxa"/>
              <w:bottom w:w="0" w:type="dxa"/>
              <w:right w:w="12" w:type="dxa"/>
            </w:tcMar>
            <w:vAlign w:val="bottom"/>
          </w:tcPr>
          <w:p w14:paraId="45F7A2D3"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45.8</w:t>
            </w:r>
          </w:p>
        </w:tc>
        <w:tc>
          <w:tcPr>
            <w:tcW w:w="698" w:type="pct"/>
            <w:noWrap/>
            <w:tcMar>
              <w:top w:w="12" w:type="dxa"/>
              <w:left w:w="12" w:type="dxa"/>
              <w:bottom w:w="0" w:type="dxa"/>
              <w:right w:w="12" w:type="dxa"/>
            </w:tcMar>
            <w:vAlign w:val="bottom"/>
          </w:tcPr>
          <w:p w14:paraId="45F7A2D4"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52.2</w:t>
            </w:r>
          </w:p>
        </w:tc>
        <w:tc>
          <w:tcPr>
            <w:tcW w:w="521" w:type="pct"/>
            <w:noWrap/>
            <w:tcMar>
              <w:top w:w="12" w:type="dxa"/>
              <w:left w:w="12" w:type="dxa"/>
              <w:bottom w:w="0" w:type="dxa"/>
              <w:right w:w="12" w:type="dxa"/>
            </w:tcMar>
            <w:vAlign w:val="bottom"/>
          </w:tcPr>
          <w:p w14:paraId="45F7A2D5"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50.6</w:t>
            </w:r>
          </w:p>
        </w:tc>
      </w:tr>
      <w:tr w:rsidR="003E5019" w14:paraId="45F7A2DF" w14:textId="77777777" w:rsidTr="003E5019">
        <w:trPr>
          <w:cantSplit/>
          <w:trHeight w:val="255"/>
        </w:trPr>
        <w:tc>
          <w:tcPr>
            <w:tcW w:w="581" w:type="pct"/>
            <w:vMerge/>
            <w:tcBorders>
              <w:right w:val="single" w:sz="6" w:space="0" w:color="000000"/>
            </w:tcBorders>
            <w:vAlign w:val="center"/>
          </w:tcPr>
          <w:p w14:paraId="45F7A2D7" w14:textId="77777777" w:rsidR="003E5019" w:rsidRDefault="003E5019" w:rsidP="003E5019">
            <w:pPr>
              <w:spacing w:before="0" w:line="240" w:lineRule="auto"/>
              <w:ind w:firstLine="0"/>
              <w:jc w:val="center"/>
              <w:rPr>
                <w:rFonts w:ascii="Arial" w:hAnsi="Arial" w:cs="Arial"/>
                <w:sz w:val="18"/>
                <w:szCs w:val="18"/>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2D8" w14:textId="77777777" w:rsidR="003E5019" w:rsidRDefault="003E5019" w:rsidP="003E5019">
            <w:pPr>
              <w:spacing w:before="0" w:line="240" w:lineRule="auto"/>
              <w:ind w:firstLine="0"/>
              <w:jc w:val="center"/>
              <w:rPr>
                <w:rFonts w:ascii="Arial" w:hAnsi="Arial" w:cs="Arial"/>
                <w:sz w:val="20"/>
                <w:szCs w:val="20"/>
              </w:rPr>
            </w:pPr>
            <w:r>
              <w:rPr>
                <w:rFonts w:ascii="Arial" w:hAnsi="Arial" w:cs="Arial"/>
                <w:sz w:val="20"/>
                <w:szCs w:val="20"/>
              </w:rPr>
              <w:t>3</w:t>
            </w:r>
          </w:p>
        </w:tc>
        <w:tc>
          <w:tcPr>
            <w:tcW w:w="790" w:type="pct"/>
            <w:tcBorders>
              <w:left w:val="single" w:sz="4" w:space="0" w:color="auto"/>
            </w:tcBorders>
            <w:noWrap/>
            <w:tcMar>
              <w:top w:w="12" w:type="dxa"/>
              <w:left w:w="12" w:type="dxa"/>
              <w:bottom w:w="0" w:type="dxa"/>
              <w:right w:w="12" w:type="dxa"/>
            </w:tcMar>
            <w:vAlign w:val="bottom"/>
          </w:tcPr>
          <w:p w14:paraId="45F7A2D9"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72.6</w:t>
            </w:r>
          </w:p>
        </w:tc>
        <w:tc>
          <w:tcPr>
            <w:tcW w:w="698" w:type="pct"/>
            <w:noWrap/>
            <w:tcMar>
              <w:top w:w="12" w:type="dxa"/>
              <w:left w:w="12" w:type="dxa"/>
              <w:bottom w:w="0" w:type="dxa"/>
              <w:right w:w="12" w:type="dxa"/>
            </w:tcMar>
            <w:vAlign w:val="bottom"/>
          </w:tcPr>
          <w:p w14:paraId="45F7A2DA"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75.1</w:t>
            </w:r>
          </w:p>
        </w:tc>
        <w:tc>
          <w:tcPr>
            <w:tcW w:w="522" w:type="pct"/>
            <w:noWrap/>
            <w:tcMar>
              <w:top w:w="12" w:type="dxa"/>
              <w:left w:w="12" w:type="dxa"/>
              <w:bottom w:w="0" w:type="dxa"/>
              <w:right w:w="12" w:type="dxa"/>
            </w:tcMar>
            <w:vAlign w:val="bottom"/>
          </w:tcPr>
          <w:p w14:paraId="45F7A2DB"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71.6</w:t>
            </w:r>
          </w:p>
        </w:tc>
        <w:tc>
          <w:tcPr>
            <w:tcW w:w="790" w:type="pct"/>
            <w:noWrap/>
            <w:tcMar>
              <w:top w:w="12" w:type="dxa"/>
              <w:left w:w="12" w:type="dxa"/>
              <w:bottom w:w="0" w:type="dxa"/>
              <w:right w:w="12" w:type="dxa"/>
            </w:tcMar>
            <w:vAlign w:val="bottom"/>
          </w:tcPr>
          <w:p w14:paraId="45F7A2DC"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59.9</w:t>
            </w:r>
          </w:p>
        </w:tc>
        <w:tc>
          <w:tcPr>
            <w:tcW w:w="698" w:type="pct"/>
            <w:noWrap/>
            <w:tcMar>
              <w:top w:w="12" w:type="dxa"/>
              <w:left w:w="12" w:type="dxa"/>
              <w:bottom w:w="0" w:type="dxa"/>
              <w:right w:w="12" w:type="dxa"/>
            </w:tcMar>
            <w:vAlign w:val="bottom"/>
          </w:tcPr>
          <w:p w14:paraId="45F7A2DD"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66.3</w:t>
            </w:r>
          </w:p>
        </w:tc>
        <w:tc>
          <w:tcPr>
            <w:tcW w:w="521" w:type="pct"/>
            <w:noWrap/>
            <w:tcMar>
              <w:top w:w="12" w:type="dxa"/>
              <w:left w:w="12" w:type="dxa"/>
              <w:bottom w:w="0" w:type="dxa"/>
              <w:right w:w="12" w:type="dxa"/>
            </w:tcMar>
            <w:vAlign w:val="bottom"/>
          </w:tcPr>
          <w:p w14:paraId="45F7A2DE"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63.8</w:t>
            </w:r>
          </w:p>
        </w:tc>
      </w:tr>
      <w:tr w:rsidR="003E5019" w14:paraId="45F7A2E8" w14:textId="77777777" w:rsidTr="003E5019">
        <w:trPr>
          <w:cantSplit/>
          <w:trHeight w:val="255"/>
        </w:trPr>
        <w:tc>
          <w:tcPr>
            <w:tcW w:w="581" w:type="pct"/>
            <w:vMerge/>
            <w:tcBorders>
              <w:right w:val="single" w:sz="6" w:space="0" w:color="000000"/>
            </w:tcBorders>
            <w:vAlign w:val="center"/>
          </w:tcPr>
          <w:p w14:paraId="45F7A2E0" w14:textId="77777777" w:rsidR="003E5019" w:rsidRDefault="003E5019" w:rsidP="003E5019">
            <w:pPr>
              <w:spacing w:before="0" w:line="240" w:lineRule="auto"/>
              <w:ind w:firstLine="0"/>
              <w:jc w:val="center"/>
              <w:rPr>
                <w:rFonts w:ascii="Arial" w:hAnsi="Arial" w:cs="Arial"/>
                <w:sz w:val="18"/>
                <w:szCs w:val="18"/>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2E1" w14:textId="77777777" w:rsidR="003E5019" w:rsidRDefault="003E5019" w:rsidP="003E5019">
            <w:pPr>
              <w:spacing w:before="0" w:line="240" w:lineRule="auto"/>
              <w:ind w:firstLine="0"/>
              <w:jc w:val="center"/>
              <w:rPr>
                <w:rFonts w:ascii="Arial" w:hAnsi="Arial" w:cs="Arial"/>
                <w:sz w:val="20"/>
                <w:szCs w:val="20"/>
              </w:rPr>
            </w:pPr>
            <w:r>
              <w:rPr>
                <w:rFonts w:ascii="Arial" w:hAnsi="Arial" w:cs="Arial"/>
                <w:sz w:val="20"/>
                <w:szCs w:val="20"/>
              </w:rPr>
              <w:t>4</w:t>
            </w:r>
          </w:p>
        </w:tc>
        <w:tc>
          <w:tcPr>
            <w:tcW w:w="790" w:type="pct"/>
            <w:tcBorders>
              <w:left w:val="single" w:sz="4" w:space="0" w:color="auto"/>
            </w:tcBorders>
            <w:noWrap/>
            <w:tcMar>
              <w:top w:w="12" w:type="dxa"/>
              <w:left w:w="12" w:type="dxa"/>
              <w:bottom w:w="0" w:type="dxa"/>
              <w:right w:w="12" w:type="dxa"/>
            </w:tcMar>
            <w:vAlign w:val="bottom"/>
          </w:tcPr>
          <w:p w14:paraId="45F7A2E2"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111.2</w:t>
            </w:r>
          </w:p>
        </w:tc>
        <w:tc>
          <w:tcPr>
            <w:tcW w:w="698" w:type="pct"/>
            <w:noWrap/>
            <w:tcMar>
              <w:top w:w="12" w:type="dxa"/>
              <w:left w:w="12" w:type="dxa"/>
              <w:bottom w:w="0" w:type="dxa"/>
              <w:right w:w="12" w:type="dxa"/>
            </w:tcMar>
            <w:vAlign w:val="bottom"/>
          </w:tcPr>
          <w:p w14:paraId="45F7A2E3"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106.0</w:t>
            </w:r>
          </w:p>
        </w:tc>
        <w:tc>
          <w:tcPr>
            <w:tcW w:w="522" w:type="pct"/>
            <w:noWrap/>
            <w:tcMar>
              <w:top w:w="12" w:type="dxa"/>
              <w:left w:w="12" w:type="dxa"/>
              <w:bottom w:w="0" w:type="dxa"/>
              <w:right w:w="12" w:type="dxa"/>
            </w:tcMar>
            <w:vAlign w:val="bottom"/>
          </w:tcPr>
          <w:p w14:paraId="45F7A2E4"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109.2</w:t>
            </w:r>
          </w:p>
        </w:tc>
        <w:tc>
          <w:tcPr>
            <w:tcW w:w="790" w:type="pct"/>
            <w:noWrap/>
            <w:tcMar>
              <w:top w:w="12" w:type="dxa"/>
              <w:left w:w="12" w:type="dxa"/>
              <w:bottom w:w="0" w:type="dxa"/>
              <w:right w:w="12" w:type="dxa"/>
            </w:tcMar>
            <w:vAlign w:val="bottom"/>
          </w:tcPr>
          <w:p w14:paraId="45F7A2E5"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94.8</w:t>
            </w:r>
          </w:p>
        </w:tc>
        <w:tc>
          <w:tcPr>
            <w:tcW w:w="698" w:type="pct"/>
            <w:noWrap/>
            <w:tcMar>
              <w:top w:w="12" w:type="dxa"/>
              <w:left w:w="12" w:type="dxa"/>
              <w:bottom w:w="0" w:type="dxa"/>
              <w:right w:w="12" w:type="dxa"/>
            </w:tcMar>
            <w:vAlign w:val="bottom"/>
          </w:tcPr>
          <w:p w14:paraId="45F7A2E6"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92.8</w:t>
            </w:r>
          </w:p>
        </w:tc>
        <w:tc>
          <w:tcPr>
            <w:tcW w:w="521" w:type="pct"/>
            <w:noWrap/>
            <w:tcMar>
              <w:top w:w="12" w:type="dxa"/>
              <w:left w:w="12" w:type="dxa"/>
              <w:bottom w:w="0" w:type="dxa"/>
              <w:right w:w="12" w:type="dxa"/>
            </w:tcMar>
            <w:vAlign w:val="bottom"/>
          </w:tcPr>
          <w:p w14:paraId="45F7A2E7"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99.8</w:t>
            </w:r>
          </w:p>
        </w:tc>
      </w:tr>
      <w:tr w:rsidR="003E5019" w14:paraId="45F7A2F1" w14:textId="77777777" w:rsidTr="003E5019">
        <w:trPr>
          <w:cantSplit/>
          <w:trHeight w:val="255"/>
        </w:trPr>
        <w:tc>
          <w:tcPr>
            <w:tcW w:w="581" w:type="pct"/>
            <w:vMerge/>
            <w:tcBorders>
              <w:right w:val="single" w:sz="6" w:space="0" w:color="000000"/>
            </w:tcBorders>
            <w:vAlign w:val="center"/>
          </w:tcPr>
          <w:p w14:paraId="45F7A2E9" w14:textId="77777777" w:rsidR="003E5019" w:rsidRDefault="003E5019" w:rsidP="003E5019">
            <w:pPr>
              <w:spacing w:before="0" w:line="240" w:lineRule="auto"/>
              <w:ind w:firstLine="0"/>
              <w:jc w:val="center"/>
              <w:rPr>
                <w:rFonts w:ascii="Arial" w:hAnsi="Arial" w:cs="Arial"/>
                <w:sz w:val="18"/>
                <w:szCs w:val="18"/>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2EA" w14:textId="77777777" w:rsidR="003E5019" w:rsidRDefault="003E5019" w:rsidP="003E5019">
            <w:pPr>
              <w:spacing w:before="0" w:line="240" w:lineRule="auto"/>
              <w:ind w:firstLine="0"/>
              <w:jc w:val="center"/>
              <w:rPr>
                <w:rFonts w:ascii="Arial" w:hAnsi="Arial" w:cs="Arial"/>
                <w:sz w:val="20"/>
                <w:szCs w:val="20"/>
              </w:rPr>
            </w:pPr>
            <w:r>
              <w:rPr>
                <w:rFonts w:ascii="Arial" w:hAnsi="Arial" w:cs="Arial"/>
                <w:sz w:val="20"/>
                <w:szCs w:val="20"/>
              </w:rPr>
              <w:t>5</w:t>
            </w:r>
          </w:p>
        </w:tc>
        <w:tc>
          <w:tcPr>
            <w:tcW w:w="790" w:type="pct"/>
            <w:tcBorders>
              <w:left w:val="single" w:sz="4" w:space="0" w:color="auto"/>
            </w:tcBorders>
            <w:noWrap/>
            <w:tcMar>
              <w:top w:w="12" w:type="dxa"/>
              <w:left w:w="12" w:type="dxa"/>
              <w:bottom w:w="0" w:type="dxa"/>
              <w:right w:w="12" w:type="dxa"/>
            </w:tcMar>
            <w:vAlign w:val="bottom"/>
          </w:tcPr>
          <w:p w14:paraId="45F7A2EB"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249.5</w:t>
            </w:r>
          </w:p>
        </w:tc>
        <w:tc>
          <w:tcPr>
            <w:tcW w:w="698" w:type="pct"/>
            <w:noWrap/>
            <w:tcMar>
              <w:top w:w="12" w:type="dxa"/>
              <w:left w:w="12" w:type="dxa"/>
              <w:bottom w:w="0" w:type="dxa"/>
              <w:right w:w="12" w:type="dxa"/>
            </w:tcMar>
            <w:vAlign w:val="bottom"/>
          </w:tcPr>
          <w:p w14:paraId="45F7A2EC"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218.1</w:t>
            </w:r>
          </w:p>
        </w:tc>
        <w:tc>
          <w:tcPr>
            <w:tcW w:w="522" w:type="pct"/>
            <w:noWrap/>
            <w:tcMar>
              <w:top w:w="12" w:type="dxa"/>
              <w:left w:w="12" w:type="dxa"/>
              <w:bottom w:w="0" w:type="dxa"/>
              <w:right w:w="12" w:type="dxa"/>
            </w:tcMar>
            <w:vAlign w:val="bottom"/>
          </w:tcPr>
          <w:p w14:paraId="45F7A2ED"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237.4</w:t>
            </w:r>
          </w:p>
        </w:tc>
        <w:tc>
          <w:tcPr>
            <w:tcW w:w="790" w:type="pct"/>
            <w:noWrap/>
            <w:tcMar>
              <w:top w:w="12" w:type="dxa"/>
              <w:left w:w="12" w:type="dxa"/>
              <w:bottom w:w="0" w:type="dxa"/>
              <w:right w:w="12" w:type="dxa"/>
            </w:tcMar>
            <w:vAlign w:val="bottom"/>
          </w:tcPr>
          <w:p w14:paraId="45F7A2EE"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187.2</w:t>
            </w:r>
          </w:p>
        </w:tc>
        <w:tc>
          <w:tcPr>
            <w:tcW w:w="698" w:type="pct"/>
            <w:noWrap/>
            <w:tcMar>
              <w:top w:w="12" w:type="dxa"/>
              <w:left w:w="12" w:type="dxa"/>
              <w:bottom w:w="0" w:type="dxa"/>
              <w:right w:w="12" w:type="dxa"/>
            </w:tcMar>
            <w:vAlign w:val="bottom"/>
          </w:tcPr>
          <w:p w14:paraId="45F7A2EF"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193.7</w:t>
            </w:r>
          </w:p>
        </w:tc>
        <w:tc>
          <w:tcPr>
            <w:tcW w:w="521" w:type="pct"/>
            <w:noWrap/>
            <w:tcMar>
              <w:top w:w="12" w:type="dxa"/>
              <w:left w:w="12" w:type="dxa"/>
              <w:bottom w:w="0" w:type="dxa"/>
              <w:right w:w="12" w:type="dxa"/>
            </w:tcMar>
            <w:vAlign w:val="bottom"/>
          </w:tcPr>
          <w:p w14:paraId="45F7A2F0"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200.8</w:t>
            </w:r>
          </w:p>
        </w:tc>
      </w:tr>
      <w:tr w:rsidR="003E5019" w14:paraId="45F7A2FA" w14:textId="77777777" w:rsidTr="003E5019">
        <w:trPr>
          <w:cantSplit/>
          <w:trHeight w:val="255"/>
        </w:trPr>
        <w:tc>
          <w:tcPr>
            <w:tcW w:w="581" w:type="pct"/>
            <w:vMerge/>
            <w:tcBorders>
              <w:bottom w:val="single" w:sz="4" w:space="0" w:color="auto"/>
              <w:right w:val="single" w:sz="6" w:space="0" w:color="000000"/>
            </w:tcBorders>
            <w:vAlign w:val="center"/>
          </w:tcPr>
          <w:p w14:paraId="45F7A2F2" w14:textId="77777777" w:rsidR="003E5019" w:rsidRDefault="003E5019" w:rsidP="003E5019">
            <w:pPr>
              <w:spacing w:before="0" w:line="240" w:lineRule="auto"/>
              <w:ind w:firstLine="0"/>
              <w:jc w:val="center"/>
              <w:rPr>
                <w:rFonts w:ascii="Arial" w:hAnsi="Arial" w:cs="Arial"/>
                <w:sz w:val="18"/>
                <w:szCs w:val="18"/>
              </w:rPr>
            </w:pPr>
          </w:p>
        </w:tc>
        <w:tc>
          <w:tcPr>
            <w:tcW w:w="400" w:type="pct"/>
            <w:tcBorders>
              <w:left w:val="single" w:sz="6" w:space="0" w:color="000000"/>
              <w:bottom w:val="single" w:sz="4" w:space="0" w:color="auto"/>
              <w:right w:val="single" w:sz="4" w:space="0" w:color="auto"/>
            </w:tcBorders>
            <w:noWrap/>
            <w:tcMar>
              <w:top w:w="12" w:type="dxa"/>
              <w:left w:w="12" w:type="dxa"/>
              <w:bottom w:w="0" w:type="dxa"/>
              <w:right w:w="12" w:type="dxa"/>
            </w:tcMar>
            <w:vAlign w:val="bottom"/>
          </w:tcPr>
          <w:p w14:paraId="45F7A2F3" w14:textId="77777777" w:rsidR="003E5019" w:rsidRDefault="003E5019" w:rsidP="003E5019">
            <w:pPr>
              <w:spacing w:before="0" w:line="240" w:lineRule="auto"/>
              <w:ind w:firstLine="0"/>
              <w:jc w:val="center"/>
              <w:rPr>
                <w:rFonts w:ascii="Arial" w:hAnsi="Arial" w:cs="Arial"/>
                <w:sz w:val="20"/>
                <w:szCs w:val="20"/>
              </w:rPr>
            </w:pPr>
            <w:r>
              <w:rPr>
                <w:rFonts w:ascii="Arial" w:hAnsi="Arial" w:cs="Arial"/>
                <w:sz w:val="20"/>
                <w:szCs w:val="20"/>
              </w:rPr>
              <w:t>N</w:t>
            </w:r>
          </w:p>
        </w:tc>
        <w:tc>
          <w:tcPr>
            <w:tcW w:w="790" w:type="pct"/>
            <w:tcBorders>
              <w:left w:val="single" w:sz="4" w:space="0" w:color="auto"/>
              <w:bottom w:val="single" w:sz="4" w:space="0" w:color="auto"/>
            </w:tcBorders>
            <w:noWrap/>
            <w:tcMar>
              <w:top w:w="12" w:type="dxa"/>
              <w:left w:w="12" w:type="dxa"/>
              <w:bottom w:w="0" w:type="dxa"/>
              <w:right w:w="12" w:type="dxa"/>
            </w:tcMar>
            <w:vAlign w:val="bottom"/>
          </w:tcPr>
          <w:p w14:paraId="45F7A2F4"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82,275</w:t>
            </w:r>
          </w:p>
        </w:tc>
        <w:tc>
          <w:tcPr>
            <w:tcW w:w="698" w:type="pct"/>
            <w:tcBorders>
              <w:bottom w:val="single" w:sz="4" w:space="0" w:color="auto"/>
            </w:tcBorders>
            <w:noWrap/>
            <w:tcMar>
              <w:top w:w="12" w:type="dxa"/>
              <w:left w:w="12" w:type="dxa"/>
              <w:bottom w:w="0" w:type="dxa"/>
              <w:right w:w="12" w:type="dxa"/>
            </w:tcMar>
            <w:vAlign w:val="bottom"/>
          </w:tcPr>
          <w:p w14:paraId="45F7A2F5"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119,523</w:t>
            </w:r>
          </w:p>
        </w:tc>
        <w:tc>
          <w:tcPr>
            <w:tcW w:w="522" w:type="pct"/>
            <w:tcBorders>
              <w:bottom w:val="single" w:sz="4" w:space="0" w:color="auto"/>
            </w:tcBorders>
            <w:noWrap/>
            <w:tcMar>
              <w:top w:w="12" w:type="dxa"/>
              <w:left w:w="12" w:type="dxa"/>
              <w:bottom w:w="0" w:type="dxa"/>
              <w:right w:w="12" w:type="dxa"/>
            </w:tcMar>
            <w:vAlign w:val="bottom"/>
          </w:tcPr>
          <w:p w14:paraId="45F7A2F6"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36,914</w:t>
            </w:r>
          </w:p>
        </w:tc>
        <w:tc>
          <w:tcPr>
            <w:tcW w:w="790" w:type="pct"/>
            <w:tcBorders>
              <w:bottom w:val="single" w:sz="4" w:space="0" w:color="auto"/>
            </w:tcBorders>
            <w:noWrap/>
            <w:tcMar>
              <w:top w:w="12" w:type="dxa"/>
              <w:left w:w="12" w:type="dxa"/>
              <w:bottom w:w="0" w:type="dxa"/>
              <w:right w:w="12" w:type="dxa"/>
            </w:tcMar>
            <w:vAlign w:val="bottom"/>
          </w:tcPr>
          <w:p w14:paraId="45F7A2F7"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51,052</w:t>
            </w:r>
          </w:p>
        </w:tc>
        <w:tc>
          <w:tcPr>
            <w:tcW w:w="698" w:type="pct"/>
            <w:tcBorders>
              <w:bottom w:val="single" w:sz="4" w:space="0" w:color="auto"/>
            </w:tcBorders>
            <w:noWrap/>
            <w:tcMar>
              <w:top w:w="12" w:type="dxa"/>
              <w:left w:w="12" w:type="dxa"/>
              <w:bottom w:w="0" w:type="dxa"/>
              <w:right w:w="12" w:type="dxa"/>
            </w:tcMar>
            <w:vAlign w:val="bottom"/>
          </w:tcPr>
          <w:p w14:paraId="45F7A2F8"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92,039</w:t>
            </w:r>
          </w:p>
        </w:tc>
        <w:tc>
          <w:tcPr>
            <w:tcW w:w="521" w:type="pct"/>
            <w:tcBorders>
              <w:bottom w:val="single" w:sz="4" w:space="0" w:color="auto"/>
            </w:tcBorders>
            <w:noWrap/>
            <w:tcMar>
              <w:top w:w="12" w:type="dxa"/>
              <w:left w:w="12" w:type="dxa"/>
              <w:bottom w:w="0" w:type="dxa"/>
              <w:right w:w="12" w:type="dxa"/>
            </w:tcMar>
            <w:vAlign w:val="bottom"/>
          </w:tcPr>
          <w:p w14:paraId="45F7A2F9" w14:textId="77777777" w:rsidR="003E5019" w:rsidRDefault="003E5019" w:rsidP="003E5019">
            <w:pPr>
              <w:spacing w:before="0" w:line="240" w:lineRule="auto"/>
              <w:ind w:firstLine="0"/>
              <w:jc w:val="right"/>
              <w:rPr>
                <w:rFonts w:ascii="Arial" w:hAnsi="Arial" w:cs="Arial"/>
                <w:sz w:val="20"/>
                <w:szCs w:val="20"/>
              </w:rPr>
            </w:pPr>
            <w:r>
              <w:rPr>
                <w:rFonts w:ascii="Arial" w:hAnsi="Arial" w:cs="Arial"/>
                <w:sz w:val="20"/>
                <w:szCs w:val="20"/>
              </w:rPr>
              <w:t>33,888</w:t>
            </w:r>
          </w:p>
        </w:tc>
      </w:tr>
      <w:tr w:rsidR="005F793D" w14:paraId="45F7A303" w14:textId="77777777" w:rsidTr="003E5019">
        <w:trPr>
          <w:cantSplit/>
          <w:trHeight w:val="255"/>
        </w:trPr>
        <w:tc>
          <w:tcPr>
            <w:tcW w:w="581" w:type="pct"/>
            <w:vMerge w:val="restart"/>
            <w:tcBorders>
              <w:top w:val="single" w:sz="4" w:space="0" w:color="auto"/>
              <w:right w:val="single" w:sz="6" w:space="0" w:color="000000"/>
            </w:tcBorders>
            <w:tcMar>
              <w:top w:w="12" w:type="dxa"/>
              <w:left w:w="12" w:type="dxa"/>
              <w:bottom w:w="0" w:type="dxa"/>
              <w:right w:w="12" w:type="dxa"/>
            </w:tcMar>
            <w:vAlign w:val="center"/>
          </w:tcPr>
          <w:p w14:paraId="45F7A2FB" w14:textId="77777777" w:rsidR="00C540A4" w:rsidRDefault="00C540A4" w:rsidP="002E4877">
            <w:pPr>
              <w:spacing w:before="0" w:line="240" w:lineRule="auto"/>
              <w:ind w:firstLine="0"/>
              <w:jc w:val="center"/>
              <w:rPr>
                <w:rFonts w:ascii="Arial" w:hAnsi="Arial" w:cs="Arial"/>
                <w:sz w:val="20"/>
                <w:szCs w:val="20"/>
              </w:rPr>
            </w:pPr>
            <w:r>
              <w:rPr>
                <w:rFonts w:ascii="Arial" w:hAnsi="Arial" w:cs="Arial"/>
                <w:sz w:val="20"/>
                <w:szCs w:val="20"/>
              </w:rPr>
              <w:t>Corsica</w:t>
            </w:r>
          </w:p>
        </w:tc>
        <w:tc>
          <w:tcPr>
            <w:tcW w:w="400" w:type="pct"/>
            <w:tcBorders>
              <w:top w:val="single" w:sz="4" w:space="0" w:color="auto"/>
              <w:left w:val="single" w:sz="6" w:space="0" w:color="000000"/>
              <w:right w:val="single" w:sz="4" w:space="0" w:color="auto"/>
            </w:tcBorders>
            <w:noWrap/>
            <w:tcMar>
              <w:top w:w="12" w:type="dxa"/>
              <w:left w:w="12" w:type="dxa"/>
              <w:bottom w:w="0" w:type="dxa"/>
              <w:right w:w="12" w:type="dxa"/>
            </w:tcMar>
            <w:vAlign w:val="bottom"/>
          </w:tcPr>
          <w:p w14:paraId="45F7A2FC" w14:textId="77777777" w:rsidR="00C540A4" w:rsidRDefault="00C540A4" w:rsidP="002E4877">
            <w:pPr>
              <w:spacing w:before="0" w:line="240" w:lineRule="auto"/>
              <w:ind w:firstLine="0"/>
              <w:jc w:val="center"/>
              <w:rPr>
                <w:rFonts w:ascii="Arial" w:hAnsi="Arial" w:cs="Arial"/>
                <w:sz w:val="20"/>
                <w:szCs w:val="20"/>
              </w:rPr>
            </w:pPr>
            <w:r>
              <w:rPr>
                <w:rFonts w:ascii="Arial" w:hAnsi="Arial" w:cs="Arial"/>
                <w:sz w:val="20"/>
                <w:szCs w:val="20"/>
              </w:rPr>
              <w:t>2</w:t>
            </w:r>
          </w:p>
        </w:tc>
        <w:tc>
          <w:tcPr>
            <w:tcW w:w="790" w:type="pct"/>
            <w:tcBorders>
              <w:top w:val="single" w:sz="4" w:space="0" w:color="auto"/>
              <w:left w:val="single" w:sz="4" w:space="0" w:color="auto"/>
            </w:tcBorders>
            <w:noWrap/>
            <w:tcMar>
              <w:top w:w="12" w:type="dxa"/>
              <w:left w:w="12" w:type="dxa"/>
              <w:bottom w:w="0" w:type="dxa"/>
              <w:right w:w="12" w:type="dxa"/>
            </w:tcMar>
            <w:vAlign w:val="bottom"/>
          </w:tcPr>
          <w:p w14:paraId="45F7A2FD"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65.5</w:t>
            </w:r>
          </w:p>
        </w:tc>
        <w:tc>
          <w:tcPr>
            <w:tcW w:w="698" w:type="pct"/>
            <w:tcBorders>
              <w:top w:val="single" w:sz="4" w:space="0" w:color="auto"/>
            </w:tcBorders>
            <w:noWrap/>
            <w:tcMar>
              <w:top w:w="12" w:type="dxa"/>
              <w:left w:w="12" w:type="dxa"/>
              <w:bottom w:w="0" w:type="dxa"/>
              <w:right w:w="12" w:type="dxa"/>
            </w:tcMar>
            <w:vAlign w:val="bottom"/>
          </w:tcPr>
          <w:p w14:paraId="45F7A2FE"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74.8</w:t>
            </w:r>
          </w:p>
        </w:tc>
        <w:tc>
          <w:tcPr>
            <w:tcW w:w="522" w:type="pct"/>
            <w:tcBorders>
              <w:top w:val="single" w:sz="4" w:space="0" w:color="auto"/>
            </w:tcBorders>
            <w:noWrap/>
            <w:tcMar>
              <w:top w:w="12" w:type="dxa"/>
              <w:left w:w="12" w:type="dxa"/>
              <w:bottom w:w="0" w:type="dxa"/>
              <w:right w:w="12" w:type="dxa"/>
            </w:tcMar>
            <w:vAlign w:val="bottom"/>
          </w:tcPr>
          <w:p w14:paraId="45F7A2FF"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63.1</w:t>
            </w:r>
          </w:p>
        </w:tc>
        <w:tc>
          <w:tcPr>
            <w:tcW w:w="790" w:type="pct"/>
            <w:tcBorders>
              <w:top w:val="single" w:sz="4" w:space="0" w:color="auto"/>
            </w:tcBorders>
            <w:noWrap/>
            <w:tcMar>
              <w:top w:w="12" w:type="dxa"/>
              <w:left w:w="12" w:type="dxa"/>
              <w:bottom w:w="0" w:type="dxa"/>
              <w:right w:w="12" w:type="dxa"/>
            </w:tcMar>
            <w:vAlign w:val="bottom"/>
          </w:tcPr>
          <w:p w14:paraId="45F7A300"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52.9</w:t>
            </w:r>
          </w:p>
        </w:tc>
        <w:tc>
          <w:tcPr>
            <w:tcW w:w="698" w:type="pct"/>
            <w:tcBorders>
              <w:top w:val="single" w:sz="4" w:space="0" w:color="auto"/>
            </w:tcBorders>
            <w:noWrap/>
            <w:tcMar>
              <w:top w:w="12" w:type="dxa"/>
              <w:left w:w="12" w:type="dxa"/>
              <w:bottom w:w="0" w:type="dxa"/>
              <w:right w:w="12" w:type="dxa"/>
            </w:tcMar>
            <w:vAlign w:val="bottom"/>
          </w:tcPr>
          <w:p w14:paraId="45F7A301"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65.7</w:t>
            </w:r>
          </w:p>
        </w:tc>
        <w:tc>
          <w:tcPr>
            <w:tcW w:w="521" w:type="pct"/>
            <w:tcBorders>
              <w:top w:val="single" w:sz="4" w:space="0" w:color="auto"/>
            </w:tcBorders>
            <w:noWrap/>
            <w:tcMar>
              <w:top w:w="12" w:type="dxa"/>
              <w:left w:w="12" w:type="dxa"/>
              <w:bottom w:w="0" w:type="dxa"/>
              <w:right w:w="12" w:type="dxa"/>
            </w:tcMar>
            <w:vAlign w:val="bottom"/>
          </w:tcPr>
          <w:p w14:paraId="45F7A302"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57.6</w:t>
            </w:r>
          </w:p>
        </w:tc>
      </w:tr>
      <w:tr w:rsidR="005F793D" w14:paraId="45F7A30C" w14:textId="77777777" w:rsidTr="003E5019">
        <w:trPr>
          <w:cantSplit/>
          <w:trHeight w:val="255"/>
        </w:trPr>
        <w:tc>
          <w:tcPr>
            <w:tcW w:w="581" w:type="pct"/>
            <w:vMerge/>
            <w:tcBorders>
              <w:right w:val="single" w:sz="6" w:space="0" w:color="000000"/>
            </w:tcBorders>
            <w:vAlign w:val="center"/>
          </w:tcPr>
          <w:p w14:paraId="45F7A304" w14:textId="77777777" w:rsidR="00C540A4" w:rsidRDefault="00C540A4" w:rsidP="002E4877">
            <w:pPr>
              <w:spacing w:before="0" w:line="240" w:lineRule="auto"/>
              <w:ind w:firstLine="0"/>
              <w:jc w:val="center"/>
              <w:rPr>
                <w:rFonts w:ascii="Arial" w:hAnsi="Arial" w:cs="Arial"/>
                <w:sz w:val="20"/>
                <w:szCs w:val="20"/>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305" w14:textId="77777777" w:rsidR="00C540A4" w:rsidRDefault="00C540A4" w:rsidP="002E4877">
            <w:pPr>
              <w:spacing w:before="0" w:line="240" w:lineRule="auto"/>
              <w:ind w:firstLine="0"/>
              <w:jc w:val="center"/>
              <w:rPr>
                <w:rFonts w:ascii="Arial" w:hAnsi="Arial" w:cs="Arial"/>
                <w:sz w:val="20"/>
                <w:szCs w:val="20"/>
              </w:rPr>
            </w:pPr>
            <w:r>
              <w:rPr>
                <w:rFonts w:ascii="Arial" w:hAnsi="Arial" w:cs="Arial"/>
                <w:sz w:val="20"/>
                <w:szCs w:val="20"/>
              </w:rPr>
              <w:t>3</w:t>
            </w:r>
          </w:p>
        </w:tc>
        <w:tc>
          <w:tcPr>
            <w:tcW w:w="790" w:type="pct"/>
            <w:tcBorders>
              <w:left w:val="single" w:sz="4" w:space="0" w:color="auto"/>
            </w:tcBorders>
            <w:noWrap/>
            <w:tcMar>
              <w:top w:w="12" w:type="dxa"/>
              <w:left w:w="12" w:type="dxa"/>
              <w:bottom w:w="0" w:type="dxa"/>
              <w:right w:w="12" w:type="dxa"/>
            </w:tcMar>
            <w:vAlign w:val="bottom"/>
          </w:tcPr>
          <w:p w14:paraId="45F7A306"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95.2</w:t>
            </w:r>
          </w:p>
        </w:tc>
        <w:tc>
          <w:tcPr>
            <w:tcW w:w="698" w:type="pct"/>
            <w:noWrap/>
            <w:tcMar>
              <w:top w:w="12" w:type="dxa"/>
              <w:left w:w="12" w:type="dxa"/>
              <w:bottom w:w="0" w:type="dxa"/>
              <w:right w:w="12" w:type="dxa"/>
            </w:tcMar>
            <w:vAlign w:val="bottom"/>
          </w:tcPr>
          <w:p w14:paraId="45F7A307"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107.9</w:t>
            </w:r>
          </w:p>
        </w:tc>
        <w:tc>
          <w:tcPr>
            <w:tcW w:w="522" w:type="pct"/>
            <w:noWrap/>
            <w:tcMar>
              <w:top w:w="12" w:type="dxa"/>
              <w:left w:w="12" w:type="dxa"/>
              <w:bottom w:w="0" w:type="dxa"/>
              <w:right w:w="12" w:type="dxa"/>
            </w:tcMar>
            <w:vAlign w:val="bottom"/>
          </w:tcPr>
          <w:p w14:paraId="45F7A308"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93.7</w:t>
            </w:r>
          </w:p>
        </w:tc>
        <w:tc>
          <w:tcPr>
            <w:tcW w:w="790" w:type="pct"/>
            <w:noWrap/>
            <w:tcMar>
              <w:top w:w="12" w:type="dxa"/>
              <w:left w:w="12" w:type="dxa"/>
              <w:bottom w:w="0" w:type="dxa"/>
              <w:right w:w="12" w:type="dxa"/>
            </w:tcMar>
            <w:vAlign w:val="bottom"/>
          </w:tcPr>
          <w:p w14:paraId="45F7A309"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78.0</w:t>
            </w:r>
          </w:p>
        </w:tc>
        <w:tc>
          <w:tcPr>
            <w:tcW w:w="698" w:type="pct"/>
            <w:noWrap/>
            <w:tcMar>
              <w:top w:w="12" w:type="dxa"/>
              <w:left w:w="12" w:type="dxa"/>
              <w:bottom w:w="0" w:type="dxa"/>
              <w:right w:w="12" w:type="dxa"/>
            </w:tcMar>
            <w:vAlign w:val="bottom"/>
          </w:tcPr>
          <w:p w14:paraId="45F7A30A"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98.4</w:t>
            </w:r>
          </w:p>
        </w:tc>
        <w:tc>
          <w:tcPr>
            <w:tcW w:w="521" w:type="pct"/>
            <w:noWrap/>
            <w:tcMar>
              <w:top w:w="12" w:type="dxa"/>
              <w:left w:w="12" w:type="dxa"/>
              <w:bottom w:w="0" w:type="dxa"/>
              <w:right w:w="12" w:type="dxa"/>
            </w:tcMar>
            <w:vAlign w:val="bottom"/>
          </w:tcPr>
          <w:p w14:paraId="45F7A30B"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84.5</w:t>
            </w:r>
          </w:p>
        </w:tc>
      </w:tr>
      <w:tr w:rsidR="005F793D" w14:paraId="45F7A315" w14:textId="77777777" w:rsidTr="003E5019">
        <w:trPr>
          <w:cantSplit/>
          <w:trHeight w:val="255"/>
        </w:trPr>
        <w:tc>
          <w:tcPr>
            <w:tcW w:w="581" w:type="pct"/>
            <w:vMerge/>
            <w:tcBorders>
              <w:right w:val="single" w:sz="6" w:space="0" w:color="000000"/>
            </w:tcBorders>
            <w:vAlign w:val="center"/>
          </w:tcPr>
          <w:p w14:paraId="45F7A30D" w14:textId="77777777" w:rsidR="00C540A4" w:rsidRDefault="00C540A4" w:rsidP="002E4877">
            <w:pPr>
              <w:spacing w:before="0" w:line="240" w:lineRule="auto"/>
              <w:ind w:firstLine="0"/>
              <w:jc w:val="center"/>
              <w:rPr>
                <w:rFonts w:ascii="Arial" w:hAnsi="Arial" w:cs="Arial"/>
                <w:sz w:val="20"/>
                <w:szCs w:val="20"/>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30E" w14:textId="77777777" w:rsidR="00C540A4" w:rsidRDefault="00C540A4" w:rsidP="002E4877">
            <w:pPr>
              <w:spacing w:before="0" w:line="240" w:lineRule="auto"/>
              <w:ind w:firstLine="0"/>
              <w:jc w:val="center"/>
              <w:rPr>
                <w:rFonts w:ascii="Arial" w:hAnsi="Arial" w:cs="Arial"/>
                <w:sz w:val="20"/>
                <w:szCs w:val="20"/>
              </w:rPr>
            </w:pPr>
            <w:r>
              <w:rPr>
                <w:rFonts w:ascii="Arial" w:hAnsi="Arial" w:cs="Arial"/>
                <w:sz w:val="20"/>
                <w:szCs w:val="20"/>
              </w:rPr>
              <w:t>4</w:t>
            </w:r>
          </w:p>
        </w:tc>
        <w:tc>
          <w:tcPr>
            <w:tcW w:w="790" w:type="pct"/>
            <w:tcBorders>
              <w:left w:val="single" w:sz="4" w:space="0" w:color="auto"/>
            </w:tcBorders>
            <w:noWrap/>
            <w:tcMar>
              <w:top w:w="12" w:type="dxa"/>
              <w:left w:w="12" w:type="dxa"/>
              <w:bottom w:w="0" w:type="dxa"/>
              <w:right w:w="12" w:type="dxa"/>
            </w:tcMar>
            <w:vAlign w:val="bottom"/>
          </w:tcPr>
          <w:p w14:paraId="45F7A30F"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188.9</w:t>
            </w:r>
          </w:p>
        </w:tc>
        <w:tc>
          <w:tcPr>
            <w:tcW w:w="698" w:type="pct"/>
            <w:noWrap/>
            <w:tcMar>
              <w:top w:w="12" w:type="dxa"/>
              <w:left w:w="12" w:type="dxa"/>
              <w:bottom w:w="0" w:type="dxa"/>
              <w:right w:w="12" w:type="dxa"/>
            </w:tcMar>
            <w:vAlign w:val="bottom"/>
          </w:tcPr>
          <w:p w14:paraId="45F7A310"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207.4</w:t>
            </w:r>
          </w:p>
        </w:tc>
        <w:tc>
          <w:tcPr>
            <w:tcW w:w="522" w:type="pct"/>
            <w:noWrap/>
            <w:tcMar>
              <w:top w:w="12" w:type="dxa"/>
              <w:left w:w="12" w:type="dxa"/>
              <w:bottom w:w="0" w:type="dxa"/>
              <w:right w:w="12" w:type="dxa"/>
            </w:tcMar>
            <w:vAlign w:val="bottom"/>
          </w:tcPr>
          <w:p w14:paraId="45F7A311"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185.4</w:t>
            </w:r>
          </w:p>
        </w:tc>
        <w:tc>
          <w:tcPr>
            <w:tcW w:w="790" w:type="pct"/>
            <w:noWrap/>
            <w:tcMar>
              <w:top w:w="12" w:type="dxa"/>
              <w:left w:w="12" w:type="dxa"/>
              <w:bottom w:w="0" w:type="dxa"/>
              <w:right w:w="12" w:type="dxa"/>
            </w:tcMar>
            <w:vAlign w:val="bottom"/>
          </w:tcPr>
          <w:p w14:paraId="45F7A312"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146.5</w:t>
            </w:r>
          </w:p>
        </w:tc>
        <w:tc>
          <w:tcPr>
            <w:tcW w:w="698" w:type="pct"/>
            <w:noWrap/>
            <w:tcMar>
              <w:top w:w="12" w:type="dxa"/>
              <w:left w:w="12" w:type="dxa"/>
              <w:bottom w:w="0" w:type="dxa"/>
              <w:right w:w="12" w:type="dxa"/>
            </w:tcMar>
            <w:vAlign w:val="bottom"/>
          </w:tcPr>
          <w:p w14:paraId="45F7A313"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209.1</w:t>
            </w:r>
          </w:p>
        </w:tc>
        <w:tc>
          <w:tcPr>
            <w:tcW w:w="521" w:type="pct"/>
            <w:noWrap/>
            <w:tcMar>
              <w:top w:w="12" w:type="dxa"/>
              <w:left w:w="12" w:type="dxa"/>
              <w:bottom w:w="0" w:type="dxa"/>
              <w:right w:w="12" w:type="dxa"/>
            </w:tcMar>
            <w:vAlign w:val="bottom"/>
          </w:tcPr>
          <w:p w14:paraId="45F7A314"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158.1</w:t>
            </w:r>
          </w:p>
        </w:tc>
      </w:tr>
      <w:tr w:rsidR="005F793D" w14:paraId="45F7A31E" w14:textId="77777777" w:rsidTr="003E5019">
        <w:trPr>
          <w:cantSplit/>
          <w:trHeight w:val="255"/>
        </w:trPr>
        <w:tc>
          <w:tcPr>
            <w:tcW w:w="581" w:type="pct"/>
            <w:vMerge/>
            <w:tcBorders>
              <w:right w:val="single" w:sz="6" w:space="0" w:color="000000"/>
            </w:tcBorders>
            <w:vAlign w:val="center"/>
          </w:tcPr>
          <w:p w14:paraId="45F7A316" w14:textId="77777777" w:rsidR="00C540A4" w:rsidRDefault="00C540A4" w:rsidP="002E4877">
            <w:pPr>
              <w:spacing w:before="0" w:line="240" w:lineRule="auto"/>
              <w:ind w:firstLine="0"/>
              <w:jc w:val="center"/>
              <w:rPr>
                <w:rFonts w:ascii="Arial" w:hAnsi="Arial" w:cs="Arial"/>
                <w:sz w:val="20"/>
                <w:szCs w:val="20"/>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317" w14:textId="77777777" w:rsidR="00C540A4" w:rsidRDefault="00C540A4" w:rsidP="002E4877">
            <w:pPr>
              <w:spacing w:before="0" w:line="240" w:lineRule="auto"/>
              <w:ind w:firstLine="0"/>
              <w:jc w:val="center"/>
              <w:rPr>
                <w:rFonts w:ascii="Arial" w:hAnsi="Arial" w:cs="Arial"/>
                <w:sz w:val="20"/>
                <w:szCs w:val="20"/>
              </w:rPr>
            </w:pPr>
            <w:r>
              <w:rPr>
                <w:rFonts w:ascii="Arial" w:hAnsi="Arial" w:cs="Arial"/>
                <w:sz w:val="20"/>
                <w:szCs w:val="20"/>
              </w:rPr>
              <w:t>5</w:t>
            </w:r>
          </w:p>
        </w:tc>
        <w:tc>
          <w:tcPr>
            <w:tcW w:w="790" w:type="pct"/>
            <w:tcBorders>
              <w:left w:val="single" w:sz="4" w:space="0" w:color="auto"/>
            </w:tcBorders>
            <w:noWrap/>
            <w:tcMar>
              <w:top w:w="12" w:type="dxa"/>
              <w:left w:w="12" w:type="dxa"/>
              <w:bottom w:w="0" w:type="dxa"/>
              <w:right w:w="12" w:type="dxa"/>
            </w:tcMar>
            <w:vAlign w:val="bottom"/>
          </w:tcPr>
          <w:p w14:paraId="45F7A318"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311.0</w:t>
            </w:r>
          </w:p>
        </w:tc>
        <w:tc>
          <w:tcPr>
            <w:tcW w:w="698" w:type="pct"/>
            <w:noWrap/>
            <w:tcMar>
              <w:top w:w="12" w:type="dxa"/>
              <w:left w:w="12" w:type="dxa"/>
              <w:bottom w:w="0" w:type="dxa"/>
              <w:right w:w="12" w:type="dxa"/>
            </w:tcMar>
            <w:vAlign w:val="bottom"/>
          </w:tcPr>
          <w:p w14:paraId="45F7A319"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395.5</w:t>
            </w:r>
          </w:p>
        </w:tc>
        <w:tc>
          <w:tcPr>
            <w:tcW w:w="522" w:type="pct"/>
            <w:noWrap/>
            <w:tcMar>
              <w:top w:w="12" w:type="dxa"/>
              <w:left w:w="12" w:type="dxa"/>
              <w:bottom w:w="0" w:type="dxa"/>
              <w:right w:w="12" w:type="dxa"/>
            </w:tcMar>
            <w:vAlign w:val="bottom"/>
          </w:tcPr>
          <w:p w14:paraId="45F7A31A"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317.6</w:t>
            </w:r>
          </w:p>
        </w:tc>
        <w:tc>
          <w:tcPr>
            <w:tcW w:w="790" w:type="pct"/>
            <w:noWrap/>
            <w:tcMar>
              <w:top w:w="12" w:type="dxa"/>
              <w:left w:w="12" w:type="dxa"/>
              <w:bottom w:w="0" w:type="dxa"/>
              <w:right w:w="12" w:type="dxa"/>
            </w:tcMar>
            <w:vAlign w:val="bottom"/>
          </w:tcPr>
          <w:p w14:paraId="45F7A31B"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241.0</w:t>
            </w:r>
          </w:p>
        </w:tc>
        <w:tc>
          <w:tcPr>
            <w:tcW w:w="698" w:type="pct"/>
            <w:noWrap/>
            <w:tcMar>
              <w:top w:w="12" w:type="dxa"/>
              <w:left w:w="12" w:type="dxa"/>
              <w:bottom w:w="0" w:type="dxa"/>
              <w:right w:w="12" w:type="dxa"/>
            </w:tcMar>
            <w:vAlign w:val="bottom"/>
          </w:tcPr>
          <w:p w14:paraId="45F7A31C"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277.5</w:t>
            </w:r>
          </w:p>
        </w:tc>
        <w:tc>
          <w:tcPr>
            <w:tcW w:w="521" w:type="pct"/>
            <w:noWrap/>
            <w:tcMar>
              <w:top w:w="12" w:type="dxa"/>
              <w:left w:w="12" w:type="dxa"/>
              <w:bottom w:w="0" w:type="dxa"/>
              <w:right w:w="12" w:type="dxa"/>
            </w:tcMar>
            <w:vAlign w:val="bottom"/>
          </w:tcPr>
          <w:p w14:paraId="45F7A31D"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243.9</w:t>
            </w:r>
          </w:p>
        </w:tc>
      </w:tr>
      <w:tr w:rsidR="005F793D" w14:paraId="45F7A327" w14:textId="77777777" w:rsidTr="003E5019">
        <w:trPr>
          <w:cantSplit/>
          <w:trHeight w:val="255"/>
        </w:trPr>
        <w:tc>
          <w:tcPr>
            <w:tcW w:w="581" w:type="pct"/>
            <w:vMerge/>
            <w:tcBorders>
              <w:bottom w:val="single" w:sz="4" w:space="0" w:color="auto"/>
              <w:right w:val="single" w:sz="6" w:space="0" w:color="000000"/>
            </w:tcBorders>
            <w:vAlign w:val="center"/>
          </w:tcPr>
          <w:p w14:paraId="45F7A31F" w14:textId="77777777" w:rsidR="00C540A4" w:rsidRDefault="00C540A4" w:rsidP="002E4877">
            <w:pPr>
              <w:spacing w:before="0" w:line="240" w:lineRule="auto"/>
              <w:ind w:firstLine="0"/>
              <w:jc w:val="center"/>
              <w:rPr>
                <w:rFonts w:ascii="Arial" w:hAnsi="Arial" w:cs="Arial"/>
                <w:sz w:val="20"/>
                <w:szCs w:val="20"/>
              </w:rPr>
            </w:pPr>
          </w:p>
        </w:tc>
        <w:tc>
          <w:tcPr>
            <w:tcW w:w="400" w:type="pct"/>
            <w:tcBorders>
              <w:left w:val="single" w:sz="6" w:space="0" w:color="000000"/>
              <w:bottom w:val="single" w:sz="4" w:space="0" w:color="auto"/>
              <w:right w:val="single" w:sz="4" w:space="0" w:color="auto"/>
            </w:tcBorders>
            <w:noWrap/>
            <w:tcMar>
              <w:top w:w="12" w:type="dxa"/>
              <w:left w:w="12" w:type="dxa"/>
              <w:bottom w:w="0" w:type="dxa"/>
              <w:right w:w="12" w:type="dxa"/>
            </w:tcMar>
            <w:vAlign w:val="bottom"/>
          </w:tcPr>
          <w:p w14:paraId="45F7A320" w14:textId="77777777" w:rsidR="00C540A4" w:rsidRDefault="00C540A4" w:rsidP="002E4877">
            <w:pPr>
              <w:spacing w:before="0" w:line="240" w:lineRule="auto"/>
              <w:ind w:firstLine="0"/>
              <w:jc w:val="center"/>
              <w:rPr>
                <w:rFonts w:ascii="Arial" w:hAnsi="Arial" w:cs="Arial"/>
                <w:sz w:val="20"/>
                <w:szCs w:val="20"/>
              </w:rPr>
            </w:pPr>
            <w:r>
              <w:rPr>
                <w:rFonts w:ascii="Arial" w:hAnsi="Arial" w:cs="Arial"/>
                <w:sz w:val="20"/>
                <w:szCs w:val="20"/>
              </w:rPr>
              <w:t>N</w:t>
            </w:r>
          </w:p>
        </w:tc>
        <w:tc>
          <w:tcPr>
            <w:tcW w:w="790" w:type="pct"/>
            <w:tcBorders>
              <w:left w:val="single" w:sz="4" w:space="0" w:color="auto"/>
              <w:bottom w:val="single" w:sz="4" w:space="0" w:color="auto"/>
            </w:tcBorders>
            <w:noWrap/>
            <w:tcMar>
              <w:top w:w="12" w:type="dxa"/>
              <w:left w:w="12" w:type="dxa"/>
              <w:bottom w:w="0" w:type="dxa"/>
              <w:right w:w="12" w:type="dxa"/>
            </w:tcMar>
            <w:vAlign w:val="bottom"/>
          </w:tcPr>
          <w:p w14:paraId="45F7A321"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23,279</w:t>
            </w:r>
          </w:p>
        </w:tc>
        <w:tc>
          <w:tcPr>
            <w:tcW w:w="698" w:type="pct"/>
            <w:tcBorders>
              <w:bottom w:val="single" w:sz="4" w:space="0" w:color="auto"/>
            </w:tcBorders>
            <w:noWrap/>
            <w:tcMar>
              <w:top w:w="12" w:type="dxa"/>
              <w:left w:w="12" w:type="dxa"/>
              <w:bottom w:w="0" w:type="dxa"/>
              <w:right w:w="12" w:type="dxa"/>
            </w:tcMar>
            <w:vAlign w:val="bottom"/>
          </w:tcPr>
          <w:p w14:paraId="45F7A322"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43,809</w:t>
            </w:r>
          </w:p>
        </w:tc>
        <w:tc>
          <w:tcPr>
            <w:tcW w:w="522" w:type="pct"/>
            <w:tcBorders>
              <w:bottom w:val="single" w:sz="4" w:space="0" w:color="auto"/>
            </w:tcBorders>
            <w:noWrap/>
            <w:tcMar>
              <w:top w:w="12" w:type="dxa"/>
              <w:left w:w="12" w:type="dxa"/>
              <w:bottom w:w="0" w:type="dxa"/>
              <w:right w:w="12" w:type="dxa"/>
            </w:tcMar>
            <w:vAlign w:val="bottom"/>
          </w:tcPr>
          <w:p w14:paraId="45F7A323"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26,001</w:t>
            </w:r>
          </w:p>
        </w:tc>
        <w:tc>
          <w:tcPr>
            <w:tcW w:w="790" w:type="pct"/>
            <w:tcBorders>
              <w:bottom w:val="single" w:sz="4" w:space="0" w:color="auto"/>
            </w:tcBorders>
            <w:noWrap/>
            <w:tcMar>
              <w:top w:w="12" w:type="dxa"/>
              <w:left w:w="12" w:type="dxa"/>
              <w:bottom w:w="0" w:type="dxa"/>
              <w:right w:w="12" w:type="dxa"/>
            </w:tcMar>
            <w:vAlign w:val="bottom"/>
          </w:tcPr>
          <w:p w14:paraId="45F7A324"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30,709</w:t>
            </w:r>
          </w:p>
        </w:tc>
        <w:tc>
          <w:tcPr>
            <w:tcW w:w="698" w:type="pct"/>
            <w:tcBorders>
              <w:bottom w:val="single" w:sz="4" w:space="0" w:color="auto"/>
            </w:tcBorders>
            <w:noWrap/>
            <w:tcMar>
              <w:top w:w="12" w:type="dxa"/>
              <w:left w:w="12" w:type="dxa"/>
              <w:bottom w:w="0" w:type="dxa"/>
              <w:right w:w="12" w:type="dxa"/>
            </w:tcMar>
            <w:vAlign w:val="bottom"/>
          </w:tcPr>
          <w:p w14:paraId="45F7A325"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39,423</w:t>
            </w:r>
          </w:p>
        </w:tc>
        <w:tc>
          <w:tcPr>
            <w:tcW w:w="521" w:type="pct"/>
            <w:tcBorders>
              <w:bottom w:val="single" w:sz="4" w:space="0" w:color="auto"/>
            </w:tcBorders>
            <w:noWrap/>
            <w:tcMar>
              <w:top w:w="12" w:type="dxa"/>
              <w:left w:w="12" w:type="dxa"/>
              <w:bottom w:w="0" w:type="dxa"/>
              <w:right w:w="12" w:type="dxa"/>
            </w:tcMar>
            <w:vAlign w:val="bottom"/>
          </w:tcPr>
          <w:p w14:paraId="45F7A326" w14:textId="77777777" w:rsidR="00C540A4" w:rsidRDefault="00C540A4" w:rsidP="0056612A">
            <w:pPr>
              <w:spacing w:before="0" w:line="240" w:lineRule="auto"/>
              <w:ind w:firstLine="0"/>
              <w:jc w:val="right"/>
              <w:rPr>
                <w:rFonts w:ascii="Arial" w:hAnsi="Arial" w:cs="Arial"/>
                <w:sz w:val="20"/>
                <w:szCs w:val="20"/>
              </w:rPr>
            </w:pPr>
            <w:r>
              <w:rPr>
                <w:rFonts w:ascii="Arial" w:hAnsi="Arial" w:cs="Arial"/>
                <w:sz w:val="20"/>
                <w:szCs w:val="20"/>
              </w:rPr>
              <w:t>16,232</w:t>
            </w:r>
          </w:p>
        </w:tc>
      </w:tr>
      <w:tr w:rsidR="00C720B7" w14:paraId="45F7A330" w14:textId="77777777" w:rsidTr="00C720B7">
        <w:trPr>
          <w:cantSplit/>
          <w:trHeight w:val="263"/>
        </w:trPr>
        <w:tc>
          <w:tcPr>
            <w:tcW w:w="581" w:type="pct"/>
            <w:vMerge w:val="restart"/>
            <w:tcBorders>
              <w:top w:val="single" w:sz="4" w:space="0" w:color="auto"/>
              <w:right w:val="single" w:sz="6" w:space="0" w:color="000000"/>
            </w:tcBorders>
            <w:noWrap/>
            <w:tcMar>
              <w:top w:w="12" w:type="dxa"/>
              <w:left w:w="12" w:type="dxa"/>
              <w:bottom w:w="0" w:type="dxa"/>
              <w:right w:w="12" w:type="dxa"/>
            </w:tcMar>
            <w:vAlign w:val="center"/>
          </w:tcPr>
          <w:p w14:paraId="45F7A328" w14:textId="77777777" w:rsidR="00C720B7" w:rsidRDefault="00C720B7" w:rsidP="00C720B7">
            <w:pPr>
              <w:spacing w:before="0" w:line="240" w:lineRule="auto"/>
              <w:ind w:firstLine="0"/>
              <w:jc w:val="center"/>
              <w:rPr>
                <w:rFonts w:ascii="Arial" w:hAnsi="Arial" w:cs="Arial"/>
                <w:sz w:val="18"/>
                <w:szCs w:val="18"/>
              </w:rPr>
            </w:pPr>
            <w:r>
              <w:rPr>
                <w:rFonts w:ascii="Arial" w:hAnsi="Arial" w:cs="Arial"/>
                <w:sz w:val="18"/>
                <w:szCs w:val="18"/>
              </w:rPr>
              <w:t>Balearics</w:t>
            </w:r>
          </w:p>
        </w:tc>
        <w:tc>
          <w:tcPr>
            <w:tcW w:w="400" w:type="pct"/>
            <w:tcBorders>
              <w:top w:val="single" w:sz="4" w:space="0" w:color="auto"/>
              <w:left w:val="single" w:sz="6" w:space="0" w:color="000000"/>
              <w:right w:val="single" w:sz="4" w:space="0" w:color="auto"/>
            </w:tcBorders>
            <w:noWrap/>
            <w:tcMar>
              <w:top w:w="12" w:type="dxa"/>
              <w:left w:w="12" w:type="dxa"/>
              <w:bottom w:w="0" w:type="dxa"/>
              <w:right w:w="12" w:type="dxa"/>
            </w:tcMar>
            <w:vAlign w:val="bottom"/>
          </w:tcPr>
          <w:p w14:paraId="45F7A329" w14:textId="77777777" w:rsidR="00C720B7" w:rsidRDefault="00C720B7" w:rsidP="00C720B7">
            <w:pPr>
              <w:spacing w:before="0" w:line="240" w:lineRule="auto"/>
              <w:ind w:firstLine="0"/>
              <w:jc w:val="center"/>
              <w:rPr>
                <w:rFonts w:ascii="Arial" w:hAnsi="Arial" w:cs="Arial"/>
                <w:sz w:val="20"/>
                <w:szCs w:val="20"/>
              </w:rPr>
            </w:pPr>
            <w:r>
              <w:rPr>
                <w:rFonts w:ascii="Arial" w:hAnsi="Arial" w:cs="Arial"/>
                <w:sz w:val="20"/>
                <w:szCs w:val="20"/>
              </w:rPr>
              <w:t>1</w:t>
            </w:r>
          </w:p>
        </w:tc>
        <w:tc>
          <w:tcPr>
            <w:tcW w:w="790" w:type="pct"/>
            <w:tcBorders>
              <w:top w:val="single" w:sz="4" w:space="0" w:color="auto"/>
              <w:left w:val="single" w:sz="4" w:space="0" w:color="auto"/>
            </w:tcBorders>
            <w:noWrap/>
            <w:tcMar>
              <w:top w:w="12" w:type="dxa"/>
              <w:left w:w="12" w:type="dxa"/>
              <w:bottom w:w="0" w:type="dxa"/>
              <w:right w:w="12" w:type="dxa"/>
            </w:tcMar>
            <w:vAlign w:val="bottom"/>
          </w:tcPr>
          <w:p w14:paraId="45F7A32A"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42.0</w:t>
            </w:r>
          </w:p>
        </w:tc>
        <w:tc>
          <w:tcPr>
            <w:tcW w:w="698" w:type="pct"/>
            <w:tcBorders>
              <w:top w:val="single" w:sz="4" w:space="0" w:color="auto"/>
            </w:tcBorders>
            <w:noWrap/>
            <w:tcMar>
              <w:top w:w="12" w:type="dxa"/>
              <w:left w:w="12" w:type="dxa"/>
              <w:bottom w:w="0" w:type="dxa"/>
              <w:right w:w="12" w:type="dxa"/>
            </w:tcMar>
            <w:vAlign w:val="bottom"/>
          </w:tcPr>
          <w:p w14:paraId="45F7A32B"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65.3</w:t>
            </w:r>
          </w:p>
        </w:tc>
        <w:tc>
          <w:tcPr>
            <w:tcW w:w="522" w:type="pct"/>
            <w:tcBorders>
              <w:top w:val="single" w:sz="4" w:space="0" w:color="auto"/>
            </w:tcBorders>
            <w:noWrap/>
            <w:tcMar>
              <w:top w:w="12" w:type="dxa"/>
              <w:left w:w="12" w:type="dxa"/>
              <w:bottom w:w="0" w:type="dxa"/>
              <w:right w:w="12" w:type="dxa"/>
            </w:tcMar>
            <w:vAlign w:val="bottom"/>
          </w:tcPr>
          <w:p w14:paraId="45F7A32C"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45.2</w:t>
            </w:r>
          </w:p>
        </w:tc>
        <w:tc>
          <w:tcPr>
            <w:tcW w:w="790" w:type="pct"/>
            <w:tcBorders>
              <w:top w:val="single" w:sz="4" w:space="0" w:color="auto"/>
            </w:tcBorders>
            <w:noWrap/>
            <w:tcMar>
              <w:top w:w="12" w:type="dxa"/>
              <w:left w:w="12" w:type="dxa"/>
              <w:bottom w:w="0" w:type="dxa"/>
              <w:right w:w="12" w:type="dxa"/>
            </w:tcMar>
            <w:vAlign w:val="bottom"/>
          </w:tcPr>
          <w:p w14:paraId="45F7A32D"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30.7</w:t>
            </w:r>
          </w:p>
        </w:tc>
        <w:tc>
          <w:tcPr>
            <w:tcW w:w="698" w:type="pct"/>
            <w:tcBorders>
              <w:top w:val="single" w:sz="4" w:space="0" w:color="auto"/>
            </w:tcBorders>
            <w:noWrap/>
            <w:tcMar>
              <w:top w:w="12" w:type="dxa"/>
              <w:left w:w="12" w:type="dxa"/>
              <w:bottom w:w="0" w:type="dxa"/>
              <w:right w:w="12" w:type="dxa"/>
            </w:tcMar>
            <w:vAlign w:val="bottom"/>
          </w:tcPr>
          <w:p w14:paraId="45F7A32E"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55.5</w:t>
            </w:r>
          </w:p>
        </w:tc>
        <w:tc>
          <w:tcPr>
            <w:tcW w:w="521" w:type="pct"/>
            <w:tcBorders>
              <w:top w:val="single" w:sz="4" w:space="0" w:color="auto"/>
            </w:tcBorders>
            <w:noWrap/>
            <w:tcMar>
              <w:top w:w="12" w:type="dxa"/>
              <w:left w:w="12" w:type="dxa"/>
              <w:bottom w:w="0" w:type="dxa"/>
              <w:right w:w="12" w:type="dxa"/>
            </w:tcMar>
            <w:vAlign w:val="bottom"/>
          </w:tcPr>
          <w:p w14:paraId="45F7A32F"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41.2</w:t>
            </w:r>
          </w:p>
        </w:tc>
      </w:tr>
      <w:tr w:rsidR="00C720B7" w14:paraId="45F7A339" w14:textId="77777777" w:rsidTr="003E5019">
        <w:trPr>
          <w:cantSplit/>
          <w:trHeight w:val="255"/>
        </w:trPr>
        <w:tc>
          <w:tcPr>
            <w:tcW w:w="581" w:type="pct"/>
            <w:vMerge/>
            <w:tcBorders>
              <w:right w:val="single" w:sz="6" w:space="0" w:color="000000"/>
            </w:tcBorders>
            <w:vAlign w:val="center"/>
          </w:tcPr>
          <w:p w14:paraId="45F7A331" w14:textId="77777777" w:rsidR="00C720B7" w:rsidRDefault="00C720B7" w:rsidP="00C720B7">
            <w:pPr>
              <w:spacing w:before="0" w:line="240" w:lineRule="auto"/>
              <w:ind w:firstLine="0"/>
              <w:jc w:val="center"/>
              <w:rPr>
                <w:rFonts w:ascii="Arial" w:hAnsi="Arial" w:cs="Arial"/>
                <w:sz w:val="18"/>
                <w:szCs w:val="18"/>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332" w14:textId="77777777" w:rsidR="00C720B7" w:rsidRDefault="00C720B7" w:rsidP="00C720B7">
            <w:pPr>
              <w:spacing w:before="0" w:line="240" w:lineRule="auto"/>
              <w:ind w:firstLine="0"/>
              <w:jc w:val="center"/>
              <w:rPr>
                <w:rFonts w:ascii="Arial" w:hAnsi="Arial" w:cs="Arial"/>
                <w:sz w:val="20"/>
                <w:szCs w:val="20"/>
              </w:rPr>
            </w:pPr>
            <w:r>
              <w:rPr>
                <w:rFonts w:ascii="Arial" w:hAnsi="Arial" w:cs="Arial"/>
                <w:sz w:val="20"/>
                <w:szCs w:val="20"/>
              </w:rPr>
              <w:t>2</w:t>
            </w:r>
          </w:p>
        </w:tc>
        <w:tc>
          <w:tcPr>
            <w:tcW w:w="790" w:type="pct"/>
            <w:tcBorders>
              <w:left w:val="single" w:sz="4" w:space="0" w:color="auto"/>
            </w:tcBorders>
            <w:noWrap/>
            <w:tcMar>
              <w:top w:w="12" w:type="dxa"/>
              <w:left w:w="12" w:type="dxa"/>
              <w:bottom w:w="0" w:type="dxa"/>
              <w:right w:w="12" w:type="dxa"/>
            </w:tcMar>
            <w:vAlign w:val="bottom"/>
          </w:tcPr>
          <w:p w14:paraId="45F7A333"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46.5</w:t>
            </w:r>
          </w:p>
        </w:tc>
        <w:tc>
          <w:tcPr>
            <w:tcW w:w="698" w:type="pct"/>
            <w:noWrap/>
            <w:tcMar>
              <w:top w:w="12" w:type="dxa"/>
              <w:left w:w="12" w:type="dxa"/>
              <w:bottom w:w="0" w:type="dxa"/>
              <w:right w:w="12" w:type="dxa"/>
            </w:tcMar>
            <w:vAlign w:val="bottom"/>
          </w:tcPr>
          <w:p w14:paraId="45F7A334"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68.9</w:t>
            </w:r>
          </w:p>
        </w:tc>
        <w:tc>
          <w:tcPr>
            <w:tcW w:w="522" w:type="pct"/>
            <w:noWrap/>
            <w:tcMar>
              <w:top w:w="12" w:type="dxa"/>
              <w:left w:w="12" w:type="dxa"/>
              <w:bottom w:w="0" w:type="dxa"/>
              <w:right w:w="12" w:type="dxa"/>
            </w:tcMar>
            <w:vAlign w:val="bottom"/>
          </w:tcPr>
          <w:p w14:paraId="45F7A335"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55.9</w:t>
            </w:r>
          </w:p>
        </w:tc>
        <w:tc>
          <w:tcPr>
            <w:tcW w:w="790" w:type="pct"/>
            <w:noWrap/>
            <w:tcMar>
              <w:top w:w="12" w:type="dxa"/>
              <w:left w:w="12" w:type="dxa"/>
              <w:bottom w:w="0" w:type="dxa"/>
              <w:right w:w="12" w:type="dxa"/>
            </w:tcMar>
            <w:vAlign w:val="bottom"/>
          </w:tcPr>
          <w:p w14:paraId="45F7A336"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37.2</w:t>
            </w:r>
          </w:p>
        </w:tc>
        <w:tc>
          <w:tcPr>
            <w:tcW w:w="698" w:type="pct"/>
            <w:noWrap/>
            <w:tcMar>
              <w:top w:w="12" w:type="dxa"/>
              <w:left w:w="12" w:type="dxa"/>
              <w:bottom w:w="0" w:type="dxa"/>
              <w:right w:w="12" w:type="dxa"/>
            </w:tcMar>
            <w:vAlign w:val="bottom"/>
          </w:tcPr>
          <w:p w14:paraId="45F7A337"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57.8</w:t>
            </w:r>
          </w:p>
        </w:tc>
        <w:tc>
          <w:tcPr>
            <w:tcW w:w="521" w:type="pct"/>
            <w:noWrap/>
            <w:tcMar>
              <w:top w:w="12" w:type="dxa"/>
              <w:left w:w="12" w:type="dxa"/>
              <w:bottom w:w="0" w:type="dxa"/>
              <w:right w:w="12" w:type="dxa"/>
            </w:tcMar>
            <w:vAlign w:val="bottom"/>
          </w:tcPr>
          <w:p w14:paraId="45F7A338"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44.5</w:t>
            </w:r>
          </w:p>
        </w:tc>
      </w:tr>
      <w:tr w:rsidR="00C720B7" w14:paraId="45F7A342" w14:textId="77777777" w:rsidTr="003E5019">
        <w:trPr>
          <w:cantSplit/>
          <w:trHeight w:val="255"/>
        </w:trPr>
        <w:tc>
          <w:tcPr>
            <w:tcW w:w="581" w:type="pct"/>
            <w:vMerge/>
            <w:tcBorders>
              <w:right w:val="single" w:sz="6" w:space="0" w:color="000000"/>
            </w:tcBorders>
            <w:vAlign w:val="center"/>
          </w:tcPr>
          <w:p w14:paraId="45F7A33A" w14:textId="77777777" w:rsidR="00C720B7" w:rsidRDefault="00C720B7" w:rsidP="00C720B7">
            <w:pPr>
              <w:spacing w:before="0" w:line="240" w:lineRule="auto"/>
              <w:ind w:firstLine="0"/>
              <w:jc w:val="center"/>
              <w:rPr>
                <w:rFonts w:ascii="Arial" w:hAnsi="Arial" w:cs="Arial"/>
                <w:sz w:val="18"/>
                <w:szCs w:val="18"/>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33B" w14:textId="77777777" w:rsidR="00C720B7" w:rsidRDefault="00C720B7" w:rsidP="00C720B7">
            <w:pPr>
              <w:spacing w:before="0" w:line="240" w:lineRule="auto"/>
              <w:ind w:firstLine="0"/>
              <w:jc w:val="center"/>
              <w:rPr>
                <w:rFonts w:ascii="Arial" w:hAnsi="Arial" w:cs="Arial"/>
                <w:sz w:val="20"/>
                <w:szCs w:val="20"/>
              </w:rPr>
            </w:pPr>
            <w:r>
              <w:rPr>
                <w:rFonts w:ascii="Arial" w:hAnsi="Arial" w:cs="Arial"/>
                <w:sz w:val="20"/>
                <w:szCs w:val="20"/>
              </w:rPr>
              <w:t>3</w:t>
            </w:r>
          </w:p>
        </w:tc>
        <w:tc>
          <w:tcPr>
            <w:tcW w:w="790" w:type="pct"/>
            <w:tcBorders>
              <w:left w:val="single" w:sz="4" w:space="0" w:color="auto"/>
            </w:tcBorders>
            <w:noWrap/>
            <w:tcMar>
              <w:top w:w="12" w:type="dxa"/>
              <w:left w:w="12" w:type="dxa"/>
              <w:bottom w:w="0" w:type="dxa"/>
              <w:right w:w="12" w:type="dxa"/>
            </w:tcMar>
            <w:vAlign w:val="bottom"/>
          </w:tcPr>
          <w:p w14:paraId="45F7A33C"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71.7</w:t>
            </w:r>
          </w:p>
        </w:tc>
        <w:tc>
          <w:tcPr>
            <w:tcW w:w="698" w:type="pct"/>
            <w:noWrap/>
            <w:tcMar>
              <w:top w:w="12" w:type="dxa"/>
              <w:left w:w="12" w:type="dxa"/>
              <w:bottom w:w="0" w:type="dxa"/>
              <w:right w:w="12" w:type="dxa"/>
            </w:tcMar>
            <w:vAlign w:val="bottom"/>
          </w:tcPr>
          <w:p w14:paraId="45F7A33D"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102.4</w:t>
            </w:r>
          </w:p>
        </w:tc>
        <w:tc>
          <w:tcPr>
            <w:tcW w:w="522" w:type="pct"/>
            <w:noWrap/>
            <w:tcMar>
              <w:top w:w="12" w:type="dxa"/>
              <w:left w:w="12" w:type="dxa"/>
              <w:bottom w:w="0" w:type="dxa"/>
              <w:right w:w="12" w:type="dxa"/>
            </w:tcMar>
            <w:vAlign w:val="bottom"/>
          </w:tcPr>
          <w:p w14:paraId="45F7A33E"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96.9</w:t>
            </w:r>
          </w:p>
        </w:tc>
        <w:tc>
          <w:tcPr>
            <w:tcW w:w="790" w:type="pct"/>
            <w:noWrap/>
            <w:tcMar>
              <w:top w:w="12" w:type="dxa"/>
              <w:left w:w="12" w:type="dxa"/>
              <w:bottom w:w="0" w:type="dxa"/>
              <w:right w:w="12" w:type="dxa"/>
            </w:tcMar>
            <w:vAlign w:val="bottom"/>
          </w:tcPr>
          <w:p w14:paraId="45F7A33F"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55.4</w:t>
            </w:r>
          </w:p>
        </w:tc>
        <w:tc>
          <w:tcPr>
            <w:tcW w:w="698" w:type="pct"/>
            <w:noWrap/>
            <w:tcMar>
              <w:top w:w="12" w:type="dxa"/>
              <w:left w:w="12" w:type="dxa"/>
              <w:bottom w:w="0" w:type="dxa"/>
              <w:right w:w="12" w:type="dxa"/>
            </w:tcMar>
            <w:vAlign w:val="bottom"/>
          </w:tcPr>
          <w:p w14:paraId="45F7A340"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85.5</w:t>
            </w:r>
          </w:p>
        </w:tc>
        <w:tc>
          <w:tcPr>
            <w:tcW w:w="521" w:type="pct"/>
            <w:noWrap/>
            <w:tcMar>
              <w:top w:w="12" w:type="dxa"/>
              <w:left w:w="12" w:type="dxa"/>
              <w:bottom w:w="0" w:type="dxa"/>
              <w:right w:w="12" w:type="dxa"/>
            </w:tcMar>
            <w:vAlign w:val="bottom"/>
          </w:tcPr>
          <w:p w14:paraId="45F7A341"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73.3</w:t>
            </w:r>
          </w:p>
        </w:tc>
      </w:tr>
      <w:tr w:rsidR="00C720B7" w14:paraId="45F7A34B" w14:textId="77777777" w:rsidTr="003E5019">
        <w:trPr>
          <w:cantSplit/>
          <w:trHeight w:val="255"/>
        </w:trPr>
        <w:tc>
          <w:tcPr>
            <w:tcW w:w="581" w:type="pct"/>
            <w:vMerge/>
            <w:tcBorders>
              <w:right w:val="single" w:sz="6" w:space="0" w:color="000000"/>
            </w:tcBorders>
            <w:vAlign w:val="center"/>
          </w:tcPr>
          <w:p w14:paraId="45F7A343" w14:textId="77777777" w:rsidR="00C720B7" w:rsidRDefault="00C720B7" w:rsidP="00C720B7">
            <w:pPr>
              <w:spacing w:before="0" w:line="240" w:lineRule="auto"/>
              <w:ind w:firstLine="0"/>
              <w:jc w:val="center"/>
              <w:rPr>
                <w:rFonts w:ascii="Arial" w:hAnsi="Arial" w:cs="Arial"/>
                <w:sz w:val="18"/>
                <w:szCs w:val="18"/>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344" w14:textId="77777777" w:rsidR="00C720B7" w:rsidRDefault="00C720B7" w:rsidP="00C720B7">
            <w:pPr>
              <w:spacing w:before="0" w:line="240" w:lineRule="auto"/>
              <w:ind w:firstLine="0"/>
              <w:jc w:val="center"/>
              <w:rPr>
                <w:rFonts w:ascii="Arial" w:hAnsi="Arial" w:cs="Arial"/>
                <w:sz w:val="20"/>
                <w:szCs w:val="20"/>
              </w:rPr>
            </w:pPr>
            <w:r>
              <w:rPr>
                <w:rFonts w:ascii="Arial" w:hAnsi="Arial" w:cs="Arial"/>
                <w:sz w:val="20"/>
                <w:szCs w:val="20"/>
              </w:rPr>
              <w:t>4</w:t>
            </w:r>
          </w:p>
        </w:tc>
        <w:tc>
          <w:tcPr>
            <w:tcW w:w="790" w:type="pct"/>
            <w:tcBorders>
              <w:left w:val="single" w:sz="4" w:space="0" w:color="auto"/>
            </w:tcBorders>
            <w:noWrap/>
            <w:tcMar>
              <w:top w:w="12" w:type="dxa"/>
              <w:left w:w="12" w:type="dxa"/>
              <w:bottom w:w="0" w:type="dxa"/>
              <w:right w:w="12" w:type="dxa"/>
            </w:tcMar>
            <w:vAlign w:val="bottom"/>
          </w:tcPr>
          <w:p w14:paraId="45F7A345"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113.5</w:t>
            </w:r>
          </w:p>
        </w:tc>
        <w:tc>
          <w:tcPr>
            <w:tcW w:w="698" w:type="pct"/>
            <w:noWrap/>
            <w:tcMar>
              <w:top w:w="12" w:type="dxa"/>
              <w:left w:w="12" w:type="dxa"/>
              <w:bottom w:w="0" w:type="dxa"/>
              <w:right w:w="12" w:type="dxa"/>
            </w:tcMar>
            <w:vAlign w:val="bottom"/>
          </w:tcPr>
          <w:p w14:paraId="45F7A346"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143.5</w:t>
            </w:r>
          </w:p>
        </w:tc>
        <w:tc>
          <w:tcPr>
            <w:tcW w:w="522" w:type="pct"/>
            <w:noWrap/>
            <w:tcMar>
              <w:top w:w="12" w:type="dxa"/>
              <w:left w:w="12" w:type="dxa"/>
              <w:bottom w:w="0" w:type="dxa"/>
              <w:right w:w="12" w:type="dxa"/>
            </w:tcMar>
            <w:vAlign w:val="bottom"/>
          </w:tcPr>
          <w:p w14:paraId="45F7A347"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133.5</w:t>
            </w:r>
          </w:p>
        </w:tc>
        <w:tc>
          <w:tcPr>
            <w:tcW w:w="790" w:type="pct"/>
            <w:noWrap/>
            <w:tcMar>
              <w:top w:w="12" w:type="dxa"/>
              <w:left w:w="12" w:type="dxa"/>
              <w:bottom w:w="0" w:type="dxa"/>
              <w:right w:w="12" w:type="dxa"/>
            </w:tcMar>
            <w:vAlign w:val="bottom"/>
          </w:tcPr>
          <w:p w14:paraId="45F7A348"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98.0</w:t>
            </w:r>
          </w:p>
        </w:tc>
        <w:tc>
          <w:tcPr>
            <w:tcW w:w="698" w:type="pct"/>
            <w:noWrap/>
            <w:tcMar>
              <w:top w:w="12" w:type="dxa"/>
              <w:left w:w="12" w:type="dxa"/>
              <w:bottom w:w="0" w:type="dxa"/>
              <w:right w:w="12" w:type="dxa"/>
            </w:tcMar>
            <w:vAlign w:val="bottom"/>
          </w:tcPr>
          <w:p w14:paraId="45F7A349"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127.0</w:t>
            </w:r>
          </w:p>
        </w:tc>
        <w:tc>
          <w:tcPr>
            <w:tcW w:w="521" w:type="pct"/>
            <w:noWrap/>
            <w:tcMar>
              <w:top w:w="12" w:type="dxa"/>
              <w:left w:w="12" w:type="dxa"/>
              <w:bottom w:w="0" w:type="dxa"/>
              <w:right w:w="12" w:type="dxa"/>
            </w:tcMar>
            <w:vAlign w:val="bottom"/>
          </w:tcPr>
          <w:p w14:paraId="45F7A34A"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117.2</w:t>
            </w:r>
          </w:p>
        </w:tc>
      </w:tr>
      <w:tr w:rsidR="00C720B7" w14:paraId="45F7A354" w14:textId="77777777" w:rsidTr="003E5019">
        <w:trPr>
          <w:cantSplit/>
          <w:trHeight w:val="255"/>
        </w:trPr>
        <w:tc>
          <w:tcPr>
            <w:tcW w:w="581" w:type="pct"/>
            <w:vMerge/>
            <w:tcBorders>
              <w:right w:val="single" w:sz="6" w:space="0" w:color="000000"/>
            </w:tcBorders>
            <w:vAlign w:val="center"/>
          </w:tcPr>
          <w:p w14:paraId="45F7A34C" w14:textId="77777777" w:rsidR="00C720B7" w:rsidRDefault="00C720B7" w:rsidP="00C720B7">
            <w:pPr>
              <w:spacing w:before="0" w:line="240" w:lineRule="auto"/>
              <w:ind w:firstLine="0"/>
              <w:jc w:val="center"/>
              <w:rPr>
                <w:rFonts w:ascii="Arial" w:hAnsi="Arial" w:cs="Arial"/>
                <w:sz w:val="18"/>
                <w:szCs w:val="18"/>
              </w:rPr>
            </w:pPr>
          </w:p>
        </w:tc>
        <w:tc>
          <w:tcPr>
            <w:tcW w:w="400" w:type="pct"/>
            <w:tcBorders>
              <w:left w:val="single" w:sz="6" w:space="0" w:color="000000"/>
              <w:right w:val="single" w:sz="4" w:space="0" w:color="auto"/>
            </w:tcBorders>
            <w:noWrap/>
            <w:tcMar>
              <w:top w:w="12" w:type="dxa"/>
              <w:left w:w="12" w:type="dxa"/>
              <w:bottom w:w="0" w:type="dxa"/>
              <w:right w:w="12" w:type="dxa"/>
            </w:tcMar>
            <w:vAlign w:val="bottom"/>
          </w:tcPr>
          <w:p w14:paraId="45F7A34D" w14:textId="77777777" w:rsidR="00C720B7" w:rsidRDefault="00C720B7" w:rsidP="00C720B7">
            <w:pPr>
              <w:spacing w:before="0" w:line="240" w:lineRule="auto"/>
              <w:ind w:firstLine="0"/>
              <w:jc w:val="center"/>
              <w:rPr>
                <w:rFonts w:ascii="Arial" w:hAnsi="Arial" w:cs="Arial"/>
                <w:sz w:val="20"/>
                <w:szCs w:val="20"/>
              </w:rPr>
            </w:pPr>
            <w:r>
              <w:rPr>
                <w:rFonts w:ascii="Arial" w:hAnsi="Arial" w:cs="Arial"/>
                <w:sz w:val="20"/>
                <w:szCs w:val="20"/>
              </w:rPr>
              <w:t>5</w:t>
            </w:r>
          </w:p>
        </w:tc>
        <w:tc>
          <w:tcPr>
            <w:tcW w:w="790" w:type="pct"/>
            <w:tcBorders>
              <w:left w:val="single" w:sz="4" w:space="0" w:color="auto"/>
            </w:tcBorders>
            <w:noWrap/>
            <w:tcMar>
              <w:top w:w="12" w:type="dxa"/>
              <w:left w:w="12" w:type="dxa"/>
              <w:bottom w:w="0" w:type="dxa"/>
              <w:right w:w="12" w:type="dxa"/>
            </w:tcMar>
            <w:vAlign w:val="bottom"/>
          </w:tcPr>
          <w:p w14:paraId="45F7A34E"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222.7</w:t>
            </w:r>
          </w:p>
        </w:tc>
        <w:tc>
          <w:tcPr>
            <w:tcW w:w="698" w:type="pct"/>
            <w:noWrap/>
            <w:tcMar>
              <w:top w:w="12" w:type="dxa"/>
              <w:left w:w="12" w:type="dxa"/>
              <w:bottom w:w="0" w:type="dxa"/>
              <w:right w:w="12" w:type="dxa"/>
            </w:tcMar>
            <w:vAlign w:val="bottom"/>
          </w:tcPr>
          <w:p w14:paraId="45F7A34F"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264.4</w:t>
            </w:r>
          </w:p>
        </w:tc>
        <w:tc>
          <w:tcPr>
            <w:tcW w:w="522" w:type="pct"/>
            <w:noWrap/>
            <w:tcMar>
              <w:top w:w="12" w:type="dxa"/>
              <w:left w:w="12" w:type="dxa"/>
              <w:bottom w:w="0" w:type="dxa"/>
              <w:right w:w="12" w:type="dxa"/>
            </w:tcMar>
            <w:vAlign w:val="bottom"/>
          </w:tcPr>
          <w:p w14:paraId="45F7A350"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235.7</w:t>
            </w:r>
          </w:p>
        </w:tc>
        <w:tc>
          <w:tcPr>
            <w:tcW w:w="790" w:type="pct"/>
            <w:noWrap/>
            <w:tcMar>
              <w:top w:w="12" w:type="dxa"/>
              <w:left w:w="12" w:type="dxa"/>
              <w:bottom w:w="0" w:type="dxa"/>
              <w:right w:w="12" w:type="dxa"/>
            </w:tcMar>
            <w:vAlign w:val="bottom"/>
          </w:tcPr>
          <w:p w14:paraId="45F7A351"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175.6</w:t>
            </w:r>
          </w:p>
        </w:tc>
        <w:tc>
          <w:tcPr>
            <w:tcW w:w="698" w:type="pct"/>
            <w:noWrap/>
            <w:tcMar>
              <w:top w:w="12" w:type="dxa"/>
              <w:left w:w="12" w:type="dxa"/>
              <w:bottom w:w="0" w:type="dxa"/>
              <w:right w:w="12" w:type="dxa"/>
            </w:tcMar>
            <w:vAlign w:val="bottom"/>
          </w:tcPr>
          <w:p w14:paraId="45F7A352"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249.7</w:t>
            </w:r>
          </w:p>
        </w:tc>
        <w:tc>
          <w:tcPr>
            <w:tcW w:w="521" w:type="pct"/>
            <w:noWrap/>
            <w:tcMar>
              <w:top w:w="12" w:type="dxa"/>
              <w:left w:w="12" w:type="dxa"/>
              <w:bottom w:w="0" w:type="dxa"/>
              <w:right w:w="12" w:type="dxa"/>
            </w:tcMar>
            <w:vAlign w:val="bottom"/>
          </w:tcPr>
          <w:p w14:paraId="45F7A353" w14:textId="77777777" w:rsidR="00C720B7" w:rsidRDefault="00C720B7" w:rsidP="00C720B7">
            <w:pPr>
              <w:spacing w:before="0" w:line="240" w:lineRule="auto"/>
              <w:ind w:firstLine="0"/>
              <w:jc w:val="right"/>
              <w:rPr>
                <w:rFonts w:ascii="Arial" w:hAnsi="Arial" w:cs="Arial"/>
                <w:sz w:val="20"/>
                <w:szCs w:val="20"/>
              </w:rPr>
            </w:pPr>
            <w:r>
              <w:rPr>
                <w:rFonts w:ascii="Arial" w:hAnsi="Arial" w:cs="Arial"/>
                <w:sz w:val="20"/>
                <w:szCs w:val="20"/>
              </w:rPr>
              <w:t>215.9</w:t>
            </w:r>
          </w:p>
        </w:tc>
      </w:tr>
      <w:tr w:rsidR="00FB1907" w14:paraId="45F7A35D" w14:textId="77777777" w:rsidTr="003E5019">
        <w:trPr>
          <w:trHeight w:val="255"/>
        </w:trPr>
        <w:tc>
          <w:tcPr>
            <w:tcW w:w="581" w:type="pct"/>
            <w:tcBorders>
              <w:right w:val="single" w:sz="6" w:space="0" w:color="000000"/>
            </w:tcBorders>
            <w:noWrap/>
            <w:tcMar>
              <w:top w:w="12" w:type="dxa"/>
              <w:left w:w="12" w:type="dxa"/>
              <w:bottom w:w="0" w:type="dxa"/>
              <w:right w:w="12" w:type="dxa"/>
            </w:tcMar>
            <w:vAlign w:val="bottom"/>
          </w:tcPr>
          <w:p w14:paraId="45F7A355" w14:textId="77777777" w:rsidR="00FB1907" w:rsidRDefault="00FB1907" w:rsidP="00FB1907">
            <w:pPr>
              <w:spacing w:before="0" w:line="240" w:lineRule="auto"/>
              <w:ind w:firstLine="0"/>
              <w:jc w:val="center"/>
              <w:rPr>
                <w:rFonts w:ascii="Arial" w:hAnsi="Arial" w:cs="Arial"/>
                <w:sz w:val="20"/>
                <w:szCs w:val="20"/>
              </w:rPr>
            </w:pPr>
          </w:p>
        </w:tc>
        <w:tc>
          <w:tcPr>
            <w:tcW w:w="400" w:type="pct"/>
            <w:tcBorders>
              <w:left w:val="single" w:sz="6" w:space="0" w:color="000000"/>
              <w:bottom w:val="single" w:sz="12" w:space="0" w:color="000000"/>
              <w:right w:val="single" w:sz="4" w:space="0" w:color="auto"/>
            </w:tcBorders>
            <w:noWrap/>
            <w:tcMar>
              <w:top w:w="12" w:type="dxa"/>
              <w:left w:w="12" w:type="dxa"/>
              <w:bottom w:w="0" w:type="dxa"/>
              <w:right w:w="12" w:type="dxa"/>
            </w:tcMar>
            <w:vAlign w:val="bottom"/>
          </w:tcPr>
          <w:p w14:paraId="45F7A356" w14:textId="77777777" w:rsidR="00FB1907" w:rsidRDefault="00FB1907" w:rsidP="00FB1907">
            <w:pPr>
              <w:spacing w:before="0" w:line="240" w:lineRule="auto"/>
              <w:ind w:firstLine="0"/>
              <w:jc w:val="center"/>
              <w:rPr>
                <w:rFonts w:ascii="Arial" w:hAnsi="Arial" w:cs="Arial"/>
                <w:sz w:val="20"/>
                <w:szCs w:val="20"/>
              </w:rPr>
            </w:pPr>
            <w:r>
              <w:rPr>
                <w:rFonts w:ascii="Arial" w:hAnsi="Arial" w:cs="Arial"/>
                <w:sz w:val="20"/>
                <w:szCs w:val="20"/>
              </w:rPr>
              <w:t>N</w:t>
            </w:r>
          </w:p>
        </w:tc>
        <w:tc>
          <w:tcPr>
            <w:tcW w:w="790" w:type="pct"/>
            <w:tcBorders>
              <w:left w:val="single" w:sz="4" w:space="0" w:color="auto"/>
            </w:tcBorders>
            <w:noWrap/>
            <w:tcMar>
              <w:top w:w="12" w:type="dxa"/>
              <w:left w:w="12" w:type="dxa"/>
              <w:bottom w:w="0" w:type="dxa"/>
              <w:right w:w="12" w:type="dxa"/>
            </w:tcMar>
            <w:vAlign w:val="bottom"/>
          </w:tcPr>
          <w:p w14:paraId="45F7A357" w14:textId="77777777" w:rsidR="00FB1907" w:rsidRDefault="00FB1907" w:rsidP="00FB1907">
            <w:pPr>
              <w:spacing w:before="0" w:line="240" w:lineRule="auto"/>
              <w:ind w:firstLine="0"/>
              <w:jc w:val="right"/>
              <w:rPr>
                <w:rFonts w:ascii="Arial" w:hAnsi="Arial" w:cs="Arial"/>
                <w:sz w:val="20"/>
                <w:szCs w:val="20"/>
              </w:rPr>
            </w:pPr>
            <w:r>
              <w:rPr>
                <w:rFonts w:ascii="Arial" w:hAnsi="Arial" w:cs="Arial"/>
                <w:sz w:val="20"/>
                <w:szCs w:val="20"/>
              </w:rPr>
              <w:t>90,313</w:t>
            </w:r>
          </w:p>
        </w:tc>
        <w:tc>
          <w:tcPr>
            <w:tcW w:w="698" w:type="pct"/>
            <w:noWrap/>
            <w:tcMar>
              <w:top w:w="12" w:type="dxa"/>
              <w:left w:w="12" w:type="dxa"/>
              <w:bottom w:w="0" w:type="dxa"/>
              <w:right w:w="12" w:type="dxa"/>
            </w:tcMar>
            <w:vAlign w:val="bottom"/>
          </w:tcPr>
          <w:p w14:paraId="45F7A358" w14:textId="77777777" w:rsidR="00FB1907" w:rsidRDefault="00FB1907" w:rsidP="00FB1907">
            <w:pPr>
              <w:spacing w:before="0" w:line="240" w:lineRule="auto"/>
              <w:ind w:firstLine="0"/>
              <w:jc w:val="right"/>
              <w:rPr>
                <w:rFonts w:ascii="Arial" w:hAnsi="Arial" w:cs="Arial"/>
                <w:sz w:val="20"/>
                <w:szCs w:val="20"/>
              </w:rPr>
            </w:pPr>
            <w:r>
              <w:rPr>
                <w:rFonts w:ascii="Arial" w:hAnsi="Arial" w:cs="Arial"/>
                <w:sz w:val="20"/>
                <w:szCs w:val="20"/>
              </w:rPr>
              <w:t>122,354</w:t>
            </w:r>
          </w:p>
        </w:tc>
        <w:tc>
          <w:tcPr>
            <w:tcW w:w="522" w:type="pct"/>
            <w:noWrap/>
            <w:tcMar>
              <w:top w:w="12" w:type="dxa"/>
              <w:left w:w="12" w:type="dxa"/>
              <w:bottom w:w="0" w:type="dxa"/>
              <w:right w:w="12" w:type="dxa"/>
            </w:tcMar>
            <w:vAlign w:val="bottom"/>
          </w:tcPr>
          <w:p w14:paraId="45F7A359" w14:textId="77777777" w:rsidR="00FB1907" w:rsidRDefault="00FB1907" w:rsidP="00FB1907">
            <w:pPr>
              <w:spacing w:before="0" w:line="240" w:lineRule="auto"/>
              <w:ind w:firstLine="0"/>
              <w:jc w:val="right"/>
              <w:rPr>
                <w:rFonts w:ascii="Arial" w:hAnsi="Arial" w:cs="Arial"/>
                <w:sz w:val="20"/>
                <w:szCs w:val="20"/>
              </w:rPr>
            </w:pPr>
            <w:r>
              <w:rPr>
                <w:rFonts w:ascii="Arial" w:hAnsi="Arial" w:cs="Arial"/>
                <w:sz w:val="20"/>
                <w:szCs w:val="20"/>
              </w:rPr>
              <w:t>50,323</w:t>
            </w:r>
          </w:p>
        </w:tc>
        <w:tc>
          <w:tcPr>
            <w:tcW w:w="790" w:type="pct"/>
            <w:noWrap/>
            <w:tcMar>
              <w:top w:w="12" w:type="dxa"/>
              <w:left w:w="12" w:type="dxa"/>
              <w:bottom w:w="0" w:type="dxa"/>
              <w:right w:w="12" w:type="dxa"/>
            </w:tcMar>
            <w:vAlign w:val="bottom"/>
          </w:tcPr>
          <w:p w14:paraId="45F7A35A" w14:textId="77777777" w:rsidR="00FB1907" w:rsidRDefault="00FB1907" w:rsidP="00FB1907">
            <w:pPr>
              <w:spacing w:before="0" w:line="240" w:lineRule="auto"/>
              <w:ind w:firstLine="0"/>
              <w:jc w:val="right"/>
              <w:rPr>
                <w:rFonts w:ascii="Arial" w:hAnsi="Arial" w:cs="Arial"/>
                <w:sz w:val="20"/>
                <w:szCs w:val="20"/>
              </w:rPr>
            </w:pPr>
            <w:r>
              <w:rPr>
                <w:rFonts w:ascii="Arial" w:hAnsi="Arial" w:cs="Arial"/>
                <w:sz w:val="20"/>
                <w:szCs w:val="20"/>
              </w:rPr>
              <w:t>71,724</w:t>
            </w:r>
          </w:p>
        </w:tc>
        <w:tc>
          <w:tcPr>
            <w:tcW w:w="698" w:type="pct"/>
            <w:noWrap/>
            <w:tcMar>
              <w:top w:w="12" w:type="dxa"/>
              <w:left w:w="12" w:type="dxa"/>
              <w:bottom w:w="0" w:type="dxa"/>
              <w:right w:w="12" w:type="dxa"/>
            </w:tcMar>
            <w:vAlign w:val="bottom"/>
          </w:tcPr>
          <w:p w14:paraId="45F7A35B" w14:textId="77777777" w:rsidR="00FB1907" w:rsidRDefault="00FB1907" w:rsidP="00FB1907">
            <w:pPr>
              <w:spacing w:before="0" w:line="240" w:lineRule="auto"/>
              <w:ind w:firstLine="0"/>
              <w:jc w:val="right"/>
              <w:rPr>
                <w:rFonts w:ascii="Arial" w:hAnsi="Arial" w:cs="Arial"/>
                <w:sz w:val="20"/>
                <w:szCs w:val="20"/>
              </w:rPr>
            </w:pPr>
            <w:r>
              <w:rPr>
                <w:rFonts w:ascii="Arial" w:hAnsi="Arial" w:cs="Arial"/>
                <w:sz w:val="20"/>
                <w:szCs w:val="20"/>
              </w:rPr>
              <w:t>81,138</w:t>
            </w:r>
          </w:p>
        </w:tc>
        <w:tc>
          <w:tcPr>
            <w:tcW w:w="521" w:type="pct"/>
            <w:noWrap/>
            <w:tcMar>
              <w:top w:w="12" w:type="dxa"/>
              <w:left w:w="12" w:type="dxa"/>
              <w:bottom w:w="0" w:type="dxa"/>
              <w:right w:w="12" w:type="dxa"/>
            </w:tcMar>
            <w:vAlign w:val="bottom"/>
          </w:tcPr>
          <w:p w14:paraId="45F7A35C" w14:textId="77777777" w:rsidR="00FB1907" w:rsidRDefault="00FB1907" w:rsidP="00FB1907">
            <w:pPr>
              <w:spacing w:before="0" w:line="240" w:lineRule="auto"/>
              <w:ind w:firstLine="0"/>
              <w:jc w:val="right"/>
              <w:rPr>
                <w:rFonts w:ascii="Arial" w:hAnsi="Arial" w:cs="Arial"/>
                <w:sz w:val="20"/>
                <w:szCs w:val="20"/>
              </w:rPr>
            </w:pPr>
            <w:r>
              <w:rPr>
                <w:rFonts w:ascii="Arial" w:hAnsi="Arial" w:cs="Arial"/>
                <w:sz w:val="20"/>
                <w:szCs w:val="20"/>
              </w:rPr>
              <w:t>41,537</w:t>
            </w:r>
          </w:p>
        </w:tc>
      </w:tr>
    </w:tbl>
    <w:p w14:paraId="45F7A35E" w14:textId="77777777" w:rsidR="00C540A4" w:rsidRDefault="00C540A4"/>
    <w:p w14:paraId="45F7A35F" w14:textId="77777777" w:rsidR="00C540A4" w:rsidRDefault="00C540A4"/>
    <w:p w14:paraId="45F7A360" w14:textId="384F9304" w:rsidR="00C540A4" w:rsidRDefault="00B90577" w:rsidP="002E4877">
      <w:pPr>
        <w:ind w:firstLine="0"/>
      </w:pPr>
      <w:r>
        <w:br w:type="page"/>
      </w:r>
      <w:r w:rsidR="00C540A4">
        <w:lastRenderedPageBreak/>
        <w:t xml:space="preserve">Table </w:t>
      </w:r>
      <w:r w:rsidR="00493E43">
        <w:t xml:space="preserve">4 </w:t>
      </w:r>
      <w:r w:rsidR="00C540A4">
        <w:t>– Percentage of observations with price variation between two consecutive booking days, by period</w:t>
      </w:r>
      <w:r>
        <w:t xml:space="preserve"> of stay</w:t>
      </w:r>
      <w:r w:rsidR="00C540A4">
        <w:t xml:space="preserve"> and star classification</w:t>
      </w:r>
    </w:p>
    <w:tbl>
      <w:tblPr>
        <w:tblW w:w="5000" w:type="pct"/>
        <w:tblBorders>
          <w:top w:val="single" w:sz="12" w:space="0" w:color="000000"/>
          <w:left w:val="nil"/>
          <w:bottom w:val="single" w:sz="12" w:space="0" w:color="000000"/>
          <w:right w:val="nil"/>
          <w:insideH w:val="nil"/>
          <w:insideV w:val="nil"/>
        </w:tblBorders>
        <w:tblCellMar>
          <w:left w:w="0" w:type="dxa"/>
          <w:right w:w="0" w:type="dxa"/>
        </w:tblCellMar>
        <w:tblLook w:val="00A0" w:firstRow="1" w:lastRow="0" w:firstColumn="1" w:lastColumn="0" w:noHBand="0" w:noVBand="0"/>
      </w:tblPr>
      <w:tblGrid>
        <w:gridCol w:w="1113"/>
        <w:gridCol w:w="692"/>
        <w:gridCol w:w="1367"/>
        <w:gridCol w:w="1208"/>
        <w:gridCol w:w="902"/>
        <w:gridCol w:w="1366"/>
        <w:gridCol w:w="1206"/>
        <w:gridCol w:w="900"/>
      </w:tblGrid>
      <w:tr w:rsidR="00EB77A8" w14:paraId="45F7A364" w14:textId="77777777" w:rsidTr="00EB77A8">
        <w:trPr>
          <w:trHeight w:val="255"/>
        </w:trPr>
        <w:tc>
          <w:tcPr>
            <w:tcW w:w="636" w:type="pct"/>
            <w:tcBorders>
              <w:bottom w:val="single" w:sz="6" w:space="0" w:color="000000"/>
              <w:right w:val="single" w:sz="6" w:space="0" w:color="000000"/>
            </w:tcBorders>
            <w:noWrap/>
            <w:tcMar>
              <w:top w:w="12" w:type="dxa"/>
              <w:left w:w="12" w:type="dxa"/>
              <w:bottom w:w="0" w:type="dxa"/>
              <w:right w:w="12" w:type="dxa"/>
            </w:tcMar>
            <w:vAlign w:val="bottom"/>
          </w:tcPr>
          <w:p w14:paraId="45F7A361" w14:textId="77777777" w:rsidR="00EB77A8" w:rsidRDefault="00EB77A8" w:rsidP="00EC2A1A">
            <w:pPr>
              <w:spacing w:before="0" w:line="240" w:lineRule="auto"/>
              <w:ind w:firstLine="0"/>
              <w:jc w:val="center"/>
              <w:rPr>
                <w:rFonts w:ascii="Arial" w:hAnsi="Arial" w:cs="Arial"/>
                <w:i/>
                <w:iCs/>
                <w:sz w:val="20"/>
                <w:szCs w:val="20"/>
              </w:rPr>
            </w:pPr>
          </w:p>
        </w:tc>
        <w:tc>
          <w:tcPr>
            <w:tcW w:w="395" w:type="pct"/>
            <w:tcBorders>
              <w:top w:val="single" w:sz="12" w:space="0" w:color="000000"/>
              <w:left w:val="single" w:sz="6" w:space="0" w:color="000000"/>
              <w:bottom w:val="single" w:sz="6" w:space="0" w:color="000000"/>
              <w:right w:val="single" w:sz="4" w:space="0" w:color="auto"/>
            </w:tcBorders>
            <w:noWrap/>
            <w:tcMar>
              <w:top w:w="12" w:type="dxa"/>
              <w:left w:w="12" w:type="dxa"/>
              <w:bottom w:w="0" w:type="dxa"/>
              <w:right w:w="12" w:type="dxa"/>
            </w:tcMar>
            <w:vAlign w:val="bottom"/>
          </w:tcPr>
          <w:p w14:paraId="45F7A362" w14:textId="77777777" w:rsidR="00EB77A8" w:rsidRDefault="00EB77A8" w:rsidP="002E4877">
            <w:pPr>
              <w:spacing w:before="0" w:line="240" w:lineRule="auto"/>
              <w:ind w:firstLine="0"/>
              <w:jc w:val="center"/>
              <w:rPr>
                <w:rFonts w:ascii="Arial" w:hAnsi="Arial" w:cs="Arial"/>
                <w:i/>
                <w:iCs/>
                <w:sz w:val="20"/>
                <w:szCs w:val="20"/>
              </w:rPr>
            </w:pPr>
          </w:p>
        </w:tc>
        <w:tc>
          <w:tcPr>
            <w:tcW w:w="3969" w:type="pct"/>
            <w:gridSpan w:val="6"/>
            <w:tcBorders>
              <w:left w:val="single" w:sz="4" w:space="0" w:color="auto"/>
              <w:bottom w:val="single" w:sz="6" w:space="0" w:color="000000"/>
            </w:tcBorders>
            <w:noWrap/>
            <w:tcMar>
              <w:top w:w="12" w:type="dxa"/>
              <w:left w:w="12" w:type="dxa"/>
              <w:bottom w:w="0" w:type="dxa"/>
              <w:right w:w="12" w:type="dxa"/>
            </w:tcMar>
            <w:vAlign w:val="bottom"/>
          </w:tcPr>
          <w:p w14:paraId="45F7A363" w14:textId="77777777" w:rsidR="00EB77A8" w:rsidRDefault="00EB77A8" w:rsidP="002E4877">
            <w:pPr>
              <w:spacing w:before="0" w:line="240" w:lineRule="auto"/>
              <w:ind w:firstLine="0"/>
              <w:jc w:val="center"/>
              <w:rPr>
                <w:rFonts w:ascii="Arial" w:hAnsi="Arial" w:cs="Arial"/>
                <w:i/>
                <w:iCs/>
                <w:sz w:val="20"/>
                <w:szCs w:val="20"/>
              </w:rPr>
            </w:pPr>
            <w:r>
              <w:rPr>
                <w:rFonts w:ascii="Arial" w:hAnsi="Arial" w:cs="Arial"/>
                <w:i/>
                <w:iCs/>
                <w:sz w:val="20"/>
                <w:szCs w:val="20"/>
              </w:rPr>
              <w:t>Period of Stay</w:t>
            </w:r>
          </w:p>
        </w:tc>
      </w:tr>
      <w:tr w:rsidR="00B85617" w14:paraId="45F7A36D" w14:textId="77777777" w:rsidTr="00EB77A8">
        <w:trPr>
          <w:trHeight w:val="255"/>
        </w:trPr>
        <w:tc>
          <w:tcPr>
            <w:tcW w:w="636" w:type="pct"/>
            <w:tcBorders>
              <w:bottom w:val="single" w:sz="6" w:space="0" w:color="000000"/>
              <w:right w:val="single" w:sz="6" w:space="0" w:color="000000"/>
            </w:tcBorders>
            <w:noWrap/>
            <w:tcMar>
              <w:top w:w="12" w:type="dxa"/>
              <w:left w:w="12" w:type="dxa"/>
              <w:bottom w:w="0" w:type="dxa"/>
              <w:right w:w="12" w:type="dxa"/>
            </w:tcMar>
            <w:vAlign w:val="bottom"/>
          </w:tcPr>
          <w:p w14:paraId="45F7A365" w14:textId="77777777" w:rsidR="00B85617" w:rsidRDefault="00B85617" w:rsidP="00EC2A1A">
            <w:pPr>
              <w:spacing w:before="0" w:line="240" w:lineRule="auto"/>
              <w:ind w:firstLine="0"/>
              <w:jc w:val="center"/>
              <w:rPr>
                <w:rFonts w:ascii="Arial" w:hAnsi="Arial" w:cs="Arial"/>
                <w:i/>
                <w:iCs/>
                <w:sz w:val="20"/>
                <w:szCs w:val="20"/>
              </w:rPr>
            </w:pPr>
          </w:p>
        </w:tc>
        <w:tc>
          <w:tcPr>
            <w:tcW w:w="395" w:type="pct"/>
            <w:tcBorders>
              <w:top w:val="single" w:sz="12" w:space="0" w:color="000000"/>
              <w:left w:val="single" w:sz="6" w:space="0" w:color="000000"/>
              <w:bottom w:val="single" w:sz="6" w:space="0" w:color="000000"/>
              <w:right w:val="single" w:sz="4" w:space="0" w:color="auto"/>
            </w:tcBorders>
            <w:noWrap/>
            <w:tcMar>
              <w:top w:w="12" w:type="dxa"/>
              <w:left w:w="12" w:type="dxa"/>
              <w:bottom w:w="0" w:type="dxa"/>
              <w:right w:w="12" w:type="dxa"/>
            </w:tcMar>
            <w:vAlign w:val="bottom"/>
          </w:tcPr>
          <w:p w14:paraId="45F7A366" w14:textId="77777777" w:rsidR="00B85617" w:rsidRDefault="00B85617" w:rsidP="002E4877">
            <w:pPr>
              <w:spacing w:before="0" w:line="240" w:lineRule="auto"/>
              <w:ind w:firstLine="0"/>
              <w:jc w:val="center"/>
              <w:rPr>
                <w:rFonts w:ascii="Arial" w:hAnsi="Arial" w:cs="Arial"/>
                <w:i/>
                <w:iCs/>
                <w:sz w:val="20"/>
                <w:szCs w:val="20"/>
              </w:rPr>
            </w:pPr>
            <w:r>
              <w:rPr>
                <w:rFonts w:ascii="Arial" w:hAnsi="Arial" w:cs="Arial"/>
                <w:i/>
                <w:iCs/>
                <w:sz w:val="20"/>
                <w:szCs w:val="20"/>
              </w:rPr>
              <w:t>Stars</w:t>
            </w:r>
          </w:p>
        </w:tc>
        <w:tc>
          <w:tcPr>
            <w:tcW w:w="781" w:type="pct"/>
            <w:tcBorders>
              <w:left w:val="single" w:sz="4" w:space="0" w:color="auto"/>
              <w:bottom w:val="single" w:sz="6" w:space="0" w:color="000000"/>
            </w:tcBorders>
            <w:noWrap/>
            <w:tcMar>
              <w:top w:w="12" w:type="dxa"/>
              <w:left w:w="12" w:type="dxa"/>
              <w:bottom w:w="0" w:type="dxa"/>
              <w:right w:w="12" w:type="dxa"/>
            </w:tcMar>
            <w:vAlign w:val="bottom"/>
          </w:tcPr>
          <w:p w14:paraId="45F7A367" w14:textId="77777777" w:rsidR="00B85617" w:rsidRDefault="00B85617" w:rsidP="002E4877">
            <w:pPr>
              <w:spacing w:before="0" w:line="240" w:lineRule="auto"/>
              <w:ind w:firstLine="0"/>
              <w:jc w:val="center"/>
              <w:rPr>
                <w:rFonts w:ascii="Arial" w:hAnsi="Arial" w:cs="Arial"/>
                <w:i/>
                <w:iCs/>
                <w:sz w:val="20"/>
                <w:szCs w:val="20"/>
              </w:rPr>
            </w:pPr>
            <w:r>
              <w:rPr>
                <w:rFonts w:ascii="Arial" w:hAnsi="Arial" w:cs="Arial"/>
                <w:i/>
                <w:iCs/>
                <w:sz w:val="20"/>
                <w:szCs w:val="20"/>
              </w:rPr>
              <w:t>Apr-Jun14</w:t>
            </w:r>
          </w:p>
        </w:tc>
        <w:tc>
          <w:tcPr>
            <w:tcW w:w="690" w:type="pct"/>
            <w:tcBorders>
              <w:bottom w:val="single" w:sz="6" w:space="0" w:color="000000"/>
            </w:tcBorders>
            <w:noWrap/>
            <w:tcMar>
              <w:top w:w="12" w:type="dxa"/>
              <w:left w:w="12" w:type="dxa"/>
              <w:bottom w:w="0" w:type="dxa"/>
              <w:right w:w="12" w:type="dxa"/>
            </w:tcMar>
            <w:vAlign w:val="bottom"/>
          </w:tcPr>
          <w:p w14:paraId="45F7A368" w14:textId="77777777" w:rsidR="00B85617" w:rsidRDefault="00B85617" w:rsidP="002E4877">
            <w:pPr>
              <w:spacing w:before="0" w:line="240" w:lineRule="auto"/>
              <w:ind w:firstLine="0"/>
              <w:jc w:val="center"/>
              <w:rPr>
                <w:rFonts w:ascii="Arial" w:hAnsi="Arial" w:cs="Arial"/>
                <w:i/>
                <w:iCs/>
                <w:sz w:val="20"/>
                <w:szCs w:val="20"/>
              </w:rPr>
            </w:pPr>
            <w:r>
              <w:rPr>
                <w:rFonts w:ascii="Arial" w:hAnsi="Arial" w:cs="Arial"/>
                <w:i/>
                <w:iCs/>
                <w:sz w:val="20"/>
                <w:szCs w:val="20"/>
              </w:rPr>
              <w:t>Jul-Aug14</w:t>
            </w:r>
          </w:p>
        </w:tc>
        <w:tc>
          <w:tcPr>
            <w:tcW w:w="515" w:type="pct"/>
            <w:tcBorders>
              <w:bottom w:val="single" w:sz="6" w:space="0" w:color="000000"/>
            </w:tcBorders>
            <w:noWrap/>
            <w:tcMar>
              <w:top w:w="12" w:type="dxa"/>
              <w:left w:w="12" w:type="dxa"/>
              <w:bottom w:w="0" w:type="dxa"/>
              <w:right w:w="12" w:type="dxa"/>
            </w:tcMar>
            <w:vAlign w:val="bottom"/>
          </w:tcPr>
          <w:p w14:paraId="45F7A369" w14:textId="77777777" w:rsidR="00B85617" w:rsidRDefault="00B85617" w:rsidP="002E4877">
            <w:pPr>
              <w:spacing w:before="0" w:line="240" w:lineRule="auto"/>
              <w:ind w:firstLine="0"/>
              <w:jc w:val="center"/>
              <w:rPr>
                <w:rFonts w:ascii="Arial" w:hAnsi="Arial" w:cs="Arial"/>
                <w:i/>
                <w:iCs/>
                <w:sz w:val="20"/>
                <w:szCs w:val="20"/>
              </w:rPr>
            </w:pPr>
            <w:r>
              <w:rPr>
                <w:rFonts w:ascii="Arial" w:hAnsi="Arial" w:cs="Arial"/>
                <w:i/>
                <w:iCs/>
                <w:sz w:val="20"/>
                <w:szCs w:val="20"/>
              </w:rPr>
              <w:t>Sep14</w:t>
            </w:r>
          </w:p>
        </w:tc>
        <w:tc>
          <w:tcPr>
            <w:tcW w:w="780" w:type="pct"/>
            <w:tcBorders>
              <w:bottom w:val="single" w:sz="6" w:space="0" w:color="000000"/>
            </w:tcBorders>
            <w:noWrap/>
            <w:tcMar>
              <w:top w:w="12" w:type="dxa"/>
              <w:left w:w="12" w:type="dxa"/>
              <w:bottom w:w="0" w:type="dxa"/>
              <w:right w:w="12" w:type="dxa"/>
            </w:tcMar>
            <w:vAlign w:val="bottom"/>
          </w:tcPr>
          <w:p w14:paraId="45F7A36A" w14:textId="77777777" w:rsidR="00B85617" w:rsidRDefault="00B85617" w:rsidP="002E4877">
            <w:pPr>
              <w:spacing w:before="0" w:line="240" w:lineRule="auto"/>
              <w:ind w:firstLine="0"/>
              <w:jc w:val="center"/>
              <w:rPr>
                <w:rFonts w:ascii="Arial" w:hAnsi="Arial" w:cs="Arial"/>
                <w:i/>
                <w:iCs/>
                <w:sz w:val="20"/>
                <w:szCs w:val="20"/>
              </w:rPr>
            </w:pPr>
            <w:r>
              <w:rPr>
                <w:rFonts w:ascii="Arial" w:hAnsi="Arial" w:cs="Arial"/>
                <w:i/>
                <w:iCs/>
                <w:sz w:val="20"/>
                <w:szCs w:val="20"/>
              </w:rPr>
              <w:t>Apr-Jun15</w:t>
            </w:r>
          </w:p>
        </w:tc>
        <w:tc>
          <w:tcPr>
            <w:tcW w:w="689" w:type="pct"/>
            <w:tcBorders>
              <w:bottom w:val="single" w:sz="6" w:space="0" w:color="000000"/>
            </w:tcBorders>
            <w:noWrap/>
            <w:tcMar>
              <w:top w:w="12" w:type="dxa"/>
              <w:left w:w="12" w:type="dxa"/>
              <w:bottom w:w="0" w:type="dxa"/>
              <w:right w:w="12" w:type="dxa"/>
            </w:tcMar>
            <w:vAlign w:val="bottom"/>
          </w:tcPr>
          <w:p w14:paraId="45F7A36B" w14:textId="77777777" w:rsidR="00B85617" w:rsidRDefault="00B85617" w:rsidP="002E4877">
            <w:pPr>
              <w:spacing w:before="0" w:line="240" w:lineRule="auto"/>
              <w:ind w:firstLine="0"/>
              <w:jc w:val="center"/>
              <w:rPr>
                <w:rFonts w:ascii="Arial" w:hAnsi="Arial" w:cs="Arial"/>
                <w:i/>
                <w:iCs/>
                <w:sz w:val="20"/>
                <w:szCs w:val="20"/>
              </w:rPr>
            </w:pPr>
            <w:r>
              <w:rPr>
                <w:rFonts w:ascii="Arial" w:hAnsi="Arial" w:cs="Arial"/>
                <w:i/>
                <w:iCs/>
                <w:sz w:val="20"/>
                <w:szCs w:val="20"/>
              </w:rPr>
              <w:t>Jul-Aug15</w:t>
            </w:r>
          </w:p>
        </w:tc>
        <w:tc>
          <w:tcPr>
            <w:tcW w:w="514" w:type="pct"/>
            <w:tcBorders>
              <w:bottom w:val="single" w:sz="6" w:space="0" w:color="000000"/>
            </w:tcBorders>
            <w:noWrap/>
            <w:tcMar>
              <w:top w:w="12" w:type="dxa"/>
              <w:left w:w="12" w:type="dxa"/>
              <w:bottom w:w="0" w:type="dxa"/>
              <w:right w:w="12" w:type="dxa"/>
            </w:tcMar>
            <w:vAlign w:val="bottom"/>
          </w:tcPr>
          <w:p w14:paraId="45F7A36C" w14:textId="77777777" w:rsidR="00B85617" w:rsidRDefault="00B85617" w:rsidP="002E4877">
            <w:pPr>
              <w:spacing w:before="0" w:line="240" w:lineRule="auto"/>
              <w:ind w:firstLine="0"/>
              <w:jc w:val="center"/>
              <w:rPr>
                <w:rFonts w:ascii="Arial" w:hAnsi="Arial" w:cs="Arial"/>
                <w:i/>
                <w:iCs/>
                <w:sz w:val="20"/>
                <w:szCs w:val="20"/>
              </w:rPr>
            </w:pPr>
            <w:r>
              <w:rPr>
                <w:rFonts w:ascii="Arial" w:hAnsi="Arial" w:cs="Arial"/>
                <w:i/>
                <w:iCs/>
                <w:sz w:val="20"/>
                <w:szCs w:val="20"/>
              </w:rPr>
              <w:t>Sep15</w:t>
            </w:r>
          </w:p>
        </w:tc>
      </w:tr>
      <w:tr w:rsidR="00EB5324" w14:paraId="45F7A376" w14:textId="77777777" w:rsidTr="00EB77A8">
        <w:trPr>
          <w:cantSplit/>
          <w:trHeight w:val="255"/>
        </w:trPr>
        <w:tc>
          <w:tcPr>
            <w:tcW w:w="636" w:type="pct"/>
            <w:vMerge w:val="restart"/>
            <w:tcBorders>
              <w:top w:val="single" w:sz="6" w:space="0" w:color="000000"/>
              <w:right w:val="single" w:sz="6" w:space="0" w:color="000000"/>
            </w:tcBorders>
            <w:noWrap/>
            <w:tcMar>
              <w:top w:w="12" w:type="dxa"/>
              <w:left w:w="12" w:type="dxa"/>
              <w:bottom w:w="0" w:type="dxa"/>
              <w:right w:w="12" w:type="dxa"/>
            </w:tcMar>
            <w:vAlign w:val="center"/>
          </w:tcPr>
          <w:p w14:paraId="45F7A36E"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Sardinia</w:t>
            </w:r>
          </w:p>
        </w:tc>
        <w:tc>
          <w:tcPr>
            <w:tcW w:w="395" w:type="pct"/>
            <w:tcBorders>
              <w:top w:val="single" w:sz="6" w:space="0" w:color="000000"/>
              <w:left w:val="single" w:sz="6" w:space="0" w:color="000000"/>
              <w:right w:val="single" w:sz="4" w:space="0" w:color="auto"/>
            </w:tcBorders>
            <w:noWrap/>
            <w:tcMar>
              <w:top w:w="12" w:type="dxa"/>
              <w:left w:w="12" w:type="dxa"/>
              <w:bottom w:w="0" w:type="dxa"/>
              <w:right w:w="12" w:type="dxa"/>
            </w:tcMar>
            <w:vAlign w:val="bottom"/>
          </w:tcPr>
          <w:p w14:paraId="45F7A36F"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w:t>
            </w:r>
          </w:p>
        </w:tc>
        <w:tc>
          <w:tcPr>
            <w:tcW w:w="781" w:type="pct"/>
            <w:tcBorders>
              <w:top w:val="single" w:sz="6" w:space="0" w:color="000000"/>
              <w:left w:val="single" w:sz="4" w:space="0" w:color="auto"/>
            </w:tcBorders>
            <w:noWrap/>
            <w:tcMar>
              <w:top w:w="12" w:type="dxa"/>
              <w:left w:w="12" w:type="dxa"/>
              <w:bottom w:w="0" w:type="dxa"/>
              <w:right w:w="12" w:type="dxa"/>
            </w:tcMar>
            <w:vAlign w:val="bottom"/>
          </w:tcPr>
          <w:p w14:paraId="45F7A370"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10.7%</w:t>
            </w:r>
          </w:p>
        </w:tc>
        <w:tc>
          <w:tcPr>
            <w:tcW w:w="690" w:type="pct"/>
            <w:tcBorders>
              <w:top w:val="single" w:sz="6" w:space="0" w:color="000000"/>
            </w:tcBorders>
            <w:noWrap/>
            <w:tcMar>
              <w:top w:w="12" w:type="dxa"/>
              <w:left w:w="12" w:type="dxa"/>
              <w:bottom w:w="0" w:type="dxa"/>
              <w:right w:w="12" w:type="dxa"/>
            </w:tcMar>
            <w:vAlign w:val="bottom"/>
          </w:tcPr>
          <w:p w14:paraId="45F7A371"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10.9%</w:t>
            </w:r>
          </w:p>
        </w:tc>
        <w:tc>
          <w:tcPr>
            <w:tcW w:w="515" w:type="pct"/>
            <w:tcBorders>
              <w:top w:val="single" w:sz="6" w:space="0" w:color="000000"/>
            </w:tcBorders>
            <w:noWrap/>
            <w:tcMar>
              <w:top w:w="12" w:type="dxa"/>
              <w:left w:w="12" w:type="dxa"/>
              <w:bottom w:w="0" w:type="dxa"/>
              <w:right w:w="12" w:type="dxa"/>
            </w:tcMar>
            <w:vAlign w:val="bottom"/>
          </w:tcPr>
          <w:p w14:paraId="45F7A372"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4.0%</w:t>
            </w:r>
          </w:p>
        </w:tc>
        <w:tc>
          <w:tcPr>
            <w:tcW w:w="780" w:type="pct"/>
            <w:tcBorders>
              <w:top w:val="single" w:sz="6" w:space="0" w:color="000000"/>
            </w:tcBorders>
            <w:noWrap/>
            <w:tcMar>
              <w:top w:w="12" w:type="dxa"/>
              <w:left w:w="12" w:type="dxa"/>
              <w:bottom w:w="0" w:type="dxa"/>
              <w:right w:w="12" w:type="dxa"/>
            </w:tcMar>
            <w:vAlign w:val="bottom"/>
          </w:tcPr>
          <w:p w14:paraId="45F7A373"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6.0%</w:t>
            </w:r>
          </w:p>
        </w:tc>
        <w:tc>
          <w:tcPr>
            <w:tcW w:w="689" w:type="pct"/>
            <w:tcBorders>
              <w:top w:val="single" w:sz="6" w:space="0" w:color="000000"/>
            </w:tcBorders>
            <w:noWrap/>
            <w:tcMar>
              <w:top w:w="12" w:type="dxa"/>
              <w:left w:w="12" w:type="dxa"/>
              <w:bottom w:w="0" w:type="dxa"/>
              <w:right w:w="12" w:type="dxa"/>
            </w:tcMar>
            <w:vAlign w:val="bottom"/>
          </w:tcPr>
          <w:p w14:paraId="45F7A374"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9.6%</w:t>
            </w:r>
          </w:p>
        </w:tc>
        <w:tc>
          <w:tcPr>
            <w:tcW w:w="514" w:type="pct"/>
            <w:tcBorders>
              <w:top w:val="single" w:sz="6" w:space="0" w:color="000000"/>
            </w:tcBorders>
            <w:noWrap/>
            <w:tcMar>
              <w:top w:w="12" w:type="dxa"/>
              <w:left w:w="12" w:type="dxa"/>
              <w:bottom w:w="0" w:type="dxa"/>
              <w:right w:w="12" w:type="dxa"/>
            </w:tcMar>
            <w:vAlign w:val="bottom"/>
          </w:tcPr>
          <w:p w14:paraId="45F7A375"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6.2%</w:t>
            </w:r>
          </w:p>
        </w:tc>
      </w:tr>
      <w:tr w:rsidR="00EB5324" w14:paraId="45F7A37F" w14:textId="77777777" w:rsidTr="00EB77A8">
        <w:trPr>
          <w:cantSplit/>
          <w:trHeight w:val="255"/>
        </w:trPr>
        <w:tc>
          <w:tcPr>
            <w:tcW w:w="636" w:type="pct"/>
            <w:vMerge/>
            <w:tcBorders>
              <w:right w:val="single" w:sz="6" w:space="0" w:color="000000"/>
            </w:tcBorders>
            <w:vAlign w:val="center"/>
          </w:tcPr>
          <w:p w14:paraId="45F7A377"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378"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w:t>
            </w:r>
          </w:p>
        </w:tc>
        <w:tc>
          <w:tcPr>
            <w:tcW w:w="781" w:type="pct"/>
            <w:tcBorders>
              <w:left w:val="single" w:sz="4" w:space="0" w:color="auto"/>
            </w:tcBorders>
            <w:noWrap/>
            <w:tcMar>
              <w:top w:w="12" w:type="dxa"/>
              <w:left w:w="12" w:type="dxa"/>
              <w:bottom w:w="0" w:type="dxa"/>
              <w:right w:w="12" w:type="dxa"/>
            </w:tcMar>
            <w:vAlign w:val="bottom"/>
          </w:tcPr>
          <w:p w14:paraId="45F7A379"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10.0%</w:t>
            </w:r>
          </w:p>
        </w:tc>
        <w:tc>
          <w:tcPr>
            <w:tcW w:w="690" w:type="pct"/>
            <w:noWrap/>
            <w:tcMar>
              <w:top w:w="12" w:type="dxa"/>
              <w:left w:w="12" w:type="dxa"/>
              <w:bottom w:w="0" w:type="dxa"/>
              <w:right w:w="12" w:type="dxa"/>
            </w:tcMar>
            <w:vAlign w:val="bottom"/>
          </w:tcPr>
          <w:p w14:paraId="45F7A37A"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10.7%</w:t>
            </w:r>
          </w:p>
        </w:tc>
        <w:tc>
          <w:tcPr>
            <w:tcW w:w="515" w:type="pct"/>
            <w:noWrap/>
            <w:tcMar>
              <w:top w:w="12" w:type="dxa"/>
              <w:left w:w="12" w:type="dxa"/>
              <w:bottom w:w="0" w:type="dxa"/>
              <w:right w:w="12" w:type="dxa"/>
            </w:tcMar>
            <w:vAlign w:val="bottom"/>
          </w:tcPr>
          <w:p w14:paraId="45F7A37B"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15.4%</w:t>
            </w:r>
          </w:p>
        </w:tc>
        <w:tc>
          <w:tcPr>
            <w:tcW w:w="780" w:type="pct"/>
            <w:noWrap/>
            <w:tcMar>
              <w:top w:w="12" w:type="dxa"/>
              <w:left w:w="12" w:type="dxa"/>
              <w:bottom w:w="0" w:type="dxa"/>
              <w:right w:w="12" w:type="dxa"/>
            </w:tcMar>
            <w:vAlign w:val="bottom"/>
          </w:tcPr>
          <w:p w14:paraId="45F7A37C"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3.5%</w:t>
            </w:r>
          </w:p>
        </w:tc>
        <w:tc>
          <w:tcPr>
            <w:tcW w:w="689" w:type="pct"/>
            <w:noWrap/>
            <w:tcMar>
              <w:top w:w="12" w:type="dxa"/>
              <w:left w:w="12" w:type="dxa"/>
              <w:bottom w:w="0" w:type="dxa"/>
              <w:right w:w="12" w:type="dxa"/>
            </w:tcMar>
            <w:vAlign w:val="bottom"/>
          </w:tcPr>
          <w:p w14:paraId="45F7A37D"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6.3%</w:t>
            </w:r>
          </w:p>
        </w:tc>
        <w:tc>
          <w:tcPr>
            <w:tcW w:w="514" w:type="pct"/>
            <w:noWrap/>
            <w:tcMar>
              <w:top w:w="12" w:type="dxa"/>
              <w:left w:w="12" w:type="dxa"/>
              <w:bottom w:w="0" w:type="dxa"/>
              <w:right w:w="12" w:type="dxa"/>
            </w:tcMar>
            <w:vAlign w:val="bottom"/>
          </w:tcPr>
          <w:p w14:paraId="45F7A37E"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8.0%</w:t>
            </w:r>
          </w:p>
        </w:tc>
      </w:tr>
      <w:tr w:rsidR="00EB5324" w14:paraId="45F7A388" w14:textId="77777777" w:rsidTr="00EB77A8">
        <w:trPr>
          <w:cantSplit/>
          <w:trHeight w:val="255"/>
        </w:trPr>
        <w:tc>
          <w:tcPr>
            <w:tcW w:w="636" w:type="pct"/>
            <w:vMerge/>
            <w:tcBorders>
              <w:right w:val="single" w:sz="6" w:space="0" w:color="000000"/>
            </w:tcBorders>
            <w:vAlign w:val="center"/>
          </w:tcPr>
          <w:p w14:paraId="45F7A380"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381"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w:t>
            </w:r>
          </w:p>
        </w:tc>
        <w:tc>
          <w:tcPr>
            <w:tcW w:w="781" w:type="pct"/>
            <w:tcBorders>
              <w:left w:val="single" w:sz="4" w:space="0" w:color="auto"/>
            </w:tcBorders>
            <w:noWrap/>
            <w:tcMar>
              <w:top w:w="12" w:type="dxa"/>
              <w:left w:w="12" w:type="dxa"/>
              <w:bottom w:w="0" w:type="dxa"/>
              <w:right w:w="12" w:type="dxa"/>
            </w:tcMar>
            <w:vAlign w:val="bottom"/>
          </w:tcPr>
          <w:p w14:paraId="45F7A382"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8.0%</w:t>
            </w:r>
          </w:p>
        </w:tc>
        <w:tc>
          <w:tcPr>
            <w:tcW w:w="690" w:type="pct"/>
            <w:noWrap/>
            <w:tcMar>
              <w:top w:w="12" w:type="dxa"/>
              <w:left w:w="12" w:type="dxa"/>
              <w:bottom w:w="0" w:type="dxa"/>
              <w:right w:w="12" w:type="dxa"/>
            </w:tcMar>
            <w:vAlign w:val="bottom"/>
          </w:tcPr>
          <w:p w14:paraId="45F7A383"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11.0%</w:t>
            </w:r>
          </w:p>
        </w:tc>
        <w:tc>
          <w:tcPr>
            <w:tcW w:w="515" w:type="pct"/>
            <w:noWrap/>
            <w:tcMar>
              <w:top w:w="12" w:type="dxa"/>
              <w:left w:w="12" w:type="dxa"/>
              <w:bottom w:w="0" w:type="dxa"/>
              <w:right w:w="12" w:type="dxa"/>
            </w:tcMar>
            <w:vAlign w:val="bottom"/>
          </w:tcPr>
          <w:p w14:paraId="45F7A384"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14.6%</w:t>
            </w:r>
          </w:p>
        </w:tc>
        <w:tc>
          <w:tcPr>
            <w:tcW w:w="780" w:type="pct"/>
            <w:noWrap/>
            <w:tcMar>
              <w:top w:w="12" w:type="dxa"/>
              <w:left w:w="12" w:type="dxa"/>
              <w:bottom w:w="0" w:type="dxa"/>
              <w:right w:w="12" w:type="dxa"/>
            </w:tcMar>
            <w:vAlign w:val="bottom"/>
          </w:tcPr>
          <w:p w14:paraId="45F7A385"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8.1%</w:t>
            </w:r>
          </w:p>
        </w:tc>
        <w:tc>
          <w:tcPr>
            <w:tcW w:w="689" w:type="pct"/>
            <w:noWrap/>
            <w:tcMar>
              <w:top w:w="12" w:type="dxa"/>
              <w:left w:w="12" w:type="dxa"/>
              <w:bottom w:w="0" w:type="dxa"/>
              <w:right w:w="12" w:type="dxa"/>
            </w:tcMar>
            <w:vAlign w:val="bottom"/>
          </w:tcPr>
          <w:p w14:paraId="45F7A386"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13.0%</w:t>
            </w:r>
          </w:p>
        </w:tc>
        <w:tc>
          <w:tcPr>
            <w:tcW w:w="514" w:type="pct"/>
            <w:noWrap/>
            <w:tcMar>
              <w:top w:w="12" w:type="dxa"/>
              <w:left w:w="12" w:type="dxa"/>
              <w:bottom w:w="0" w:type="dxa"/>
              <w:right w:w="12" w:type="dxa"/>
            </w:tcMar>
            <w:vAlign w:val="bottom"/>
          </w:tcPr>
          <w:p w14:paraId="45F7A387"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12.3%</w:t>
            </w:r>
          </w:p>
        </w:tc>
      </w:tr>
      <w:tr w:rsidR="00EB5324" w14:paraId="45F7A391" w14:textId="77777777" w:rsidTr="00EB77A8">
        <w:trPr>
          <w:cantSplit/>
          <w:trHeight w:val="255"/>
        </w:trPr>
        <w:tc>
          <w:tcPr>
            <w:tcW w:w="636" w:type="pct"/>
            <w:vMerge/>
            <w:tcBorders>
              <w:right w:val="single" w:sz="6" w:space="0" w:color="000000"/>
            </w:tcBorders>
            <w:vAlign w:val="center"/>
          </w:tcPr>
          <w:p w14:paraId="45F7A389"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38A"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4</w:t>
            </w:r>
          </w:p>
        </w:tc>
        <w:tc>
          <w:tcPr>
            <w:tcW w:w="781" w:type="pct"/>
            <w:tcBorders>
              <w:left w:val="single" w:sz="4" w:space="0" w:color="auto"/>
            </w:tcBorders>
            <w:noWrap/>
            <w:tcMar>
              <w:top w:w="12" w:type="dxa"/>
              <w:left w:w="12" w:type="dxa"/>
              <w:bottom w:w="0" w:type="dxa"/>
              <w:right w:w="12" w:type="dxa"/>
            </w:tcMar>
            <w:vAlign w:val="bottom"/>
          </w:tcPr>
          <w:p w14:paraId="45F7A38B"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13.4%</w:t>
            </w:r>
          </w:p>
        </w:tc>
        <w:tc>
          <w:tcPr>
            <w:tcW w:w="690" w:type="pct"/>
            <w:noWrap/>
            <w:tcMar>
              <w:top w:w="12" w:type="dxa"/>
              <w:left w:w="12" w:type="dxa"/>
              <w:bottom w:w="0" w:type="dxa"/>
              <w:right w:w="12" w:type="dxa"/>
            </w:tcMar>
            <w:vAlign w:val="bottom"/>
          </w:tcPr>
          <w:p w14:paraId="45F7A38C"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20.0%</w:t>
            </w:r>
          </w:p>
        </w:tc>
        <w:tc>
          <w:tcPr>
            <w:tcW w:w="515" w:type="pct"/>
            <w:noWrap/>
            <w:tcMar>
              <w:top w:w="12" w:type="dxa"/>
              <w:left w:w="12" w:type="dxa"/>
              <w:bottom w:w="0" w:type="dxa"/>
              <w:right w:w="12" w:type="dxa"/>
            </w:tcMar>
            <w:vAlign w:val="bottom"/>
          </w:tcPr>
          <w:p w14:paraId="45F7A38D"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23.6%</w:t>
            </w:r>
          </w:p>
        </w:tc>
        <w:tc>
          <w:tcPr>
            <w:tcW w:w="780" w:type="pct"/>
            <w:noWrap/>
            <w:tcMar>
              <w:top w:w="12" w:type="dxa"/>
              <w:left w:w="12" w:type="dxa"/>
              <w:bottom w:w="0" w:type="dxa"/>
              <w:right w:w="12" w:type="dxa"/>
            </w:tcMar>
            <w:vAlign w:val="bottom"/>
          </w:tcPr>
          <w:p w14:paraId="45F7A38E"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18.6%</w:t>
            </w:r>
          </w:p>
        </w:tc>
        <w:tc>
          <w:tcPr>
            <w:tcW w:w="689" w:type="pct"/>
            <w:noWrap/>
            <w:tcMar>
              <w:top w:w="12" w:type="dxa"/>
              <w:left w:w="12" w:type="dxa"/>
              <w:bottom w:w="0" w:type="dxa"/>
              <w:right w:w="12" w:type="dxa"/>
            </w:tcMar>
            <w:vAlign w:val="bottom"/>
          </w:tcPr>
          <w:p w14:paraId="45F7A38F"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29.9%</w:t>
            </w:r>
          </w:p>
        </w:tc>
        <w:tc>
          <w:tcPr>
            <w:tcW w:w="514" w:type="pct"/>
            <w:noWrap/>
            <w:tcMar>
              <w:top w:w="12" w:type="dxa"/>
              <w:left w:w="12" w:type="dxa"/>
              <w:bottom w:w="0" w:type="dxa"/>
              <w:right w:w="12" w:type="dxa"/>
            </w:tcMar>
            <w:vAlign w:val="bottom"/>
          </w:tcPr>
          <w:p w14:paraId="45F7A390"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26.0%</w:t>
            </w:r>
          </w:p>
        </w:tc>
      </w:tr>
      <w:tr w:rsidR="00EB5324" w14:paraId="45F7A39A" w14:textId="77777777" w:rsidTr="00EB77A8">
        <w:trPr>
          <w:cantSplit/>
          <w:trHeight w:val="255"/>
        </w:trPr>
        <w:tc>
          <w:tcPr>
            <w:tcW w:w="636" w:type="pct"/>
            <w:vMerge/>
            <w:tcBorders>
              <w:right w:val="single" w:sz="6" w:space="0" w:color="000000"/>
            </w:tcBorders>
            <w:vAlign w:val="center"/>
          </w:tcPr>
          <w:p w14:paraId="45F7A392"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393"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5</w:t>
            </w:r>
          </w:p>
        </w:tc>
        <w:tc>
          <w:tcPr>
            <w:tcW w:w="781" w:type="pct"/>
            <w:tcBorders>
              <w:left w:val="single" w:sz="4" w:space="0" w:color="auto"/>
            </w:tcBorders>
            <w:noWrap/>
            <w:tcMar>
              <w:top w:w="12" w:type="dxa"/>
              <w:left w:w="12" w:type="dxa"/>
              <w:bottom w:w="0" w:type="dxa"/>
              <w:right w:w="12" w:type="dxa"/>
            </w:tcMar>
            <w:vAlign w:val="bottom"/>
          </w:tcPr>
          <w:p w14:paraId="45F7A394"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9.5%</w:t>
            </w:r>
          </w:p>
        </w:tc>
        <w:tc>
          <w:tcPr>
            <w:tcW w:w="690" w:type="pct"/>
            <w:noWrap/>
            <w:tcMar>
              <w:top w:w="12" w:type="dxa"/>
              <w:left w:w="12" w:type="dxa"/>
              <w:bottom w:w="0" w:type="dxa"/>
              <w:right w:w="12" w:type="dxa"/>
            </w:tcMar>
            <w:vAlign w:val="bottom"/>
          </w:tcPr>
          <w:p w14:paraId="45F7A395"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25.6%</w:t>
            </w:r>
          </w:p>
        </w:tc>
        <w:tc>
          <w:tcPr>
            <w:tcW w:w="515" w:type="pct"/>
            <w:noWrap/>
            <w:tcMar>
              <w:top w:w="12" w:type="dxa"/>
              <w:left w:w="12" w:type="dxa"/>
              <w:bottom w:w="0" w:type="dxa"/>
              <w:right w:w="12" w:type="dxa"/>
            </w:tcMar>
            <w:vAlign w:val="bottom"/>
          </w:tcPr>
          <w:p w14:paraId="45F7A396"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19.8%</w:t>
            </w:r>
          </w:p>
        </w:tc>
        <w:tc>
          <w:tcPr>
            <w:tcW w:w="780" w:type="pct"/>
            <w:noWrap/>
            <w:tcMar>
              <w:top w:w="12" w:type="dxa"/>
              <w:left w:w="12" w:type="dxa"/>
              <w:bottom w:w="0" w:type="dxa"/>
              <w:right w:w="12" w:type="dxa"/>
            </w:tcMar>
            <w:vAlign w:val="bottom"/>
          </w:tcPr>
          <w:p w14:paraId="45F7A397"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42.2%</w:t>
            </w:r>
          </w:p>
        </w:tc>
        <w:tc>
          <w:tcPr>
            <w:tcW w:w="689" w:type="pct"/>
            <w:noWrap/>
            <w:tcMar>
              <w:top w:w="12" w:type="dxa"/>
              <w:left w:w="12" w:type="dxa"/>
              <w:bottom w:w="0" w:type="dxa"/>
              <w:right w:w="12" w:type="dxa"/>
            </w:tcMar>
            <w:vAlign w:val="bottom"/>
          </w:tcPr>
          <w:p w14:paraId="45F7A398"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58.5%</w:t>
            </w:r>
          </w:p>
        </w:tc>
        <w:tc>
          <w:tcPr>
            <w:tcW w:w="514" w:type="pct"/>
            <w:noWrap/>
            <w:tcMar>
              <w:top w:w="12" w:type="dxa"/>
              <w:left w:w="12" w:type="dxa"/>
              <w:bottom w:w="0" w:type="dxa"/>
              <w:right w:w="12" w:type="dxa"/>
            </w:tcMar>
            <w:vAlign w:val="bottom"/>
          </w:tcPr>
          <w:p w14:paraId="45F7A399"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40.2%</w:t>
            </w:r>
          </w:p>
        </w:tc>
      </w:tr>
      <w:tr w:rsidR="00EB5324" w14:paraId="45F7A3A3" w14:textId="77777777" w:rsidTr="00EB77A8">
        <w:trPr>
          <w:cantSplit/>
          <w:trHeight w:val="255"/>
        </w:trPr>
        <w:tc>
          <w:tcPr>
            <w:tcW w:w="636" w:type="pct"/>
            <w:vMerge/>
            <w:tcBorders>
              <w:bottom w:val="single" w:sz="4" w:space="0" w:color="auto"/>
              <w:right w:val="single" w:sz="6" w:space="0" w:color="000000"/>
            </w:tcBorders>
            <w:vAlign w:val="center"/>
          </w:tcPr>
          <w:p w14:paraId="45F7A39B"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bottom w:val="single" w:sz="4" w:space="0" w:color="auto"/>
              <w:right w:val="single" w:sz="4" w:space="0" w:color="auto"/>
            </w:tcBorders>
            <w:noWrap/>
            <w:tcMar>
              <w:top w:w="12" w:type="dxa"/>
              <w:left w:w="12" w:type="dxa"/>
              <w:bottom w:w="0" w:type="dxa"/>
              <w:right w:w="12" w:type="dxa"/>
            </w:tcMar>
            <w:vAlign w:val="bottom"/>
          </w:tcPr>
          <w:p w14:paraId="45F7A39C"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Total</w:t>
            </w:r>
          </w:p>
        </w:tc>
        <w:tc>
          <w:tcPr>
            <w:tcW w:w="781" w:type="pct"/>
            <w:tcBorders>
              <w:left w:val="single" w:sz="4" w:space="0" w:color="auto"/>
              <w:bottom w:val="single" w:sz="4" w:space="0" w:color="auto"/>
            </w:tcBorders>
            <w:noWrap/>
            <w:tcMar>
              <w:top w:w="12" w:type="dxa"/>
              <w:left w:w="12" w:type="dxa"/>
              <w:bottom w:w="0" w:type="dxa"/>
              <w:right w:w="12" w:type="dxa"/>
            </w:tcMar>
            <w:vAlign w:val="bottom"/>
          </w:tcPr>
          <w:p w14:paraId="45F7A39D"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10.2%</w:t>
            </w:r>
          </w:p>
        </w:tc>
        <w:tc>
          <w:tcPr>
            <w:tcW w:w="690" w:type="pct"/>
            <w:tcBorders>
              <w:bottom w:val="single" w:sz="4" w:space="0" w:color="auto"/>
            </w:tcBorders>
            <w:noWrap/>
            <w:tcMar>
              <w:top w:w="12" w:type="dxa"/>
              <w:left w:w="12" w:type="dxa"/>
              <w:bottom w:w="0" w:type="dxa"/>
              <w:right w:w="12" w:type="dxa"/>
            </w:tcMar>
            <w:vAlign w:val="bottom"/>
          </w:tcPr>
          <w:p w14:paraId="45F7A39E"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16.2%</w:t>
            </w:r>
          </w:p>
        </w:tc>
        <w:tc>
          <w:tcPr>
            <w:tcW w:w="515" w:type="pct"/>
            <w:tcBorders>
              <w:bottom w:val="single" w:sz="4" w:space="0" w:color="auto"/>
            </w:tcBorders>
            <w:noWrap/>
            <w:tcMar>
              <w:top w:w="12" w:type="dxa"/>
              <w:left w:w="12" w:type="dxa"/>
              <w:bottom w:w="0" w:type="dxa"/>
              <w:right w:w="12" w:type="dxa"/>
            </w:tcMar>
            <w:vAlign w:val="bottom"/>
          </w:tcPr>
          <w:p w14:paraId="45F7A39F"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18.9%</w:t>
            </w:r>
          </w:p>
        </w:tc>
        <w:tc>
          <w:tcPr>
            <w:tcW w:w="780" w:type="pct"/>
            <w:tcBorders>
              <w:bottom w:val="single" w:sz="4" w:space="0" w:color="auto"/>
            </w:tcBorders>
            <w:noWrap/>
            <w:tcMar>
              <w:top w:w="12" w:type="dxa"/>
              <w:left w:w="12" w:type="dxa"/>
              <w:bottom w:w="0" w:type="dxa"/>
              <w:right w:w="12" w:type="dxa"/>
            </w:tcMar>
            <w:vAlign w:val="bottom"/>
          </w:tcPr>
          <w:p w14:paraId="45F7A3A0"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13.9%</w:t>
            </w:r>
          </w:p>
        </w:tc>
        <w:tc>
          <w:tcPr>
            <w:tcW w:w="689" w:type="pct"/>
            <w:tcBorders>
              <w:bottom w:val="single" w:sz="4" w:space="0" w:color="auto"/>
            </w:tcBorders>
            <w:noWrap/>
            <w:tcMar>
              <w:top w:w="12" w:type="dxa"/>
              <w:left w:w="12" w:type="dxa"/>
              <w:bottom w:w="0" w:type="dxa"/>
              <w:right w:w="12" w:type="dxa"/>
            </w:tcMar>
            <w:vAlign w:val="bottom"/>
          </w:tcPr>
          <w:p w14:paraId="45F7A3A1"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23.2%</w:t>
            </w:r>
          </w:p>
        </w:tc>
        <w:tc>
          <w:tcPr>
            <w:tcW w:w="514" w:type="pct"/>
            <w:tcBorders>
              <w:bottom w:val="single" w:sz="4" w:space="0" w:color="auto"/>
            </w:tcBorders>
            <w:noWrap/>
            <w:tcMar>
              <w:top w:w="12" w:type="dxa"/>
              <w:left w:w="12" w:type="dxa"/>
              <w:bottom w:w="0" w:type="dxa"/>
              <w:right w:w="12" w:type="dxa"/>
            </w:tcMar>
            <w:vAlign w:val="bottom"/>
          </w:tcPr>
          <w:p w14:paraId="45F7A3A2"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19.5%</w:t>
            </w:r>
          </w:p>
        </w:tc>
      </w:tr>
      <w:tr w:rsidR="00EB5324" w14:paraId="45F7A3AC" w14:textId="77777777" w:rsidTr="00EB77A8">
        <w:trPr>
          <w:cantSplit/>
          <w:trHeight w:val="255"/>
        </w:trPr>
        <w:tc>
          <w:tcPr>
            <w:tcW w:w="636" w:type="pct"/>
            <w:vMerge w:val="restart"/>
            <w:tcBorders>
              <w:top w:val="single" w:sz="4" w:space="0" w:color="auto"/>
              <w:right w:val="single" w:sz="6" w:space="0" w:color="000000"/>
            </w:tcBorders>
            <w:noWrap/>
            <w:tcMar>
              <w:top w:w="12" w:type="dxa"/>
              <w:left w:w="12" w:type="dxa"/>
              <w:bottom w:w="0" w:type="dxa"/>
              <w:right w:w="12" w:type="dxa"/>
            </w:tcMar>
            <w:vAlign w:val="center"/>
          </w:tcPr>
          <w:p w14:paraId="45F7A3A4"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Sicily</w:t>
            </w:r>
          </w:p>
        </w:tc>
        <w:tc>
          <w:tcPr>
            <w:tcW w:w="395" w:type="pct"/>
            <w:tcBorders>
              <w:top w:val="single" w:sz="4" w:space="0" w:color="auto"/>
              <w:left w:val="single" w:sz="6" w:space="0" w:color="000000"/>
              <w:right w:val="single" w:sz="4" w:space="0" w:color="auto"/>
            </w:tcBorders>
            <w:noWrap/>
            <w:tcMar>
              <w:top w:w="12" w:type="dxa"/>
              <w:left w:w="12" w:type="dxa"/>
              <w:bottom w:w="0" w:type="dxa"/>
              <w:right w:w="12" w:type="dxa"/>
            </w:tcMar>
            <w:vAlign w:val="bottom"/>
          </w:tcPr>
          <w:p w14:paraId="45F7A3A5"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w:t>
            </w:r>
          </w:p>
        </w:tc>
        <w:tc>
          <w:tcPr>
            <w:tcW w:w="781" w:type="pct"/>
            <w:tcBorders>
              <w:top w:val="single" w:sz="4" w:space="0" w:color="auto"/>
              <w:left w:val="single" w:sz="4" w:space="0" w:color="auto"/>
            </w:tcBorders>
            <w:noWrap/>
            <w:tcMar>
              <w:top w:w="12" w:type="dxa"/>
              <w:left w:w="12" w:type="dxa"/>
              <w:bottom w:w="0" w:type="dxa"/>
              <w:right w:w="12" w:type="dxa"/>
            </w:tcMar>
            <w:vAlign w:val="bottom"/>
          </w:tcPr>
          <w:p w14:paraId="45F7A3A6"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8.7%</w:t>
            </w:r>
          </w:p>
        </w:tc>
        <w:tc>
          <w:tcPr>
            <w:tcW w:w="690" w:type="pct"/>
            <w:tcBorders>
              <w:top w:val="single" w:sz="4" w:space="0" w:color="auto"/>
            </w:tcBorders>
            <w:noWrap/>
            <w:tcMar>
              <w:top w:w="12" w:type="dxa"/>
              <w:left w:w="12" w:type="dxa"/>
              <w:bottom w:w="0" w:type="dxa"/>
              <w:right w:w="12" w:type="dxa"/>
            </w:tcMar>
            <w:vAlign w:val="bottom"/>
          </w:tcPr>
          <w:p w14:paraId="45F7A3A7"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7.4%</w:t>
            </w:r>
          </w:p>
        </w:tc>
        <w:tc>
          <w:tcPr>
            <w:tcW w:w="515" w:type="pct"/>
            <w:tcBorders>
              <w:top w:val="single" w:sz="4" w:space="0" w:color="auto"/>
            </w:tcBorders>
            <w:noWrap/>
            <w:tcMar>
              <w:top w:w="12" w:type="dxa"/>
              <w:left w:w="12" w:type="dxa"/>
              <w:bottom w:w="0" w:type="dxa"/>
              <w:right w:w="12" w:type="dxa"/>
            </w:tcMar>
            <w:vAlign w:val="bottom"/>
          </w:tcPr>
          <w:p w14:paraId="45F7A3A8"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9.9%</w:t>
            </w:r>
          </w:p>
        </w:tc>
        <w:tc>
          <w:tcPr>
            <w:tcW w:w="780" w:type="pct"/>
            <w:tcBorders>
              <w:top w:val="single" w:sz="4" w:space="0" w:color="auto"/>
            </w:tcBorders>
            <w:noWrap/>
            <w:tcMar>
              <w:top w:w="12" w:type="dxa"/>
              <w:left w:w="12" w:type="dxa"/>
              <w:bottom w:w="0" w:type="dxa"/>
              <w:right w:w="12" w:type="dxa"/>
            </w:tcMar>
            <w:vAlign w:val="bottom"/>
          </w:tcPr>
          <w:p w14:paraId="45F7A3A9"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6.6%</w:t>
            </w:r>
          </w:p>
        </w:tc>
        <w:tc>
          <w:tcPr>
            <w:tcW w:w="689" w:type="pct"/>
            <w:tcBorders>
              <w:top w:val="single" w:sz="4" w:space="0" w:color="auto"/>
            </w:tcBorders>
            <w:noWrap/>
            <w:tcMar>
              <w:top w:w="12" w:type="dxa"/>
              <w:left w:w="12" w:type="dxa"/>
              <w:bottom w:w="0" w:type="dxa"/>
              <w:right w:w="12" w:type="dxa"/>
            </w:tcMar>
            <w:vAlign w:val="bottom"/>
          </w:tcPr>
          <w:p w14:paraId="45F7A3AA"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7.3%</w:t>
            </w:r>
          </w:p>
        </w:tc>
        <w:tc>
          <w:tcPr>
            <w:tcW w:w="514" w:type="pct"/>
            <w:tcBorders>
              <w:top w:val="single" w:sz="4" w:space="0" w:color="auto"/>
            </w:tcBorders>
            <w:noWrap/>
            <w:tcMar>
              <w:top w:w="12" w:type="dxa"/>
              <w:left w:w="12" w:type="dxa"/>
              <w:bottom w:w="0" w:type="dxa"/>
              <w:right w:w="12" w:type="dxa"/>
            </w:tcMar>
            <w:vAlign w:val="bottom"/>
          </w:tcPr>
          <w:p w14:paraId="45F7A3AB"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11.8%</w:t>
            </w:r>
          </w:p>
        </w:tc>
      </w:tr>
      <w:tr w:rsidR="00EB5324" w14:paraId="45F7A3B5" w14:textId="77777777" w:rsidTr="00EB77A8">
        <w:trPr>
          <w:cantSplit/>
          <w:trHeight w:val="255"/>
        </w:trPr>
        <w:tc>
          <w:tcPr>
            <w:tcW w:w="636" w:type="pct"/>
            <w:vMerge/>
            <w:tcBorders>
              <w:right w:val="single" w:sz="6" w:space="0" w:color="000000"/>
            </w:tcBorders>
            <w:vAlign w:val="center"/>
          </w:tcPr>
          <w:p w14:paraId="45F7A3AD"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3AE"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w:t>
            </w:r>
          </w:p>
        </w:tc>
        <w:tc>
          <w:tcPr>
            <w:tcW w:w="781" w:type="pct"/>
            <w:tcBorders>
              <w:left w:val="single" w:sz="4" w:space="0" w:color="auto"/>
            </w:tcBorders>
            <w:noWrap/>
            <w:tcMar>
              <w:top w:w="12" w:type="dxa"/>
              <w:left w:w="12" w:type="dxa"/>
              <w:bottom w:w="0" w:type="dxa"/>
              <w:right w:w="12" w:type="dxa"/>
            </w:tcMar>
            <w:vAlign w:val="bottom"/>
          </w:tcPr>
          <w:p w14:paraId="45F7A3AF"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9.5%</w:t>
            </w:r>
          </w:p>
        </w:tc>
        <w:tc>
          <w:tcPr>
            <w:tcW w:w="690" w:type="pct"/>
            <w:noWrap/>
            <w:tcMar>
              <w:top w:w="12" w:type="dxa"/>
              <w:left w:w="12" w:type="dxa"/>
              <w:bottom w:w="0" w:type="dxa"/>
              <w:right w:w="12" w:type="dxa"/>
            </w:tcMar>
            <w:vAlign w:val="bottom"/>
          </w:tcPr>
          <w:p w14:paraId="45F7A3B0"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7.8%</w:t>
            </w:r>
          </w:p>
        </w:tc>
        <w:tc>
          <w:tcPr>
            <w:tcW w:w="515" w:type="pct"/>
            <w:noWrap/>
            <w:tcMar>
              <w:top w:w="12" w:type="dxa"/>
              <w:left w:w="12" w:type="dxa"/>
              <w:bottom w:w="0" w:type="dxa"/>
              <w:right w:w="12" w:type="dxa"/>
            </w:tcMar>
            <w:vAlign w:val="bottom"/>
          </w:tcPr>
          <w:p w14:paraId="45F7A3B1"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14.0%</w:t>
            </w:r>
          </w:p>
        </w:tc>
        <w:tc>
          <w:tcPr>
            <w:tcW w:w="780" w:type="pct"/>
            <w:noWrap/>
            <w:tcMar>
              <w:top w:w="12" w:type="dxa"/>
              <w:left w:w="12" w:type="dxa"/>
              <w:bottom w:w="0" w:type="dxa"/>
              <w:right w:w="12" w:type="dxa"/>
            </w:tcMar>
            <w:vAlign w:val="bottom"/>
          </w:tcPr>
          <w:p w14:paraId="45F7A3B2"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7.2%</w:t>
            </w:r>
          </w:p>
        </w:tc>
        <w:tc>
          <w:tcPr>
            <w:tcW w:w="689" w:type="pct"/>
            <w:noWrap/>
            <w:tcMar>
              <w:top w:w="12" w:type="dxa"/>
              <w:left w:w="12" w:type="dxa"/>
              <w:bottom w:w="0" w:type="dxa"/>
              <w:right w:w="12" w:type="dxa"/>
            </w:tcMar>
            <w:vAlign w:val="bottom"/>
          </w:tcPr>
          <w:p w14:paraId="45F7A3B3"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10.4%</w:t>
            </w:r>
          </w:p>
        </w:tc>
        <w:tc>
          <w:tcPr>
            <w:tcW w:w="514" w:type="pct"/>
            <w:noWrap/>
            <w:tcMar>
              <w:top w:w="12" w:type="dxa"/>
              <w:left w:w="12" w:type="dxa"/>
              <w:bottom w:w="0" w:type="dxa"/>
              <w:right w:w="12" w:type="dxa"/>
            </w:tcMar>
            <w:vAlign w:val="bottom"/>
          </w:tcPr>
          <w:p w14:paraId="45F7A3B4"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8.7%</w:t>
            </w:r>
          </w:p>
        </w:tc>
      </w:tr>
      <w:tr w:rsidR="00EB5324" w14:paraId="45F7A3BE" w14:textId="77777777" w:rsidTr="00EB77A8">
        <w:trPr>
          <w:cantSplit/>
          <w:trHeight w:val="255"/>
        </w:trPr>
        <w:tc>
          <w:tcPr>
            <w:tcW w:w="636" w:type="pct"/>
            <w:vMerge/>
            <w:tcBorders>
              <w:right w:val="single" w:sz="6" w:space="0" w:color="000000"/>
            </w:tcBorders>
            <w:vAlign w:val="center"/>
          </w:tcPr>
          <w:p w14:paraId="45F7A3B6"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3B7"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w:t>
            </w:r>
          </w:p>
        </w:tc>
        <w:tc>
          <w:tcPr>
            <w:tcW w:w="781" w:type="pct"/>
            <w:tcBorders>
              <w:left w:val="single" w:sz="4" w:space="0" w:color="auto"/>
            </w:tcBorders>
            <w:noWrap/>
            <w:tcMar>
              <w:top w:w="12" w:type="dxa"/>
              <w:left w:w="12" w:type="dxa"/>
              <w:bottom w:w="0" w:type="dxa"/>
              <w:right w:w="12" w:type="dxa"/>
            </w:tcMar>
            <w:vAlign w:val="bottom"/>
          </w:tcPr>
          <w:p w14:paraId="45F7A3B8"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11.1%</w:t>
            </w:r>
          </w:p>
        </w:tc>
        <w:tc>
          <w:tcPr>
            <w:tcW w:w="690" w:type="pct"/>
            <w:noWrap/>
            <w:tcMar>
              <w:top w:w="12" w:type="dxa"/>
              <w:left w:w="12" w:type="dxa"/>
              <w:bottom w:w="0" w:type="dxa"/>
              <w:right w:w="12" w:type="dxa"/>
            </w:tcMar>
            <w:vAlign w:val="bottom"/>
          </w:tcPr>
          <w:p w14:paraId="45F7A3B9"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14.0%</w:t>
            </w:r>
          </w:p>
        </w:tc>
        <w:tc>
          <w:tcPr>
            <w:tcW w:w="515" w:type="pct"/>
            <w:noWrap/>
            <w:tcMar>
              <w:top w:w="12" w:type="dxa"/>
              <w:left w:w="12" w:type="dxa"/>
              <w:bottom w:w="0" w:type="dxa"/>
              <w:right w:w="12" w:type="dxa"/>
            </w:tcMar>
            <w:vAlign w:val="bottom"/>
          </w:tcPr>
          <w:p w14:paraId="45F7A3BA"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16.0%</w:t>
            </w:r>
          </w:p>
        </w:tc>
        <w:tc>
          <w:tcPr>
            <w:tcW w:w="780" w:type="pct"/>
            <w:noWrap/>
            <w:tcMar>
              <w:top w:w="12" w:type="dxa"/>
              <w:left w:w="12" w:type="dxa"/>
              <w:bottom w:w="0" w:type="dxa"/>
              <w:right w:w="12" w:type="dxa"/>
            </w:tcMar>
            <w:vAlign w:val="bottom"/>
          </w:tcPr>
          <w:p w14:paraId="45F7A3BB"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10.0%</w:t>
            </w:r>
          </w:p>
        </w:tc>
        <w:tc>
          <w:tcPr>
            <w:tcW w:w="689" w:type="pct"/>
            <w:noWrap/>
            <w:tcMar>
              <w:top w:w="12" w:type="dxa"/>
              <w:left w:w="12" w:type="dxa"/>
              <w:bottom w:w="0" w:type="dxa"/>
              <w:right w:w="12" w:type="dxa"/>
            </w:tcMar>
            <w:vAlign w:val="bottom"/>
          </w:tcPr>
          <w:p w14:paraId="45F7A3BC"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14.4%</w:t>
            </w:r>
          </w:p>
        </w:tc>
        <w:tc>
          <w:tcPr>
            <w:tcW w:w="514" w:type="pct"/>
            <w:noWrap/>
            <w:tcMar>
              <w:top w:w="12" w:type="dxa"/>
              <w:left w:w="12" w:type="dxa"/>
              <w:bottom w:w="0" w:type="dxa"/>
              <w:right w:w="12" w:type="dxa"/>
            </w:tcMar>
            <w:vAlign w:val="bottom"/>
          </w:tcPr>
          <w:p w14:paraId="45F7A3BD"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13.2%</w:t>
            </w:r>
          </w:p>
        </w:tc>
      </w:tr>
      <w:tr w:rsidR="00EB5324" w14:paraId="45F7A3C7" w14:textId="77777777" w:rsidTr="00EB77A8">
        <w:trPr>
          <w:cantSplit/>
          <w:trHeight w:val="255"/>
        </w:trPr>
        <w:tc>
          <w:tcPr>
            <w:tcW w:w="636" w:type="pct"/>
            <w:vMerge/>
            <w:tcBorders>
              <w:right w:val="single" w:sz="6" w:space="0" w:color="000000"/>
            </w:tcBorders>
            <w:vAlign w:val="center"/>
          </w:tcPr>
          <w:p w14:paraId="45F7A3BF"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3C0"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4</w:t>
            </w:r>
          </w:p>
        </w:tc>
        <w:tc>
          <w:tcPr>
            <w:tcW w:w="781" w:type="pct"/>
            <w:tcBorders>
              <w:left w:val="single" w:sz="4" w:space="0" w:color="auto"/>
            </w:tcBorders>
            <w:noWrap/>
            <w:tcMar>
              <w:top w:w="12" w:type="dxa"/>
              <w:left w:w="12" w:type="dxa"/>
              <w:bottom w:w="0" w:type="dxa"/>
              <w:right w:w="12" w:type="dxa"/>
            </w:tcMar>
            <w:vAlign w:val="bottom"/>
          </w:tcPr>
          <w:p w14:paraId="45F7A3C1"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16.3%</w:t>
            </w:r>
          </w:p>
        </w:tc>
        <w:tc>
          <w:tcPr>
            <w:tcW w:w="690" w:type="pct"/>
            <w:noWrap/>
            <w:tcMar>
              <w:top w:w="12" w:type="dxa"/>
              <w:left w:w="12" w:type="dxa"/>
              <w:bottom w:w="0" w:type="dxa"/>
              <w:right w:w="12" w:type="dxa"/>
            </w:tcMar>
            <w:vAlign w:val="bottom"/>
          </w:tcPr>
          <w:p w14:paraId="45F7A3C2"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19.6%</w:t>
            </w:r>
          </w:p>
        </w:tc>
        <w:tc>
          <w:tcPr>
            <w:tcW w:w="515" w:type="pct"/>
            <w:noWrap/>
            <w:tcMar>
              <w:top w:w="12" w:type="dxa"/>
              <w:left w:w="12" w:type="dxa"/>
              <w:bottom w:w="0" w:type="dxa"/>
              <w:right w:w="12" w:type="dxa"/>
            </w:tcMar>
            <w:vAlign w:val="bottom"/>
          </w:tcPr>
          <w:p w14:paraId="45F7A3C3"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24.1%</w:t>
            </w:r>
          </w:p>
        </w:tc>
        <w:tc>
          <w:tcPr>
            <w:tcW w:w="780" w:type="pct"/>
            <w:noWrap/>
            <w:tcMar>
              <w:top w:w="12" w:type="dxa"/>
              <w:left w:w="12" w:type="dxa"/>
              <w:bottom w:w="0" w:type="dxa"/>
              <w:right w:w="12" w:type="dxa"/>
            </w:tcMar>
            <w:vAlign w:val="bottom"/>
          </w:tcPr>
          <w:p w14:paraId="45F7A3C4"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22.5%</w:t>
            </w:r>
          </w:p>
        </w:tc>
        <w:tc>
          <w:tcPr>
            <w:tcW w:w="689" w:type="pct"/>
            <w:noWrap/>
            <w:tcMar>
              <w:top w:w="12" w:type="dxa"/>
              <w:left w:w="12" w:type="dxa"/>
              <w:bottom w:w="0" w:type="dxa"/>
              <w:right w:w="12" w:type="dxa"/>
            </w:tcMar>
            <w:vAlign w:val="bottom"/>
          </w:tcPr>
          <w:p w14:paraId="45F7A3C5"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23.5%</w:t>
            </w:r>
          </w:p>
        </w:tc>
        <w:tc>
          <w:tcPr>
            <w:tcW w:w="514" w:type="pct"/>
            <w:noWrap/>
            <w:tcMar>
              <w:top w:w="12" w:type="dxa"/>
              <w:left w:w="12" w:type="dxa"/>
              <w:bottom w:w="0" w:type="dxa"/>
              <w:right w:w="12" w:type="dxa"/>
            </w:tcMar>
            <w:vAlign w:val="bottom"/>
          </w:tcPr>
          <w:p w14:paraId="45F7A3C6"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24.4%</w:t>
            </w:r>
          </w:p>
        </w:tc>
      </w:tr>
      <w:tr w:rsidR="00EB5324" w14:paraId="45F7A3D0" w14:textId="77777777" w:rsidTr="00EB77A8">
        <w:trPr>
          <w:cantSplit/>
          <w:trHeight w:val="255"/>
        </w:trPr>
        <w:tc>
          <w:tcPr>
            <w:tcW w:w="636" w:type="pct"/>
            <w:vMerge/>
            <w:tcBorders>
              <w:right w:val="single" w:sz="6" w:space="0" w:color="000000"/>
            </w:tcBorders>
            <w:vAlign w:val="center"/>
          </w:tcPr>
          <w:p w14:paraId="45F7A3C8"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3C9"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5</w:t>
            </w:r>
          </w:p>
        </w:tc>
        <w:tc>
          <w:tcPr>
            <w:tcW w:w="781" w:type="pct"/>
            <w:tcBorders>
              <w:left w:val="single" w:sz="4" w:space="0" w:color="auto"/>
            </w:tcBorders>
            <w:noWrap/>
            <w:tcMar>
              <w:top w:w="12" w:type="dxa"/>
              <w:left w:w="12" w:type="dxa"/>
              <w:bottom w:w="0" w:type="dxa"/>
              <w:right w:w="12" w:type="dxa"/>
            </w:tcMar>
            <w:vAlign w:val="bottom"/>
          </w:tcPr>
          <w:p w14:paraId="45F7A3CA"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28.9%</w:t>
            </w:r>
          </w:p>
        </w:tc>
        <w:tc>
          <w:tcPr>
            <w:tcW w:w="690" w:type="pct"/>
            <w:noWrap/>
            <w:tcMar>
              <w:top w:w="12" w:type="dxa"/>
              <w:left w:w="12" w:type="dxa"/>
              <w:bottom w:w="0" w:type="dxa"/>
              <w:right w:w="12" w:type="dxa"/>
            </w:tcMar>
            <w:vAlign w:val="bottom"/>
          </w:tcPr>
          <w:p w14:paraId="45F7A3CB"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35.7%</w:t>
            </w:r>
          </w:p>
        </w:tc>
        <w:tc>
          <w:tcPr>
            <w:tcW w:w="515" w:type="pct"/>
            <w:noWrap/>
            <w:tcMar>
              <w:top w:w="12" w:type="dxa"/>
              <w:left w:w="12" w:type="dxa"/>
              <w:bottom w:w="0" w:type="dxa"/>
              <w:right w:w="12" w:type="dxa"/>
            </w:tcMar>
            <w:vAlign w:val="bottom"/>
          </w:tcPr>
          <w:p w14:paraId="45F7A3CC"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37.0%</w:t>
            </w:r>
          </w:p>
        </w:tc>
        <w:tc>
          <w:tcPr>
            <w:tcW w:w="780" w:type="pct"/>
            <w:noWrap/>
            <w:tcMar>
              <w:top w:w="12" w:type="dxa"/>
              <w:left w:w="12" w:type="dxa"/>
              <w:bottom w:w="0" w:type="dxa"/>
              <w:right w:w="12" w:type="dxa"/>
            </w:tcMar>
            <w:vAlign w:val="bottom"/>
          </w:tcPr>
          <w:p w14:paraId="45F7A3CD"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39.0%</w:t>
            </w:r>
          </w:p>
        </w:tc>
        <w:tc>
          <w:tcPr>
            <w:tcW w:w="689" w:type="pct"/>
            <w:noWrap/>
            <w:tcMar>
              <w:top w:w="12" w:type="dxa"/>
              <w:left w:w="12" w:type="dxa"/>
              <w:bottom w:w="0" w:type="dxa"/>
              <w:right w:w="12" w:type="dxa"/>
            </w:tcMar>
            <w:vAlign w:val="bottom"/>
          </w:tcPr>
          <w:p w14:paraId="45F7A3CE"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37.4%</w:t>
            </w:r>
          </w:p>
        </w:tc>
        <w:tc>
          <w:tcPr>
            <w:tcW w:w="514" w:type="pct"/>
            <w:noWrap/>
            <w:tcMar>
              <w:top w:w="12" w:type="dxa"/>
              <w:left w:w="12" w:type="dxa"/>
              <w:bottom w:w="0" w:type="dxa"/>
              <w:right w:w="12" w:type="dxa"/>
            </w:tcMar>
            <w:vAlign w:val="bottom"/>
          </w:tcPr>
          <w:p w14:paraId="45F7A3CF"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43.5%</w:t>
            </w:r>
          </w:p>
        </w:tc>
      </w:tr>
      <w:tr w:rsidR="00EB5324" w14:paraId="45F7A3D9" w14:textId="77777777" w:rsidTr="00EB77A8">
        <w:trPr>
          <w:cantSplit/>
          <w:trHeight w:val="255"/>
        </w:trPr>
        <w:tc>
          <w:tcPr>
            <w:tcW w:w="636" w:type="pct"/>
            <w:vMerge/>
            <w:tcBorders>
              <w:bottom w:val="single" w:sz="4" w:space="0" w:color="auto"/>
              <w:right w:val="single" w:sz="6" w:space="0" w:color="000000"/>
            </w:tcBorders>
            <w:vAlign w:val="center"/>
          </w:tcPr>
          <w:p w14:paraId="45F7A3D1"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bottom w:val="single" w:sz="4" w:space="0" w:color="auto"/>
              <w:right w:val="single" w:sz="4" w:space="0" w:color="auto"/>
            </w:tcBorders>
            <w:noWrap/>
            <w:tcMar>
              <w:top w:w="12" w:type="dxa"/>
              <w:left w:w="12" w:type="dxa"/>
              <w:bottom w:w="0" w:type="dxa"/>
              <w:right w:w="12" w:type="dxa"/>
            </w:tcMar>
            <w:vAlign w:val="bottom"/>
          </w:tcPr>
          <w:p w14:paraId="45F7A3D2"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Total</w:t>
            </w:r>
          </w:p>
        </w:tc>
        <w:tc>
          <w:tcPr>
            <w:tcW w:w="781" w:type="pct"/>
            <w:tcBorders>
              <w:left w:val="single" w:sz="4" w:space="0" w:color="auto"/>
              <w:bottom w:val="single" w:sz="4" w:space="0" w:color="auto"/>
            </w:tcBorders>
            <w:noWrap/>
            <w:tcMar>
              <w:top w:w="12" w:type="dxa"/>
              <w:left w:w="12" w:type="dxa"/>
              <w:bottom w:w="0" w:type="dxa"/>
              <w:right w:w="12" w:type="dxa"/>
            </w:tcMar>
            <w:vAlign w:val="bottom"/>
          </w:tcPr>
          <w:p w14:paraId="45F7A3D3"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14.2%</w:t>
            </w:r>
          </w:p>
        </w:tc>
        <w:tc>
          <w:tcPr>
            <w:tcW w:w="690" w:type="pct"/>
            <w:tcBorders>
              <w:bottom w:val="single" w:sz="4" w:space="0" w:color="auto"/>
            </w:tcBorders>
            <w:noWrap/>
            <w:tcMar>
              <w:top w:w="12" w:type="dxa"/>
              <w:left w:w="12" w:type="dxa"/>
              <w:bottom w:w="0" w:type="dxa"/>
              <w:right w:w="12" w:type="dxa"/>
            </w:tcMar>
            <w:vAlign w:val="bottom"/>
          </w:tcPr>
          <w:p w14:paraId="45F7A3D4"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17.2%</w:t>
            </w:r>
          </w:p>
        </w:tc>
        <w:tc>
          <w:tcPr>
            <w:tcW w:w="515" w:type="pct"/>
            <w:tcBorders>
              <w:bottom w:val="single" w:sz="4" w:space="0" w:color="auto"/>
            </w:tcBorders>
            <w:noWrap/>
            <w:tcMar>
              <w:top w:w="12" w:type="dxa"/>
              <w:left w:w="12" w:type="dxa"/>
              <w:bottom w:w="0" w:type="dxa"/>
              <w:right w:w="12" w:type="dxa"/>
            </w:tcMar>
            <w:vAlign w:val="bottom"/>
          </w:tcPr>
          <w:p w14:paraId="45F7A3D5"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20.6%</w:t>
            </w:r>
          </w:p>
        </w:tc>
        <w:tc>
          <w:tcPr>
            <w:tcW w:w="780" w:type="pct"/>
            <w:tcBorders>
              <w:bottom w:val="single" w:sz="4" w:space="0" w:color="auto"/>
            </w:tcBorders>
            <w:noWrap/>
            <w:tcMar>
              <w:top w:w="12" w:type="dxa"/>
              <w:left w:w="12" w:type="dxa"/>
              <w:bottom w:w="0" w:type="dxa"/>
              <w:right w:w="12" w:type="dxa"/>
            </w:tcMar>
            <w:vAlign w:val="bottom"/>
          </w:tcPr>
          <w:p w14:paraId="45F7A3D6"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15.0%</w:t>
            </w:r>
          </w:p>
        </w:tc>
        <w:tc>
          <w:tcPr>
            <w:tcW w:w="689" w:type="pct"/>
            <w:tcBorders>
              <w:bottom w:val="single" w:sz="4" w:space="0" w:color="auto"/>
            </w:tcBorders>
            <w:noWrap/>
            <w:tcMar>
              <w:top w:w="12" w:type="dxa"/>
              <w:left w:w="12" w:type="dxa"/>
              <w:bottom w:w="0" w:type="dxa"/>
              <w:right w:w="12" w:type="dxa"/>
            </w:tcMar>
            <w:vAlign w:val="bottom"/>
          </w:tcPr>
          <w:p w14:paraId="45F7A3D7"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18.9%</w:t>
            </w:r>
          </w:p>
        </w:tc>
        <w:tc>
          <w:tcPr>
            <w:tcW w:w="514" w:type="pct"/>
            <w:tcBorders>
              <w:bottom w:val="single" w:sz="4" w:space="0" w:color="auto"/>
            </w:tcBorders>
            <w:noWrap/>
            <w:tcMar>
              <w:top w:w="12" w:type="dxa"/>
              <w:left w:w="12" w:type="dxa"/>
              <w:bottom w:w="0" w:type="dxa"/>
              <w:right w:w="12" w:type="dxa"/>
            </w:tcMar>
            <w:vAlign w:val="bottom"/>
          </w:tcPr>
          <w:p w14:paraId="45F7A3D8"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18.8%</w:t>
            </w:r>
          </w:p>
        </w:tc>
      </w:tr>
      <w:tr w:rsidR="00EB5324" w14:paraId="45F7A3E2" w14:textId="77777777" w:rsidTr="00EB77A8">
        <w:trPr>
          <w:cantSplit/>
          <w:trHeight w:val="255"/>
        </w:trPr>
        <w:tc>
          <w:tcPr>
            <w:tcW w:w="636" w:type="pct"/>
            <w:vMerge w:val="restart"/>
            <w:tcBorders>
              <w:top w:val="single" w:sz="4" w:space="0" w:color="auto"/>
              <w:right w:val="single" w:sz="6" w:space="0" w:color="000000"/>
            </w:tcBorders>
            <w:noWrap/>
            <w:tcMar>
              <w:top w:w="12" w:type="dxa"/>
              <w:left w:w="12" w:type="dxa"/>
              <w:bottom w:w="0" w:type="dxa"/>
              <w:right w:w="12" w:type="dxa"/>
            </w:tcMar>
            <w:vAlign w:val="center"/>
          </w:tcPr>
          <w:p w14:paraId="45F7A3DA"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Corsica</w:t>
            </w:r>
          </w:p>
        </w:tc>
        <w:tc>
          <w:tcPr>
            <w:tcW w:w="395" w:type="pct"/>
            <w:tcBorders>
              <w:top w:val="single" w:sz="4" w:space="0" w:color="auto"/>
              <w:left w:val="single" w:sz="6" w:space="0" w:color="000000"/>
              <w:right w:val="single" w:sz="4" w:space="0" w:color="auto"/>
            </w:tcBorders>
            <w:noWrap/>
            <w:tcMar>
              <w:top w:w="12" w:type="dxa"/>
              <w:left w:w="12" w:type="dxa"/>
              <w:bottom w:w="0" w:type="dxa"/>
              <w:right w:w="12" w:type="dxa"/>
            </w:tcMar>
            <w:vAlign w:val="bottom"/>
          </w:tcPr>
          <w:p w14:paraId="45F7A3DB"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w:t>
            </w:r>
          </w:p>
        </w:tc>
        <w:tc>
          <w:tcPr>
            <w:tcW w:w="781" w:type="pct"/>
            <w:tcBorders>
              <w:top w:val="single" w:sz="4" w:space="0" w:color="auto"/>
              <w:left w:val="single" w:sz="4" w:space="0" w:color="auto"/>
            </w:tcBorders>
            <w:noWrap/>
            <w:tcMar>
              <w:top w:w="12" w:type="dxa"/>
              <w:left w:w="12" w:type="dxa"/>
              <w:bottom w:w="0" w:type="dxa"/>
              <w:right w:w="12" w:type="dxa"/>
            </w:tcMar>
            <w:vAlign w:val="bottom"/>
          </w:tcPr>
          <w:p w14:paraId="45F7A3DC"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5.7%</w:t>
            </w:r>
          </w:p>
        </w:tc>
        <w:tc>
          <w:tcPr>
            <w:tcW w:w="690" w:type="pct"/>
            <w:tcBorders>
              <w:top w:val="single" w:sz="4" w:space="0" w:color="auto"/>
            </w:tcBorders>
            <w:noWrap/>
            <w:tcMar>
              <w:top w:w="12" w:type="dxa"/>
              <w:left w:w="12" w:type="dxa"/>
              <w:bottom w:w="0" w:type="dxa"/>
              <w:right w:w="12" w:type="dxa"/>
            </w:tcMar>
            <w:vAlign w:val="bottom"/>
          </w:tcPr>
          <w:p w14:paraId="45F7A3DD"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9.8%</w:t>
            </w:r>
          </w:p>
        </w:tc>
        <w:tc>
          <w:tcPr>
            <w:tcW w:w="515" w:type="pct"/>
            <w:tcBorders>
              <w:top w:val="single" w:sz="4" w:space="0" w:color="auto"/>
            </w:tcBorders>
            <w:noWrap/>
            <w:tcMar>
              <w:top w:w="12" w:type="dxa"/>
              <w:left w:w="12" w:type="dxa"/>
              <w:bottom w:w="0" w:type="dxa"/>
              <w:right w:w="12" w:type="dxa"/>
            </w:tcMar>
            <w:vAlign w:val="bottom"/>
          </w:tcPr>
          <w:p w14:paraId="45F7A3DE"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9.2%</w:t>
            </w:r>
          </w:p>
        </w:tc>
        <w:tc>
          <w:tcPr>
            <w:tcW w:w="780" w:type="pct"/>
            <w:tcBorders>
              <w:top w:val="single" w:sz="4" w:space="0" w:color="auto"/>
            </w:tcBorders>
            <w:noWrap/>
            <w:tcMar>
              <w:top w:w="12" w:type="dxa"/>
              <w:left w:w="12" w:type="dxa"/>
              <w:bottom w:w="0" w:type="dxa"/>
              <w:right w:w="12" w:type="dxa"/>
            </w:tcMar>
            <w:vAlign w:val="bottom"/>
          </w:tcPr>
          <w:p w14:paraId="45F7A3DF"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5.0%</w:t>
            </w:r>
          </w:p>
        </w:tc>
        <w:tc>
          <w:tcPr>
            <w:tcW w:w="689" w:type="pct"/>
            <w:tcBorders>
              <w:top w:val="single" w:sz="4" w:space="0" w:color="auto"/>
            </w:tcBorders>
            <w:noWrap/>
            <w:tcMar>
              <w:top w:w="12" w:type="dxa"/>
              <w:left w:w="12" w:type="dxa"/>
              <w:bottom w:w="0" w:type="dxa"/>
              <w:right w:w="12" w:type="dxa"/>
            </w:tcMar>
            <w:vAlign w:val="bottom"/>
          </w:tcPr>
          <w:p w14:paraId="45F7A3E0"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10.4%</w:t>
            </w:r>
          </w:p>
        </w:tc>
        <w:tc>
          <w:tcPr>
            <w:tcW w:w="514" w:type="pct"/>
            <w:tcBorders>
              <w:top w:val="single" w:sz="4" w:space="0" w:color="auto"/>
            </w:tcBorders>
            <w:noWrap/>
            <w:tcMar>
              <w:top w:w="12" w:type="dxa"/>
              <w:left w:w="12" w:type="dxa"/>
              <w:bottom w:w="0" w:type="dxa"/>
              <w:right w:w="12" w:type="dxa"/>
            </w:tcMar>
            <w:vAlign w:val="bottom"/>
          </w:tcPr>
          <w:p w14:paraId="45F7A3E1"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14.5%</w:t>
            </w:r>
          </w:p>
        </w:tc>
      </w:tr>
      <w:tr w:rsidR="00EB5324" w14:paraId="45F7A3EB" w14:textId="77777777" w:rsidTr="00EB77A8">
        <w:trPr>
          <w:cantSplit/>
          <w:trHeight w:val="255"/>
        </w:trPr>
        <w:tc>
          <w:tcPr>
            <w:tcW w:w="636" w:type="pct"/>
            <w:vMerge/>
            <w:tcBorders>
              <w:right w:val="single" w:sz="6" w:space="0" w:color="000000"/>
            </w:tcBorders>
            <w:vAlign w:val="center"/>
          </w:tcPr>
          <w:p w14:paraId="45F7A3E3"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3E4"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w:t>
            </w:r>
          </w:p>
        </w:tc>
        <w:tc>
          <w:tcPr>
            <w:tcW w:w="781" w:type="pct"/>
            <w:tcBorders>
              <w:left w:val="single" w:sz="4" w:space="0" w:color="auto"/>
            </w:tcBorders>
            <w:noWrap/>
            <w:tcMar>
              <w:top w:w="12" w:type="dxa"/>
              <w:left w:w="12" w:type="dxa"/>
              <w:bottom w:w="0" w:type="dxa"/>
              <w:right w:w="12" w:type="dxa"/>
            </w:tcMar>
            <w:vAlign w:val="bottom"/>
          </w:tcPr>
          <w:p w14:paraId="45F7A3E5"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8.9%</w:t>
            </w:r>
          </w:p>
        </w:tc>
        <w:tc>
          <w:tcPr>
            <w:tcW w:w="690" w:type="pct"/>
            <w:noWrap/>
            <w:tcMar>
              <w:top w:w="12" w:type="dxa"/>
              <w:left w:w="12" w:type="dxa"/>
              <w:bottom w:w="0" w:type="dxa"/>
              <w:right w:w="12" w:type="dxa"/>
            </w:tcMar>
            <w:vAlign w:val="bottom"/>
          </w:tcPr>
          <w:p w14:paraId="45F7A3E6"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12.6%</w:t>
            </w:r>
          </w:p>
        </w:tc>
        <w:tc>
          <w:tcPr>
            <w:tcW w:w="515" w:type="pct"/>
            <w:noWrap/>
            <w:tcMar>
              <w:top w:w="12" w:type="dxa"/>
              <w:left w:w="12" w:type="dxa"/>
              <w:bottom w:w="0" w:type="dxa"/>
              <w:right w:w="12" w:type="dxa"/>
            </w:tcMar>
            <w:vAlign w:val="bottom"/>
          </w:tcPr>
          <w:p w14:paraId="45F7A3E7"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12.4%</w:t>
            </w:r>
          </w:p>
        </w:tc>
        <w:tc>
          <w:tcPr>
            <w:tcW w:w="780" w:type="pct"/>
            <w:noWrap/>
            <w:tcMar>
              <w:top w:w="12" w:type="dxa"/>
              <w:left w:w="12" w:type="dxa"/>
              <w:bottom w:w="0" w:type="dxa"/>
              <w:right w:w="12" w:type="dxa"/>
            </w:tcMar>
            <w:vAlign w:val="bottom"/>
          </w:tcPr>
          <w:p w14:paraId="45F7A3E8"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12.8%</w:t>
            </w:r>
          </w:p>
        </w:tc>
        <w:tc>
          <w:tcPr>
            <w:tcW w:w="689" w:type="pct"/>
            <w:noWrap/>
            <w:tcMar>
              <w:top w:w="12" w:type="dxa"/>
              <w:left w:w="12" w:type="dxa"/>
              <w:bottom w:w="0" w:type="dxa"/>
              <w:right w:w="12" w:type="dxa"/>
            </w:tcMar>
            <w:vAlign w:val="bottom"/>
          </w:tcPr>
          <w:p w14:paraId="45F7A3E9"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19.5%</w:t>
            </w:r>
          </w:p>
        </w:tc>
        <w:tc>
          <w:tcPr>
            <w:tcW w:w="514" w:type="pct"/>
            <w:noWrap/>
            <w:tcMar>
              <w:top w:w="12" w:type="dxa"/>
              <w:left w:w="12" w:type="dxa"/>
              <w:bottom w:w="0" w:type="dxa"/>
              <w:right w:w="12" w:type="dxa"/>
            </w:tcMar>
            <w:vAlign w:val="bottom"/>
          </w:tcPr>
          <w:p w14:paraId="45F7A3EA"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17.4%</w:t>
            </w:r>
          </w:p>
        </w:tc>
      </w:tr>
      <w:tr w:rsidR="00EB5324" w14:paraId="45F7A3F4" w14:textId="77777777" w:rsidTr="00EB77A8">
        <w:trPr>
          <w:cantSplit/>
          <w:trHeight w:val="255"/>
        </w:trPr>
        <w:tc>
          <w:tcPr>
            <w:tcW w:w="636" w:type="pct"/>
            <w:vMerge/>
            <w:tcBorders>
              <w:right w:val="single" w:sz="6" w:space="0" w:color="000000"/>
            </w:tcBorders>
            <w:vAlign w:val="center"/>
          </w:tcPr>
          <w:p w14:paraId="45F7A3EC"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3ED"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4</w:t>
            </w:r>
          </w:p>
        </w:tc>
        <w:tc>
          <w:tcPr>
            <w:tcW w:w="781" w:type="pct"/>
            <w:tcBorders>
              <w:left w:val="single" w:sz="4" w:space="0" w:color="auto"/>
            </w:tcBorders>
            <w:noWrap/>
            <w:tcMar>
              <w:top w:w="12" w:type="dxa"/>
              <w:left w:w="12" w:type="dxa"/>
              <w:bottom w:w="0" w:type="dxa"/>
              <w:right w:w="12" w:type="dxa"/>
            </w:tcMar>
            <w:vAlign w:val="bottom"/>
          </w:tcPr>
          <w:p w14:paraId="45F7A3EE"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12.1%</w:t>
            </w:r>
          </w:p>
        </w:tc>
        <w:tc>
          <w:tcPr>
            <w:tcW w:w="690" w:type="pct"/>
            <w:noWrap/>
            <w:tcMar>
              <w:top w:w="12" w:type="dxa"/>
              <w:left w:w="12" w:type="dxa"/>
              <w:bottom w:w="0" w:type="dxa"/>
              <w:right w:w="12" w:type="dxa"/>
            </w:tcMar>
            <w:vAlign w:val="bottom"/>
          </w:tcPr>
          <w:p w14:paraId="45F7A3EF"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19.5%</w:t>
            </w:r>
          </w:p>
        </w:tc>
        <w:tc>
          <w:tcPr>
            <w:tcW w:w="515" w:type="pct"/>
            <w:noWrap/>
            <w:tcMar>
              <w:top w:w="12" w:type="dxa"/>
              <w:left w:w="12" w:type="dxa"/>
              <w:bottom w:w="0" w:type="dxa"/>
              <w:right w:w="12" w:type="dxa"/>
            </w:tcMar>
            <w:vAlign w:val="bottom"/>
          </w:tcPr>
          <w:p w14:paraId="45F7A3F0"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18.1%</w:t>
            </w:r>
          </w:p>
        </w:tc>
        <w:tc>
          <w:tcPr>
            <w:tcW w:w="780" w:type="pct"/>
            <w:noWrap/>
            <w:tcMar>
              <w:top w:w="12" w:type="dxa"/>
              <w:left w:w="12" w:type="dxa"/>
              <w:bottom w:w="0" w:type="dxa"/>
              <w:right w:w="12" w:type="dxa"/>
            </w:tcMar>
            <w:vAlign w:val="bottom"/>
          </w:tcPr>
          <w:p w14:paraId="45F7A3F1"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30.5%</w:t>
            </w:r>
          </w:p>
        </w:tc>
        <w:tc>
          <w:tcPr>
            <w:tcW w:w="689" w:type="pct"/>
            <w:noWrap/>
            <w:tcMar>
              <w:top w:w="12" w:type="dxa"/>
              <w:left w:w="12" w:type="dxa"/>
              <w:bottom w:w="0" w:type="dxa"/>
              <w:right w:w="12" w:type="dxa"/>
            </w:tcMar>
            <w:vAlign w:val="bottom"/>
          </w:tcPr>
          <w:p w14:paraId="45F7A3F2"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43.9%</w:t>
            </w:r>
          </w:p>
        </w:tc>
        <w:tc>
          <w:tcPr>
            <w:tcW w:w="514" w:type="pct"/>
            <w:noWrap/>
            <w:tcMar>
              <w:top w:w="12" w:type="dxa"/>
              <w:left w:w="12" w:type="dxa"/>
              <w:bottom w:w="0" w:type="dxa"/>
              <w:right w:w="12" w:type="dxa"/>
            </w:tcMar>
            <w:vAlign w:val="bottom"/>
          </w:tcPr>
          <w:p w14:paraId="45F7A3F3"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33.9%</w:t>
            </w:r>
          </w:p>
        </w:tc>
      </w:tr>
      <w:tr w:rsidR="00EB5324" w14:paraId="45F7A3FD" w14:textId="77777777" w:rsidTr="00EB77A8">
        <w:trPr>
          <w:cantSplit/>
          <w:trHeight w:val="255"/>
        </w:trPr>
        <w:tc>
          <w:tcPr>
            <w:tcW w:w="636" w:type="pct"/>
            <w:vMerge/>
            <w:tcBorders>
              <w:right w:val="single" w:sz="6" w:space="0" w:color="000000"/>
            </w:tcBorders>
            <w:vAlign w:val="center"/>
          </w:tcPr>
          <w:p w14:paraId="45F7A3F5"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3F6"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5</w:t>
            </w:r>
          </w:p>
        </w:tc>
        <w:tc>
          <w:tcPr>
            <w:tcW w:w="781" w:type="pct"/>
            <w:tcBorders>
              <w:left w:val="single" w:sz="4" w:space="0" w:color="auto"/>
            </w:tcBorders>
            <w:noWrap/>
            <w:tcMar>
              <w:top w:w="12" w:type="dxa"/>
              <w:left w:w="12" w:type="dxa"/>
              <w:bottom w:w="0" w:type="dxa"/>
              <w:right w:w="12" w:type="dxa"/>
            </w:tcMar>
            <w:vAlign w:val="bottom"/>
          </w:tcPr>
          <w:p w14:paraId="45F7A3F7"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17.7%</w:t>
            </w:r>
          </w:p>
        </w:tc>
        <w:tc>
          <w:tcPr>
            <w:tcW w:w="690" w:type="pct"/>
            <w:noWrap/>
            <w:tcMar>
              <w:top w:w="12" w:type="dxa"/>
              <w:left w:w="12" w:type="dxa"/>
              <w:bottom w:w="0" w:type="dxa"/>
              <w:right w:w="12" w:type="dxa"/>
            </w:tcMar>
            <w:vAlign w:val="bottom"/>
          </w:tcPr>
          <w:p w14:paraId="45F7A3F8"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27.3%</w:t>
            </w:r>
          </w:p>
        </w:tc>
        <w:tc>
          <w:tcPr>
            <w:tcW w:w="515" w:type="pct"/>
            <w:noWrap/>
            <w:tcMar>
              <w:top w:w="12" w:type="dxa"/>
              <w:left w:w="12" w:type="dxa"/>
              <w:bottom w:w="0" w:type="dxa"/>
              <w:right w:w="12" w:type="dxa"/>
            </w:tcMar>
            <w:vAlign w:val="bottom"/>
          </w:tcPr>
          <w:p w14:paraId="45F7A3F9"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22.9%</w:t>
            </w:r>
          </w:p>
        </w:tc>
        <w:tc>
          <w:tcPr>
            <w:tcW w:w="780" w:type="pct"/>
            <w:noWrap/>
            <w:tcMar>
              <w:top w:w="12" w:type="dxa"/>
              <w:left w:w="12" w:type="dxa"/>
              <w:bottom w:w="0" w:type="dxa"/>
              <w:right w:w="12" w:type="dxa"/>
            </w:tcMar>
            <w:vAlign w:val="bottom"/>
          </w:tcPr>
          <w:p w14:paraId="45F7A3FA"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38.2%</w:t>
            </w:r>
          </w:p>
        </w:tc>
        <w:tc>
          <w:tcPr>
            <w:tcW w:w="689" w:type="pct"/>
            <w:noWrap/>
            <w:tcMar>
              <w:top w:w="12" w:type="dxa"/>
              <w:left w:w="12" w:type="dxa"/>
              <w:bottom w:w="0" w:type="dxa"/>
              <w:right w:w="12" w:type="dxa"/>
            </w:tcMar>
            <w:vAlign w:val="bottom"/>
          </w:tcPr>
          <w:p w14:paraId="45F7A3FB"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53.0%</w:t>
            </w:r>
          </w:p>
        </w:tc>
        <w:tc>
          <w:tcPr>
            <w:tcW w:w="514" w:type="pct"/>
            <w:noWrap/>
            <w:tcMar>
              <w:top w:w="12" w:type="dxa"/>
              <w:left w:w="12" w:type="dxa"/>
              <w:bottom w:w="0" w:type="dxa"/>
              <w:right w:w="12" w:type="dxa"/>
            </w:tcMar>
            <w:vAlign w:val="bottom"/>
          </w:tcPr>
          <w:p w14:paraId="45F7A3FC"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43.1%</w:t>
            </w:r>
          </w:p>
        </w:tc>
      </w:tr>
      <w:tr w:rsidR="00EB5324" w14:paraId="45F7A406" w14:textId="77777777" w:rsidTr="00EB77A8">
        <w:trPr>
          <w:cantSplit/>
          <w:trHeight w:val="255"/>
        </w:trPr>
        <w:tc>
          <w:tcPr>
            <w:tcW w:w="636" w:type="pct"/>
            <w:vMerge/>
            <w:tcBorders>
              <w:bottom w:val="single" w:sz="4" w:space="0" w:color="auto"/>
              <w:right w:val="single" w:sz="6" w:space="0" w:color="000000"/>
            </w:tcBorders>
            <w:vAlign w:val="center"/>
          </w:tcPr>
          <w:p w14:paraId="45F7A3FE"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bottom w:val="single" w:sz="4" w:space="0" w:color="auto"/>
              <w:right w:val="single" w:sz="4" w:space="0" w:color="auto"/>
            </w:tcBorders>
            <w:noWrap/>
            <w:tcMar>
              <w:top w:w="12" w:type="dxa"/>
              <w:left w:w="12" w:type="dxa"/>
              <w:bottom w:w="0" w:type="dxa"/>
              <w:right w:w="12" w:type="dxa"/>
            </w:tcMar>
            <w:vAlign w:val="bottom"/>
          </w:tcPr>
          <w:p w14:paraId="45F7A3FF"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Total</w:t>
            </w:r>
          </w:p>
        </w:tc>
        <w:tc>
          <w:tcPr>
            <w:tcW w:w="781" w:type="pct"/>
            <w:tcBorders>
              <w:left w:val="single" w:sz="4" w:space="0" w:color="auto"/>
              <w:bottom w:val="single" w:sz="4" w:space="0" w:color="auto"/>
            </w:tcBorders>
            <w:noWrap/>
            <w:tcMar>
              <w:top w:w="12" w:type="dxa"/>
              <w:left w:w="12" w:type="dxa"/>
              <w:bottom w:w="0" w:type="dxa"/>
              <w:right w:w="12" w:type="dxa"/>
            </w:tcMar>
            <w:vAlign w:val="bottom"/>
          </w:tcPr>
          <w:p w14:paraId="45F7A400"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9.7%</w:t>
            </w:r>
          </w:p>
        </w:tc>
        <w:tc>
          <w:tcPr>
            <w:tcW w:w="690" w:type="pct"/>
            <w:tcBorders>
              <w:bottom w:val="single" w:sz="4" w:space="0" w:color="auto"/>
            </w:tcBorders>
            <w:noWrap/>
            <w:tcMar>
              <w:top w:w="12" w:type="dxa"/>
              <w:left w:w="12" w:type="dxa"/>
              <w:bottom w:w="0" w:type="dxa"/>
              <w:right w:w="12" w:type="dxa"/>
            </w:tcMar>
            <w:vAlign w:val="bottom"/>
          </w:tcPr>
          <w:p w14:paraId="45F7A401"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14.1%</w:t>
            </w:r>
          </w:p>
        </w:tc>
        <w:tc>
          <w:tcPr>
            <w:tcW w:w="515" w:type="pct"/>
            <w:tcBorders>
              <w:bottom w:val="single" w:sz="4" w:space="0" w:color="auto"/>
            </w:tcBorders>
            <w:noWrap/>
            <w:tcMar>
              <w:top w:w="12" w:type="dxa"/>
              <w:left w:w="12" w:type="dxa"/>
              <w:bottom w:w="0" w:type="dxa"/>
              <w:right w:w="12" w:type="dxa"/>
            </w:tcMar>
            <w:vAlign w:val="bottom"/>
          </w:tcPr>
          <w:p w14:paraId="45F7A402"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13.7%</w:t>
            </w:r>
          </w:p>
        </w:tc>
        <w:tc>
          <w:tcPr>
            <w:tcW w:w="780" w:type="pct"/>
            <w:tcBorders>
              <w:bottom w:val="single" w:sz="4" w:space="0" w:color="auto"/>
            </w:tcBorders>
            <w:noWrap/>
            <w:tcMar>
              <w:top w:w="12" w:type="dxa"/>
              <w:left w:w="12" w:type="dxa"/>
              <w:bottom w:w="0" w:type="dxa"/>
              <w:right w:w="12" w:type="dxa"/>
            </w:tcMar>
            <w:vAlign w:val="bottom"/>
          </w:tcPr>
          <w:p w14:paraId="45F7A403"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15.7%</w:t>
            </w:r>
          </w:p>
        </w:tc>
        <w:tc>
          <w:tcPr>
            <w:tcW w:w="689" w:type="pct"/>
            <w:tcBorders>
              <w:bottom w:val="single" w:sz="4" w:space="0" w:color="auto"/>
            </w:tcBorders>
            <w:noWrap/>
            <w:tcMar>
              <w:top w:w="12" w:type="dxa"/>
              <w:left w:w="12" w:type="dxa"/>
              <w:bottom w:w="0" w:type="dxa"/>
              <w:right w:w="12" w:type="dxa"/>
            </w:tcMar>
            <w:vAlign w:val="bottom"/>
          </w:tcPr>
          <w:p w14:paraId="45F7A404"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24.1%</w:t>
            </w:r>
          </w:p>
        </w:tc>
        <w:tc>
          <w:tcPr>
            <w:tcW w:w="514" w:type="pct"/>
            <w:tcBorders>
              <w:bottom w:val="single" w:sz="4" w:space="0" w:color="auto"/>
            </w:tcBorders>
            <w:noWrap/>
            <w:tcMar>
              <w:top w:w="12" w:type="dxa"/>
              <w:left w:w="12" w:type="dxa"/>
              <w:bottom w:w="0" w:type="dxa"/>
              <w:right w:w="12" w:type="dxa"/>
            </w:tcMar>
            <w:vAlign w:val="bottom"/>
          </w:tcPr>
          <w:p w14:paraId="45F7A405"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21.9%</w:t>
            </w:r>
          </w:p>
        </w:tc>
      </w:tr>
      <w:tr w:rsidR="00EB5324" w14:paraId="45F7A40F" w14:textId="77777777" w:rsidTr="00EB77A8">
        <w:trPr>
          <w:cantSplit/>
          <w:trHeight w:val="255"/>
        </w:trPr>
        <w:tc>
          <w:tcPr>
            <w:tcW w:w="636" w:type="pct"/>
            <w:vMerge w:val="restart"/>
            <w:tcBorders>
              <w:top w:val="single" w:sz="4" w:space="0" w:color="auto"/>
              <w:right w:val="single" w:sz="6" w:space="0" w:color="000000"/>
            </w:tcBorders>
            <w:noWrap/>
            <w:tcMar>
              <w:top w:w="12" w:type="dxa"/>
              <w:left w:w="12" w:type="dxa"/>
              <w:bottom w:w="0" w:type="dxa"/>
              <w:right w:w="12" w:type="dxa"/>
            </w:tcMar>
            <w:vAlign w:val="center"/>
          </w:tcPr>
          <w:p w14:paraId="45F7A407"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Balearics</w:t>
            </w:r>
          </w:p>
        </w:tc>
        <w:tc>
          <w:tcPr>
            <w:tcW w:w="395" w:type="pct"/>
            <w:tcBorders>
              <w:top w:val="single" w:sz="4" w:space="0" w:color="auto"/>
              <w:left w:val="single" w:sz="6" w:space="0" w:color="000000"/>
              <w:right w:val="single" w:sz="4" w:space="0" w:color="auto"/>
            </w:tcBorders>
            <w:noWrap/>
            <w:tcMar>
              <w:top w:w="12" w:type="dxa"/>
              <w:left w:w="12" w:type="dxa"/>
              <w:bottom w:w="0" w:type="dxa"/>
              <w:right w:w="12" w:type="dxa"/>
            </w:tcMar>
            <w:vAlign w:val="bottom"/>
          </w:tcPr>
          <w:p w14:paraId="45F7A408"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w:t>
            </w:r>
          </w:p>
        </w:tc>
        <w:tc>
          <w:tcPr>
            <w:tcW w:w="781" w:type="pct"/>
            <w:tcBorders>
              <w:top w:val="single" w:sz="4" w:space="0" w:color="auto"/>
              <w:left w:val="single" w:sz="4" w:space="0" w:color="auto"/>
            </w:tcBorders>
            <w:noWrap/>
            <w:tcMar>
              <w:top w:w="12" w:type="dxa"/>
              <w:left w:w="12" w:type="dxa"/>
              <w:bottom w:w="0" w:type="dxa"/>
              <w:right w:w="12" w:type="dxa"/>
            </w:tcMar>
            <w:vAlign w:val="bottom"/>
          </w:tcPr>
          <w:p w14:paraId="45F7A409"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5.2%</w:t>
            </w:r>
          </w:p>
        </w:tc>
        <w:tc>
          <w:tcPr>
            <w:tcW w:w="690" w:type="pct"/>
            <w:tcBorders>
              <w:top w:val="single" w:sz="4" w:space="0" w:color="auto"/>
            </w:tcBorders>
            <w:noWrap/>
            <w:tcMar>
              <w:top w:w="12" w:type="dxa"/>
              <w:left w:w="12" w:type="dxa"/>
              <w:bottom w:w="0" w:type="dxa"/>
              <w:right w:w="12" w:type="dxa"/>
            </w:tcMar>
            <w:vAlign w:val="bottom"/>
          </w:tcPr>
          <w:p w14:paraId="45F7A40A"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8.9%</w:t>
            </w:r>
          </w:p>
        </w:tc>
        <w:tc>
          <w:tcPr>
            <w:tcW w:w="515" w:type="pct"/>
            <w:tcBorders>
              <w:top w:val="single" w:sz="4" w:space="0" w:color="auto"/>
            </w:tcBorders>
            <w:noWrap/>
            <w:tcMar>
              <w:top w:w="12" w:type="dxa"/>
              <w:left w:w="12" w:type="dxa"/>
              <w:bottom w:w="0" w:type="dxa"/>
              <w:right w:w="12" w:type="dxa"/>
            </w:tcMar>
            <w:vAlign w:val="bottom"/>
          </w:tcPr>
          <w:p w14:paraId="45F7A40B"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9.7%</w:t>
            </w:r>
          </w:p>
        </w:tc>
        <w:tc>
          <w:tcPr>
            <w:tcW w:w="780" w:type="pct"/>
            <w:tcBorders>
              <w:top w:val="single" w:sz="4" w:space="0" w:color="auto"/>
            </w:tcBorders>
            <w:noWrap/>
            <w:tcMar>
              <w:top w:w="12" w:type="dxa"/>
              <w:left w:w="12" w:type="dxa"/>
              <w:bottom w:w="0" w:type="dxa"/>
              <w:right w:w="12" w:type="dxa"/>
            </w:tcMar>
            <w:vAlign w:val="bottom"/>
          </w:tcPr>
          <w:p w14:paraId="45F7A40C"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3.3%</w:t>
            </w:r>
          </w:p>
        </w:tc>
        <w:tc>
          <w:tcPr>
            <w:tcW w:w="689" w:type="pct"/>
            <w:tcBorders>
              <w:top w:val="single" w:sz="4" w:space="0" w:color="auto"/>
            </w:tcBorders>
            <w:noWrap/>
            <w:tcMar>
              <w:top w:w="12" w:type="dxa"/>
              <w:left w:w="12" w:type="dxa"/>
              <w:bottom w:w="0" w:type="dxa"/>
              <w:right w:w="12" w:type="dxa"/>
            </w:tcMar>
            <w:vAlign w:val="bottom"/>
          </w:tcPr>
          <w:p w14:paraId="45F7A40D"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8.1%</w:t>
            </w:r>
          </w:p>
        </w:tc>
        <w:tc>
          <w:tcPr>
            <w:tcW w:w="514" w:type="pct"/>
            <w:tcBorders>
              <w:top w:val="single" w:sz="4" w:space="0" w:color="auto"/>
            </w:tcBorders>
            <w:noWrap/>
            <w:tcMar>
              <w:top w:w="12" w:type="dxa"/>
              <w:left w:w="12" w:type="dxa"/>
              <w:bottom w:w="0" w:type="dxa"/>
              <w:right w:w="12" w:type="dxa"/>
            </w:tcMar>
            <w:vAlign w:val="bottom"/>
          </w:tcPr>
          <w:p w14:paraId="45F7A40E"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9.3%</w:t>
            </w:r>
          </w:p>
        </w:tc>
      </w:tr>
      <w:tr w:rsidR="00EB5324" w14:paraId="45F7A418" w14:textId="77777777" w:rsidTr="00EB77A8">
        <w:trPr>
          <w:cantSplit/>
          <w:trHeight w:val="255"/>
        </w:trPr>
        <w:tc>
          <w:tcPr>
            <w:tcW w:w="636" w:type="pct"/>
            <w:vMerge/>
            <w:tcBorders>
              <w:right w:val="single" w:sz="6" w:space="0" w:color="000000"/>
            </w:tcBorders>
            <w:vAlign w:val="center"/>
          </w:tcPr>
          <w:p w14:paraId="45F7A410"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411"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w:t>
            </w:r>
          </w:p>
        </w:tc>
        <w:tc>
          <w:tcPr>
            <w:tcW w:w="781" w:type="pct"/>
            <w:tcBorders>
              <w:left w:val="single" w:sz="4" w:space="0" w:color="auto"/>
            </w:tcBorders>
            <w:noWrap/>
            <w:tcMar>
              <w:top w:w="12" w:type="dxa"/>
              <w:left w:w="12" w:type="dxa"/>
              <w:bottom w:w="0" w:type="dxa"/>
              <w:right w:w="12" w:type="dxa"/>
            </w:tcMar>
            <w:vAlign w:val="bottom"/>
          </w:tcPr>
          <w:p w14:paraId="45F7A412"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7.8%</w:t>
            </w:r>
          </w:p>
        </w:tc>
        <w:tc>
          <w:tcPr>
            <w:tcW w:w="690" w:type="pct"/>
            <w:noWrap/>
            <w:tcMar>
              <w:top w:w="12" w:type="dxa"/>
              <w:left w:w="12" w:type="dxa"/>
              <w:bottom w:w="0" w:type="dxa"/>
              <w:right w:w="12" w:type="dxa"/>
            </w:tcMar>
            <w:vAlign w:val="bottom"/>
          </w:tcPr>
          <w:p w14:paraId="45F7A413"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10.2%</w:t>
            </w:r>
          </w:p>
        </w:tc>
        <w:tc>
          <w:tcPr>
            <w:tcW w:w="515" w:type="pct"/>
            <w:noWrap/>
            <w:tcMar>
              <w:top w:w="12" w:type="dxa"/>
              <w:left w:w="12" w:type="dxa"/>
              <w:bottom w:w="0" w:type="dxa"/>
              <w:right w:w="12" w:type="dxa"/>
            </w:tcMar>
            <w:vAlign w:val="bottom"/>
          </w:tcPr>
          <w:p w14:paraId="45F7A414"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14.6%</w:t>
            </w:r>
          </w:p>
        </w:tc>
        <w:tc>
          <w:tcPr>
            <w:tcW w:w="780" w:type="pct"/>
            <w:noWrap/>
            <w:tcMar>
              <w:top w:w="12" w:type="dxa"/>
              <w:left w:w="12" w:type="dxa"/>
              <w:bottom w:w="0" w:type="dxa"/>
              <w:right w:w="12" w:type="dxa"/>
            </w:tcMar>
            <w:vAlign w:val="bottom"/>
          </w:tcPr>
          <w:p w14:paraId="45F7A415"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5.9%</w:t>
            </w:r>
          </w:p>
        </w:tc>
        <w:tc>
          <w:tcPr>
            <w:tcW w:w="689" w:type="pct"/>
            <w:noWrap/>
            <w:tcMar>
              <w:top w:w="12" w:type="dxa"/>
              <w:left w:w="12" w:type="dxa"/>
              <w:bottom w:w="0" w:type="dxa"/>
              <w:right w:w="12" w:type="dxa"/>
            </w:tcMar>
            <w:vAlign w:val="bottom"/>
          </w:tcPr>
          <w:p w14:paraId="45F7A416"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12.0%</w:t>
            </w:r>
          </w:p>
        </w:tc>
        <w:tc>
          <w:tcPr>
            <w:tcW w:w="514" w:type="pct"/>
            <w:noWrap/>
            <w:tcMar>
              <w:top w:w="12" w:type="dxa"/>
              <w:left w:w="12" w:type="dxa"/>
              <w:bottom w:w="0" w:type="dxa"/>
              <w:right w:w="12" w:type="dxa"/>
            </w:tcMar>
            <w:vAlign w:val="bottom"/>
          </w:tcPr>
          <w:p w14:paraId="45F7A417"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12.2%</w:t>
            </w:r>
          </w:p>
        </w:tc>
      </w:tr>
      <w:tr w:rsidR="00EB5324" w14:paraId="45F7A421" w14:textId="77777777" w:rsidTr="00EB77A8">
        <w:trPr>
          <w:cantSplit/>
          <w:trHeight w:val="255"/>
        </w:trPr>
        <w:tc>
          <w:tcPr>
            <w:tcW w:w="636" w:type="pct"/>
            <w:vMerge/>
            <w:tcBorders>
              <w:right w:val="single" w:sz="6" w:space="0" w:color="000000"/>
            </w:tcBorders>
            <w:vAlign w:val="center"/>
          </w:tcPr>
          <w:p w14:paraId="45F7A419"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41A"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w:t>
            </w:r>
          </w:p>
        </w:tc>
        <w:tc>
          <w:tcPr>
            <w:tcW w:w="781" w:type="pct"/>
            <w:tcBorders>
              <w:left w:val="single" w:sz="4" w:space="0" w:color="auto"/>
            </w:tcBorders>
            <w:noWrap/>
            <w:tcMar>
              <w:top w:w="12" w:type="dxa"/>
              <w:left w:w="12" w:type="dxa"/>
              <w:bottom w:w="0" w:type="dxa"/>
              <w:right w:w="12" w:type="dxa"/>
            </w:tcMar>
            <w:vAlign w:val="bottom"/>
          </w:tcPr>
          <w:p w14:paraId="45F7A41B"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11.7%</w:t>
            </w:r>
          </w:p>
        </w:tc>
        <w:tc>
          <w:tcPr>
            <w:tcW w:w="690" w:type="pct"/>
            <w:noWrap/>
            <w:tcMar>
              <w:top w:w="12" w:type="dxa"/>
              <w:left w:w="12" w:type="dxa"/>
              <w:bottom w:w="0" w:type="dxa"/>
              <w:right w:w="12" w:type="dxa"/>
            </w:tcMar>
            <w:vAlign w:val="bottom"/>
          </w:tcPr>
          <w:p w14:paraId="45F7A41C"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15.5%</w:t>
            </w:r>
          </w:p>
        </w:tc>
        <w:tc>
          <w:tcPr>
            <w:tcW w:w="515" w:type="pct"/>
            <w:noWrap/>
            <w:tcMar>
              <w:top w:w="12" w:type="dxa"/>
              <w:left w:w="12" w:type="dxa"/>
              <w:bottom w:w="0" w:type="dxa"/>
              <w:right w:w="12" w:type="dxa"/>
            </w:tcMar>
            <w:vAlign w:val="bottom"/>
          </w:tcPr>
          <w:p w14:paraId="45F7A41D"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20.2%</w:t>
            </w:r>
          </w:p>
        </w:tc>
        <w:tc>
          <w:tcPr>
            <w:tcW w:w="780" w:type="pct"/>
            <w:noWrap/>
            <w:tcMar>
              <w:top w:w="12" w:type="dxa"/>
              <w:left w:w="12" w:type="dxa"/>
              <w:bottom w:w="0" w:type="dxa"/>
              <w:right w:w="12" w:type="dxa"/>
            </w:tcMar>
            <w:vAlign w:val="bottom"/>
          </w:tcPr>
          <w:p w14:paraId="45F7A41E"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10.3%</w:t>
            </w:r>
          </w:p>
        </w:tc>
        <w:tc>
          <w:tcPr>
            <w:tcW w:w="689" w:type="pct"/>
            <w:noWrap/>
            <w:tcMar>
              <w:top w:w="12" w:type="dxa"/>
              <w:left w:w="12" w:type="dxa"/>
              <w:bottom w:w="0" w:type="dxa"/>
              <w:right w:w="12" w:type="dxa"/>
            </w:tcMar>
            <w:vAlign w:val="bottom"/>
          </w:tcPr>
          <w:p w14:paraId="45F7A41F"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14.7%</w:t>
            </w:r>
          </w:p>
        </w:tc>
        <w:tc>
          <w:tcPr>
            <w:tcW w:w="514" w:type="pct"/>
            <w:noWrap/>
            <w:tcMar>
              <w:top w:w="12" w:type="dxa"/>
              <w:left w:w="12" w:type="dxa"/>
              <w:bottom w:w="0" w:type="dxa"/>
              <w:right w:w="12" w:type="dxa"/>
            </w:tcMar>
            <w:vAlign w:val="bottom"/>
          </w:tcPr>
          <w:p w14:paraId="45F7A420"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14.2%</w:t>
            </w:r>
          </w:p>
        </w:tc>
      </w:tr>
      <w:tr w:rsidR="00EB5324" w14:paraId="45F7A42A" w14:textId="77777777" w:rsidTr="00EB77A8">
        <w:trPr>
          <w:cantSplit/>
          <w:trHeight w:val="255"/>
        </w:trPr>
        <w:tc>
          <w:tcPr>
            <w:tcW w:w="636" w:type="pct"/>
            <w:vMerge/>
            <w:tcBorders>
              <w:right w:val="single" w:sz="6" w:space="0" w:color="000000"/>
            </w:tcBorders>
            <w:vAlign w:val="center"/>
          </w:tcPr>
          <w:p w14:paraId="45F7A422"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423"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4</w:t>
            </w:r>
          </w:p>
        </w:tc>
        <w:tc>
          <w:tcPr>
            <w:tcW w:w="781" w:type="pct"/>
            <w:tcBorders>
              <w:left w:val="single" w:sz="4" w:space="0" w:color="auto"/>
            </w:tcBorders>
            <w:noWrap/>
            <w:tcMar>
              <w:top w:w="12" w:type="dxa"/>
              <w:left w:w="12" w:type="dxa"/>
              <w:bottom w:w="0" w:type="dxa"/>
              <w:right w:w="12" w:type="dxa"/>
            </w:tcMar>
            <w:vAlign w:val="bottom"/>
          </w:tcPr>
          <w:p w14:paraId="45F7A424"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17.3%</w:t>
            </w:r>
          </w:p>
        </w:tc>
        <w:tc>
          <w:tcPr>
            <w:tcW w:w="690" w:type="pct"/>
            <w:noWrap/>
            <w:tcMar>
              <w:top w:w="12" w:type="dxa"/>
              <w:left w:w="12" w:type="dxa"/>
              <w:bottom w:w="0" w:type="dxa"/>
              <w:right w:w="12" w:type="dxa"/>
            </w:tcMar>
            <w:vAlign w:val="bottom"/>
          </w:tcPr>
          <w:p w14:paraId="45F7A425"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21.7%</w:t>
            </w:r>
          </w:p>
        </w:tc>
        <w:tc>
          <w:tcPr>
            <w:tcW w:w="515" w:type="pct"/>
            <w:noWrap/>
            <w:tcMar>
              <w:top w:w="12" w:type="dxa"/>
              <w:left w:w="12" w:type="dxa"/>
              <w:bottom w:w="0" w:type="dxa"/>
              <w:right w:w="12" w:type="dxa"/>
            </w:tcMar>
            <w:vAlign w:val="bottom"/>
          </w:tcPr>
          <w:p w14:paraId="45F7A426"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21.4%</w:t>
            </w:r>
          </w:p>
        </w:tc>
        <w:tc>
          <w:tcPr>
            <w:tcW w:w="780" w:type="pct"/>
            <w:noWrap/>
            <w:tcMar>
              <w:top w:w="12" w:type="dxa"/>
              <w:left w:w="12" w:type="dxa"/>
              <w:bottom w:w="0" w:type="dxa"/>
              <w:right w:w="12" w:type="dxa"/>
            </w:tcMar>
            <w:vAlign w:val="bottom"/>
          </w:tcPr>
          <w:p w14:paraId="45F7A427"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20.4%</w:t>
            </w:r>
          </w:p>
        </w:tc>
        <w:tc>
          <w:tcPr>
            <w:tcW w:w="689" w:type="pct"/>
            <w:noWrap/>
            <w:tcMar>
              <w:top w:w="12" w:type="dxa"/>
              <w:left w:w="12" w:type="dxa"/>
              <w:bottom w:w="0" w:type="dxa"/>
              <w:right w:w="12" w:type="dxa"/>
            </w:tcMar>
            <w:vAlign w:val="bottom"/>
          </w:tcPr>
          <w:p w14:paraId="45F7A428"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25.1%</w:t>
            </w:r>
          </w:p>
        </w:tc>
        <w:tc>
          <w:tcPr>
            <w:tcW w:w="514" w:type="pct"/>
            <w:noWrap/>
            <w:tcMar>
              <w:top w:w="12" w:type="dxa"/>
              <w:left w:w="12" w:type="dxa"/>
              <w:bottom w:w="0" w:type="dxa"/>
              <w:right w:w="12" w:type="dxa"/>
            </w:tcMar>
            <w:vAlign w:val="bottom"/>
          </w:tcPr>
          <w:p w14:paraId="45F7A429"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23.4%</w:t>
            </w:r>
          </w:p>
        </w:tc>
      </w:tr>
      <w:tr w:rsidR="00EB5324" w14:paraId="45F7A433" w14:textId="77777777" w:rsidTr="00EB77A8">
        <w:trPr>
          <w:cantSplit/>
          <w:trHeight w:val="255"/>
        </w:trPr>
        <w:tc>
          <w:tcPr>
            <w:tcW w:w="636" w:type="pct"/>
            <w:vMerge/>
            <w:tcBorders>
              <w:right w:val="single" w:sz="6" w:space="0" w:color="000000"/>
            </w:tcBorders>
            <w:vAlign w:val="center"/>
          </w:tcPr>
          <w:p w14:paraId="45F7A42B"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right w:val="single" w:sz="4" w:space="0" w:color="auto"/>
            </w:tcBorders>
            <w:noWrap/>
            <w:tcMar>
              <w:top w:w="12" w:type="dxa"/>
              <w:left w:w="12" w:type="dxa"/>
              <w:bottom w:w="0" w:type="dxa"/>
              <w:right w:w="12" w:type="dxa"/>
            </w:tcMar>
            <w:vAlign w:val="bottom"/>
          </w:tcPr>
          <w:p w14:paraId="45F7A42C"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5</w:t>
            </w:r>
          </w:p>
        </w:tc>
        <w:tc>
          <w:tcPr>
            <w:tcW w:w="781" w:type="pct"/>
            <w:tcBorders>
              <w:left w:val="single" w:sz="4" w:space="0" w:color="auto"/>
            </w:tcBorders>
            <w:noWrap/>
            <w:tcMar>
              <w:top w:w="12" w:type="dxa"/>
              <w:left w:w="12" w:type="dxa"/>
              <w:bottom w:w="0" w:type="dxa"/>
              <w:right w:w="12" w:type="dxa"/>
            </w:tcMar>
            <w:vAlign w:val="bottom"/>
          </w:tcPr>
          <w:p w14:paraId="45F7A42D"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22.1%</w:t>
            </w:r>
          </w:p>
        </w:tc>
        <w:tc>
          <w:tcPr>
            <w:tcW w:w="690" w:type="pct"/>
            <w:noWrap/>
            <w:tcMar>
              <w:top w:w="12" w:type="dxa"/>
              <w:left w:w="12" w:type="dxa"/>
              <w:bottom w:w="0" w:type="dxa"/>
              <w:right w:w="12" w:type="dxa"/>
            </w:tcMar>
            <w:vAlign w:val="bottom"/>
          </w:tcPr>
          <w:p w14:paraId="45F7A42E"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27.0%</w:t>
            </w:r>
          </w:p>
        </w:tc>
        <w:tc>
          <w:tcPr>
            <w:tcW w:w="515" w:type="pct"/>
            <w:noWrap/>
            <w:tcMar>
              <w:top w:w="12" w:type="dxa"/>
              <w:left w:w="12" w:type="dxa"/>
              <w:bottom w:w="0" w:type="dxa"/>
              <w:right w:w="12" w:type="dxa"/>
            </w:tcMar>
            <w:vAlign w:val="bottom"/>
          </w:tcPr>
          <w:p w14:paraId="45F7A42F"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22.5%</w:t>
            </w:r>
          </w:p>
        </w:tc>
        <w:tc>
          <w:tcPr>
            <w:tcW w:w="780" w:type="pct"/>
            <w:noWrap/>
            <w:tcMar>
              <w:top w:w="12" w:type="dxa"/>
              <w:left w:w="12" w:type="dxa"/>
              <w:bottom w:w="0" w:type="dxa"/>
              <w:right w:w="12" w:type="dxa"/>
            </w:tcMar>
            <w:vAlign w:val="bottom"/>
          </w:tcPr>
          <w:p w14:paraId="45F7A430"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33.3%</w:t>
            </w:r>
          </w:p>
        </w:tc>
        <w:tc>
          <w:tcPr>
            <w:tcW w:w="689" w:type="pct"/>
            <w:noWrap/>
            <w:tcMar>
              <w:top w:w="12" w:type="dxa"/>
              <w:left w:w="12" w:type="dxa"/>
              <w:bottom w:w="0" w:type="dxa"/>
              <w:right w:w="12" w:type="dxa"/>
            </w:tcMar>
            <w:vAlign w:val="bottom"/>
          </w:tcPr>
          <w:p w14:paraId="45F7A431"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45.6%</w:t>
            </w:r>
          </w:p>
        </w:tc>
        <w:tc>
          <w:tcPr>
            <w:tcW w:w="514" w:type="pct"/>
            <w:noWrap/>
            <w:tcMar>
              <w:top w:w="12" w:type="dxa"/>
              <w:left w:w="12" w:type="dxa"/>
              <w:bottom w:w="0" w:type="dxa"/>
              <w:right w:w="12" w:type="dxa"/>
            </w:tcMar>
            <w:vAlign w:val="bottom"/>
          </w:tcPr>
          <w:p w14:paraId="45F7A432"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40.0%</w:t>
            </w:r>
          </w:p>
        </w:tc>
      </w:tr>
      <w:tr w:rsidR="00EB5324" w14:paraId="45F7A43C" w14:textId="77777777" w:rsidTr="00EB77A8">
        <w:trPr>
          <w:cantSplit/>
          <w:trHeight w:val="255"/>
        </w:trPr>
        <w:tc>
          <w:tcPr>
            <w:tcW w:w="636" w:type="pct"/>
            <w:vMerge/>
            <w:tcBorders>
              <w:right w:val="single" w:sz="6" w:space="0" w:color="000000"/>
            </w:tcBorders>
            <w:vAlign w:val="center"/>
          </w:tcPr>
          <w:p w14:paraId="45F7A434" w14:textId="77777777" w:rsidR="00EB5324" w:rsidRDefault="00EB5324" w:rsidP="00EB5324">
            <w:pPr>
              <w:spacing w:before="0" w:line="240" w:lineRule="auto"/>
              <w:ind w:firstLine="0"/>
              <w:jc w:val="center"/>
              <w:rPr>
                <w:rFonts w:ascii="Arial" w:hAnsi="Arial" w:cs="Arial"/>
                <w:sz w:val="20"/>
                <w:szCs w:val="20"/>
              </w:rPr>
            </w:pPr>
          </w:p>
        </w:tc>
        <w:tc>
          <w:tcPr>
            <w:tcW w:w="395" w:type="pct"/>
            <w:tcBorders>
              <w:left w:val="single" w:sz="6" w:space="0" w:color="000000"/>
              <w:bottom w:val="single" w:sz="12" w:space="0" w:color="000000"/>
              <w:right w:val="single" w:sz="4" w:space="0" w:color="auto"/>
            </w:tcBorders>
            <w:noWrap/>
            <w:tcMar>
              <w:top w:w="12" w:type="dxa"/>
              <w:left w:w="12" w:type="dxa"/>
              <w:bottom w:w="0" w:type="dxa"/>
              <w:right w:w="12" w:type="dxa"/>
            </w:tcMar>
            <w:vAlign w:val="bottom"/>
          </w:tcPr>
          <w:p w14:paraId="45F7A435"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Total</w:t>
            </w:r>
          </w:p>
        </w:tc>
        <w:tc>
          <w:tcPr>
            <w:tcW w:w="781" w:type="pct"/>
            <w:tcBorders>
              <w:left w:val="single" w:sz="4" w:space="0" w:color="auto"/>
            </w:tcBorders>
            <w:noWrap/>
            <w:tcMar>
              <w:top w:w="12" w:type="dxa"/>
              <w:left w:w="12" w:type="dxa"/>
              <w:bottom w:w="0" w:type="dxa"/>
              <w:right w:w="12" w:type="dxa"/>
            </w:tcMar>
            <w:vAlign w:val="bottom"/>
          </w:tcPr>
          <w:p w14:paraId="45F7A436"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13.3%</w:t>
            </w:r>
          </w:p>
        </w:tc>
        <w:tc>
          <w:tcPr>
            <w:tcW w:w="690" w:type="pct"/>
            <w:noWrap/>
            <w:tcMar>
              <w:top w:w="12" w:type="dxa"/>
              <w:left w:w="12" w:type="dxa"/>
              <w:bottom w:w="0" w:type="dxa"/>
              <w:right w:w="12" w:type="dxa"/>
            </w:tcMar>
            <w:vAlign w:val="bottom"/>
          </w:tcPr>
          <w:p w14:paraId="45F7A437"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18.4%</w:t>
            </w:r>
          </w:p>
        </w:tc>
        <w:tc>
          <w:tcPr>
            <w:tcW w:w="515" w:type="pct"/>
            <w:noWrap/>
            <w:tcMar>
              <w:top w:w="12" w:type="dxa"/>
              <w:left w:w="12" w:type="dxa"/>
              <w:bottom w:w="0" w:type="dxa"/>
              <w:right w:w="12" w:type="dxa"/>
            </w:tcMar>
            <w:vAlign w:val="bottom"/>
          </w:tcPr>
          <w:p w14:paraId="45F7A438"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19.2%</w:t>
            </w:r>
          </w:p>
        </w:tc>
        <w:tc>
          <w:tcPr>
            <w:tcW w:w="780" w:type="pct"/>
            <w:noWrap/>
            <w:tcMar>
              <w:top w:w="12" w:type="dxa"/>
              <w:left w:w="12" w:type="dxa"/>
              <w:bottom w:w="0" w:type="dxa"/>
              <w:right w:w="12" w:type="dxa"/>
            </w:tcMar>
            <w:vAlign w:val="bottom"/>
          </w:tcPr>
          <w:p w14:paraId="45F7A439"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14.3%</w:t>
            </w:r>
          </w:p>
        </w:tc>
        <w:tc>
          <w:tcPr>
            <w:tcW w:w="689" w:type="pct"/>
            <w:noWrap/>
            <w:tcMar>
              <w:top w:w="12" w:type="dxa"/>
              <w:left w:w="12" w:type="dxa"/>
              <w:bottom w:w="0" w:type="dxa"/>
              <w:right w:w="12" w:type="dxa"/>
            </w:tcMar>
            <w:vAlign w:val="bottom"/>
          </w:tcPr>
          <w:p w14:paraId="45F7A43A"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20.8%</w:t>
            </w:r>
          </w:p>
        </w:tc>
        <w:tc>
          <w:tcPr>
            <w:tcW w:w="514" w:type="pct"/>
            <w:noWrap/>
            <w:tcMar>
              <w:top w:w="12" w:type="dxa"/>
              <w:left w:w="12" w:type="dxa"/>
              <w:bottom w:w="0" w:type="dxa"/>
              <w:right w:w="12" w:type="dxa"/>
            </w:tcMar>
            <w:vAlign w:val="bottom"/>
          </w:tcPr>
          <w:p w14:paraId="45F7A43B" w14:textId="77777777" w:rsidR="00EB5324" w:rsidRDefault="00EB5324" w:rsidP="00EB5324">
            <w:pPr>
              <w:spacing w:before="0" w:line="240" w:lineRule="auto"/>
              <w:ind w:firstLine="0"/>
              <w:jc w:val="center"/>
              <w:rPr>
                <w:rFonts w:ascii="Arial" w:hAnsi="Arial" w:cs="Arial"/>
                <w:sz w:val="20"/>
                <w:szCs w:val="20"/>
              </w:rPr>
            </w:pPr>
            <w:r>
              <w:rPr>
                <w:rFonts w:ascii="Arial" w:hAnsi="Arial" w:cs="Arial"/>
                <w:sz w:val="20"/>
                <w:szCs w:val="20"/>
              </w:rPr>
              <w:t>18.7%</w:t>
            </w:r>
          </w:p>
        </w:tc>
      </w:tr>
    </w:tbl>
    <w:p w14:paraId="45F7A43D" w14:textId="77777777" w:rsidR="00C540A4" w:rsidRDefault="00C540A4" w:rsidP="0056612A">
      <w:pPr>
        <w:spacing w:before="0" w:line="240" w:lineRule="auto"/>
        <w:jc w:val="right"/>
      </w:pPr>
    </w:p>
    <w:p w14:paraId="45F7A43E" w14:textId="77777777" w:rsidR="00E727AF" w:rsidRDefault="00E727AF">
      <w:pPr>
        <w:spacing w:before="0" w:line="240" w:lineRule="auto"/>
        <w:ind w:firstLine="0"/>
        <w:contextualSpacing w:val="0"/>
        <w:jc w:val="left"/>
      </w:pPr>
      <w:r>
        <w:br w:type="page"/>
      </w:r>
    </w:p>
    <w:p w14:paraId="45F7A43F" w14:textId="0D486C60" w:rsidR="00C540A4" w:rsidRDefault="00C540A4" w:rsidP="00AF540D">
      <w:pPr>
        <w:ind w:firstLine="0"/>
      </w:pPr>
      <w:r>
        <w:lastRenderedPageBreak/>
        <w:t xml:space="preserve">Table </w:t>
      </w:r>
      <w:r w:rsidR="00493E43">
        <w:t xml:space="preserve">5 </w:t>
      </w:r>
      <w:r>
        <w:t>– Percentage of observations with price variation between two consecutive booking days, by period</w:t>
      </w:r>
      <w:r w:rsidR="00B90577">
        <w:t xml:space="preserve"> of stay</w:t>
      </w:r>
      <w:r>
        <w:t xml:space="preserve"> and booking </w:t>
      </w:r>
      <w:r w:rsidR="00B90577">
        <w:t>time</w:t>
      </w:r>
    </w:p>
    <w:tbl>
      <w:tblPr>
        <w:tblW w:w="7595" w:type="dxa"/>
        <w:tblBorders>
          <w:top w:val="single" w:sz="12" w:space="0" w:color="000000"/>
          <w:left w:val="nil"/>
          <w:bottom w:val="single" w:sz="12" w:space="0" w:color="000000"/>
          <w:right w:val="nil"/>
          <w:insideH w:val="nil"/>
          <w:insideV w:val="nil"/>
        </w:tblBorders>
        <w:tblCellMar>
          <w:left w:w="0" w:type="dxa"/>
          <w:right w:w="0" w:type="dxa"/>
        </w:tblCellMar>
        <w:tblLook w:val="00A0" w:firstRow="1" w:lastRow="0" w:firstColumn="1" w:lastColumn="0" w:noHBand="0" w:noVBand="0"/>
      </w:tblPr>
      <w:tblGrid>
        <w:gridCol w:w="934"/>
        <w:gridCol w:w="831"/>
        <w:gridCol w:w="1146"/>
        <w:gridCol w:w="1012"/>
        <w:gridCol w:w="757"/>
        <w:gridCol w:w="1146"/>
        <w:gridCol w:w="1012"/>
        <w:gridCol w:w="757"/>
      </w:tblGrid>
      <w:tr w:rsidR="00EB77A8" w14:paraId="45F7A443" w14:textId="77777777" w:rsidTr="00EB77A8">
        <w:trPr>
          <w:trHeight w:val="255"/>
        </w:trPr>
        <w:tc>
          <w:tcPr>
            <w:tcW w:w="934" w:type="dxa"/>
            <w:tcBorders>
              <w:top w:val="single" w:sz="12" w:space="0" w:color="000000"/>
              <w:bottom w:val="single" w:sz="6" w:space="0" w:color="000000"/>
              <w:right w:val="single" w:sz="12" w:space="0" w:color="000000"/>
            </w:tcBorders>
            <w:noWrap/>
            <w:tcMar>
              <w:top w:w="15" w:type="dxa"/>
              <w:left w:w="15" w:type="dxa"/>
              <w:bottom w:w="0" w:type="dxa"/>
              <w:right w:w="15" w:type="dxa"/>
            </w:tcMar>
            <w:vAlign w:val="bottom"/>
          </w:tcPr>
          <w:p w14:paraId="45F7A440" w14:textId="77777777" w:rsidR="00EB77A8" w:rsidRDefault="00EB77A8" w:rsidP="00B85617">
            <w:pPr>
              <w:spacing w:before="0" w:line="240" w:lineRule="auto"/>
              <w:ind w:firstLine="0"/>
              <w:jc w:val="right"/>
              <w:rPr>
                <w:rFonts w:ascii="Arial" w:hAnsi="Arial" w:cs="Arial"/>
                <w:i/>
                <w:iCs/>
                <w:sz w:val="20"/>
                <w:szCs w:val="20"/>
              </w:rPr>
            </w:pPr>
          </w:p>
        </w:tc>
        <w:tc>
          <w:tcPr>
            <w:tcW w:w="831" w:type="dxa"/>
            <w:tcBorders>
              <w:top w:val="single" w:sz="12" w:space="0" w:color="000000"/>
              <w:left w:val="single" w:sz="12" w:space="0" w:color="000000"/>
              <w:bottom w:val="nil"/>
              <w:right w:val="single" w:sz="12" w:space="0" w:color="000000"/>
            </w:tcBorders>
            <w:tcMar>
              <w:top w:w="15" w:type="dxa"/>
              <w:left w:w="15" w:type="dxa"/>
              <w:bottom w:w="0" w:type="dxa"/>
              <w:right w:w="15" w:type="dxa"/>
            </w:tcMar>
            <w:vAlign w:val="center"/>
          </w:tcPr>
          <w:p w14:paraId="45F7A441" w14:textId="77777777" w:rsidR="00EB77A8" w:rsidRDefault="00EB77A8" w:rsidP="00EB77A8">
            <w:pPr>
              <w:spacing w:before="0" w:line="240" w:lineRule="auto"/>
              <w:ind w:firstLine="0"/>
              <w:jc w:val="center"/>
              <w:rPr>
                <w:rFonts w:ascii="Arial" w:hAnsi="Arial" w:cs="Arial"/>
                <w:i/>
                <w:iCs/>
                <w:sz w:val="20"/>
                <w:szCs w:val="20"/>
              </w:rPr>
            </w:pPr>
            <w:r>
              <w:rPr>
                <w:rFonts w:ascii="Arial" w:hAnsi="Arial" w:cs="Arial"/>
                <w:i/>
                <w:iCs/>
                <w:sz w:val="20"/>
                <w:szCs w:val="20"/>
              </w:rPr>
              <w:t>Booking</w:t>
            </w:r>
          </w:p>
        </w:tc>
        <w:tc>
          <w:tcPr>
            <w:tcW w:w="5830" w:type="dxa"/>
            <w:gridSpan w:val="6"/>
            <w:tcBorders>
              <w:top w:val="single" w:sz="12" w:space="0" w:color="000000"/>
              <w:left w:val="single" w:sz="12" w:space="0" w:color="000000"/>
              <w:bottom w:val="nil"/>
              <w:right w:val="nil"/>
            </w:tcBorders>
            <w:noWrap/>
            <w:tcMar>
              <w:top w:w="15" w:type="dxa"/>
              <w:left w:w="15" w:type="dxa"/>
              <w:bottom w:w="0" w:type="dxa"/>
              <w:right w:w="15" w:type="dxa"/>
            </w:tcMar>
            <w:vAlign w:val="bottom"/>
          </w:tcPr>
          <w:p w14:paraId="45F7A442" w14:textId="77777777" w:rsidR="00EB77A8" w:rsidRDefault="00EB77A8" w:rsidP="00B90577">
            <w:pPr>
              <w:spacing w:before="0" w:line="240" w:lineRule="auto"/>
              <w:ind w:firstLine="0"/>
              <w:jc w:val="center"/>
              <w:rPr>
                <w:rFonts w:ascii="Arial" w:hAnsi="Arial" w:cs="Arial"/>
                <w:i/>
                <w:iCs/>
                <w:sz w:val="20"/>
                <w:szCs w:val="20"/>
              </w:rPr>
            </w:pPr>
            <w:r>
              <w:rPr>
                <w:rFonts w:ascii="Arial" w:hAnsi="Arial" w:cs="Arial"/>
                <w:i/>
                <w:iCs/>
                <w:sz w:val="20"/>
                <w:szCs w:val="20"/>
              </w:rPr>
              <w:t>Period of Stay</w:t>
            </w:r>
          </w:p>
        </w:tc>
      </w:tr>
      <w:tr w:rsidR="00B85617" w14:paraId="45F7A44C" w14:textId="77777777" w:rsidTr="00EB77A8">
        <w:trPr>
          <w:trHeight w:val="255"/>
        </w:trPr>
        <w:tc>
          <w:tcPr>
            <w:tcW w:w="934" w:type="dxa"/>
            <w:tcBorders>
              <w:bottom w:val="single" w:sz="6" w:space="0" w:color="000000"/>
              <w:right w:val="single" w:sz="12" w:space="0" w:color="000000"/>
            </w:tcBorders>
            <w:noWrap/>
            <w:tcMar>
              <w:top w:w="15" w:type="dxa"/>
              <w:left w:w="15" w:type="dxa"/>
              <w:bottom w:w="0" w:type="dxa"/>
              <w:right w:w="15" w:type="dxa"/>
            </w:tcMar>
            <w:vAlign w:val="bottom"/>
          </w:tcPr>
          <w:p w14:paraId="45F7A444" w14:textId="77777777" w:rsidR="00B85617" w:rsidRDefault="00B85617" w:rsidP="00B85617">
            <w:pPr>
              <w:spacing w:before="0" w:line="240" w:lineRule="auto"/>
              <w:ind w:firstLine="0"/>
              <w:jc w:val="right"/>
              <w:rPr>
                <w:rFonts w:ascii="Arial" w:hAnsi="Arial" w:cs="Arial"/>
                <w:i/>
                <w:iCs/>
                <w:sz w:val="20"/>
                <w:szCs w:val="20"/>
              </w:rPr>
            </w:pPr>
          </w:p>
        </w:tc>
        <w:tc>
          <w:tcPr>
            <w:tcW w:w="831" w:type="dxa"/>
            <w:tcBorders>
              <w:top w:val="nil"/>
              <w:left w:val="single" w:sz="12" w:space="0" w:color="000000"/>
              <w:bottom w:val="single" w:sz="12" w:space="0" w:color="000000"/>
              <w:right w:val="single" w:sz="12" w:space="0" w:color="000000"/>
            </w:tcBorders>
            <w:tcMar>
              <w:top w:w="15" w:type="dxa"/>
              <w:left w:w="15" w:type="dxa"/>
              <w:bottom w:w="0" w:type="dxa"/>
              <w:right w:w="15" w:type="dxa"/>
            </w:tcMar>
            <w:vAlign w:val="center"/>
          </w:tcPr>
          <w:p w14:paraId="45F7A445" w14:textId="77777777" w:rsidR="00B85617" w:rsidRDefault="00B90577" w:rsidP="00B90577">
            <w:pPr>
              <w:spacing w:before="0" w:line="240" w:lineRule="auto"/>
              <w:ind w:firstLine="0"/>
              <w:jc w:val="center"/>
              <w:rPr>
                <w:rFonts w:ascii="Arial" w:hAnsi="Arial" w:cs="Arial"/>
                <w:i/>
                <w:iCs/>
                <w:sz w:val="20"/>
                <w:szCs w:val="20"/>
              </w:rPr>
            </w:pPr>
            <w:r>
              <w:rPr>
                <w:rFonts w:ascii="Arial" w:hAnsi="Arial" w:cs="Arial"/>
                <w:i/>
                <w:iCs/>
                <w:sz w:val="20"/>
                <w:szCs w:val="20"/>
              </w:rPr>
              <w:t>time</w:t>
            </w:r>
          </w:p>
        </w:tc>
        <w:tc>
          <w:tcPr>
            <w:tcW w:w="1146" w:type="dxa"/>
            <w:tcBorders>
              <w:top w:val="nil"/>
              <w:left w:val="single" w:sz="12" w:space="0" w:color="000000"/>
              <w:bottom w:val="single" w:sz="12" w:space="0" w:color="000000"/>
            </w:tcBorders>
            <w:noWrap/>
            <w:tcMar>
              <w:top w:w="15" w:type="dxa"/>
              <w:left w:w="15" w:type="dxa"/>
              <w:bottom w:w="0" w:type="dxa"/>
              <w:right w:w="15" w:type="dxa"/>
            </w:tcMar>
            <w:vAlign w:val="bottom"/>
          </w:tcPr>
          <w:p w14:paraId="45F7A446" w14:textId="77777777" w:rsidR="00B85617" w:rsidRDefault="00B85617" w:rsidP="00B90577">
            <w:pPr>
              <w:spacing w:before="0" w:line="240" w:lineRule="auto"/>
              <w:ind w:firstLine="0"/>
              <w:jc w:val="center"/>
              <w:rPr>
                <w:rFonts w:ascii="Arial" w:hAnsi="Arial" w:cs="Arial"/>
                <w:i/>
                <w:iCs/>
                <w:sz w:val="20"/>
                <w:szCs w:val="20"/>
              </w:rPr>
            </w:pPr>
            <w:r>
              <w:rPr>
                <w:rFonts w:ascii="Arial" w:hAnsi="Arial" w:cs="Arial"/>
                <w:i/>
                <w:iCs/>
                <w:sz w:val="20"/>
                <w:szCs w:val="20"/>
              </w:rPr>
              <w:t>Apr-Jun14</w:t>
            </w:r>
          </w:p>
        </w:tc>
        <w:tc>
          <w:tcPr>
            <w:tcW w:w="1012" w:type="dxa"/>
            <w:tcBorders>
              <w:top w:val="nil"/>
              <w:bottom w:val="single" w:sz="12" w:space="0" w:color="000000"/>
            </w:tcBorders>
            <w:noWrap/>
            <w:tcMar>
              <w:top w:w="15" w:type="dxa"/>
              <w:left w:w="15" w:type="dxa"/>
              <w:bottom w:w="0" w:type="dxa"/>
              <w:right w:w="15" w:type="dxa"/>
            </w:tcMar>
            <w:vAlign w:val="bottom"/>
          </w:tcPr>
          <w:p w14:paraId="45F7A447" w14:textId="77777777" w:rsidR="00B85617" w:rsidRDefault="00B85617" w:rsidP="00B90577">
            <w:pPr>
              <w:spacing w:before="0" w:line="240" w:lineRule="auto"/>
              <w:ind w:firstLine="0"/>
              <w:jc w:val="center"/>
              <w:rPr>
                <w:rFonts w:ascii="Arial" w:hAnsi="Arial" w:cs="Arial"/>
                <w:i/>
                <w:iCs/>
                <w:sz w:val="20"/>
                <w:szCs w:val="20"/>
              </w:rPr>
            </w:pPr>
            <w:r>
              <w:rPr>
                <w:rFonts w:ascii="Arial" w:hAnsi="Arial" w:cs="Arial"/>
                <w:i/>
                <w:iCs/>
                <w:sz w:val="20"/>
                <w:szCs w:val="20"/>
              </w:rPr>
              <w:t>Jul-Aug14</w:t>
            </w:r>
          </w:p>
        </w:tc>
        <w:tc>
          <w:tcPr>
            <w:tcW w:w="757" w:type="dxa"/>
            <w:tcBorders>
              <w:top w:val="nil"/>
              <w:bottom w:val="single" w:sz="12" w:space="0" w:color="000000"/>
            </w:tcBorders>
            <w:noWrap/>
            <w:tcMar>
              <w:top w:w="15" w:type="dxa"/>
              <w:left w:w="15" w:type="dxa"/>
              <w:bottom w:w="0" w:type="dxa"/>
              <w:right w:w="15" w:type="dxa"/>
            </w:tcMar>
            <w:vAlign w:val="bottom"/>
          </w:tcPr>
          <w:p w14:paraId="45F7A448" w14:textId="77777777" w:rsidR="00B85617" w:rsidRDefault="00B85617" w:rsidP="00B90577">
            <w:pPr>
              <w:spacing w:before="0" w:line="240" w:lineRule="auto"/>
              <w:ind w:firstLine="0"/>
              <w:jc w:val="center"/>
              <w:rPr>
                <w:rFonts w:ascii="Arial" w:hAnsi="Arial" w:cs="Arial"/>
                <w:i/>
                <w:iCs/>
                <w:sz w:val="20"/>
                <w:szCs w:val="20"/>
              </w:rPr>
            </w:pPr>
            <w:r>
              <w:rPr>
                <w:rFonts w:ascii="Arial" w:hAnsi="Arial" w:cs="Arial"/>
                <w:i/>
                <w:iCs/>
                <w:sz w:val="20"/>
                <w:szCs w:val="20"/>
              </w:rPr>
              <w:t>Sep14</w:t>
            </w:r>
          </w:p>
        </w:tc>
        <w:tc>
          <w:tcPr>
            <w:tcW w:w="1146" w:type="dxa"/>
            <w:tcBorders>
              <w:top w:val="nil"/>
              <w:bottom w:val="single" w:sz="12" w:space="0" w:color="000000"/>
            </w:tcBorders>
            <w:noWrap/>
            <w:tcMar>
              <w:top w:w="15" w:type="dxa"/>
              <w:left w:w="15" w:type="dxa"/>
              <w:bottom w:w="0" w:type="dxa"/>
              <w:right w:w="15" w:type="dxa"/>
            </w:tcMar>
            <w:vAlign w:val="bottom"/>
          </w:tcPr>
          <w:p w14:paraId="45F7A449" w14:textId="77777777" w:rsidR="00B85617" w:rsidRDefault="00B85617" w:rsidP="00B90577">
            <w:pPr>
              <w:spacing w:before="0" w:line="240" w:lineRule="auto"/>
              <w:ind w:firstLine="0"/>
              <w:jc w:val="center"/>
              <w:rPr>
                <w:rFonts w:ascii="Arial" w:hAnsi="Arial" w:cs="Arial"/>
                <w:i/>
                <w:iCs/>
                <w:sz w:val="20"/>
                <w:szCs w:val="20"/>
              </w:rPr>
            </w:pPr>
            <w:r>
              <w:rPr>
                <w:rFonts w:ascii="Arial" w:hAnsi="Arial" w:cs="Arial"/>
                <w:i/>
                <w:iCs/>
                <w:sz w:val="20"/>
                <w:szCs w:val="20"/>
              </w:rPr>
              <w:t>Apr-Jun15</w:t>
            </w:r>
          </w:p>
        </w:tc>
        <w:tc>
          <w:tcPr>
            <w:tcW w:w="1012" w:type="dxa"/>
            <w:tcBorders>
              <w:top w:val="nil"/>
              <w:bottom w:val="single" w:sz="12" w:space="0" w:color="000000"/>
            </w:tcBorders>
            <w:noWrap/>
            <w:tcMar>
              <w:top w:w="15" w:type="dxa"/>
              <w:left w:w="15" w:type="dxa"/>
              <w:bottom w:w="0" w:type="dxa"/>
              <w:right w:w="15" w:type="dxa"/>
            </w:tcMar>
            <w:vAlign w:val="bottom"/>
          </w:tcPr>
          <w:p w14:paraId="45F7A44A" w14:textId="77777777" w:rsidR="00B85617" w:rsidRDefault="00B85617" w:rsidP="00B90577">
            <w:pPr>
              <w:spacing w:before="0" w:line="240" w:lineRule="auto"/>
              <w:ind w:firstLine="0"/>
              <w:jc w:val="center"/>
              <w:rPr>
                <w:rFonts w:ascii="Arial" w:hAnsi="Arial" w:cs="Arial"/>
                <w:i/>
                <w:iCs/>
                <w:sz w:val="20"/>
                <w:szCs w:val="20"/>
              </w:rPr>
            </w:pPr>
            <w:r>
              <w:rPr>
                <w:rFonts w:ascii="Arial" w:hAnsi="Arial" w:cs="Arial"/>
                <w:i/>
                <w:iCs/>
                <w:sz w:val="20"/>
                <w:szCs w:val="20"/>
              </w:rPr>
              <w:t>Jul-Aug15</w:t>
            </w:r>
          </w:p>
        </w:tc>
        <w:tc>
          <w:tcPr>
            <w:tcW w:w="757" w:type="dxa"/>
            <w:tcBorders>
              <w:top w:val="nil"/>
              <w:bottom w:val="single" w:sz="12" w:space="0" w:color="000000"/>
            </w:tcBorders>
            <w:noWrap/>
            <w:tcMar>
              <w:top w:w="15" w:type="dxa"/>
              <w:left w:w="15" w:type="dxa"/>
              <w:bottom w:w="0" w:type="dxa"/>
              <w:right w:w="15" w:type="dxa"/>
            </w:tcMar>
            <w:vAlign w:val="bottom"/>
          </w:tcPr>
          <w:p w14:paraId="45F7A44B" w14:textId="77777777" w:rsidR="00B85617" w:rsidRDefault="00B85617" w:rsidP="00B90577">
            <w:pPr>
              <w:spacing w:before="0" w:line="240" w:lineRule="auto"/>
              <w:ind w:firstLine="0"/>
              <w:jc w:val="center"/>
              <w:rPr>
                <w:rFonts w:ascii="Arial" w:hAnsi="Arial" w:cs="Arial"/>
                <w:i/>
                <w:iCs/>
                <w:sz w:val="20"/>
                <w:szCs w:val="20"/>
              </w:rPr>
            </w:pPr>
            <w:r>
              <w:rPr>
                <w:rFonts w:ascii="Arial" w:hAnsi="Arial" w:cs="Arial"/>
                <w:i/>
                <w:iCs/>
                <w:sz w:val="20"/>
                <w:szCs w:val="20"/>
              </w:rPr>
              <w:t>Sep15</w:t>
            </w:r>
          </w:p>
        </w:tc>
      </w:tr>
      <w:tr w:rsidR="00DD00F3" w14:paraId="45F7A455" w14:textId="77777777" w:rsidTr="00EB77A8">
        <w:trPr>
          <w:cantSplit/>
          <w:trHeight w:val="255"/>
        </w:trPr>
        <w:tc>
          <w:tcPr>
            <w:tcW w:w="934" w:type="dxa"/>
            <w:vMerge w:val="restart"/>
            <w:tcBorders>
              <w:top w:val="single" w:sz="6" w:space="0" w:color="000000"/>
              <w:right w:val="single" w:sz="12" w:space="0" w:color="000000"/>
            </w:tcBorders>
            <w:noWrap/>
            <w:tcMar>
              <w:top w:w="15" w:type="dxa"/>
              <w:left w:w="15" w:type="dxa"/>
              <w:bottom w:w="0" w:type="dxa"/>
              <w:right w:w="15" w:type="dxa"/>
            </w:tcMar>
            <w:vAlign w:val="center"/>
          </w:tcPr>
          <w:p w14:paraId="45F7A44D"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Sardinia</w:t>
            </w:r>
          </w:p>
        </w:tc>
        <w:tc>
          <w:tcPr>
            <w:tcW w:w="831" w:type="dxa"/>
            <w:tcBorders>
              <w:top w:val="single" w:sz="12" w:space="0" w:color="000000"/>
              <w:left w:val="single" w:sz="12" w:space="0" w:color="000000"/>
              <w:right w:val="single" w:sz="12" w:space="0" w:color="000000"/>
            </w:tcBorders>
            <w:noWrap/>
            <w:tcMar>
              <w:top w:w="15" w:type="dxa"/>
              <w:left w:w="15" w:type="dxa"/>
              <w:bottom w:w="0" w:type="dxa"/>
              <w:right w:w="15" w:type="dxa"/>
            </w:tcMar>
            <w:vAlign w:val="bottom"/>
          </w:tcPr>
          <w:p w14:paraId="45F7A44E"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1-4</w:t>
            </w:r>
          </w:p>
        </w:tc>
        <w:tc>
          <w:tcPr>
            <w:tcW w:w="1146" w:type="dxa"/>
            <w:tcBorders>
              <w:top w:val="single" w:sz="12" w:space="0" w:color="000000"/>
              <w:left w:val="single" w:sz="12" w:space="0" w:color="000000"/>
            </w:tcBorders>
            <w:noWrap/>
            <w:tcMar>
              <w:top w:w="15" w:type="dxa"/>
              <w:left w:w="15" w:type="dxa"/>
              <w:bottom w:w="0" w:type="dxa"/>
              <w:right w:w="15" w:type="dxa"/>
            </w:tcMar>
            <w:vAlign w:val="bottom"/>
          </w:tcPr>
          <w:p w14:paraId="45F7A44F"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10.6%</w:t>
            </w:r>
          </w:p>
        </w:tc>
        <w:tc>
          <w:tcPr>
            <w:tcW w:w="1012" w:type="dxa"/>
            <w:tcBorders>
              <w:top w:val="single" w:sz="12" w:space="0" w:color="000000"/>
            </w:tcBorders>
            <w:noWrap/>
            <w:tcMar>
              <w:top w:w="15" w:type="dxa"/>
              <w:left w:w="15" w:type="dxa"/>
              <w:bottom w:w="0" w:type="dxa"/>
              <w:right w:w="15" w:type="dxa"/>
            </w:tcMar>
            <w:vAlign w:val="bottom"/>
          </w:tcPr>
          <w:p w14:paraId="45F7A450"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18.6%</w:t>
            </w:r>
          </w:p>
        </w:tc>
        <w:tc>
          <w:tcPr>
            <w:tcW w:w="757" w:type="dxa"/>
            <w:tcBorders>
              <w:top w:val="single" w:sz="12" w:space="0" w:color="000000"/>
            </w:tcBorders>
            <w:noWrap/>
            <w:tcMar>
              <w:top w:w="15" w:type="dxa"/>
              <w:left w:w="15" w:type="dxa"/>
              <w:bottom w:w="0" w:type="dxa"/>
              <w:right w:w="15" w:type="dxa"/>
            </w:tcMar>
            <w:vAlign w:val="bottom"/>
          </w:tcPr>
          <w:p w14:paraId="45F7A451"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18.6%</w:t>
            </w:r>
          </w:p>
        </w:tc>
        <w:tc>
          <w:tcPr>
            <w:tcW w:w="1146" w:type="dxa"/>
            <w:tcBorders>
              <w:top w:val="single" w:sz="12" w:space="0" w:color="000000"/>
            </w:tcBorders>
            <w:noWrap/>
            <w:tcMar>
              <w:top w:w="15" w:type="dxa"/>
              <w:left w:w="15" w:type="dxa"/>
              <w:bottom w:w="0" w:type="dxa"/>
              <w:right w:w="15" w:type="dxa"/>
            </w:tcMar>
            <w:vAlign w:val="bottom"/>
          </w:tcPr>
          <w:p w14:paraId="45F7A452"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22.1%</w:t>
            </w:r>
          </w:p>
        </w:tc>
        <w:tc>
          <w:tcPr>
            <w:tcW w:w="1012" w:type="dxa"/>
            <w:tcBorders>
              <w:top w:val="single" w:sz="12" w:space="0" w:color="000000"/>
            </w:tcBorders>
            <w:noWrap/>
            <w:tcMar>
              <w:top w:w="15" w:type="dxa"/>
              <w:left w:w="15" w:type="dxa"/>
              <w:bottom w:w="0" w:type="dxa"/>
              <w:right w:w="15" w:type="dxa"/>
            </w:tcMar>
            <w:vAlign w:val="bottom"/>
          </w:tcPr>
          <w:p w14:paraId="45F7A453"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38.5%</w:t>
            </w:r>
          </w:p>
        </w:tc>
        <w:tc>
          <w:tcPr>
            <w:tcW w:w="757" w:type="dxa"/>
            <w:tcBorders>
              <w:top w:val="single" w:sz="12" w:space="0" w:color="000000"/>
            </w:tcBorders>
            <w:noWrap/>
            <w:tcMar>
              <w:top w:w="15" w:type="dxa"/>
              <w:left w:w="15" w:type="dxa"/>
              <w:bottom w:w="0" w:type="dxa"/>
              <w:right w:w="15" w:type="dxa"/>
            </w:tcMar>
            <w:vAlign w:val="bottom"/>
          </w:tcPr>
          <w:p w14:paraId="45F7A454"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26.3%</w:t>
            </w:r>
          </w:p>
        </w:tc>
      </w:tr>
      <w:tr w:rsidR="00DD00F3" w14:paraId="45F7A45E" w14:textId="77777777" w:rsidTr="00EB77A8">
        <w:trPr>
          <w:cantSplit/>
          <w:trHeight w:val="255"/>
        </w:trPr>
        <w:tc>
          <w:tcPr>
            <w:tcW w:w="934" w:type="dxa"/>
            <w:vMerge/>
            <w:tcBorders>
              <w:right w:val="single" w:sz="12" w:space="0" w:color="000000"/>
            </w:tcBorders>
            <w:vAlign w:val="center"/>
          </w:tcPr>
          <w:p w14:paraId="45F7A456" w14:textId="77777777" w:rsidR="00DD00F3" w:rsidRDefault="00DD00F3" w:rsidP="00DD00F3">
            <w:pPr>
              <w:spacing w:before="0" w:line="240" w:lineRule="auto"/>
              <w:ind w:firstLine="0"/>
              <w:jc w:val="right"/>
              <w:rPr>
                <w:rFonts w:ascii="Arial" w:hAnsi="Arial" w:cs="Arial"/>
                <w:sz w:val="20"/>
                <w:szCs w:val="20"/>
              </w:rPr>
            </w:pPr>
          </w:p>
        </w:tc>
        <w:tc>
          <w:tcPr>
            <w:tcW w:w="831" w:type="dxa"/>
            <w:tcBorders>
              <w:left w:val="single" w:sz="12" w:space="0" w:color="000000"/>
              <w:right w:val="single" w:sz="12" w:space="0" w:color="000000"/>
            </w:tcBorders>
            <w:noWrap/>
            <w:tcMar>
              <w:top w:w="15" w:type="dxa"/>
              <w:left w:w="15" w:type="dxa"/>
              <w:bottom w:w="0" w:type="dxa"/>
              <w:right w:w="15" w:type="dxa"/>
            </w:tcMar>
            <w:vAlign w:val="bottom"/>
          </w:tcPr>
          <w:p w14:paraId="45F7A457"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7-20</w:t>
            </w:r>
          </w:p>
        </w:tc>
        <w:tc>
          <w:tcPr>
            <w:tcW w:w="1146" w:type="dxa"/>
            <w:tcBorders>
              <w:left w:val="single" w:sz="12" w:space="0" w:color="000000"/>
            </w:tcBorders>
            <w:noWrap/>
            <w:tcMar>
              <w:top w:w="15" w:type="dxa"/>
              <w:left w:w="15" w:type="dxa"/>
              <w:bottom w:w="0" w:type="dxa"/>
              <w:right w:w="15" w:type="dxa"/>
            </w:tcMar>
            <w:vAlign w:val="bottom"/>
          </w:tcPr>
          <w:p w14:paraId="45F7A458"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10.2%</w:t>
            </w:r>
          </w:p>
        </w:tc>
        <w:tc>
          <w:tcPr>
            <w:tcW w:w="1012" w:type="dxa"/>
            <w:noWrap/>
            <w:tcMar>
              <w:top w:w="15" w:type="dxa"/>
              <w:left w:w="15" w:type="dxa"/>
              <w:bottom w:w="0" w:type="dxa"/>
              <w:right w:w="15" w:type="dxa"/>
            </w:tcMar>
            <w:vAlign w:val="bottom"/>
          </w:tcPr>
          <w:p w14:paraId="45F7A459"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15.0%</w:t>
            </w:r>
          </w:p>
        </w:tc>
        <w:tc>
          <w:tcPr>
            <w:tcW w:w="757" w:type="dxa"/>
            <w:noWrap/>
            <w:tcMar>
              <w:top w:w="15" w:type="dxa"/>
              <w:left w:w="15" w:type="dxa"/>
              <w:bottom w:w="0" w:type="dxa"/>
              <w:right w:w="15" w:type="dxa"/>
            </w:tcMar>
            <w:vAlign w:val="bottom"/>
          </w:tcPr>
          <w:p w14:paraId="45F7A45A"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19.5%</w:t>
            </w:r>
          </w:p>
        </w:tc>
        <w:tc>
          <w:tcPr>
            <w:tcW w:w="1146" w:type="dxa"/>
            <w:noWrap/>
            <w:tcMar>
              <w:top w:w="15" w:type="dxa"/>
              <w:left w:w="15" w:type="dxa"/>
              <w:bottom w:w="0" w:type="dxa"/>
              <w:right w:w="15" w:type="dxa"/>
            </w:tcMar>
            <w:vAlign w:val="bottom"/>
          </w:tcPr>
          <w:p w14:paraId="45F7A45B"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16.5%</w:t>
            </w:r>
          </w:p>
        </w:tc>
        <w:tc>
          <w:tcPr>
            <w:tcW w:w="1012" w:type="dxa"/>
            <w:noWrap/>
            <w:tcMar>
              <w:top w:w="15" w:type="dxa"/>
              <w:left w:w="15" w:type="dxa"/>
              <w:bottom w:w="0" w:type="dxa"/>
              <w:right w:w="15" w:type="dxa"/>
            </w:tcMar>
            <w:vAlign w:val="bottom"/>
          </w:tcPr>
          <w:p w14:paraId="45F7A45C"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27.3%</w:t>
            </w:r>
          </w:p>
        </w:tc>
        <w:tc>
          <w:tcPr>
            <w:tcW w:w="757" w:type="dxa"/>
            <w:noWrap/>
            <w:tcMar>
              <w:top w:w="15" w:type="dxa"/>
              <w:left w:w="15" w:type="dxa"/>
              <w:bottom w:w="0" w:type="dxa"/>
              <w:right w:w="15" w:type="dxa"/>
            </w:tcMar>
            <w:vAlign w:val="bottom"/>
          </w:tcPr>
          <w:p w14:paraId="45F7A45D"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24.9%</w:t>
            </w:r>
          </w:p>
        </w:tc>
      </w:tr>
      <w:tr w:rsidR="00DD00F3" w14:paraId="45F7A467" w14:textId="77777777" w:rsidTr="00EB77A8">
        <w:trPr>
          <w:cantSplit/>
          <w:trHeight w:val="255"/>
        </w:trPr>
        <w:tc>
          <w:tcPr>
            <w:tcW w:w="934" w:type="dxa"/>
            <w:vMerge/>
            <w:tcBorders>
              <w:right w:val="single" w:sz="12" w:space="0" w:color="000000"/>
            </w:tcBorders>
            <w:vAlign w:val="center"/>
          </w:tcPr>
          <w:p w14:paraId="45F7A45F" w14:textId="77777777" w:rsidR="00DD00F3" w:rsidRDefault="00DD00F3" w:rsidP="00DD00F3">
            <w:pPr>
              <w:spacing w:before="0" w:line="240" w:lineRule="auto"/>
              <w:ind w:firstLine="0"/>
              <w:jc w:val="right"/>
              <w:rPr>
                <w:rFonts w:ascii="Arial" w:hAnsi="Arial" w:cs="Arial"/>
                <w:sz w:val="20"/>
                <w:szCs w:val="20"/>
              </w:rPr>
            </w:pPr>
          </w:p>
        </w:tc>
        <w:tc>
          <w:tcPr>
            <w:tcW w:w="831" w:type="dxa"/>
            <w:tcBorders>
              <w:left w:val="single" w:sz="12" w:space="0" w:color="000000"/>
              <w:right w:val="single" w:sz="12" w:space="0" w:color="000000"/>
            </w:tcBorders>
            <w:noWrap/>
            <w:tcMar>
              <w:top w:w="15" w:type="dxa"/>
              <w:left w:w="15" w:type="dxa"/>
              <w:bottom w:w="0" w:type="dxa"/>
              <w:right w:w="15" w:type="dxa"/>
            </w:tcMar>
            <w:vAlign w:val="bottom"/>
          </w:tcPr>
          <w:p w14:paraId="45F7A460"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25-40</w:t>
            </w:r>
          </w:p>
        </w:tc>
        <w:tc>
          <w:tcPr>
            <w:tcW w:w="1146" w:type="dxa"/>
            <w:tcBorders>
              <w:left w:val="single" w:sz="12" w:space="0" w:color="000000"/>
            </w:tcBorders>
            <w:noWrap/>
            <w:tcMar>
              <w:top w:w="15" w:type="dxa"/>
              <w:left w:w="15" w:type="dxa"/>
              <w:bottom w:w="0" w:type="dxa"/>
              <w:right w:w="15" w:type="dxa"/>
            </w:tcMar>
            <w:vAlign w:val="bottom"/>
          </w:tcPr>
          <w:p w14:paraId="45F7A461"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10.3%</w:t>
            </w:r>
          </w:p>
        </w:tc>
        <w:tc>
          <w:tcPr>
            <w:tcW w:w="1012" w:type="dxa"/>
            <w:noWrap/>
            <w:tcMar>
              <w:top w:w="15" w:type="dxa"/>
              <w:left w:w="15" w:type="dxa"/>
              <w:bottom w:w="0" w:type="dxa"/>
              <w:right w:w="15" w:type="dxa"/>
            </w:tcMar>
            <w:vAlign w:val="bottom"/>
          </w:tcPr>
          <w:p w14:paraId="45F7A462"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17.0%</w:t>
            </w:r>
          </w:p>
        </w:tc>
        <w:tc>
          <w:tcPr>
            <w:tcW w:w="757" w:type="dxa"/>
            <w:noWrap/>
            <w:tcMar>
              <w:top w:w="15" w:type="dxa"/>
              <w:left w:w="15" w:type="dxa"/>
              <w:bottom w:w="0" w:type="dxa"/>
              <w:right w:w="15" w:type="dxa"/>
            </w:tcMar>
            <w:vAlign w:val="bottom"/>
          </w:tcPr>
          <w:p w14:paraId="45F7A463"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22.0%</w:t>
            </w:r>
          </w:p>
        </w:tc>
        <w:tc>
          <w:tcPr>
            <w:tcW w:w="1146" w:type="dxa"/>
            <w:noWrap/>
            <w:tcMar>
              <w:top w:w="15" w:type="dxa"/>
              <w:left w:w="15" w:type="dxa"/>
              <w:bottom w:w="0" w:type="dxa"/>
              <w:right w:w="15" w:type="dxa"/>
            </w:tcMar>
            <w:vAlign w:val="bottom"/>
          </w:tcPr>
          <w:p w14:paraId="45F7A464"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13.4%</w:t>
            </w:r>
          </w:p>
        </w:tc>
        <w:tc>
          <w:tcPr>
            <w:tcW w:w="1012" w:type="dxa"/>
            <w:noWrap/>
            <w:tcMar>
              <w:top w:w="15" w:type="dxa"/>
              <w:left w:w="15" w:type="dxa"/>
              <w:bottom w:w="0" w:type="dxa"/>
              <w:right w:w="15" w:type="dxa"/>
            </w:tcMar>
            <w:vAlign w:val="bottom"/>
          </w:tcPr>
          <w:p w14:paraId="45F7A465"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21.6%</w:t>
            </w:r>
          </w:p>
        </w:tc>
        <w:tc>
          <w:tcPr>
            <w:tcW w:w="757" w:type="dxa"/>
            <w:noWrap/>
            <w:tcMar>
              <w:top w:w="15" w:type="dxa"/>
              <w:left w:w="15" w:type="dxa"/>
              <w:bottom w:w="0" w:type="dxa"/>
              <w:right w:w="15" w:type="dxa"/>
            </w:tcMar>
            <w:vAlign w:val="bottom"/>
          </w:tcPr>
          <w:p w14:paraId="45F7A466"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22.0%</w:t>
            </w:r>
          </w:p>
        </w:tc>
      </w:tr>
      <w:tr w:rsidR="00DD00F3" w14:paraId="45F7A470" w14:textId="77777777" w:rsidTr="00EB77A8">
        <w:trPr>
          <w:cantSplit/>
          <w:trHeight w:val="255"/>
        </w:trPr>
        <w:tc>
          <w:tcPr>
            <w:tcW w:w="934" w:type="dxa"/>
            <w:vMerge/>
            <w:tcBorders>
              <w:bottom w:val="single" w:sz="4" w:space="0" w:color="auto"/>
              <w:right w:val="single" w:sz="12" w:space="0" w:color="000000"/>
            </w:tcBorders>
            <w:vAlign w:val="center"/>
          </w:tcPr>
          <w:p w14:paraId="45F7A468" w14:textId="77777777" w:rsidR="00DD00F3" w:rsidRDefault="00DD00F3" w:rsidP="00DD00F3">
            <w:pPr>
              <w:spacing w:before="0" w:line="240" w:lineRule="auto"/>
              <w:ind w:firstLine="0"/>
              <w:jc w:val="right"/>
              <w:rPr>
                <w:rFonts w:ascii="Arial" w:hAnsi="Arial" w:cs="Arial"/>
                <w:sz w:val="20"/>
                <w:szCs w:val="20"/>
              </w:rPr>
            </w:pPr>
          </w:p>
        </w:tc>
        <w:tc>
          <w:tcPr>
            <w:tcW w:w="831" w:type="dxa"/>
            <w:tcBorders>
              <w:left w:val="single" w:sz="12" w:space="0" w:color="000000"/>
              <w:bottom w:val="single" w:sz="4" w:space="0" w:color="auto"/>
              <w:right w:val="single" w:sz="12" w:space="0" w:color="000000"/>
            </w:tcBorders>
            <w:noWrap/>
            <w:tcMar>
              <w:top w:w="15" w:type="dxa"/>
              <w:left w:w="15" w:type="dxa"/>
              <w:bottom w:w="0" w:type="dxa"/>
              <w:right w:w="15" w:type="dxa"/>
            </w:tcMar>
            <w:vAlign w:val="bottom"/>
          </w:tcPr>
          <w:p w14:paraId="45F7A469"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45-70</w:t>
            </w:r>
          </w:p>
        </w:tc>
        <w:tc>
          <w:tcPr>
            <w:tcW w:w="1146" w:type="dxa"/>
            <w:tcBorders>
              <w:left w:val="single" w:sz="12" w:space="0" w:color="000000"/>
              <w:bottom w:val="single" w:sz="4" w:space="0" w:color="auto"/>
            </w:tcBorders>
            <w:noWrap/>
            <w:tcMar>
              <w:top w:w="15" w:type="dxa"/>
              <w:left w:w="15" w:type="dxa"/>
              <w:bottom w:w="0" w:type="dxa"/>
              <w:right w:w="15" w:type="dxa"/>
            </w:tcMar>
            <w:vAlign w:val="bottom"/>
          </w:tcPr>
          <w:p w14:paraId="45F7A46A"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8.2%</w:t>
            </w:r>
          </w:p>
        </w:tc>
        <w:tc>
          <w:tcPr>
            <w:tcW w:w="1012" w:type="dxa"/>
            <w:tcBorders>
              <w:bottom w:val="single" w:sz="4" w:space="0" w:color="auto"/>
            </w:tcBorders>
            <w:noWrap/>
            <w:tcMar>
              <w:top w:w="15" w:type="dxa"/>
              <w:left w:w="15" w:type="dxa"/>
              <w:bottom w:w="0" w:type="dxa"/>
              <w:right w:w="15" w:type="dxa"/>
            </w:tcMar>
            <w:vAlign w:val="bottom"/>
          </w:tcPr>
          <w:p w14:paraId="45F7A46B"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15.4%</w:t>
            </w:r>
          </w:p>
        </w:tc>
        <w:tc>
          <w:tcPr>
            <w:tcW w:w="757" w:type="dxa"/>
            <w:tcBorders>
              <w:bottom w:val="single" w:sz="4" w:space="0" w:color="auto"/>
            </w:tcBorders>
            <w:noWrap/>
            <w:tcMar>
              <w:top w:w="15" w:type="dxa"/>
              <w:left w:w="15" w:type="dxa"/>
              <w:bottom w:w="0" w:type="dxa"/>
              <w:right w:w="15" w:type="dxa"/>
            </w:tcMar>
            <w:vAlign w:val="bottom"/>
          </w:tcPr>
          <w:p w14:paraId="45F7A46C"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10.6%</w:t>
            </w:r>
          </w:p>
        </w:tc>
        <w:tc>
          <w:tcPr>
            <w:tcW w:w="1146" w:type="dxa"/>
            <w:tcBorders>
              <w:bottom w:val="single" w:sz="4" w:space="0" w:color="auto"/>
            </w:tcBorders>
            <w:noWrap/>
            <w:tcMar>
              <w:top w:w="15" w:type="dxa"/>
              <w:left w:w="15" w:type="dxa"/>
              <w:bottom w:w="0" w:type="dxa"/>
              <w:right w:w="15" w:type="dxa"/>
            </w:tcMar>
            <w:vAlign w:val="bottom"/>
          </w:tcPr>
          <w:p w14:paraId="45F7A46D"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8.0%</w:t>
            </w:r>
          </w:p>
        </w:tc>
        <w:tc>
          <w:tcPr>
            <w:tcW w:w="1012" w:type="dxa"/>
            <w:tcBorders>
              <w:bottom w:val="single" w:sz="4" w:space="0" w:color="auto"/>
            </w:tcBorders>
            <w:noWrap/>
            <w:tcMar>
              <w:top w:w="15" w:type="dxa"/>
              <w:left w:w="15" w:type="dxa"/>
              <w:bottom w:w="0" w:type="dxa"/>
              <w:right w:w="15" w:type="dxa"/>
            </w:tcMar>
            <w:vAlign w:val="bottom"/>
          </w:tcPr>
          <w:p w14:paraId="45F7A46E"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18.7%</w:t>
            </w:r>
          </w:p>
        </w:tc>
        <w:tc>
          <w:tcPr>
            <w:tcW w:w="757" w:type="dxa"/>
            <w:tcBorders>
              <w:bottom w:val="single" w:sz="4" w:space="0" w:color="auto"/>
            </w:tcBorders>
            <w:noWrap/>
            <w:tcMar>
              <w:top w:w="15" w:type="dxa"/>
              <w:left w:w="15" w:type="dxa"/>
              <w:bottom w:w="0" w:type="dxa"/>
              <w:right w:w="15" w:type="dxa"/>
            </w:tcMar>
            <w:vAlign w:val="bottom"/>
          </w:tcPr>
          <w:p w14:paraId="45F7A46F"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13.6%</w:t>
            </w:r>
          </w:p>
        </w:tc>
      </w:tr>
      <w:tr w:rsidR="00DD00F3" w14:paraId="45F7A479" w14:textId="77777777" w:rsidTr="00EB77A8">
        <w:trPr>
          <w:cantSplit/>
          <w:trHeight w:val="255"/>
        </w:trPr>
        <w:tc>
          <w:tcPr>
            <w:tcW w:w="934" w:type="dxa"/>
            <w:vMerge w:val="restart"/>
            <w:tcBorders>
              <w:top w:val="single" w:sz="4" w:space="0" w:color="auto"/>
              <w:right w:val="single" w:sz="12" w:space="0" w:color="000000"/>
            </w:tcBorders>
            <w:noWrap/>
            <w:tcMar>
              <w:top w:w="15" w:type="dxa"/>
              <w:left w:w="15" w:type="dxa"/>
              <w:bottom w:w="0" w:type="dxa"/>
              <w:right w:w="15" w:type="dxa"/>
            </w:tcMar>
            <w:vAlign w:val="center"/>
          </w:tcPr>
          <w:p w14:paraId="45F7A471"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Sicily</w:t>
            </w:r>
          </w:p>
        </w:tc>
        <w:tc>
          <w:tcPr>
            <w:tcW w:w="831" w:type="dxa"/>
            <w:tcBorders>
              <w:top w:val="single" w:sz="4" w:space="0" w:color="auto"/>
              <w:left w:val="single" w:sz="12" w:space="0" w:color="000000"/>
              <w:right w:val="single" w:sz="12" w:space="0" w:color="000000"/>
            </w:tcBorders>
            <w:noWrap/>
            <w:tcMar>
              <w:top w:w="15" w:type="dxa"/>
              <w:left w:w="15" w:type="dxa"/>
              <w:bottom w:w="0" w:type="dxa"/>
              <w:right w:w="15" w:type="dxa"/>
            </w:tcMar>
            <w:vAlign w:val="bottom"/>
          </w:tcPr>
          <w:p w14:paraId="45F7A472"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1-4</w:t>
            </w:r>
          </w:p>
        </w:tc>
        <w:tc>
          <w:tcPr>
            <w:tcW w:w="1146" w:type="dxa"/>
            <w:tcBorders>
              <w:top w:val="single" w:sz="4" w:space="0" w:color="auto"/>
              <w:left w:val="single" w:sz="12" w:space="0" w:color="000000"/>
            </w:tcBorders>
            <w:noWrap/>
            <w:tcMar>
              <w:top w:w="15" w:type="dxa"/>
              <w:left w:w="15" w:type="dxa"/>
              <w:bottom w:w="0" w:type="dxa"/>
              <w:right w:w="15" w:type="dxa"/>
            </w:tcMar>
            <w:vAlign w:val="bottom"/>
          </w:tcPr>
          <w:p w14:paraId="45F7A473"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16.1%</w:t>
            </w:r>
          </w:p>
        </w:tc>
        <w:tc>
          <w:tcPr>
            <w:tcW w:w="1012" w:type="dxa"/>
            <w:tcBorders>
              <w:top w:val="single" w:sz="4" w:space="0" w:color="auto"/>
            </w:tcBorders>
            <w:noWrap/>
            <w:tcMar>
              <w:top w:w="15" w:type="dxa"/>
              <w:left w:w="15" w:type="dxa"/>
              <w:bottom w:w="0" w:type="dxa"/>
              <w:right w:w="15" w:type="dxa"/>
            </w:tcMar>
            <w:vAlign w:val="bottom"/>
          </w:tcPr>
          <w:p w14:paraId="45F7A474"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20.1%</w:t>
            </w:r>
          </w:p>
        </w:tc>
        <w:tc>
          <w:tcPr>
            <w:tcW w:w="757" w:type="dxa"/>
            <w:tcBorders>
              <w:top w:val="single" w:sz="4" w:space="0" w:color="auto"/>
            </w:tcBorders>
            <w:noWrap/>
            <w:tcMar>
              <w:top w:w="15" w:type="dxa"/>
              <w:left w:w="15" w:type="dxa"/>
              <w:bottom w:w="0" w:type="dxa"/>
              <w:right w:w="15" w:type="dxa"/>
            </w:tcMar>
            <w:vAlign w:val="bottom"/>
          </w:tcPr>
          <w:p w14:paraId="45F7A475"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21.3%</w:t>
            </w:r>
          </w:p>
        </w:tc>
        <w:tc>
          <w:tcPr>
            <w:tcW w:w="1146" w:type="dxa"/>
            <w:tcBorders>
              <w:top w:val="single" w:sz="4" w:space="0" w:color="auto"/>
            </w:tcBorders>
            <w:noWrap/>
            <w:tcMar>
              <w:top w:w="15" w:type="dxa"/>
              <w:left w:w="15" w:type="dxa"/>
              <w:bottom w:w="0" w:type="dxa"/>
              <w:right w:w="15" w:type="dxa"/>
            </w:tcMar>
            <w:vAlign w:val="bottom"/>
          </w:tcPr>
          <w:p w14:paraId="45F7A476"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27.1%</w:t>
            </w:r>
          </w:p>
        </w:tc>
        <w:tc>
          <w:tcPr>
            <w:tcW w:w="1012" w:type="dxa"/>
            <w:tcBorders>
              <w:top w:val="single" w:sz="4" w:space="0" w:color="auto"/>
            </w:tcBorders>
            <w:noWrap/>
            <w:tcMar>
              <w:top w:w="15" w:type="dxa"/>
              <w:left w:w="15" w:type="dxa"/>
              <w:bottom w:w="0" w:type="dxa"/>
              <w:right w:w="15" w:type="dxa"/>
            </w:tcMar>
            <w:vAlign w:val="bottom"/>
          </w:tcPr>
          <w:p w14:paraId="45F7A477"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37.2%</w:t>
            </w:r>
          </w:p>
        </w:tc>
        <w:tc>
          <w:tcPr>
            <w:tcW w:w="757" w:type="dxa"/>
            <w:tcBorders>
              <w:top w:val="single" w:sz="4" w:space="0" w:color="auto"/>
            </w:tcBorders>
            <w:noWrap/>
            <w:tcMar>
              <w:top w:w="15" w:type="dxa"/>
              <w:left w:w="15" w:type="dxa"/>
              <w:bottom w:w="0" w:type="dxa"/>
              <w:right w:w="15" w:type="dxa"/>
            </w:tcMar>
            <w:vAlign w:val="bottom"/>
          </w:tcPr>
          <w:p w14:paraId="45F7A478"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32.7%</w:t>
            </w:r>
          </w:p>
        </w:tc>
      </w:tr>
      <w:tr w:rsidR="00DD00F3" w14:paraId="45F7A482" w14:textId="77777777" w:rsidTr="00EB77A8">
        <w:trPr>
          <w:cantSplit/>
          <w:trHeight w:val="255"/>
        </w:trPr>
        <w:tc>
          <w:tcPr>
            <w:tcW w:w="934" w:type="dxa"/>
            <w:vMerge/>
            <w:tcBorders>
              <w:right w:val="single" w:sz="12" w:space="0" w:color="000000"/>
            </w:tcBorders>
            <w:vAlign w:val="center"/>
          </w:tcPr>
          <w:p w14:paraId="45F7A47A" w14:textId="77777777" w:rsidR="00DD00F3" w:rsidRDefault="00DD00F3" w:rsidP="00DD00F3">
            <w:pPr>
              <w:spacing w:before="0" w:line="240" w:lineRule="auto"/>
              <w:ind w:firstLine="0"/>
              <w:jc w:val="right"/>
              <w:rPr>
                <w:rFonts w:ascii="Arial" w:hAnsi="Arial" w:cs="Arial"/>
                <w:sz w:val="20"/>
                <w:szCs w:val="20"/>
              </w:rPr>
            </w:pPr>
          </w:p>
        </w:tc>
        <w:tc>
          <w:tcPr>
            <w:tcW w:w="831" w:type="dxa"/>
            <w:tcBorders>
              <w:left w:val="single" w:sz="12" w:space="0" w:color="000000"/>
              <w:right w:val="single" w:sz="12" w:space="0" w:color="000000"/>
            </w:tcBorders>
            <w:noWrap/>
            <w:tcMar>
              <w:top w:w="15" w:type="dxa"/>
              <w:left w:w="15" w:type="dxa"/>
              <w:bottom w:w="0" w:type="dxa"/>
              <w:right w:w="15" w:type="dxa"/>
            </w:tcMar>
            <w:vAlign w:val="bottom"/>
          </w:tcPr>
          <w:p w14:paraId="45F7A47B"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7-20</w:t>
            </w:r>
          </w:p>
        </w:tc>
        <w:tc>
          <w:tcPr>
            <w:tcW w:w="1146" w:type="dxa"/>
            <w:tcBorders>
              <w:left w:val="single" w:sz="12" w:space="0" w:color="000000"/>
            </w:tcBorders>
            <w:noWrap/>
            <w:tcMar>
              <w:top w:w="15" w:type="dxa"/>
              <w:left w:w="15" w:type="dxa"/>
              <w:bottom w:w="0" w:type="dxa"/>
              <w:right w:w="15" w:type="dxa"/>
            </w:tcMar>
            <w:vAlign w:val="bottom"/>
          </w:tcPr>
          <w:p w14:paraId="45F7A47C"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13.9%</w:t>
            </w:r>
          </w:p>
        </w:tc>
        <w:tc>
          <w:tcPr>
            <w:tcW w:w="1012" w:type="dxa"/>
            <w:noWrap/>
            <w:tcMar>
              <w:top w:w="15" w:type="dxa"/>
              <w:left w:w="15" w:type="dxa"/>
              <w:bottom w:w="0" w:type="dxa"/>
              <w:right w:w="15" w:type="dxa"/>
            </w:tcMar>
            <w:vAlign w:val="bottom"/>
          </w:tcPr>
          <w:p w14:paraId="45F7A47D"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18.3%</w:t>
            </w:r>
          </w:p>
        </w:tc>
        <w:tc>
          <w:tcPr>
            <w:tcW w:w="757" w:type="dxa"/>
            <w:noWrap/>
            <w:tcMar>
              <w:top w:w="15" w:type="dxa"/>
              <w:left w:w="15" w:type="dxa"/>
              <w:bottom w:w="0" w:type="dxa"/>
              <w:right w:w="15" w:type="dxa"/>
            </w:tcMar>
            <w:vAlign w:val="bottom"/>
          </w:tcPr>
          <w:p w14:paraId="45F7A47E"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21.3%</w:t>
            </w:r>
          </w:p>
        </w:tc>
        <w:tc>
          <w:tcPr>
            <w:tcW w:w="1146" w:type="dxa"/>
            <w:noWrap/>
            <w:tcMar>
              <w:top w:w="15" w:type="dxa"/>
              <w:left w:w="15" w:type="dxa"/>
              <w:bottom w:w="0" w:type="dxa"/>
              <w:right w:w="15" w:type="dxa"/>
            </w:tcMar>
            <w:vAlign w:val="bottom"/>
          </w:tcPr>
          <w:p w14:paraId="45F7A47F"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18.3%</w:t>
            </w:r>
          </w:p>
        </w:tc>
        <w:tc>
          <w:tcPr>
            <w:tcW w:w="1012" w:type="dxa"/>
            <w:noWrap/>
            <w:tcMar>
              <w:top w:w="15" w:type="dxa"/>
              <w:left w:w="15" w:type="dxa"/>
              <w:bottom w:w="0" w:type="dxa"/>
              <w:right w:w="15" w:type="dxa"/>
            </w:tcMar>
            <w:vAlign w:val="bottom"/>
          </w:tcPr>
          <w:p w14:paraId="45F7A480"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23.8%</w:t>
            </w:r>
          </w:p>
        </w:tc>
        <w:tc>
          <w:tcPr>
            <w:tcW w:w="757" w:type="dxa"/>
            <w:noWrap/>
            <w:tcMar>
              <w:top w:w="15" w:type="dxa"/>
              <w:left w:w="15" w:type="dxa"/>
              <w:bottom w:w="0" w:type="dxa"/>
              <w:right w:w="15" w:type="dxa"/>
            </w:tcMar>
            <w:vAlign w:val="bottom"/>
          </w:tcPr>
          <w:p w14:paraId="45F7A481"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24.6%</w:t>
            </w:r>
          </w:p>
        </w:tc>
      </w:tr>
      <w:tr w:rsidR="00DD00F3" w14:paraId="45F7A48B" w14:textId="77777777" w:rsidTr="00EB77A8">
        <w:trPr>
          <w:cantSplit/>
          <w:trHeight w:val="255"/>
        </w:trPr>
        <w:tc>
          <w:tcPr>
            <w:tcW w:w="934" w:type="dxa"/>
            <w:vMerge/>
            <w:tcBorders>
              <w:right w:val="single" w:sz="12" w:space="0" w:color="000000"/>
            </w:tcBorders>
            <w:vAlign w:val="center"/>
          </w:tcPr>
          <w:p w14:paraId="45F7A483" w14:textId="77777777" w:rsidR="00DD00F3" w:rsidRDefault="00DD00F3" w:rsidP="00DD00F3">
            <w:pPr>
              <w:spacing w:before="0" w:line="240" w:lineRule="auto"/>
              <w:ind w:firstLine="0"/>
              <w:jc w:val="right"/>
              <w:rPr>
                <w:rFonts w:ascii="Arial" w:hAnsi="Arial" w:cs="Arial"/>
                <w:sz w:val="20"/>
                <w:szCs w:val="20"/>
              </w:rPr>
            </w:pPr>
          </w:p>
        </w:tc>
        <w:tc>
          <w:tcPr>
            <w:tcW w:w="831" w:type="dxa"/>
            <w:tcBorders>
              <w:left w:val="single" w:sz="12" w:space="0" w:color="000000"/>
              <w:right w:val="single" w:sz="12" w:space="0" w:color="000000"/>
            </w:tcBorders>
            <w:noWrap/>
            <w:tcMar>
              <w:top w:w="15" w:type="dxa"/>
              <w:left w:w="15" w:type="dxa"/>
              <w:bottom w:w="0" w:type="dxa"/>
              <w:right w:w="15" w:type="dxa"/>
            </w:tcMar>
            <w:vAlign w:val="bottom"/>
          </w:tcPr>
          <w:p w14:paraId="45F7A484"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25-40</w:t>
            </w:r>
          </w:p>
        </w:tc>
        <w:tc>
          <w:tcPr>
            <w:tcW w:w="1146" w:type="dxa"/>
            <w:tcBorders>
              <w:left w:val="single" w:sz="12" w:space="0" w:color="000000"/>
            </w:tcBorders>
            <w:noWrap/>
            <w:tcMar>
              <w:top w:w="15" w:type="dxa"/>
              <w:left w:w="15" w:type="dxa"/>
              <w:bottom w:w="0" w:type="dxa"/>
              <w:right w:w="15" w:type="dxa"/>
            </w:tcMar>
            <w:vAlign w:val="bottom"/>
          </w:tcPr>
          <w:p w14:paraId="45F7A485"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12.3%</w:t>
            </w:r>
          </w:p>
        </w:tc>
        <w:tc>
          <w:tcPr>
            <w:tcW w:w="1012" w:type="dxa"/>
            <w:noWrap/>
            <w:tcMar>
              <w:top w:w="15" w:type="dxa"/>
              <w:left w:w="15" w:type="dxa"/>
              <w:bottom w:w="0" w:type="dxa"/>
              <w:right w:w="15" w:type="dxa"/>
            </w:tcMar>
            <w:vAlign w:val="bottom"/>
          </w:tcPr>
          <w:p w14:paraId="45F7A486"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15.2%</w:t>
            </w:r>
          </w:p>
        </w:tc>
        <w:tc>
          <w:tcPr>
            <w:tcW w:w="757" w:type="dxa"/>
            <w:noWrap/>
            <w:tcMar>
              <w:top w:w="15" w:type="dxa"/>
              <w:left w:w="15" w:type="dxa"/>
              <w:bottom w:w="0" w:type="dxa"/>
              <w:right w:w="15" w:type="dxa"/>
            </w:tcMar>
            <w:vAlign w:val="bottom"/>
          </w:tcPr>
          <w:p w14:paraId="45F7A487"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22.9%</w:t>
            </w:r>
          </w:p>
        </w:tc>
        <w:tc>
          <w:tcPr>
            <w:tcW w:w="1146" w:type="dxa"/>
            <w:noWrap/>
            <w:tcMar>
              <w:top w:w="15" w:type="dxa"/>
              <w:left w:w="15" w:type="dxa"/>
              <w:bottom w:w="0" w:type="dxa"/>
              <w:right w:w="15" w:type="dxa"/>
            </w:tcMar>
            <w:vAlign w:val="bottom"/>
          </w:tcPr>
          <w:p w14:paraId="45F7A488"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13.2%</w:t>
            </w:r>
          </w:p>
        </w:tc>
        <w:tc>
          <w:tcPr>
            <w:tcW w:w="1012" w:type="dxa"/>
            <w:noWrap/>
            <w:tcMar>
              <w:top w:w="15" w:type="dxa"/>
              <w:left w:w="15" w:type="dxa"/>
              <w:bottom w:w="0" w:type="dxa"/>
              <w:right w:w="15" w:type="dxa"/>
            </w:tcMar>
            <w:vAlign w:val="bottom"/>
          </w:tcPr>
          <w:p w14:paraId="45F7A489"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16.9%</w:t>
            </w:r>
          </w:p>
        </w:tc>
        <w:tc>
          <w:tcPr>
            <w:tcW w:w="757" w:type="dxa"/>
            <w:noWrap/>
            <w:tcMar>
              <w:top w:w="15" w:type="dxa"/>
              <w:left w:w="15" w:type="dxa"/>
              <w:bottom w:w="0" w:type="dxa"/>
              <w:right w:w="15" w:type="dxa"/>
            </w:tcMar>
            <w:vAlign w:val="bottom"/>
          </w:tcPr>
          <w:p w14:paraId="45F7A48A"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20.3%</w:t>
            </w:r>
          </w:p>
        </w:tc>
      </w:tr>
      <w:tr w:rsidR="00DD00F3" w14:paraId="45F7A494" w14:textId="77777777" w:rsidTr="00EB77A8">
        <w:trPr>
          <w:cantSplit/>
          <w:trHeight w:val="255"/>
        </w:trPr>
        <w:tc>
          <w:tcPr>
            <w:tcW w:w="934" w:type="dxa"/>
            <w:vMerge/>
            <w:tcBorders>
              <w:bottom w:val="single" w:sz="4" w:space="0" w:color="auto"/>
              <w:right w:val="single" w:sz="12" w:space="0" w:color="000000"/>
            </w:tcBorders>
            <w:vAlign w:val="center"/>
          </w:tcPr>
          <w:p w14:paraId="45F7A48C" w14:textId="77777777" w:rsidR="00DD00F3" w:rsidRDefault="00DD00F3" w:rsidP="00DD00F3">
            <w:pPr>
              <w:spacing w:before="0" w:line="240" w:lineRule="auto"/>
              <w:ind w:firstLine="0"/>
              <w:jc w:val="right"/>
              <w:rPr>
                <w:rFonts w:ascii="Arial" w:hAnsi="Arial" w:cs="Arial"/>
                <w:sz w:val="20"/>
                <w:szCs w:val="20"/>
              </w:rPr>
            </w:pPr>
          </w:p>
        </w:tc>
        <w:tc>
          <w:tcPr>
            <w:tcW w:w="831" w:type="dxa"/>
            <w:tcBorders>
              <w:left w:val="single" w:sz="12" w:space="0" w:color="000000"/>
              <w:bottom w:val="single" w:sz="4" w:space="0" w:color="auto"/>
              <w:right w:val="single" w:sz="12" w:space="0" w:color="000000"/>
            </w:tcBorders>
            <w:noWrap/>
            <w:tcMar>
              <w:top w:w="15" w:type="dxa"/>
              <w:left w:w="15" w:type="dxa"/>
              <w:bottom w:w="0" w:type="dxa"/>
              <w:right w:w="15" w:type="dxa"/>
            </w:tcMar>
            <w:vAlign w:val="bottom"/>
          </w:tcPr>
          <w:p w14:paraId="45F7A48D"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45-70</w:t>
            </w:r>
          </w:p>
        </w:tc>
        <w:tc>
          <w:tcPr>
            <w:tcW w:w="1146" w:type="dxa"/>
            <w:tcBorders>
              <w:left w:val="single" w:sz="12" w:space="0" w:color="000000"/>
              <w:bottom w:val="single" w:sz="4" w:space="0" w:color="auto"/>
            </w:tcBorders>
            <w:noWrap/>
            <w:tcMar>
              <w:top w:w="15" w:type="dxa"/>
              <w:left w:w="15" w:type="dxa"/>
              <w:bottom w:w="0" w:type="dxa"/>
              <w:right w:w="15" w:type="dxa"/>
            </w:tcMar>
            <w:vAlign w:val="bottom"/>
          </w:tcPr>
          <w:p w14:paraId="45F7A48E"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9.7%</w:t>
            </w:r>
          </w:p>
        </w:tc>
        <w:tc>
          <w:tcPr>
            <w:tcW w:w="1012" w:type="dxa"/>
            <w:tcBorders>
              <w:bottom w:val="single" w:sz="4" w:space="0" w:color="auto"/>
            </w:tcBorders>
            <w:noWrap/>
            <w:tcMar>
              <w:top w:w="15" w:type="dxa"/>
              <w:left w:w="15" w:type="dxa"/>
              <w:bottom w:w="0" w:type="dxa"/>
              <w:right w:w="15" w:type="dxa"/>
            </w:tcMar>
            <w:vAlign w:val="bottom"/>
          </w:tcPr>
          <w:p w14:paraId="45F7A48F"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13.1%</w:t>
            </w:r>
          </w:p>
        </w:tc>
        <w:tc>
          <w:tcPr>
            <w:tcW w:w="757" w:type="dxa"/>
            <w:tcBorders>
              <w:bottom w:val="single" w:sz="4" w:space="0" w:color="auto"/>
            </w:tcBorders>
            <w:noWrap/>
            <w:tcMar>
              <w:top w:w="15" w:type="dxa"/>
              <w:left w:w="15" w:type="dxa"/>
              <w:bottom w:w="0" w:type="dxa"/>
              <w:right w:w="15" w:type="dxa"/>
            </w:tcMar>
            <w:vAlign w:val="bottom"/>
          </w:tcPr>
          <w:p w14:paraId="45F7A490"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11.3%</w:t>
            </w:r>
          </w:p>
        </w:tc>
        <w:tc>
          <w:tcPr>
            <w:tcW w:w="1146" w:type="dxa"/>
            <w:tcBorders>
              <w:bottom w:val="single" w:sz="4" w:space="0" w:color="auto"/>
            </w:tcBorders>
            <w:noWrap/>
            <w:tcMar>
              <w:top w:w="15" w:type="dxa"/>
              <w:left w:w="15" w:type="dxa"/>
              <w:bottom w:w="0" w:type="dxa"/>
              <w:right w:w="15" w:type="dxa"/>
            </w:tcMar>
            <w:vAlign w:val="bottom"/>
          </w:tcPr>
          <w:p w14:paraId="45F7A491"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8.1%</w:t>
            </w:r>
          </w:p>
        </w:tc>
        <w:tc>
          <w:tcPr>
            <w:tcW w:w="1012" w:type="dxa"/>
            <w:tcBorders>
              <w:bottom w:val="single" w:sz="4" w:space="0" w:color="auto"/>
            </w:tcBorders>
            <w:noWrap/>
            <w:tcMar>
              <w:top w:w="15" w:type="dxa"/>
              <w:left w:w="15" w:type="dxa"/>
              <w:bottom w:w="0" w:type="dxa"/>
              <w:right w:w="15" w:type="dxa"/>
            </w:tcMar>
            <w:vAlign w:val="bottom"/>
          </w:tcPr>
          <w:p w14:paraId="45F7A492"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12.6%</w:t>
            </w:r>
          </w:p>
        </w:tc>
        <w:tc>
          <w:tcPr>
            <w:tcW w:w="757" w:type="dxa"/>
            <w:tcBorders>
              <w:bottom w:val="single" w:sz="4" w:space="0" w:color="auto"/>
            </w:tcBorders>
            <w:noWrap/>
            <w:tcMar>
              <w:top w:w="15" w:type="dxa"/>
              <w:left w:w="15" w:type="dxa"/>
              <w:bottom w:w="0" w:type="dxa"/>
              <w:right w:w="15" w:type="dxa"/>
            </w:tcMar>
            <w:vAlign w:val="bottom"/>
          </w:tcPr>
          <w:p w14:paraId="45F7A493"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11.8%</w:t>
            </w:r>
          </w:p>
        </w:tc>
      </w:tr>
      <w:tr w:rsidR="00DD00F3" w14:paraId="45F7A49D" w14:textId="77777777" w:rsidTr="00EB77A8">
        <w:trPr>
          <w:cantSplit/>
          <w:trHeight w:val="255"/>
        </w:trPr>
        <w:tc>
          <w:tcPr>
            <w:tcW w:w="934" w:type="dxa"/>
            <w:vMerge w:val="restart"/>
            <w:tcBorders>
              <w:top w:val="single" w:sz="4" w:space="0" w:color="auto"/>
              <w:right w:val="single" w:sz="12" w:space="0" w:color="000000"/>
            </w:tcBorders>
            <w:noWrap/>
            <w:tcMar>
              <w:top w:w="15" w:type="dxa"/>
              <w:left w:w="15" w:type="dxa"/>
              <w:bottom w:w="0" w:type="dxa"/>
              <w:right w:w="15" w:type="dxa"/>
            </w:tcMar>
            <w:vAlign w:val="center"/>
          </w:tcPr>
          <w:p w14:paraId="45F7A495"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Corsica</w:t>
            </w:r>
          </w:p>
        </w:tc>
        <w:tc>
          <w:tcPr>
            <w:tcW w:w="831" w:type="dxa"/>
            <w:tcBorders>
              <w:top w:val="single" w:sz="4" w:space="0" w:color="auto"/>
              <w:left w:val="single" w:sz="12" w:space="0" w:color="000000"/>
              <w:right w:val="single" w:sz="12" w:space="0" w:color="000000"/>
            </w:tcBorders>
            <w:noWrap/>
            <w:tcMar>
              <w:top w:w="15" w:type="dxa"/>
              <w:left w:w="15" w:type="dxa"/>
              <w:bottom w:w="0" w:type="dxa"/>
              <w:right w:w="15" w:type="dxa"/>
            </w:tcMar>
            <w:vAlign w:val="bottom"/>
          </w:tcPr>
          <w:p w14:paraId="45F7A496"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1-4</w:t>
            </w:r>
          </w:p>
        </w:tc>
        <w:tc>
          <w:tcPr>
            <w:tcW w:w="1146" w:type="dxa"/>
            <w:tcBorders>
              <w:top w:val="single" w:sz="4" w:space="0" w:color="auto"/>
              <w:left w:val="single" w:sz="12" w:space="0" w:color="000000"/>
            </w:tcBorders>
            <w:noWrap/>
            <w:tcMar>
              <w:top w:w="15" w:type="dxa"/>
              <w:left w:w="15" w:type="dxa"/>
              <w:bottom w:w="0" w:type="dxa"/>
              <w:right w:w="15" w:type="dxa"/>
            </w:tcMar>
            <w:vAlign w:val="bottom"/>
          </w:tcPr>
          <w:p w14:paraId="45F7A497"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9.1%</w:t>
            </w:r>
          </w:p>
        </w:tc>
        <w:tc>
          <w:tcPr>
            <w:tcW w:w="1012" w:type="dxa"/>
            <w:tcBorders>
              <w:top w:val="single" w:sz="4" w:space="0" w:color="auto"/>
            </w:tcBorders>
            <w:noWrap/>
            <w:tcMar>
              <w:top w:w="15" w:type="dxa"/>
              <w:left w:w="15" w:type="dxa"/>
              <w:bottom w:w="0" w:type="dxa"/>
              <w:right w:w="15" w:type="dxa"/>
            </w:tcMar>
            <w:vAlign w:val="bottom"/>
          </w:tcPr>
          <w:p w14:paraId="45F7A498"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17.7%</w:t>
            </w:r>
          </w:p>
        </w:tc>
        <w:tc>
          <w:tcPr>
            <w:tcW w:w="757" w:type="dxa"/>
            <w:tcBorders>
              <w:top w:val="single" w:sz="4" w:space="0" w:color="auto"/>
            </w:tcBorders>
            <w:noWrap/>
            <w:tcMar>
              <w:top w:w="15" w:type="dxa"/>
              <w:left w:w="15" w:type="dxa"/>
              <w:bottom w:w="0" w:type="dxa"/>
              <w:right w:w="15" w:type="dxa"/>
            </w:tcMar>
            <w:vAlign w:val="bottom"/>
          </w:tcPr>
          <w:p w14:paraId="45F7A499"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14.4%</w:t>
            </w:r>
          </w:p>
        </w:tc>
        <w:tc>
          <w:tcPr>
            <w:tcW w:w="1146" w:type="dxa"/>
            <w:tcBorders>
              <w:top w:val="single" w:sz="4" w:space="0" w:color="auto"/>
            </w:tcBorders>
            <w:noWrap/>
            <w:tcMar>
              <w:top w:w="15" w:type="dxa"/>
              <w:left w:w="15" w:type="dxa"/>
              <w:bottom w:w="0" w:type="dxa"/>
              <w:right w:w="15" w:type="dxa"/>
            </w:tcMar>
            <w:vAlign w:val="bottom"/>
          </w:tcPr>
          <w:p w14:paraId="45F7A49A"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22.5%</w:t>
            </w:r>
          </w:p>
        </w:tc>
        <w:tc>
          <w:tcPr>
            <w:tcW w:w="1012" w:type="dxa"/>
            <w:tcBorders>
              <w:top w:val="single" w:sz="4" w:space="0" w:color="auto"/>
            </w:tcBorders>
            <w:noWrap/>
            <w:tcMar>
              <w:top w:w="15" w:type="dxa"/>
              <w:left w:w="15" w:type="dxa"/>
              <w:bottom w:w="0" w:type="dxa"/>
              <w:right w:w="15" w:type="dxa"/>
            </w:tcMar>
            <w:vAlign w:val="bottom"/>
          </w:tcPr>
          <w:p w14:paraId="45F7A49B"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40.4%</w:t>
            </w:r>
          </w:p>
        </w:tc>
        <w:tc>
          <w:tcPr>
            <w:tcW w:w="757" w:type="dxa"/>
            <w:tcBorders>
              <w:top w:val="single" w:sz="4" w:space="0" w:color="auto"/>
            </w:tcBorders>
            <w:noWrap/>
            <w:tcMar>
              <w:top w:w="15" w:type="dxa"/>
              <w:left w:w="15" w:type="dxa"/>
              <w:bottom w:w="0" w:type="dxa"/>
              <w:right w:w="15" w:type="dxa"/>
            </w:tcMar>
            <w:vAlign w:val="bottom"/>
          </w:tcPr>
          <w:p w14:paraId="45F7A49C"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33.2%</w:t>
            </w:r>
          </w:p>
        </w:tc>
      </w:tr>
      <w:tr w:rsidR="00DD00F3" w14:paraId="45F7A4A6" w14:textId="77777777" w:rsidTr="00EB77A8">
        <w:trPr>
          <w:cantSplit/>
          <w:trHeight w:val="255"/>
        </w:trPr>
        <w:tc>
          <w:tcPr>
            <w:tcW w:w="934" w:type="dxa"/>
            <w:vMerge/>
            <w:tcBorders>
              <w:right w:val="single" w:sz="12" w:space="0" w:color="000000"/>
            </w:tcBorders>
            <w:vAlign w:val="center"/>
          </w:tcPr>
          <w:p w14:paraId="45F7A49E" w14:textId="77777777" w:rsidR="00DD00F3" w:rsidRDefault="00DD00F3" w:rsidP="00DD00F3">
            <w:pPr>
              <w:spacing w:before="0" w:line="240" w:lineRule="auto"/>
              <w:ind w:firstLine="0"/>
              <w:jc w:val="right"/>
              <w:rPr>
                <w:rFonts w:ascii="Arial" w:hAnsi="Arial" w:cs="Arial"/>
                <w:sz w:val="20"/>
                <w:szCs w:val="20"/>
              </w:rPr>
            </w:pPr>
          </w:p>
        </w:tc>
        <w:tc>
          <w:tcPr>
            <w:tcW w:w="831" w:type="dxa"/>
            <w:tcBorders>
              <w:left w:val="single" w:sz="12" w:space="0" w:color="000000"/>
              <w:right w:val="single" w:sz="12" w:space="0" w:color="000000"/>
            </w:tcBorders>
            <w:noWrap/>
            <w:tcMar>
              <w:top w:w="15" w:type="dxa"/>
              <w:left w:w="15" w:type="dxa"/>
              <w:bottom w:w="0" w:type="dxa"/>
              <w:right w:w="15" w:type="dxa"/>
            </w:tcMar>
            <w:vAlign w:val="bottom"/>
          </w:tcPr>
          <w:p w14:paraId="45F7A49F"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7-20</w:t>
            </w:r>
          </w:p>
        </w:tc>
        <w:tc>
          <w:tcPr>
            <w:tcW w:w="1146" w:type="dxa"/>
            <w:tcBorders>
              <w:left w:val="single" w:sz="12" w:space="0" w:color="000000"/>
            </w:tcBorders>
            <w:noWrap/>
            <w:tcMar>
              <w:top w:w="15" w:type="dxa"/>
              <w:left w:w="15" w:type="dxa"/>
              <w:bottom w:w="0" w:type="dxa"/>
              <w:right w:w="15" w:type="dxa"/>
            </w:tcMar>
            <w:vAlign w:val="bottom"/>
          </w:tcPr>
          <w:p w14:paraId="45F7A4A0"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9.1%</w:t>
            </w:r>
          </w:p>
        </w:tc>
        <w:tc>
          <w:tcPr>
            <w:tcW w:w="1012" w:type="dxa"/>
            <w:noWrap/>
            <w:tcMar>
              <w:top w:w="15" w:type="dxa"/>
              <w:left w:w="15" w:type="dxa"/>
              <w:bottom w:w="0" w:type="dxa"/>
              <w:right w:w="15" w:type="dxa"/>
            </w:tcMar>
            <w:vAlign w:val="bottom"/>
          </w:tcPr>
          <w:p w14:paraId="45F7A4A1"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13.8%</w:t>
            </w:r>
          </w:p>
        </w:tc>
        <w:tc>
          <w:tcPr>
            <w:tcW w:w="757" w:type="dxa"/>
            <w:noWrap/>
            <w:tcMar>
              <w:top w:w="15" w:type="dxa"/>
              <w:left w:w="15" w:type="dxa"/>
              <w:bottom w:w="0" w:type="dxa"/>
              <w:right w:w="15" w:type="dxa"/>
            </w:tcMar>
            <w:vAlign w:val="bottom"/>
          </w:tcPr>
          <w:p w14:paraId="45F7A4A2"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14.4%</w:t>
            </w:r>
          </w:p>
        </w:tc>
        <w:tc>
          <w:tcPr>
            <w:tcW w:w="1146" w:type="dxa"/>
            <w:noWrap/>
            <w:tcMar>
              <w:top w:w="15" w:type="dxa"/>
              <w:left w:w="15" w:type="dxa"/>
              <w:bottom w:w="0" w:type="dxa"/>
              <w:right w:w="15" w:type="dxa"/>
            </w:tcMar>
            <w:vAlign w:val="bottom"/>
          </w:tcPr>
          <w:p w14:paraId="45F7A4A3"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20.0%</w:t>
            </w:r>
          </w:p>
        </w:tc>
        <w:tc>
          <w:tcPr>
            <w:tcW w:w="1012" w:type="dxa"/>
            <w:noWrap/>
            <w:tcMar>
              <w:top w:w="15" w:type="dxa"/>
              <w:left w:w="15" w:type="dxa"/>
              <w:bottom w:w="0" w:type="dxa"/>
              <w:right w:w="15" w:type="dxa"/>
            </w:tcMar>
            <w:vAlign w:val="bottom"/>
          </w:tcPr>
          <w:p w14:paraId="45F7A4A4"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29.3%</w:t>
            </w:r>
          </w:p>
        </w:tc>
        <w:tc>
          <w:tcPr>
            <w:tcW w:w="757" w:type="dxa"/>
            <w:noWrap/>
            <w:tcMar>
              <w:top w:w="15" w:type="dxa"/>
              <w:left w:w="15" w:type="dxa"/>
              <w:bottom w:w="0" w:type="dxa"/>
              <w:right w:w="15" w:type="dxa"/>
            </w:tcMar>
            <w:vAlign w:val="bottom"/>
          </w:tcPr>
          <w:p w14:paraId="45F7A4A5"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28.9%</w:t>
            </w:r>
          </w:p>
        </w:tc>
      </w:tr>
      <w:tr w:rsidR="00DD00F3" w14:paraId="45F7A4AF" w14:textId="77777777" w:rsidTr="00EB77A8">
        <w:trPr>
          <w:cantSplit/>
          <w:trHeight w:val="255"/>
        </w:trPr>
        <w:tc>
          <w:tcPr>
            <w:tcW w:w="934" w:type="dxa"/>
            <w:vMerge/>
            <w:tcBorders>
              <w:right w:val="single" w:sz="12" w:space="0" w:color="000000"/>
            </w:tcBorders>
            <w:vAlign w:val="center"/>
          </w:tcPr>
          <w:p w14:paraId="45F7A4A7" w14:textId="77777777" w:rsidR="00DD00F3" w:rsidRDefault="00DD00F3" w:rsidP="00DD00F3">
            <w:pPr>
              <w:spacing w:before="0" w:line="240" w:lineRule="auto"/>
              <w:ind w:firstLine="0"/>
              <w:jc w:val="right"/>
              <w:rPr>
                <w:rFonts w:ascii="Arial" w:hAnsi="Arial" w:cs="Arial"/>
                <w:sz w:val="20"/>
                <w:szCs w:val="20"/>
              </w:rPr>
            </w:pPr>
          </w:p>
        </w:tc>
        <w:tc>
          <w:tcPr>
            <w:tcW w:w="831" w:type="dxa"/>
            <w:tcBorders>
              <w:left w:val="single" w:sz="12" w:space="0" w:color="000000"/>
              <w:right w:val="single" w:sz="12" w:space="0" w:color="000000"/>
            </w:tcBorders>
            <w:noWrap/>
            <w:tcMar>
              <w:top w:w="15" w:type="dxa"/>
              <w:left w:w="15" w:type="dxa"/>
              <w:bottom w:w="0" w:type="dxa"/>
              <w:right w:w="15" w:type="dxa"/>
            </w:tcMar>
            <w:vAlign w:val="bottom"/>
          </w:tcPr>
          <w:p w14:paraId="45F7A4A8"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25-40</w:t>
            </w:r>
          </w:p>
        </w:tc>
        <w:tc>
          <w:tcPr>
            <w:tcW w:w="1146" w:type="dxa"/>
            <w:tcBorders>
              <w:left w:val="single" w:sz="12" w:space="0" w:color="000000"/>
            </w:tcBorders>
            <w:noWrap/>
            <w:tcMar>
              <w:top w:w="15" w:type="dxa"/>
              <w:left w:w="15" w:type="dxa"/>
              <w:bottom w:w="0" w:type="dxa"/>
              <w:right w:w="15" w:type="dxa"/>
            </w:tcMar>
            <w:vAlign w:val="bottom"/>
          </w:tcPr>
          <w:p w14:paraId="45F7A4A9"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15.7%</w:t>
            </w:r>
          </w:p>
        </w:tc>
        <w:tc>
          <w:tcPr>
            <w:tcW w:w="1012" w:type="dxa"/>
            <w:noWrap/>
            <w:tcMar>
              <w:top w:w="15" w:type="dxa"/>
              <w:left w:w="15" w:type="dxa"/>
              <w:bottom w:w="0" w:type="dxa"/>
              <w:right w:w="15" w:type="dxa"/>
            </w:tcMar>
            <w:vAlign w:val="bottom"/>
          </w:tcPr>
          <w:p w14:paraId="45F7A4AA"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12.4%</w:t>
            </w:r>
          </w:p>
        </w:tc>
        <w:tc>
          <w:tcPr>
            <w:tcW w:w="757" w:type="dxa"/>
            <w:noWrap/>
            <w:tcMar>
              <w:top w:w="15" w:type="dxa"/>
              <w:left w:w="15" w:type="dxa"/>
              <w:bottom w:w="0" w:type="dxa"/>
              <w:right w:w="15" w:type="dxa"/>
            </w:tcMar>
            <w:vAlign w:val="bottom"/>
          </w:tcPr>
          <w:p w14:paraId="45F7A4AB"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12.6%</w:t>
            </w:r>
          </w:p>
        </w:tc>
        <w:tc>
          <w:tcPr>
            <w:tcW w:w="1146" w:type="dxa"/>
            <w:noWrap/>
            <w:tcMar>
              <w:top w:w="15" w:type="dxa"/>
              <w:left w:w="15" w:type="dxa"/>
              <w:bottom w:w="0" w:type="dxa"/>
              <w:right w:w="15" w:type="dxa"/>
            </w:tcMar>
            <w:vAlign w:val="bottom"/>
          </w:tcPr>
          <w:p w14:paraId="45F7A4AC"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15.0%</w:t>
            </w:r>
          </w:p>
        </w:tc>
        <w:tc>
          <w:tcPr>
            <w:tcW w:w="1012" w:type="dxa"/>
            <w:noWrap/>
            <w:tcMar>
              <w:top w:w="15" w:type="dxa"/>
              <w:left w:w="15" w:type="dxa"/>
              <w:bottom w:w="0" w:type="dxa"/>
              <w:right w:w="15" w:type="dxa"/>
            </w:tcMar>
            <w:vAlign w:val="bottom"/>
          </w:tcPr>
          <w:p w14:paraId="45F7A4AD"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22.5%</w:t>
            </w:r>
          </w:p>
        </w:tc>
        <w:tc>
          <w:tcPr>
            <w:tcW w:w="757" w:type="dxa"/>
            <w:noWrap/>
            <w:tcMar>
              <w:top w:w="15" w:type="dxa"/>
              <w:left w:w="15" w:type="dxa"/>
              <w:bottom w:w="0" w:type="dxa"/>
              <w:right w:w="15" w:type="dxa"/>
            </w:tcMar>
            <w:vAlign w:val="bottom"/>
          </w:tcPr>
          <w:p w14:paraId="45F7A4AE"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24.1%</w:t>
            </w:r>
          </w:p>
        </w:tc>
      </w:tr>
      <w:tr w:rsidR="00DD00F3" w14:paraId="45F7A4B8" w14:textId="77777777" w:rsidTr="00EB77A8">
        <w:trPr>
          <w:cantSplit/>
          <w:trHeight w:val="255"/>
        </w:trPr>
        <w:tc>
          <w:tcPr>
            <w:tcW w:w="934" w:type="dxa"/>
            <w:vMerge/>
            <w:tcBorders>
              <w:bottom w:val="single" w:sz="4" w:space="0" w:color="auto"/>
              <w:right w:val="single" w:sz="12" w:space="0" w:color="000000"/>
            </w:tcBorders>
            <w:vAlign w:val="center"/>
          </w:tcPr>
          <w:p w14:paraId="45F7A4B0" w14:textId="77777777" w:rsidR="00DD00F3" w:rsidRDefault="00DD00F3" w:rsidP="00DD00F3">
            <w:pPr>
              <w:spacing w:before="0" w:line="240" w:lineRule="auto"/>
              <w:ind w:firstLine="0"/>
              <w:jc w:val="right"/>
              <w:rPr>
                <w:rFonts w:ascii="Arial" w:hAnsi="Arial" w:cs="Arial"/>
                <w:sz w:val="20"/>
                <w:szCs w:val="20"/>
              </w:rPr>
            </w:pPr>
          </w:p>
        </w:tc>
        <w:tc>
          <w:tcPr>
            <w:tcW w:w="831" w:type="dxa"/>
            <w:tcBorders>
              <w:left w:val="single" w:sz="12" w:space="0" w:color="000000"/>
              <w:bottom w:val="single" w:sz="4" w:space="0" w:color="auto"/>
              <w:right w:val="single" w:sz="12" w:space="0" w:color="000000"/>
            </w:tcBorders>
            <w:noWrap/>
            <w:tcMar>
              <w:top w:w="15" w:type="dxa"/>
              <w:left w:w="15" w:type="dxa"/>
              <w:bottom w:w="0" w:type="dxa"/>
              <w:right w:w="15" w:type="dxa"/>
            </w:tcMar>
            <w:vAlign w:val="bottom"/>
          </w:tcPr>
          <w:p w14:paraId="45F7A4B1"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45-70</w:t>
            </w:r>
          </w:p>
        </w:tc>
        <w:tc>
          <w:tcPr>
            <w:tcW w:w="1146" w:type="dxa"/>
            <w:tcBorders>
              <w:left w:val="single" w:sz="12" w:space="0" w:color="000000"/>
              <w:bottom w:val="single" w:sz="4" w:space="0" w:color="auto"/>
            </w:tcBorders>
            <w:noWrap/>
            <w:tcMar>
              <w:top w:w="15" w:type="dxa"/>
              <w:left w:w="15" w:type="dxa"/>
              <w:bottom w:w="0" w:type="dxa"/>
              <w:right w:w="15" w:type="dxa"/>
            </w:tcMar>
            <w:vAlign w:val="bottom"/>
          </w:tcPr>
          <w:p w14:paraId="45F7A4B2"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5.7%</w:t>
            </w:r>
          </w:p>
        </w:tc>
        <w:tc>
          <w:tcPr>
            <w:tcW w:w="1012" w:type="dxa"/>
            <w:tcBorders>
              <w:bottom w:val="single" w:sz="4" w:space="0" w:color="auto"/>
            </w:tcBorders>
            <w:noWrap/>
            <w:tcMar>
              <w:top w:w="15" w:type="dxa"/>
              <w:left w:w="15" w:type="dxa"/>
              <w:bottom w:w="0" w:type="dxa"/>
              <w:right w:w="15" w:type="dxa"/>
            </w:tcMar>
            <w:vAlign w:val="bottom"/>
          </w:tcPr>
          <w:p w14:paraId="45F7A4B3"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11.8%</w:t>
            </w:r>
          </w:p>
        </w:tc>
        <w:tc>
          <w:tcPr>
            <w:tcW w:w="757" w:type="dxa"/>
            <w:tcBorders>
              <w:bottom w:val="single" w:sz="4" w:space="0" w:color="auto"/>
            </w:tcBorders>
            <w:noWrap/>
            <w:tcMar>
              <w:top w:w="15" w:type="dxa"/>
              <w:left w:w="15" w:type="dxa"/>
              <w:bottom w:w="0" w:type="dxa"/>
              <w:right w:w="15" w:type="dxa"/>
            </w:tcMar>
            <w:vAlign w:val="bottom"/>
          </w:tcPr>
          <w:p w14:paraId="45F7A4B4"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3.4%</w:t>
            </w:r>
          </w:p>
        </w:tc>
        <w:tc>
          <w:tcPr>
            <w:tcW w:w="1146" w:type="dxa"/>
            <w:tcBorders>
              <w:bottom w:val="single" w:sz="4" w:space="0" w:color="auto"/>
            </w:tcBorders>
            <w:noWrap/>
            <w:tcMar>
              <w:top w:w="15" w:type="dxa"/>
              <w:left w:w="15" w:type="dxa"/>
              <w:bottom w:w="0" w:type="dxa"/>
              <w:right w:w="15" w:type="dxa"/>
            </w:tcMar>
            <w:vAlign w:val="bottom"/>
          </w:tcPr>
          <w:p w14:paraId="45F7A4B5"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8.6%</w:t>
            </w:r>
          </w:p>
        </w:tc>
        <w:tc>
          <w:tcPr>
            <w:tcW w:w="1012" w:type="dxa"/>
            <w:tcBorders>
              <w:bottom w:val="single" w:sz="4" w:space="0" w:color="auto"/>
            </w:tcBorders>
            <w:noWrap/>
            <w:tcMar>
              <w:top w:w="15" w:type="dxa"/>
              <w:left w:w="15" w:type="dxa"/>
              <w:bottom w:w="0" w:type="dxa"/>
              <w:right w:w="15" w:type="dxa"/>
            </w:tcMar>
            <w:vAlign w:val="bottom"/>
          </w:tcPr>
          <w:p w14:paraId="45F7A4B6"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18.9%</w:t>
            </w:r>
          </w:p>
        </w:tc>
        <w:tc>
          <w:tcPr>
            <w:tcW w:w="757" w:type="dxa"/>
            <w:tcBorders>
              <w:bottom w:val="single" w:sz="4" w:space="0" w:color="auto"/>
            </w:tcBorders>
            <w:noWrap/>
            <w:tcMar>
              <w:top w:w="15" w:type="dxa"/>
              <w:left w:w="15" w:type="dxa"/>
              <w:bottom w:w="0" w:type="dxa"/>
              <w:right w:w="15" w:type="dxa"/>
            </w:tcMar>
            <w:vAlign w:val="bottom"/>
          </w:tcPr>
          <w:p w14:paraId="45F7A4B7"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14.9%</w:t>
            </w:r>
          </w:p>
        </w:tc>
      </w:tr>
      <w:tr w:rsidR="00DD00F3" w14:paraId="45F7A4C1" w14:textId="77777777" w:rsidTr="00EB77A8">
        <w:trPr>
          <w:cantSplit/>
          <w:trHeight w:val="255"/>
        </w:trPr>
        <w:tc>
          <w:tcPr>
            <w:tcW w:w="934" w:type="dxa"/>
            <w:vMerge w:val="restart"/>
            <w:tcBorders>
              <w:top w:val="single" w:sz="4" w:space="0" w:color="auto"/>
              <w:right w:val="single" w:sz="12" w:space="0" w:color="000000"/>
            </w:tcBorders>
            <w:noWrap/>
            <w:tcMar>
              <w:top w:w="15" w:type="dxa"/>
              <w:left w:w="15" w:type="dxa"/>
              <w:bottom w:w="0" w:type="dxa"/>
              <w:right w:w="15" w:type="dxa"/>
            </w:tcMar>
            <w:vAlign w:val="center"/>
          </w:tcPr>
          <w:p w14:paraId="45F7A4B9"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Balearics</w:t>
            </w:r>
          </w:p>
        </w:tc>
        <w:tc>
          <w:tcPr>
            <w:tcW w:w="831" w:type="dxa"/>
            <w:tcBorders>
              <w:top w:val="single" w:sz="4" w:space="0" w:color="auto"/>
              <w:left w:val="single" w:sz="12" w:space="0" w:color="000000"/>
              <w:right w:val="single" w:sz="12" w:space="0" w:color="000000"/>
            </w:tcBorders>
            <w:noWrap/>
            <w:tcMar>
              <w:top w:w="15" w:type="dxa"/>
              <w:left w:w="15" w:type="dxa"/>
              <w:bottom w:w="0" w:type="dxa"/>
              <w:right w:w="15" w:type="dxa"/>
            </w:tcMar>
            <w:vAlign w:val="bottom"/>
          </w:tcPr>
          <w:p w14:paraId="45F7A4BA"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1-4</w:t>
            </w:r>
          </w:p>
        </w:tc>
        <w:tc>
          <w:tcPr>
            <w:tcW w:w="1146" w:type="dxa"/>
            <w:tcBorders>
              <w:top w:val="single" w:sz="4" w:space="0" w:color="auto"/>
              <w:left w:val="single" w:sz="12" w:space="0" w:color="000000"/>
            </w:tcBorders>
            <w:noWrap/>
            <w:tcMar>
              <w:top w:w="15" w:type="dxa"/>
              <w:left w:w="15" w:type="dxa"/>
              <w:bottom w:w="0" w:type="dxa"/>
              <w:right w:w="15" w:type="dxa"/>
            </w:tcMar>
            <w:vAlign w:val="bottom"/>
          </w:tcPr>
          <w:p w14:paraId="45F7A4BB"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12.3%</w:t>
            </w:r>
          </w:p>
        </w:tc>
        <w:tc>
          <w:tcPr>
            <w:tcW w:w="1012" w:type="dxa"/>
            <w:tcBorders>
              <w:top w:val="single" w:sz="4" w:space="0" w:color="auto"/>
            </w:tcBorders>
            <w:noWrap/>
            <w:tcMar>
              <w:top w:w="15" w:type="dxa"/>
              <w:left w:w="15" w:type="dxa"/>
              <w:bottom w:w="0" w:type="dxa"/>
              <w:right w:w="15" w:type="dxa"/>
            </w:tcMar>
            <w:vAlign w:val="bottom"/>
          </w:tcPr>
          <w:p w14:paraId="45F7A4BC"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19.2%</w:t>
            </w:r>
          </w:p>
        </w:tc>
        <w:tc>
          <w:tcPr>
            <w:tcW w:w="757" w:type="dxa"/>
            <w:tcBorders>
              <w:top w:val="single" w:sz="4" w:space="0" w:color="auto"/>
            </w:tcBorders>
            <w:noWrap/>
            <w:tcMar>
              <w:top w:w="15" w:type="dxa"/>
              <w:left w:w="15" w:type="dxa"/>
              <w:bottom w:w="0" w:type="dxa"/>
              <w:right w:w="15" w:type="dxa"/>
            </w:tcMar>
            <w:vAlign w:val="bottom"/>
          </w:tcPr>
          <w:p w14:paraId="45F7A4BD"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19.2%</w:t>
            </w:r>
          </w:p>
        </w:tc>
        <w:tc>
          <w:tcPr>
            <w:tcW w:w="1146" w:type="dxa"/>
            <w:tcBorders>
              <w:top w:val="single" w:sz="4" w:space="0" w:color="auto"/>
            </w:tcBorders>
            <w:noWrap/>
            <w:tcMar>
              <w:top w:w="15" w:type="dxa"/>
              <w:left w:w="15" w:type="dxa"/>
              <w:bottom w:w="0" w:type="dxa"/>
              <w:right w:w="15" w:type="dxa"/>
            </w:tcMar>
            <w:vAlign w:val="bottom"/>
          </w:tcPr>
          <w:p w14:paraId="45F7A4BE"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23.3%</w:t>
            </w:r>
          </w:p>
        </w:tc>
        <w:tc>
          <w:tcPr>
            <w:tcW w:w="1012" w:type="dxa"/>
            <w:tcBorders>
              <w:top w:val="single" w:sz="4" w:space="0" w:color="auto"/>
            </w:tcBorders>
            <w:noWrap/>
            <w:tcMar>
              <w:top w:w="15" w:type="dxa"/>
              <w:left w:w="15" w:type="dxa"/>
              <w:bottom w:w="0" w:type="dxa"/>
              <w:right w:w="15" w:type="dxa"/>
            </w:tcMar>
            <w:vAlign w:val="bottom"/>
          </w:tcPr>
          <w:p w14:paraId="45F7A4BF"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35.3%</w:t>
            </w:r>
          </w:p>
        </w:tc>
        <w:tc>
          <w:tcPr>
            <w:tcW w:w="757" w:type="dxa"/>
            <w:tcBorders>
              <w:top w:val="single" w:sz="4" w:space="0" w:color="auto"/>
            </w:tcBorders>
            <w:noWrap/>
            <w:tcMar>
              <w:top w:w="15" w:type="dxa"/>
              <w:left w:w="15" w:type="dxa"/>
              <w:bottom w:w="0" w:type="dxa"/>
              <w:right w:w="15" w:type="dxa"/>
            </w:tcMar>
            <w:vAlign w:val="bottom"/>
          </w:tcPr>
          <w:p w14:paraId="45F7A4C0"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31.0%</w:t>
            </w:r>
          </w:p>
        </w:tc>
      </w:tr>
      <w:tr w:rsidR="00DD00F3" w14:paraId="45F7A4CA" w14:textId="77777777" w:rsidTr="00EB77A8">
        <w:trPr>
          <w:cantSplit/>
          <w:trHeight w:val="255"/>
        </w:trPr>
        <w:tc>
          <w:tcPr>
            <w:tcW w:w="934" w:type="dxa"/>
            <w:vMerge/>
            <w:tcBorders>
              <w:right w:val="single" w:sz="12" w:space="0" w:color="000000"/>
            </w:tcBorders>
            <w:vAlign w:val="center"/>
          </w:tcPr>
          <w:p w14:paraId="45F7A4C2" w14:textId="77777777" w:rsidR="00DD00F3" w:rsidRDefault="00DD00F3" w:rsidP="00DD00F3">
            <w:pPr>
              <w:spacing w:before="0" w:line="240" w:lineRule="auto"/>
              <w:ind w:firstLine="0"/>
              <w:jc w:val="right"/>
              <w:rPr>
                <w:rFonts w:ascii="Arial" w:hAnsi="Arial" w:cs="Arial"/>
                <w:sz w:val="20"/>
                <w:szCs w:val="20"/>
              </w:rPr>
            </w:pPr>
          </w:p>
        </w:tc>
        <w:tc>
          <w:tcPr>
            <w:tcW w:w="831" w:type="dxa"/>
            <w:tcBorders>
              <w:left w:val="single" w:sz="12" w:space="0" w:color="000000"/>
              <w:right w:val="single" w:sz="12" w:space="0" w:color="000000"/>
            </w:tcBorders>
            <w:noWrap/>
            <w:tcMar>
              <w:top w:w="15" w:type="dxa"/>
              <w:left w:w="15" w:type="dxa"/>
              <w:bottom w:w="0" w:type="dxa"/>
              <w:right w:w="15" w:type="dxa"/>
            </w:tcMar>
            <w:vAlign w:val="bottom"/>
          </w:tcPr>
          <w:p w14:paraId="45F7A4C3"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7-20</w:t>
            </w:r>
          </w:p>
        </w:tc>
        <w:tc>
          <w:tcPr>
            <w:tcW w:w="1146" w:type="dxa"/>
            <w:tcBorders>
              <w:left w:val="single" w:sz="12" w:space="0" w:color="000000"/>
            </w:tcBorders>
            <w:noWrap/>
            <w:tcMar>
              <w:top w:w="15" w:type="dxa"/>
              <w:left w:w="15" w:type="dxa"/>
              <w:bottom w:w="0" w:type="dxa"/>
              <w:right w:w="15" w:type="dxa"/>
            </w:tcMar>
            <w:vAlign w:val="bottom"/>
          </w:tcPr>
          <w:p w14:paraId="45F7A4C4"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13.1%</w:t>
            </w:r>
          </w:p>
        </w:tc>
        <w:tc>
          <w:tcPr>
            <w:tcW w:w="1012" w:type="dxa"/>
            <w:noWrap/>
            <w:tcMar>
              <w:top w:w="15" w:type="dxa"/>
              <w:left w:w="15" w:type="dxa"/>
              <w:bottom w:w="0" w:type="dxa"/>
              <w:right w:w="15" w:type="dxa"/>
            </w:tcMar>
            <w:vAlign w:val="bottom"/>
          </w:tcPr>
          <w:p w14:paraId="45F7A4C5"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18.4%</w:t>
            </w:r>
          </w:p>
        </w:tc>
        <w:tc>
          <w:tcPr>
            <w:tcW w:w="757" w:type="dxa"/>
            <w:noWrap/>
            <w:tcMar>
              <w:top w:w="15" w:type="dxa"/>
              <w:left w:w="15" w:type="dxa"/>
              <w:bottom w:w="0" w:type="dxa"/>
              <w:right w:w="15" w:type="dxa"/>
            </w:tcMar>
            <w:vAlign w:val="bottom"/>
          </w:tcPr>
          <w:p w14:paraId="45F7A4C6"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19.8%</w:t>
            </w:r>
          </w:p>
        </w:tc>
        <w:tc>
          <w:tcPr>
            <w:tcW w:w="1146" w:type="dxa"/>
            <w:noWrap/>
            <w:tcMar>
              <w:top w:w="15" w:type="dxa"/>
              <w:left w:w="15" w:type="dxa"/>
              <w:bottom w:w="0" w:type="dxa"/>
              <w:right w:w="15" w:type="dxa"/>
            </w:tcMar>
            <w:vAlign w:val="bottom"/>
          </w:tcPr>
          <w:p w14:paraId="45F7A4C7"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17.1%</w:t>
            </w:r>
          </w:p>
        </w:tc>
        <w:tc>
          <w:tcPr>
            <w:tcW w:w="1012" w:type="dxa"/>
            <w:noWrap/>
            <w:tcMar>
              <w:top w:w="15" w:type="dxa"/>
              <w:left w:w="15" w:type="dxa"/>
              <w:bottom w:w="0" w:type="dxa"/>
              <w:right w:w="15" w:type="dxa"/>
            </w:tcMar>
            <w:vAlign w:val="bottom"/>
          </w:tcPr>
          <w:p w14:paraId="45F7A4C8"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25.1%</w:t>
            </w:r>
          </w:p>
        </w:tc>
        <w:tc>
          <w:tcPr>
            <w:tcW w:w="757" w:type="dxa"/>
            <w:noWrap/>
            <w:tcMar>
              <w:top w:w="15" w:type="dxa"/>
              <w:left w:w="15" w:type="dxa"/>
              <w:bottom w:w="0" w:type="dxa"/>
              <w:right w:w="15" w:type="dxa"/>
            </w:tcMar>
            <w:vAlign w:val="bottom"/>
          </w:tcPr>
          <w:p w14:paraId="45F7A4C9"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22.6%</w:t>
            </w:r>
          </w:p>
        </w:tc>
      </w:tr>
      <w:tr w:rsidR="00DD00F3" w14:paraId="45F7A4D3" w14:textId="77777777" w:rsidTr="00EB77A8">
        <w:trPr>
          <w:cantSplit/>
          <w:trHeight w:val="255"/>
        </w:trPr>
        <w:tc>
          <w:tcPr>
            <w:tcW w:w="934" w:type="dxa"/>
            <w:vMerge/>
            <w:tcBorders>
              <w:right w:val="single" w:sz="12" w:space="0" w:color="000000"/>
            </w:tcBorders>
            <w:vAlign w:val="center"/>
          </w:tcPr>
          <w:p w14:paraId="45F7A4CB" w14:textId="77777777" w:rsidR="00DD00F3" w:rsidRDefault="00DD00F3" w:rsidP="00DD00F3">
            <w:pPr>
              <w:spacing w:before="0" w:line="240" w:lineRule="auto"/>
              <w:ind w:firstLine="0"/>
              <w:jc w:val="right"/>
              <w:rPr>
                <w:rFonts w:ascii="Arial" w:hAnsi="Arial" w:cs="Arial"/>
                <w:sz w:val="20"/>
                <w:szCs w:val="20"/>
              </w:rPr>
            </w:pPr>
          </w:p>
        </w:tc>
        <w:tc>
          <w:tcPr>
            <w:tcW w:w="831" w:type="dxa"/>
            <w:tcBorders>
              <w:left w:val="single" w:sz="12" w:space="0" w:color="000000"/>
              <w:right w:val="single" w:sz="12" w:space="0" w:color="000000"/>
            </w:tcBorders>
            <w:noWrap/>
            <w:tcMar>
              <w:top w:w="15" w:type="dxa"/>
              <w:left w:w="15" w:type="dxa"/>
              <w:bottom w:w="0" w:type="dxa"/>
              <w:right w:w="15" w:type="dxa"/>
            </w:tcMar>
            <w:vAlign w:val="bottom"/>
          </w:tcPr>
          <w:p w14:paraId="45F7A4CC"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25-40</w:t>
            </w:r>
          </w:p>
        </w:tc>
        <w:tc>
          <w:tcPr>
            <w:tcW w:w="1146" w:type="dxa"/>
            <w:tcBorders>
              <w:left w:val="single" w:sz="12" w:space="0" w:color="000000"/>
            </w:tcBorders>
            <w:noWrap/>
            <w:tcMar>
              <w:top w:w="15" w:type="dxa"/>
              <w:left w:w="15" w:type="dxa"/>
              <w:bottom w:w="0" w:type="dxa"/>
              <w:right w:w="15" w:type="dxa"/>
            </w:tcMar>
            <w:vAlign w:val="bottom"/>
          </w:tcPr>
          <w:p w14:paraId="45F7A4CD"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16.0%</w:t>
            </w:r>
          </w:p>
        </w:tc>
        <w:tc>
          <w:tcPr>
            <w:tcW w:w="1012" w:type="dxa"/>
            <w:noWrap/>
            <w:tcMar>
              <w:top w:w="15" w:type="dxa"/>
              <w:left w:w="15" w:type="dxa"/>
              <w:bottom w:w="0" w:type="dxa"/>
              <w:right w:w="15" w:type="dxa"/>
            </w:tcMar>
            <w:vAlign w:val="bottom"/>
          </w:tcPr>
          <w:p w14:paraId="45F7A4CE"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18.6%</w:t>
            </w:r>
          </w:p>
        </w:tc>
        <w:tc>
          <w:tcPr>
            <w:tcW w:w="757" w:type="dxa"/>
            <w:noWrap/>
            <w:tcMar>
              <w:top w:w="15" w:type="dxa"/>
              <w:left w:w="15" w:type="dxa"/>
              <w:bottom w:w="0" w:type="dxa"/>
              <w:right w:w="15" w:type="dxa"/>
            </w:tcMar>
            <w:vAlign w:val="bottom"/>
          </w:tcPr>
          <w:p w14:paraId="45F7A4CF"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22.6%</w:t>
            </w:r>
          </w:p>
        </w:tc>
        <w:tc>
          <w:tcPr>
            <w:tcW w:w="1146" w:type="dxa"/>
            <w:noWrap/>
            <w:tcMar>
              <w:top w:w="15" w:type="dxa"/>
              <w:left w:w="15" w:type="dxa"/>
              <w:bottom w:w="0" w:type="dxa"/>
              <w:right w:w="15" w:type="dxa"/>
            </w:tcMar>
            <w:vAlign w:val="bottom"/>
          </w:tcPr>
          <w:p w14:paraId="45F7A4D0"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13.7%</w:t>
            </w:r>
          </w:p>
        </w:tc>
        <w:tc>
          <w:tcPr>
            <w:tcW w:w="1012" w:type="dxa"/>
            <w:noWrap/>
            <w:tcMar>
              <w:top w:w="15" w:type="dxa"/>
              <w:left w:w="15" w:type="dxa"/>
              <w:bottom w:w="0" w:type="dxa"/>
              <w:right w:w="15" w:type="dxa"/>
            </w:tcMar>
            <w:vAlign w:val="bottom"/>
          </w:tcPr>
          <w:p w14:paraId="45F7A4D1"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18.8%</w:t>
            </w:r>
          </w:p>
        </w:tc>
        <w:tc>
          <w:tcPr>
            <w:tcW w:w="757" w:type="dxa"/>
            <w:noWrap/>
            <w:tcMar>
              <w:top w:w="15" w:type="dxa"/>
              <w:left w:w="15" w:type="dxa"/>
              <w:bottom w:w="0" w:type="dxa"/>
              <w:right w:w="15" w:type="dxa"/>
            </w:tcMar>
            <w:vAlign w:val="bottom"/>
          </w:tcPr>
          <w:p w14:paraId="45F7A4D2"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21.7%</w:t>
            </w:r>
          </w:p>
        </w:tc>
      </w:tr>
      <w:tr w:rsidR="00DD00F3" w14:paraId="45F7A4DC" w14:textId="77777777" w:rsidTr="00EB77A8">
        <w:trPr>
          <w:cantSplit/>
          <w:trHeight w:val="255"/>
        </w:trPr>
        <w:tc>
          <w:tcPr>
            <w:tcW w:w="934" w:type="dxa"/>
            <w:vMerge/>
            <w:tcBorders>
              <w:right w:val="single" w:sz="12" w:space="0" w:color="000000"/>
            </w:tcBorders>
            <w:vAlign w:val="center"/>
          </w:tcPr>
          <w:p w14:paraId="45F7A4D4" w14:textId="77777777" w:rsidR="00DD00F3" w:rsidRDefault="00DD00F3" w:rsidP="00DD00F3">
            <w:pPr>
              <w:spacing w:before="0" w:line="240" w:lineRule="auto"/>
              <w:ind w:firstLine="0"/>
              <w:jc w:val="right"/>
              <w:rPr>
                <w:rFonts w:ascii="Arial" w:hAnsi="Arial" w:cs="Arial"/>
                <w:sz w:val="20"/>
                <w:szCs w:val="20"/>
              </w:rPr>
            </w:pPr>
          </w:p>
        </w:tc>
        <w:tc>
          <w:tcPr>
            <w:tcW w:w="831" w:type="dxa"/>
            <w:tcBorders>
              <w:left w:val="single" w:sz="12" w:space="0" w:color="000000"/>
              <w:bottom w:val="single" w:sz="12" w:space="0" w:color="000000"/>
              <w:right w:val="single" w:sz="12" w:space="0" w:color="000000"/>
            </w:tcBorders>
            <w:noWrap/>
            <w:tcMar>
              <w:top w:w="15" w:type="dxa"/>
              <w:left w:w="15" w:type="dxa"/>
              <w:bottom w:w="0" w:type="dxa"/>
              <w:right w:w="15" w:type="dxa"/>
            </w:tcMar>
            <w:vAlign w:val="bottom"/>
          </w:tcPr>
          <w:p w14:paraId="45F7A4D5"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45-70</w:t>
            </w:r>
          </w:p>
        </w:tc>
        <w:tc>
          <w:tcPr>
            <w:tcW w:w="1146" w:type="dxa"/>
            <w:tcBorders>
              <w:left w:val="single" w:sz="12" w:space="0" w:color="000000"/>
            </w:tcBorders>
            <w:noWrap/>
            <w:tcMar>
              <w:top w:w="15" w:type="dxa"/>
              <w:left w:w="15" w:type="dxa"/>
              <w:bottom w:w="0" w:type="dxa"/>
              <w:right w:w="15" w:type="dxa"/>
            </w:tcMar>
            <w:vAlign w:val="bottom"/>
          </w:tcPr>
          <w:p w14:paraId="45F7A4D6"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18.8%</w:t>
            </w:r>
          </w:p>
        </w:tc>
        <w:tc>
          <w:tcPr>
            <w:tcW w:w="1012" w:type="dxa"/>
            <w:noWrap/>
            <w:tcMar>
              <w:top w:w="15" w:type="dxa"/>
              <w:left w:w="15" w:type="dxa"/>
              <w:bottom w:w="0" w:type="dxa"/>
              <w:right w:w="15" w:type="dxa"/>
            </w:tcMar>
            <w:vAlign w:val="bottom"/>
          </w:tcPr>
          <w:p w14:paraId="45F7A4D7"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16.0%</w:t>
            </w:r>
          </w:p>
        </w:tc>
        <w:tc>
          <w:tcPr>
            <w:tcW w:w="757" w:type="dxa"/>
            <w:noWrap/>
            <w:tcMar>
              <w:top w:w="15" w:type="dxa"/>
              <w:left w:w="15" w:type="dxa"/>
              <w:bottom w:w="0" w:type="dxa"/>
              <w:right w:w="15" w:type="dxa"/>
            </w:tcMar>
            <w:vAlign w:val="bottom"/>
          </w:tcPr>
          <w:p w14:paraId="45F7A4D8"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9.0%</w:t>
            </w:r>
          </w:p>
        </w:tc>
        <w:tc>
          <w:tcPr>
            <w:tcW w:w="1146" w:type="dxa"/>
            <w:noWrap/>
            <w:tcMar>
              <w:top w:w="15" w:type="dxa"/>
              <w:left w:w="15" w:type="dxa"/>
              <w:bottom w:w="0" w:type="dxa"/>
              <w:right w:w="15" w:type="dxa"/>
            </w:tcMar>
            <w:vAlign w:val="bottom"/>
          </w:tcPr>
          <w:p w14:paraId="45F7A4D9"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9.2%</w:t>
            </w:r>
          </w:p>
        </w:tc>
        <w:tc>
          <w:tcPr>
            <w:tcW w:w="1012" w:type="dxa"/>
            <w:noWrap/>
            <w:tcMar>
              <w:top w:w="15" w:type="dxa"/>
              <w:left w:w="15" w:type="dxa"/>
              <w:bottom w:w="0" w:type="dxa"/>
              <w:right w:w="15" w:type="dxa"/>
            </w:tcMar>
            <w:vAlign w:val="bottom"/>
          </w:tcPr>
          <w:p w14:paraId="45F7A4DA"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15.9%</w:t>
            </w:r>
          </w:p>
        </w:tc>
        <w:tc>
          <w:tcPr>
            <w:tcW w:w="757" w:type="dxa"/>
            <w:noWrap/>
            <w:tcMar>
              <w:top w:w="15" w:type="dxa"/>
              <w:left w:w="15" w:type="dxa"/>
              <w:bottom w:w="0" w:type="dxa"/>
              <w:right w:w="15" w:type="dxa"/>
            </w:tcMar>
            <w:vAlign w:val="bottom"/>
          </w:tcPr>
          <w:p w14:paraId="45F7A4DB" w14:textId="77777777" w:rsidR="00DD00F3" w:rsidRDefault="00DD00F3" w:rsidP="00DD00F3">
            <w:pPr>
              <w:spacing w:before="0" w:line="240" w:lineRule="auto"/>
              <w:ind w:firstLine="0"/>
              <w:jc w:val="right"/>
              <w:rPr>
                <w:rFonts w:ascii="Arial" w:hAnsi="Arial" w:cs="Arial"/>
                <w:sz w:val="20"/>
                <w:szCs w:val="20"/>
              </w:rPr>
            </w:pPr>
            <w:r>
              <w:rPr>
                <w:rFonts w:ascii="Arial" w:hAnsi="Arial" w:cs="Arial"/>
                <w:sz w:val="20"/>
                <w:szCs w:val="20"/>
              </w:rPr>
              <w:t>12.4%</w:t>
            </w:r>
          </w:p>
        </w:tc>
      </w:tr>
    </w:tbl>
    <w:p w14:paraId="45F7A4DD" w14:textId="77777777" w:rsidR="00225E00" w:rsidRDefault="00225E00" w:rsidP="00E727AF"/>
    <w:p w14:paraId="45F7A4DE" w14:textId="77777777" w:rsidR="00225E00" w:rsidRPr="00225E00" w:rsidRDefault="00225E00" w:rsidP="00AF540D">
      <w:pPr>
        <w:pStyle w:val="Caption"/>
        <w:keepNext/>
        <w:ind w:firstLine="0"/>
        <w:rPr>
          <w:sz w:val="22"/>
          <w:szCs w:val="22"/>
        </w:rPr>
      </w:pPr>
      <w:r w:rsidRPr="00225E00">
        <w:rPr>
          <w:sz w:val="22"/>
          <w:szCs w:val="22"/>
        </w:rPr>
        <w:t xml:space="preserve">Figure </w:t>
      </w:r>
      <w:r w:rsidR="001E4C3B">
        <w:rPr>
          <w:sz w:val="22"/>
          <w:szCs w:val="22"/>
        </w:rPr>
        <w:fldChar w:fldCharType="begin"/>
      </w:r>
      <w:r w:rsidR="00E926EB">
        <w:rPr>
          <w:sz w:val="22"/>
          <w:szCs w:val="22"/>
        </w:rPr>
        <w:instrText xml:space="preserve"> SEQ Figure \* ARABIC </w:instrText>
      </w:r>
      <w:r w:rsidR="001E4C3B">
        <w:rPr>
          <w:sz w:val="22"/>
          <w:szCs w:val="22"/>
        </w:rPr>
        <w:fldChar w:fldCharType="separate"/>
      </w:r>
      <w:r w:rsidR="002D5348">
        <w:rPr>
          <w:noProof/>
          <w:sz w:val="22"/>
          <w:szCs w:val="22"/>
        </w:rPr>
        <w:t>1</w:t>
      </w:r>
      <w:r w:rsidR="001E4C3B">
        <w:rPr>
          <w:sz w:val="22"/>
          <w:szCs w:val="22"/>
        </w:rPr>
        <w:fldChar w:fldCharType="end"/>
      </w:r>
      <w:r w:rsidRPr="00225E00">
        <w:rPr>
          <w:sz w:val="22"/>
          <w:szCs w:val="22"/>
        </w:rPr>
        <w:t xml:space="preserve"> – Estimated Probability of observing, for each day of stay, at least a price variation over the booking period - by star classification and customer rating clusters.</w:t>
      </w:r>
    </w:p>
    <w:p w14:paraId="45F7A4DF" w14:textId="77777777" w:rsidR="002D66E3" w:rsidRDefault="002D66E3" w:rsidP="00AF540D">
      <w:pPr>
        <w:ind w:firstLine="0"/>
      </w:pPr>
      <w:r>
        <w:rPr>
          <w:noProof/>
          <w:lang w:val="it-IT" w:eastAsia="it-IT"/>
        </w:rPr>
        <w:drawing>
          <wp:inline distT="0" distB="0" distL="0" distR="0" wp14:anchorId="45F7A57A" wp14:editId="45F7A57B">
            <wp:extent cx="5543550" cy="4031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BD_score_stelle_FIgure1.png"/>
                    <pic:cNvPicPr/>
                  </pic:nvPicPr>
                  <pic:blipFill>
                    <a:blip r:embed="rId11"/>
                    <a:stretch>
                      <a:fillRect/>
                    </a:stretch>
                  </pic:blipFill>
                  <pic:spPr>
                    <a:xfrm>
                      <a:off x="0" y="0"/>
                      <a:ext cx="5543550" cy="4031615"/>
                    </a:xfrm>
                    <a:prstGeom prst="rect">
                      <a:avLst/>
                    </a:prstGeom>
                  </pic:spPr>
                </pic:pic>
              </a:graphicData>
            </a:graphic>
          </wp:inline>
        </w:drawing>
      </w:r>
    </w:p>
    <w:p w14:paraId="45F7A4E0" w14:textId="77777777" w:rsidR="000B0837" w:rsidRDefault="000B0837" w:rsidP="00E727AF">
      <w:r>
        <w:br w:type="page"/>
      </w:r>
    </w:p>
    <w:p w14:paraId="45F7A4E1" w14:textId="77777777" w:rsidR="00225E00" w:rsidRDefault="00225E00" w:rsidP="000B0837"/>
    <w:p w14:paraId="45F7A4E2" w14:textId="77777777" w:rsidR="00225E00" w:rsidRPr="00225E00" w:rsidRDefault="00225E00" w:rsidP="00AF540D">
      <w:pPr>
        <w:pStyle w:val="Caption"/>
        <w:keepNext/>
        <w:ind w:firstLine="0"/>
        <w:rPr>
          <w:sz w:val="22"/>
          <w:szCs w:val="22"/>
        </w:rPr>
      </w:pPr>
      <w:r w:rsidRPr="00225E00">
        <w:rPr>
          <w:sz w:val="22"/>
          <w:szCs w:val="22"/>
        </w:rPr>
        <w:t xml:space="preserve">Figure </w:t>
      </w:r>
      <w:r w:rsidR="001E4C3B">
        <w:rPr>
          <w:sz w:val="22"/>
          <w:szCs w:val="22"/>
        </w:rPr>
        <w:fldChar w:fldCharType="begin"/>
      </w:r>
      <w:r w:rsidR="00E926EB">
        <w:rPr>
          <w:sz w:val="22"/>
          <w:szCs w:val="22"/>
        </w:rPr>
        <w:instrText xml:space="preserve"> SEQ Figure \* ARABIC </w:instrText>
      </w:r>
      <w:r w:rsidR="001E4C3B">
        <w:rPr>
          <w:sz w:val="22"/>
          <w:szCs w:val="22"/>
        </w:rPr>
        <w:fldChar w:fldCharType="separate"/>
      </w:r>
      <w:r w:rsidR="002D5348">
        <w:rPr>
          <w:noProof/>
          <w:sz w:val="22"/>
          <w:szCs w:val="22"/>
        </w:rPr>
        <w:t>2</w:t>
      </w:r>
      <w:r w:rsidR="001E4C3B">
        <w:rPr>
          <w:sz w:val="22"/>
          <w:szCs w:val="22"/>
        </w:rPr>
        <w:fldChar w:fldCharType="end"/>
      </w:r>
      <w:r w:rsidRPr="00225E00">
        <w:rPr>
          <w:sz w:val="22"/>
          <w:szCs w:val="22"/>
        </w:rPr>
        <w:t xml:space="preserve"> – Estimated Probability of observing, for each day of stay, at least a price variation over the booking period - by star classification and size clusters.</w:t>
      </w:r>
    </w:p>
    <w:p w14:paraId="45F7A4E3" w14:textId="77777777" w:rsidR="000B0837" w:rsidRDefault="00225E00" w:rsidP="00AF540D">
      <w:pPr>
        <w:ind w:firstLine="0"/>
      </w:pPr>
      <w:r>
        <w:rPr>
          <w:noProof/>
          <w:lang w:val="it-IT" w:eastAsia="it-IT"/>
        </w:rPr>
        <w:drawing>
          <wp:inline distT="0" distB="0" distL="0" distR="0" wp14:anchorId="45F7A57C" wp14:editId="45F7A57D">
            <wp:extent cx="5543550" cy="4031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NBD_size_stelle_Fig2.png"/>
                    <pic:cNvPicPr/>
                  </pic:nvPicPr>
                  <pic:blipFill>
                    <a:blip r:embed="rId12"/>
                    <a:stretch>
                      <a:fillRect/>
                    </a:stretch>
                  </pic:blipFill>
                  <pic:spPr>
                    <a:xfrm>
                      <a:off x="0" y="0"/>
                      <a:ext cx="5543550" cy="4031615"/>
                    </a:xfrm>
                    <a:prstGeom prst="rect">
                      <a:avLst/>
                    </a:prstGeom>
                  </pic:spPr>
                </pic:pic>
              </a:graphicData>
            </a:graphic>
          </wp:inline>
        </w:drawing>
      </w:r>
    </w:p>
    <w:p w14:paraId="45F7A4E4" w14:textId="77777777" w:rsidR="0021177C" w:rsidRDefault="0021177C" w:rsidP="000B0837"/>
    <w:p w14:paraId="45F7A4E5" w14:textId="77777777" w:rsidR="0021177C" w:rsidRPr="0021177C" w:rsidRDefault="0021177C" w:rsidP="00AF540D">
      <w:pPr>
        <w:pStyle w:val="Caption"/>
        <w:keepNext/>
        <w:ind w:firstLine="0"/>
        <w:rPr>
          <w:sz w:val="22"/>
          <w:szCs w:val="22"/>
        </w:rPr>
      </w:pPr>
      <w:r w:rsidRPr="0021177C">
        <w:rPr>
          <w:sz w:val="22"/>
          <w:szCs w:val="22"/>
        </w:rPr>
        <w:lastRenderedPageBreak/>
        <w:t xml:space="preserve">Figure </w:t>
      </w:r>
      <w:r w:rsidR="001E4C3B">
        <w:rPr>
          <w:sz w:val="22"/>
          <w:szCs w:val="22"/>
        </w:rPr>
        <w:fldChar w:fldCharType="begin"/>
      </w:r>
      <w:r w:rsidR="00E926EB">
        <w:rPr>
          <w:sz w:val="22"/>
          <w:szCs w:val="22"/>
        </w:rPr>
        <w:instrText xml:space="preserve"> SEQ Figure \* ARABIC </w:instrText>
      </w:r>
      <w:r w:rsidR="001E4C3B">
        <w:rPr>
          <w:sz w:val="22"/>
          <w:szCs w:val="22"/>
        </w:rPr>
        <w:fldChar w:fldCharType="separate"/>
      </w:r>
      <w:r w:rsidR="002D5348">
        <w:rPr>
          <w:noProof/>
          <w:sz w:val="22"/>
          <w:szCs w:val="22"/>
        </w:rPr>
        <w:t>3</w:t>
      </w:r>
      <w:r w:rsidR="001E4C3B">
        <w:rPr>
          <w:sz w:val="22"/>
          <w:szCs w:val="22"/>
        </w:rPr>
        <w:fldChar w:fldCharType="end"/>
      </w:r>
      <w:r w:rsidRPr="0021177C">
        <w:rPr>
          <w:sz w:val="22"/>
          <w:szCs w:val="22"/>
        </w:rPr>
        <w:t>– Estimated Probability of observing, for each day of stay, at least a price variation over the booking period - by star classification and seasonal period.</w:t>
      </w:r>
    </w:p>
    <w:p w14:paraId="45F7A4E6" w14:textId="77777777" w:rsidR="00225E00" w:rsidRDefault="00225E00" w:rsidP="00AF540D">
      <w:pPr>
        <w:ind w:firstLine="0"/>
      </w:pPr>
      <w:r>
        <w:rPr>
          <w:noProof/>
          <w:lang w:val="it-IT" w:eastAsia="it-IT"/>
        </w:rPr>
        <w:drawing>
          <wp:inline distT="0" distB="0" distL="0" distR="0" wp14:anchorId="45F7A57E" wp14:editId="45F7A57F">
            <wp:extent cx="5543550" cy="40316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NBD_season_stelle_Fig3.png"/>
                    <pic:cNvPicPr/>
                  </pic:nvPicPr>
                  <pic:blipFill>
                    <a:blip r:embed="rId13"/>
                    <a:stretch>
                      <a:fillRect/>
                    </a:stretch>
                  </pic:blipFill>
                  <pic:spPr>
                    <a:xfrm>
                      <a:off x="0" y="0"/>
                      <a:ext cx="5543550" cy="4031615"/>
                    </a:xfrm>
                    <a:prstGeom prst="rect">
                      <a:avLst/>
                    </a:prstGeom>
                  </pic:spPr>
                </pic:pic>
              </a:graphicData>
            </a:graphic>
          </wp:inline>
        </w:drawing>
      </w:r>
    </w:p>
    <w:p w14:paraId="45F7A4E7" w14:textId="77777777" w:rsidR="000B0837" w:rsidRDefault="000B0837">
      <w:pPr>
        <w:spacing w:before="0" w:line="240" w:lineRule="auto"/>
        <w:ind w:firstLine="0"/>
        <w:contextualSpacing w:val="0"/>
        <w:jc w:val="left"/>
      </w:pPr>
      <w:r>
        <w:br w:type="page"/>
      </w:r>
    </w:p>
    <w:p w14:paraId="45F7A4E8" w14:textId="77777777" w:rsidR="0021177C" w:rsidRDefault="0021177C"/>
    <w:p w14:paraId="45F7A4E9" w14:textId="77777777" w:rsidR="0021177C" w:rsidRPr="0021177C" w:rsidRDefault="0021177C" w:rsidP="00AF540D">
      <w:pPr>
        <w:pStyle w:val="Caption"/>
        <w:keepNext/>
        <w:ind w:firstLine="0"/>
        <w:rPr>
          <w:sz w:val="22"/>
          <w:szCs w:val="22"/>
        </w:rPr>
      </w:pPr>
      <w:r w:rsidRPr="0021177C">
        <w:rPr>
          <w:sz w:val="22"/>
          <w:szCs w:val="22"/>
        </w:rPr>
        <w:t xml:space="preserve">Figure </w:t>
      </w:r>
      <w:r w:rsidR="001E4C3B">
        <w:rPr>
          <w:sz w:val="22"/>
          <w:szCs w:val="22"/>
        </w:rPr>
        <w:fldChar w:fldCharType="begin"/>
      </w:r>
      <w:r w:rsidR="00E926EB">
        <w:rPr>
          <w:sz w:val="22"/>
          <w:szCs w:val="22"/>
        </w:rPr>
        <w:instrText xml:space="preserve"> SEQ Figure \* ARABIC </w:instrText>
      </w:r>
      <w:r w:rsidR="001E4C3B">
        <w:rPr>
          <w:sz w:val="22"/>
          <w:szCs w:val="22"/>
        </w:rPr>
        <w:fldChar w:fldCharType="separate"/>
      </w:r>
      <w:r w:rsidR="002D5348">
        <w:rPr>
          <w:noProof/>
          <w:sz w:val="22"/>
          <w:szCs w:val="22"/>
        </w:rPr>
        <w:t>4</w:t>
      </w:r>
      <w:r w:rsidR="001E4C3B">
        <w:rPr>
          <w:sz w:val="22"/>
          <w:szCs w:val="22"/>
        </w:rPr>
        <w:fldChar w:fldCharType="end"/>
      </w:r>
      <w:r w:rsidRPr="0021177C">
        <w:rPr>
          <w:sz w:val="22"/>
          <w:szCs w:val="22"/>
        </w:rPr>
        <w:t xml:space="preserve"> – Estimated Probability of observing, for each day of stay, at least a price variation over the booking period - by star classification and chain membership.</w:t>
      </w:r>
    </w:p>
    <w:p w14:paraId="45F7A4EA" w14:textId="77777777" w:rsidR="00CC0329" w:rsidRDefault="0021177C" w:rsidP="00D92A4C">
      <w:pPr>
        <w:ind w:firstLine="0"/>
      </w:pPr>
      <w:r>
        <w:rPr>
          <w:noProof/>
          <w:lang w:val="it-IT" w:eastAsia="it-IT"/>
        </w:rPr>
        <w:drawing>
          <wp:inline distT="0" distB="0" distL="0" distR="0" wp14:anchorId="45F7A580" wp14:editId="45F7A581">
            <wp:extent cx="5543550" cy="40316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NBD_chain_stelle_Fig4.png"/>
                    <pic:cNvPicPr/>
                  </pic:nvPicPr>
                  <pic:blipFill>
                    <a:blip r:embed="rId14"/>
                    <a:stretch>
                      <a:fillRect/>
                    </a:stretch>
                  </pic:blipFill>
                  <pic:spPr>
                    <a:xfrm>
                      <a:off x="0" y="0"/>
                      <a:ext cx="5543550" cy="4031615"/>
                    </a:xfrm>
                    <a:prstGeom prst="rect">
                      <a:avLst/>
                    </a:prstGeom>
                  </pic:spPr>
                </pic:pic>
              </a:graphicData>
            </a:graphic>
          </wp:inline>
        </w:drawing>
      </w:r>
    </w:p>
    <w:p w14:paraId="45F7A4EB" w14:textId="77777777" w:rsidR="00C540A4" w:rsidRDefault="00C540A4"/>
    <w:p w14:paraId="45F7A4EC" w14:textId="77777777" w:rsidR="000B0837" w:rsidRDefault="000B0837">
      <w:pPr>
        <w:spacing w:before="0" w:line="240" w:lineRule="auto"/>
        <w:ind w:firstLine="0"/>
        <w:contextualSpacing w:val="0"/>
        <w:jc w:val="left"/>
      </w:pPr>
      <w:bookmarkStart w:id="2" w:name="OLE_LINK8"/>
      <w:bookmarkStart w:id="3" w:name="OLE_LINK9"/>
      <w:bookmarkStart w:id="4" w:name="OLE_LINK10"/>
      <w:bookmarkStart w:id="5" w:name="OLE_LINK11"/>
      <w:r>
        <w:br w:type="page"/>
      </w:r>
    </w:p>
    <w:bookmarkEnd w:id="2"/>
    <w:bookmarkEnd w:id="3"/>
    <w:bookmarkEnd w:id="4"/>
    <w:bookmarkEnd w:id="5"/>
    <w:p w14:paraId="45F7A4ED" w14:textId="77777777" w:rsidR="00AC215D" w:rsidRDefault="00AC215D" w:rsidP="00AC215D"/>
    <w:p w14:paraId="45F7A4EE" w14:textId="77777777" w:rsidR="00AC215D" w:rsidRDefault="00AC215D" w:rsidP="00AF540D">
      <w:pPr>
        <w:pStyle w:val="Caption"/>
        <w:keepNext/>
        <w:ind w:firstLine="0"/>
      </w:pPr>
      <w:r w:rsidRPr="00B1572E">
        <w:rPr>
          <w:sz w:val="22"/>
          <w:szCs w:val="22"/>
        </w:rPr>
        <w:t xml:space="preserve">Figure </w:t>
      </w:r>
      <w:r w:rsidR="001E4C3B">
        <w:rPr>
          <w:sz w:val="22"/>
          <w:szCs w:val="22"/>
        </w:rPr>
        <w:fldChar w:fldCharType="begin"/>
      </w:r>
      <w:r w:rsidR="00E926EB">
        <w:rPr>
          <w:sz w:val="22"/>
          <w:szCs w:val="22"/>
        </w:rPr>
        <w:instrText xml:space="preserve"> SEQ Figure \* ARABIC </w:instrText>
      </w:r>
      <w:r w:rsidR="001E4C3B">
        <w:rPr>
          <w:sz w:val="22"/>
          <w:szCs w:val="22"/>
        </w:rPr>
        <w:fldChar w:fldCharType="separate"/>
      </w:r>
      <w:r w:rsidR="002D5348">
        <w:rPr>
          <w:noProof/>
          <w:sz w:val="22"/>
          <w:szCs w:val="22"/>
        </w:rPr>
        <w:t>5</w:t>
      </w:r>
      <w:r w:rsidR="001E4C3B">
        <w:rPr>
          <w:sz w:val="22"/>
          <w:szCs w:val="22"/>
        </w:rPr>
        <w:fldChar w:fldCharType="end"/>
      </w:r>
      <w:r w:rsidRPr="00B1572E">
        <w:rPr>
          <w:sz w:val="22"/>
          <w:szCs w:val="22"/>
        </w:rPr>
        <w:t xml:space="preserve"> - Estimated Probability of a price change over any day of the booking period – by star classification and number of days from query to stay</w:t>
      </w:r>
      <w:r w:rsidRPr="00F428CD">
        <w:t>.</w:t>
      </w:r>
    </w:p>
    <w:p w14:paraId="45F7A4EF" w14:textId="77777777" w:rsidR="00AC215D" w:rsidRDefault="00AC215D" w:rsidP="00AF540D">
      <w:pPr>
        <w:ind w:firstLine="0"/>
      </w:pPr>
      <w:r>
        <w:rPr>
          <w:noProof/>
          <w:lang w:val="it-IT" w:eastAsia="it-IT"/>
        </w:rPr>
        <w:drawing>
          <wp:inline distT="0" distB="0" distL="0" distR="0" wp14:anchorId="45F7A582" wp14:editId="45F7A583">
            <wp:extent cx="5543550" cy="40316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BD_stelle_Fig5.png"/>
                    <pic:cNvPicPr/>
                  </pic:nvPicPr>
                  <pic:blipFill>
                    <a:blip r:embed="rId15"/>
                    <a:stretch>
                      <a:fillRect/>
                    </a:stretch>
                  </pic:blipFill>
                  <pic:spPr>
                    <a:xfrm>
                      <a:off x="0" y="0"/>
                      <a:ext cx="5543550" cy="4031615"/>
                    </a:xfrm>
                    <a:prstGeom prst="rect">
                      <a:avLst/>
                    </a:prstGeom>
                  </pic:spPr>
                </pic:pic>
              </a:graphicData>
            </a:graphic>
          </wp:inline>
        </w:drawing>
      </w:r>
    </w:p>
    <w:p w14:paraId="45F7A4F0" w14:textId="77777777" w:rsidR="00AC215D" w:rsidRDefault="00AC215D" w:rsidP="00AC215D">
      <w:pPr>
        <w:spacing w:before="0" w:line="240" w:lineRule="auto"/>
        <w:ind w:firstLine="0"/>
        <w:contextualSpacing w:val="0"/>
        <w:jc w:val="left"/>
      </w:pPr>
      <w:r>
        <w:br w:type="page"/>
      </w:r>
    </w:p>
    <w:p w14:paraId="45F7A4F1" w14:textId="77777777" w:rsidR="00AC215D" w:rsidRDefault="00AC215D" w:rsidP="00AC215D"/>
    <w:p w14:paraId="45F7A4F2" w14:textId="77777777" w:rsidR="00AC215D" w:rsidRPr="00B1572E" w:rsidRDefault="00AC215D" w:rsidP="00AF540D">
      <w:pPr>
        <w:pStyle w:val="Caption"/>
        <w:keepNext/>
        <w:ind w:firstLine="0"/>
        <w:rPr>
          <w:sz w:val="22"/>
          <w:szCs w:val="22"/>
        </w:rPr>
      </w:pPr>
      <w:r w:rsidRPr="00B1572E">
        <w:rPr>
          <w:sz w:val="22"/>
          <w:szCs w:val="22"/>
        </w:rPr>
        <w:t xml:space="preserve">Figure </w:t>
      </w:r>
      <w:r w:rsidR="001E4C3B">
        <w:rPr>
          <w:sz w:val="22"/>
          <w:szCs w:val="22"/>
        </w:rPr>
        <w:fldChar w:fldCharType="begin"/>
      </w:r>
      <w:r w:rsidR="00E926EB">
        <w:rPr>
          <w:sz w:val="22"/>
          <w:szCs w:val="22"/>
        </w:rPr>
        <w:instrText xml:space="preserve"> SEQ Figure \* ARABIC </w:instrText>
      </w:r>
      <w:r w:rsidR="001E4C3B">
        <w:rPr>
          <w:sz w:val="22"/>
          <w:szCs w:val="22"/>
        </w:rPr>
        <w:fldChar w:fldCharType="separate"/>
      </w:r>
      <w:r w:rsidR="002D5348">
        <w:rPr>
          <w:noProof/>
          <w:sz w:val="22"/>
          <w:szCs w:val="22"/>
        </w:rPr>
        <w:t>6</w:t>
      </w:r>
      <w:r w:rsidR="001E4C3B">
        <w:rPr>
          <w:sz w:val="22"/>
          <w:szCs w:val="22"/>
        </w:rPr>
        <w:fldChar w:fldCharType="end"/>
      </w:r>
      <w:r w:rsidRPr="00B1572E">
        <w:rPr>
          <w:sz w:val="22"/>
          <w:szCs w:val="22"/>
        </w:rPr>
        <w:t xml:space="preserve"> – Estimated Probability of a price change over any day of the booking period – by seasonal period and number of days from query to stay.</w:t>
      </w:r>
    </w:p>
    <w:p w14:paraId="45F7A4F3" w14:textId="77777777" w:rsidR="00AC215D" w:rsidRDefault="00AC215D" w:rsidP="00AF540D">
      <w:pPr>
        <w:ind w:firstLine="0"/>
      </w:pPr>
      <w:r>
        <w:rPr>
          <w:noProof/>
          <w:lang w:val="it-IT" w:eastAsia="it-IT"/>
        </w:rPr>
        <w:drawing>
          <wp:inline distT="0" distB="0" distL="0" distR="0" wp14:anchorId="45F7A584" wp14:editId="45F7A585">
            <wp:extent cx="5543550" cy="40316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BD_season_Fig6.png"/>
                    <pic:cNvPicPr/>
                  </pic:nvPicPr>
                  <pic:blipFill>
                    <a:blip r:embed="rId16"/>
                    <a:stretch>
                      <a:fillRect/>
                    </a:stretch>
                  </pic:blipFill>
                  <pic:spPr>
                    <a:xfrm>
                      <a:off x="0" y="0"/>
                      <a:ext cx="5543550" cy="4031615"/>
                    </a:xfrm>
                    <a:prstGeom prst="rect">
                      <a:avLst/>
                    </a:prstGeom>
                  </pic:spPr>
                </pic:pic>
              </a:graphicData>
            </a:graphic>
          </wp:inline>
        </w:drawing>
      </w:r>
    </w:p>
    <w:p w14:paraId="45F7A4F4" w14:textId="77777777" w:rsidR="00AC215D" w:rsidRDefault="00AC215D" w:rsidP="00AC215D"/>
    <w:p w14:paraId="45F7A4F5" w14:textId="77777777" w:rsidR="000B0837" w:rsidRDefault="00AC215D" w:rsidP="00AC215D">
      <w:pPr>
        <w:spacing w:before="0" w:line="240" w:lineRule="auto"/>
        <w:ind w:firstLine="0"/>
        <w:contextualSpacing w:val="0"/>
        <w:jc w:val="left"/>
      </w:pPr>
      <w:r>
        <w:br w:type="page"/>
      </w:r>
    </w:p>
    <w:p w14:paraId="45F7A4F6" w14:textId="77777777" w:rsidR="00E926EB" w:rsidRDefault="00E926EB" w:rsidP="00BF2420">
      <w:bookmarkStart w:id="6" w:name="OLE_LINK15"/>
      <w:bookmarkStart w:id="7" w:name="OLE_LINK16"/>
      <w:bookmarkEnd w:id="6"/>
      <w:bookmarkEnd w:id="7"/>
    </w:p>
    <w:p w14:paraId="45F7A4F7" w14:textId="77777777" w:rsidR="00E926EB" w:rsidRPr="00E926EB" w:rsidRDefault="00E926EB" w:rsidP="00AF540D">
      <w:pPr>
        <w:pStyle w:val="Caption"/>
        <w:keepNext/>
        <w:ind w:firstLine="0"/>
        <w:rPr>
          <w:sz w:val="22"/>
          <w:szCs w:val="22"/>
        </w:rPr>
      </w:pPr>
      <w:r w:rsidRPr="00D60A0B">
        <w:rPr>
          <w:sz w:val="22"/>
          <w:szCs w:val="22"/>
        </w:rPr>
        <w:t xml:space="preserve">Figure </w:t>
      </w:r>
      <w:r w:rsidR="001E4C3B" w:rsidRPr="00D60A0B">
        <w:rPr>
          <w:sz w:val="22"/>
          <w:szCs w:val="22"/>
        </w:rPr>
        <w:fldChar w:fldCharType="begin"/>
      </w:r>
      <w:r w:rsidRPr="00D60A0B">
        <w:rPr>
          <w:sz w:val="22"/>
          <w:szCs w:val="22"/>
        </w:rPr>
        <w:instrText xml:space="preserve"> SEQ Figure \* ARABIC </w:instrText>
      </w:r>
      <w:r w:rsidR="001E4C3B" w:rsidRPr="00D60A0B">
        <w:rPr>
          <w:sz w:val="22"/>
          <w:szCs w:val="22"/>
        </w:rPr>
        <w:fldChar w:fldCharType="separate"/>
      </w:r>
      <w:r w:rsidR="002D5348">
        <w:rPr>
          <w:noProof/>
          <w:sz w:val="22"/>
          <w:szCs w:val="22"/>
        </w:rPr>
        <w:t>7</w:t>
      </w:r>
      <w:r w:rsidR="001E4C3B" w:rsidRPr="00D60A0B">
        <w:rPr>
          <w:sz w:val="22"/>
          <w:szCs w:val="22"/>
        </w:rPr>
        <w:fldChar w:fldCharType="end"/>
      </w:r>
      <w:r w:rsidRPr="00E926EB">
        <w:rPr>
          <w:sz w:val="22"/>
          <w:szCs w:val="22"/>
        </w:rPr>
        <w:t xml:space="preserve"> – Estimated </w:t>
      </w:r>
      <w:r w:rsidR="002B3907">
        <w:rPr>
          <w:sz w:val="22"/>
          <w:szCs w:val="22"/>
        </w:rPr>
        <w:t>P</w:t>
      </w:r>
      <w:r w:rsidRPr="00E926EB">
        <w:rPr>
          <w:sz w:val="22"/>
          <w:szCs w:val="22"/>
        </w:rPr>
        <w:t>robability of a price increase given that a price variation is observed during the booking period. – by star classification and number of days from query to stay.</w:t>
      </w:r>
    </w:p>
    <w:p w14:paraId="45F7A4F8" w14:textId="77777777" w:rsidR="00BF2420" w:rsidRDefault="00E926EB" w:rsidP="00AF540D">
      <w:pPr>
        <w:ind w:firstLine="0"/>
      </w:pPr>
      <w:r>
        <w:rPr>
          <w:noProof/>
          <w:lang w:val="it-IT" w:eastAsia="it-IT"/>
        </w:rPr>
        <w:drawing>
          <wp:inline distT="0" distB="0" distL="0" distR="0" wp14:anchorId="45F7A586" wp14:editId="45F7A587">
            <wp:extent cx="5543550" cy="4031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BD_increase_stars.png"/>
                    <pic:cNvPicPr/>
                  </pic:nvPicPr>
                  <pic:blipFill>
                    <a:blip r:embed="rId17"/>
                    <a:stretch>
                      <a:fillRect/>
                    </a:stretch>
                  </pic:blipFill>
                  <pic:spPr>
                    <a:xfrm>
                      <a:off x="0" y="0"/>
                      <a:ext cx="5543550" cy="4031615"/>
                    </a:xfrm>
                    <a:prstGeom prst="rect">
                      <a:avLst/>
                    </a:prstGeom>
                  </pic:spPr>
                </pic:pic>
              </a:graphicData>
            </a:graphic>
          </wp:inline>
        </w:drawing>
      </w:r>
    </w:p>
    <w:p w14:paraId="45F7A579" w14:textId="77777777" w:rsidR="00437360" w:rsidRDefault="00437360" w:rsidP="00056E4A">
      <w:pPr>
        <w:spacing w:before="0" w:line="240" w:lineRule="auto"/>
        <w:ind w:firstLine="0"/>
        <w:contextualSpacing w:val="0"/>
        <w:jc w:val="left"/>
      </w:pPr>
    </w:p>
    <w:sectPr w:rsidR="00437360" w:rsidSect="00250204">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7A58B" w14:textId="77777777" w:rsidR="00485C5A" w:rsidRDefault="00485C5A" w:rsidP="00D10193">
      <w:pPr>
        <w:spacing w:before="0" w:line="240" w:lineRule="auto"/>
      </w:pPr>
      <w:r>
        <w:separator/>
      </w:r>
    </w:p>
  </w:endnote>
  <w:endnote w:type="continuationSeparator" w:id="0">
    <w:p w14:paraId="45F7A58C" w14:textId="77777777" w:rsidR="00485C5A" w:rsidRDefault="00485C5A" w:rsidP="00D1019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7A589" w14:textId="77777777" w:rsidR="00485C5A" w:rsidRDefault="00485C5A" w:rsidP="00D10193">
      <w:pPr>
        <w:spacing w:before="0" w:line="240" w:lineRule="auto"/>
      </w:pPr>
      <w:r>
        <w:separator/>
      </w:r>
    </w:p>
  </w:footnote>
  <w:footnote w:type="continuationSeparator" w:id="0">
    <w:p w14:paraId="45F7A58A" w14:textId="77777777" w:rsidR="00485C5A" w:rsidRDefault="00485C5A" w:rsidP="00D1019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A58D" w14:textId="13B63257" w:rsidR="00485C5A" w:rsidRDefault="00485C5A">
    <w:pPr>
      <w:pStyle w:val="Header"/>
      <w:jc w:val="center"/>
    </w:pPr>
    <w:r>
      <w:fldChar w:fldCharType="begin"/>
    </w:r>
    <w:r>
      <w:instrText xml:space="preserve"> PAGE   \* MERGEFORMAT </w:instrText>
    </w:r>
    <w:r>
      <w:fldChar w:fldCharType="separate"/>
    </w:r>
    <w:r w:rsidR="009B70BD">
      <w:rPr>
        <w:noProof/>
      </w:rPr>
      <w:t>2</w:t>
    </w:r>
    <w:r>
      <w:rPr>
        <w:noProof/>
      </w:rPr>
      <w:fldChar w:fldCharType="end"/>
    </w:r>
  </w:p>
  <w:p w14:paraId="45F7A58E" w14:textId="77777777" w:rsidR="00485C5A" w:rsidRDefault="00485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12C7E"/>
    <w:multiLevelType w:val="hybridMultilevel"/>
    <w:tmpl w:val="43986C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B800E37"/>
    <w:multiLevelType w:val="hybridMultilevel"/>
    <w:tmpl w:val="CFF8E85A"/>
    <w:lvl w:ilvl="0" w:tplc="713439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0572A30"/>
    <w:multiLevelType w:val="hybridMultilevel"/>
    <w:tmpl w:val="41781A9C"/>
    <w:lvl w:ilvl="0" w:tplc="8C8C4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7C51DFA"/>
    <w:multiLevelType w:val="hybridMultilevel"/>
    <w:tmpl w:val="DC08B0EC"/>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C841FFE"/>
    <w:multiLevelType w:val="multilevel"/>
    <w:tmpl w:val="A21A44E2"/>
    <w:lvl w:ilvl="0">
      <w:start w:val="1"/>
      <w:numFmt w:val="decimal"/>
      <w:pStyle w:val="Heading1"/>
      <w:lvlText w:val="%1."/>
      <w:lvlJc w:val="left"/>
      <w:pPr>
        <w:ind w:left="1440" w:hanging="360"/>
      </w:pPr>
    </w:lvl>
    <w:lvl w:ilvl="1">
      <w:start w:val="2"/>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2"/>
  </w:num>
  <w:num w:numId="2">
    <w:abstractNumId w:val="1"/>
  </w:num>
  <w:num w:numId="3">
    <w:abstractNumId w:val="0"/>
  </w:num>
  <w:num w:numId="4">
    <w:abstractNumId w:val="4"/>
  </w:num>
  <w:num w:numId="5">
    <w:abstractNumId w:val="3"/>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03AA0"/>
    <w:rsid w:val="00005017"/>
    <w:rsid w:val="00005E87"/>
    <w:rsid w:val="00006A8B"/>
    <w:rsid w:val="000100B0"/>
    <w:rsid w:val="00010CF6"/>
    <w:rsid w:val="00012B83"/>
    <w:rsid w:val="000229C6"/>
    <w:rsid w:val="00026CC3"/>
    <w:rsid w:val="00031E79"/>
    <w:rsid w:val="00031F15"/>
    <w:rsid w:val="0003276A"/>
    <w:rsid w:val="000351EB"/>
    <w:rsid w:val="000372E8"/>
    <w:rsid w:val="00046446"/>
    <w:rsid w:val="00055C99"/>
    <w:rsid w:val="00056E4A"/>
    <w:rsid w:val="0005741E"/>
    <w:rsid w:val="00060C2F"/>
    <w:rsid w:val="0006617F"/>
    <w:rsid w:val="000717D4"/>
    <w:rsid w:val="00073408"/>
    <w:rsid w:val="00073C8E"/>
    <w:rsid w:val="00084CA9"/>
    <w:rsid w:val="00085E99"/>
    <w:rsid w:val="000865EA"/>
    <w:rsid w:val="0009067A"/>
    <w:rsid w:val="0009320B"/>
    <w:rsid w:val="000952E8"/>
    <w:rsid w:val="00095624"/>
    <w:rsid w:val="000A02C5"/>
    <w:rsid w:val="000A5400"/>
    <w:rsid w:val="000A5499"/>
    <w:rsid w:val="000A70BE"/>
    <w:rsid w:val="000A773A"/>
    <w:rsid w:val="000B0837"/>
    <w:rsid w:val="000B1671"/>
    <w:rsid w:val="000B32F2"/>
    <w:rsid w:val="000B42B5"/>
    <w:rsid w:val="000B4325"/>
    <w:rsid w:val="000D0506"/>
    <w:rsid w:val="000E09F9"/>
    <w:rsid w:val="000E4299"/>
    <w:rsid w:val="000F272D"/>
    <w:rsid w:val="000F4A04"/>
    <w:rsid w:val="00114149"/>
    <w:rsid w:val="001217C4"/>
    <w:rsid w:val="00125903"/>
    <w:rsid w:val="00125DEB"/>
    <w:rsid w:val="00131777"/>
    <w:rsid w:val="001408F1"/>
    <w:rsid w:val="00141AC6"/>
    <w:rsid w:val="001463D5"/>
    <w:rsid w:val="001468F5"/>
    <w:rsid w:val="001518E7"/>
    <w:rsid w:val="00154F18"/>
    <w:rsid w:val="0015620A"/>
    <w:rsid w:val="00161485"/>
    <w:rsid w:val="001627EE"/>
    <w:rsid w:val="00162B00"/>
    <w:rsid w:val="0016433E"/>
    <w:rsid w:val="00172B39"/>
    <w:rsid w:val="00175EDB"/>
    <w:rsid w:val="00181E84"/>
    <w:rsid w:val="001901B4"/>
    <w:rsid w:val="001972B0"/>
    <w:rsid w:val="001975C3"/>
    <w:rsid w:val="001A1710"/>
    <w:rsid w:val="001A1BBC"/>
    <w:rsid w:val="001A7088"/>
    <w:rsid w:val="001C2163"/>
    <w:rsid w:val="001C37C4"/>
    <w:rsid w:val="001D577E"/>
    <w:rsid w:val="001D7EA4"/>
    <w:rsid w:val="001E0331"/>
    <w:rsid w:val="001E4C3B"/>
    <w:rsid w:val="001E7D05"/>
    <w:rsid w:val="001F022B"/>
    <w:rsid w:val="001F61F7"/>
    <w:rsid w:val="00200BE5"/>
    <w:rsid w:val="002011B8"/>
    <w:rsid w:val="002030AF"/>
    <w:rsid w:val="00207B81"/>
    <w:rsid w:val="0021177C"/>
    <w:rsid w:val="00213502"/>
    <w:rsid w:val="00225E00"/>
    <w:rsid w:val="00226323"/>
    <w:rsid w:val="00230B39"/>
    <w:rsid w:val="002325D2"/>
    <w:rsid w:val="00233E5F"/>
    <w:rsid w:val="00234FA8"/>
    <w:rsid w:val="002417D8"/>
    <w:rsid w:val="0024572A"/>
    <w:rsid w:val="00245BFE"/>
    <w:rsid w:val="00245E97"/>
    <w:rsid w:val="00247B59"/>
    <w:rsid w:val="00250204"/>
    <w:rsid w:val="002516A7"/>
    <w:rsid w:val="00263CE5"/>
    <w:rsid w:val="00264CDC"/>
    <w:rsid w:val="00264E18"/>
    <w:rsid w:val="00270625"/>
    <w:rsid w:val="00275EAD"/>
    <w:rsid w:val="00276F2B"/>
    <w:rsid w:val="00285165"/>
    <w:rsid w:val="00290206"/>
    <w:rsid w:val="00290733"/>
    <w:rsid w:val="00292782"/>
    <w:rsid w:val="002B180F"/>
    <w:rsid w:val="002B2D7F"/>
    <w:rsid w:val="002B3907"/>
    <w:rsid w:val="002B7E39"/>
    <w:rsid w:val="002C024F"/>
    <w:rsid w:val="002C311F"/>
    <w:rsid w:val="002D0036"/>
    <w:rsid w:val="002D08D3"/>
    <w:rsid w:val="002D5348"/>
    <w:rsid w:val="002D54F9"/>
    <w:rsid w:val="002D611E"/>
    <w:rsid w:val="002D66E3"/>
    <w:rsid w:val="002D7012"/>
    <w:rsid w:val="002E35D7"/>
    <w:rsid w:val="002E3982"/>
    <w:rsid w:val="002E4877"/>
    <w:rsid w:val="002E61DD"/>
    <w:rsid w:val="0030014A"/>
    <w:rsid w:val="003023E2"/>
    <w:rsid w:val="00305FA4"/>
    <w:rsid w:val="00307131"/>
    <w:rsid w:val="003270C5"/>
    <w:rsid w:val="00327885"/>
    <w:rsid w:val="003308BA"/>
    <w:rsid w:val="00361C03"/>
    <w:rsid w:val="00361D0D"/>
    <w:rsid w:val="0036414C"/>
    <w:rsid w:val="00374007"/>
    <w:rsid w:val="003755D1"/>
    <w:rsid w:val="003824D1"/>
    <w:rsid w:val="00385EE6"/>
    <w:rsid w:val="00386919"/>
    <w:rsid w:val="00391574"/>
    <w:rsid w:val="00396BF6"/>
    <w:rsid w:val="003970A2"/>
    <w:rsid w:val="003A0B98"/>
    <w:rsid w:val="003A37CE"/>
    <w:rsid w:val="003A3841"/>
    <w:rsid w:val="003A3E67"/>
    <w:rsid w:val="003B1206"/>
    <w:rsid w:val="003B1D24"/>
    <w:rsid w:val="003B5008"/>
    <w:rsid w:val="003B79E1"/>
    <w:rsid w:val="003C1693"/>
    <w:rsid w:val="003C4797"/>
    <w:rsid w:val="003D650C"/>
    <w:rsid w:val="003D6698"/>
    <w:rsid w:val="003E2472"/>
    <w:rsid w:val="003E3F1C"/>
    <w:rsid w:val="003E5019"/>
    <w:rsid w:val="003E5836"/>
    <w:rsid w:val="003F1E55"/>
    <w:rsid w:val="003F1EAD"/>
    <w:rsid w:val="003F3175"/>
    <w:rsid w:val="003F4BF5"/>
    <w:rsid w:val="0040346B"/>
    <w:rsid w:val="004141F1"/>
    <w:rsid w:val="004171B3"/>
    <w:rsid w:val="004312BE"/>
    <w:rsid w:val="00432B01"/>
    <w:rsid w:val="00437360"/>
    <w:rsid w:val="00437B36"/>
    <w:rsid w:val="004417B7"/>
    <w:rsid w:val="00445DD5"/>
    <w:rsid w:val="00460D69"/>
    <w:rsid w:val="004640FA"/>
    <w:rsid w:val="0046541D"/>
    <w:rsid w:val="00485C5A"/>
    <w:rsid w:val="00485CE6"/>
    <w:rsid w:val="00493E43"/>
    <w:rsid w:val="00494A0B"/>
    <w:rsid w:val="00495291"/>
    <w:rsid w:val="004A5543"/>
    <w:rsid w:val="004A6A41"/>
    <w:rsid w:val="004B0B23"/>
    <w:rsid w:val="004B4498"/>
    <w:rsid w:val="004B59E7"/>
    <w:rsid w:val="004B7BB4"/>
    <w:rsid w:val="004C283F"/>
    <w:rsid w:val="004C46CE"/>
    <w:rsid w:val="004D0E4A"/>
    <w:rsid w:val="004D4DDD"/>
    <w:rsid w:val="004D4F42"/>
    <w:rsid w:val="004D5A11"/>
    <w:rsid w:val="004E3C31"/>
    <w:rsid w:val="004E460F"/>
    <w:rsid w:val="004E4BD3"/>
    <w:rsid w:val="004E7686"/>
    <w:rsid w:val="004F1528"/>
    <w:rsid w:val="004F2D3D"/>
    <w:rsid w:val="004F5A24"/>
    <w:rsid w:val="004F6A5D"/>
    <w:rsid w:val="005017E3"/>
    <w:rsid w:val="00505C4E"/>
    <w:rsid w:val="005120D5"/>
    <w:rsid w:val="005203AF"/>
    <w:rsid w:val="0052326B"/>
    <w:rsid w:val="00526369"/>
    <w:rsid w:val="00531FAB"/>
    <w:rsid w:val="005372CB"/>
    <w:rsid w:val="00544803"/>
    <w:rsid w:val="005559B9"/>
    <w:rsid w:val="00555A7D"/>
    <w:rsid w:val="005620D5"/>
    <w:rsid w:val="00563A76"/>
    <w:rsid w:val="0056612A"/>
    <w:rsid w:val="00567E1F"/>
    <w:rsid w:val="00570253"/>
    <w:rsid w:val="00570400"/>
    <w:rsid w:val="005706EA"/>
    <w:rsid w:val="00574C88"/>
    <w:rsid w:val="005A063E"/>
    <w:rsid w:val="005A58BE"/>
    <w:rsid w:val="005A6D28"/>
    <w:rsid w:val="005B652F"/>
    <w:rsid w:val="005C357D"/>
    <w:rsid w:val="005C6260"/>
    <w:rsid w:val="005C66B9"/>
    <w:rsid w:val="005C7433"/>
    <w:rsid w:val="005D3DEC"/>
    <w:rsid w:val="005D5242"/>
    <w:rsid w:val="005D60DB"/>
    <w:rsid w:val="005D7340"/>
    <w:rsid w:val="005E2E8C"/>
    <w:rsid w:val="005E441F"/>
    <w:rsid w:val="005E470A"/>
    <w:rsid w:val="005E4927"/>
    <w:rsid w:val="005E5472"/>
    <w:rsid w:val="005E7BC1"/>
    <w:rsid w:val="005F1AD0"/>
    <w:rsid w:val="005F2B48"/>
    <w:rsid w:val="005F793D"/>
    <w:rsid w:val="006013B5"/>
    <w:rsid w:val="006024C0"/>
    <w:rsid w:val="006052B2"/>
    <w:rsid w:val="00607B81"/>
    <w:rsid w:val="00617626"/>
    <w:rsid w:val="00617A1F"/>
    <w:rsid w:val="0062219F"/>
    <w:rsid w:val="00622600"/>
    <w:rsid w:val="00624EA5"/>
    <w:rsid w:val="006332FE"/>
    <w:rsid w:val="006335B0"/>
    <w:rsid w:val="0063425B"/>
    <w:rsid w:val="006358C3"/>
    <w:rsid w:val="006372E2"/>
    <w:rsid w:val="00662635"/>
    <w:rsid w:val="006652A2"/>
    <w:rsid w:val="0066771F"/>
    <w:rsid w:val="0067656A"/>
    <w:rsid w:val="00680B20"/>
    <w:rsid w:val="00683882"/>
    <w:rsid w:val="006854A1"/>
    <w:rsid w:val="00686EEB"/>
    <w:rsid w:val="00687A5D"/>
    <w:rsid w:val="00692435"/>
    <w:rsid w:val="0069569E"/>
    <w:rsid w:val="00695C62"/>
    <w:rsid w:val="006C089C"/>
    <w:rsid w:val="006C63FF"/>
    <w:rsid w:val="006D1894"/>
    <w:rsid w:val="006D2255"/>
    <w:rsid w:val="006D71E2"/>
    <w:rsid w:val="006E04E8"/>
    <w:rsid w:val="006E1EC2"/>
    <w:rsid w:val="006E4952"/>
    <w:rsid w:val="006E7157"/>
    <w:rsid w:val="006F3218"/>
    <w:rsid w:val="006F4202"/>
    <w:rsid w:val="006F5EB6"/>
    <w:rsid w:val="006F7429"/>
    <w:rsid w:val="007006F6"/>
    <w:rsid w:val="00704F37"/>
    <w:rsid w:val="0070548C"/>
    <w:rsid w:val="0071075C"/>
    <w:rsid w:val="007137D5"/>
    <w:rsid w:val="0071453F"/>
    <w:rsid w:val="00727E9D"/>
    <w:rsid w:val="007306F8"/>
    <w:rsid w:val="007314C3"/>
    <w:rsid w:val="007329A0"/>
    <w:rsid w:val="00736DCC"/>
    <w:rsid w:val="00743FB7"/>
    <w:rsid w:val="00745375"/>
    <w:rsid w:val="00747AE1"/>
    <w:rsid w:val="00752388"/>
    <w:rsid w:val="00755138"/>
    <w:rsid w:val="00766A52"/>
    <w:rsid w:val="00770524"/>
    <w:rsid w:val="00773C46"/>
    <w:rsid w:val="007817A5"/>
    <w:rsid w:val="007877AE"/>
    <w:rsid w:val="00790FFB"/>
    <w:rsid w:val="0079366C"/>
    <w:rsid w:val="007A10DD"/>
    <w:rsid w:val="007A4B94"/>
    <w:rsid w:val="007B324B"/>
    <w:rsid w:val="007B42AC"/>
    <w:rsid w:val="007B64D9"/>
    <w:rsid w:val="007D17AB"/>
    <w:rsid w:val="007D418B"/>
    <w:rsid w:val="007D522B"/>
    <w:rsid w:val="007E24D4"/>
    <w:rsid w:val="007E7935"/>
    <w:rsid w:val="007F0850"/>
    <w:rsid w:val="007F1C24"/>
    <w:rsid w:val="007F2896"/>
    <w:rsid w:val="00805533"/>
    <w:rsid w:val="00807142"/>
    <w:rsid w:val="00810456"/>
    <w:rsid w:val="008104A6"/>
    <w:rsid w:val="00810627"/>
    <w:rsid w:val="008129B1"/>
    <w:rsid w:val="00816B6F"/>
    <w:rsid w:val="00821834"/>
    <w:rsid w:val="008309EB"/>
    <w:rsid w:val="00845085"/>
    <w:rsid w:val="00847725"/>
    <w:rsid w:val="00861DBC"/>
    <w:rsid w:val="00862EBC"/>
    <w:rsid w:val="0087495E"/>
    <w:rsid w:val="00877CA0"/>
    <w:rsid w:val="008811D1"/>
    <w:rsid w:val="00890058"/>
    <w:rsid w:val="00891FB7"/>
    <w:rsid w:val="008952F8"/>
    <w:rsid w:val="008A1140"/>
    <w:rsid w:val="008A2597"/>
    <w:rsid w:val="008A48D7"/>
    <w:rsid w:val="008A5DA3"/>
    <w:rsid w:val="008A77C1"/>
    <w:rsid w:val="008B0D00"/>
    <w:rsid w:val="008B1012"/>
    <w:rsid w:val="008B1B59"/>
    <w:rsid w:val="008C486C"/>
    <w:rsid w:val="008C4FF0"/>
    <w:rsid w:val="008D007C"/>
    <w:rsid w:val="008D2362"/>
    <w:rsid w:val="008D514A"/>
    <w:rsid w:val="008E1B51"/>
    <w:rsid w:val="008E5DA6"/>
    <w:rsid w:val="008F070F"/>
    <w:rsid w:val="008F2072"/>
    <w:rsid w:val="00901D6F"/>
    <w:rsid w:val="00903AA0"/>
    <w:rsid w:val="00914819"/>
    <w:rsid w:val="00914F68"/>
    <w:rsid w:val="0092204D"/>
    <w:rsid w:val="009227B6"/>
    <w:rsid w:val="00934484"/>
    <w:rsid w:val="00937B4E"/>
    <w:rsid w:val="00940C9E"/>
    <w:rsid w:val="009414AA"/>
    <w:rsid w:val="00942D5B"/>
    <w:rsid w:val="0095358E"/>
    <w:rsid w:val="009535BB"/>
    <w:rsid w:val="009709D5"/>
    <w:rsid w:val="00980459"/>
    <w:rsid w:val="0098374C"/>
    <w:rsid w:val="00996658"/>
    <w:rsid w:val="009A330A"/>
    <w:rsid w:val="009A65E6"/>
    <w:rsid w:val="009B3E26"/>
    <w:rsid w:val="009B70BD"/>
    <w:rsid w:val="009C0B6A"/>
    <w:rsid w:val="009C1DE3"/>
    <w:rsid w:val="009C3A86"/>
    <w:rsid w:val="009C4891"/>
    <w:rsid w:val="009D1014"/>
    <w:rsid w:val="009D2F37"/>
    <w:rsid w:val="009D543D"/>
    <w:rsid w:val="009D66D0"/>
    <w:rsid w:val="009D6975"/>
    <w:rsid w:val="009E3DC6"/>
    <w:rsid w:val="009E7471"/>
    <w:rsid w:val="009F0910"/>
    <w:rsid w:val="00A00647"/>
    <w:rsid w:val="00A02AE0"/>
    <w:rsid w:val="00A03730"/>
    <w:rsid w:val="00A06533"/>
    <w:rsid w:val="00A120EB"/>
    <w:rsid w:val="00A31ED4"/>
    <w:rsid w:val="00A32E30"/>
    <w:rsid w:val="00A37D9A"/>
    <w:rsid w:val="00A40677"/>
    <w:rsid w:val="00A5052E"/>
    <w:rsid w:val="00A52058"/>
    <w:rsid w:val="00A55103"/>
    <w:rsid w:val="00A554AB"/>
    <w:rsid w:val="00A61C93"/>
    <w:rsid w:val="00A622F5"/>
    <w:rsid w:val="00A66865"/>
    <w:rsid w:val="00A72E1B"/>
    <w:rsid w:val="00A7495A"/>
    <w:rsid w:val="00A765FC"/>
    <w:rsid w:val="00A8125E"/>
    <w:rsid w:val="00A81909"/>
    <w:rsid w:val="00A877A9"/>
    <w:rsid w:val="00A87C40"/>
    <w:rsid w:val="00A90FFC"/>
    <w:rsid w:val="00A9151A"/>
    <w:rsid w:val="00A93A36"/>
    <w:rsid w:val="00A95C99"/>
    <w:rsid w:val="00A96F76"/>
    <w:rsid w:val="00AA0388"/>
    <w:rsid w:val="00AA0ECD"/>
    <w:rsid w:val="00AA4536"/>
    <w:rsid w:val="00AA724D"/>
    <w:rsid w:val="00AB042D"/>
    <w:rsid w:val="00AB05D0"/>
    <w:rsid w:val="00AB4E1F"/>
    <w:rsid w:val="00AB5D99"/>
    <w:rsid w:val="00AB728E"/>
    <w:rsid w:val="00AC1EFE"/>
    <w:rsid w:val="00AC215D"/>
    <w:rsid w:val="00AC7847"/>
    <w:rsid w:val="00AD495B"/>
    <w:rsid w:val="00AE4CD0"/>
    <w:rsid w:val="00AF23BB"/>
    <w:rsid w:val="00AF540D"/>
    <w:rsid w:val="00AF7900"/>
    <w:rsid w:val="00B03796"/>
    <w:rsid w:val="00B10F9E"/>
    <w:rsid w:val="00B14BD3"/>
    <w:rsid w:val="00B16BEB"/>
    <w:rsid w:val="00B2136D"/>
    <w:rsid w:val="00B231BC"/>
    <w:rsid w:val="00B2415F"/>
    <w:rsid w:val="00B36F5C"/>
    <w:rsid w:val="00B43D02"/>
    <w:rsid w:val="00B60B98"/>
    <w:rsid w:val="00B62B89"/>
    <w:rsid w:val="00B766F2"/>
    <w:rsid w:val="00B76D8F"/>
    <w:rsid w:val="00B82673"/>
    <w:rsid w:val="00B84BDC"/>
    <w:rsid w:val="00B84E23"/>
    <w:rsid w:val="00B85617"/>
    <w:rsid w:val="00B90577"/>
    <w:rsid w:val="00B9592E"/>
    <w:rsid w:val="00B975A1"/>
    <w:rsid w:val="00BA6D26"/>
    <w:rsid w:val="00BB067D"/>
    <w:rsid w:val="00BB79C3"/>
    <w:rsid w:val="00BC107C"/>
    <w:rsid w:val="00BC3026"/>
    <w:rsid w:val="00BC3A22"/>
    <w:rsid w:val="00BC72E2"/>
    <w:rsid w:val="00BE4DBB"/>
    <w:rsid w:val="00BE5713"/>
    <w:rsid w:val="00BE5D4F"/>
    <w:rsid w:val="00BE65B4"/>
    <w:rsid w:val="00BF2420"/>
    <w:rsid w:val="00BF3A21"/>
    <w:rsid w:val="00C030A2"/>
    <w:rsid w:val="00C061B9"/>
    <w:rsid w:val="00C12698"/>
    <w:rsid w:val="00C163EC"/>
    <w:rsid w:val="00C1780D"/>
    <w:rsid w:val="00C25786"/>
    <w:rsid w:val="00C277CF"/>
    <w:rsid w:val="00C27928"/>
    <w:rsid w:val="00C37B0E"/>
    <w:rsid w:val="00C40A13"/>
    <w:rsid w:val="00C41344"/>
    <w:rsid w:val="00C45660"/>
    <w:rsid w:val="00C53CD2"/>
    <w:rsid w:val="00C540A4"/>
    <w:rsid w:val="00C63031"/>
    <w:rsid w:val="00C6333A"/>
    <w:rsid w:val="00C63F65"/>
    <w:rsid w:val="00C66A2E"/>
    <w:rsid w:val="00C720B7"/>
    <w:rsid w:val="00C720DD"/>
    <w:rsid w:val="00C73AEB"/>
    <w:rsid w:val="00C77122"/>
    <w:rsid w:val="00C85395"/>
    <w:rsid w:val="00C9046D"/>
    <w:rsid w:val="00C9429E"/>
    <w:rsid w:val="00CA0E3E"/>
    <w:rsid w:val="00CA2743"/>
    <w:rsid w:val="00CB0B9D"/>
    <w:rsid w:val="00CB2D63"/>
    <w:rsid w:val="00CC0187"/>
    <w:rsid w:val="00CC0329"/>
    <w:rsid w:val="00CC5433"/>
    <w:rsid w:val="00CD1F22"/>
    <w:rsid w:val="00CD6B0B"/>
    <w:rsid w:val="00CE3613"/>
    <w:rsid w:val="00CE420F"/>
    <w:rsid w:val="00CE487D"/>
    <w:rsid w:val="00CF0DB8"/>
    <w:rsid w:val="00CF257A"/>
    <w:rsid w:val="00CF3C57"/>
    <w:rsid w:val="00D04A73"/>
    <w:rsid w:val="00D10193"/>
    <w:rsid w:val="00D1210E"/>
    <w:rsid w:val="00D14C37"/>
    <w:rsid w:val="00D159FA"/>
    <w:rsid w:val="00D2072B"/>
    <w:rsid w:val="00D232CE"/>
    <w:rsid w:val="00D24300"/>
    <w:rsid w:val="00D269D6"/>
    <w:rsid w:val="00D26D94"/>
    <w:rsid w:val="00D3123C"/>
    <w:rsid w:val="00D328CA"/>
    <w:rsid w:val="00D36DC5"/>
    <w:rsid w:val="00D46FC4"/>
    <w:rsid w:val="00D5145D"/>
    <w:rsid w:val="00D53E15"/>
    <w:rsid w:val="00D5503F"/>
    <w:rsid w:val="00D56915"/>
    <w:rsid w:val="00D6001E"/>
    <w:rsid w:val="00D60A0B"/>
    <w:rsid w:val="00D6561B"/>
    <w:rsid w:val="00D74013"/>
    <w:rsid w:val="00D757DF"/>
    <w:rsid w:val="00D82CE5"/>
    <w:rsid w:val="00D92A4C"/>
    <w:rsid w:val="00DA05E9"/>
    <w:rsid w:val="00DA4839"/>
    <w:rsid w:val="00DA7C10"/>
    <w:rsid w:val="00DB0350"/>
    <w:rsid w:val="00DB0944"/>
    <w:rsid w:val="00DB6F84"/>
    <w:rsid w:val="00DB71E1"/>
    <w:rsid w:val="00DB7FA6"/>
    <w:rsid w:val="00DC4845"/>
    <w:rsid w:val="00DC544B"/>
    <w:rsid w:val="00DC568F"/>
    <w:rsid w:val="00DD00F3"/>
    <w:rsid w:val="00DD4C14"/>
    <w:rsid w:val="00DE0459"/>
    <w:rsid w:val="00DE2FE4"/>
    <w:rsid w:val="00DE5C3E"/>
    <w:rsid w:val="00DE646E"/>
    <w:rsid w:val="00DE741A"/>
    <w:rsid w:val="00DF1C08"/>
    <w:rsid w:val="00DF44F0"/>
    <w:rsid w:val="00DF4A17"/>
    <w:rsid w:val="00DF654E"/>
    <w:rsid w:val="00E010C8"/>
    <w:rsid w:val="00E03DE7"/>
    <w:rsid w:val="00E05A34"/>
    <w:rsid w:val="00E10CC7"/>
    <w:rsid w:val="00E13926"/>
    <w:rsid w:val="00E20619"/>
    <w:rsid w:val="00E2442A"/>
    <w:rsid w:val="00E33C67"/>
    <w:rsid w:val="00E41C12"/>
    <w:rsid w:val="00E42487"/>
    <w:rsid w:val="00E55618"/>
    <w:rsid w:val="00E6149E"/>
    <w:rsid w:val="00E621C9"/>
    <w:rsid w:val="00E62E8A"/>
    <w:rsid w:val="00E643E2"/>
    <w:rsid w:val="00E727AF"/>
    <w:rsid w:val="00E75760"/>
    <w:rsid w:val="00E85751"/>
    <w:rsid w:val="00E87CC9"/>
    <w:rsid w:val="00E87EBC"/>
    <w:rsid w:val="00E91DF2"/>
    <w:rsid w:val="00E926EB"/>
    <w:rsid w:val="00E9339B"/>
    <w:rsid w:val="00E935D1"/>
    <w:rsid w:val="00E93CC4"/>
    <w:rsid w:val="00E94660"/>
    <w:rsid w:val="00EA6748"/>
    <w:rsid w:val="00EB5324"/>
    <w:rsid w:val="00EB5579"/>
    <w:rsid w:val="00EB5D8C"/>
    <w:rsid w:val="00EB7755"/>
    <w:rsid w:val="00EB77A8"/>
    <w:rsid w:val="00EB7B07"/>
    <w:rsid w:val="00EC2A1A"/>
    <w:rsid w:val="00EC77DC"/>
    <w:rsid w:val="00ED29EE"/>
    <w:rsid w:val="00ED5254"/>
    <w:rsid w:val="00EE27E1"/>
    <w:rsid w:val="00EE2E62"/>
    <w:rsid w:val="00EE63A2"/>
    <w:rsid w:val="00EE66A7"/>
    <w:rsid w:val="00EE7542"/>
    <w:rsid w:val="00EF3858"/>
    <w:rsid w:val="00EF4291"/>
    <w:rsid w:val="00EF5901"/>
    <w:rsid w:val="00F01AC8"/>
    <w:rsid w:val="00F03AB8"/>
    <w:rsid w:val="00F03C26"/>
    <w:rsid w:val="00F03D96"/>
    <w:rsid w:val="00F07F13"/>
    <w:rsid w:val="00F13B3F"/>
    <w:rsid w:val="00F14A0D"/>
    <w:rsid w:val="00F22C5D"/>
    <w:rsid w:val="00F24C7E"/>
    <w:rsid w:val="00F24E11"/>
    <w:rsid w:val="00F2580F"/>
    <w:rsid w:val="00F278F2"/>
    <w:rsid w:val="00F34152"/>
    <w:rsid w:val="00F37EF3"/>
    <w:rsid w:val="00F41F1A"/>
    <w:rsid w:val="00F4230F"/>
    <w:rsid w:val="00F433F9"/>
    <w:rsid w:val="00F43F19"/>
    <w:rsid w:val="00F61013"/>
    <w:rsid w:val="00F8092C"/>
    <w:rsid w:val="00F85B81"/>
    <w:rsid w:val="00F91211"/>
    <w:rsid w:val="00F979D2"/>
    <w:rsid w:val="00FA6A84"/>
    <w:rsid w:val="00FA7B64"/>
    <w:rsid w:val="00FB1907"/>
    <w:rsid w:val="00FB2DE4"/>
    <w:rsid w:val="00FB2E98"/>
    <w:rsid w:val="00FB48E8"/>
    <w:rsid w:val="00FB4F45"/>
    <w:rsid w:val="00FB5E75"/>
    <w:rsid w:val="00FB6DD9"/>
    <w:rsid w:val="00FC2F00"/>
    <w:rsid w:val="00FC34D1"/>
    <w:rsid w:val="00FC35C5"/>
    <w:rsid w:val="00FD0915"/>
    <w:rsid w:val="00FD2B8A"/>
    <w:rsid w:val="00FE3DA5"/>
    <w:rsid w:val="00FE4AA0"/>
    <w:rsid w:val="00FF6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7A13A"/>
  <w15:docId w15:val="{AA8A1B9C-8669-453D-8571-A0DEDF5A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DBB"/>
    <w:pPr>
      <w:spacing w:before="120" w:line="360" w:lineRule="auto"/>
      <w:ind w:firstLine="720"/>
      <w:contextualSpacing/>
      <w:jc w:val="both"/>
    </w:pPr>
    <w:rPr>
      <w:sz w:val="24"/>
      <w:szCs w:val="24"/>
      <w:lang w:eastAsia="en-US"/>
    </w:rPr>
  </w:style>
  <w:style w:type="paragraph" w:styleId="Heading1">
    <w:name w:val="heading 1"/>
    <w:aliases w:val="Heading 10"/>
    <w:basedOn w:val="Normal"/>
    <w:next w:val="Normal"/>
    <w:link w:val="Heading1Char"/>
    <w:qFormat/>
    <w:rsid w:val="0009067A"/>
    <w:pPr>
      <w:keepNext/>
      <w:numPr>
        <w:numId w:val="4"/>
      </w:numPr>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505C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3308B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66A2E"/>
    <w:rPr>
      <w:color w:val="0000FF"/>
      <w:u w:val="single"/>
    </w:rPr>
  </w:style>
  <w:style w:type="character" w:customStyle="1" w:styleId="Heading1Char">
    <w:name w:val="Heading 1 Char"/>
    <w:aliases w:val="Heading 10 Char"/>
    <w:link w:val="Heading1"/>
    <w:rsid w:val="0009067A"/>
    <w:rPr>
      <w:rFonts w:cs="Arial"/>
      <w:b/>
      <w:bCs/>
      <w:kern w:val="32"/>
      <w:sz w:val="32"/>
      <w:szCs w:val="32"/>
      <w:lang w:eastAsia="en-US"/>
    </w:rPr>
  </w:style>
  <w:style w:type="paragraph" w:styleId="Title">
    <w:name w:val="Title"/>
    <w:basedOn w:val="Normal"/>
    <w:next w:val="Normal"/>
    <w:link w:val="TitleChar"/>
    <w:uiPriority w:val="10"/>
    <w:qFormat/>
    <w:rsid w:val="00BE4DB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BE4DBB"/>
    <w:rPr>
      <w:rFonts w:ascii="Calibri Light" w:eastAsia="Times New Roman" w:hAnsi="Calibri Light" w:cs="Times New Roman"/>
      <w:b/>
      <w:bCs/>
      <w:kern w:val="28"/>
      <w:sz w:val="32"/>
      <w:szCs w:val="32"/>
      <w:lang w:eastAsia="en-US"/>
    </w:rPr>
  </w:style>
  <w:style w:type="character" w:styleId="Strong">
    <w:name w:val="Strong"/>
    <w:aliases w:val="Section Names"/>
    <w:uiPriority w:val="22"/>
    <w:qFormat/>
    <w:rsid w:val="00505C4E"/>
    <w:rPr>
      <w:b/>
      <w:bCs/>
    </w:rPr>
  </w:style>
  <w:style w:type="character" w:customStyle="1" w:styleId="Heading2Char">
    <w:name w:val="Heading 2 Char"/>
    <w:link w:val="Heading2"/>
    <w:uiPriority w:val="9"/>
    <w:rsid w:val="00505C4E"/>
    <w:rPr>
      <w:rFonts w:ascii="Calibri Light" w:eastAsia="Times New Roman" w:hAnsi="Calibri Light" w:cs="Times New Roman"/>
      <w:b/>
      <w:bCs/>
      <w:i/>
      <w:iCs/>
      <w:sz w:val="28"/>
      <w:szCs w:val="28"/>
      <w:lang w:eastAsia="en-US"/>
    </w:rPr>
  </w:style>
  <w:style w:type="paragraph" w:styleId="NoSpacing">
    <w:name w:val="No Spacing"/>
    <w:link w:val="NoSpacingChar"/>
    <w:uiPriority w:val="1"/>
    <w:qFormat/>
    <w:rsid w:val="009D2F37"/>
    <w:pPr>
      <w:spacing w:after="120"/>
      <w:contextualSpacing/>
      <w:jc w:val="both"/>
    </w:pPr>
    <w:rPr>
      <w:sz w:val="24"/>
      <w:szCs w:val="24"/>
      <w:lang w:eastAsia="en-US"/>
    </w:rPr>
  </w:style>
  <w:style w:type="paragraph" w:styleId="Header">
    <w:name w:val="header"/>
    <w:basedOn w:val="Normal"/>
    <w:link w:val="HeaderChar"/>
    <w:uiPriority w:val="99"/>
    <w:unhideWhenUsed/>
    <w:rsid w:val="00D10193"/>
    <w:pPr>
      <w:tabs>
        <w:tab w:val="center" w:pos="4513"/>
        <w:tab w:val="right" w:pos="9026"/>
      </w:tabs>
    </w:pPr>
  </w:style>
  <w:style w:type="character" w:customStyle="1" w:styleId="HeaderChar">
    <w:name w:val="Header Char"/>
    <w:link w:val="Header"/>
    <w:uiPriority w:val="99"/>
    <w:rsid w:val="00D10193"/>
    <w:rPr>
      <w:sz w:val="24"/>
      <w:szCs w:val="24"/>
      <w:lang w:eastAsia="en-US"/>
    </w:rPr>
  </w:style>
  <w:style w:type="paragraph" w:styleId="Footer">
    <w:name w:val="footer"/>
    <w:basedOn w:val="Normal"/>
    <w:link w:val="FooterChar"/>
    <w:uiPriority w:val="99"/>
    <w:unhideWhenUsed/>
    <w:rsid w:val="00D10193"/>
    <w:pPr>
      <w:tabs>
        <w:tab w:val="center" w:pos="4513"/>
        <w:tab w:val="right" w:pos="9026"/>
      </w:tabs>
    </w:pPr>
  </w:style>
  <w:style w:type="character" w:customStyle="1" w:styleId="FooterChar">
    <w:name w:val="Footer Char"/>
    <w:link w:val="Footer"/>
    <w:uiPriority w:val="99"/>
    <w:rsid w:val="00D10193"/>
    <w:rPr>
      <w:sz w:val="24"/>
      <w:szCs w:val="24"/>
      <w:lang w:eastAsia="en-US"/>
    </w:rPr>
  </w:style>
  <w:style w:type="paragraph" w:styleId="BalloonText">
    <w:name w:val="Balloon Text"/>
    <w:basedOn w:val="Normal"/>
    <w:link w:val="BalloonTextChar"/>
    <w:uiPriority w:val="99"/>
    <w:semiHidden/>
    <w:unhideWhenUsed/>
    <w:rsid w:val="0079366C"/>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79366C"/>
    <w:rPr>
      <w:rFonts w:ascii="Segoe UI" w:hAnsi="Segoe UI" w:cs="Segoe UI"/>
      <w:sz w:val="18"/>
      <w:szCs w:val="18"/>
      <w:lang w:eastAsia="en-US"/>
    </w:rPr>
  </w:style>
  <w:style w:type="character" w:customStyle="1" w:styleId="apple-converted-space">
    <w:name w:val="apple-converted-space"/>
    <w:rsid w:val="003A37CE"/>
  </w:style>
  <w:style w:type="character" w:customStyle="1" w:styleId="Heading3Char">
    <w:name w:val="Heading 3 Char"/>
    <w:link w:val="Heading3"/>
    <w:uiPriority w:val="9"/>
    <w:rsid w:val="003308BA"/>
    <w:rPr>
      <w:rFonts w:ascii="Calibri Light" w:eastAsia="Times New Roman" w:hAnsi="Calibri Light" w:cs="Times New Roman"/>
      <w:b/>
      <w:bCs/>
      <w:sz w:val="26"/>
      <w:szCs w:val="26"/>
      <w:lang w:eastAsia="en-US"/>
    </w:rPr>
  </w:style>
  <w:style w:type="character" w:styleId="PlaceholderText">
    <w:name w:val="Placeholder Text"/>
    <w:uiPriority w:val="99"/>
    <w:semiHidden/>
    <w:rsid w:val="00085E99"/>
    <w:rPr>
      <w:color w:val="808080"/>
    </w:rPr>
  </w:style>
  <w:style w:type="character" w:styleId="CommentReference">
    <w:name w:val="annotation reference"/>
    <w:uiPriority w:val="99"/>
    <w:semiHidden/>
    <w:unhideWhenUsed/>
    <w:rsid w:val="0024572A"/>
    <w:rPr>
      <w:sz w:val="16"/>
      <w:szCs w:val="16"/>
    </w:rPr>
  </w:style>
  <w:style w:type="paragraph" w:styleId="CommentText">
    <w:name w:val="annotation text"/>
    <w:basedOn w:val="Normal"/>
    <w:link w:val="CommentTextChar"/>
    <w:uiPriority w:val="99"/>
    <w:semiHidden/>
    <w:unhideWhenUsed/>
    <w:rsid w:val="0024572A"/>
    <w:pPr>
      <w:spacing w:line="240" w:lineRule="auto"/>
    </w:pPr>
    <w:rPr>
      <w:sz w:val="20"/>
      <w:szCs w:val="20"/>
    </w:rPr>
  </w:style>
  <w:style w:type="character" w:customStyle="1" w:styleId="CommentTextChar">
    <w:name w:val="Comment Text Char"/>
    <w:link w:val="CommentText"/>
    <w:uiPriority w:val="99"/>
    <w:semiHidden/>
    <w:rsid w:val="0024572A"/>
    <w:rPr>
      <w:lang w:eastAsia="en-US"/>
    </w:rPr>
  </w:style>
  <w:style w:type="paragraph" w:styleId="CommentSubject">
    <w:name w:val="annotation subject"/>
    <w:basedOn w:val="CommentText"/>
    <w:next w:val="CommentText"/>
    <w:link w:val="CommentSubjectChar"/>
    <w:uiPriority w:val="99"/>
    <w:semiHidden/>
    <w:unhideWhenUsed/>
    <w:rsid w:val="0024572A"/>
    <w:rPr>
      <w:b/>
      <w:bCs/>
    </w:rPr>
  </w:style>
  <w:style w:type="character" w:customStyle="1" w:styleId="CommentSubjectChar">
    <w:name w:val="Comment Subject Char"/>
    <w:link w:val="CommentSubject"/>
    <w:uiPriority w:val="99"/>
    <w:semiHidden/>
    <w:rsid w:val="0024572A"/>
    <w:rPr>
      <w:b/>
      <w:bCs/>
      <w:lang w:eastAsia="en-US"/>
    </w:rPr>
  </w:style>
  <w:style w:type="paragraph" w:styleId="Revision">
    <w:name w:val="Revision"/>
    <w:hidden/>
    <w:uiPriority w:val="99"/>
    <w:semiHidden/>
    <w:rsid w:val="00A72E1B"/>
    <w:rPr>
      <w:sz w:val="24"/>
      <w:szCs w:val="24"/>
      <w:lang w:eastAsia="en-US"/>
    </w:rPr>
  </w:style>
  <w:style w:type="character" w:customStyle="1" w:styleId="NoSpacingChar">
    <w:name w:val="No Spacing Char"/>
    <w:link w:val="NoSpacing"/>
    <w:uiPriority w:val="1"/>
    <w:rsid w:val="00937B4E"/>
    <w:rPr>
      <w:sz w:val="24"/>
      <w:szCs w:val="24"/>
      <w:lang w:eastAsia="en-US"/>
    </w:rPr>
  </w:style>
  <w:style w:type="paragraph" w:styleId="Caption">
    <w:name w:val="caption"/>
    <w:basedOn w:val="Normal"/>
    <w:next w:val="Normal"/>
    <w:uiPriority w:val="35"/>
    <w:semiHidden/>
    <w:unhideWhenUsed/>
    <w:qFormat/>
    <w:rsid w:val="00225E00"/>
    <w:pPr>
      <w:spacing w:before="0" w:after="200" w:line="240" w:lineRule="auto"/>
    </w:pPr>
    <w:rPr>
      <w:i/>
      <w:iCs/>
      <w:color w:val="44546A" w:themeColor="text2"/>
      <w:sz w:val="18"/>
      <w:szCs w:val="18"/>
    </w:rPr>
  </w:style>
  <w:style w:type="table" w:customStyle="1" w:styleId="PlainTable51">
    <w:name w:val="Plain Table 51"/>
    <w:basedOn w:val="TableNormal"/>
    <w:uiPriority w:val="45"/>
    <w:rsid w:val="002502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25020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6F5EB6"/>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778">
      <w:bodyDiv w:val="1"/>
      <w:marLeft w:val="0"/>
      <w:marRight w:val="0"/>
      <w:marTop w:val="0"/>
      <w:marBottom w:val="0"/>
      <w:divBdr>
        <w:top w:val="none" w:sz="0" w:space="0" w:color="auto"/>
        <w:left w:val="none" w:sz="0" w:space="0" w:color="auto"/>
        <w:bottom w:val="none" w:sz="0" w:space="0" w:color="auto"/>
        <w:right w:val="none" w:sz="0" w:space="0" w:color="auto"/>
      </w:divBdr>
    </w:div>
    <w:div w:id="284049648">
      <w:bodyDiv w:val="1"/>
      <w:marLeft w:val="0"/>
      <w:marRight w:val="0"/>
      <w:marTop w:val="0"/>
      <w:marBottom w:val="0"/>
      <w:divBdr>
        <w:top w:val="none" w:sz="0" w:space="0" w:color="auto"/>
        <w:left w:val="none" w:sz="0" w:space="0" w:color="auto"/>
        <w:bottom w:val="none" w:sz="0" w:space="0" w:color="auto"/>
        <w:right w:val="none" w:sz="0" w:space="0" w:color="auto"/>
      </w:divBdr>
    </w:div>
    <w:div w:id="1012879594">
      <w:bodyDiv w:val="1"/>
      <w:marLeft w:val="0"/>
      <w:marRight w:val="0"/>
      <w:marTop w:val="0"/>
      <w:marBottom w:val="0"/>
      <w:divBdr>
        <w:top w:val="none" w:sz="0" w:space="0" w:color="auto"/>
        <w:left w:val="none" w:sz="0" w:space="0" w:color="auto"/>
        <w:bottom w:val="none" w:sz="0" w:space="0" w:color="auto"/>
        <w:right w:val="none" w:sz="0" w:space="0" w:color="auto"/>
      </w:divBdr>
    </w:div>
    <w:div w:id="1230193206">
      <w:bodyDiv w:val="1"/>
      <w:marLeft w:val="0"/>
      <w:marRight w:val="0"/>
      <w:marTop w:val="0"/>
      <w:marBottom w:val="0"/>
      <w:divBdr>
        <w:top w:val="none" w:sz="0" w:space="0" w:color="auto"/>
        <w:left w:val="none" w:sz="0" w:space="0" w:color="auto"/>
        <w:bottom w:val="none" w:sz="0" w:space="0" w:color="auto"/>
        <w:right w:val="none" w:sz="0" w:space="0" w:color="auto"/>
      </w:divBdr>
    </w:div>
    <w:div w:id="1685551408">
      <w:bodyDiv w:val="1"/>
      <w:marLeft w:val="0"/>
      <w:marRight w:val="0"/>
      <w:marTop w:val="0"/>
      <w:marBottom w:val="0"/>
      <w:divBdr>
        <w:top w:val="none" w:sz="0" w:space="0" w:color="auto"/>
        <w:left w:val="none" w:sz="0" w:space="0" w:color="auto"/>
        <w:bottom w:val="none" w:sz="0" w:space="0" w:color="auto"/>
        <w:right w:val="none" w:sz="0" w:space="0" w:color="auto"/>
      </w:divBdr>
    </w:div>
    <w:div w:id="20492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elis@unica.it"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bta.org/pressreleases/pages/rls_100114.aspx"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7571282-8EBE-4D6D-946A-EB7284B7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9173</Words>
  <Characters>52288</Characters>
  <Application>Microsoft Office Word</Application>
  <DocSecurity>0</DocSecurity>
  <Lines>435</Lines>
  <Paragraphs>122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Figure 1 -</vt:lpstr>
      <vt:lpstr>Figure 1 -</vt:lpstr>
    </vt:vector>
  </TitlesOfParts>
  <Company>Microsoft</Company>
  <LinksUpToDate>false</LinksUpToDate>
  <CharactersWithSpaces>61339</CharactersWithSpaces>
  <SharedDoc>false</SharedDoc>
  <HLinks>
    <vt:vector size="6" baseType="variant">
      <vt:variant>
        <vt:i4>4390965</vt:i4>
      </vt:variant>
      <vt:variant>
        <vt:i4>48</vt:i4>
      </vt:variant>
      <vt:variant>
        <vt:i4>0</vt:i4>
      </vt:variant>
      <vt:variant>
        <vt:i4>5</vt:i4>
      </vt:variant>
      <vt:variant>
        <vt:lpwstr>http://www.gbta.org/pressreleases/pages/rls_100114.aspx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Figure 1 -</dc:title>
  <dc:creator>Claudio</dc:creator>
  <cp:lastModifiedBy>Claud Piga</cp:lastModifiedBy>
  <cp:revision>2</cp:revision>
  <cp:lastPrinted>2017-06-23T05:56:00Z</cp:lastPrinted>
  <dcterms:created xsi:type="dcterms:W3CDTF">2017-09-04T13:51:00Z</dcterms:created>
  <dcterms:modified xsi:type="dcterms:W3CDTF">2017-09-04T13:51:00Z</dcterms:modified>
</cp:coreProperties>
</file>