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6667" w14:textId="43489205" w:rsidR="001010D6" w:rsidRPr="001010D6" w:rsidRDefault="007C496E" w:rsidP="001010D6">
      <w:pPr>
        <w:pStyle w:val="Title"/>
        <w:jc w:val="left"/>
      </w:pPr>
      <w:r>
        <w:t xml:space="preserve">A Novel UK </w:t>
      </w:r>
      <w:r w:rsidR="001010D6">
        <w:t>Prognostic</w:t>
      </w:r>
      <w:r w:rsidR="002D19F1">
        <w:t xml:space="preserve"> Model for 30-day Mortality </w:t>
      </w:r>
      <w:r w:rsidR="00A0754F">
        <w:t>following</w:t>
      </w:r>
      <w:r w:rsidR="002D19F1">
        <w:t xml:space="preserve"> Transcatheter Aortic Valve Implantation</w:t>
      </w:r>
    </w:p>
    <w:p w14:paraId="6625A3AC" w14:textId="77777777" w:rsidR="002D19F1" w:rsidRPr="00B0361E" w:rsidRDefault="002D19F1" w:rsidP="00B30AEF">
      <w:pPr>
        <w:pStyle w:val="Title"/>
      </w:pPr>
    </w:p>
    <w:p w14:paraId="4D04FA8A" w14:textId="77777777" w:rsidR="002D19F1" w:rsidRDefault="002D19F1" w:rsidP="002D19F1">
      <w:pPr>
        <w:spacing w:before="240"/>
        <w:rPr>
          <w:i/>
          <w:szCs w:val="24"/>
          <w:lang w:val="en-US"/>
        </w:rPr>
      </w:pPr>
      <w:r>
        <w:rPr>
          <w:b/>
        </w:rPr>
        <w:t xml:space="preserve">Short Title: </w:t>
      </w:r>
      <w:r w:rsidRPr="00DF2635">
        <w:rPr>
          <w:szCs w:val="24"/>
          <w:lang w:val="en-US"/>
        </w:rPr>
        <w:t>Development of UK TAVI-CPM for 30-day mortality</w:t>
      </w:r>
    </w:p>
    <w:p w14:paraId="530C600A" w14:textId="5EB52BE6" w:rsidR="002D19F1" w:rsidRPr="00B30AEF" w:rsidRDefault="002D19F1" w:rsidP="00B30AEF">
      <w:pPr>
        <w:spacing w:line="259" w:lineRule="auto"/>
        <w:rPr>
          <w:rStyle w:val="st"/>
          <w:vertAlign w:val="superscript"/>
        </w:rPr>
      </w:pPr>
      <w:r w:rsidRPr="002B4D27">
        <w:t>Glen P. Martin</w:t>
      </w:r>
      <w:r>
        <w:t xml:space="preserve">, </w:t>
      </w:r>
      <w:r w:rsidR="00730D9C">
        <w:t xml:space="preserve">PhD </w:t>
      </w:r>
      <w:r>
        <w:rPr>
          <w:vertAlign w:val="superscript"/>
        </w:rPr>
        <w:t>1</w:t>
      </w:r>
      <w:r>
        <w:t>;</w:t>
      </w:r>
      <w:r w:rsidRPr="002B4D27">
        <w:t xml:space="preserve"> Matthew Sperrin</w:t>
      </w:r>
      <w:r>
        <w:t xml:space="preserve">, PhD </w:t>
      </w:r>
      <w:r>
        <w:rPr>
          <w:vertAlign w:val="superscript"/>
        </w:rPr>
        <w:t>1</w:t>
      </w:r>
      <w:r>
        <w:t>;</w:t>
      </w:r>
      <w:r w:rsidRPr="002B4D27">
        <w:t xml:space="preserve"> Peter F. Ludman</w:t>
      </w:r>
      <w:r>
        <w:t xml:space="preserve">, </w:t>
      </w:r>
      <w:r w:rsidRPr="00FA3806">
        <w:t>MA, MD, FRCP, FESC</w:t>
      </w:r>
      <w:r>
        <w:t xml:space="preserve"> </w:t>
      </w:r>
      <w:r>
        <w:rPr>
          <w:vertAlign w:val="superscript"/>
        </w:rPr>
        <w:t>2</w:t>
      </w:r>
      <w:r>
        <w:t>;</w:t>
      </w:r>
      <w:r w:rsidRPr="002B4D27">
        <w:t xml:space="preserve"> Mark A. de Belder</w:t>
      </w:r>
      <w:r>
        <w:t xml:space="preserve">, </w:t>
      </w:r>
      <w:r w:rsidRPr="00FA3806">
        <w:t>MA, MD, FRCP</w:t>
      </w:r>
      <w:r w:rsidRPr="002B4D27">
        <w:t xml:space="preserve"> </w:t>
      </w:r>
      <w:r>
        <w:rPr>
          <w:vertAlign w:val="superscript"/>
        </w:rPr>
        <w:t>3</w:t>
      </w:r>
      <w:r>
        <w:t xml:space="preserve">; </w:t>
      </w:r>
      <w:r w:rsidRPr="00A8741E">
        <w:t xml:space="preserve">Simon Redwood, MBBS, MD </w:t>
      </w:r>
      <w:r w:rsidRPr="00A8741E">
        <w:rPr>
          <w:vertAlign w:val="superscript"/>
        </w:rPr>
        <w:t>4</w:t>
      </w:r>
      <w:r w:rsidRPr="00A8741E">
        <w:t xml:space="preserve">; John Townend, MD </w:t>
      </w:r>
      <w:r w:rsidRPr="00A8741E">
        <w:rPr>
          <w:vertAlign w:val="superscript"/>
        </w:rPr>
        <w:t>2</w:t>
      </w:r>
      <w:r w:rsidRPr="00A8741E">
        <w:t xml:space="preserve">; Mark Gunning, MD, FRCP </w:t>
      </w:r>
      <w:r w:rsidRPr="00A8741E">
        <w:rPr>
          <w:vertAlign w:val="superscript"/>
        </w:rPr>
        <w:t>5</w:t>
      </w:r>
      <w:r w:rsidRPr="00A8741E">
        <w:t xml:space="preserve">; Neil E. Moat, MBBS, MS </w:t>
      </w:r>
      <w:r w:rsidRPr="00A8741E">
        <w:rPr>
          <w:vertAlign w:val="superscript"/>
        </w:rPr>
        <w:t>6</w:t>
      </w:r>
      <w:r w:rsidRPr="00A8741E">
        <w:t xml:space="preserve">; </w:t>
      </w:r>
      <w:r w:rsidR="00564C33" w:rsidRPr="00A8741E">
        <w:t>Adrian Banning</w:t>
      </w:r>
      <w:r w:rsidR="00A947E1" w:rsidRPr="00A8741E">
        <w:t xml:space="preserve">, MD </w:t>
      </w:r>
      <w:r w:rsidR="00564C33" w:rsidRPr="00A8741E">
        <w:rPr>
          <w:szCs w:val="24"/>
          <w:vertAlign w:val="superscript"/>
        </w:rPr>
        <w:t>7</w:t>
      </w:r>
      <w:r w:rsidR="00564C33" w:rsidRPr="00A8741E">
        <w:t xml:space="preserve">, </w:t>
      </w:r>
      <w:r w:rsidRPr="00A8741E">
        <w:t>Iain</w:t>
      </w:r>
      <w:r w:rsidRPr="002B4D27">
        <w:t xml:space="preserve"> Buchan</w:t>
      </w:r>
      <w:r>
        <w:t xml:space="preserve">, </w:t>
      </w:r>
      <w:r w:rsidRPr="00C818CB">
        <w:t>MD, FFPH</w:t>
      </w:r>
      <w:r>
        <w:t xml:space="preserve"> </w:t>
      </w:r>
      <w:r>
        <w:rPr>
          <w:vertAlign w:val="superscript"/>
        </w:rPr>
        <w:t>1</w:t>
      </w:r>
      <w:r>
        <w:t>;</w:t>
      </w:r>
      <w:r w:rsidRPr="002B4D27">
        <w:t xml:space="preserve"> Mamas A. Mamas</w:t>
      </w:r>
      <w:r>
        <w:t xml:space="preserve">, MA, </w:t>
      </w:r>
      <w:r w:rsidRPr="003B65A0">
        <w:rPr>
          <w:rStyle w:val="st"/>
          <w:szCs w:val="24"/>
        </w:rPr>
        <w:t xml:space="preserve">DPhil, </w:t>
      </w:r>
      <w:r>
        <w:rPr>
          <w:rStyle w:val="st"/>
          <w:szCs w:val="24"/>
        </w:rPr>
        <w:t>F</w:t>
      </w:r>
      <w:r w:rsidRPr="003B65A0">
        <w:rPr>
          <w:rStyle w:val="st"/>
          <w:szCs w:val="24"/>
        </w:rPr>
        <w:t>RCP</w:t>
      </w:r>
      <w:r>
        <w:rPr>
          <w:rStyle w:val="st"/>
          <w:szCs w:val="24"/>
        </w:rPr>
        <w:t xml:space="preserve"> </w:t>
      </w:r>
      <w:r>
        <w:rPr>
          <w:rStyle w:val="st"/>
          <w:szCs w:val="24"/>
          <w:vertAlign w:val="superscript"/>
        </w:rPr>
        <w:t>1,5</w:t>
      </w:r>
    </w:p>
    <w:p w14:paraId="1CCD4CA8" w14:textId="77777777" w:rsidR="002D19F1" w:rsidRPr="002B4D27" w:rsidRDefault="002D19F1" w:rsidP="002D19F1">
      <w:pPr>
        <w:spacing w:line="259" w:lineRule="auto"/>
      </w:pPr>
    </w:p>
    <w:p w14:paraId="0B028786" w14:textId="77777777" w:rsidR="002D19F1" w:rsidRDefault="002D19F1" w:rsidP="002D19F1">
      <w:pPr>
        <w:spacing w:line="259" w:lineRule="auto"/>
      </w:pPr>
      <w:r>
        <w:t>1:</w:t>
      </w:r>
      <w:r w:rsidRPr="00F17713">
        <w:t xml:space="preserve"> </w:t>
      </w:r>
      <w:r>
        <w:t xml:space="preserve">Farr Institute, Faculty of Biology, Medicine and Health, University of Manchester, </w:t>
      </w:r>
    </w:p>
    <w:p w14:paraId="7B15E5E2" w14:textId="77777777" w:rsidR="002D19F1" w:rsidRDefault="002D19F1" w:rsidP="002D19F1">
      <w:pPr>
        <w:spacing w:line="259" w:lineRule="auto"/>
      </w:pPr>
      <w:r>
        <w:t>Manchester Academic Health Science Centre, Manchester, United Kingdom</w:t>
      </w:r>
    </w:p>
    <w:p w14:paraId="122116E0" w14:textId="77777777" w:rsidR="002D19F1" w:rsidRPr="00F17713" w:rsidRDefault="002D19F1" w:rsidP="002D19F1">
      <w:pPr>
        <w:spacing w:line="259" w:lineRule="auto"/>
        <w:rPr>
          <w:b/>
        </w:rPr>
      </w:pPr>
      <w:r>
        <w:t xml:space="preserve">2: </w:t>
      </w:r>
      <w:r w:rsidRPr="00392C92">
        <w:t>Queen Elizabeth Hospital, Birmingham, United Kingdom</w:t>
      </w:r>
    </w:p>
    <w:p w14:paraId="1A7747F3" w14:textId="77777777" w:rsidR="002D19F1" w:rsidRDefault="002D19F1" w:rsidP="002D19F1">
      <w:pPr>
        <w:spacing w:line="259" w:lineRule="auto"/>
      </w:pPr>
      <w:r>
        <w:t>3:</w:t>
      </w:r>
      <w:r w:rsidRPr="00F17713">
        <w:t xml:space="preserve"> </w:t>
      </w:r>
      <w:r w:rsidRPr="00392C92">
        <w:t>James Cook University Hospital, Middlesbrough, United Kingdom</w:t>
      </w:r>
    </w:p>
    <w:p w14:paraId="6D0FEE12" w14:textId="77777777" w:rsidR="002D19F1" w:rsidRDefault="002D19F1" w:rsidP="002D19F1">
      <w:pPr>
        <w:spacing w:line="259" w:lineRule="auto"/>
      </w:pPr>
      <w:r>
        <w:t xml:space="preserve">4: </w:t>
      </w:r>
      <w:r>
        <w:rPr>
          <w:rStyle w:val="highlight"/>
          <w:rFonts w:eastAsia="Times New Roman"/>
        </w:rPr>
        <w:t>Guys</w:t>
      </w:r>
      <w:r>
        <w:rPr>
          <w:rFonts w:eastAsia="Times New Roman"/>
        </w:rPr>
        <w:t xml:space="preserve"> &amp; St Thomas' NHS Foundation Trust, London, </w:t>
      </w:r>
      <w:r>
        <w:t>United Kingdom</w:t>
      </w:r>
    </w:p>
    <w:p w14:paraId="172D1C9B" w14:textId="55A7A230" w:rsidR="002D19F1" w:rsidRDefault="002D19F1" w:rsidP="002D19F1">
      <w:pPr>
        <w:spacing w:line="259" w:lineRule="auto"/>
      </w:pPr>
      <w:r>
        <w:t xml:space="preserve">5: </w:t>
      </w:r>
      <w:r w:rsidRPr="0011507B">
        <w:t xml:space="preserve">Keele Cardiovascular Research Group, Keele University, Stoke-on-Trent, </w:t>
      </w:r>
      <w:r>
        <w:t>United Kingdom</w:t>
      </w:r>
    </w:p>
    <w:p w14:paraId="38AF27B9" w14:textId="77777777" w:rsidR="002D19F1" w:rsidRDefault="002D19F1" w:rsidP="002D19F1">
      <w:pPr>
        <w:spacing w:line="259" w:lineRule="auto"/>
      </w:pPr>
      <w:r>
        <w:t xml:space="preserve">6: </w:t>
      </w:r>
      <w:r w:rsidRPr="00D438A2">
        <w:t>Royal Brompton and Harefield Nation</w:t>
      </w:r>
      <w:r>
        <w:t>al Health Service (NHS) Founda</w:t>
      </w:r>
      <w:r w:rsidRPr="00D438A2">
        <w:t>tion Trust, London, United Kingdom</w:t>
      </w:r>
    </w:p>
    <w:p w14:paraId="5D8D8A85" w14:textId="1A07F3AD" w:rsidR="00564C33" w:rsidRDefault="00564C33" w:rsidP="002D19F1">
      <w:pPr>
        <w:spacing w:line="259" w:lineRule="auto"/>
      </w:pPr>
      <w:r>
        <w:t>7: John Radcliffe Hospital, Oxford, United Kingdom</w:t>
      </w:r>
    </w:p>
    <w:p w14:paraId="3293ADA3" w14:textId="77777777" w:rsidR="002D19F1" w:rsidRDefault="002D19F1" w:rsidP="002D19F1">
      <w:pPr>
        <w:spacing w:line="259" w:lineRule="auto"/>
      </w:pPr>
    </w:p>
    <w:p w14:paraId="6679205A" w14:textId="4D36BE1B" w:rsidR="002D19F1" w:rsidRDefault="002D19F1" w:rsidP="002D19F1">
      <w:pPr>
        <w:spacing w:line="259" w:lineRule="auto"/>
      </w:pPr>
      <w:r>
        <w:rPr>
          <w:b/>
        </w:rPr>
        <w:t xml:space="preserve">Manuscript word count: </w:t>
      </w:r>
      <w:r w:rsidR="00942D50">
        <w:t>30</w:t>
      </w:r>
      <w:r w:rsidR="00B41E17">
        <w:t>30</w:t>
      </w:r>
    </w:p>
    <w:p w14:paraId="2124B56E" w14:textId="77777777" w:rsidR="002D19F1" w:rsidRDefault="002D19F1" w:rsidP="00985987">
      <w:pPr>
        <w:spacing w:after="0" w:line="276" w:lineRule="auto"/>
      </w:pPr>
      <w:r w:rsidRPr="00B61199">
        <w:rPr>
          <w:b/>
        </w:rPr>
        <w:t>Conflict of Interest</w:t>
      </w:r>
      <w:r w:rsidRPr="00B61199">
        <w:t xml:space="preserve">: </w:t>
      </w:r>
      <w:r>
        <w:t>None.</w:t>
      </w:r>
    </w:p>
    <w:p w14:paraId="18510CB0" w14:textId="77777777" w:rsidR="002D19F1" w:rsidRPr="00AC7908" w:rsidRDefault="002D19F1" w:rsidP="00985987">
      <w:pPr>
        <w:spacing w:after="0" w:line="276" w:lineRule="auto"/>
        <w:rPr>
          <w:b/>
        </w:rPr>
      </w:pPr>
      <w:r w:rsidRPr="00AC7908">
        <w:rPr>
          <w:b/>
        </w:rPr>
        <w:t>Funding:</w:t>
      </w:r>
      <w:r>
        <w:rPr>
          <w:b/>
        </w:rPr>
        <w:t xml:space="preserve"> </w:t>
      </w:r>
      <w:r>
        <w:t xml:space="preserve">This work was funded by </w:t>
      </w:r>
      <w:r w:rsidRPr="0011507B">
        <w:t xml:space="preserve">the Medical Research Council </w:t>
      </w:r>
      <w:r>
        <w:t>t</w:t>
      </w:r>
      <w:r w:rsidRPr="0011507B">
        <w:t>hrough the Health e-Research Centre, University of Manchester [MR/K006665/1]</w:t>
      </w:r>
      <w:r>
        <w:t xml:space="preserve"> and a grant through the North Staffordshire Heart Committee</w:t>
      </w:r>
      <w:r w:rsidRPr="0011507B">
        <w:t xml:space="preserve">. </w:t>
      </w:r>
    </w:p>
    <w:p w14:paraId="2825F598" w14:textId="77777777" w:rsidR="002D19F1" w:rsidRDefault="002D19F1" w:rsidP="002D19F1">
      <w:pPr>
        <w:spacing w:line="276" w:lineRule="auto"/>
        <w:rPr>
          <w:szCs w:val="24"/>
          <w:lang w:val="en-US"/>
        </w:rPr>
      </w:pPr>
      <w:r>
        <w:rPr>
          <w:b/>
          <w:szCs w:val="24"/>
          <w:lang w:val="en-US"/>
        </w:rPr>
        <w:t xml:space="preserve">Acknowledgements: </w:t>
      </w:r>
      <w:r w:rsidRPr="00AC7908">
        <w:rPr>
          <w:szCs w:val="24"/>
          <w:lang w:val="en-US"/>
        </w:rPr>
        <w:t>We acknowledge the National Institute for Cardiovascular Outcomes Research (NICOR) for providing the UK TAVI registry extract for this study.</w:t>
      </w:r>
    </w:p>
    <w:p w14:paraId="6073B8FE" w14:textId="77777777" w:rsidR="00985987" w:rsidRDefault="00985987" w:rsidP="002D19F1">
      <w:pPr>
        <w:spacing w:after="0" w:line="259" w:lineRule="auto"/>
        <w:rPr>
          <w:b/>
        </w:rPr>
      </w:pPr>
    </w:p>
    <w:p w14:paraId="140893FE" w14:textId="528CE002" w:rsidR="002D19F1" w:rsidRDefault="002D19F1" w:rsidP="002D19F1">
      <w:pPr>
        <w:spacing w:after="0" w:line="259" w:lineRule="auto"/>
        <w:rPr>
          <w:b/>
          <w:szCs w:val="24"/>
          <w:lang w:val="en-US"/>
        </w:rPr>
      </w:pPr>
      <w:r>
        <w:rPr>
          <w:b/>
        </w:rPr>
        <w:t>Corresponding Author</w:t>
      </w:r>
      <w:r w:rsidRPr="001316DA">
        <w:rPr>
          <w:b/>
          <w:szCs w:val="24"/>
          <w:lang w:val="en-US"/>
        </w:rPr>
        <w:t>:</w:t>
      </w:r>
      <w:r>
        <w:rPr>
          <w:b/>
          <w:szCs w:val="24"/>
          <w:lang w:val="en-US"/>
        </w:rPr>
        <w:t xml:space="preserve"> </w:t>
      </w:r>
    </w:p>
    <w:p w14:paraId="28222834" w14:textId="77777777" w:rsidR="002D19F1" w:rsidRDefault="002D19F1" w:rsidP="002D19F1">
      <w:pPr>
        <w:spacing w:after="0" w:line="276" w:lineRule="auto"/>
        <w:jc w:val="left"/>
      </w:pPr>
      <w:r>
        <w:t>Mamas A. Mamas</w:t>
      </w:r>
    </w:p>
    <w:p w14:paraId="416D1DD2" w14:textId="77777777" w:rsidR="002D19F1" w:rsidRDefault="002D19F1" w:rsidP="002D19F1">
      <w:pPr>
        <w:spacing w:line="276" w:lineRule="auto"/>
        <w:jc w:val="left"/>
      </w:pPr>
      <w:r>
        <w:t>Professor of Cardiology / Honorary Consultant Cardiologist</w:t>
      </w:r>
    </w:p>
    <w:p w14:paraId="121DCD58" w14:textId="0C3B0DEF" w:rsidR="002D19F1" w:rsidRDefault="002D19F1" w:rsidP="002D19F1">
      <w:pPr>
        <w:spacing w:line="276" w:lineRule="auto"/>
        <w:jc w:val="left"/>
      </w:pPr>
      <w:r w:rsidRPr="00FF39C6">
        <w:rPr>
          <w:szCs w:val="24"/>
        </w:rPr>
        <w:t>Keele Cardiovascular Research Group,</w:t>
      </w:r>
      <w:r>
        <w:rPr>
          <w:szCs w:val="24"/>
        </w:rPr>
        <w:t xml:space="preserve"> </w:t>
      </w:r>
      <w:r w:rsidR="00A85B77">
        <w:t>Centre for Prognosis Research, Institute for Primary Care and Health Sciences</w:t>
      </w:r>
      <w:r>
        <w:t>, Keele University, Stoke-on-Trent, ST4 7QB, UK</w:t>
      </w:r>
    </w:p>
    <w:p w14:paraId="1C5B6A75" w14:textId="77777777" w:rsidR="002D19F1" w:rsidRDefault="002D19F1" w:rsidP="002D19F1">
      <w:pPr>
        <w:spacing w:line="276" w:lineRule="auto"/>
        <w:jc w:val="left"/>
      </w:pPr>
      <w:r>
        <w:t xml:space="preserve">Email: </w:t>
      </w:r>
      <w:hyperlink r:id="rId8" w:history="1">
        <w:r w:rsidRPr="001A7D49">
          <w:rPr>
            <w:rStyle w:val="Hyperlink"/>
          </w:rPr>
          <w:t>mamasmamas1@yahoo.co.uk</w:t>
        </w:r>
      </w:hyperlink>
      <w:r>
        <w:t xml:space="preserve"> </w:t>
      </w:r>
    </w:p>
    <w:p w14:paraId="7A0FDAE6" w14:textId="77777777" w:rsidR="002D19F1" w:rsidRDefault="002D19F1" w:rsidP="002D19F1"/>
    <w:p w14:paraId="3B179655" w14:textId="74D2B529" w:rsidR="00985987" w:rsidRDefault="00985987" w:rsidP="00985987">
      <w:pPr>
        <w:spacing w:line="276" w:lineRule="auto"/>
        <w:rPr>
          <w:szCs w:val="24"/>
          <w:lang w:val="en-US"/>
        </w:rPr>
      </w:pPr>
      <w:r w:rsidRPr="00985987">
        <w:rPr>
          <w:szCs w:val="24"/>
          <w:lang w:val="en-US"/>
        </w:rPr>
        <w:t>The Corresponding Author has the right to grant on behalf of all authors and does grant on behalf of all authors, an exclusive licen</w:t>
      </w:r>
      <w:r>
        <w:rPr>
          <w:szCs w:val="24"/>
          <w:lang w:val="en-US"/>
        </w:rPr>
        <w:t>s</w:t>
      </w:r>
      <w:r w:rsidRPr="00985987">
        <w:rPr>
          <w:szCs w:val="24"/>
          <w:lang w:val="en-US"/>
        </w:rPr>
        <w:t>e (or non exclusive for government employees) on a worldwide basis to the BMJ Publishing Group Ltd and its Licensees to permit this article (if accepted) to be published in HEART editions and any other BMJPGL products to exploit all subsidiary rights</w:t>
      </w:r>
      <w:r>
        <w:rPr>
          <w:szCs w:val="24"/>
          <w:lang w:val="en-US"/>
        </w:rPr>
        <w:t>.</w:t>
      </w:r>
    </w:p>
    <w:p w14:paraId="006D1ED3" w14:textId="77777777" w:rsidR="00985987" w:rsidRDefault="00985987" w:rsidP="002D19F1"/>
    <w:p w14:paraId="4D4DA5EF" w14:textId="77777777" w:rsidR="002D19F1" w:rsidRDefault="002D19F1" w:rsidP="002D19F1">
      <w:pPr>
        <w:sectPr w:rsidR="002D19F1">
          <w:headerReference w:type="default" r:id="rId9"/>
          <w:footerReference w:type="default" r:id="rId10"/>
          <w:pgSz w:w="11906" w:h="16838"/>
          <w:pgMar w:top="1440" w:right="1440" w:bottom="1440" w:left="1440" w:header="708" w:footer="708" w:gutter="0"/>
          <w:cols w:space="708"/>
          <w:docGrid w:linePitch="360"/>
        </w:sectPr>
      </w:pPr>
    </w:p>
    <w:p w14:paraId="36E3AFBF" w14:textId="77777777" w:rsidR="002D19F1" w:rsidRDefault="002D19F1" w:rsidP="002D19F1">
      <w:pPr>
        <w:pStyle w:val="Heading1"/>
      </w:pPr>
      <w:r>
        <w:lastRenderedPageBreak/>
        <w:t>Abstract</w:t>
      </w:r>
    </w:p>
    <w:p w14:paraId="57D9F7C5" w14:textId="77777777" w:rsidR="002D19F1" w:rsidRDefault="002D19F1" w:rsidP="002D19F1">
      <w:pPr>
        <w:pStyle w:val="Heading2"/>
      </w:pPr>
      <w:r>
        <w:t>Objective</w:t>
      </w:r>
    </w:p>
    <w:p w14:paraId="0425CA66" w14:textId="1645086B" w:rsidR="002E29B8" w:rsidRDefault="002E29B8" w:rsidP="002E29B8">
      <w:r>
        <w:t xml:space="preserve">Existing clinical prediction models (CPMs) for short-term mortality after transcatheter aortic valve implantation (TAVI) </w:t>
      </w:r>
      <w:r w:rsidR="0014080A">
        <w:t xml:space="preserve">have limited </w:t>
      </w:r>
      <w:r w:rsidR="008C5F10">
        <w:t xml:space="preserve">applicability </w:t>
      </w:r>
      <w:r w:rsidR="00634224">
        <w:t xml:space="preserve">in the UK </w:t>
      </w:r>
      <w:r w:rsidR="0014080A">
        <w:t>due to</w:t>
      </w:r>
      <w:r>
        <w:t xml:space="preserve"> moderate predictive performance and </w:t>
      </w:r>
      <w:r w:rsidR="00A13B6C">
        <w:t>inconsistent</w:t>
      </w:r>
      <w:r>
        <w:t xml:space="preserve"> recording practices across registries. The aim of this study was to derive a UK-TAVI CPM </w:t>
      </w:r>
      <w:r w:rsidR="00E03182">
        <w:t xml:space="preserve">to predict 30-day mortality risk, </w:t>
      </w:r>
      <w:r>
        <w:t>for benchmarking purposes.</w:t>
      </w:r>
    </w:p>
    <w:p w14:paraId="733E0C42" w14:textId="52E6D509" w:rsidR="002D19F1" w:rsidRDefault="002D19F1" w:rsidP="002E29B8">
      <w:pPr>
        <w:pStyle w:val="Heading2"/>
      </w:pPr>
      <w:r>
        <w:t>Methods</w:t>
      </w:r>
    </w:p>
    <w:p w14:paraId="2E694161" w14:textId="7160BB46" w:rsidR="002D19F1" w:rsidRDefault="00BC5CA1" w:rsidP="002D19F1">
      <w:r>
        <w:t>A two-step mo</w:t>
      </w:r>
      <w:r w:rsidR="00E03182">
        <w:t>delling strategy was undertaken: firstly, d</w:t>
      </w:r>
      <w:r w:rsidR="002D19F1">
        <w:t xml:space="preserve">ata from the UK TAVI registry between 2009 and 2014 were used to develop a multivariable logistic regression CPM </w:t>
      </w:r>
      <w:r w:rsidR="004F24AF">
        <w:t>using backwards stepwise regression</w:t>
      </w:r>
      <w:r>
        <w:t xml:space="preserve">. </w:t>
      </w:r>
      <w:r w:rsidR="00E03182">
        <w:t xml:space="preserve">Secondly, </w:t>
      </w:r>
      <w:r w:rsidR="00601732">
        <w:t>model-updating</w:t>
      </w:r>
      <w:r>
        <w:t xml:space="preserve"> techniques were applied using the 2013-14 data, thereby leveraging new approaches to include frailty and</w:t>
      </w:r>
      <w:r w:rsidR="00E03182">
        <w:t xml:space="preserve"> to</w:t>
      </w:r>
      <w:r>
        <w:t xml:space="preserve"> ensure the model was reflective of contemporary practice</w:t>
      </w:r>
      <w:r w:rsidR="002D19F1">
        <w:t xml:space="preserve">. Internal validation was performed by bootstrapping to estimate </w:t>
      </w:r>
      <w:r w:rsidR="00E03182">
        <w:t xml:space="preserve">in-sample </w:t>
      </w:r>
      <w:r w:rsidR="002D19F1">
        <w:t>optimism-co</w:t>
      </w:r>
      <w:r w:rsidR="00E03182">
        <w:t>rrected performance.</w:t>
      </w:r>
    </w:p>
    <w:p w14:paraId="16FDF464" w14:textId="77777777" w:rsidR="002D19F1" w:rsidRDefault="002D19F1" w:rsidP="002D19F1">
      <w:pPr>
        <w:pStyle w:val="Heading2"/>
      </w:pPr>
      <w:r>
        <w:t>Results</w:t>
      </w:r>
    </w:p>
    <w:p w14:paraId="2795651D" w14:textId="2DA28F57" w:rsidR="002D19F1" w:rsidRDefault="00BC5CA1" w:rsidP="002D19F1">
      <w:r>
        <w:t xml:space="preserve">Between 2009 and 2014, </w:t>
      </w:r>
      <w:r w:rsidR="002D19F1">
        <w:t xml:space="preserve">6339 patients </w:t>
      </w:r>
      <w:r>
        <w:t xml:space="preserve">were included </w:t>
      </w:r>
      <w:r w:rsidR="002D19F1">
        <w:t xml:space="preserve">across 34 centres in the UK TAVI registry (mean age, 81.3; </w:t>
      </w:r>
      <w:r w:rsidR="002D19F1">
        <w:rPr>
          <w:szCs w:val="20"/>
        </w:rPr>
        <w:t xml:space="preserve">2927 </w:t>
      </w:r>
      <w:r w:rsidR="002D19F1">
        <w:t xml:space="preserve">female [46.2%]). The observed 30-day mortality rate was 5.14%. </w:t>
      </w:r>
      <w:r>
        <w:t xml:space="preserve">The </w:t>
      </w:r>
      <w:r w:rsidR="002A6BF0">
        <w:t>final UK-TAVI CPM included 1</w:t>
      </w:r>
      <w:r w:rsidR="0014080A">
        <w:t xml:space="preserve">5 </w:t>
      </w:r>
      <w:r w:rsidR="002A6BF0">
        <w:t xml:space="preserve">risk factors, which included two variables associated with frailty. After correction for in-sample optimism, the model was </w:t>
      </w:r>
      <w:r w:rsidR="002D19F1">
        <w:t>well calibrated</w:t>
      </w:r>
      <w:r w:rsidR="00E03182">
        <w:t xml:space="preserve">, with a calibration intercept of </w:t>
      </w:r>
      <w:r w:rsidR="00E03182" w:rsidRPr="00CF04D2">
        <w:t>0.0</w:t>
      </w:r>
      <w:r w:rsidR="00E03182">
        <w:t>2</w:t>
      </w:r>
      <w:r w:rsidR="00E03182" w:rsidRPr="00CF04D2">
        <w:t xml:space="preserve"> (</w:t>
      </w:r>
      <w:r w:rsidR="00E03182">
        <w:t xml:space="preserve">95% CI: </w:t>
      </w:r>
      <w:r w:rsidR="00E03182" w:rsidRPr="00CF04D2">
        <w:t>-0.1</w:t>
      </w:r>
      <w:r w:rsidR="00E03182">
        <w:t>7</w:t>
      </w:r>
      <w:r w:rsidR="00E03182" w:rsidRPr="00CF04D2">
        <w:t>, 0.</w:t>
      </w:r>
      <w:r w:rsidR="00E03182">
        <w:t>20</w:t>
      </w:r>
      <w:r w:rsidR="00E03182" w:rsidRPr="00CF04D2">
        <w:t>)</w:t>
      </w:r>
      <w:r w:rsidR="00E03182">
        <w:t xml:space="preserve"> and calibration slope of </w:t>
      </w:r>
      <w:r w:rsidR="00E03182" w:rsidRPr="00CF04D2">
        <w:t>0.</w:t>
      </w:r>
      <w:r w:rsidR="00E03182">
        <w:t>79</w:t>
      </w:r>
      <w:r w:rsidR="00E03182" w:rsidRPr="00CF04D2">
        <w:t xml:space="preserve"> (</w:t>
      </w:r>
      <w:r w:rsidR="00E03182">
        <w:t xml:space="preserve">95% CI: </w:t>
      </w:r>
      <w:r w:rsidR="00E03182" w:rsidRPr="00CF04D2">
        <w:t>0.</w:t>
      </w:r>
      <w:r w:rsidR="00E03182">
        <w:t>55</w:t>
      </w:r>
      <w:r w:rsidR="00E03182" w:rsidRPr="00CF04D2">
        <w:t>, 1.0</w:t>
      </w:r>
      <w:r w:rsidR="00E03182">
        <w:t>3</w:t>
      </w:r>
      <w:r w:rsidR="00E03182" w:rsidRPr="00CF04D2">
        <w:t>)</w:t>
      </w:r>
      <w:r>
        <w:t>.</w:t>
      </w:r>
      <w:r w:rsidR="002D19F1">
        <w:t xml:space="preserve"> The </w:t>
      </w:r>
      <w:r w:rsidR="00E03182">
        <w:t>area under the receiver operating characteristic curve</w:t>
      </w:r>
      <w:r w:rsidR="00143E9D">
        <w:t>,</w:t>
      </w:r>
      <w:r w:rsidR="002D19F1">
        <w:t xml:space="preserve"> after adjustment for in-sample optimism, was 0.</w:t>
      </w:r>
      <w:r>
        <w:t>66</w:t>
      </w:r>
      <w:r w:rsidR="002D19F1">
        <w:t>.</w:t>
      </w:r>
    </w:p>
    <w:p w14:paraId="2954D9A3" w14:textId="77777777" w:rsidR="002D19F1" w:rsidRDefault="002D19F1" w:rsidP="002D19F1">
      <w:pPr>
        <w:pStyle w:val="Heading2"/>
      </w:pPr>
      <w:r>
        <w:t>Conclusion</w:t>
      </w:r>
    </w:p>
    <w:p w14:paraId="372DFC5C" w14:textId="5F677056" w:rsidR="002D19F1" w:rsidRDefault="002D19F1" w:rsidP="002D19F1">
      <w:r>
        <w:t xml:space="preserve">The UK-TAVI CPM demonstrated </w:t>
      </w:r>
      <w:r w:rsidR="00B33093">
        <w:t xml:space="preserve">strong </w:t>
      </w:r>
      <w:r>
        <w:t xml:space="preserve">calibration and moderate discrimination in UK TAVI patients. </w:t>
      </w:r>
      <w:r w:rsidR="00B33093">
        <w:t>T</w:t>
      </w:r>
      <w:r w:rsidR="00F134C8">
        <w:t>h</w:t>
      </w:r>
      <w:r w:rsidR="00972459">
        <w:t>is</w:t>
      </w:r>
      <w:r w:rsidR="00F134C8">
        <w:t xml:space="preserve"> model</w:t>
      </w:r>
      <w:r w:rsidR="00B33093">
        <w:t xml:space="preserve"> shows </w:t>
      </w:r>
      <w:r>
        <w:t>potential for benchmarking</w:t>
      </w:r>
      <w:r w:rsidR="00B33093">
        <w:t xml:space="preserve">, </w:t>
      </w:r>
      <w:r w:rsidR="00972459">
        <w:t>but</w:t>
      </w:r>
      <w:r w:rsidR="006B7531">
        <w:t xml:space="preserve"> even the inclusion of frailty </w:t>
      </w:r>
      <w:r w:rsidR="006B7531">
        <w:lastRenderedPageBreak/>
        <w:t xml:space="preserve">did not overcome the need for </w:t>
      </w:r>
      <w:r w:rsidR="00972459">
        <w:t xml:space="preserve">more wide-ranging data and </w:t>
      </w:r>
      <w:r w:rsidR="00730D9C">
        <w:t xml:space="preserve">other </w:t>
      </w:r>
      <w:r w:rsidR="00BC5CA1">
        <w:t>outcomes</w:t>
      </w:r>
      <w:r w:rsidR="00730D9C">
        <w:t xml:space="preserve"> might usefully be explored</w:t>
      </w:r>
      <w:r>
        <w:t>.</w:t>
      </w:r>
    </w:p>
    <w:p w14:paraId="7A372D76" w14:textId="77777777" w:rsidR="002D19F1" w:rsidRDefault="002D19F1" w:rsidP="002D19F1">
      <w:pPr>
        <w:pStyle w:val="Heading2"/>
      </w:pPr>
      <w:r>
        <w:t>Keywords</w:t>
      </w:r>
    </w:p>
    <w:p w14:paraId="31D7F21E" w14:textId="77777777" w:rsidR="002D19F1" w:rsidRPr="006D1B11" w:rsidRDefault="002D19F1" w:rsidP="002D19F1">
      <w:r>
        <w:t>Aortic stenosis – transcatheter aortic valve implantation – risk model – clinical prediction model – mortality</w:t>
      </w:r>
    </w:p>
    <w:p w14:paraId="44703241" w14:textId="77777777" w:rsidR="002D19F1" w:rsidRDefault="002D19F1" w:rsidP="002D19F1">
      <w:pPr>
        <w:sectPr w:rsidR="002D19F1">
          <w:pgSz w:w="11906" w:h="16838"/>
          <w:pgMar w:top="1440" w:right="1440" w:bottom="1440" w:left="1440" w:header="708" w:footer="708" w:gutter="0"/>
          <w:cols w:space="708"/>
          <w:docGrid w:linePitch="360"/>
        </w:sectPr>
      </w:pPr>
    </w:p>
    <w:p w14:paraId="549C6BEE" w14:textId="77777777" w:rsidR="002E29B8" w:rsidRDefault="002E29B8" w:rsidP="002E29B8">
      <w:pPr>
        <w:pStyle w:val="Heading1"/>
      </w:pPr>
      <w:r>
        <w:lastRenderedPageBreak/>
        <w:t>Key Questions</w:t>
      </w:r>
    </w:p>
    <w:p w14:paraId="0FE55990" w14:textId="77777777" w:rsidR="002E29B8" w:rsidRDefault="002E29B8" w:rsidP="002E29B8">
      <w:pPr>
        <w:pStyle w:val="Heading2"/>
      </w:pPr>
      <w:r>
        <w:t>What is already known about this subject?</w:t>
      </w:r>
    </w:p>
    <w:p w14:paraId="6CA9B1D7" w14:textId="51899B91" w:rsidR="002E29B8" w:rsidRDefault="002E29B8" w:rsidP="002E29B8">
      <w:r>
        <w:t xml:space="preserve">Existing clinical prediction models (CPMs) </w:t>
      </w:r>
      <w:r w:rsidR="006B7531">
        <w:t xml:space="preserve">for </w:t>
      </w:r>
      <w:r>
        <w:t>mortality following transcatheter aortic valve implantation (TAVI) have only moderate predictive performance when applied to populations distinct from those in which they were developed. Additionally, frailty has been shown to be an important predictor of mortality following TAVI, with the recent recording of frailty in national registries presenting opportunities to include such measures within the risk prediction.</w:t>
      </w:r>
    </w:p>
    <w:p w14:paraId="45187EB7" w14:textId="77777777" w:rsidR="002E29B8" w:rsidRDefault="002E29B8" w:rsidP="002E29B8">
      <w:pPr>
        <w:pStyle w:val="Heading2"/>
      </w:pPr>
      <w:r>
        <w:t>What does this study add?</w:t>
      </w:r>
    </w:p>
    <w:p w14:paraId="57C204D3" w14:textId="71453849" w:rsidR="002E29B8" w:rsidRDefault="002E29B8" w:rsidP="002E29B8">
      <w:r>
        <w:t xml:space="preserve">This study presents a contemporary multivariable CPM for predicting 30-day mortality after TAVI that included 15 risk factors, </w:t>
      </w:r>
      <w:r w:rsidR="00D25232">
        <w:t xml:space="preserve">two </w:t>
      </w:r>
      <w:r>
        <w:t xml:space="preserve">of which were measures of frailty. This is the first model to be derived </w:t>
      </w:r>
      <w:r w:rsidR="00AD65BC">
        <w:t>from</w:t>
      </w:r>
      <w:r>
        <w:t xml:space="preserve"> the UK TAVI registry and presents an important step in facilitating appropriate adjustment </w:t>
      </w:r>
      <w:r w:rsidR="007E3489">
        <w:t>for case-mix when making centre-</w:t>
      </w:r>
      <w:r>
        <w:t xml:space="preserve">level outcome comparisons. The validation procedure demonstrated that the model was well calibrated and </w:t>
      </w:r>
      <w:r w:rsidR="006B7531">
        <w:t>moderately discriminating</w:t>
      </w:r>
      <w:r>
        <w:t>.</w:t>
      </w:r>
    </w:p>
    <w:p w14:paraId="49400465" w14:textId="77777777" w:rsidR="002E29B8" w:rsidRDefault="002E29B8" w:rsidP="002E29B8">
      <w:pPr>
        <w:pStyle w:val="Heading2"/>
      </w:pPr>
      <w:r>
        <w:t>How might this impact clinical practice?</w:t>
      </w:r>
    </w:p>
    <w:p w14:paraId="37F56631" w14:textId="4DF6C4DA" w:rsidR="002E29B8" w:rsidRDefault="002E29B8" w:rsidP="002E29B8">
      <w:r>
        <w:t>The model has potential to be used for benchmarking analyses in UK TAVI patients by adjusting for case-mix</w:t>
      </w:r>
      <w:r w:rsidR="00730D9C">
        <w:t>,</w:t>
      </w:r>
      <w:r w:rsidR="006358E7">
        <w:t xml:space="preserve"> and </w:t>
      </w:r>
      <w:r w:rsidR="00143E9D">
        <w:t xml:space="preserve">could </w:t>
      </w:r>
      <w:r>
        <w:t>facilitate clinical discussions around risk during the consent process.</w:t>
      </w:r>
      <w:r w:rsidR="00AF4399">
        <w:t xml:space="preserve"> However, further development is needed as more data become available, and other </w:t>
      </w:r>
      <w:r w:rsidR="00782571">
        <w:t>outcomes</w:t>
      </w:r>
      <w:r w:rsidR="00AF4399">
        <w:t xml:space="preserve"> should be explored.</w:t>
      </w:r>
    </w:p>
    <w:p w14:paraId="57D3B9C4" w14:textId="77777777" w:rsidR="002D19F1" w:rsidRDefault="002D19F1" w:rsidP="002D19F1"/>
    <w:p w14:paraId="708A6A5E" w14:textId="77777777" w:rsidR="002D19F1" w:rsidRDefault="002D19F1" w:rsidP="002D19F1">
      <w:pPr>
        <w:sectPr w:rsidR="002D19F1">
          <w:pgSz w:w="11906" w:h="16838"/>
          <w:pgMar w:top="1440" w:right="1440" w:bottom="1440" w:left="1440" w:header="708" w:footer="708" w:gutter="0"/>
          <w:cols w:space="708"/>
          <w:docGrid w:linePitch="360"/>
        </w:sectPr>
      </w:pPr>
    </w:p>
    <w:p w14:paraId="091F9402" w14:textId="77777777" w:rsidR="002D19F1" w:rsidRDefault="002D19F1" w:rsidP="002D19F1">
      <w:pPr>
        <w:pStyle w:val="Heading1"/>
      </w:pPr>
      <w:r>
        <w:lastRenderedPageBreak/>
        <w:t>Introduction</w:t>
      </w:r>
    </w:p>
    <w:p w14:paraId="1B7DCDF2" w14:textId="26FD546F" w:rsidR="002D19F1" w:rsidRDefault="002D19F1" w:rsidP="002D19F1">
      <w:pPr>
        <w:ind w:firstLine="720"/>
      </w:pPr>
      <w:r>
        <w:t xml:space="preserve">Transcatheter aortic valve implantation (TAVI) has emerged as </w:t>
      </w:r>
      <w:r w:rsidR="00601732">
        <w:t xml:space="preserve">the indicated </w:t>
      </w:r>
      <w:r>
        <w:t xml:space="preserve">treatment option for patients with aortic stenosis who </w:t>
      </w:r>
      <w:r w:rsidR="008C5F10">
        <w:t>are</w:t>
      </w:r>
      <w:r>
        <w:t xml:space="preserve"> intermediate</w:t>
      </w:r>
      <w:r w:rsidR="00A947E1">
        <w:t>-</w:t>
      </w:r>
      <w:r>
        <w:t xml:space="preserve"> </w:t>
      </w:r>
      <w:r w:rsidR="00A947E1">
        <w:t xml:space="preserve">to </w:t>
      </w:r>
      <w:r>
        <w:t>high</w:t>
      </w:r>
      <w:r w:rsidR="00A947E1">
        <w:t>-</w:t>
      </w:r>
      <w:r>
        <w:t xml:space="preserve">risk </w:t>
      </w:r>
      <w:r w:rsidR="00A947E1">
        <w:t xml:space="preserve">surgical </w:t>
      </w:r>
      <w:r>
        <w:t>candidates</w:t>
      </w:r>
      <w:r w:rsidR="008C5F10">
        <w:t xml:space="preserve"> </w:t>
      </w:r>
      <w:r w:rsidRPr="00E937F3">
        <w:fldChar w:fldCharType="begin" w:fldLock="1"/>
      </w:r>
      <w:r>
        <w:instrText>ADDIN CSL_CITATION { "citationItems" : [ { "id" : "ITEM-1", "itemData" : { "abstract" : "Background Many patients with severe aortic stenosis and coexisting conditions are not candi- dates for surgical replacement of the aortic valve. Recently, transcatheter aortic-valve implantation (TAVI) has been suggested as a less invasive treatment for high-risk patients with aortic stenosis. Methods We randomly assigned patients with severe aortic stenosis, whom surgeons considered not to be suitable candidates for surgery, to standard therapy (including balloon aortic valvuloplasty) or transfemoral transcatheter implantation of a balloon-expandable bovine pericardial valve. The primary end point was the rate of death from any cause. Results A total of 358 patients with aortic stenosis who were not considered to be suitable can- didates for surgery underwent randomization at 21 centers (17 in the United States). At 1 year, the rate of death from any cause (Kaplan\u2013Meier analysis) was 30.7% with TAVI, as compared with 50.7% with standard therapy (hazard ratio with TAVI, 0.55; 95% confidence interval [CI], 0.40 to 0.74; P&lt;0.001). The rate of the composite end point of death from any cause or repeat hospitalization was 42.5% with TAVI as com- pared with 71.6% with standard therapy (hazard ratio, 0.46; 95% CI, 0.35 to 0.59; P&lt;0.001). Among survivors at 1 year, the rate of cardiac symptoms (New York Heart Association class III or IV) was lower among patients who had undergone TAVI than among those who had received standard therapy (25.2% vs. 58.0%, P&lt;0.001). At 30 days, TAVI, as compared with standard therapy, was associated with a higher incidence of major strokes (5.0% vs. 1.1%, P = 0.06) and major vascular complications (16.2% vs. 1.1%, P&lt;0.001). In the year after TAVI, there was no deterioration in the functioning of the bioprosthetic valve, as assessed by evidence of stenosis or regurgitation on an echocardiogram. Conclusions In patients with severe aortic stenosis who were not suitable candidates for surgery, TAVI, as compared with standard therapy, significantly reduced the rates of death from any cause, the composite end point of death from any cause or repeat hospitalization, and cardiac symptoms, despite the higher incidence of major strokes and major vascular events. (Funded by Edwards Lifesciences; ClinicalTrials.gov number, NCT00530894.)", "author" : [ { "dropping-particle" : "", "family" : "Leon", "given" : "MB", "non-dropping-particle" : "", "parse-names" : false, "suffix" : "" }, { "dropping-particle" : "", "family" : "Smith", "given" : "CR", "non-dropping-particle" : "", "parse-names" : false, "suffix" : "" }, { "dropping-particle" : "", "family" : "Mack", "given" : "Michael",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"Brown", "given" : "David L.", "non-dropping-particle" : "", "parse-names" : false, "suffix" : "" }, { "dropping-particle" : "", "family" : "Block", "given" : "Peter C.", "non-dropping-particle" : "", "parse-names" : false, "suffix" : "" }, { "dropping-particle" : "", "family" : "Guyton", "given" : "Robert A.",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"Douglas", "given" : "Pamela S", "non-dropping-particle" : "", "parse-names" : false, "suffix" : "" }, { "dropping-particle" : "", "family" : "Petersen", "given" : "John",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"ITEM-1", "issue" : "17", "issued" : { "date-parts" : [ [ "2010" ] ] }, "note" : "The major PARTENER trial (cohort B)", "page" : "1597-1607", "title" : "Transcatheter aortic-valve implantation for aortic stenosis in patients who cannot undergo surgery", "type" : "article-journal", "volume" : "363" }, "uris" : [ "http://www.mendeley.com/documents/?uuid=ea252da9-2518-441a-b54b-1e3e54a82f01" ] }, { "id" : "ITEM-2", "itemData" : { "author" : [ { "dropping-particle" : "", "family" : "Smith", "given" : "CR", "non-dropping-particle" : "", "parse-names" : false, "suffix" : "" }, { "dropping-particle" : "", "family" : "Leon", "given" : "MB", "non-dropping-particle" : "", "parse-names" : false, "suffix" : "" }, { "dropping-particle" : "", "family" : "Mack", "given" : "MJ",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"Williams", "given" : "Mathew", "non-dropping-particle" : "", "parse-names" : false, "suffix" : "" }, { "dropping-particle" : "", "family" : "Dewey", "given" : "Todd M", "non-dropping-particle" : "", "parse-names" : false, "suffix" : "" }, { "dropping-particle" : "", "family" : "Kapadia", "given" : "Samir", "non-dropping-particle" : "", "parse-names" : false, "suffix" : "" }, { "dropping-particle" : "", "family" : "Babaliaros", "given" : "Vasilis", "non-dropping-particle" : "", "parse-names" : false, "suffix" : "" }, { "dropping-particle" : "", "family" : "Thourani", "given" : "Vinod H.", "non-dropping-particle" : "", "parse-names" : false, "suffix" : "" }, { "dropping-particle" : "", "family" : "Corso", "given" : "Paul",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"ITEM-2", "issue" : "23", "issued" : { "date-parts" : [ [ "2011" ] ] }, "note" : "PARTNER trial cohort A", "page" : "2187-2198", "title" : "Transcatheter versus surgical aortic-valve replacement in high-risk patients", "type" : "article-journal", "volume" : "364" }, "uris" : [ "http://www.mendeley.com/documents/?uuid=bd4cf296-5ccf-4fdc-8c41-9a0b4133444a" ] }, { "id" : "ITEM-3",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"ITEM-3",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"[1\u20133]", "plainTextFormattedCitation" : "[1\u20133]", "previouslyFormattedCitation" : "[1\u20133]" }, "properties" : { "noteIndex" : 0 }, "schema" : "https://github.com/citation-style-language/schema/raw/master/csl-citation.json" }</w:instrText>
      </w:r>
      <w:r w:rsidRPr="00E937F3">
        <w:fldChar w:fldCharType="separate"/>
      </w:r>
      <w:r w:rsidRPr="003F3484">
        <w:rPr>
          <w:noProof/>
        </w:rPr>
        <w:t>[1–3]</w:t>
      </w:r>
      <w:r w:rsidRPr="00E937F3">
        <w:fldChar w:fldCharType="end"/>
      </w:r>
      <w:r>
        <w:t xml:space="preserve">. Assessment of procedural risk is predominantly undertaken by the Heart Team, guided by multiple clinical prediction models (CPMs) </w:t>
      </w:r>
      <w:r>
        <w:fldChar w:fldCharType="begin" w:fldLock="1"/>
      </w:r>
      <w:r>
        <w:instrText>ADDIN CSL_CITATION { "citationItems" : [ { "id" : "ITEM-1", "itemData" : { "DOI" : "10.1093/eurheartj/ehs109", "ISSN" : "0195-668X", "PMID" : "22922415", "author" : [ { "dropping-particle" : "", "family" : "Vahanian", "given" : "Alec", "non-dropping-particle" : "", "parse-names" : false, "suffix" : "" }, { "dropping-particle" : "", "family" : "Alfieri", "given" : "Ottavio", "non-dropping-particle" : "", "parse-names" : false, "suffix" : "" }, { "dropping-particle" : "", "family" : "Andreotti", "given" : "Felicita", "non-dropping-particle" : "", "parse-names" : false, "suffix" : "" }, { "dropping-particle" : "", "family" : "Antunes", "given" : "Manuel J", "non-dropping-particle" : "", "parse-names" : false, "suffix" : "" }, { "dropping-particle" : "", "family" : "Baron-Esquivias", "given" : "G.", "non-dropping-particle" : "", "parse-names" : false, "suffix" : "" }, { "dropping-particle" : "", "family" : "Baumgartner", "given" : "Helmut", "non-dropping-particle" : "", "parse-names" : false, "suffix" : "" }, { "dropping-particle" : "", "family" : "Borger", "given" : "Michael Andrew", "non-dropping-particle" : "", "parse-names" : false, "suffix" : "" }, { "dropping-particle" : "", "family" : "Carrel", "given" : "Thierry P", "non-dropping-particle" : "", "parse-names" : false, "suffix" : "" }, { "dropping-particle" : "", "family" : "Bonis", "given" : "Michele", "non-dropping-particle" : "De", "parse-names" : false, "suffix" : "" }, { "dropping-particle" : "", "family" : "Evangelista", "given" : "Arturo", "non-dropping-particle" : "", "parse-names" : false, "suffix" : "" }, { "dropping-particle" : "", "family" : "Falk", "given" : "Volkmar", "non-dropping-particle" : "", "parse-names" : false, "suffix" : "" }, { "dropping-particle" : "", "family" : "Iung", "given" : "Bernard", "non-dropping-particle" : "", "parse-names" : false, "suffix" : "" }, { "dropping-particle" : "", "family" : "Lancellotti", "given" : "Patrizio", "non-dropping-particle" : "", "parse-names" : false, "suffix" : "" }, { "dropping-particle" : "", "family" : "Pierard", "given" : "Luc", "non-dropping-particle" : "", "parse-names" : false, "suffix" : "" }, { "dropping-particle" : "", "family" : "Price", "given" : "Susanna", "non-dropping-particle" : "", "parse-names" : false, "suffix" : "" }, { "dropping-particle" : "", "family" : "Schafers", "given" : "H.-J.", "non-dropping-particle" : "", "parse-names" : false, "suffix" : "" }, { "dropping-particle" : "", "family" : "Schuler", "given" : "Gerhard", "non-dropping-particle" : "", "parse-names" : false, "suffix" : "" }, { "dropping-particle" : "", "family" : "Stepinska", "given" : "Janina", "non-dropping-particle" : "", "parse-names" : false, "suffix" : "" }, { "dropping-particle" : "", "family" : "Swedberg", "given" : "Karl", "non-dropping-particle" : "", "parse-names" : false, "suffix" : "" }, { "dropping-particle" : "", "family" : "Takkenberg", "given" : "Johanna", "non-dropping-particle" : "", "parse-names" : false, "suffix" : "" }, { "dropping-particle" : "", "family" : "Oppell", "given" : "Ulrich Otto", "non-dropping-particle" : "Von", "parse-names" : false, "suffix" : "" }, { "dropping-particle" : "", "family" : "Windecker", "given" : "Stephan", "non-dropping-particle" : "", "parse-names" : false, "suffix" : "" }, { "dropping-particle" : "", "family" : "Zamorano", "given" : "Jose Luis", "non-dropping-particle" : "", "parse-names" : false, "suffix" : "" }, { "dropping-particle" : "", "family" : "Zembala", "given" : "Marian", "non-dropping-particle" : "", "parse-names" : false, "suffix" : "" }, { "dropping-particle" : "", "family" : "Bax", "given" : "J. J.", "non-dropping-particle" : "", "parse-names" : false, "suffix" : "" }, { "dropping-particle" : "", "family" : "Baumgartner", "given" : "Helmut",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"Popescu", "given" : "B. A.", "non-dropping-particle" : "", "parse-names" : false, "suffix" : "" }, { "dropping-particle" : "", "family" : "Segesser", "given" : "L.", "non-dropping-particle" : "Von", "parse-names" : false, "suffix" : "" }, { "dropping-particle" : "", "family" : "Badano", "given" : "L. P.", "non-dropping-particle" : "", "parse-names" : false, "suffix" : "" }, { "dropping-particle" : "", "family" : "Bunc", "given" : "M.", "non-dropping-particle" : "", "parse-names" : false, "suffix" : "" }, { "dropping-particle" : "", "family" : "Claeys", "given" : "M. J.", "non-dropping-particle" : "", "parse-names" : false, "suffix" : "" }, { "dropping-particle" : "", "family" : "Drinkovic", "given" : "N.", "non-dropping-particle" : "", "parse-names" : false, "suffix" : "" }, { "dropping-particle" : "", "family" : "Filippatos", "given" : "G.", "non-dropping-particle" : "", "parse-names" : false, "suffix" : "" }, { "dropping-particle" : "", "family" : "Habib", "given" : "G.", "non-dropping-particle" : "", "parse-names" : false, "suffix" : "" }, { "dropping-particle" : "", "family" : "Kappetein", "given" : "A. P.", "non-dropping-particle" : "", "parse-names" : false, "suffix" : "" }, { "dropping-particle" : "", "family" : "Kassab", "given" : "R.", "non-dropping-particle" : "", "parse-names" : false, "suffix" : "" }, { "dropping-particle" : "", "family" : "Lip", "given" : "G. Y. H.", "non-dropping-particle" : "", "parse-names" : false, "suffix" : "" }, { "dropping-particle" : "", "family" : "Moat", "given" : "N.", "non-dropping-particle" : "", "parse-names" : false, "suffix" : "" }, { "dropping-particle" : "", "family" : "Nickenig", "given" : "G.", "non-dropping-particle" : "", "parse-names" : false, "suffix" : "" }, { "dropping-particle" : "", "family" : "Otto", "given" : "C. M.", "non-dropping-particle" : "", "parse-names" : false, "suffix" : "" }, { "dropping-particle" : "", "family" : "Pepper", "given" : "J.", "non-dropping-particle" : "", "parse-names" : false, "suffix" : "" }, { "dropping-particle" : "", "family" : "Piazza", "given" : "N.", "non-dropping-particle" : "", "parse-names" : false, "suffix" : "" }, { "dropping-particle" : "", "family" : "Pieper", "given" : "P. G.", "non-dropping-particle" : "", "parse-names" : false, "suffix" : "" }, { "dropping-particle" : "", "family" : "Rosenhek", "given" : "R.", "non-dropping-particle" : "", "parse-names" : false, "suffix" : "" }, { "dropping-particle" : "", "family" : "Shuka", "given" : "N.", "non-dropping-particle" : "", "parse-names" : false, "suffix" : "" }, { "dropping-particle" : "", "family" : "Schwammenthal", "given" : "E.", "non-dropping-particle" : "", "parse-names" : false, "suffix" : "" }, { "dropping-particle" : "", "family" : "Schwitter", "given" : "J.", "non-dropping-particle" : "", "parse-names" : false, "suffix" : "" }, { "dropping-particle" : "", "family" : "Mas", "given" : "P. T.", "non-dropping-particle" : "", "parse-names" : false, "suffix" : "" }, { "dropping-particle" : "", "family" : "Trindade", "given" : "P. T.", "non-dropping-particle" : "", "parse-names" : false, "suffix" : "" }, { "dropping-particle" : "", "family" : "Walther", "given" : "T.", "non-dropping-particle" : "", "parse-names" : false, "suffix" : "" } ], "container-title" : "European Heart Journal", "id" : "ITEM-1", "issue" : "19", "issued" : { "date-parts" : [ [ "2012", "10", "1" ] ] }, "page" : "2451-2496", "title" : "Guidelines on the management of valvular heart disease (version 2012): The Joint Task Force on the Management of Valvular Heart Disease of the European Society of Cardiology (ESC) and the European Association for Cardio-Thoracic Surgery (EACTS)", "type" : "article-journal", "volume" : "33" }, "uris" : [ "http://www.mendeley.com/documents/?uuid=023294aa-5a09-4750-bf9b-a95c5ba5488d" ] } ], "mendeley" : { "formattedCitation" : "[4]", "plainTextFormattedCitation" : "[4]", "previouslyFormattedCitation" : "[4]" }, "properties" : { "noteIndex" : 0 }, "schema" : "https://github.com/citation-style-language/schema/raw/master/csl-citation.json" }</w:instrText>
      </w:r>
      <w:r>
        <w:fldChar w:fldCharType="separate"/>
      </w:r>
      <w:r w:rsidRPr="003F3484">
        <w:rPr>
          <w:noProof/>
        </w:rPr>
        <w:t>[4]</w:t>
      </w:r>
      <w:r>
        <w:fldChar w:fldCharType="end"/>
      </w:r>
      <w:r>
        <w:t xml:space="preserve">. </w:t>
      </w:r>
      <w:r w:rsidR="00601732">
        <w:t>To this end</w:t>
      </w:r>
      <w:r>
        <w:t xml:space="preserve">, CPMs such as the </w:t>
      </w:r>
      <w:r w:rsidRPr="00E937F3">
        <w:t xml:space="preserve">EuroSCORE </w:t>
      </w:r>
      <w:r w:rsidRPr="00E937F3">
        <w:fldChar w:fldCharType="begin" w:fldLock="1"/>
      </w:r>
      <w:r>
        <w:instrText>ADDIN CSL_CITATION { "citationItems" : [ { "id" : "ITEM-1", "itemData" : { "DOI" : "10.1093/ejcts/ezs043", "ISSN" : "1010-7940", "PMID" : "22378855", "abstract" : "OBJECTIVES: To update the European System for Cardiac Operative Risk Evaluation (EuroSCORE) risk model. METHODS: A dedicated website collected prospective risk and outcome data on 22,381 consecutive patients undergoing major cardiac surgery in 154 hospitals in 43 countries over a 12-week period (May-July 2010). Completeness and accuracy were validated during data collection using mandatory field entry, error and range checks and after data collection using summary feedback confirmation by responsible officers and multiple logic checks. Information was obtained on existing EuroSCORE risk factors and additional factors proven to influence risk from research conducted since the original model. The primary outcome was mortality at the base hospital. Secondary outcomes were mortality at 30 and 90 days. The data set was divided into a developmental subset for logistic regression modelling and a validation subset for model testing. A logistic risk model (EuroSCORE II) was then constructed and tested. RESULTS: Compared with the original 1995 EuroSCORE database (in brackets), the mean age was up at 64.7 (62.5) with 31% females (28%). More patients had New York Heart Association class IV, extracardiac arteriopathy, renal and pulmonary dysfunction. Overall mortality was 3.9% (4.6%). When applied to the current data, the old risk models overpredicted mortality (actual: 3.9%; additive predicted: 5.8%; logistic predicted: 7.57%). EuroSCORE II was well calibrated on testing in the validation data subset of 5553 patients (actual mortality: 4.18%; predicted: 3.95%). Very good discrimination was maintained with an area under the receiver operating characteristic curve of 0.8095. CONCLUSIONS: Cardiac surgical mortality has significantly reduced in the last 15 years despite older and sicker patients. EuroSCORE II is better calibrated than the original model yet preserves powerful discrimination. It is proposed for the future assessment of cardiac surgical risk.", "author" : [ { "dropping-particle" : "", "family" : "Nashef", "given" : "Samer A M", "non-dropping-particle" : "", "parse-names" : false, "suffix" : "" }, { "dropping-particle" : "", "family" : "Roques", "given" : "Fran\u00e7ois", "non-dropping-particle" : "", "parse-names" : false, "suffix" : "" }, { "dropping-particle" : "", "family" : "Sharples", "given" : "Linda D", "non-dropping-particle" : "", "parse-names" : false, "suffix" : "" }, { "dropping-particle" : "", "family" : "Nilsson", "given" : "Johan", "non-dropping-particle" : "", "parse-names" : false, "suffix" : "" }, { "dropping-particle" : "", "family" : "Smith", "given" : "Christopher", "non-dropping-particle" : "", "parse-names" : false, "suffix" : "" }, { "dropping-particle" : "", "family" : "Goldstone", "given" : "Antony R", "non-dropping-particle" : "", "parse-names" : false, "suffix" : "" }, { "dropping-particle" : "", "family" : "Lockowandt", "given" : "Ulf", "non-dropping-particle" : "", "parse-names" : false, "suffix" : "" } ], "container-title" : "European Journal of Cardio-Thoracic Surgery", "id" : "ITEM-1", "issue" : "4", "issued" : { "date-parts" : [ [ "2012", "4", "1" ] ] }, "note" : "Gives the regression coefficients for the EuroScore II.\n\n\nA good article giving details of all the risk factors considered in the ES2 model.", "page" : "734-745", "title" : "EuroSCORE II", "type" : "article-journal", "volume" : "41" }, "uris" : [ "http://www.mendeley.com/documents/?uuid=3957153d-9862-4d50-b1e1-44f4d3905b47" ] } ], "mendeley" : { "formattedCitation" : "[5]", "plainTextFormattedCitation" : "[5]", "previouslyFormattedCitation" : "[5]" }, "properties" : { "noteIndex" : 0 }, "schema" : "https://github.com/citation-style-language/schema/raw/master/csl-citation.json" }</w:instrText>
      </w:r>
      <w:r w:rsidRPr="00E937F3">
        <w:fldChar w:fldCharType="separate"/>
      </w:r>
      <w:r w:rsidRPr="00A10857">
        <w:rPr>
          <w:noProof/>
        </w:rPr>
        <w:t>[5]</w:t>
      </w:r>
      <w:r w:rsidRPr="00E937F3">
        <w:fldChar w:fldCharType="end"/>
      </w:r>
      <w:r w:rsidRPr="00E937F3">
        <w:t xml:space="preserve"> or the Society of Thoracic Surgeons (STS) </w:t>
      </w:r>
      <w:r w:rsidR="00C149BD">
        <w:t xml:space="preserve">mortality </w:t>
      </w:r>
      <w:r w:rsidRPr="00E937F3">
        <w:t xml:space="preserve">score </w:t>
      </w:r>
      <w:r w:rsidRPr="00E937F3">
        <w:fldChar w:fldCharType="begin" w:fldLock="1"/>
      </w:r>
      <w:r>
        <w:instrText>ADDIN CSL_CITATION { "citationItems" : [ { "id" : "ITEM-1", "itemData" : { "DOI" : "10.1016/j.athoracsur.2009.05.056", "ISSN" : "00034975", "PMID" : "19559823", "abstract" : "BACKGROUND: Adjustment for case-mix is essential when using observational data to compare surgical techniques or providers. That is most often accomplished through the use of risk models that account for preoperative patient factors that may impact outcomes. The Society of Thoracic Surgeons (STS) uses such risk models to create risk-adjusted performance reports for participants in the STS National Adult Cardiac Surgery Database (NCD). Although risk models were initially developed for coronary artery bypass surgery, similar models have now been developed for use with heart valve surgery, particularly as the proportion of such procedures has increased. The last published STS model for isolated valve surgery was based on data from 1994 to 1997 and did not include patients undergoing mitral valve repair. STS has developed new valve surgery models using contemporary data that include both valve repair as well as replacement. Expanding upon existing valve models, the new STS models include several nonfatal complications in addition to mortality. METHODS: Using STS data from 2002 to 2006, isolated valve surgery risk models were developed for operative mortality, permanent stroke, renal failure, prolonged ventilation (&gt; 24 hours), deep sternal wound infection, reoperation for any reason, a major morbidity or mortality composite endpoint, prolonged postoperative length of stay, and short postoperative length of stay. The study population consisted of adult patients who underwent one of three types of valve surgery: isolated aortic valve replacement (n = 67,292), isolated mitral valve replacement (n = 21,229), or isolated mitral valve repair (n = 21,238). The population was divided into a 60% development sample and a 40% validation sample. After an initial empirical investigation, the three surgery groups were combined into a single logistic regression model with numerous interactions to allow the covariate effects to differ across these groups. Variables were selected based on a combination of automated stepwise selection and expert panel review. RESULTS: Unadjusted operative mortality (in-hospital regardless of timing, and 30-day regardless of venue) for all isolated valve procedures was 3.4%, and unadjusted in-hospital morbidity rates ranged from 0.3% for deep sternal wound infection to 11.8% for prolonged ventilation. The number of predictors in each model ranged from 10 covariates in the sternal infection model to 24 covariates in the composite mortality plu\u2026", "author" : [ { "dropping-particle" : "", "family" : "O'Brien", "given" : "Sean M", "non-dropping-particle" : "", "parse-names" : false, "suffix" : "" }, { "dropping-particle" : "", "family" : "Shahian", "given" : "David M", "non-dropping-particle" : "", "parse-names" : false, "suffix" : "" }, { "dropping-particle" : "", "family" : "Filardo", "given" : "Giovanni", "non-dropping-particle" : "", "parse-names" : false, "suffix" : "" }, { "dropping-particle" : "", "family" : "Ferraris", "given" : "Victor A", "non-dropping-particle" : "", "parse-names" : false, "suffix" : "" }, { "dropping-particle" : "", "family" : "Haan", "given" : "Constance K", "non-dropping-particle" : "", "parse-names" : false, "suffix" : "" }, { "dropping-particle" : "", "family" : "Rich", "given" : "Jeffrey B", "non-dropping-particle" : "", "parse-names" : false, "suffix" : "" }, { "dropping-particle" : "", "family" : "Normand", "given" : "Sharon-Lise T", "non-dropping-particle" : "", "parse-names" : false, "suffix" : "" }, { "dropping-particle" : "", "family" : "DeLong", "given" : "Elizabeth R", "non-dropping-particle" : "", "parse-names" : false, "suffix" : "" }, { "dropping-particle" : "", "family" : "Shewan", "given" : "Cynthia M", "non-dropping-particle" : "", "parse-names" : false, "suffix" : "" }, { "dropping-particle" : "", "family" : "Dokholyan", "given" : "Rachel S", "non-dropping-particle" : "", "parse-names" : false, "suffix" : "" }, { "dropping-particle" : "", "family" : "Peterson", "given" : "Eric D", "non-dropping-particle" : "", "parse-names" : false, "suffix" : "" }, { "dropping-particle" : "", "family" : "Edwards", "given" : "Fred H", "non-dropping-particle" : "", "parse-names" : false, "suffix" : "" }, { "dropping-particle" : "", "family" : "Anderson", "given" : "Richard P", "non-dropping-particle" : "", "parse-names" : false, "suffix" : "" } ], "container-title" : "The Annals of Thoracic Surgery", "id" : "ITEM-1", "issue" : "1", "issued" : { "date-parts" : [ [ "2009", "7" ] ] }, "note" : "Gives regression coefficients for the STS Score risk model for isolated valve surgery", "page" : "S23-S42", "publisher" : "The Society of Thoracic Surgeons", "title" : "The Society of Thoracic Surgeons 2008 Cardiac Surgery Risk Models: Part 2\u2014Isolated Valve Surgery", "type" : "article-journal", "volume" : "88" }, "uris" : [ "http://www.mendeley.com/documents/?uuid=1e0f895d-b6cd-4eda-b804-4e6ea9d91d3c" ] } ], "mendeley" : { "formattedCitation" : "[6]", "plainTextFormattedCitation" : "[6]", "previouslyFormattedCitation" : "[6]" }, "properties" : { "noteIndex" : 0 }, "schema" : "https://github.com/citation-style-language/schema/raw/master/csl-citation.json" }</w:instrText>
      </w:r>
      <w:r w:rsidRPr="00E937F3">
        <w:fldChar w:fldCharType="separate"/>
      </w:r>
      <w:r w:rsidRPr="00A10857">
        <w:rPr>
          <w:noProof/>
        </w:rPr>
        <w:t>[6]</w:t>
      </w:r>
      <w:r w:rsidRPr="00E937F3">
        <w:fldChar w:fldCharType="end"/>
      </w:r>
      <w:r>
        <w:t xml:space="preserve">, have been used to guide estimation of procedural risk and employed in randomised controlled trials of TAVI </w:t>
      </w:r>
      <w:r>
        <w:fldChar w:fldCharType="begin" w:fldLock="1"/>
      </w:r>
      <w:r>
        <w:instrText>ADDIN CSL_CITATION { "citationItems" : [ { "id" : "ITEM-1", "itemData" : { "abstract" : "Background Many patients with severe aortic stenosis and coexisting conditions are not candi- dates for surgical replacement of the aortic valve. Recently, transcatheter aortic-valve implantation (TAVI) has been suggested as a less invasive treatment for high-risk patients with aortic stenosis. Methods We randomly assigned patients with severe aortic stenosis, whom surgeons considered not to be suitable candidates for surgery, to standard therapy (including balloon aortic valvuloplasty) or transfemoral transcatheter implantation of a balloon-expandable bovine pericardial valve. The primary end point was the rate of death from any cause. Results A total of 358 patients with aortic stenosis who were not considered to be suitable can- didates for surgery underwent randomization at 21 centers (17 in the United States). At 1 year, the rate of death from any cause (Kaplan\u2013Meier analysis) was 30.7% with TAVI, as compared with 50.7% with standard therapy (hazard ratio with TAVI, 0.55; 95% confidence interval [CI], 0.40 to 0.74; P&lt;0.001). The rate of the composite end point of death from any cause or repeat hospitalization was 42.5% with TAVI as com- pared with 71.6% with standard therapy (hazard ratio, 0.46; 95% CI, 0.35 to 0.59; P&lt;0.001). Among survivors at 1 year, the rate of cardiac symptoms (New York Heart Association class III or IV) was lower among patients who had undergone TAVI than among those who had received standard therapy (25.2% vs. 58.0%, P&lt;0.001). At 30 days, TAVI, as compared with standard therapy, was associated with a higher incidence of major strokes (5.0% vs. 1.1%, P = 0.06) and major vascular complications (16.2% vs. 1.1%, P&lt;0.001). In the year after TAVI, there was no deterioration in the functioning of the bioprosthetic valve, as assessed by evidence of stenosis or regurgitation on an echocardiogram. Conclusions In patients with severe aortic stenosis who were not suitable candidates for surgery, TAVI, as compared with standard therapy, significantly reduced the rates of death from any cause, the composite end point of death from any cause or repeat hospitalization, and cardiac symptoms, despite the higher incidence of major strokes and major vascular events. (Funded by Edwards Lifesciences; ClinicalTrials.gov number, NCT00530894.)", "author" : [ { "dropping-particle" : "", "family" : "Leon", "given" : "MB", "non-dropping-particle" : "", "parse-names" : false, "suffix" : "" }, { "dropping-particle" : "", "family" : "Smith", "given" : "CR", "non-dropping-particle" : "", "parse-names" : false, "suffix" : "" }, { "dropping-particle" : "", "family" : "Mack", "given" : "Michael",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"Brown", "given" : "David L.", "non-dropping-particle" : "", "parse-names" : false, "suffix" : "" }, { "dropping-particle" : "", "family" : "Block", "given" : "Peter C.", "non-dropping-particle" : "", "parse-names" : false, "suffix" : "" }, { "dropping-particle" : "", "family" : "Guyton", "given" : "Robert A.",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"Douglas", "given" : "Pamela S", "non-dropping-particle" : "", "parse-names" : false, "suffix" : "" }, { "dropping-particle" : "", "family" : "Petersen", "given" : "John",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"ITEM-1", "issue" : "17", "issued" : { "date-parts" : [ [ "2010" ] ] }, "note" : "The major PARTENER trial (cohort B)", "page" : "1597-1607", "title" : "Transcatheter aortic-valve implantation for aortic stenosis in patients who cannot undergo surgery", "type" : "article-journal", "volume" : "363" }, "uris" : [ "http://www.mendeley.com/documents/?uuid=ea252da9-2518-441a-b54b-1e3e54a82f01" ] }, { "id" : "ITEM-2", "itemData" : { "author" : [ { "dropping-particle" : "", "family" : "Smith", "given" : "CR", "non-dropping-particle" : "", "parse-names" : false, "suffix" : "" }, { "dropping-particle" : "", "family" : "Leon", "given" : "MB", "non-dropping-particle" : "", "parse-names" : false, "suffix" : "" }, { "dropping-particle" : "", "family" : "Mack", "given" : "MJ", "non-dropping-particle" : "", "parse-names" : false, "suffix" : "" }, { "dropping-particle" : "", "family" : "Miller", "given" : "D. Craig", "non-dropping-particle" : "", "parse-names" : false, "suffix" : "" }, { "dropping-particle" : "", "family" : "Moses", "given" : "Jeffrey W.", "non-dropping-particle" : "", "parse-names" : false, "suffix" : "" }, { "dropping-particle" : "", "family" : "Svensson", "given" : "Lars G", "non-dropping-particle" : "", "parse-names" : false, "suffix" : "" }, { "dropping-particle" : "", "family" : "Tuzcu", "given" : "E Murat", "non-dropping-particle" : "", "parse-names" : false, "suffix" : "" }, { "dropping-particle" : "", "family" : "Webb", "given" : "John G.", "non-dropping-particle" : "", "parse-names" : false, "suffix" : "" }, { "dropping-particle" : "", "family" : "Fontana", "given" : "Gregory P", "non-dropping-particle" : "", "parse-names" : false, "suffix" : "" }, { "dropping-particle" : "", "family" : "Makkar", "given" : "Raj R", "non-dropping-particle" : "", "parse-names" : false, "suffix" : "" }, { "dropping-particle" : "", "family" : "Williams", "given" : "Mathew", "non-dropping-particle" : "", "parse-names" : false, "suffix" : "" }, { "dropping-particle" : "", "family" : "Dewey", "given" : "Todd M", "non-dropping-particle" : "", "parse-names" : false, "suffix" : "" }, { "dropping-particle" : "", "family" : "Kapadia", "given" : "Samir", "non-dropping-particle" : "", "parse-names" : false, "suffix" : "" }, { "dropping-particle" : "", "family" : "Babaliaros", "given" : "Vasilis", "non-dropping-particle" : "", "parse-names" : false, "suffix" : "" }, { "dropping-particle" : "", "family" : "Thourani", "given" : "Vinod H.", "non-dropping-particle" : "", "parse-names" : false, "suffix" : "" }, { "dropping-particle" : "", "family" : "Corso", "given" : "Paul", "non-dropping-particle" : "", "parse-names" : false, "suffix" : "" }, { "dropping-particle" : "", "family" : "Pichard", "given" : "Augusto D.", "non-dropping-particle" : "", "parse-names" : false, "suffix" : "" }, { "dropping-particle" : "", "family" : "Bavaria", "given" : "Joseph", "non-dropping-particle" : "", "parse-names" : false, "suffix" : "" }, { "dropping-particle" : "", "family" : "Herrmann", "given" : "Howard C", "non-dropping-particle" : "", "parse-names" : false, "suffix" : "" }, { "dropping-particle" : "", "family" : "Akin", "given" : "Jodi J", "non-dropping-particle" : "", "parse-names" : false, "suffix" : "" }, { "dropping-particle" : "", "family" : "Anderson", "given" : "William N", "non-dropping-particle" : "", "parse-names" : false, "suffix" : "" }, { "dropping-particle" : "", "family" : "Wang", "given" : "Duolao", "non-dropping-particle" : "", "parse-names" : false, "suffix" : "" }, { "dropping-particle" : "", "family" : "Pocock", "given" : "Stuart", "non-dropping-particle" : "", "parse-names" : false, "suffix" : "" } ], "container-title" : "The New England journal of medicine", "id" : "ITEM-2", "issue" : "23", "issued" : { "date-parts" : [ [ "2011" ] ] }, "note" : "PARTNER trial cohort A", "page" : "2187-2198", "title" : "Transcatheter versus surgical aortic-valve replacement in high-risk patients", "type" : "article-journal", "volume" : "364" }, "uris" : [ "http://www.mendeley.com/documents/?uuid=bd4cf296-5ccf-4fdc-8c41-9a0b4133444a" ] }, { "id" : "ITEM-3",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"ITEM-3",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"[1\u20133]", "plainTextFormattedCitation" : "[1\u20133]", "previouslyFormattedCitation" : "[1\u20133]" }, "properties" : { "noteIndex" : 0 }, "schema" : "https://github.com/citation-style-language/schema/raw/master/csl-citation.json" }</w:instrText>
      </w:r>
      <w:r>
        <w:fldChar w:fldCharType="separate"/>
      </w:r>
      <w:r w:rsidRPr="003F3484">
        <w:rPr>
          <w:noProof/>
        </w:rPr>
        <w:t>[1–3]</w:t>
      </w:r>
      <w:r>
        <w:fldChar w:fldCharType="end"/>
      </w:r>
      <w:r>
        <w:t xml:space="preserve">. However, surgical based models are known to perform poorly at predicting mortality in TAVI patients </w:t>
      </w:r>
      <w:r w:rsidRPr="00E937F3">
        <w:fldChar w:fldCharType="begin" w:fldLock="1"/>
      </w:r>
      <w:r>
        <w:instrText>ADDIN CSL_CITATION { "citationItems" : [ { "id" : "ITEM-1", "itemData" : { "DOI" : "10.1016/j.amjcard.2012.11.056", "ISSN" : "1879-1913", "PMID" : "23337835", "abstract" : "The original European System for Cardiac Operative Risk Evaluation (EuroSCORE) has been recently updated as EuroSCORE II to optimize its efficacy in cardiac surgery, but its performance has been poorly evaluated for predicting 30-day mortality in patients who undergo transcatheter aortic valve replacement (TAVR). Consecutive patients (n = 250) treated with TAVR were included in this analysis. Transapical access was used in 60 patients, while 190 procedures were performed using a transfemoral approach. Calibration (risk-adjusted mortality ratio) and discrimination (C-statistic and U-statistic) were calculated for the logistic EuroSCORE, EuroSCORE II, and Society of Thoracic Surgeons (STS) scores for predicting 30-day mortality. Observed mortality was 7.6% in the overall population (6.3% and 11.7% for the transfemoral and transapical cohorts, respectively). Predicted mortality was 22.6 \u00b1 12.8% by logistic EuroSCORE, 7.7 \u00b1 5.8% by EuroSCORE II, and 7.3 \u00b1 4.1% by STS score. The risk-adjusted mortality ratio was 0.34 (95% confidence interval [CI] 0.10 to 0.58) for logistic EuroSCORE, 0.99 (95% CI 0.29 to 1.69) for EuroSCORE II, and 1.05 (95% CI 0.30 to 1.79) for STS score. Moderate discrimination was observed with EuroSCORE II (C-index 0.66, 95% CI 0.52 to 0.79, p = 0.02) compared to the logistic EuroSCORE (C-index 0.63, 95% CI 0.51 to 0.76, p = 0.06) and STS (C-index 0.58, 95% CI 0.43 to 0.73, p = 0.23) score, without a significant difference among the 3 risk scores. Discrimination was slightly better in the transfemoral cohort compared to the transapical cohort with the 3 risk scores. In conclusion, EuroSCORE II and the STS score are better calibrated than the logistic EuroSCORE but have moderate discrimination for predicting 30-day mortality after TAVR.", "author" : [ { "dropping-particle" : "", "family" : "Durand", "given" : "Eric", "non-dropping-particle" : "", "parse-names" : false, "suffix" : "" }, { "dropping-particle" : "", "family" : "Borz", "given" : "Bogdan", "non-dropping-particle" : "", "parse-names" : false, "suffix" : "" }, { "dropping-particle" : "", "family" : "Godin", "given" : "Matthieu", "non-dropping-particle" : "", "parse-names" : false, "suffix" : "" }, { "dropping-particle" : "", "family" : "Tron", "given" : "Christophe", "non-dropping-particle" : "", "parse-names" : false, "suffix" : "" }, { "dropping-particle" : "", "family" : "Litzler", "given" : "Pierre-Yves", "non-dropping-particle" : "", "parse-names" : false, "suffix" : "" }, { "dropping-particle" : "", "family" : "Bessou", "given" : "Jean-Paul", "non-dropping-particle" : "", "parse-names" : false, "suffix" : "" }, { "dropping-particle" : "", "family" : "Dacher", "given" : "Jean-Nicolas", "non-dropping-particle" : "", "parse-names" : false, "suffix" : "" }, { "dropping-particle" : "", "family" : "Bauer", "given" : "Fabrice", "non-dropping-particle" : "", "parse-names" : false, "suffix" : "" }, { "dropping-particle" : "", "family" : "Cribier", "given" : "Alain", "non-dropping-particle" : "", "parse-names" : false, "suffix" : "" }, { "dropping-particle" : "", "family" : "Eltchaninoff", "given" : "H\u00e9l\u00e8ne", "non-dropping-particle" : "", "parse-names" : false, "suffix" : "" } ], "container-title" : "The American journal of cardiology", "id" : "ITEM-1", "issue" : "6", "issued" : { "date-parts" : [ [ "2013", "3", "15" ] ] }, "note" : "Compares risk scores in different access points for TAVI.", "page" : "891-7", "publisher" : "Elsevier Inc.", "title" : "Performance analysis of EuroSCORE II compared to the original logistic EuroSCORE and STS scores for predicting 30-day mortality after transcatheter aortic valve replacement.", "type" : "article-journal", "volume" : "111" }, "uris" : [ "http://www.mendeley.com/documents/?uuid=a75f0210-a462-46d0-9636-6fecb9b5ccfb" ] }, { "id" : "ITEM-2", "itemData" : { "DOI" : "10.1016/j.carrev.2011.04.005", "ISSN" : "1878-0938", "PMID" : "21741324", "abstract" : "BACKGROUND: The primary inclusion criteria from both the Society of Thoracic Surgeons (STS) score and the logistic EuroSCORE are currently used to identify high-risk and inoperable patients eligible for transcatheter aortic valve implantation (TAVI). We aimed to examine the correlation between STS and logistic EuroSCOREs and their performance characteristics in patients referred for TAVI. METHODS: The study cohort consisted of 718 high-risk patients with severe aortic stenosis who were considered for participation in a TAVI clinical trial. The performance of the STS and logistic EuroSCOREs was evaluated in three groups: (a) medical management or balloon aortic valvuloplasty (BAV), 474 (66%); (b) 133 patients (18.5%) with surgical aortic valve replacement (AVR); (c) 111 (15.4%) with TAVI. The mean age was 81.8 \u00b1 8.1 years, and 394 (54.8%) were female. RESULTS: The mean STS score was 11.5 \u00b1 6.1, and the mean logistic EuroSCORE was 39.7 \u00b1 23.0. Pearson correlation coefficient showed moderate correlation between the STS and logistic EuroSCOREs (r = 0.61, P &lt; .001). At a median follow-up of 190 days (range, 67-476), 282 patients (39.2%) died. The STS and logistic EuroSCOREs were both higher in patients who died as compared to those in survivors (13.1 \u00b1 6.2 vs.10.0 \u00b1 5.8 and 43.4 \u00b1 23.1 vs. 37.5 \u00b1 22, respectively; P &lt; .001). The observed and predicted 30-day mortality rates in the medical/BAV group were 10.1% observed, 12.3% by STS and 43.1% by logistic EuroSCORE. In the surgical AVR group, the rates were 12.8% observed, 8.4% by STS and 25.6% by logistic EuroSCORE. In the TAVI group, the rates were 11.7% observed, 11.8% by STS and 41.2% by logistic EuroSCORE. The odds ratio (OR) for 30-day mortality in the medical/BAV group was 1.05 (P = .01) with STS and 1.003 (P = .7) with logistic EuroSCORE. In the surgical AVR group, the OR was 1.09 (P = .07) with STS and 1.007 (P = .6) with logistic EuroSCORE. In the TAVI group, the OR was 1.14 (P = .03) with STS and 1.03 (P = .04) with logistic EuroSCORE. CONCLUSION: In high-risk patients with severe aortic stenosis, STS score is superior to the logistic EuroSCORE in predicting mortality. Clinical judgment should play a major role in the selection of patients with severe aortic stenosis for the different therapeutic options.", "author" : [ { "dropping-particle" : "", "family" : "Ben-Dor", "given" : "Itsik", "non-dropping-particle" : "", "parse-names" : false, "suffix" : "" }, { "dropping-particle" : "", "family" : "Gaglia", "given" : "Michael A", "non-dropping-particle" : "", "parse-names" : false, "suffix" : "" }, { "dropping-particle" : "", "family" : "Barbash", "given" : "Israel M", "non-dropping-particle" : "", "parse-names" : false, "suffix" : "" }, { "dropping-particle" : "", "family" : "Maluenda", "given" : "Gabriel", "non-dropping-particle" : "", "parse-names" : false, "suffix" : "" }, { "dropping-particle" : "", "family" : "Hauville", "given" : "Camille", "non-dropping-particle" : "", "parse-names" : false, "suffix" : "" }, { "dropping-particle" : "", "family" : "Gonzalez", "given" : "Manuel A", "non-dropping-particle" : "", "parse-names" : false, "suffix" : "" }, { "dropping-particle" : "", "family" : "Sardi", "given" : "Gabriel", "non-dropping-particle" : "", "parse-names" : false, "suffix" : "" }, { "dropping-particle" : "", "family" : "Laynez-Carnicero", "given" : "Ana", "non-dropping-particle" : "", "parse-names" : false, "suffix" : "" }, { "dropping-particle" : "", "family" : "Torguson", "given" : "Rebecca", "non-dropping-particle" : "", "parse-names" : false, "suffix" : "" }, { "dropping-particle" : "", "family" : "Okubagzi", "given" : "Petros", "non-dropping-particle" : "", "parse-names" : false, "suffix" : "" }, { "dropping-particle" : "", "family" : "Xue", "given" : "Zhenyi", "non-dropping-particle" : "", "parse-names" : false, "suffix" : "" }, { "dropping-particle" : "", "family" : "Goldstein", "given" : "Steven A", "non-dropping-particle" : "", "parse-names" : false, "suffix" : "" }, { "dropping-particle" : "", "family" : "Suddath", "given" : "William O", "non-dropping-particle" : "", "parse-names" : false, "suffix" : "" }, { "dropping-particle" : "", "family" : "Kent", "given" : "Kenneth M", "non-dropping-particle" : "", "parse-names" : false, "suffix" : "" }, { "dropping-particle" : "", "family" : "Lindsay", "given" : "Joseph", "non-dropping-particle" : "", "parse-names" : false, "suffix" : "" }, { "dropping-particle" : "", "family" : "Satler", "given" : "Lowell F", "non-dropping-particle" : "", "parse-names" : false, "suffix" : "" }, { "dropping-particle" : "", "family" : "Pichard", "given" : "Augusto D", "non-dropping-particle" : "", "parse-names" : false, "suffix" : "" }, { "dropping-particle" : "", "family" : "Waksman", "given" : "Ron", "non-dropping-particle" : "", "parse-names" : false, "suffix" : "" } ], "container-title" : "Cardiovascular revascularization medicine : including molecular interventions", "id" : "ITEM-2", "issue" : "6", "issued" : { "date-parts" : [ [ "2011" ] ] }, "note" : "As stated in the introduction \u201cTo be included in a current randomized TAVI trial and/or registry (PARTNER trial), a patient candidate must have a Society of Thoracic Surgeons (STS) risk score of &amp;gt;10 or a logistic EuroSCORE of &amp;gt;20\u201d. It is vital, therefore, that such risk prediction models are accurately and consistently predicting the risk factor for each patient. This study aimed to identify the correlation between STS and the logistic EuroScore in relation to TAVI. This was achieved by analysing 718 high risk patients with severe aortic stenosis who were candidates for TAVI clinical trials. It was found that in those high-risk patients, STS was superior to the logistic EuroScore in predicting mortality. \n\n\n\n\nThis article also investigated the relationship between logistic EuroScore (LES) with the Society of Thoacic Surgeons Predicted Risk of Mortality (STS). The ability to predict 30 day mortality in three patient groups (medical management or balloon aortic valvuloplasty (BAV), surgical aortic valve replacement (AVR); TAVI) was assessed.\u00a0 718 high-risk patients were considered", "page" : "345-9", "publisher" : "Elsevier B.V.", "title" : "Comparison between Society of Thoracic Surgeons score and logistic EuroSCORE for predicting mortality in patients referred for transcatheter aortic valve implantation.", "type" : "article-journal", "volume" : "12" }, "uris" : [ "http://www.mendeley.com/documents/?uuid=e3d0fa66-daa0-497b-a2f7-8b68bbf89177" ] } ], "mendeley" : { "formattedCitation" : "[7,8]", "plainTextFormattedCitation" : "[7,8]", "previouslyFormattedCitation" : "[7,8]" }, "properties" : { "noteIndex" : 0 }, "schema" : "https://github.com/citation-style-language/schema/raw/master/csl-citation.json" }</w:instrText>
      </w:r>
      <w:r w:rsidRPr="00E937F3">
        <w:fldChar w:fldCharType="separate"/>
      </w:r>
      <w:r w:rsidRPr="00A03C5F">
        <w:rPr>
          <w:noProof/>
        </w:rPr>
        <w:t>[7,8]</w:t>
      </w:r>
      <w:r w:rsidRPr="00E937F3">
        <w:fldChar w:fldCharType="end"/>
      </w:r>
      <w:r>
        <w:t>.</w:t>
      </w:r>
    </w:p>
    <w:p w14:paraId="44527FC0" w14:textId="61936F59" w:rsidR="002D19F1" w:rsidRDefault="00EE13ED" w:rsidP="002D19F1">
      <w:pPr>
        <w:ind w:firstLine="720"/>
      </w:pPr>
      <w:r>
        <w:t>Consequently, t</w:t>
      </w:r>
      <w:r w:rsidR="002D19F1">
        <w:t xml:space="preserve">here have been recent attempts </w:t>
      </w:r>
      <w:r w:rsidR="00AA767B">
        <w:t>to derive</w:t>
      </w:r>
      <w:r w:rsidR="002D19F1">
        <w:t xml:space="preserve"> procedure specific CPMs using national registries; examples include the </w:t>
      </w:r>
      <w:r w:rsidR="002D19F1" w:rsidRPr="00E937F3">
        <w:t xml:space="preserve">FRANCE-2 model </w:t>
      </w:r>
      <w:r w:rsidR="002D19F1" w:rsidRPr="00E937F3">
        <w:fldChar w:fldCharType="begin" w:fldLock="1"/>
      </w:r>
      <w:r w:rsidR="002D19F1">
        <w:instrText>ADDIN CSL_CITATION { "citationItems" : [ { "id" : "ITEM-1", "itemData" : { "DOI" : "10.1136/heartjnl-2013-305314", "ISSN" : "1468-201X", "PMID" : "24740804", "abstract" : "OBJECTIVE: Decision making for intervention in symptomatic aortic stenosis should balance the risks of surgery and of transcatheter aortic valve implantation (TAVI). We identified the factors associated with early mortality after TAVI and aimed to develop and validate a simple risk score. METHODS: A population of 3833 consecutive patients was randomly split into two cohorts comprising 2552 and 1281 patients, used respectively to develop and validate a scoring system predicting 30-day or in-hospital mortality. RESULTS: TAVI was performed using the Edwards Sapien prosthesis in 2551 (66.8%) patients and the Medtronic Corevalve in 1270 (33.2%). Approach was transfemoral in 2801 (73.4%) patients, transapical in 678 (17.8%), subclavian in 219 (5.7%) and other in 117 (3.1%). Early mortality was 10.0% (382 patients). A multivariate logistic model identified the following predictive factors of early mortality: age \u226590 years, body mass index &lt;30 Kg/m(2), New York Heart Association class IV, pulmonary hypertension, critical haemodynamic state, \u22652 pulmonary oedemas during the last year, respiratory insufficiency, dialysis and transapical or other (transaortic and transcarotid) approaches. A 21-point predictive score was derived. C-index was 0.67 for the score in the development cohort and 0.59 in the validation cohort. There was a good concordance between predicted and observed 30-day mortality rates in the development and validation cohorts. CONCLUSIONS: Early mortality after TAVI is mainly related to age, the severity of symptoms, comorbidities and transapical approach. A simple score can be used to predict early mortality after TAVI. The moderate discrimination is however a limitation for the accurate identification of high-risk patients.", "author" : [ { "dropping-particle" : "", "family" : "Iung", "given" : "Bernard", "non-dropping-particle" : "", "parse-names" : false, "suffix" : "" }, { "dropping-particle" : "", "family" : "Laou\u00e9nan", "given" : "C\u00e9dric", "non-dropping-particle" : "", "parse-names" : false, "suffix" : "" }, { "dropping-particle" : "", "family" : "Himbert", "given" : "Dominique", "non-dropping-particle" : "", "parse-names" : false, "suffix" : "" }, { "dropping-particle" : "", "family" : "Eltchaninoff", "given" : "H\u00e9l\u00e8ne", "non-dropping-particle" : "", "parse-names" : false, "suffix" : "" }, { "dropping-particle" : "", "family" : "Chevreul", "given" : "Karine", "non-dropping-particle" : "", "parse-names" : false, "suffix" : "" }, { "dropping-particle" : "", "family" : "Donzeau-Gouge", "given" : "Patrick", "non-dropping-particle" : "", "parse-names" : false, "suffix" : "" }, { "dropping-particle" : "", "family" : "Fajadet", "given" : "Jean", "non-dropping-particle" : "", "parse-names" : false, "suffix" : "" }, { "dropping-particle" : "", "family" : "Leprince", "given" : "Pascal", "non-dropping-particle" : "", "parse-names" : false, "suffix" : "" }, { "dropping-particle" : "", "family" : "Leguerrier", "given" : "Alain", "non-dropping-particle" : "", "parse-names" : false, "suffix" : "" }, { "dropping-particle" : "", "family" : "Li\u00e8vre", "given" : "Michel", "non-dropping-particle" : "", "parse-names" : false, "suffix" : "" }, { "dropping-particle" : "", "family" : "Prat", "given" : "Alain", "non-dropping-particle" : "", "parse-names" : false, "suffix" : "" }, { "dropping-particle" : "", "family" : "Teiger", "given" : "Emmanuel", "non-dropping-particle" : "", "parse-names" : false, "suffix" : "" }, { "dropping-particle" : "", "family" : "Laskar", "given" : "Marc", "non-dropping-particle" : "", "parse-names" : false, "suffix" : "" }, { "dropping-particle" : "", "family" : "Vahanian", "given" : "Alec", "non-dropping-particle" : "", "parse-names" : false, "suffix" : "" }, { "dropping-particle" : "", "family" : "Gilard", "given" : "Martine", "non-dropping-particle" : "", "parse-names" : false, "suffix" : "" } ], "container-title" : "Heart (British Cardiac Society)", "id" : "ITEM-1", "issue" : "13", "issued" : { "date-parts" : [ [ "2014", "7" ] ] }, "note" : "This article uses data from the \u201cFrench Aortic National CoreValve and Edwards\u201d registry in order to investigate predictive factors for early mortality after TAVI. In addition, it was aimed to develop a scoring system to predict mortality after TAVI.\u00a0 \n3933 patients who underwent TAVI in 33 French centres. The patients were classified as high risk for surgery. The primary endpoint was all cause mortality 30 days after procedure. \nStatistical analyses included the use of univariate and multivariate logistic regression to build the scoring system. Discrimination and calibration of the model were assessed using the c-index and comparing Obc/Exp respectively. \nWhen investigating the early mortality the results did report those with different ages, centres, procedure type. No difference in mortality was found in centres, volume activity, time and experience of using TAVI. Age was associate with a significant increase in early mortality. Low BMI was also linked with early mortality. \nEight patient related and one procedural related variables were identified as predictive factors of early mortality; which then was used to develop a scoring system. However, the results showed that discrimination was lacking. \nIn summary the study found nine predictive factors of early mortality after TAVI. In addition a scoring system was developed which provided reasonable but certainly room for improvement.", "page" : "1016-23", "title" : "Predictive factors of early mortality after transcatheter aortic valve implantation: individual risk assessment using a simple score.", "type" : "article-journal", "volume" : "100" }, "uris" : [ "http://www.mendeley.com/documents/?uuid=8e3a1b0f-0884-447a-8ae1-56423ba1fc4d" ] } ], "mendeley" : { "formattedCitation" : "[9]", "plainTextFormattedCitation" : "[9]", "previouslyFormattedCitation" : "[9]" }, "properties" : { "noteIndex" : 0 }, "schema" : "https://github.com/citation-style-language/schema/raw/master/csl-citation.json" }</w:instrText>
      </w:r>
      <w:r w:rsidR="002D19F1" w:rsidRPr="00E937F3">
        <w:fldChar w:fldCharType="separate"/>
      </w:r>
      <w:r w:rsidR="002D19F1" w:rsidRPr="00A03C5F">
        <w:rPr>
          <w:noProof/>
        </w:rPr>
        <w:t>[9]</w:t>
      </w:r>
      <w:r w:rsidR="002D19F1" w:rsidRPr="00E937F3">
        <w:fldChar w:fldCharType="end"/>
      </w:r>
      <w:r w:rsidR="002D19F1" w:rsidRPr="00E937F3">
        <w:t xml:space="preserve">, the </w:t>
      </w:r>
      <w:r w:rsidR="002D19F1">
        <w:t xml:space="preserve">Italian </w:t>
      </w:r>
      <w:r w:rsidR="002D19F1" w:rsidRPr="00E937F3">
        <w:t xml:space="preserve">OBSERVANT model </w:t>
      </w:r>
      <w:r w:rsidR="002D19F1" w:rsidRPr="00E937F3">
        <w:fldChar w:fldCharType="begin" w:fldLock="1"/>
      </w:r>
      <w:r w:rsidR="002D19F1">
        <w:instrText>ADDIN CSL_CITATION { "citationItems" : [ { "id" : "ITEM-1", "itemData" : { "DOI" : "10.1016/j.amjcard.2014.03.014", "ISSN" : "1879-1913", "PMID" : "24837264", "abstract" : "Risk stratification tools used in patients with severe aortic stenosis have been mostly derived from surgical series. Although specific predictors of early mortality with transcatheter aortic valve replacement (TAVR) have been identified, the prognostic impact of their combination is unexplored. We sought to develop a simple score, using preprocedural variables, for prediction of 30-day mortality after TAVR. A total of 1,878 patients from a national multicenter registry who underwent TAVR were randomly assigned in a 2:1 manner to development and validation data sets. Baseline characteristics of the 1,256 patients in the development data set were considered as candidate univariate predictors of 30-day mortality. A bootstrap multivariate logistic regression process was used to select correlates of 30-day mortality that were subsequently weighted and integrated into a scoring system. Seven variables were weighted proportionally to their respective odds ratios for 30-day mortality (glomerular filtration rate &lt;45 ml/min [6 points], critical preoperative state [5 points], New York Heart Association class IV [4 points], pulmonary hypertension [4 points], diabetes mellitus [4 points], previous balloon aortic valvuloplasty [3 points], and left ventricular ejection fraction &lt;40% [3 points]). The model showed good discrimination in both the development and validation data sets (C statistics 0.73 and 0.71, respectively). Compared with the logistic European System for Cardiac Operative Risk Evaluation in the validation data set, the model showed better discrimination (C statistic 0.71 vs 0.66), goodness of fit (Hosmer-Lemeshow p value 0.81 vs 0.00), and global accuracy (Brier score 0.054 vs 0.073). In conclusion, the risk of 30-day mortality after TAVR may be estimated by combining 7 baseline clinical variables into a simple risk scoring system.", "author" : [ { "dropping-particle" : "", "family" : "Capodanno", "given" : "Davide", "non-dropping-particle" : "", "parse-names" : false, "suffix" : "" }, { "dropping-particle" : "", "family" : "Barbanti", "given" : "Marco", "non-dropping-particle" : "", "parse-names" : false, "suffix" : "" }, { "dropping-particle" : "", "family" : "Tamburino", "given" : "Corrado", "non-dropping-particle" : "", "parse-names" : false, "suffix" : "" }, { "dropping-particle" : "", "family" : "D'Errigo", "given" : "Paola", "non-dropping-particle" : "", "parse-names" : false, "suffix" : "" }, { "dropping-particle" : "", "family" : "Ranucci", "given" : "Marco", "non-dropping-particle" : "", "parse-names" : false, "suffix" : "" }, { "dropping-particle" : "", "family" : "Santoro", "given" : "Gennaro", "non-dropping-particle" : "", "parse-names" : false, "suffix" : "" }, { "dropping-particle" : "", "family" : "Santini", "given" : "Francesco", "non-dropping-particle" : "", "parse-names" : false, "suffix" : "" }, { "dropping-particle" : "", "family" : "Onorati", "given" : "Francesco", "non-dropping-particle" : "", "parse-names" : false, "suffix" : "" }, { "dropping-particle" : "", "family" : "Grossi", "given" : "Claudio", "non-dropping-particle" : "", "parse-names" : false, "suffix" : "" }, { "dropping-particle" : "", "family" : "Covello", "given" : "Remo Daniel", "non-dropping-particle" : "", "parse-names" : false, "suffix" : "" }, { "dropping-particle" : "", "family" : "Capranzano", "given" : "Piera", "non-dropping-particle" : "", "parse-names" : false, "suffix" : "" }, { "dropping-particle" : "", "family" : "Rosato", "given" : "Stefano", "non-dropping-particle" : "", "parse-names" : false, "suffix" : "" }, { "dropping-particle" : "", "family" : "Seccareccia", "given" : "Fulvia", "non-dropping-particle" : "", "parse-names" : false, "suffix" : "" } ], "container-title" : "The American journal of cardiology", "id" : "ITEM-1", "issue" : "11", "issued" : { "date-parts" : [ [ "2014", "6", "1" ] ] }, "page" : "1851-8", "publisher" : "Elsevier Inc.", "title" : "A simple risk tool (the OBSERVANT score) for prediction of 30-day mortality after transcatheter aortic valve replacement.", "type" : "article-journal", "volume" : "113" }, "uris" : [ "http://www.mendeley.com/documents/?uuid=4809745f-01c3-492a-8783-4d808a6da5c5" ] } ], "mendeley" : { "formattedCitation" : "[10]", "plainTextFormattedCitation" : "[10]", "previouslyFormattedCitation" : "[10]" }, "properties" : { "noteIndex" : 0 }, "schema" : "https://github.com/citation-style-language/schema/raw/master/csl-citation.json" }</w:instrText>
      </w:r>
      <w:r w:rsidR="002D19F1" w:rsidRPr="00E937F3">
        <w:fldChar w:fldCharType="separate"/>
      </w:r>
      <w:r w:rsidR="002D19F1" w:rsidRPr="00A03C5F">
        <w:rPr>
          <w:noProof/>
        </w:rPr>
        <w:t>[10]</w:t>
      </w:r>
      <w:r w:rsidR="002D19F1" w:rsidRPr="00E937F3">
        <w:fldChar w:fldCharType="end"/>
      </w:r>
      <w:r w:rsidR="002D19F1" w:rsidRPr="00E937F3">
        <w:t xml:space="preserve">, </w:t>
      </w:r>
      <w:r>
        <w:t xml:space="preserve">and </w:t>
      </w:r>
      <w:r w:rsidR="002D19F1" w:rsidRPr="00E937F3">
        <w:t xml:space="preserve">the American College of Cardiology (ACC) model </w:t>
      </w:r>
      <w:r w:rsidR="002D19F1" w:rsidRPr="00E937F3">
        <w:fldChar w:fldCharType="begin" w:fldLock="1"/>
      </w:r>
      <w:r w:rsidR="002D19F1">
        <w:instrText>ADDIN CSL_CITATION { "citationItems" : [ { "id" : "ITEM-1",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"ITEM-1",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"[11]", "plainTextFormattedCitation" : "[11]", "previouslyFormattedCitation" : "[11]" }, "properties" : { "noteIndex" : 0 }, "schema" : "https://github.com/citation-style-language/schema/raw/master/csl-citation.json" }</w:instrText>
      </w:r>
      <w:r w:rsidR="002D19F1" w:rsidRPr="00E937F3">
        <w:fldChar w:fldCharType="separate"/>
      </w:r>
      <w:r w:rsidR="002D19F1" w:rsidRPr="00A03C5F">
        <w:rPr>
          <w:noProof/>
        </w:rPr>
        <w:t>[11]</w:t>
      </w:r>
      <w:r w:rsidR="002D19F1" w:rsidRPr="00E937F3">
        <w:fldChar w:fldCharType="end"/>
      </w:r>
      <w:r w:rsidR="002D19F1">
        <w:t>. Primarily, one is interested in using such TAVI CPMs to underpin procedure audit analyses across TAVI centres, to facilitate discussion of risk with the patient</w:t>
      </w:r>
      <w:r w:rsidR="00C65FEC">
        <w:t>, and to aid comparison of randomised trials</w:t>
      </w:r>
      <w:r w:rsidR="002D19F1">
        <w:t xml:space="preserve">. However, existing models have only moderate performance when applied in samples outside of their development </w:t>
      </w:r>
      <w:r w:rsidR="00CA7AED">
        <w:t>cohorts</w:t>
      </w:r>
      <w:r w:rsidR="002D19F1">
        <w:t xml:space="preserve"> </w:t>
      </w:r>
      <w:r w:rsidR="002D19F1">
        <w:fldChar w:fldCharType="begin" w:fldLock="1"/>
      </w:r>
      <w:r w:rsidR="003F7F49">
        <w:instrText>ADDIN CSL_CITATION { "citationItems" : [ { "id" : "ITEM-1", "itemData" : { "DOI" : "10.1016/j.ijcard.2016.04.038", "ISBN" : "0167-5273", "ISSN" : "01675273", "PMID" : "27128536", "abstract" : "Background Accurate risk stratification is pivotal for appropriate selection of patients with severe symptomatic aortic stenosis for either surgical or transcatheter aortic valve replacement (TAVR). We sought to determine whether recent risk prediction models developed specifically in TAVR patients enhance prognostication in comparison with previous surgical scores used in clinical practice (EuroScore I, EuroScore II, STS). Methods The Israeli TAVR Registry Risk Model Accuracy Assessment (IRRMA) study utilized a multicenter prospective TAVR database (n = 1327) to perform a quantitative comparison between previous risk scores developed in either surgical or TAVR populations, with the present registry serving as an independent external validation set. Results In the IRRMA population, 4 variables (NYHA functional class IV, chronic obstructive pulmonary disease, systolic pulmonary artery pressure ??? 60 mm Hg, vascular access other than by the femoral route) identified by cross-validation and leave-one-out analyses provided the most discriminative model (C-statistic = 0.63) for predicting 30-day mortality. Previous scores developed in surgical (EuroScores I and II, STS), TAVR (France-2, OBSERVANT), or mixed (German AV score) populations were applied to the IRRMA cohort. Resultant C-statistics ranged between 0.52-0.71 (for the German AV and France-2 scores, respectively) and did not differ significantly (p = 0.07 for the comparison between the lowest and highest C-statistics). The observed C-statistic for 5 of these 6 scores was lower than originally reported when applied to the IRRMA population. Conclusion Available TAVR risk scores showed limited accuracy when applied to an independent validation set and did not enhance prognostication in comparison to previous surgical scores.", "author" : [ { "dropping-particle" : "", "family" : "Halkin", "given" : "Amir", "non-dropping-particle" : "", "parse-names" : false, "suffix" : "" }, { "dropping-particle" : "", "family" : "Steinvil", "given" : "Arie", "non-dropping-particle" : "", "parse-names" : false, "suffix" : "" }, { "dropping-particle" : "", "family" : "Witberg", "given" : "Guy", "non-dropping-particle" : "", "parse-names" : false, "suffix" : "" }, { "dropping-particle" : "", "family" : "Barsheshet", "given" : "Alon", "non-dropping-particle" : "", "parse-names" : false, "suffix" : "" }, { "dropping-particle" : "", "family" : "Barkagan", "given" : "Michael", "non-dropping-particle" : "", "parse-names" : false, "suffix" : "" }, { "dropping-particle" : "", "family" : "Assali", "given" : "Abid", "non-dropping-particle" : "", "parse-names" : false, "suffix" : "" }, { "dropping-particle" : "", "family" : "Segev", "given" : "Amit", "non-dropping-particle" : "", "parse-names" : false, "suffix" : "" }, { "dropping-particle" : "", "family" : "Fefer", "given" : "Paul", "non-dropping-particle" : "", "parse-names" : false, "suffix" : "" }, { "dropping-particle" : "", "family" : "Guetta", "given" : "Victor", "non-dropping-particle" : "", "parse-names" : false, "suffix" : "" }, { "dropping-particle" : "", "family" : "Barbash", "given" : "Israel M.", "non-dropping-particle" : "", "parse-names" : false, "suffix" : "" }, { "dropping-particle" : "", "family" : "Kornowski", "given" : "Ran", "non-dropping-particle" : "", "parse-names" : false, "suffix" : "" }, { "dropping-particle" : "", "family" : "Finkelstein", "given" : "Ariel", "non-dropping-particle" : "", "parse-names" : false, "suffix" : "" } ], "container-title" : "International Journal of Cardiology", "id" : "ITEM-1", "issued" : { "date-parts" : [ [ "2016", "7" ] ] }, "page" : "227-231", "publisher" : "Elsevier Ireland Ltd", "title" : "Mortality prediction following transcatheter aortic valve replacement: A quantitative comparison of risk scores derived from populations treated with either surgical or percutaneous aortic valve replacement. The Israeli TAVR Registry Risk Model Accuracy A", "type" : "article-journal", "volume" : "215" }, "uris" : [ "http://www.mendeley.com/documents/?uuid=2c0bd672-5cbc-4e5d-ab3f-5f028b8d6639" ] } ], "mendeley" : { "formattedCitation" : "[12]", "plainTextFormattedCitation" : "[12]", "previouslyFormattedCitation" : "[12]" }, "properties" : { "noteIndex" : 0 }, "schema" : "https://github.com/citation-style-language/schema/raw/master/csl-citation.json" }</w:instrText>
      </w:r>
      <w:r w:rsidR="002D19F1">
        <w:fldChar w:fldCharType="separate"/>
      </w:r>
      <w:r w:rsidRPr="00EE13ED">
        <w:rPr>
          <w:noProof/>
        </w:rPr>
        <w:t>[12]</w:t>
      </w:r>
      <w:r w:rsidR="002D19F1">
        <w:fldChar w:fldCharType="end"/>
      </w:r>
      <w:r w:rsidR="002D19F1">
        <w:t xml:space="preserve">. Indeed, within the UK, there is no validated CPM for predicting mortality post TAVI </w:t>
      </w:r>
      <w:r w:rsidR="002D19F1">
        <w:fldChar w:fldCharType="begin" w:fldLock="1"/>
      </w:r>
      <w:r w:rsidR="003F7F49">
        <w:instrText>ADDIN CSL_CITATION { "citationItems" : [ { "id" : "ITEM-1", "itemData" : { "DOI" : "10.1016/j.ahj.2016.10.020", "ISSN" : "00028703", "author" : [ { "dropping-particle" : "", "family" : "Martin", "given" : "Glen Philip", "non-dropping-particle" : "", "parse-names" : false, "suffix" : "" }, { "dropping-particle" : "", "family" : "Sperrin", "given" : "Matthew", "non-dropping-particle" : "", "parse-names" : false, "suffix" : "" }, { "dropping-particle" : "", "family" : "Ludman", "given" : "Peter F.", "non-dropping-particle" : "", "parse-names" : false, "suffix" : "" }, { "dropping-particle" : "", "family" : "Belder", "given" : "Mark A.", "non-dropping-particle" : "de", "parse-names" : false, "suffix" : "" }, { "dropping-particle" : "", "family" : "Gale", "given" : "Chris P.", "non-dropping-particle" : "", "parse-names" : false, "suffix" : "" }, { "dropping-particle" : "", "family" : "Toff", "given" : "William D.", "non-dropping-particle" : "", "parse-names" : false, "suffix" : "" }, { "dropping-particle" : "", "family" : "Moat", "given" : "Neil E.", "non-dropping-particle" : "", "parse-names" : false, "suffix" : "" }, { "dropping-particle" : "", "family" : "Trivedi", "given" : "Uday", "non-dropping-particle" : "", "parse-names" : false, "suffix" : "" }, { "dropping-particle" : "", "family" : "Buchan", "given" : "Iain", "non-dropping-particle" : "", "parse-names" : false, "suffix" : "" }, { "dropping-particle" : "", "family" : "Mamas", "given" : "Mamas A.", "non-dropping-particle" : "", "parse-names" : false, "suffix" : "" } ], "container-title" : "American Heart Journal", "id" : "ITEM-1", "issued" : { "date-parts" : [ [ "2017", "2" ] ] }, "page" : "97-105", "title" : "Inadequacy of existing clinical prediction models for predicting mortality after transcatheter aortic valve implantation", "type" : "article-journal", "volume" : "184" }, "uris" : [ "http://www.mendeley.com/documents/?uuid=02561193-3c06-4533-bd1b-35d7766afe68" ] } ], "mendeley" : { "formattedCitation" : "[13]", "plainTextFormattedCitation" : "[13]", "previouslyFormattedCitation" : "[13]" }, "properties" : { "noteIndex" : 0 }, "schema" : "https://github.com/citation-style-language/schema/raw/master/csl-citation.json" }</w:instrText>
      </w:r>
      <w:r w:rsidR="002D19F1">
        <w:fldChar w:fldCharType="separate"/>
      </w:r>
      <w:r w:rsidRPr="00EE13ED">
        <w:rPr>
          <w:noProof/>
        </w:rPr>
        <w:t>[13]</w:t>
      </w:r>
      <w:r w:rsidR="002D19F1">
        <w:fldChar w:fldCharType="end"/>
      </w:r>
      <w:r w:rsidR="002D19F1">
        <w:t xml:space="preserve">, and </w:t>
      </w:r>
      <w:r w:rsidR="00CA7AED">
        <w:t xml:space="preserve">heterogeneity in the </w:t>
      </w:r>
      <w:r w:rsidR="002D19F1">
        <w:t>variable</w:t>
      </w:r>
      <w:r w:rsidR="001C53E9">
        <w:t>s recorded</w:t>
      </w:r>
      <w:r w:rsidR="002D19F1">
        <w:t xml:space="preserve"> amongst national registries restricts the application of </w:t>
      </w:r>
      <w:r>
        <w:t xml:space="preserve">existing </w:t>
      </w:r>
      <w:r w:rsidR="002D19F1">
        <w:t xml:space="preserve">models into UK practice. </w:t>
      </w:r>
      <w:r w:rsidR="008A48A8">
        <w:t>As such, developing a CPM for UK TAVI patients is vital</w:t>
      </w:r>
      <w:r w:rsidR="00916429">
        <w:t xml:space="preserve">, especially since </w:t>
      </w:r>
      <w:r w:rsidR="008A48A8">
        <w:t>one of the fundamental incentives for collecting national registry data is to monitor centre-level performance for audit and feedback purposes</w:t>
      </w:r>
      <w:r w:rsidR="002D19F1">
        <w:t>.</w:t>
      </w:r>
    </w:p>
    <w:p w14:paraId="2BFBC37D" w14:textId="0C2872D9" w:rsidR="002D19F1" w:rsidRPr="00E937F3" w:rsidRDefault="002D19F1" w:rsidP="002D19F1">
      <w:pPr>
        <w:ind w:firstLine="720"/>
      </w:pPr>
      <w:r w:rsidRPr="00E937F3">
        <w:t>Therefore, the aim of this study was</w:t>
      </w:r>
      <w:r>
        <w:t xml:space="preserve"> to develop and internally validate a multivariable TAVI </w:t>
      </w:r>
      <w:r w:rsidRPr="00E937F3">
        <w:t>CPM for predicting 30-day mortality in UK TAVI patients</w:t>
      </w:r>
      <w:r>
        <w:t xml:space="preserve"> (hereto called the UK-TAVI CPM), to facilitate clinical discussions around </w:t>
      </w:r>
      <w:r w:rsidR="00C85940">
        <w:t xml:space="preserve">procedure </w:t>
      </w:r>
      <w:r>
        <w:t xml:space="preserve">risk </w:t>
      </w:r>
      <w:r w:rsidR="00C85940">
        <w:t xml:space="preserve">with the patient during the consent process, </w:t>
      </w:r>
      <w:r>
        <w:t>and for national benchmarking/ audit</w:t>
      </w:r>
      <w:r w:rsidR="00C85940">
        <w:t xml:space="preserve"> analyses</w:t>
      </w:r>
      <w:r w:rsidRPr="00E937F3">
        <w:t>.</w:t>
      </w:r>
    </w:p>
    <w:p w14:paraId="74876AF9" w14:textId="77777777" w:rsidR="002D19F1" w:rsidRDefault="002D19F1" w:rsidP="002D19F1">
      <w:pPr>
        <w:pStyle w:val="Heading1"/>
      </w:pPr>
      <w:r>
        <w:lastRenderedPageBreak/>
        <w:t>Methods</w:t>
      </w:r>
    </w:p>
    <w:p w14:paraId="0A1FC720" w14:textId="7FF2EC13" w:rsidR="002D19F1" w:rsidRPr="005F3B7B" w:rsidRDefault="002D19F1" w:rsidP="002D19F1">
      <w:pPr>
        <w:ind w:firstLine="720"/>
      </w:pPr>
      <w:r>
        <w:t xml:space="preserve">The reporting of this manuscript adheres to the TRIPOD checklist for the reporting of multivariable prediction models </w:t>
      </w:r>
      <w:r>
        <w:fldChar w:fldCharType="begin" w:fldLock="1"/>
      </w:r>
      <w:r w:rsidR="003F7F49">
        <w:instrText>ADDIN CSL_CITATION { "citationItems" : [ { "id" : "ITEM-1", "itemData" : { "DOI" : "10.1016/j.eururo.2014.11.025", "ISBN" : "1539-3704 (Electronic)\\r0003-4819 (Linking)", "ISSN" : "03022838", "PMID" : "25561516", "abstract" : "Context Prediction models are developed to aid health care providers in estimating the probability or risk that a specific disease or condition is present (diagnostic models) or that a specific event will occur in the future (prognostic models), to inform their decision making. However, the overwhelming evidence shows that the quality of reporting of prediction model studies is poor. Only with full and clear reporting of information on all aspects of a prediction model can risk of bias and potential usefulness of prediction models be adequately assessed. Objective The Transparent Reporting of a multivariable prediction model for Individual Prognosis Or Diagnosis (TRIPOD) Initiative developed a set of recommendations for the reporting of studies developing, validating, or updating a prediction model, whether for diagnostic or prognostic purposes. Evidence acquisition This article describes how the TRIPOD Statement was developed. An extensive list of items based on a review of the literature was created, which was reduced after a Web-based survey and revised during a 3-day meeting in June 2011 with methodologists, health care professionals, and journal editors. The list was refined during several meetings of the steering group and in e-mail discussions with the wider group of TRIPOD contributors. Evidence synthesis The resulting TRIPOD Statement is a checklist of 22 items, deemed essential for transparent reporting of a prediction model study. The TRIPOD Statement aims to improve the transparency of the reporting of a prediction model study regardless of the study methods used. The TRIPOD Statement is best used in conjunction with the TRIPOD explanation and elaboration document. Conclusions To aid the editorial process and readers of prediction model studies, it is recommended that authors include a completed checklist in their submission (also available at www.tripod-statement.org). Patient summary The Transparent Reporting of a multivariable prediction model for Individual Prognosis Or Diagnosis (TRIPOD) Initiative developed a set of recommendations for the reporting of studies developing, validating, or updating a prediction model, whether for diagnostic or prognostic purposes.", "author" : [ { "dropping-particle" : "", "family" : "Collins", "given" : "Gary S.", "non-dropping-particle" : "", "parse-names" : false, "suffix" : "" }, { "dropping-particle" : "", "family" : "Reitsma", "given" : "Johannes B.", "non-dropping-particle" : "", "parse-names" : false, "suffix" : "" }, { "dropping-particle" : "", "family" : "Altman", "given" : "Douglas G.", "non-dropping-particle" : "", "parse-names" : false, "suffix" : "" }, { "dropping-particle" : "", "family" : "Moons", "given" : "Karel G.M.", "non-dropping-particle" : "", "parse-names" : false, "suffix" : "" } ], "container-title" : "The BMJ", "id" : "ITEM-1", "issue" : "6", "issued" : { "date-parts" : [ [ "2015", "6" ] ] }, "page" : "1142-1151", "title" : "Transparent Reporting of a Multivariable Prediction Model for Individual Prognosis or Diagnosis (TRIPOD): The TRIPOD Statement", "type" : "article-journal", "volume" : "67" }, "uris" : [ "http://www.mendeley.com/documents/?uuid=804d09ae-b7cb-4ba7-abfa-cb3315eff2ad" ] } ], "mendeley" : { "formattedCitation" : "[14]", "plainTextFormattedCitation" : "[14]", "previouslyFormattedCitation" : "[14]" }, "properties" : { "noteIndex" : 0 }, "schema" : "https://github.com/citation-style-language/schema/raw/master/csl-citation.json" }</w:instrText>
      </w:r>
      <w:r>
        <w:fldChar w:fldCharType="separate"/>
      </w:r>
      <w:r w:rsidR="00EE13ED" w:rsidRPr="00EE13ED">
        <w:rPr>
          <w:noProof/>
        </w:rPr>
        <w:t>[14]</w:t>
      </w:r>
      <w:r>
        <w:fldChar w:fldCharType="end"/>
      </w:r>
      <w:r>
        <w:t xml:space="preserve">. </w:t>
      </w:r>
      <w:r w:rsidRPr="007C6C9E">
        <w:t>The completed checklist is provided as supplementary material.</w:t>
      </w:r>
    </w:p>
    <w:p w14:paraId="0026C310" w14:textId="77777777" w:rsidR="002D19F1" w:rsidRDefault="002D19F1" w:rsidP="002D19F1">
      <w:pPr>
        <w:pStyle w:val="Heading2"/>
      </w:pPr>
      <w:r>
        <w:t>UK TAVI Registry</w:t>
      </w:r>
    </w:p>
    <w:p w14:paraId="6A15E546" w14:textId="36CBC263" w:rsidR="002D19F1" w:rsidRDefault="002D19F1" w:rsidP="002D19F1">
      <w:pPr>
        <w:ind w:firstLine="720"/>
      </w:pPr>
      <w:r>
        <w:t xml:space="preserve">The UK TAVI registry prospectively collects data for every TAVI </w:t>
      </w:r>
      <w:r w:rsidR="00143E9D">
        <w:t xml:space="preserve">procedure </w:t>
      </w:r>
      <w:r w:rsidR="00AB03AE">
        <w:t xml:space="preserve">conducted </w:t>
      </w:r>
      <w:r>
        <w:t xml:space="preserve">in the UK </w:t>
      </w:r>
      <w:r w:rsidR="00EE13ED">
        <w:t xml:space="preserve">(34 centres) </w:t>
      </w:r>
      <w:r>
        <w:t>through a Web-based interface</w:t>
      </w:r>
      <w:r w:rsidR="00B8138F">
        <w:t xml:space="preserve"> </w:t>
      </w:r>
      <w:r>
        <w:fldChar w:fldCharType="begin" w:fldLock="1"/>
      </w:r>
      <w:r w:rsidR="003F7F49">
        <w:instrText>ADDIN CSL_CITATION { "citationItems" : [ { "id" : "ITEM-1", "itemData" : { "DOI" : "10.1136/heartjnl-2012-302534", "ISBN" : "1355-6037", "ISSN" : "1355-6037", "PMID" : "22879533", "abstract" : "This registry was set up to create a comprehensive record of all TAVI procedures performed in the United Kingdom since the introduction of the technique in 2007, to help drive quality improvement and provide data for research. Funding is independent of industry. All hospitals in the UK provide data for every consecutive patient where TAVI was attempted. The dataset includes variables defining patient demographic features, indications, procedural details and outcomes up to the time of hospital discharge. There are variables for follow up at 1 and 3 years assessing symptoms and life status. An updated dataset will be collected from 2013. Mortality is tracked centrally. Data entry is performed by clinical staff and data clerks. No external validation. The data are available for research by application to the UK TAVI Steering Group using a data sharing agreement which can be obtained at NICOR (www.ucl.ac.uk/nicor/).", "author" : [ { "dropping-particle" : "", "family" : "Ludman", "given" : "Peter F.", "non-dropping-particle" : "", "parse-names" : false, "suffix" : "" } ], "container-title" : "Heart", "id" : "ITEM-1", "issue" : "24", "issued" : { "date-parts" : [ [ "2012", "12", "15" ] ] }, "page" : "1787-1789", "title" : "The UK transcatheter aortic valve implantation registry; one of the suite of registries hosted by the National Institute for Cardiovascular Outcomes Research (NICOR)", "type" : "article-journal", "volume" : "98" }, "uris" : [ "http://www.mendeley.com/documents/?uuid=1558cf5d-2e7b-46f4-aab6-f84d7d10181f" ] } ], "mendeley" : { "formattedCitation" : "[15]", "plainTextFormattedCitation" : "[15]", "previouslyFormattedCitation" : "[15]" }, "properties" : { "noteIndex" : 0 }, "schema" : "https://github.com/citation-style-language/schema/raw/master/csl-citation.json" }</w:instrText>
      </w:r>
      <w:r>
        <w:fldChar w:fldCharType="separate"/>
      </w:r>
      <w:r w:rsidR="00EE13ED" w:rsidRPr="00EE13ED">
        <w:rPr>
          <w:noProof/>
        </w:rPr>
        <w:t>[15]</w:t>
      </w:r>
      <w:r>
        <w:fldChar w:fldCharType="end"/>
      </w:r>
      <w:r>
        <w:t>. This study included data on all TAVI procedures between January 2009 and</w:t>
      </w:r>
      <w:r w:rsidRPr="00CB6F5F">
        <w:t xml:space="preserve"> December 201</w:t>
      </w:r>
      <w:r>
        <w:t>4. Procedures were predominately undertaken via transfemoral access, using either the Edwards SAPIEN or the Medtronic CoreValve</w:t>
      </w:r>
      <w:r w:rsidR="00BF3E14">
        <w:t xml:space="preserve"> families of devices (with their various iterations over time), </w:t>
      </w:r>
      <w:r>
        <w:t>although other access routes and valve types were available. The registry records information on patient baseline demographics, risk factors for intervention and procedural details. Frailty information was</w:t>
      </w:r>
      <w:r w:rsidR="00C85940">
        <w:t xml:space="preserve"> only</w:t>
      </w:r>
      <w:r>
        <w:t xml:space="preserve"> recorded </w:t>
      </w:r>
      <w:r w:rsidR="00C85940">
        <w:t xml:space="preserve">within the registry </w:t>
      </w:r>
      <w:r>
        <w:t xml:space="preserve">from January 2013 through the KATZ Index of activities of daily living </w:t>
      </w:r>
      <w:r>
        <w:fldChar w:fldCharType="begin" w:fldLock="1"/>
      </w:r>
      <w:r w:rsidR="003F7F49">
        <w:instrText>ADDIN CSL_CITATION { "citationItems" : [ { "id" : "ITEM-1", "itemData" : { "DOI" : "10.1001/jama.1963.03060120024016", "ISSN" : "0098-7484", "author" : [ { "dropping-particle" : "", "family" : "Katz", "given" : "Sidney", "non-dropping-particle" : "", "parse-names" : false, "suffix" : "" } ], "container-title" : "JAMA", "id" : "ITEM-1", "issue" : "12", "issued" : { "date-parts" : [ [ "1963", "9", "21" ] ] }, "page" : "914", "publisher" : "American Medical Association", "title" : "Studies of Illness in the Aged. The Index of ADL: A Standardized Measure of Biological and Psychosocial Function", "type" : "article-journal", "volume" : "185" }, "uris" : [ "http://www.mendeley.com/documents/?uuid=721b2d3f-6973-49a5-943d-d4eeb39c0ab1" ] } ], "mendeley" : { "formattedCitation" : "[16]", "plainTextFormattedCitation" : "[16]", "previouslyFormattedCitation" : "[16]" }, "properties" : { "noteIndex" : 0 }, "schema" : "https://github.com/citation-style-language/schema/raw/master/csl-citation.json" }</w:instrText>
      </w:r>
      <w:r>
        <w:fldChar w:fldCharType="separate"/>
      </w:r>
      <w:r w:rsidR="00EE13ED" w:rsidRPr="00EE13ED">
        <w:rPr>
          <w:noProof/>
        </w:rPr>
        <w:t>[16]</w:t>
      </w:r>
      <w:r>
        <w:fldChar w:fldCharType="end"/>
      </w:r>
      <w:r>
        <w:t xml:space="preserve">, the Canadian Study of Health and Aging (CSHA) frailty scale </w:t>
      </w:r>
      <w:r>
        <w:fldChar w:fldCharType="begin" w:fldLock="1"/>
      </w:r>
      <w:r w:rsidR="003F7F49">
        <w:instrText>ADDIN CSL_CITATION { "citationItems" : [ { "id" : "ITEM-1", "itemData" : { "DOI" : "10.1503/cmaj.050051", "ISSN" : "1488-2329", "PMID" : "16129869", "abstract" : "BACKGROUND: There is no single generally accepted clinical definition of frailty. Previously developed tools to assess frailty that have been shown to be predictive of death or need for entry into an institutional facility have not gained acceptance among practising clinicians. We aimed to develop a tool that would be both predictive and easy to use. METHODS: We developed the 7-point Clinical Frailty Scale and applied it and other established tools that measure frailty to 2305 elderly patients who participated in the second stage of the Canadian Study of Health and Aging (CSHA). We followed this cohort prospectively; after 5 years, we determined the ability of the Clinical Frailty Scale to predict death or need for institutional care, and correlated the results with those obtained from other established tools. RESULTS: The CSHA Clinical Frailty Scale was highly correlated (r = 0.80) with the Frailty Index. Each 1-category increment of our scale significantly increased the medium-term risks of death (21.2% within about 70 mo, 95% confidence interval [CI] 12.5%-30.6%) and entry into an institution (23.9%, 95% CI 8.8%-41.2%) in multivariable models that adjusted for age, sex and education. Analyses of receiver operating characteristic curves showed that our Clinical Frailty Scale performed better than measures of cognition, function or comorbidity in assessing risk for death (area under the curve 0.77 for 18-month and 0.70 for 70-month mortality). INTERPRETATION: Frailty is a valid and clinically important construct that is recognizable by physicians. Clinical judgments about frailty can yield useful predictive information.", "author" : [ { "dropping-particle" : "", "family" : "Rockwood", "given" : "Kenneth", "non-dropping-particle" : "", "parse-names" : false, "suffix" : "" }, { "dropping-particle" : "", "family" : "Song", "given" : "Xiaowei", "non-dropping-particle" : "", "parse-names" : false, "suffix" : "" }, { "dropping-particle" : "", "family" : "MacKnight", "given" : "Chris", "non-dropping-particle" : "", "parse-names" : false, "suffix" : "" }, { "dropping-particle" : "", "family" : "Bergman", "given" : "Howard", "non-dropping-particle" : "", "parse-names" : false, "suffix" : "" }, { "dropping-particle" : "", "family" : "Hogan", "given" : "David B", "non-dropping-particle" : "", "parse-names" : false, "suffix" : "" }, { "dropping-particle" : "", "family" : "McDowell", "given" : "Ian", "non-dropping-particle" : "", "parse-names" : false, "suffix" : "" }, { "dropping-particle" : "", "family" : "Mitnitski", "given" : "Arnold", "non-dropping-particle" : "", "parse-names" : false, "suffix" : "" } ], "container-title" : "CMAJ : Canadian Medical Association journal", "id" : "ITEM-1", "issue" : "5", "issued" : { "date-parts" : [ [ "2005", "8", "30" ] ] }, "page" : "489-95", "title" : "A global clinical measure of fitness and frailty in elderly people.", "type" : "article-journal", "volume" : "173" }, "uris" : [ "http://www.mendeley.com/documents/?uuid=bab4eac4-d7ff-421b-8d19-f05617ce5419" ] } ], "mendeley" : { "formattedCitation" : "[17]", "plainTextFormattedCitation" : "[17]", "previouslyFormattedCitation" : "[17]" }, "properties" : { "noteIndex" : 0 }, "schema" : "https://github.com/citation-style-language/schema/raw/master/csl-citation.json" }</w:instrText>
      </w:r>
      <w:r>
        <w:fldChar w:fldCharType="separate"/>
      </w:r>
      <w:r w:rsidR="00EE13ED" w:rsidRPr="00EE13ED">
        <w:rPr>
          <w:noProof/>
        </w:rPr>
        <w:t>[17]</w:t>
      </w:r>
      <w:r>
        <w:fldChar w:fldCharType="end"/>
      </w:r>
      <w:r>
        <w:t xml:space="preserve">, and an indicator of poor mobility (as defined in the EuroSCORE II model </w:t>
      </w:r>
      <w:r>
        <w:fldChar w:fldCharType="begin" w:fldLock="1"/>
      </w:r>
      <w:r>
        <w:instrText>ADDIN CSL_CITATION { "citationItems" : [ { "id" : "ITEM-1", "itemData" : { "DOI" : "10.1093/ejcts/ezs043", "ISSN" : "1010-7940", "PMID" : "22378855", "abstract" : "OBJECTIVES: To update the European System for Cardiac Operative Risk Evaluation (EuroSCORE) risk model. METHODS: A dedicated website collected prospective risk and outcome data on 22,381 consecutive patients undergoing major cardiac surgery in 154 hospitals in 43 countries over a 12-week period (May-July 2010). Completeness and accuracy were validated during data collection using mandatory field entry, error and range checks and after data collection using summary feedback confirmation by responsible officers and multiple logic checks. Information was obtained on existing EuroSCORE risk factors and additional factors proven to influence risk from research conducted since the original model. The primary outcome was mortality at the base hospital. Secondary outcomes were mortality at 30 and 90 days. The data set was divided into a developmental subset for logistic regression modelling and a validation subset for model testing. A logistic risk model (EuroSCORE II) was then constructed and tested. RESULTS: Compared with the original 1995 EuroSCORE database (in brackets), the mean age was up at 64.7 (62.5) with 31% females (28%). More patients had New York Heart Association class IV, extracardiac arteriopathy, renal and pulmonary dysfunction. Overall mortality was 3.9% (4.6%). When applied to the current data, the old risk models overpredicted mortality (actual: 3.9%; additive predicted: 5.8%; logistic predicted: 7.57%). EuroSCORE II was well calibrated on testing in the validation data subset of 5553 patients (actual mortality: 4.18%; predicted: 3.95%). Very good discrimination was maintained with an area under the receiver operating characteristic curve of 0.8095. CONCLUSIONS: Cardiac surgical mortality has significantly reduced in the last 15 years despite older and sicker patients. EuroSCORE II is better calibrated than the original model yet preserves powerful discrimination. It is proposed for the future assessment of cardiac surgical risk.", "author" : [ { "dropping-particle" : "", "family" : "Nashef", "given" : "Samer A M", "non-dropping-particle" : "", "parse-names" : false, "suffix" : "" }, { "dropping-particle" : "", "family" : "Roques", "given" : "Fran\u00e7ois", "non-dropping-particle" : "", "parse-names" : false, "suffix" : "" }, { "dropping-particle" : "", "family" : "Sharples", "given" : "Linda D", "non-dropping-particle" : "", "parse-names" : false, "suffix" : "" }, { "dropping-particle" : "", "family" : "Nilsson", "given" : "Johan", "non-dropping-particle" : "", "parse-names" : false, "suffix" : "" }, { "dropping-particle" : "", "family" : "Smith", "given" : "Christopher", "non-dropping-particle" : "", "parse-names" : false, "suffix" : "" }, { "dropping-particle" : "", "family" : "Goldstone", "given" : "Antony R", "non-dropping-particle" : "", "parse-names" : false, "suffix" : "" }, { "dropping-particle" : "", "family" : "Lockowandt", "given" : "Ulf", "non-dropping-particle" : "", "parse-names" : false, "suffix" : "" } ], "container-title" : "European Journal of Cardio-Thoracic Surgery", "id" : "ITEM-1", "issue" : "4", "issued" : { "date-parts" : [ [ "2012", "4", "1" ] ] }, "note" : "Gives the regression coefficients for the EuroScore II.\n\n\nA good article giving details of all the risk factors considered in the ES2 model.", "page" : "734-745", "title" : "EuroSCORE II", "type" : "article-journal", "volume" : "41" }, "uris" : [ "http://www.mendeley.com/documents/?uuid=3957153d-9862-4d50-b1e1-44f4d3905b47" ] } ], "mendeley" : { "formattedCitation" : "[5]", "plainTextFormattedCitation" : "[5]", "previouslyFormattedCitation" : "[5]" }, "properties" : { "noteIndex" : 0 }, "schema" : "https://github.com/citation-style-language/schema/raw/master/csl-citation.json" }</w:instrText>
      </w:r>
      <w:r>
        <w:fldChar w:fldCharType="separate"/>
      </w:r>
      <w:r w:rsidRPr="003F3484">
        <w:rPr>
          <w:noProof/>
        </w:rPr>
        <w:t>[5]</w:t>
      </w:r>
      <w:r>
        <w:fldChar w:fldCharType="end"/>
      </w:r>
      <w:r>
        <w:t>).</w:t>
      </w:r>
    </w:p>
    <w:p w14:paraId="65098B91" w14:textId="77777777" w:rsidR="002D19F1" w:rsidRDefault="002D19F1" w:rsidP="002D19F1">
      <w:pPr>
        <w:pStyle w:val="Heading2"/>
      </w:pPr>
      <w:r>
        <w:t>Outcome and Cohort Definition</w:t>
      </w:r>
    </w:p>
    <w:p w14:paraId="3A3C196F" w14:textId="074CFFD4" w:rsidR="002D19F1" w:rsidRDefault="002D19F1" w:rsidP="002D19F1">
      <w:r>
        <w:tab/>
        <w:t>All-cause mortality tracking was independently obtained from the Office for National Statistics, with administrative censoring occurring on 31</w:t>
      </w:r>
      <w:r w:rsidRPr="009C7775">
        <w:rPr>
          <w:vertAlign w:val="superscript"/>
        </w:rPr>
        <w:t>st</w:t>
      </w:r>
      <w:r>
        <w:t xml:space="preserve"> May 2015; this information was used to define the binary endpoint of 30-day mortality after TAVI. Mortality information was unavailable for patients in Northern Ireland and Scotland</w:t>
      </w:r>
      <w:r w:rsidR="00601732">
        <w:t xml:space="preserve">; </w:t>
      </w:r>
      <w:r w:rsidR="00C4042C">
        <w:t>consequently</w:t>
      </w:r>
      <w:r>
        <w:t>, these patients were excluded</w:t>
      </w:r>
      <w:r w:rsidR="00601732">
        <w:t xml:space="preserve">, along with </w:t>
      </w:r>
      <w:r>
        <w:t>any patient in England and Wales with missing mortality information. Thus, the main development sample included all TAVI patients with 30-day mortality indication across England and Wales, between January 2009 and December 2014.</w:t>
      </w:r>
    </w:p>
    <w:p w14:paraId="2EA89669" w14:textId="77777777" w:rsidR="002D19F1" w:rsidRDefault="002D19F1" w:rsidP="002D19F1">
      <w:pPr>
        <w:pStyle w:val="Heading2"/>
      </w:pPr>
      <w:r>
        <w:lastRenderedPageBreak/>
        <w:t>Predictors</w:t>
      </w:r>
    </w:p>
    <w:p w14:paraId="149F00E1" w14:textId="7FF0B85C" w:rsidR="002D19F1" w:rsidRDefault="002D19F1" w:rsidP="002D19F1">
      <w:r>
        <w:tab/>
        <w:t xml:space="preserve">For development of the UK-TAVI CPM, we considered all variables available prior to the TAVI procedure (see </w:t>
      </w:r>
      <w:r w:rsidRPr="00E614C1">
        <w:rPr>
          <w:b/>
        </w:rPr>
        <w:t>Supplementary</w:t>
      </w:r>
      <w:r>
        <w:t xml:space="preserve"> </w:t>
      </w:r>
      <w:r>
        <w:rPr>
          <w:b/>
        </w:rPr>
        <w:t>Table 1</w:t>
      </w:r>
      <w:r>
        <w:t xml:space="preserve"> for the full list of considered covariates</w:t>
      </w:r>
      <w:r w:rsidR="00AB03AE">
        <w:t>,</w:t>
      </w:r>
      <w:r>
        <w:t xml:space="preserve"> with translation to the UK TAVI registry). Our decision to include access route as a candidate covariate was made in-line with previous TAVI CPM development datasets </w:t>
      </w:r>
      <w:r>
        <w:fldChar w:fldCharType="begin" w:fldLock="1"/>
      </w:r>
      <w:r>
        <w:instrText>ADDIN CSL_CITATION { "citationItems" : [ { "id" : "ITEM-1", "itemData" : { "DOI" : "10.1136/heartjnl-2013-305314", "ISSN" : "1468-201X", "PMID" : "24740804", "abstract" : "OBJECTIVE: Decision making for intervention in symptomatic aortic stenosis should balance the risks of surgery and of transcatheter aortic valve implantation (TAVI). We identified the factors associated with early mortality after TAVI and aimed to develop and validate a simple risk score. METHODS: A population of 3833 consecutive patients was randomly split into two cohorts comprising 2552 and 1281 patients, used respectively to develop and validate a scoring system predicting 30-day or in-hospital mortality. RESULTS: TAVI was performed using the Edwards Sapien prosthesis in 2551 (66.8%) patients and the Medtronic Corevalve in 1270 (33.2%). Approach was transfemoral in 2801 (73.4%) patients, transapical in 678 (17.8%), subclavian in 219 (5.7%) and other in 117 (3.1%). Early mortality was 10.0% (382 patients). A multivariate logistic model identified the following predictive factors of early mortality: age \u226590 years, body mass index &lt;30 Kg/m(2), New York Heart Association class IV, pulmonary hypertension, critical haemodynamic state, \u22652 pulmonary oedemas during the last year, respiratory insufficiency, dialysis and transapical or other (transaortic and transcarotid) approaches. A 21-point predictive score was derived. C-index was 0.67 for the score in the development cohort and 0.59 in the validation cohort. There was a good concordance between predicted and observed 30-day mortality rates in the development and validation cohorts. CONCLUSIONS: Early mortality after TAVI is mainly related to age, the severity of symptoms, comorbidities and transapical approach. A simple score can be used to predict early mortality after TAVI. The moderate discrimination is however a limitation for the accurate identification of high-risk patients.", "author" : [ { "dropping-particle" : "", "family" : "Iung", "given" : "Bernard", "non-dropping-particle" : "", "parse-names" : false, "suffix" : "" }, { "dropping-particle" : "", "family" : "Laou\u00e9nan", "given" : "C\u00e9dric", "non-dropping-particle" : "", "parse-names" : false, "suffix" : "" }, { "dropping-particle" : "", "family" : "Himbert", "given" : "Dominique", "non-dropping-particle" : "", "parse-names" : false, "suffix" : "" }, { "dropping-particle" : "", "family" : "Eltchaninoff", "given" : "H\u00e9l\u00e8ne", "non-dropping-particle" : "", "parse-names" : false, "suffix" : "" }, { "dropping-particle" : "", "family" : "Chevreul", "given" : "Karine", "non-dropping-particle" : "", "parse-names" : false, "suffix" : "" }, { "dropping-particle" : "", "family" : "Donzeau-Gouge", "given" : "Patrick", "non-dropping-particle" : "", "parse-names" : false, "suffix" : "" }, { "dropping-particle" : "", "family" : "Fajadet", "given" : "Jean", "non-dropping-particle" : "", "parse-names" : false, "suffix" : "" }, { "dropping-particle" : "", "family" : "Leprince", "given" : "Pascal", "non-dropping-particle" : "", "parse-names" : false, "suffix" : "" }, { "dropping-particle" : "", "family" : "Leguerrier", "given" : "Alain", "non-dropping-particle" : "", "parse-names" : false, "suffix" : "" }, { "dropping-particle" : "", "family" : "Li\u00e8vre", "given" : "Michel", "non-dropping-particle" : "", "parse-names" : false, "suffix" : "" }, { "dropping-particle" : "", "family" : "Prat", "given" : "Alain", "non-dropping-particle" : "", "parse-names" : false, "suffix" : "" }, { "dropping-particle" : "", "family" : "Teiger", "given" : "Emmanuel", "non-dropping-particle" : "", "parse-names" : false, "suffix" : "" }, { "dropping-particle" : "", "family" : "Laskar", "given" : "Marc", "non-dropping-particle" : "", "parse-names" : false, "suffix" : "" }, { "dropping-particle" : "", "family" : "Vahanian", "given" : "Alec", "non-dropping-particle" : "", "parse-names" : false, "suffix" : "" }, { "dropping-particle" : "", "family" : "Gilard", "given" : "Martine", "non-dropping-particle" : "", "parse-names" : false, "suffix" : "" } ], "container-title" : "Heart (British Cardiac Society)", "id" : "ITEM-1", "issue" : "13", "issued" : { "date-parts" : [ [ "2014", "7" ] ] }, "note" : "This article uses data from the \u201cFrench Aortic National CoreValve and Edwards\u201d registry in order to investigate predictive factors for early mortality after TAVI. In addition, it was aimed to develop a scoring system to predict mortality after TAVI.\u00a0 \n3933 patients who underwent TAVI in 33 French centres. The patients were classified as high risk for surgery. The primary endpoint was all cause mortality 30 days after procedure. \nStatistical analyses included the use of univariate and multivariate logistic regression to build the scoring system. Discrimination and calibration of the model were assessed using the c-index and comparing Obc/Exp respectively. \nWhen investigating the early mortality the results did report those with different ages, centres, procedure type. No difference in mortality was found in centres, volume activity, time and experience of using TAVI. Age was associate with a significant increase in early mortality. Low BMI was also linked with early mortality. \nEight patient related and one procedural related variables were identified as predictive factors of early mortality; which then was used to develop a scoring system. However, the results showed that discrimination was lacking. \nIn summary the study found nine predictive factors of early mortality after TAVI. In addition a scoring system was developed which provided reasonable but certainly room for improvement.", "page" : "1016-23", "title" : "Predictive factors of early mortality after transcatheter aortic valve implantation: individual risk assessment using a simple score.", "type" : "article-journal", "volume" : "100" }, "uris" : [ "http://www.mendeley.com/documents/?uuid=8e3a1b0f-0884-447a-8ae1-56423ba1fc4d" ] }, { "id" : "ITEM-2",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"ITEM-2",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"[9,11]", "plainTextFormattedCitation" : "[9,11]", "previouslyFormattedCitation" : "[9,11]" }, "properties" : { "noteIndex" : 0 }, "schema" : "https://github.com/citation-style-language/schema/raw/master/csl-citation.json" }</w:instrText>
      </w:r>
      <w:r>
        <w:fldChar w:fldCharType="separate"/>
      </w:r>
      <w:r w:rsidRPr="00A03C5F">
        <w:rPr>
          <w:noProof/>
        </w:rPr>
        <w:t>[9,11]</w:t>
      </w:r>
      <w:r>
        <w:fldChar w:fldCharType="end"/>
      </w:r>
      <w:r>
        <w:t xml:space="preserve">, </w:t>
      </w:r>
      <w:r w:rsidR="00C85940">
        <w:t xml:space="preserve">and </w:t>
      </w:r>
      <w:r w:rsidR="00AA767B">
        <w:t>represent</w:t>
      </w:r>
      <w:r w:rsidR="007A7F69">
        <w:t>s</w:t>
      </w:r>
      <w:r>
        <w:t xml:space="preserve"> the potential risk/complications</w:t>
      </w:r>
      <w:r w:rsidR="00C85940">
        <w:t>/</w:t>
      </w:r>
      <w:r w:rsidR="007A7F69">
        <w:t>comorbidities</w:t>
      </w:r>
      <w:r>
        <w:t xml:space="preserve"> associated with a non-transfemoral </w:t>
      </w:r>
      <w:r w:rsidR="00AA767B">
        <w:t>approach</w:t>
      </w:r>
      <w:r>
        <w:t xml:space="preserve">. </w:t>
      </w:r>
      <w:r w:rsidR="00AB03AE">
        <w:t xml:space="preserve">Age and sex were always included in the model, with age being mean-centred. </w:t>
      </w:r>
      <w:r>
        <w:t>Quadratic and cubic transformations of continuous variables were considered.</w:t>
      </w:r>
    </w:p>
    <w:p w14:paraId="32F17D33" w14:textId="77777777" w:rsidR="002D19F1" w:rsidRDefault="002D19F1" w:rsidP="002D19F1">
      <w:pPr>
        <w:pStyle w:val="Heading2"/>
      </w:pPr>
      <w:r>
        <w:t>Missing data</w:t>
      </w:r>
    </w:p>
    <w:p w14:paraId="755CCF9C" w14:textId="49AF0E17" w:rsidR="002D19F1" w:rsidRDefault="002D19F1" w:rsidP="002D19F1">
      <w:pPr>
        <w:ind w:firstLine="720"/>
      </w:pPr>
      <w:r>
        <w:t xml:space="preserve">Multiple imputation by chain equations was used to handle missing data, with this analysis generating ten imputed datasets </w:t>
      </w:r>
      <w:r>
        <w:fldChar w:fldCharType="begin" w:fldLock="1"/>
      </w:r>
      <w:r w:rsidR="003F7F49">
        <w:instrText>ADDIN CSL_CITATION { "citationItems" : [ { "id" : "ITEM-1", "itemData" : { "ISBN" : "0471655740", "abstract" : "Demonstrates how nonresponse in sample surveys and censuses can be handled by replacing each missing value with two or more multiple imputations. Clearly illustrates the advantages of modern computing to such handle surveys, and demonstrates the benefit of this statistical technique for researchers who must analyze them. Also presents the background for Bayesian and frequentist theory. After establishing that only standard complete-data methods are needed to analyze a multiply-imputed set, the text evaluates procedures in general circumstances, outlining specific procedures for creating imputations in both the ignorable and nonignorable cases. Examples and exercises reinforce ideas, and the interplay of Bayesian and frequentist ideas presents a unified picture of modern statistics.", "author" : [ { "dropping-particle" : "", "family" : "Rubin", "given" : "Donald B.", "non-dropping-particle" : "", "parse-names" : false, "suffix" : "" } ], "id" : "ITEM-1", "issued" : { "date-parts" : [ [ "1987" ] ] }, "publisher" : "John Wiley &amp; Sons", "title" : "Multiple Imputation for Nonresponse in Surveys", "type" : "book" }, "uris" : [ "http://www.mendeley.com/documents/?uuid=961e6f90-c3c3-41bd-9b83-396976ebb4bc" ] } ], "mendeley" : { "formattedCitation" : "[18]", "plainTextFormattedCitation" : "[18]", "previouslyFormattedCitation" : "[18]" }, "properties" : { "noteIndex" : 0 }, "schema" : "https://github.com/citation-style-language/schema/raw/master/csl-citation.json" }</w:instrText>
      </w:r>
      <w:r>
        <w:fldChar w:fldCharType="separate"/>
      </w:r>
      <w:r w:rsidR="00EE13ED" w:rsidRPr="00EE13ED">
        <w:rPr>
          <w:noProof/>
        </w:rPr>
        <w:t>[18]</w:t>
      </w:r>
      <w:r>
        <w:fldChar w:fldCharType="end"/>
      </w:r>
      <w:r>
        <w:t xml:space="preserve">. </w:t>
      </w:r>
      <w:bookmarkStart w:id="0" w:name="_Hlk498584705"/>
      <w:r w:rsidRPr="007C35BA">
        <w:t>The imputation model</w:t>
      </w:r>
      <w:r w:rsidR="00AF4D73">
        <w:t>s</w:t>
      </w:r>
      <w:r w:rsidRPr="007C35BA">
        <w:t xml:space="preserve"> for each </w:t>
      </w:r>
      <w:r w:rsidR="007B2439">
        <w:t>baseline covariate</w:t>
      </w:r>
      <w:r w:rsidR="007B2439" w:rsidRPr="007C35BA">
        <w:t xml:space="preserve"> </w:t>
      </w:r>
      <w:r w:rsidRPr="007C35BA">
        <w:t>included</w:t>
      </w:r>
      <w:r>
        <w:t xml:space="preserve"> the</w:t>
      </w:r>
      <w:r w:rsidR="00AF4D73" w:rsidRPr="007C35BA">
        <w:t xml:space="preserve"> majority of other variables in the UK TAVI registry</w:t>
      </w:r>
      <w:r w:rsidR="00AF4D73" w:rsidDel="007B2439">
        <w:t xml:space="preserve"> </w:t>
      </w:r>
      <w:r w:rsidR="00AF4D73">
        <w:t xml:space="preserve">and the </w:t>
      </w:r>
      <w:r w:rsidR="007B2439">
        <w:t xml:space="preserve">survival data </w:t>
      </w:r>
      <w:r>
        <w:t>(</w:t>
      </w:r>
      <w:r w:rsidRPr="007C35BA">
        <w:t xml:space="preserve">both the </w:t>
      </w:r>
      <w:r>
        <w:t xml:space="preserve">survival event indicator and the cumulative baseline hazard </w:t>
      </w:r>
      <w:r>
        <w:fldChar w:fldCharType="begin" w:fldLock="1"/>
      </w:r>
      <w:r w:rsidR="003F7F49">
        <w:instrText>ADDIN CSL_CITATION { "citationItems" : [ { "id" : "ITEM-1", "itemData" : { "DOI" : "10.1002/sim.3618", "ISSN" : "1097-0258", "PMID" : "19452569", "abstract" : "Multiple imputation is commonly used to impute missing data, and is typically more efficient than complete cases analysis in regression analysis when covariates have missing values. Imputation may be performed using a regression model for the incomplete covariates on other covariates and, importantly, on the outcome. With a survival outcome, it is a common practice to use the event indicator D and the log of the observed event or censoring time T in the imputation model, but the rationale is not clear.We assume that the survival outcome follows a proportional hazards model given covariates X and Z. We show that a suitable model for imputing binary or Normal X is a logistic or linear regression on the event indicator D, the cumulative baseline hazard H(0)(T), and the other covariates Z. This result is exact in the case of a single binary covariate; in other cases, it is approximately valid for small covariate effects and/or small cumulative incidence. If we do not know H(0)(T), we approximate it by the Nelson-Aalen estimator of H(T) or estimate it by Cox regression.We compare the methods using simulation studies. We find that using logT biases covariate-outcome associations towards the null, while the new methods have lower bias. Overall, we recommend including the event indicator and the Nelson-Aalen estimator of H(T) in the imputation model.", "author" : [ { "dropping-particle" : "", "family" : "White", "given" : "Ian R", "non-dropping-particle" : "", "parse-names" : false, "suffix" : "" }, { "dropping-particle" : "", "family" : "Royston", "given" : "Patrick", "non-dropping-particle" : "", "parse-names" : false, "suffix" : "" } ], "container-title" : "Statistics in medicine", "id" : "ITEM-1", "issue" : "15", "issued" : { "date-parts" : [ [ "2009", "7", "10" ] ] }, "page" : "1982-98", "title" : "Imputing missing covariate values for the Cox model.", "type" : "article-journal", "volume" : "28" }, "uris" : [ "http://www.mendeley.com/documents/?uuid=62df4639-c19e-4114-a2a3-fe9cb31cb33f" ] } ], "mendeley" : { "formattedCitation" : "[19]", "plainTextFormattedCitation" : "[19]", "previouslyFormattedCitation" : "[19]" }, "properties" : { "noteIndex" : 0 }, "schema" : "https://github.com/citation-style-language/schema/raw/master/csl-citation.json" }</w:instrText>
      </w:r>
      <w:r>
        <w:rPr>
          <w:vertAlign w:val="superscript"/>
        </w:rPr>
        <w:fldChar w:fldCharType="separate"/>
      </w:r>
      <w:r w:rsidR="00EE13ED" w:rsidRPr="00EE13ED">
        <w:rPr>
          <w:noProof/>
        </w:rPr>
        <w:t>[19]</w:t>
      </w:r>
      <w:r>
        <w:fldChar w:fldCharType="end"/>
      </w:r>
      <w:r>
        <w:t>)</w:t>
      </w:r>
      <w:bookmarkEnd w:id="0"/>
      <w:r w:rsidR="001E5630">
        <w:t xml:space="preserve">, the latter of which was </w:t>
      </w:r>
      <w:r w:rsidR="00C1374D">
        <w:t xml:space="preserve">included </w:t>
      </w:r>
      <w:r w:rsidR="00E46F21">
        <w:t>because</w:t>
      </w:r>
      <w:r w:rsidR="00C1374D">
        <w:t xml:space="preserve"> this was </w:t>
      </w:r>
      <w:r w:rsidR="001E5630">
        <w:t>used to derive 30-day mortality indication</w:t>
      </w:r>
      <w:r w:rsidRPr="007C35BA">
        <w:t>.</w:t>
      </w:r>
      <w:r>
        <w:t xml:space="preserve"> Prior to analysis, w</w:t>
      </w:r>
      <w:r w:rsidRPr="007C35BA">
        <w:t xml:space="preserve">e checked all the imputations to ensure convergence </w:t>
      </w:r>
      <w:r>
        <w:t>and checked that the distributions of observed and imputed values were similar</w:t>
      </w:r>
      <w:r w:rsidRPr="007C35BA">
        <w:t>.</w:t>
      </w:r>
      <w:r>
        <w:t xml:space="preserve"> Since multiple imputation assumes a missing at random mechanism, we undertook a sensitivity analysis of this assumption as described below.</w:t>
      </w:r>
    </w:p>
    <w:p w14:paraId="04959BD2" w14:textId="77777777" w:rsidR="002D19F1" w:rsidRDefault="002D19F1" w:rsidP="002D19F1">
      <w:pPr>
        <w:pStyle w:val="Heading2"/>
      </w:pPr>
      <w:r>
        <w:t>Statistical Analysis</w:t>
      </w:r>
    </w:p>
    <w:p w14:paraId="7A877C69" w14:textId="5E5FBFEC" w:rsidR="002D19F1" w:rsidRDefault="009C3312" w:rsidP="002D19F1">
      <w:pPr>
        <w:ind w:firstLine="720"/>
      </w:pPr>
      <w:r>
        <w:t xml:space="preserve">A two-stage modelling strategy was implemented to derive the </w:t>
      </w:r>
      <w:r w:rsidR="005B6FC3">
        <w:t>CPM</w:t>
      </w:r>
      <w:r>
        <w:t xml:space="preserve"> </w:t>
      </w:r>
      <w:r w:rsidRPr="00601732">
        <w:t>(</w:t>
      </w:r>
      <w:r>
        <w:rPr>
          <w:b/>
        </w:rPr>
        <w:t xml:space="preserve">Figure </w:t>
      </w:r>
      <w:r w:rsidRPr="009C3312">
        <w:rPr>
          <w:b/>
        </w:rPr>
        <w:t>1</w:t>
      </w:r>
      <w:r>
        <w:t xml:space="preserve">). </w:t>
      </w:r>
      <w:r w:rsidR="007A7F69" w:rsidRPr="009C3312">
        <w:t>W</w:t>
      </w:r>
      <w:r w:rsidR="00797761" w:rsidRPr="009C3312">
        <w:t>e</w:t>
      </w:r>
      <w:r w:rsidR="00797761">
        <w:t xml:space="preserve"> first derived a </w:t>
      </w:r>
      <w:r w:rsidR="009C7CE3">
        <w:t xml:space="preserve">logistic regression </w:t>
      </w:r>
      <w:r w:rsidR="00B013F0">
        <w:t>model</w:t>
      </w:r>
      <w:r w:rsidR="009C7CE3">
        <w:t xml:space="preserve"> </w:t>
      </w:r>
      <w:r w:rsidR="007A7F69">
        <w:t xml:space="preserve">within the 2009-2014 data, considering only those variables that were observed </w:t>
      </w:r>
      <w:r w:rsidR="00C85940">
        <w:t>throughout this period (i.e. none of the</w:t>
      </w:r>
      <w:r w:rsidR="007A7F69">
        <w:t xml:space="preserve"> frailty measures), </w:t>
      </w:r>
      <w:r w:rsidR="00C85940">
        <w:t xml:space="preserve">using </w:t>
      </w:r>
      <w:r w:rsidR="002D19F1">
        <w:t xml:space="preserve">the “majority method” of developing CPMs within multiple imputed data </w:t>
      </w:r>
      <w:r w:rsidR="002D19F1">
        <w:fldChar w:fldCharType="begin" w:fldLock="1"/>
      </w:r>
      <w:r w:rsidR="003F7F49">
        <w:instrText>ADDIN CSL_CITATION { "citationItems" : [ { "id" : "ITEM-1", "itemData" : { "DOI" : "10.1016/j.jclinepi.2009.03.017", "ISBN" : "1878-5921 (Electronic)\\r0895-4356 (Linking)", "ISSN" : "08954356", "PMID" : "19596181", "abstract" : "Objective: To illustrate the sequence of steps needed to develop and validate a clinical prediction model, when missing predictor values have been multiply imputed. Study Design and Setting: We used data from consecutive primary care patients suspected of deep venous thrombosis (DVT) to develop and validate a diagnostic model for the presence of DVT. Missing values were imputed 10 times with the MICE conditional imputation method. After the selection of predictors and transformations for continuous predictors according to three different methods, we estimated regression coefficients and performance measures. Results: The three methods to select predictors and transformations of continuous predictors showed similar results. Rubin's rules could easily be applied to estimate regression coefficients and performance measures, once predictors and transformations were selected. Conclusion: We provide a practical approach for model development and validation with multiply imputed data. ?? 2010 Elsevier Inc. All rights reserved.", "author" : [ { "dropping-particle" : "", "family" : "Vergouwe", "given" : "Yvonne", "non-dropping-particle" : "", "parse-names" : false, "suffix" : "" }, { "dropping-particle" : "", "family" : "Royston", "given" : "Patrick", "non-dropping-particle" : "", "parse-names" : false, "suffix" : "" }, { "dropping-particle" : "", "family" : "Moons", "given" : "Karel G.M.", "non-dropping-particle" : "", "parse-names" : false, "suffix" : "" }, { "dropping-particle" : "", "family" : "Altman", "given" : "Douglas G.", "non-dropping-particle" : "", "parse-names" : false, "suffix" : "" } ], "container-title" : "Journal of Clinical Epidemiology", "id" : "ITEM-1", "issue" : "2", "issued" : { "date-parts" : [ [ "2010", "2" ] ] }, "page" : "205-214", "publisher" : "Elsevier Inc", "title" : "Development and validation of a prediction model with missing predictor data: a practical approach", "type" : "article-journal", "volume" : "63" }, "uris" : [ "http://www.mendeley.com/documents/?uuid=10ed15ee-c98a-4c2a-aeba-0de6975d75c8" ] } ], "mendeley" : { "formattedCitation" : "[20]", "plainTextFormattedCitation" : "[20]", "previouslyFormattedCitation" : "[20]" }, "properties" : { "noteIndex" : 0 }, "schema" : "https://github.com/citation-style-language/schema/raw/master/csl-citation.json" }</w:instrText>
      </w:r>
      <w:r w:rsidR="002D19F1">
        <w:rPr>
          <w:vertAlign w:val="superscript"/>
        </w:rPr>
        <w:fldChar w:fldCharType="separate"/>
      </w:r>
      <w:r w:rsidR="00EE13ED" w:rsidRPr="00EE13ED">
        <w:rPr>
          <w:noProof/>
        </w:rPr>
        <w:t>[20]</w:t>
      </w:r>
      <w:r w:rsidR="002D19F1">
        <w:fldChar w:fldCharType="end"/>
      </w:r>
      <w:r w:rsidR="002D19F1">
        <w:t xml:space="preserve">. </w:t>
      </w:r>
      <w:r>
        <w:t>Here</w:t>
      </w:r>
      <w:r w:rsidR="002D19F1">
        <w:t>, the following steps were undertaken: (1) perform backwards selection using Akaike Information C</w:t>
      </w:r>
      <w:r w:rsidR="002D19F1" w:rsidRPr="005644F4">
        <w:t>riterion</w:t>
      </w:r>
      <w:r w:rsidR="002D19F1">
        <w:t xml:space="preserve"> in each of the ten imputed datasets, resulting in ten (potentially unique) sets of </w:t>
      </w:r>
      <w:r w:rsidR="002D19F1">
        <w:lastRenderedPageBreak/>
        <w:t xml:space="preserve">predictors; (2) extract variables that were selected in &gt;50% of the imputed datasets; (3) given the extracted variables, fit a model in each imputed dataset, then pool the estimated coefficients and standard errors across imputations according to Rubin’s rules </w:t>
      </w:r>
      <w:r w:rsidR="002D19F1">
        <w:fldChar w:fldCharType="begin" w:fldLock="1"/>
      </w:r>
      <w:r w:rsidR="003F7F49">
        <w:instrText>ADDIN CSL_CITATION { "citationItems" : [ { "id" : "ITEM-1", "itemData" : { "ISBN" : "0471655740", "abstract" : "Demonstrates how nonresponse in sample surveys and censuses can be handled by replacing each missing value with two or more multiple imputations. Clearly illustrates the advantages of modern computing to such handle surveys, and demonstrates the benefit of this statistical technique for researchers who must analyze them. Also presents the background for Bayesian and frequentist theory. After establishing that only standard complete-data methods are needed to analyze a multiply-imputed set, the text evaluates procedures in general circumstances, outlining specific procedures for creating imputations in both the ignorable and nonignorable cases. Examples and exercises reinforce ideas, and the interplay of Bayesian and frequentist ideas presents a unified picture of modern statistics.", "author" : [ { "dropping-particle" : "", "family" : "Rubin", "given" : "Donald B.", "non-dropping-particle" : "", "parse-names" : false, "suffix" : "" } ], "id" : "ITEM-1", "issued" : { "date-parts" : [ [ "1987" ] ] }, "publisher" : "John Wiley &amp; Sons", "title" : "Multiple Imputation for Nonresponse in Surveys", "type" : "book" }, "uris" : [ "http://www.mendeley.com/documents/?uuid=961e6f90-c3c3-41bd-9b83-396976ebb4bc" ] } ], "mendeley" : { "formattedCitation" : "[18]", "plainTextFormattedCitation" : "[18]", "previouslyFormattedCitation" : "[18]" }, "properties" : { "noteIndex" : 0 }, "schema" : "https://github.com/citation-style-language/schema/raw/master/csl-citation.json" }</w:instrText>
      </w:r>
      <w:r w:rsidR="002D19F1">
        <w:fldChar w:fldCharType="separate"/>
      </w:r>
      <w:r w:rsidR="00EE13ED" w:rsidRPr="00EE13ED">
        <w:rPr>
          <w:noProof/>
        </w:rPr>
        <w:t>[18]</w:t>
      </w:r>
      <w:r w:rsidR="002D19F1">
        <w:fldChar w:fldCharType="end"/>
      </w:r>
      <w:r w:rsidR="002D19F1">
        <w:t xml:space="preserve">. The </w:t>
      </w:r>
      <w:r w:rsidR="00B8138F">
        <w:t>Akaike Information C</w:t>
      </w:r>
      <w:r w:rsidR="00B8138F" w:rsidRPr="005644F4">
        <w:t>riterion</w:t>
      </w:r>
      <w:r w:rsidR="00B8138F">
        <w:t xml:space="preserve"> </w:t>
      </w:r>
      <w:r w:rsidR="002D19F1">
        <w:t>for backwards selection corresponds to a p-value of 0.157 for a variable with one degree of freedom.</w:t>
      </w:r>
    </w:p>
    <w:p w14:paraId="6139683B" w14:textId="02A92A61" w:rsidR="00BF5562" w:rsidRDefault="009C3312" w:rsidP="002D19F1">
      <w:pPr>
        <w:ind w:firstLine="720"/>
      </w:pPr>
      <w:r>
        <w:t>In the second stage</w:t>
      </w:r>
      <w:r w:rsidR="00BF5562">
        <w:t>,</w:t>
      </w:r>
      <w:r w:rsidR="00C36774">
        <w:t xml:space="preserve"> we updated th</w:t>
      </w:r>
      <w:r w:rsidR="00601732">
        <w:t xml:space="preserve">is derived </w:t>
      </w:r>
      <w:r w:rsidR="00C36774">
        <w:t xml:space="preserve">model using model updating techniques within </w:t>
      </w:r>
      <w:r w:rsidR="009C7CE3">
        <w:t xml:space="preserve">the </w:t>
      </w:r>
      <w:r w:rsidR="00563A58">
        <w:t>last</w:t>
      </w:r>
      <w:r w:rsidR="00C36774">
        <w:t xml:space="preserve"> two years of data </w:t>
      </w:r>
      <w:r w:rsidR="00563A58">
        <w:fldChar w:fldCharType="begin" w:fldLock="1"/>
      </w:r>
      <w:r w:rsidR="003F7F49">
        <w:instrText>ADDIN CSL_CITATION { "citationItems" : [ { "id" : "ITEM-1", "itemData" : { "DOI" : "10.1016/j.jclinepi.2007.04.018", "ISSN" : "08954356", "PMID" : "18083464", "abstract" : "OBJECTIVE: Ideally, clinical prediction models are generalizable to other patient groups. Unfortunately, they perform regularly worse when validated in new patients and are then often redeveloped. While the original prediction model usually has been developed on a large data set, redevelopment then often occurs on the smaller validation set. Recently, methods to update existing prediction models with the data of new patients have been proposed. We used an existing model that preoperatively predicts the risk of severe postoperative pain (SPP) to compare five updating methods. STUDY DESIGN AND SETTING: The model was tested and updated with a set of 752 new patients (274 [36] with SPP). We studied the discrimination (ability to distinguish between patients with and without SPP) and calibration (agreement between the predicted risks and observed frequencies of SPP) of the five updated models in 283 other patients (100 [35%] with SPP). RESULTS: Simple recalibration methods improved the calibration to a similar extent as revision methods that made more extensive adjustments to the original model. Discrimination could not be improved by any of the methods. CONCLUSION: When the performance is poor in new patients, updating methods can be applied to adjust the model, rather than to develop a new model.", "author" : [ { "dropping-particle" : "", "family" : "Janssen", "given" : "K.J.M.", "non-dropping-particle" : "", "parse-names" : false, "suffix" : "" }, { "dropping-particle" : "", "family" : "Moons", "given" : "K.G.M.", "non-dropping-particle" : "", "parse-names" : false, "suffix" : "" }, { "dropping-particle" : "", "family" : "Kalkman", "given" : "C.J.", "non-dropping-particle" : "", "parse-names" : false, "suffix" : "" }, { "dropping-particle" : "", "family" : "Grobbee", "given" : "D.E.", "non-dropping-particle" : "", "parse-names" : false, "suffix" : "" }, { "dropping-particle" : "", "family" : "Vergouwe", "given" : "Y", "non-dropping-particle" : "", "parse-names" : false, "suffix" : "" } ], "container-title" : "Journal of Clinical Epidemiology", "id" : "ITEM-1", "issue" : "1", "issued" : { "date-parts" : [ [ "2008", "1" ] ] }, "page" : "76-86", "title" : "Updating methods improved the performance of a clinical prediction model in new patients", "type" : "article-journal", "volume" : "61" }, "uris" : [ "http://www.mendeley.com/documents/?uuid=b3568818-e11f-48c0-928c-80cecae2daec" ] }, { "id" : "ITEM-2", "itemData" : { "DOI" : "10.1007/978-0-387-77244-8", "ISBN" : "978-0-387-77243-1", "author" : [ { "dropping-particle" : "", "family" : "Steyerberg", "given" : "E.W.", "non-dropping-particle" : "", "parse-names" : false, "suffix" : "" } ], "collection-title" : "Statistics for Biology and Health", "container-title" : "Statistics for Biology and Health", "id" : "ITEM-2", "issued" : { "date-parts" : [ [ "2009" ] ] }, "number-of-pages" : "1-508", "publisher" : "Springer New York", "publisher-place" : "New York, NY", "title" : "Clinical Prediction Models", "type" : "book" }, "uris" : [ "http://www.mendeley.com/documents/?uuid=3347b622-912c-4203-bc11-6dc09d22fc01" ] } ], "mendeley" : { "formattedCitation" : "[21,22]", "plainTextFormattedCitation" : "[21,22]", "previouslyFormattedCitation" : "[21,22]" }, "properties" : { "noteIndex" : 0 }, "schema" : "https://github.com/citation-style-language/schema/raw/master/csl-citation.json" }</w:instrText>
      </w:r>
      <w:r w:rsidR="00563A58">
        <w:fldChar w:fldCharType="separate"/>
      </w:r>
      <w:r w:rsidR="00EE13ED" w:rsidRPr="00EE13ED">
        <w:rPr>
          <w:noProof/>
        </w:rPr>
        <w:t>[21,22]</w:t>
      </w:r>
      <w:r w:rsidR="00563A58">
        <w:fldChar w:fldCharType="end"/>
      </w:r>
      <w:r w:rsidR="00DE2D7F">
        <w:t xml:space="preserve"> (</w:t>
      </w:r>
      <w:r w:rsidR="00DE2D7F">
        <w:rPr>
          <w:b/>
        </w:rPr>
        <w:t>Figure 1</w:t>
      </w:r>
      <w:r w:rsidR="00DE2D7F">
        <w:t>)</w:t>
      </w:r>
      <w:r w:rsidR="00BB42CA">
        <w:t>.</w:t>
      </w:r>
      <w:r w:rsidR="00797761">
        <w:t xml:space="preserve"> Here, a logistic regression model was fit to 30-day mortality within the 2013-14 data, with the </w:t>
      </w:r>
      <w:r w:rsidR="00563A58">
        <w:t xml:space="preserve">calculated </w:t>
      </w:r>
      <w:r w:rsidR="00797761">
        <w:t xml:space="preserve">linear predictor </w:t>
      </w:r>
      <w:r w:rsidR="00563A58">
        <w:t xml:space="preserve">from </w:t>
      </w:r>
      <w:r w:rsidR="00797761">
        <w:t>the 2009-2014 derived model</w:t>
      </w:r>
      <w:r w:rsidR="00563A58">
        <w:t xml:space="preserve">, KATZ, CSHA and poor mobility </w:t>
      </w:r>
      <w:r w:rsidR="00797761">
        <w:t>as covariates</w:t>
      </w:r>
      <w:r w:rsidR="00563A58">
        <w:t xml:space="preserve"> (</w:t>
      </w:r>
      <w:r w:rsidR="00C85940">
        <w:t xml:space="preserve">see </w:t>
      </w:r>
      <w:r w:rsidR="00563A58" w:rsidRPr="00DC023D">
        <w:t>supplementary methods</w:t>
      </w:r>
      <w:r w:rsidR="00C85940">
        <w:t xml:space="preserve"> for mathematical details</w:t>
      </w:r>
      <w:r w:rsidR="00563A58">
        <w:t>)</w:t>
      </w:r>
      <w:r w:rsidR="007A7F69">
        <w:t>.</w:t>
      </w:r>
      <w:r w:rsidR="00797761">
        <w:t xml:space="preserve"> </w:t>
      </w:r>
      <w:r w:rsidR="009C7CE3">
        <w:t xml:space="preserve">The likelihood ratio test was used to determine if any of the three frailty </w:t>
      </w:r>
      <w:r w:rsidR="007A7F69">
        <w:t>measures</w:t>
      </w:r>
      <w:r w:rsidR="009C7CE3">
        <w:t xml:space="preserve"> significantly improved the fit of the model, with only those meeting </w:t>
      </w:r>
      <w:r w:rsidR="007F218E">
        <w:t>this criterion</w:t>
      </w:r>
      <w:r w:rsidR="009C7CE3">
        <w:t xml:space="preserve"> included in the final model. </w:t>
      </w:r>
      <w:r w:rsidR="00BB42CA">
        <w:t xml:space="preserve">The reasoning for this </w:t>
      </w:r>
      <w:r>
        <w:t>second</w:t>
      </w:r>
      <w:r w:rsidR="00797761">
        <w:t xml:space="preserve"> modelling step was</w:t>
      </w:r>
      <w:r w:rsidR="00BB42CA">
        <w:t xml:space="preserve"> two-fold</w:t>
      </w:r>
      <w:r w:rsidR="007A7F69">
        <w:t>. F</w:t>
      </w:r>
      <w:r w:rsidR="00797761">
        <w:t xml:space="preserve">irstly, it uses all available data as the foundations of the UK-TAVI CPM, </w:t>
      </w:r>
      <w:r w:rsidR="00CA09D8">
        <w:t>while ensuring</w:t>
      </w:r>
      <w:r w:rsidR="00BB42CA">
        <w:t xml:space="preserve"> that the model is reflective of most contemporary practice</w:t>
      </w:r>
      <w:r w:rsidR="00076CDE">
        <w:t>/</w:t>
      </w:r>
      <w:r w:rsidR="007A7F69">
        <w:t>technology. S</w:t>
      </w:r>
      <w:r w:rsidR="00797761">
        <w:t xml:space="preserve">econdly, </w:t>
      </w:r>
      <w:r w:rsidR="00BB42CA">
        <w:t>it provides a way of considering frailty variables within the model</w:t>
      </w:r>
      <w:r w:rsidR="00C85940">
        <w:t xml:space="preserve">, which we hypothesised </w:t>
      </w:r>
      <w:r w:rsidR="00C85940" w:rsidRPr="007A7F69">
        <w:rPr>
          <w:i/>
        </w:rPr>
        <w:t>a-priori</w:t>
      </w:r>
      <w:r w:rsidR="00C85940">
        <w:t xml:space="preserve"> would be important predictors of mortality </w:t>
      </w:r>
      <w:r w:rsidR="00C85940">
        <w:fldChar w:fldCharType="begin" w:fldLock="1"/>
      </w:r>
      <w:r w:rsidR="00A05FAB">
        <w:instrText>ADDIN CSL_CITATION { "citationItems" : [ { "id" : "ITEM-1", "itemData" : { "DOI" : "10.1161/CIRCULATIONAHA.116.025630", "ISSN" : "0009-7322", "author" : [ { "dropping-particle" : "", "family" : "Shimura", "given" : "Tetsuro", "non-dropping-particle" : "", "parse-names" : false, "suffix" : "" }, { "dropping-particle" : "", "family" : "Yamamoto", "given" : "Masanori", "non-dropping-particle" : "", "parse-names" : false, "suffix" : "" }, { "dropping-particle" : "", "family" : "Kano", "given" : "Seiji", "non-dropping-particle" : "", "parse-names" : false, "suffix" : "" }, { "dropping-particle" : "", "family" : "Kagase", "given" : "Ai", "non-dropping-particle" : "", "parse-names" : false, "suffix" : "" }, { "dropping-particle" : "", "family" : "Kodama", "given" : "Atsuko", "non-dropping-particle" : "", "parse-names" : false, "suffix" : "" }, { "dropping-particle" : "", "family" : "Koyama", "given" : "Yutaka", "non-dropping-particle" : "", "parse-names" : false, "suffix" : "" }, { "dropping-particle" : "", "family" : "Tsuchikane", "given" : "Etsuo", "non-dropping-particle" : "", "parse-names" : false, "suffix" : "" }, { "dropping-particle" : "", "family" : "Suzuki", "given" : "Takahiko", "non-dropping-particle" : "", "parse-names" : false, "suffix" : "" }, { "dropping-particle" : "", "family" : "Otsuka", "given" : "Toshiaki", "non-dropping-particle" : "", "parse-names" : false, "suffix" : "" }, { "dropping-particle" : "", "family" : "Kohsaka", "given" : "Shun", "non-dropping-particle" : "", "parse-names" : false, "suffix" : "" }, { "dropping-particle" : "", "family" : "Tada", "given" : "Norio", "non-dropping-particle" : "", "parse-names" : false, "suffix" : "" }, { "dropping-particle" : "", "family" : "Yamanaka", "given" : "Futoshi", "non-dropping-particle" : "", "parse-names" : false, "suffix" : "" }, { "dropping-particle" : "", "family" : "Naganuma", "given" : "Toru", "non-dropping-particle" : "", "parse-names" : false, "suffix" : "" }, { "dropping-particle" : "", "family" : "Araki", "given" : "Motoharu", "non-dropping-particle" : "", "parse-names" : false, "suffix" : "" }, { "dropping-particle" : "", "family" : "Shirai", "given" : "Shinichi", "non-dropping-particle" : "", "parse-names" : false, "suffix" : "" }, { "dropping-particle" : "", "family" : "Watanabe", "given" : "Yusuke", "non-dropping-particle" : "", "parse-names" : false, "suffix" : "" }, { "dropping-particle" : "", "family" : "Hayashida", "given" : "Kentaro", "non-dropping-particle" : "", "parse-names" : false, "suffix" : "" } ], "container-title" : "Circulation", "id" : "ITEM-1", "issue" : "21", "issued" : { "date-parts" : [ [ "2017", "5", "23" ] ] }, "page" : "2013-2024", "title" : "Impact of the Clinical Frailty Scale on Outcomes After Transcatheter Aortic Valve ReplacementClinical Perspective", "type" : "article-journal", "volume" : "135" }, "uris" : [ "http://www.mendeley.com/documents/?uuid=f8148248-3d3c-4bb9-b803-d7dc7e691551" ] } ], "mendeley" : { "formattedCitation" : "[23]", "plainTextFormattedCitation" : "[23]", "previouslyFormattedCitation" : "[23]" }, "properties" : { "noteIndex" : 0 }, "schema" : "https://github.com/citation-style-language/schema/raw/master/csl-citation.json" }</w:instrText>
      </w:r>
      <w:r w:rsidR="00C85940">
        <w:rPr>
          <w:vertAlign w:val="superscript"/>
        </w:rPr>
        <w:fldChar w:fldCharType="separate"/>
      </w:r>
      <w:r w:rsidR="00A05FAB" w:rsidRPr="00A05FAB">
        <w:rPr>
          <w:noProof/>
        </w:rPr>
        <w:t>[23]</w:t>
      </w:r>
      <w:r w:rsidR="00C85940">
        <w:fldChar w:fldCharType="end"/>
      </w:r>
      <w:r w:rsidR="00C85940">
        <w:t xml:space="preserve">, but </w:t>
      </w:r>
      <w:r w:rsidR="00797761">
        <w:t>were only recorded w</w:t>
      </w:r>
      <w:r w:rsidR="00C85940">
        <w:t>ithin the registry from January 2013</w:t>
      </w:r>
      <w:r w:rsidR="00BB42CA">
        <w:t>.</w:t>
      </w:r>
    </w:p>
    <w:p w14:paraId="3ABCC008" w14:textId="4E162F6B" w:rsidR="002D19F1" w:rsidRDefault="00C36774" w:rsidP="00B13442">
      <w:pPr>
        <w:ind w:firstLine="720"/>
      </w:pPr>
      <w:r>
        <w:t xml:space="preserve">Predictive performance was assessed through </w:t>
      </w:r>
      <w:r w:rsidR="002D19F1">
        <w:t>calibration and discrimination. Calibration is the agreement between the observed and expected risk</w:t>
      </w:r>
      <w:r w:rsidR="00CA09D8">
        <w:t xml:space="preserve">, </w:t>
      </w:r>
      <w:r w:rsidR="00CD6537">
        <w:t xml:space="preserve">which was </w:t>
      </w:r>
      <w:r w:rsidR="002D19F1">
        <w:t xml:space="preserve">quantified by the calibration intercept and calibration slope, with reference values of zero and one, respectively </w:t>
      </w:r>
      <w:r w:rsidR="002D19F1">
        <w:fldChar w:fldCharType="begin" w:fldLock="1"/>
      </w:r>
      <w:r w:rsidR="00A05FAB">
        <w:instrText>ADDIN CSL_CITATION { "citationItems" : [ { "id" : "ITEM-1", "itemData" : { "author" : [ { "dropping-particle" : "", "family" : "Cox", "given" : "DR", "non-dropping-particle" : "", "parse-names" : false, "suffix" : "" } ], "container-title" : "Biometrika", "id" : "ITEM-1", "issue" : "3", "issued" : { "date-parts" : [ [ "1958" ] ] }, "page" : "562-565", "title" : "Two further applications of a model for binary regression", "type" : "article-journal", "volume" : "45" }, "uris" : [ "http://www.mendeley.com/documents/?uuid=b554a78f-48ea-4b61-b918-1bd14e168805" ] } ], "mendeley" : { "formattedCitation" : "[24]", "plainTextFormattedCitation" : "[24]", "previouslyFormattedCitation" : "[24]" }, "properties" : { "noteIndex" : 0 }, "schema" : "https://github.com/citation-style-language/schema/raw/master/csl-citation.json" }</w:instrText>
      </w:r>
      <w:r w:rsidR="002D19F1">
        <w:fldChar w:fldCharType="separate"/>
      </w:r>
      <w:r w:rsidR="00A05FAB" w:rsidRPr="00A05FAB">
        <w:rPr>
          <w:noProof/>
        </w:rPr>
        <w:t>[24]</w:t>
      </w:r>
      <w:r w:rsidR="002D19F1">
        <w:fldChar w:fldCharType="end"/>
      </w:r>
      <w:r w:rsidR="002D19F1">
        <w:t xml:space="preserve">. Discrimination of a model is its ability to distinguish those who experienced the outcome from those who did not, and was estimated with the area under the receiver operating characteristic curve (AUC). Throughout, we use the term </w:t>
      </w:r>
      <w:r w:rsidR="00607BEA">
        <w:t>“</w:t>
      </w:r>
      <w:r w:rsidR="002D19F1">
        <w:t>apparent performance</w:t>
      </w:r>
      <w:r w:rsidR="00607BEA">
        <w:t>”</w:t>
      </w:r>
      <w:r w:rsidR="002D19F1">
        <w:t xml:space="preserve"> to denote the predictive performance of a model within the dataset in which it was developed. As such, the apparent performance was obtained by applying the </w:t>
      </w:r>
      <w:r w:rsidR="00797761">
        <w:t xml:space="preserve">final </w:t>
      </w:r>
      <w:r w:rsidR="002D19F1">
        <w:t xml:space="preserve">model coefficients to each </w:t>
      </w:r>
      <w:r w:rsidR="002D19F1">
        <w:lastRenderedPageBreak/>
        <w:t xml:space="preserve">patient </w:t>
      </w:r>
      <w:r w:rsidR="00076CDE">
        <w:t>within the 2013-</w:t>
      </w:r>
      <w:r w:rsidR="00BB42CA">
        <w:t xml:space="preserve">14 data </w:t>
      </w:r>
      <w:r w:rsidR="002D19F1">
        <w:t xml:space="preserve">across the ten imputed datasets and pooling performance results across imputations (using Rubin’s rules </w:t>
      </w:r>
      <w:r w:rsidR="002D19F1">
        <w:fldChar w:fldCharType="begin" w:fldLock="1"/>
      </w:r>
      <w:r w:rsidR="003F7F49">
        <w:instrText>ADDIN CSL_CITATION { "citationItems" : [ { "id" : "ITEM-1", "itemData" : { "ISBN" : "0471655740", "abstract" : "Demonstrates how nonresponse in sample surveys and censuses can be handled by replacing each missing value with two or more multiple imputations. Clearly illustrates the advantages of modern computing to such handle surveys, and demonstrates the benefit of this statistical technique for researchers who must analyze them. Also presents the background for Bayesian and frequentist theory. After establishing that only standard complete-data methods are needed to analyze a multiply-imputed set, the text evaluates procedures in general circumstances, outlining specific procedures for creating imputations in both the ignorable and nonignorable cases. Examples and exercises reinforce ideas, and the interplay of Bayesian and frequentist ideas presents a unified picture of modern statistics.", "author" : [ { "dropping-particle" : "", "family" : "Rubin", "given" : "Donald B.", "non-dropping-particle" : "", "parse-names" : false, "suffix" : "" } ], "id" : "ITEM-1", "issued" : { "date-parts" : [ [ "1987" ] ] }, "publisher" : "John Wiley &amp; Sons", "title" : "Multiple Imputation for Nonresponse in Surveys", "type" : "book" }, "uris" : [ "http://www.mendeley.com/documents/?uuid=961e6f90-c3c3-41bd-9b83-396976ebb4bc" ] } ], "mendeley" : { "formattedCitation" : "[18]", "plainTextFormattedCitation" : "[18]", "previouslyFormattedCitation" : "[18]" }, "properties" : { "noteIndex" : 0 }, "schema" : "https://github.com/citation-style-language/schema/raw/master/csl-citation.json" }</w:instrText>
      </w:r>
      <w:r w:rsidR="002D19F1">
        <w:fldChar w:fldCharType="separate"/>
      </w:r>
      <w:r w:rsidR="00EE13ED" w:rsidRPr="00EE13ED">
        <w:rPr>
          <w:noProof/>
        </w:rPr>
        <w:t>[18]</w:t>
      </w:r>
      <w:r w:rsidR="002D19F1">
        <w:fldChar w:fldCharType="end"/>
      </w:r>
      <w:r w:rsidR="002D19F1">
        <w:t>)</w:t>
      </w:r>
      <w:r w:rsidR="002D19F1" w:rsidRPr="003E19F9">
        <w:t>.</w:t>
      </w:r>
      <w:r w:rsidR="002D19F1">
        <w:t xml:space="preserve"> Internal validation was undertaken using bootstrap resampling </w:t>
      </w:r>
      <w:r w:rsidR="00076CDE">
        <w:t>of the 2013-</w:t>
      </w:r>
      <w:r w:rsidR="00BB42CA">
        <w:t xml:space="preserve">14 data </w:t>
      </w:r>
      <w:r w:rsidR="002D19F1">
        <w:t>to estimate optimism-corrected performance</w:t>
      </w:r>
      <w:r w:rsidR="00B013F0">
        <w:t xml:space="preserve"> (</w:t>
      </w:r>
      <w:r w:rsidR="00B013F0">
        <w:rPr>
          <w:b/>
        </w:rPr>
        <w:t>Figure 1</w:t>
      </w:r>
      <w:r w:rsidR="00B013F0">
        <w:t xml:space="preserve">) </w:t>
      </w:r>
      <w:r w:rsidR="002D19F1" w:rsidRPr="00F90B06">
        <w:fldChar w:fldCharType="begin" w:fldLock="1"/>
      </w:r>
      <w:r w:rsidR="00A05FAB">
        <w:instrText>ADDIN CSL_CITATION { "citationItems" : [ { "id" : "ITEM-1", "itemData" : { "DOI" : "10.1007/978-0-387-77244-8", "ISBN" : "978-0-387-77243-1", "author" : [ { "dropping-particle" : "", "family" : "Steyerberg", "given" : "E.W.", "non-dropping-particle" : "", "parse-names" : false, "suffix" : "" } ], "collection-title" : "Statistics for Biology and Health", "container-title" : "Statistics for Biology and Health", "id" : "ITEM-1", "issued" : { "date-parts" : [ [ "2009" ] ] }, "number-of-pages" : "1-508", "publisher" : "Springer New York", "publisher-place" : "New York, NY", "title" : "Clinical Prediction Models", "type" : "book" }, "uris" : [ "http://www.mendeley.com/documents/?uuid=3347b622-912c-4203-bc11-6dc09d22fc01" ] }, { "id" : "ITEM-2", "itemData" : { "DOI" : "10.1177/0962280214558972", "ISSN" : "0962-2802", "PMID" : "25411322", "abstract" : "We conducted an extensive set of empirical analyses to examine the effect of the number of events per variable (EPV) on the relative performance of three different methods for assessing the predictive accuracy of a logistic regression model: apparent performance in the analysis sample, split-sample validation, and optimism correction using bootstrap methods. Using a single dataset of patients hospitalized with heart failure, we compared the estimates of discriminatory performance from these methods to those for a very large independent validation sample arising from the same population. As anticipated, the apparent performance was optimistically biased, with the degree of optimism diminishing as the number of events per variable increased. Differences between the bootstrap-corrected approach and the use of an independent validation sample were minimal once the number of events per variable was at least 20. Split-sample assessment resulted in too pessimistic and highly uncertain estimates of model performance. Apparent performance estimates had lower mean squared error compared to split-sample estimates, but the lowest mean squared error was obtained by bootstrap-corrected optimism estimates. For bias, variance, and mean squared error of the performance estimates, the penalty incurred by using split-sample validation was equivalent to reducing the sample size by a proportion equivalent to the proportion of the sample that was withheld for model validation. In conclusion, split-sample validation is inefficient and apparent performance is too optimistic for internal validation of regression-based prediction models. Modern validation methods, such as bootstrap-based optimism correction, are preferable. While these findings may be unsurprising to many statisticians, the results of the current study reinforce what should be considered good statistical practice in the development and validation of clinical prediction models.", "author" : [ { "dropping-particle" : "", "family" : "Austin", "given" : "Peter C", "non-dropping-particle" : "", "parse-names" : false, "suffix" : "" }, { "dropping-particle" : "", "family" : "Steyerberg", "given" : "Ewout W", "non-dropping-particle" : "", "parse-names" : false, "suffix" : "" } ], "container-title" : "Statistical Methods in Medical Research", "id" : "ITEM-2", "issued" : { "date-parts" : [ [ "2014", "11", "19" ] ] }, "title" : "Events per variable (EPV) and the relative performance of different strategies for estimating the out-of-sample validity of logistic regression models", "type" : "article-journal" }, "uris" : [ "http://www.mendeley.com/documents/?uuid=1546e3e1-06da-41fe-9630-37c921867d10" ] } ], "mendeley" : { "formattedCitation" : "[22,25]", "plainTextFormattedCitation" : "[22,25]", "previouslyFormattedCitation" : "[22,25]" }, "properties" : { "noteIndex" : 0 }, "schema" : "https://github.com/citation-style-language/schema/raw/master/csl-citation.json" }</w:instrText>
      </w:r>
      <w:r w:rsidR="002D19F1" w:rsidRPr="00F90B06">
        <w:fldChar w:fldCharType="separate"/>
      </w:r>
      <w:r w:rsidR="00A05FAB" w:rsidRPr="00A05FAB">
        <w:rPr>
          <w:noProof/>
        </w:rPr>
        <w:t>[22,25]</w:t>
      </w:r>
      <w:r w:rsidR="002D19F1" w:rsidRPr="00F90B06">
        <w:fldChar w:fldCharType="end"/>
      </w:r>
      <w:r w:rsidR="00B13442" w:rsidRPr="00F90B06">
        <w:t>; details of this process are given in the supplementary material. In short,</w:t>
      </w:r>
      <w:r w:rsidR="00B13442">
        <w:t xml:space="preserve"> the bootstrap resampling represents sampling from the underlying population to estimate in-sample optimism, which can be subtracted from the apparent model performance. These </w:t>
      </w:r>
      <w:r w:rsidR="00B13442" w:rsidRPr="00F90B06">
        <w:t xml:space="preserve">internal validation results should be treated as the primary measures of </w:t>
      </w:r>
      <w:r w:rsidR="00463E45">
        <w:t>predictive</w:t>
      </w:r>
      <w:r w:rsidR="00B13442">
        <w:t xml:space="preserve"> </w:t>
      </w:r>
      <w:r w:rsidR="00B13442" w:rsidRPr="00F90B06">
        <w:t>performance.</w:t>
      </w:r>
    </w:p>
    <w:p w14:paraId="761FBE5B" w14:textId="758173D4" w:rsidR="002D19F1" w:rsidRDefault="002D19F1" w:rsidP="002D19F1">
      <w:pPr>
        <w:ind w:firstLine="720"/>
      </w:pPr>
      <w:r w:rsidRPr="00E339EE">
        <w:t>R version 3.</w:t>
      </w:r>
      <w:r>
        <w:t>4.0</w:t>
      </w:r>
      <w:r w:rsidRPr="00E339EE">
        <w:t xml:space="preserve"> </w:t>
      </w:r>
      <w:r w:rsidRPr="00E339EE">
        <w:fldChar w:fldCharType="begin" w:fldLock="1"/>
      </w:r>
      <w:r w:rsidR="00A05FAB">
        <w:instrText>ADDIN CSL_CITATION { "citationItems" : [ { "id" : "ITEM-1", "itemData" : { "DOI" : "10.1007/978-3-540-74686-7", "ISBN" : "3900051070", "ISSN" : "16000706", "abstract" : "R Foundation for Statistical Computing, Vienna, Austria. ISBN 3-900051-07-0, URL http://www.R-project.org/.", "author" : [ { "dropping-particle" : "", "family" : "R Core Team", "given" : "R", "non-dropping-particle" : "", "parse-names" : false, "suffix" : "" } ], "collection-title" : "R Foundation for Statistical Computing", "container-title" : "R Foundation for Statistical Computing", "editor" : [ { "dropping-particle" : "", "family" : "Team", "given" : "R Development Core", "non-dropping-particle" : "", "parse-names" : false, "suffix" : "" } ], "id" : "ITEM-1", "issued" : { "date-parts" : [ [ "2017" ] ] }, "publisher" : "R Foundation for Statistical Computing", "publisher-place" : "Vienna, Austria", "title" : "R: A Language and Environment for Statistical Computing", "type" : "article" }, "uris" : [ "http://www.mendeley.com/documents/?uuid=712fa54f-5afd-428f-9018-d6d56cc86677" ] } ], "mendeley" : { "formattedCitation" : "[26]", "plainTextFormattedCitation" : "[26]", "previouslyFormattedCitation" : "[26]" }, "properties" : { "noteIndex" : 0 }, "schema" : "https://github.com/citation-style-language/schema/raw/master/csl-citation.json" }</w:instrText>
      </w:r>
      <w:r w:rsidRPr="00E339EE">
        <w:rPr>
          <w:vertAlign w:val="superscript"/>
        </w:rPr>
        <w:fldChar w:fldCharType="separate"/>
      </w:r>
      <w:r w:rsidR="00A05FAB" w:rsidRPr="00A05FAB">
        <w:rPr>
          <w:noProof/>
        </w:rPr>
        <w:t>[26]</w:t>
      </w:r>
      <w:r w:rsidRPr="00E339EE">
        <w:fldChar w:fldCharType="end"/>
      </w:r>
      <w:r w:rsidRPr="00E339EE">
        <w:t xml:space="preserve"> was used for all statistical analyses</w:t>
      </w:r>
      <w:r w:rsidRPr="00E339EE">
        <w:rPr>
          <w:noProof/>
        </w:rPr>
        <w:t>.</w:t>
      </w:r>
      <w:r>
        <w:rPr>
          <w:noProof/>
        </w:rPr>
        <w:t xml:space="preserve"> Multiple imputation of the dataset was completed using the mice package </w:t>
      </w:r>
      <w:r>
        <w:rPr>
          <w:noProof/>
        </w:rPr>
        <w:fldChar w:fldCharType="begin" w:fldLock="1"/>
      </w:r>
      <w:r w:rsidR="00A05FAB">
        <w:rPr>
          <w:noProof/>
        </w:rPr>
        <w:instrText>ADDIN CSL_CITATION { "citationItems" : [ { "id" : "ITEM-1", "itemData" : { "author" : [ { "dropping-particle" : "Van", "family" : "Buuren", "given" : "Stef", "non-dropping-particle" : "", "parse-names" : false, "suffix" : "" }, { "dropping-particle" : "", "family" : "Groothuis-Oudshoorn", "given" : "Karin", "non-dropping-particle" : "", "parse-names" : false, "suffix" : "" } ], "container-title" : "Journal of Statistical Software", "id" : "ITEM-1", "issue" : "3", "issued" : { "date-parts" : [ [ "2011" ] ] }, "page" : "1-67", "title" : "mice: Multivariate Imputation by Chained Equations in R", "type" : "article-journal", "volume" : "45" }, "uris" : [ "http://www.mendeley.com/documents/?uuid=1688b10a-c90d-4938-8fef-487455cc7d60" ] } ], "mendeley" : { "formattedCitation" : "[27]", "plainTextFormattedCitation" : "[27]", "previouslyFormattedCitation" : "[27]" }, "properties" : { "noteIndex" : 0 }, "schema" : "https://github.com/citation-style-language/schema/raw/master/csl-citation.json" }</w:instrText>
      </w:r>
      <w:r>
        <w:rPr>
          <w:noProof/>
        </w:rPr>
        <w:fldChar w:fldCharType="separate"/>
      </w:r>
      <w:r w:rsidR="00A05FAB" w:rsidRPr="00A05FAB">
        <w:rPr>
          <w:noProof/>
        </w:rPr>
        <w:t>[27]</w:t>
      </w:r>
      <w:r>
        <w:rPr>
          <w:noProof/>
        </w:rPr>
        <w:fldChar w:fldCharType="end"/>
      </w:r>
      <w:r>
        <w:rPr>
          <w:noProof/>
        </w:rPr>
        <w:t xml:space="preserve"> and t</w:t>
      </w:r>
      <w:r w:rsidRPr="00E339EE">
        <w:rPr>
          <w:noProof/>
        </w:rPr>
        <w:t xml:space="preserve">he package pROC was used for </w:t>
      </w:r>
      <w:r>
        <w:rPr>
          <w:noProof/>
        </w:rPr>
        <w:t>constructing</w:t>
      </w:r>
      <w:r w:rsidRPr="00E339EE">
        <w:rPr>
          <w:noProof/>
        </w:rPr>
        <w:t xml:space="preserve"> ROC curves </w:t>
      </w:r>
      <w:r w:rsidRPr="00E339EE">
        <w:rPr>
          <w:noProof/>
        </w:rPr>
        <w:fldChar w:fldCharType="begin" w:fldLock="1"/>
      </w:r>
      <w:r w:rsidR="00A05FAB">
        <w:rPr>
          <w:noProof/>
        </w:rPr>
        <w:instrText>ADDIN CSL_CITATION { "citationItems" : [ { "id" : "ITEM-1", "itemData" : { "author" : [ { "dropping-particle" : "", "family" : "Robin", "given" : "Xavier", "non-dropping-particle" : "", "parse-names" : false, "suffix" : "" }, { "dropping-particle" : "", "family" : "Turck", "given" : "Natacha", "non-dropping-particle" : "", "parse-names" : false, "suffix" : "" }, { "dropping-particle" : "", "family" : "Hainard", "given" : "Alexandre", "non-dropping-particle" : "", "parse-names" : false, "suffix" : "" }, { "dropping-particle" : "", "family" : "Tiberti", "given" : "Natalia", "non-dropping-particle" : "", "parse-names" : false, "suffix" : "" }, { "dropping-particle" : "", "family" : "Lisacek", "given" : "Fr\u00e9d\u00e9rique", "non-dropping-particle" : "", "parse-names" : false, "suffix" : "" }, { "dropping-particle" : "", "family" : "Sanchez", "given" : "Jean-Charles", "non-dropping-particle" : "", "parse-names" : false, "suffix" : "" }, { "dropping-particle" : "", "family" : "M\u00fcller", "given" : "Markus", "non-dropping-particle" : "", "parse-names" : false, "suffix" : "" } ], "container-title" : "BMC Bioinformatics", "id" : "ITEM-1", "issued" : { "date-parts" : [ [ "2011" ] ] }, "page" : "77", "title" : "pROC: an open-source package for R and S+ to analyze and compare ROC curves", "type" : "article-journal", "volume" : "12" }, "uris" : [ "http://www.mendeley.com/documents/?uuid=1f25cae5-7f32-4330-9e9b-41e4b01f4e57" ] } ], "mendeley" : { "formattedCitation" : "[28]", "plainTextFormattedCitation" : "[28]", "previouslyFormattedCitation" : "[28]" }, "properties" : { "noteIndex" : 0 }, "schema" : "https://github.com/citation-style-language/schema/raw/master/csl-citation.json" }</w:instrText>
      </w:r>
      <w:r w:rsidRPr="00E339EE">
        <w:rPr>
          <w:noProof/>
        </w:rPr>
        <w:fldChar w:fldCharType="separate"/>
      </w:r>
      <w:r w:rsidR="00A05FAB" w:rsidRPr="00A05FAB">
        <w:rPr>
          <w:noProof/>
        </w:rPr>
        <w:t>[28]</w:t>
      </w:r>
      <w:r w:rsidRPr="00E339EE">
        <w:rPr>
          <w:noProof/>
        </w:rPr>
        <w:fldChar w:fldCharType="end"/>
      </w:r>
      <w:r w:rsidRPr="00E339EE">
        <w:rPr>
          <w:noProof/>
        </w:rPr>
        <w:t>.</w:t>
      </w:r>
      <w:r>
        <w:rPr>
          <w:noProof/>
        </w:rPr>
        <w:t xml:space="preserve"> All other code was written by the authors and is avaliable on request.</w:t>
      </w:r>
    </w:p>
    <w:p w14:paraId="3AD6A5E4" w14:textId="77777777" w:rsidR="002D19F1" w:rsidRDefault="002D19F1" w:rsidP="002D19F1">
      <w:pPr>
        <w:pStyle w:val="Heading2"/>
      </w:pPr>
      <w:r>
        <w:t>Sensitivity Analyses</w:t>
      </w:r>
    </w:p>
    <w:p w14:paraId="38F80C24" w14:textId="38262CE3" w:rsidR="002D19F1" w:rsidRDefault="003F7F49" w:rsidP="005B6FC3">
      <w:pPr>
        <w:ind w:firstLine="720"/>
      </w:pPr>
      <w:r>
        <w:t>I</w:t>
      </w:r>
      <w:r w:rsidR="002D19F1">
        <w:t xml:space="preserve">nstead of </w:t>
      </w:r>
      <w:r w:rsidR="0094257A">
        <w:t xml:space="preserve">using </w:t>
      </w:r>
      <w:r w:rsidR="002D19F1">
        <w:t xml:space="preserve">multiple imputation, </w:t>
      </w:r>
      <w:r>
        <w:t xml:space="preserve">the first sensitivity analysis (singularly) imputed </w:t>
      </w:r>
      <w:r w:rsidR="002D19F1">
        <w:t xml:space="preserve">all </w:t>
      </w:r>
      <w:r w:rsidR="0094257A">
        <w:t xml:space="preserve">missing </w:t>
      </w:r>
      <w:r w:rsidR="002D19F1">
        <w:t xml:space="preserve">continuous variables using the </w:t>
      </w:r>
      <w:r w:rsidR="00CC3061">
        <w:t>sex</w:t>
      </w:r>
      <w:r w:rsidR="002D19F1">
        <w:t>-matched median of the observed values, and</w:t>
      </w:r>
      <w:r w:rsidR="0094257A">
        <w:t xml:space="preserve"> missing</w:t>
      </w:r>
      <w:r w:rsidR="002D19F1">
        <w:t xml:space="preserve"> categorical variables using the mode. For the majority of categorical variables this will result in a “risk factor absent” assumption and corresponds to a viable missing not-at random assumption. </w:t>
      </w:r>
      <w:r w:rsidR="00954D2D">
        <w:t>Similar modelling step</w:t>
      </w:r>
      <w:r w:rsidR="0094257A">
        <w:t>s</w:t>
      </w:r>
      <w:r w:rsidR="00954D2D">
        <w:t xml:space="preserve"> to the main analysis were then performed using this single imputation strategy.</w:t>
      </w:r>
      <w:r w:rsidR="005B6FC3">
        <w:t xml:space="preserve"> </w:t>
      </w:r>
      <w:r>
        <w:t>T</w:t>
      </w:r>
      <w:r w:rsidR="00BB42CA">
        <w:t xml:space="preserve">he second sensitivity analysis </w:t>
      </w:r>
      <w:r w:rsidR="00DE2D7F">
        <w:t xml:space="preserve">performed the </w:t>
      </w:r>
      <w:r w:rsidR="00954D2D">
        <w:t>“</w:t>
      </w:r>
      <w:r w:rsidR="00DE2D7F">
        <w:t>majority method</w:t>
      </w:r>
      <w:r w:rsidR="00954D2D">
        <w:t>”</w:t>
      </w:r>
      <w:r w:rsidR="00DE2D7F">
        <w:t xml:space="preserve"> of variable selection </w:t>
      </w:r>
      <w:r w:rsidR="00076CDE">
        <w:t xml:space="preserve">directly </w:t>
      </w:r>
      <w:r w:rsidR="00954D2D">
        <w:t>within the 2013-2014 dataset</w:t>
      </w:r>
      <w:r>
        <w:t xml:space="preserve"> to examine the robustness of </w:t>
      </w:r>
      <w:r w:rsidR="00CD6537">
        <w:t>the t</w:t>
      </w:r>
      <w:r w:rsidR="00076CDE">
        <w:t>wo-stage modelling strategy</w:t>
      </w:r>
      <w:r w:rsidR="00DE2D7F" w:rsidRPr="00DE2D7F">
        <w:t>.</w:t>
      </w:r>
    </w:p>
    <w:p w14:paraId="1EF69C91" w14:textId="77777777" w:rsidR="002D19F1" w:rsidRDefault="002D19F1" w:rsidP="002D19F1">
      <w:pPr>
        <w:pStyle w:val="Heading1"/>
      </w:pPr>
      <w:r>
        <w:t>Results</w:t>
      </w:r>
    </w:p>
    <w:p w14:paraId="75E13832" w14:textId="0366F3ED" w:rsidR="002D19F1" w:rsidRDefault="002D19F1" w:rsidP="002D19F1">
      <w:r>
        <w:tab/>
        <w:t>Between Ja</w:t>
      </w:r>
      <w:r w:rsidR="00CD6537">
        <w:t xml:space="preserve">nuary 2009 and December 2014, </w:t>
      </w:r>
      <w:r>
        <w:t>7070 patient</w:t>
      </w:r>
      <w:r w:rsidR="003F7F49">
        <w:t>s were recorded in the registry</w:t>
      </w:r>
      <w:r>
        <w:t>. After excluding patients in Northern Ireland (n=379) an</w:t>
      </w:r>
      <w:r w:rsidR="00CD6537">
        <w:t xml:space="preserve">d Scotland (n=193), a further </w:t>
      </w:r>
      <w:r>
        <w:t>159 patients were removed due to missing life status. Hence, the development sample f</w:t>
      </w:r>
      <w:r w:rsidR="00CD6537">
        <w:t xml:space="preserve">or the main analysis included </w:t>
      </w:r>
      <w:r>
        <w:t>6339 patients</w:t>
      </w:r>
      <w:r w:rsidR="003F7F49">
        <w:t xml:space="preserve"> (</w:t>
      </w:r>
      <w:r w:rsidR="003F7F49">
        <w:rPr>
          <w:b/>
        </w:rPr>
        <w:t>Figure 2</w:t>
      </w:r>
      <w:r w:rsidR="003F7F49" w:rsidRPr="003F7F49">
        <w:t>)</w:t>
      </w:r>
      <w:r w:rsidRPr="00381BF8">
        <w:t xml:space="preserve">. Baseline characteristics </w:t>
      </w:r>
      <w:r>
        <w:t xml:space="preserve">and proportions of missing </w:t>
      </w:r>
      <w:r>
        <w:lastRenderedPageBreak/>
        <w:t xml:space="preserve">data </w:t>
      </w:r>
      <w:r w:rsidRPr="00381BF8">
        <w:t xml:space="preserve">for the main development cohort are given in </w:t>
      </w:r>
      <w:r w:rsidRPr="00381BF8">
        <w:rPr>
          <w:b/>
        </w:rPr>
        <w:t>Table 1</w:t>
      </w:r>
      <w:r w:rsidRPr="00381BF8">
        <w:t>. The mean ag</w:t>
      </w:r>
      <w:r>
        <w:t>e of patients was 81.3 years, with 46.2% female. Most procedures were performed electively (12.5% non-elective), via transfemoral access (25.4% non-transfemoral access), and used a SAPIEN valve (56%). The proportion of missing data was low for most variables</w:t>
      </w:r>
      <w:r w:rsidR="000E3D14">
        <w:t xml:space="preserve">. </w:t>
      </w:r>
      <w:r w:rsidR="00D42DCA">
        <w:t xml:space="preserve">The high percentages of missing data for </w:t>
      </w:r>
      <w:r w:rsidR="006567A3">
        <w:t>the three frailty measures a</w:t>
      </w:r>
      <w:r w:rsidR="00D42DCA">
        <w:t xml:space="preserve">re due to these variables only being recorded from January 2013, after which </w:t>
      </w:r>
      <w:r w:rsidR="00DD48CE">
        <w:t xml:space="preserve">the proportion of missing data for poor mobility, CSHA and KATZ was </w:t>
      </w:r>
      <w:r w:rsidR="000E3D14">
        <w:t>1.79%, 1.65% and 11.0%, respectively</w:t>
      </w:r>
      <w:r>
        <w:t>.</w:t>
      </w:r>
    </w:p>
    <w:p w14:paraId="5C35C7FB" w14:textId="77777777" w:rsidR="002D19F1" w:rsidRDefault="002D19F1" w:rsidP="002D19F1">
      <w:pPr>
        <w:pStyle w:val="Heading2"/>
      </w:pPr>
      <w:r>
        <w:t>Model development</w:t>
      </w:r>
    </w:p>
    <w:p w14:paraId="1645BEBB" w14:textId="39026DEC" w:rsidR="002D19F1" w:rsidRDefault="002D19F1" w:rsidP="002D19F1">
      <w:r>
        <w:tab/>
      </w:r>
      <w:r w:rsidR="005243C2">
        <w:t xml:space="preserve">Between January 2009 and December 2014, </w:t>
      </w:r>
      <w:r>
        <w:t>326 patients died within 30 days of the procedure (5.14%)</w:t>
      </w:r>
      <w:r w:rsidR="005243C2">
        <w:t xml:space="preserve">, with this </w:t>
      </w:r>
      <w:r w:rsidR="006567A3">
        <w:t>decreasing</w:t>
      </w:r>
      <w:r w:rsidR="00B74B63">
        <w:t xml:space="preserve"> to</w:t>
      </w:r>
      <w:r w:rsidR="005243C2">
        <w:t xml:space="preserve"> 4.14% between January 2013 and December 2014</w:t>
      </w:r>
      <w:r>
        <w:t xml:space="preserve">. In univariable analysis, patients with higher </w:t>
      </w:r>
      <w:r w:rsidR="00463E45">
        <w:t>(mean</w:t>
      </w:r>
      <w:r>
        <w:t>-centred) BMI, higher glomerular filtration rate and indication of sinus rhythm had decreased odds of 30-day mortality (</w:t>
      </w:r>
      <w:r>
        <w:rPr>
          <w:b/>
        </w:rPr>
        <w:t>Table 2</w:t>
      </w:r>
      <w:r>
        <w:t>)</w:t>
      </w:r>
      <w:r w:rsidRPr="000926C1">
        <w:t xml:space="preserve">. Renal failure, extra-cardiac arteriopathy, calcification of ascending aorta, prior balloon aortic valvuloplasty, critical pre-operative status, NYHA class IV, poor mobility, CSHA frailty, </w:t>
      </w:r>
      <w:r w:rsidR="00C83AFE" w:rsidRPr="00E46123">
        <w:t>KATZ</w:t>
      </w:r>
      <w:r w:rsidR="00C83AFE">
        <w:t xml:space="preserve"> (per point drop from 6 points)</w:t>
      </w:r>
      <w:r w:rsidRPr="000926C1">
        <w:t>, left ventricular ejection fraction&lt;50%, non-elective procedure and non-transfemoral access each had increased odds of 30-day mortality.</w:t>
      </w:r>
    </w:p>
    <w:p w14:paraId="0CB2B78C" w14:textId="1A43C7B1" w:rsidR="002D19F1" w:rsidRDefault="002D19F1" w:rsidP="002D19F1">
      <w:r>
        <w:tab/>
        <w:t xml:space="preserve">The variables selected in the final multivariable model (denoted UK-TAVI CPM) are given in </w:t>
      </w:r>
      <w:r>
        <w:rPr>
          <w:b/>
        </w:rPr>
        <w:t>Table 3</w:t>
      </w:r>
      <w:r>
        <w:t xml:space="preserve">. The model intercept was </w:t>
      </w:r>
      <w:r w:rsidR="005243C2">
        <w:t>-3.6119</w:t>
      </w:r>
      <w:r>
        <w:t xml:space="preserve">, with 15 variables included in the model, </w:t>
      </w:r>
      <w:r w:rsidR="005243C2">
        <w:t xml:space="preserve">two </w:t>
      </w:r>
      <w:r>
        <w:t xml:space="preserve">of which were frailty </w:t>
      </w:r>
      <w:r w:rsidR="005243C2">
        <w:t xml:space="preserve">measures </w:t>
      </w:r>
      <w:r w:rsidR="00463E45">
        <w:t>(i.e</w:t>
      </w:r>
      <w:r w:rsidR="0094257A">
        <w:t xml:space="preserve">. </w:t>
      </w:r>
      <w:r w:rsidR="00463E45">
        <w:t>KATZ and poor mobility)</w:t>
      </w:r>
      <w:r>
        <w:t xml:space="preserve">. One can calculate the log-odds of 30-day mortality for a new patient by multiplying each covariate by the corresponding coefficient in </w:t>
      </w:r>
      <w:r>
        <w:rPr>
          <w:b/>
        </w:rPr>
        <w:t>Table 3</w:t>
      </w:r>
      <w:r>
        <w:t xml:space="preserve"> and summing across all variables – the so-called linear predictor (LP); the probability of 30-day mortality can then be obtained by transforming the LP as </w:t>
      </w:r>
      <m:oMath>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m:rPr>
                    <m:sty m:val="p"/>
                  </m:rPr>
                  <w:rPr>
                    <w:rFonts w:ascii="Cambria Math" w:hAnsi="Cambria Math"/>
                  </w:rPr>
                  <m:t>LP</m:t>
                </m:r>
              </m:e>
            </m:d>
          </m:e>
        </m:func>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m:rPr>
                        <m:sty m:val="p"/>
                      </m:rPr>
                      <w:rPr>
                        <w:rFonts w:ascii="Cambria Math" w:hAnsi="Cambria Math"/>
                      </w:rPr>
                      <m:t>LP</m:t>
                    </m:r>
                  </m:e>
                </m:d>
              </m:e>
            </m:func>
          </m:e>
        </m:d>
      </m:oMath>
      <w:r>
        <w:t>.</w:t>
      </w:r>
      <w:r w:rsidR="001110D7">
        <w:t xml:space="preserve"> </w:t>
      </w:r>
      <w:r w:rsidR="001110D7">
        <w:rPr>
          <w:b/>
        </w:rPr>
        <w:t>Figure 3</w:t>
      </w:r>
      <w:r w:rsidR="001110D7">
        <w:t xml:space="preserve"> depicts a graphical representation of this process.</w:t>
      </w:r>
      <w:r w:rsidR="00B30AEF">
        <w:t xml:space="preserve"> </w:t>
      </w:r>
      <w:r w:rsidRPr="00AC5CCA">
        <w:t>For example, a</w:t>
      </w:r>
      <w:r>
        <w:t>n</w:t>
      </w:r>
      <w:r w:rsidRPr="00AC5CCA">
        <w:t xml:space="preserve"> 85-year old female with a BMI of 30 kg/m</w:t>
      </w:r>
      <w:r w:rsidRPr="00AC5CCA">
        <w:rPr>
          <w:vertAlign w:val="superscript"/>
        </w:rPr>
        <w:t>2</w:t>
      </w:r>
      <w:r w:rsidRPr="00AC5CCA">
        <w:t>, a glomerular filtration rate of 51 mL/min/1.73m</w:t>
      </w:r>
      <w:r w:rsidRPr="00AC5CCA">
        <w:rPr>
          <w:vertAlign w:val="superscript"/>
        </w:rPr>
        <w:t>2</w:t>
      </w:r>
      <w:r w:rsidRPr="00AC5CCA">
        <w:t xml:space="preserve"> and KATZ</w:t>
      </w:r>
      <w:r w:rsidR="005243C2">
        <w:t xml:space="preserve"> score of 4 points</w:t>
      </w:r>
      <w:r w:rsidRPr="00AC5CCA">
        <w:t xml:space="preserve"> would have </w:t>
      </w:r>
      <m:oMath>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odds=-3.6119+</m:t>
            </m:r>
            <m:d>
              <m:dPr>
                <m:ctrlPr>
                  <w:rPr>
                    <w:rFonts w:ascii="Cambria Math" w:hAnsi="Cambria Math"/>
                  </w:rPr>
                </m:ctrlPr>
              </m:dPr>
              <m:e>
                <m:d>
                  <m:dPr>
                    <m:ctrlPr>
                      <w:rPr>
                        <w:rFonts w:ascii="Cambria Math" w:hAnsi="Cambria Math"/>
                        <w:i/>
                      </w:rPr>
                    </m:ctrlPr>
                  </m:dPr>
                  <m:e>
                    <m:r>
                      <w:rPr>
                        <w:rFonts w:ascii="Cambria Math" w:hAnsi="Cambria Math"/>
                      </w:rPr>
                      <m:t>85-81.25</m:t>
                    </m:r>
                  </m:e>
                </m:d>
                <m:r>
                  <w:rPr>
                    <w:rFonts w:ascii="Cambria Math" w:hAnsi="Cambria Math"/>
                  </w:rPr>
                  <m:t>×0.0115</m:t>
                </m:r>
              </m:e>
            </m:d>
            <m:r>
              <w:rPr>
                <w:rFonts w:ascii="Cambria Math" w:hAnsi="Cambria Math"/>
              </w:rPr>
              <m:t>+</m:t>
            </m:r>
            <m:d>
              <m:dPr>
                <m:ctrlPr>
                  <w:rPr>
                    <w:rFonts w:ascii="Cambria Math" w:hAnsi="Cambria Math"/>
                    <w:i/>
                  </w:rPr>
                </m:ctrlPr>
              </m:dPr>
              <m:e>
                <m:r>
                  <w:rPr>
                    <w:rFonts w:ascii="Cambria Math" w:hAnsi="Cambria Math"/>
                  </w:rPr>
                  <m:t>0.1393</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30-27.3</m:t>
                    </m:r>
                  </m:e>
                </m:d>
                <m:r>
                  <w:rPr>
                    <w:rFonts w:ascii="Cambria Math" w:hAnsi="Cambria Math"/>
                  </w:rPr>
                  <m:t>×-0.0257</m:t>
                </m:r>
              </m:e>
            </m:d>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30-27.3</m:t>
                        </m:r>
                      </m:e>
                    </m:d>
                  </m:e>
                  <m:sup>
                    <m:r>
                      <w:rPr>
                        <w:rFonts w:ascii="Cambria Math" w:hAnsi="Cambria Math"/>
                      </w:rPr>
                      <m:t>2</m:t>
                    </m:r>
                  </m:sup>
                </m:sSup>
                <m:r>
                  <w:rPr>
                    <w:rFonts w:ascii="Cambria Math" w:hAnsi="Cambria Math"/>
                  </w:rPr>
                  <m:t>×0.0011</m:t>
                </m:r>
              </m:e>
            </m:d>
            <m:r>
              <w:rPr>
                <w:rFonts w:ascii="Cambria Math" w:hAnsi="Cambria Math"/>
              </w:rPr>
              <m:t>+</m:t>
            </m:r>
            <m:d>
              <m:dPr>
                <m:ctrlPr>
                  <w:rPr>
                    <w:rFonts w:ascii="Cambria Math" w:hAnsi="Cambria Math"/>
                    <w:i/>
                  </w:rPr>
                </m:ctrlPr>
              </m:dPr>
              <m:e>
                <m:d>
                  <m:dPr>
                    <m:begChr m:val="⌊"/>
                    <m:endChr m:val="⌋"/>
                    <m:ctrlPr>
                      <w:rPr>
                        <w:rFonts w:ascii="Cambria Math" w:hAnsi="Cambria Math"/>
                        <w:i/>
                      </w:rPr>
                    </m:ctrlPr>
                  </m:dPr>
                  <m:e>
                    <m:r>
                      <w:rPr>
                        <w:rFonts w:ascii="Cambria Math" w:hAnsi="Cambria Math"/>
                      </w:rPr>
                      <m:t>51/5</m:t>
                    </m:r>
                  </m:e>
                </m:d>
                <m:r>
                  <w:rPr>
                    <w:rFonts w:ascii="Cambria Math" w:hAnsi="Cambria Math"/>
                  </w:rPr>
                  <m:t>×-0.0342</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6-4</m:t>
                    </m:r>
                  </m:e>
                </m:d>
                <m:r>
                  <w:rPr>
                    <w:rFonts w:ascii="Cambria Math" w:hAnsi="Cambria Math"/>
                  </w:rPr>
                  <m:t>×0.2362</m:t>
                </m:r>
              </m:e>
            </m:d>
            <m:r>
              <w:rPr>
                <w:rFonts w:ascii="Cambria Math" w:hAnsi="Cambria Math"/>
              </w:rPr>
              <m:t>=-3.3604</m:t>
            </m:r>
          </m:e>
        </m:func>
      </m:oMath>
      <w:r w:rsidRPr="00AC5CCA">
        <w:t>,</w:t>
      </w:r>
      <w:r>
        <w:t xml:space="preserve"> where </w:t>
      </w:r>
      <m:oMath>
        <m:d>
          <m:dPr>
            <m:begChr m:val="⌊"/>
            <m:endChr m:val="⌋"/>
            <m:ctrlPr>
              <w:rPr>
                <w:rFonts w:ascii="Cambria Math" w:hAnsi="Cambria Math"/>
                <w:i/>
              </w:rPr>
            </m:ctrlPr>
          </m:dPr>
          <m:e>
            <m:r>
              <w:rPr>
                <w:rFonts w:ascii="Cambria Math" w:hAnsi="Cambria Math"/>
              </w:rPr>
              <m:t>51/5</m:t>
            </m:r>
          </m:e>
        </m:d>
        <m:r>
          <w:rPr>
            <w:rFonts w:ascii="Cambria Math" w:hAnsi="Cambria Math"/>
          </w:rPr>
          <m:t>=10</m:t>
        </m:r>
      </m:oMath>
      <w:r>
        <w:t xml:space="preserve"> (i.e. floor rounding). This </w:t>
      </w:r>
      <w:r w:rsidRPr="00AC5CCA">
        <w:t xml:space="preserve">can be converted to a probability </w:t>
      </w:r>
      <w:r>
        <w:t xml:space="preserve">of 30-day mortality </w:t>
      </w:r>
      <w:r w:rsidRPr="00AC5CCA">
        <w:t xml:space="preserve">by </w:t>
      </w:r>
      <m:oMath>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-3.3604</m:t>
                </m:r>
              </m:e>
            </m:d>
          </m:e>
        </m:func>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-3.3604</m:t>
                    </m:r>
                  </m:e>
                </m:d>
              </m:e>
            </m:func>
          </m:e>
        </m:d>
        <m:r>
          <w:rPr>
            <w:rFonts w:ascii="Cambria Math" w:hAnsi="Cambria Math"/>
          </w:rPr>
          <m:t>=0.0336×100=3.36%</m:t>
        </m:r>
      </m:oMath>
      <w:r w:rsidR="001110D7">
        <w:t xml:space="preserve"> (dotted arrows on </w:t>
      </w:r>
      <w:r w:rsidR="001110D7">
        <w:rPr>
          <w:b/>
        </w:rPr>
        <w:t>Figure 3</w:t>
      </w:r>
      <w:r w:rsidR="001110D7">
        <w:t>)</w:t>
      </w:r>
      <w:r w:rsidRPr="00AC5CCA">
        <w:t>.</w:t>
      </w:r>
      <w:r w:rsidDel="00912B7D">
        <w:rPr>
          <w:rStyle w:val="CommentReference"/>
          <w:rFonts w:eastAsiaTheme="minorHAnsi" w:cstheme="minorBidi"/>
        </w:rPr>
        <w:t xml:space="preserve"> </w:t>
      </w:r>
    </w:p>
    <w:p w14:paraId="3F381E65" w14:textId="77777777" w:rsidR="002D19F1" w:rsidRDefault="002D19F1" w:rsidP="002D19F1">
      <w:pPr>
        <w:pStyle w:val="Heading2"/>
      </w:pPr>
      <w:r>
        <w:t>Model validation</w:t>
      </w:r>
    </w:p>
    <w:p w14:paraId="66F2ECCB" w14:textId="3D0F32A6" w:rsidR="002D19F1" w:rsidRDefault="002D19F1" w:rsidP="002D19F1">
      <w:r>
        <w:tab/>
        <w:t>The UK-TAVI CPM was well calibrated before and after bootstrap correction, with a calibration intercept and slope significantly close to zero and one, respectively (</w:t>
      </w:r>
      <w:r>
        <w:rPr>
          <w:b/>
        </w:rPr>
        <w:t>Table 4</w:t>
      </w:r>
      <w:r>
        <w:t>)</w:t>
      </w:r>
      <w:r w:rsidR="00942D50">
        <w:t>; the apparent</w:t>
      </w:r>
      <w:r w:rsidR="00AF7B99">
        <w:t xml:space="preserve"> performance</w:t>
      </w:r>
      <w:r w:rsidR="00942D50">
        <w:t xml:space="preserve"> calibration plot is given in </w:t>
      </w:r>
      <w:r w:rsidR="00942D50">
        <w:rPr>
          <w:b/>
        </w:rPr>
        <w:t>Supplementary Figure 1</w:t>
      </w:r>
      <w:r>
        <w:t>. The apparent AUC of the model was 0.</w:t>
      </w:r>
      <w:r w:rsidR="005243C2">
        <w:t>70</w:t>
      </w:r>
      <w:r>
        <w:t xml:space="preserve"> (95% CI: 0.6</w:t>
      </w:r>
      <w:r w:rsidR="005243C2">
        <w:t>5</w:t>
      </w:r>
      <w:r>
        <w:t>, 0.7</w:t>
      </w:r>
      <w:r w:rsidR="005243C2">
        <w:t>5</w:t>
      </w:r>
      <w:r>
        <w:t>), which reduced to 0.6</w:t>
      </w:r>
      <w:r w:rsidR="005243C2">
        <w:t>6</w:t>
      </w:r>
      <w:r>
        <w:t xml:space="preserve"> (95% CI: 0.61, 0.</w:t>
      </w:r>
      <w:r w:rsidR="005243C2">
        <w:t>71</w:t>
      </w:r>
      <w:r>
        <w:t xml:space="preserve">) after bootstrap internal validation. </w:t>
      </w:r>
      <w:r w:rsidR="00C83AFE">
        <w:t>The UK-TAVI CPM was well calibrated and had moderate discrimination across</w:t>
      </w:r>
      <w:r w:rsidR="00441122">
        <w:t xml:space="preserve"> quantiles of observed predicted risk</w:t>
      </w:r>
      <w:r w:rsidR="00AE5F93">
        <w:t xml:space="preserve">, </w:t>
      </w:r>
      <w:r w:rsidR="00AF7B99">
        <w:t xml:space="preserve">although </w:t>
      </w:r>
      <w:r w:rsidR="00AE5F93">
        <w:t xml:space="preserve">performance was </w:t>
      </w:r>
      <w:r w:rsidR="00554E3E">
        <w:t xml:space="preserve">marginally </w:t>
      </w:r>
      <w:r w:rsidR="00AE5F93">
        <w:t>worse in the second and third quantiles</w:t>
      </w:r>
      <w:r w:rsidR="0094257A">
        <w:t xml:space="preserve"> </w:t>
      </w:r>
      <w:r w:rsidR="00441122">
        <w:t>(</w:t>
      </w:r>
      <w:r w:rsidR="00441122">
        <w:rPr>
          <w:b/>
        </w:rPr>
        <w:t xml:space="preserve">Supplementary Table </w:t>
      </w:r>
      <w:r w:rsidR="00441122" w:rsidRPr="00441122">
        <w:rPr>
          <w:b/>
        </w:rPr>
        <w:t>2</w:t>
      </w:r>
      <w:r w:rsidR="003F7F49">
        <w:t>)</w:t>
      </w:r>
      <w:r w:rsidRPr="000E3D14">
        <w:t>.</w:t>
      </w:r>
      <w:r w:rsidR="006129C2">
        <w:t xml:space="preserve"> </w:t>
      </w:r>
      <w:r w:rsidR="00DB1BD2">
        <w:t xml:space="preserve">Bootstrap corrected performance across patient subgroups </w:t>
      </w:r>
      <w:r w:rsidR="00A9658B">
        <w:t>are</w:t>
      </w:r>
      <w:r w:rsidR="00DB1BD2">
        <w:t xml:space="preserve"> given in </w:t>
      </w:r>
      <w:r w:rsidR="00DB1BD2">
        <w:rPr>
          <w:b/>
        </w:rPr>
        <w:t>Supplementary Table 3</w:t>
      </w:r>
      <w:r w:rsidR="00DB1BD2">
        <w:t>.</w:t>
      </w:r>
    </w:p>
    <w:p w14:paraId="10731B5D" w14:textId="5F9CDE4B" w:rsidR="002D19F1" w:rsidRDefault="002D19F1" w:rsidP="002D19F1">
      <w:r>
        <w:tab/>
      </w:r>
      <w:r w:rsidR="009C5760">
        <w:t>W</w:t>
      </w:r>
      <w:r w:rsidR="00C83AFE">
        <w:t xml:space="preserve">e examined </w:t>
      </w:r>
      <w:r>
        <w:t xml:space="preserve">the predictive performance across </w:t>
      </w:r>
      <w:r w:rsidR="00C83AFE">
        <w:t>each</w:t>
      </w:r>
      <w:r w:rsidR="009C5760">
        <w:t xml:space="preserve"> </w:t>
      </w:r>
      <w:r w:rsidR="003F7F49">
        <w:t>centre</w:t>
      </w:r>
      <w:r w:rsidR="00C83AFE">
        <w:t>, which</w:t>
      </w:r>
      <w:r>
        <w:t xml:space="preserve"> demonstrated that the majority of centres had an observed event rate similar to that expected from the model (</w:t>
      </w:r>
      <w:r>
        <w:rPr>
          <w:b/>
        </w:rPr>
        <w:t xml:space="preserve">Figure </w:t>
      </w:r>
      <w:r w:rsidR="001110D7">
        <w:rPr>
          <w:b/>
        </w:rPr>
        <w:t>4</w:t>
      </w:r>
      <w:r>
        <w:t>). However, there was heterogeneity in the calibration-in-the-large, with some centres performing ‘better’ than expected (calibration intercept</w:t>
      </w:r>
      <w:r w:rsidR="00C71617">
        <w:t xml:space="preserve"> </w:t>
      </w:r>
      <w:r>
        <w:t>&lt;</w:t>
      </w:r>
      <w:r w:rsidR="00C71617">
        <w:t xml:space="preserve"> </w:t>
      </w:r>
      <w:r>
        <w:t>0), and others having an observed event rate higher than that expected by the model (calibration intercept</w:t>
      </w:r>
      <w:r w:rsidR="00C71617">
        <w:t xml:space="preserve"> </w:t>
      </w:r>
      <w:r>
        <w:t>&gt;</w:t>
      </w:r>
      <w:r w:rsidR="00C71617">
        <w:t xml:space="preserve"> </w:t>
      </w:r>
      <w:r>
        <w:t>0).</w:t>
      </w:r>
      <w:r w:rsidR="001D1544">
        <w:t xml:space="preserve"> </w:t>
      </w:r>
    </w:p>
    <w:p w14:paraId="2AED7CAD" w14:textId="77777777" w:rsidR="002D19F1" w:rsidRDefault="002D19F1" w:rsidP="002D19F1">
      <w:pPr>
        <w:pStyle w:val="Heading2"/>
      </w:pPr>
      <w:r>
        <w:t>Sensitivity Analyses</w:t>
      </w:r>
    </w:p>
    <w:p w14:paraId="73D4D408" w14:textId="2008D763" w:rsidR="002D19F1" w:rsidRDefault="002D19F1" w:rsidP="002D19F1">
      <w:r>
        <w:tab/>
        <w:t xml:space="preserve">The first sensitivity analysis examined an alternative way of handling missing data, </w:t>
      </w:r>
      <w:r w:rsidR="0094257A">
        <w:t>through a single imputation strategy</w:t>
      </w:r>
      <w:r w:rsidRPr="0037172C">
        <w:t>. Most variables within the model derived under this approach were similar to those within the UK-TAVI CPM, but additionally included an indicator of calcified aorta, and aortic valve peak gradient</w:t>
      </w:r>
      <w:r>
        <w:t xml:space="preserve"> (</w:t>
      </w:r>
      <w:r>
        <w:rPr>
          <w:b/>
        </w:rPr>
        <w:t xml:space="preserve">Supplementary Table </w:t>
      </w:r>
      <w:r w:rsidR="00DB1BD2">
        <w:rPr>
          <w:b/>
        </w:rPr>
        <w:t>4</w:t>
      </w:r>
      <w:r w:rsidRPr="00024209">
        <w:t>)</w:t>
      </w:r>
      <w:r>
        <w:t xml:space="preserve">. The </w:t>
      </w:r>
      <w:r w:rsidR="00F17285">
        <w:t>performance results were quantitatively similar to the main analysis model</w:t>
      </w:r>
      <w:r>
        <w:t xml:space="preserve">. </w:t>
      </w:r>
    </w:p>
    <w:p w14:paraId="46D73948" w14:textId="03AFF83B" w:rsidR="002D19F1" w:rsidRPr="00F02406" w:rsidRDefault="002D19F1" w:rsidP="002D19F1">
      <w:r>
        <w:lastRenderedPageBreak/>
        <w:tab/>
        <w:t>The second sensitivity analysis restricted the development cohort to those patients between January 2013 and December 2014</w:t>
      </w:r>
      <w:r w:rsidR="001D1544">
        <w:t xml:space="preserve"> to </w:t>
      </w:r>
      <w:r w:rsidR="00403203">
        <w:t xml:space="preserve">contrast with the </w:t>
      </w:r>
      <w:r w:rsidR="00E46F21">
        <w:t xml:space="preserve">aforementioned </w:t>
      </w:r>
      <w:r w:rsidR="00403203">
        <w:t>two-stage modelling strategy (</w:t>
      </w:r>
      <w:r w:rsidR="00403203">
        <w:rPr>
          <w:b/>
        </w:rPr>
        <w:t xml:space="preserve">Figure </w:t>
      </w:r>
      <w:r w:rsidR="00403203" w:rsidRPr="00403203">
        <w:rPr>
          <w:b/>
        </w:rPr>
        <w:t>1</w:t>
      </w:r>
      <w:r w:rsidR="00403203">
        <w:t>)</w:t>
      </w:r>
      <w:r w:rsidR="001D1544">
        <w:t xml:space="preserve">. </w:t>
      </w:r>
      <w:r>
        <w:t xml:space="preserve">The model developed under this approach included </w:t>
      </w:r>
      <w:r w:rsidR="006567A3">
        <w:t xml:space="preserve">similar but </w:t>
      </w:r>
      <w:r w:rsidR="0094257A">
        <w:t>fewer</w:t>
      </w:r>
      <w:r w:rsidR="00403203">
        <w:t xml:space="preserve"> </w:t>
      </w:r>
      <w:r>
        <w:t>variables</w:t>
      </w:r>
      <w:r w:rsidR="006567A3">
        <w:t xml:space="preserve"> </w:t>
      </w:r>
      <w:r w:rsidR="0094257A">
        <w:t>to the main analysis model</w:t>
      </w:r>
      <w:r w:rsidR="00F17285">
        <w:t xml:space="preserve"> </w:t>
      </w:r>
      <w:r>
        <w:t>(</w:t>
      </w:r>
      <w:r>
        <w:rPr>
          <w:b/>
        </w:rPr>
        <w:t xml:space="preserve">Supplementary Table </w:t>
      </w:r>
      <w:r w:rsidR="00DB1BD2">
        <w:rPr>
          <w:b/>
        </w:rPr>
        <w:t>5</w:t>
      </w:r>
      <w:r w:rsidRPr="00A6740D">
        <w:t>)</w:t>
      </w:r>
      <w:r>
        <w:t xml:space="preserve">. After bootstrap internal validation, the </w:t>
      </w:r>
      <w:r w:rsidR="0094257A">
        <w:t xml:space="preserve">calibration slope for </w:t>
      </w:r>
      <w:r>
        <w:t>2013-14 derived model was significantly below one (0.</w:t>
      </w:r>
      <w:r w:rsidR="00403203">
        <w:t>69</w:t>
      </w:r>
      <w:r>
        <w:t>, 95% CI: 0.4</w:t>
      </w:r>
      <w:r w:rsidR="00403203">
        <w:t>5</w:t>
      </w:r>
      <w:r>
        <w:t>, 0.9</w:t>
      </w:r>
      <w:r w:rsidR="00403203">
        <w:t>2</w:t>
      </w:r>
      <w:r>
        <w:t>), indicating overfitting within the smaller sample size</w:t>
      </w:r>
      <w:r w:rsidR="00F17285">
        <w:t xml:space="preserve"> (demonstrating an advantage of the two-stage </w:t>
      </w:r>
      <w:r w:rsidR="009C5760">
        <w:t xml:space="preserve">modelling </w:t>
      </w:r>
      <w:r w:rsidR="00F17285">
        <w:t>strategy)</w:t>
      </w:r>
      <w:r w:rsidR="0094257A">
        <w:t xml:space="preserve">. The </w:t>
      </w:r>
      <w:r>
        <w:t xml:space="preserve">internal validation AUC </w:t>
      </w:r>
      <w:r w:rsidR="006567A3">
        <w:t xml:space="preserve">of the 2013-14 derived model was </w:t>
      </w:r>
      <w:r>
        <w:t xml:space="preserve">0.64 (95% CI: 0.59, 0.69). </w:t>
      </w:r>
    </w:p>
    <w:p w14:paraId="49BD5B18" w14:textId="77777777" w:rsidR="002D19F1" w:rsidRDefault="002D19F1" w:rsidP="002D19F1">
      <w:pPr>
        <w:pStyle w:val="Heading1"/>
      </w:pPr>
      <w:r>
        <w:t>Discussion</w:t>
      </w:r>
    </w:p>
    <w:p w14:paraId="005C7CB1" w14:textId="1D1490C3" w:rsidR="002D19F1" w:rsidRDefault="002D19F1" w:rsidP="002D19F1">
      <w:pPr>
        <w:ind w:firstLine="720"/>
      </w:pPr>
      <w:r>
        <w:t xml:space="preserve">This study has derived a TAVI risk prediction model for benchmarking and audit analyses in UK patients. After covariate selection, the UK-TAVI CPM included 15 variables, including </w:t>
      </w:r>
      <w:r w:rsidR="007D6D7A">
        <w:t xml:space="preserve">two </w:t>
      </w:r>
      <w:r>
        <w:t xml:space="preserve">frailty related measures. The model demonstrated </w:t>
      </w:r>
      <w:r w:rsidR="00C71617">
        <w:t xml:space="preserve">strong </w:t>
      </w:r>
      <w:r>
        <w:t xml:space="preserve">calibration after correction for in-sample optimism, </w:t>
      </w:r>
      <w:r w:rsidR="008C5F10">
        <w:t xml:space="preserve">but only </w:t>
      </w:r>
      <w:r>
        <w:t>moderate discrimination.</w:t>
      </w:r>
      <w:r w:rsidR="008C5F10" w:rsidRPr="008C5F10">
        <w:t xml:space="preserve"> </w:t>
      </w:r>
      <w:r w:rsidR="008C5F10">
        <w:t>It is</w:t>
      </w:r>
      <w:r w:rsidR="007D6D7A">
        <w:t>,</w:t>
      </w:r>
      <w:r w:rsidR="008C5F10">
        <w:t xml:space="preserve"> therefore</w:t>
      </w:r>
      <w:r w:rsidR="007D6D7A">
        <w:t>,</w:t>
      </w:r>
      <w:r w:rsidR="008C5F10">
        <w:t xml:space="preserve"> of greater value in allowing comparison of </w:t>
      </w:r>
      <w:r w:rsidR="007D6D7A">
        <w:t>risk-adjusted</w:t>
      </w:r>
      <w:r w:rsidR="008C5F10">
        <w:t xml:space="preserve"> outcomes between centres than in aiding clinicians to provide accurate risk assessment to patients being offered TAVI.</w:t>
      </w:r>
    </w:p>
    <w:p w14:paraId="77284506" w14:textId="23F409B0" w:rsidR="002D19F1" w:rsidRDefault="002D19F1" w:rsidP="002D19F1">
      <w:pPr>
        <w:ind w:firstLine="720"/>
      </w:pPr>
      <w:r>
        <w:t>Risk prediction in TAVI patien</w:t>
      </w:r>
      <w:r w:rsidR="003F7F49">
        <w:t>ts is an ongoing research area; t</w:t>
      </w:r>
      <w:r>
        <w:t xml:space="preserve">he FRANCE-2 </w:t>
      </w:r>
      <w:r>
        <w:fldChar w:fldCharType="begin" w:fldLock="1"/>
      </w:r>
      <w:r>
        <w:instrText>ADDIN CSL_CITATION { "citationItems" : [ { "id" : "ITEM-1", "itemData" : { "DOI" : "10.1136/heartjnl-2013-305314", "ISSN" : "1468-201X", "PMID" : "24740804", "abstract" : "OBJECTIVE: Decision making for intervention in symptomatic aortic stenosis should balance the risks of surgery and of transcatheter aortic valve implantation (TAVI). We identified the factors associated with early mortality after TAVI and aimed to develop and validate a simple risk score. METHODS: A population of 3833 consecutive patients was randomly split into two cohorts comprising 2552 and 1281 patients, used respectively to develop and validate a scoring system predicting 30-day or in-hospital mortality. RESULTS: TAVI was performed using the Edwards Sapien prosthesis in 2551 (66.8%) patients and the Medtronic Corevalve in 1270 (33.2%). Approach was transfemoral in 2801 (73.4%) patients, transapical in 678 (17.8%), subclavian in 219 (5.7%) and other in 117 (3.1%). Early mortality was 10.0% (382 patients). A multivariate logistic model identified the following predictive factors of early mortality: age \u226590 years, body mass index &lt;30 Kg/m(2), New York Heart Association class IV, pulmonary hypertension, critical haemodynamic state, \u22652 pulmonary oedemas during the last year, respiratory insufficiency, dialysis and transapical or other (transaortic and transcarotid) approaches. A 21-point predictive score was derived. C-index was 0.67 for the score in the development cohort and 0.59 in the validation cohort. There was a good concordance between predicted and observed 30-day mortality rates in the development and validation cohorts. CONCLUSIONS: Early mortality after TAVI is mainly related to age, the severity of symptoms, comorbidities and transapical approach. A simple score can be used to predict early mortality after TAVI. The moderate discrimination is however a limitation for the accurate identification of high-risk patients.", "author" : [ { "dropping-particle" : "", "family" : "Iung", "given" : "Bernard", "non-dropping-particle" : "", "parse-names" : false, "suffix" : "" }, { "dropping-particle" : "", "family" : "Laou\u00e9nan", "given" : "C\u00e9dric", "non-dropping-particle" : "", "parse-names" : false, "suffix" : "" }, { "dropping-particle" : "", "family" : "Himbert", "given" : "Dominique", "non-dropping-particle" : "", "parse-names" : false, "suffix" : "" }, { "dropping-particle" : "", "family" : "Eltchaninoff", "given" : "H\u00e9l\u00e8ne", "non-dropping-particle" : "", "parse-names" : false, "suffix" : "" }, { "dropping-particle" : "", "family" : "Chevreul", "given" : "Karine", "non-dropping-particle" : "", "parse-names" : false, "suffix" : "" }, { "dropping-particle" : "", "family" : "Donzeau-Gouge", "given" : "Patrick", "non-dropping-particle" : "", "parse-names" : false, "suffix" : "" }, { "dropping-particle" : "", "family" : "Fajadet", "given" : "Jean", "non-dropping-particle" : "", "parse-names" : false, "suffix" : "" }, { "dropping-particle" : "", "family" : "Leprince", "given" : "Pascal", "non-dropping-particle" : "", "parse-names" : false, "suffix" : "" }, { "dropping-particle" : "", "family" : "Leguerrier", "given" : "Alain", "non-dropping-particle" : "", "parse-names" : false, "suffix" : "" }, { "dropping-particle" : "", "family" : "Li\u00e8vre", "given" : "Michel", "non-dropping-particle" : "", "parse-names" : false, "suffix" : "" }, { "dropping-particle" : "", "family" : "Prat", "given" : "Alain", "non-dropping-particle" : "", "parse-names" : false, "suffix" : "" }, { "dropping-particle" : "", "family" : "Teiger", "given" : "Emmanuel", "non-dropping-particle" : "", "parse-names" : false, "suffix" : "" }, { "dropping-particle" : "", "family" : "Laskar", "given" : "Marc", "non-dropping-particle" : "", "parse-names" : false, "suffix" : "" }, { "dropping-particle" : "", "family" : "Vahanian", "given" : "Alec", "non-dropping-particle" : "", "parse-names" : false, "suffix" : "" }, { "dropping-particle" : "", "family" : "Gilard", "given" : "Martine", "non-dropping-particle" : "", "parse-names" : false, "suffix" : "" } ], "container-title" : "Heart (British Cardiac Society)", "id" : "ITEM-1", "issue" : "13", "issued" : { "date-parts" : [ [ "2014", "7" ] ] }, "note" : "This article uses data from the \u201cFrench Aortic National CoreValve and Edwards\u201d registry in order to investigate predictive factors for early mortality after TAVI. In addition, it was aimed to develop a scoring system to predict mortality after TAVI.\u00a0 \n3933 patients who underwent TAVI in 33 French centres. The patients were classified as high risk for surgery. The primary endpoint was all cause mortality 30 days after procedure. \nStatistical analyses included the use of univariate and multivariate logistic regression to build the scoring system. Discrimination and calibration of the model were assessed using the c-index and comparing Obc/Exp respectively. \nWhen investigating the early mortality the results did report those with different ages, centres, procedure type. No difference in mortality was found in centres, volume activity, time and experience of using TAVI. Age was associate with a significant increase in early mortality. Low BMI was also linked with early mortality. \nEight patient related and one procedural related variables were identified as predictive factors of early mortality; which then was used to develop a scoring system. However, the results showed that discrimination was lacking. \nIn summary the study found nine predictive factors of early mortality after TAVI. In addition a scoring system was developed which provided reasonable but certainly room for improvement.", "page" : "1016-23", "title" : "Predictive factors of early mortality after transcatheter aortic valve implantation: individual risk assessment using a simple score.", "type" : "article-journal", "volume" : "100" }, "uris" : [ "http://www.mendeley.com/documents/?uuid=8e3a1b0f-0884-447a-8ae1-56423ba1fc4d" ] } ], "mendeley" : { "formattedCitation" : "[9]", "plainTextFormattedCitation" : "[9]", "previouslyFormattedCitation" : "[9]" }, "properties" : { "noteIndex" : 0 }, "schema" : "https://github.com/citation-style-language/schema/raw/master/csl-citation.json" }</w:instrText>
      </w:r>
      <w:r>
        <w:fldChar w:fldCharType="separate"/>
      </w:r>
      <w:r w:rsidRPr="00A03C5F">
        <w:rPr>
          <w:noProof/>
        </w:rPr>
        <w:t>[9]</w:t>
      </w:r>
      <w:r>
        <w:fldChar w:fldCharType="end"/>
      </w:r>
      <w:r>
        <w:t xml:space="preserve">, OBSERVANT </w:t>
      </w:r>
      <w:r>
        <w:fldChar w:fldCharType="begin" w:fldLock="1"/>
      </w:r>
      <w:r>
        <w:instrText>ADDIN CSL_CITATION { "citationItems" : [ { "id" : "ITEM-1", "itemData" : { "DOI" : "10.1016/j.amjcard.2014.03.014", "ISSN" : "1879-1913", "PMID" : "24837264", "abstract" : "Risk stratification tools used in patients with severe aortic stenosis have been mostly derived from surgical series. Although specific predictors of early mortality with transcatheter aortic valve replacement (TAVR) have been identified, the prognostic impact of their combination is unexplored. We sought to develop a simple score, using preprocedural variables, for prediction of 30-day mortality after TAVR. A total of 1,878 patients from a national multicenter registry who underwent TAVR were randomly assigned in a 2:1 manner to development and validation data sets. Baseline characteristics of the 1,256 patients in the development data set were considered as candidate univariate predictors of 30-day mortality. A bootstrap multivariate logistic regression process was used to select correlates of 30-day mortality that were subsequently weighted and integrated into a scoring system. Seven variables were weighted proportionally to their respective odds ratios for 30-day mortality (glomerular filtration rate &lt;45 ml/min [6 points], critical preoperative state [5 points], New York Heart Association class IV [4 points], pulmonary hypertension [4 points], diabetes mellitus [4 points], previous balloon aortic valvuloplasty [3 points], and left ventricular ejection fraction &lt;40% [3 points]). The model showed good discrimination in both the development and validation data sets (C statistics 0.73 and 0.71, respectively). Compared with the logistic European System for Cardiac Operative Risk Evaluation in the validation data set, the model showed better discrimination (C statistic 0.71 vs 0.66), goodness of fit (Hosmer-Lemeshow p value 0.81 vs 0.00), and global accuracy (Brier score 0.054 vs 0.073). In conclusion, the risk of 30-day mortality after TAVR may be estimated by combining 7 baseline clinical variables into a simple risk scoring system.", "author" : [ { "dropping-particle" : "", "family" : "Capodanno", "given" : "Davide", "non-dropping-particle" : "", "parse-names" : false, "suffix" : "" }, { "dropping-particle" : "", "family" : "Barbanti", "given" : "Marco", "non-dropping-particle" : "", "parse-names" : false, "suffix" : "" }, { "dropping-particle" : "", "family" : "Tamburino", "given" : "Corrado", "non-dropping-particle" : "", "parse-names" : false, "suffix" : "" }, { "dropping-particle" : "", "family" : "D'Errigo", "given" : "Paola", "non-dropping-particle" : "", "parse-names" : false, "suffix" : "" }, { "dropping-particle" : "", "family" : "Ranucci", "given" : "Marco", "non-dropping-particle" : "", "parse-names" : false, "suffix" : "" }, { "dropping-particle" : "", "family" : "Santoro", "given" : "Gennaro", "non-dropping-particle" : "", "parse-names" : false, "suffix" : "" }, { "dropping-particle" : "", "family" : "Santini", "given" : "Francesco", "non-dropping-particle" : "", "parse-names" : false, "suffix" : "" }, { "dropping-particle" : "", "family" : "Onorati", "given" : "Francesco", "non-dropping-particle" : "", "parse-names" : false, "suffix" : "" }, { "dropping-particle" : "", "family" : "Grossi", "given" : "Claudio", "non-dropping-particle" : "", "parse-names" : false, "suffix" : "" }, { "dropping-particle" : "", "family" : "Covello", "given" : "Remo Daniel", "non-dropping-particle" : "", "parse-names" : false, "suffix" : "" }, { "dropping-particle" : "", "family" : "Capranzano", "given" : "Piera", "non-dropping-particle" : "", "parse-names" : false, "suffix" : "" }, { "dropping-particle" : "", "family" : "Rosato", "given" : "Stefano", "non-dropping-particle" : "", "parse-names" : false, "suffix" : "" }, { "dropping-particle" : "", "family" : "Seccareccia", "given" : "Fulvia", "non-dropping-particle" : "", "parse-names" : false, "suffix" : "" } ], "container-title" : "The American journal of cardiology", "id" : "ITEM-1", "issue" : "11", "issued" : { "date-parts" : [ [ "2014", "6", "1" ] ] }, "page" : "1851-8", "publisher" : "Elsevier Inc.", "title" : "A simple risk tool (the OBSERVANT score) for prediction of 30-day mortality after transcatheter aortic valve replacement.", "type" : "article-journal", "volume" : "113" }, "uris" : [ "http://www.mendeley.com/documents/?uuid=4809745f-01c3-492a-8783-4d808a6da5c5" ] } ], "mendeley" : { "formattedCitation" : "[10]", "plainTextFormattedCitation" : "[10]", "previouslyFormattedCitation" : "[10]" }, "properties" : { "noteIndex" : 0 }, "schema" : "https://github.com/citation-style-language/schema/raw/master/csl-citation.json" }</w:instrText>
      </w:r>
      <w:r>
        <w:fldChar w:fldCharType="separate"/>
      </w:r>
      <w:r w:rsidRPr="00A03C5F">
        <w:rPr>
          <w:noProof/>
        </w:rPr>
        <w:t>[10]</w:t>
      </w:r>
      <w:r>
        <w:fldChar w:fldCharType="end"/>
      </w:r>
      <w:r>
        <w:t xml:space="preserve">, ACC </w:t>
      </w:r>
      <w:r>
        <w:fldChar w:fldCharType="begin" w:fldLock="1"/>
      </w:r>
      <w:r>
        <w:instrText>ADDIN CSL_CITATION { "citationItems" : [ { "id" : "ITEM-1",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"ITEM-1",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"[11]", "plainTextFormattedCitation" : "[11]", "previouslyFormattedCitation" : "[11]" }, "properties" : { "noteIndex" : 0 }, "schema" : "https://github.com/citation-style-language/schema/raw/master/csl-citation.json" }</w:instrText>
      </w:r>
      <w:r>
        <w:fldChar w:fldCharType="separate"/>
      </w:r>
      <w:r w:rsidRPr="00A03C5F">
        <w:rPr>
          <w:noProof/>
        </w:rPr>
        <w:t>[11]</w:t>
      </w:r>
      <w:r>
        <w:fldChar w:fldCharType="end"/>
      </w:r>
      <w:r>
        <w:t xml:space="preserve"> and the </w:t>
      </w:r>
      <w:r w:rsidR="009539B8">
        <w:t xml:space="preserve">herein </w:t>
      </w:r>
      <w:r>
        <w:t>UK-TAVI CPM, each represent models derived exclusively on patients</w:t>
      </w:r>
      <w:r w:rsidR="002424A5">
        <w:t xml:space="preserve"> treated by TAVI</w:t>
      </w:r>
      <w:r>
        <w:t xml:space="preserve"> and each share similar (clinically meaningful) risk factors. </w:t>
      </w:r>
      <w:r w:rsidR="00300FF9">
        <w:t xml:space="preserve">However, differences in the variables that are recorded across the national registries limit the ability to obtain a single generalizable model for practical use across countries. Thus, we have </w:t>
      </w:r>
      <w:r w:rsidR="00FD7AF1">
        <w:t xml:space="preserve">demonstrated </w:t>
      </w:r>
      <w:r w:rsidR="00300FF9">
        <w:t>t</w:t>
      </w:r>
      <w:r>
        <w:t xml:space="preserve">he UK-TAVI CPM </w:t>
      </w:r>
      <w:r w:rsidR="00300FF9">
        <w:t>to be</w:t>
      </w:r>
      <w:r>
        <w:t xml:space="preserve"> well calibrated both before and after correction for in-sample optimism</w:t>
      </w:r>
      <w:r w:rsidR="006567A3">
        <w:t xml:space="preserve">, with </w:t>
      </w:r>
      <w:r>
        <w:t>an AUC of 0.</w:t>
      </w:r>
      <w:r w:rsidR="007D6D7A">
        <w:t xml:space="preserve">70 </w:t>
      </w:r>
      <w:r>
        <w:t>and 0.6</w:t>
      </w:r>
      <w:r w:rsidR="007D6D7A">
        <w:t>6</w:t>
      </w:r>
      <w:r>
        <w:t xml:space="preserve"> within development and internal validation, respectively. Similar performance has been reported from the existing TAVI models </w:t>
      </w:r>
      <w:r w:rsidR="006567A3">
        <w:t xml:space="preserve">within </w:t>
      </w:r>
      <w:r>
        <w:t xml:space="preserve">datasets similar to that in which they were developed </w:t>
      </w:r>
      <w:r>
        <w:fldChar w:fldCharType="begin" w:fldLock="1"/>
      </w:r>
      <w:r>
        <w:instrText>ADDIN CSL_CITATION { "citationItems" : [ { "id" : "ITEM-1", "itemData" : { "DOI" : "10.1136/heartjnl-2013-305314", "ISSN" : "1468-201X", "PMID" : "24740804", "abstract" : "OBJECTIVE: Decision making for intervention in symptomatic aortic stenosis should balance the risks of surgery and of transcatheter aortic valve implantation (TAVI). We identified the factors associated with early mortality after TAVI and aimed to develop and validate a simple risk score. METHODS: A population of 3833 consecutive patients was randomly split into two cohorts comprising 2552 and 1281 patients, used respectively to develop and validate a scoring system predicting 30-day or in-hospital mortality. RESULTS: TAVI was performed using the Edwards Sapien prosthesis in 2551 (66.8%) patients and the Medtronic Corevalve in 1270 (33.2%). Approach was transfemoral in 2801 (73.4%) patients, transapical in 678 (17.8%), subclavian in 219 (5.7%) and other in 117 (3.1%). Early mortality was 10.0% (382 patients). A multivariate logistic model identified the following predictive factors of early mortality: age \u226590 years, body mass index &lt;30 Kg/m(2), New York Heart Association class IV, pulmonary hypertension, critical haemodynamic state, \u22652 pulmonary oedemas during the last year, respiratory insufficiency, dialysis and transapical or other (transaortic and transcarotid) approaches. A 21-point predictive score was derived. C-index was 0.67 for the score in the development cohort and 0.59 in the validation cohort. There was a good concordance between predicted and observed 30-day mortality rates in the development and validation cohorts. CONCLUSIONS: Early mortality after TAVI is mainly related to age, the severity of symptoms, comorbidities and transapical approach. A simple score can be used to predict early mortality after TAVI. The moderate discrimination is however a limitation for the accurate identification of high-risk patients.", "author" : [ { "dropping-particle" : "", "family" : "Iung", "given" : "Bernard", "non-dropping-particle" : "", "parse-names" : false, "suffix" : "" }, { "dropping-particle" : "", "family" : "Laou\u00e9nan", "given" : "C\u00e9dric", "non-dropping-particle" : "", "parse-names" : false, "suffix" : "" }, { "dropping-particle" : "", "family" : "Himbert", "given" : "Dominique", "non-dropping-particle" : "", "parse-names" : false, "suffix" : "" }, { "dropping-particle" : "", "family" : "Eltchaninoff", "given" : "H\u00e9l\u00e8ne", "non-dropping-particle" : "", "parse-names" : false, "suffix" : "" }, { "dropping-particle" : "", "family" : "Chevreul", "given" : "Karine", "non-dropping-particle" : "", "parse-names" : false, "suffix" : "" }, { "dropping-particle" : "", "family" : "Donzeau-Gouge", "given" : "Patrick", "non-dropping-particle" : "", "parse-names" : false, "suffix" : "" }, { "dropping-particle" : "", "family" : "Fajadet", "given" : "Jean", "non-dropping-particle" : "", "parse-names" : false, "suffix" : "" }, { "dropping-particle" : "", "family" : "Leprince", "given" : "Pascal", "non-dropping-particle" : "", "parse-names" : false, "suffix" : "" }, { "dropping-particle" : "", "family" : "Leguerrier", "given" : "Alain", "non-dropping-particle" : "", "parse-names" : false, "suffix" : "" }, { "dropping-particle" : "", "family" : "Li\u00e8vre", "given" : "Michel", "non-dropping-particle" : "", "parse-names" : false, "suffix" : "" }, { "dropping-particle" : "", "family" : "Prat", "given" : "Alain", "non-dropping-particle" : "", "parse-names" : false, "suffix" : "" }, { "dropping-particle" : "", "family" : "Teiger", "given" : "Emmanuel", "non-dropping-particle" : "", "parse-names" : false, "suffix" : "" }, { "dropping-particle" : "", "family" : "Laskar", "given" : "Marc", "non-dropping-particle" : "", "parse-names" : false, "suffix" : "" }, { "dropping-particle" : "", "family" : "Vahanian", "given" : "Alec", "non-dropping-particle" : "", "parse-names" : false, "suffix" : "" }, { "dropping-particle" : "", "family" : "Gilard", "given" : "Martine", "non-dropping-particle" : "", "parse-names" : false, "suffix" : "" } ], "container-title" : "Heart (British Cardiac Society)", "id" : "ITEM-1", "issue" : "13", "issued" : { "date-parts" : [ [ "2014", "7" ] ] }, "note" : "This article uses data from the \u201cFrench Aortic National CoreValve and Edwards\u201d registry in order to investigate predictive factors for early mortality after TAVI. In addition, it was aimed to develop a scoring system to predict mortality after TAVI.\u00a0 \n3933 patients who underwent TAVI in 33 French centres. The patients were classified as high risk for surgery. The primary endpoint was all cause mortality 30 days after procedure. \nStatistical analyses included the use of univariate and multivariate logistic regression to build the scoring system. Discrimination and calibration of the model were assessed using the c-index and comparing Obc/Exp respectively. \nWhen investigating the early mortality the results did report those with different ages, centres, procedure type. No difference in mortality was found in centres, volume activity, time and experience of using TAVI. Age was associate with a significant increase in early mortality. Low BMI was also linked with early mortality. \nEight patient related and one procedural related variables were identified as predictive factors of early mortality; which then was used to develop a scoring system. However, the results showed that discrimination was lacking. \nIn summary the study found nine predictive factors of early mortality after TAVI. In addition a scoring system was developed which provided reasonable but certainly room for improvement.", "page" : "1016-23", "title" : "Predictive factors of early mortality after transcatheter aortic valve implantation: individual risk assessment using a simple score.", "type" : "article-journal", "volume" : "100" }, "uris" : [ "http://www.mendeley.com/documents/?uuid=8e3a1b0f-0884-447a-8ae1-56423ba1fc4d" ] }, { "id" : "ITEM-2", "itemData" : { "DOI" : "10.1016/j.amjcard.2014.03.014", "ISSN" : "1879-1913", "PMID" : "24837264", "abstract" : "Risk stratification tools used in patients with severe aortic stenosis have been mostly derived from surgical series. Although specific predictors of early mortality with transcatheter aortic valve replacement (TAVR) have been identified, the prognostic impact of their combination is unexplored. We sought to develop a simple score, using preprocedural variables, for prediction of 30-day mortality after TAVR. A total of 1,878 patients from a national multicenter registry who underwent TAVR were randomly assigned in a 2:1 manner to development and validation data sets. Baseline characteristics of the 1,256 patients in the development data set were considered as candidate univariate predictors of 30-day mortality. A bootstrap multivariate logistic regression process was used to select correlates of 30-day mortality that were subsequently weighted and integrated into a scoring system. Seven variables were weighted proportionally to their respective odds ratios for 30-day mortality (glomerular filtration rate &lt;45 ml/min [6 points], critical preoperative state [5 points], New York Heart Association class IV [4 points], pulmonary hypertension [4 points], diabetes mellitus [4 points], previous balloon aortic valvuloplasty [3 points], and left ventricular ejection fraction &lt;40% [3 points]). The model showed good discrimination in both the development and validation data sets (C statistics 0.73 and 0.71, respectively). Compared with the logistic European System for Cardiac Operative Risk Evaluation in the validation data set, the model showed better discrimination (C statistic 0.71 vs 0.66), goodness of fit (Hosmer-Lemeshow p value 0.81 vs 0.00), and global accuracy (Brier score 0.054 vs 0.073). In conclusion, the risk of 30-day mortality after TAVR may be estimated by combining 7 baseline clinical variables into a simple risk scoring system.", "author" : [ { "dropping-particle" : "", "family" : "Capodanno", "given" : "Davide", "non-dropping-particle" : "", "parse-names" : false, "suffix" : "" }, { "dropping-particle" : "", "family" : "Barbanti", "given" : "Marco", "non-dropping-particle" : "", "parse-names" : false, "suffix" : "" }, { "dropping-particle" : "", "family" : "Tamburino", "given" : "Corrado", "non-dropping-particle" : "", "parse-names" : false, "suffix" : "" }, { "dropping-particle" : "", "family" : "D'Errigo", "given" : "Paola", "non-dropping-particle" : "", "parse-names" : false, "suffix" : "" }, { "dropping-particle" : "", "family" : "Ranucci", "given" : "Marco", "non-dropping-particle" : "", "parse-names" : false, "suffix" : "" }, { "dropping-particle" : "", "family" : "Santoro", "given" : "Gennaro", "non-dropping-particle" : "", "parse-names" : false, "suffix" : "" }, { "dropping-particle" : "", "family" : "Santini", "given" : "Francesco", "non-dropping-particle" : "", "parse-names" : false, "suffix" : "" }, { "dropping-particle" : "", "family" : "Onorati", "given" : "Francesco", "non-dropping-particle" : "", "parse-names" : false, "suffix" : "" }, { "dropping-particle" : "", "family" : "Grossi", "given" : "Claudio", "non-dropping-particle" : "", "parse-names" : false, "suffix" : "" }, { "dropping-particle" : "", "family" : "Covello", "given" : "Remo Daniel", "non-dropping-particle" : "", "parse-names" : false, "suffix" : "" }, { "dropping-particle" : "", "family" : "Capranzano", "given" : "Piera", "non-dropping-particle" : "", "parse-names" : false, "suffix" : "" }, { "dropping-particle" : "", "family" : "Rosato", "given" : "Stefano", "non-dropping-particle" : "", "parse-names" : false, "suffix" : "" }, { "dropping-particle" : "", "family" : "Seccareccia", "given" : "Fulvia", "non-dropping-particle" : "", "parse-names" : false, "suffix" : "" } ], "container-title" : "The American journal of cardiology", "id" : "ITEM-2", "issue" : "11", "issued" : { "date-parts" : [ [ "2014", "6", "1" ] ] }, "page" : "1851-8", "publisher" : "Elsevier Inc.", "title" : "A simple risk tool (the OBSERVANT score) for prediction of 30-day mortality after transcatheter aortic valve replacement.", "type" : "article-journal", "volume" : "113" }, "uris" : [ "http://www.mendeley.com/documents/?uuid=4809745f-01c3-492a-8783-4d808a6da5c5" ] }, { "id" : "ITEM-3",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"ITEM-3",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"[9\u201311]", "plainTextFormattedCitation" : "[9\u201311]", "previouslyFormattedCitation" : "[9\u201311]" }, "properties" : { "noteIndex" : 0 }, "schema" : "https://github.com/citation-style-language/schema/raw/master/csl-citation.json" }</w:instrText>
      </w:r>
      <w:r>
        <w:fldChar w:fldCharType="separate"/>
      </w:r>
      <w:r w:rsidRPr="00A03C5F">
        <w:rPr>
          <w:noProof/>
        </w:rPr>
        <w:t>[9–11]</w:t>
      </w:r>
      <w:r>
        <w:fldChar w:fldCharType="end"/>
      </w:r>
      <w:r>
        <w:t>. For example, the FRANCE-2 model had an AUC of 0.59 in a ‘test’ subset of the Fr</w:t>
      </w:r>
      <w:r w:rsidR="00C71617">
        <w:t>ench</w:t>
      </w:r>
      <w:r>
        <w:t xml:space="preserve"> registry </w:t>
      </w:r>
      <w:r>
        <w:lastRenderedPageBreak/>
        <w:fldChar w:fldCharType="begin" w:fldLock="1"/>
      </w:r>
      <w:r>
        <w:instrText>ADDIN CSL_CITATION { "citationItems" : [ { "id" : "ITEM-1", "itemData" : { "DOI" : "10.1136/heartjnl-2013-305314", "ISSN" : "1468-201X", "PMID" : "24740804", "abstract" : "OBJECTIVE: Decision making for intervention in symptomatic aortic stenosis should balance the risks of surgery and of transcatheter aortic valve implantation (TAVI). We identified the factors associated with early mortality after TAVI and aimed to develop and validate a simple risk score. METHODS: A population of 3833 consecutive patients was randomly split into two cohorts comprising 2552 and 1281 patients, used respectively to develop and validate a scoring system predicting 30-day or in-hospital mortality. RESULTS: TAVI was performed using the Edwards Sapien prosthesis in 2551 (66.8%) patients and the Medtronic Corevalve in 1270 (33.2%). Approach was transfemoral in 2801 (73.4%) patients, transapical in 678 (17.8%), subclavian in 219 (5.7%) and other in 117 (3.1%). Early mortality was 10.0% (382 patients). A multivariate logistic model identified the following predictive factors of early mortality: age \u226590 years, body mass index &lt;30 Kg/m(2), New York Heart Association class IV, pulmonary hypertension, critical haemodynamic state, \u22652 pulmonary oedemas during the last year, respiratory insufficiency, dialysis and transapical or other (transaortic and transcarotid) approaches. A 21-point predictive score was derived. C-index was 0.67 for the score in the development cohort and 0.59 in the validation cohort. There was a good concordance between predicted and observed 30-day mortality rates in the development and validation cohorts. CONCLUSIONS: Early mortality after TAVI is mainly related to age, the severity of symptoms, comorbidities and transapical approach. A simple score can be used to predict early mortality after TAVI. The moderate discrimination is however a limitation for the accurate identification of high-risk patients.", "author" : [ { "dropping-particle" : "", "family" : "Iung", "given" : "Bernard", "non-dropping-particle" : "", "parse-names" : false, "suffix" : "" }, { "dropping-particle" : "", "family" : "Laou\u00e9nan", "given" : "C\u00e9dric", "non-dropping-particle" : "", "parse-names" : false, "suffix" : "" }, { "dropping-particle" : "", "family" : "Himbert", "given" : "Dominique", "non-dropping-particle" : "", "parse-names" : false, "suffix" : "" }, { "dropping-particle" : "", "family" : "Eltchaninoff", "given" : "H\u00e9l\u00e8ne", "non-dropping-particle" : "", "parse-names" : false, "suffix" : "" }, { "dropping-particle" : "", "family" : "Chevreul", "given" : "Karine", "non-dropping-particle" : "", "parse-names" : false, "suffix" : "" }, { "dropping-particle" : "", "family" : "Donzeau-Gouge", "given" : "Patrick", "non-dropping-particle" : "", "parse-names" : false, "suffix" : "" }, { "dropping-particle" : "", "family" : "Fajadet", "given" : "Jean", "non-dropping-particle" : "", "parse-names" : false, "suffix" : "" }, { "dropping-particle" : "", "family" : "Leprince", "given" : "Pascal", "non-dropping-particle" : "", "parse-names" : false, "suffix" : "" }, { "dropping-particle" : "", "family" : "Leguerrier", "given" : "Alain", "non-dropping-particle" : "", "parse-names" : false, "suffix" : "" }, { "dropping-particle" : "", "family" : "Li\u00e8vre", "given" : "Michel", "non-dropping-particle" : "", "parse-names" : false, "suffix" : "" }, { "dropping-particle" : "", "family" : "Prat", "given" : "Alain", "non-dropping-particle" : "", "parse-names" : false, "suffix" : "" }, { "dropping-particle" : "", "family" : "Teiger", "given" : "Emmanuel", "non-dropping-particle" : "", "parse-names" : false, "suffix" : "" }, { "dropping-particle" : "", "family" : "Laskar", "given" : "Marc", "non-dropping-particle" : "", "parse-names" : false, "suffix" : "" }, { "dropping-particle" : "", "family" : "Vahanian", "given" : "Alec", "non-dropping-particle" : "", "parse-names" : false, "suffix" : "" }, { "dropping-particle" : "", "family" : "Gilard", "given" : "Martine", "non-dropping-particle" : "", "parse-names" : false, "suffix" : "" } ], "container-title" : "Heart (British Cardiac Society)", "id" : "ITEM-1", "issue" : "13", "issued" : { "date-parts" : [ [ "2014", "7" ] ] }, "note" : "This article uses data from the \u201cFrench Aortic National CoreValve and Edwards\u201d registry in order to investigate predictive factors for early mortality after TAVI. In addition, it was aimed to develop a scoring system to predict mortality after TAVI.\u00a0 \n3933 patients who underwent TAVI in 33 French centres. The patients were classified as high risk for surgery. The primary endpoint was all cause mortality 30 days after procedure. \nStatistical analyses included the use of univariate and multivariate logistic regression to build the scoring system. Discrimination and calibration of the model were assessed using the c-index and comparing Obc/Exp respectively. \nWhen investigating the early mortality the results did report those with different ages, centres, procedure type. No difference in mortality was found in centres, volume activity, time and experience of using TAVI. Age was associate with a significant increase in early mortality. Low BMI was also linked with early mortality. \nEight patient related and one procedural related variables were identified as predictive factors of early mortality; which then was used to develop a scoring system. However, the results showed that discrimination was lacking. \nIn summary the study found nine predictive factors of early mortality after TAVI. In addition a scoring system was developed which provided reasonable but certainly room for improvement.", "page" : "1016-23", "title" : "Predictive factors of early mortality after transcatheter aortic valve implantation: individual risk assessment using a simple score.", "type" : "article-journal", "volume" : "100" }, "uris" : [ "http://www.mendeley.com/documents/?uuid=8e3a1b0f-0884-447a-8ae1-56423ba1fc4d" ] } ], "mendeley" : { "formattedCitation" : "[9]", "plainTextFormattedCitation" : "[9]", "previouslyFormattedCitation" : "[9]" }, "properties" : { "noteIndex" : 0 }, "schema" : "https://github.com/citation-style-language/schema/raw/master/csl-citation.json" }</w:instrText>
      </w:r>
      <w:r>
        <w:fldChar w:fldCharType="separate"/>
      </w:r>
      <w:r w:rsidRPr="00A03C5F">
        <w:rPr>
          <w:noProof/>
        </w:rPr>
        <w:t>[9]</w:t>
      </w:r>
      <w:r>
        <w:fldChar w:fldCharType="end"/>
      </w:r>
      <w:r>
        <w:t xml:space="preserve">, and the AUC within an internal validation of the ACC TAVI model was 0.66 </w:t>
      </w:r>
      <w:r>
        <w:fldChar w:fldCharType="begin" w:fldLock="1"/>
      </w:r>
      <w:r>
        <w:instrText>ADDIN CSL_CITATION { "citationItems" : [ { "id" : "ITEM-1",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"ITEM-1",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"[11]", "plainTextFormattedCitation" : "[11]", "previouslyFormattedCitation" : "[11]" }, "properties" : { "noteIndex" : 0 }, "schema" : "https://github.com/citation-style-language/schema/raw/master/csl-citation.json" }</w:instrText>
      </w:r>
      <w:r>
        <w:fldChar w:fldCharType="separate"/>
      </w:r>
      <w:r w:rsidRPr="00A03C5F">
        <w:rPr>
          <w:noProof/>
        </w:rPr>
        <w:t>[11]</w:t>
      </w:r>
      <w:r>
        <w:fldChar w:fldCharType="end"/>
      </w:r>
      <w:r>
        <w:t>.</w:t>
      </w:r>
      <w:r w:rsidR="00DD6AB9">
        <w:t xml:space="preserve"> </w:t>
      </w:r>
      <w:r w:rsidR="004A59BC">
        <w:t xml:space="preserve">However, </w:t>
      </w:r>
      <w:r w:rsidR="008E6607">
        <w:t xml:space="preserve">a previous analysis of the UK registry found that </w:t>
      </w:r>
      <w:r w:rsidR="004A59BC">
        <w:t>the</w:t>
      </w:r>
      <w:r w:rsidR="008E6607">
        <w:t xml:space="preserve"> AUC </w:t>
      </w:r>
      <w:r w:rsidR="004A59BC">
        <w:t>of the existing TAVI CPMs</w:t>
      </w:r>
      <w:r w:rsidR="008E6607">
        <w:t xml:space="preserve"> </w:t>
      </w:r>
      <w:r w:rsidR="00554E3E">
        <w:t>was</w:t>
      </w:r>
      <w:r w:rsidR="008E6607">
        <w:t xml:space="preserve"> below 0.64</w:t>
      </w:r>
      <w:r w:rsidR="00554E3E">
        <w:t xml:space="preserve"> within the UK cohort</w:t>
      </w:r>
      <w:r w:rsidR="008E6607">
        <w:t xml:space="preserve"> </w:t>
      </w:r>
      <w:r>
        <w:fldChar w:fldCharType="begin" w:fldLock="1"/>
      </w:r>
      <w:r w:rsidR="003F7F49">
        <w:instrText>ADDIN CSL_CITATION { "citationItems" : [ { "id" : "ITEM-1", "itemData" : { "DOI" : "10.1016/j.ahj.2016.10.020", "ISSN" : "00028703", "author" : [ { "dropping-particle" : "", "family" : "Martin", "given" : "Glen Philip", "non-dropping-particle" : "", "parse-names" : false, "suffix" : "" }, { "dropping-particle" : "", "family" : "Sperrin", "given" : "Matthew", "non-dropping-particle" : "", "parse-names" : false, "suffix" : "" }, { "dropping-particle" : "", "family" : "Ludman", "given" : "Peter F.", "non-dropping-particle" : "", "parse-names" : false, "suffix" : "" }, { "dropping-particle" : "", "family" : "Belder", "given" : "Mark A.", "non-dropping-particle" : "de", "parse-names" : false, "suffix" : "" }, { "dropping-particle" : "", "family" : "Gale", "given" : "Chris P.", "non-dropping-particle" : "", "parse-names" : false, "suffix" : "" }, { "dropping-particle" : "", "family" : "Toff", "given" : "William D.", "non-dropping-particle" : "", "parse-names" : false, "suffix" : "" }, { "dropping-particle" : "", "family" : "Moat", "given" : "Neil E.", "non-dropping-particle" : "", "parse-names" : false, "suffix" : "" }, { "dropping-particle" : "", "family" : "Trivedi", "given" : "Uday", "non-dropping-particle" : "", "parse-names" : false, "suffix" : "" }, { "dropping-particle" : "", "family" : "Buchan", "given" : "Iain", "non-dropping-particle" : "", "parse-names" : false, "suffix" : "" }, { "dropping-particle" : "", "family" : "Mamas", "given" : "Mamas A.", "non-dropping-particle" : "", "parse-names" : false, "suffix" : "" } ], "container-title" : "American Heart Journal", "id" : "ITEM-1", "issued" : { "date-parts" : [ [ "2017", "2" ] ] }, "page" : "97-105", "title" : "Inadequacy of existing clinical prediction models for predicting mortality after transcatheter aortic valve implantation", "type" : "article-journal", "volume" : "184" }, "uris" : [ "http://www.mendeley.com/documents/?uuid=02561193-3c06-4533-bd1b-35d7766afe68" ] } ], "mendeley" : { "formattedCitation" : "[13]", "plainTextFormattedCitation" : "[13]", "previouslyFormattedCitation" : "[13]" }, "properties" : { "noteIndex" : 0 }, "schema" : "https://github.com/citation-style-language/schema/raw/master/csl-citation.json" }</w:instrText>
      </w:r>
      <w:r>
        <w:fldChar w:fldCharType="separate"/>
      </w:r>
      <w:r w:rsidR="00EE13ED" w:rsidRPr="00EE13ED">
        <w:rPr>
          <w:noProof/>
        </w:rPr>
        <w:t>[13]</w:t>
      </w:r>
      <w:r>
        <w:fldChar w:fldCharType="end"/>
      </w:r>
      <w:r>
        <w:t>.</w:t>
      </w:r>
    </w:p>
    <w:p w14:paraId="0F2DC737" w14:textId="497D02F6" w:rsidR="00CE1D30" w:rsidRDefault="005E36BC" w:rsidP="002D19F1">
      <w:pPr>
        <w:ind w:firstLine="720"/>
      </w:pPr>
      <w:r>
        <w:t xml:space="preserve">The limited discrimination of the UK-TAVI CPM means that </w:t>
      </w:r>
      <w:r w:rsidR="00CC1679">
        <w:t xml:space="preserve">this model is </w:t>
      </w:r>
      <w:r>
        <w:t>not yet ready for deployment when attempting to assess risk in individual cases.</w:t>
      </w:r>
      <w:r w:rsidR="00CC1679">
        <w:t xml:space="preserve"> While, o</w:t>
      </w:r>
      <w:r>
        <w:t xml:space="preserve">ne could question the need </w:t>
      </w:r>
      <w:r w:rsidR="00CE1D30">
        <w:t xml:space="preserve">to use </w:t>
      </w:r>
      <w:r w:rsidR="005B6FC3">
        <w:t xml:space="preserve">TAVI </w:t>
      </w:r>
      <w:r w:rsidR="00CE1D30">
        <w:t xml:space="preserve">CPMs </w:t>
      </w:r>
      <w:r w:rsidR="005B6FC3">
        <w:t xml:space="preserve">in such a capacity </w:t>
      </w:r>
      <w:r w:rsidR="00CE1D30">
        <w:t xml:space="preserve">given the emerging evidence supporting expansion into low/intermediate risk patients </w:t>
      </w:r>
      <w:r w:rsidR="00CE1D30">
        <w:fldChar w:fldCharType="begin" w:fldLock="1"/>
      </w:r>
      <w:r w:rsidR="00CE1D30">
        <w:instrText>ADDIN CSL_CITATION { "citationItems" : [ { "id" : "ITEM-1", "itemData" : { "DOI" : "10.1056/NEJMoa1514616", "ISSN" : "0028-4793", "PMID" : "27040324", "author" : [ { "dropping-particle" : "", "family" : "Leon", "given" : "Martin B.", "non-dropping-particle" : "", "parse-names" : false, "suffix" : "" }, { "dropping-particle" : "", "family" : "Smith", "given" : "Craig R.", "non-dropping-particle" : "", "parse-names" : false, "suffix" : "" }, { "dropping-particle" : "", "family" : "Mack", "given" : "Michael J.", "non-dropping-particle" : "", "parse-names" : false, "suffix" : "" }, { "dropping-particle" : "", "family" : "Makkar", "given" : "Raj R.", "non-dropping-particle" : "", "parse-names" : false, "suffix" : "" }, { "dropping-particle" : "", "family" : "Svensson", "given" : "Lars G.", "non-dropping-particle" : "", "parse-names" : false, "suffix" : "" }, { "dropping-particle" : "", "family" : "Kodali", "given" : "Susheel K.", "non-dropping-particle" : "", "parse-names" : false, "suffix" : "" }, { "dropping-particle" : "", "family" : "Thourani", "given" : "Vinod H.", "non-dropping-particle" : "", "parse-names" : false, "suffix" : "" }, { "dropping-particle" : "", "family" : "Tuzcu", "given" : "E. Murat", "non-dropping-particle" : "", "parse-names" : false, "suffix" : "" }, { "dropping-particle" : "", "family" : "Miller", "given" : "D. Craig", "non-dropping-particle" : "", "parse-names" : false, "suffix" : "" }, { "dropping-particle" : "", "family" : "Herrmann", "given" : "Howard C.", "non-dropping-particle" : "", "parse-names" : false, "suffix" : "" }, { "dropping-particle" : "", "family" : "Doshi", "given" : "Darshan", "non-dropping-particle" : "", "parse-names" : false, "suffix" : "" }, { "dropping-particle" : "", "family" : "Cohen", "given" : "David J.", "non-dropping-particle" : "", "parse-names" : false, "suffix" : "" }, { "dropping-particle" : "", "family" : "Pichard", "given" : "Augusto D.", "non-dropping-particle" : "", "parse-names" : false, "suffix" : "" }, { "dropping-particle" : "", "family" : "Kapadia", "given" : "Samir", "non-dropping-particle" : "", "parse-names" : false, "suffix" : "" }, { "dropping-particle" : "", "family" : "Dewey", "given" : "Todd", "non-dropping-particle" : "", "parse-names" : false, "suffix" : "" }, { "dropping-particle" : "", "family" : "Babaliaros", "given" : "Vasilis", "non-dropping-particle" : "", "parse-names" : false, "suffix" : "" }, { "dropping-particle" : "", "family" : "Szeto", "given" : "Wilson Y.", "non-dropping-particle" : "", "parse-names" : false, "suffix" : "" }, { "dropping-particle" : "", "family" : "Williams", "given" : "Mathew R.", "non-dropping-particle" : "", "parse-names" : false, "suffix" : "" }, { "dropping-particle" : "", "family" : "Kereiakes", "given" : "Dean", "non-dropping-particle" : "", "parse-names" : false, "suffix" : "" }, { "dropping-particle" : "", "family" : "Zajarias", "given" : "Alan", "non-dropping-particle" : "", "parse-names" : false, "suffix" : "" }, { "dropping-particle" : "", "family" : "Greason", "given" : "Kevin L.", "non-dropping-particle" : "", "parse-names" : false, "suffix" : "" }, { "dropping-particle" : "", "family" : "Whisenant", "given" : "Brian K.", "non-dropping-particle" : "", "parse-names" : false, "suffix" : "" }, { "dropping-particle" : "", "family" : "Hodson", "given" : "Robert W.", "non-dropping-particle" : "", "parse-names" : false, "suffix" : "" }, { "dropping-particle" : "", "family" : "Moses", "given" : "Jeffrey W.", "non-dropping-particle" : "", "parse-names" : false, "suffix" : "" }, { "dropping-particle" : "", "family" : "Trento", "given" : "Alfredo", "non-dropping-particle" : "", "parse-names" : false, "suffix" : "" }, { "dropping-particle" : "", "family" : "Brown", "given" : "David L.", "non-dropping-particle" : "", "parse-names" : false, "suffix" : "" }, { "dropping-particle" : "", "family" : "Fearon", "given" : "William F.", "non-dropping-particle" : "", "parse-names" : false, "suffix" : "" }, { "dropping-particle" : "", "family" : "Pibarot", "given" : "Philippe", "non-dropping-particle" : "", "parse-names" : false, "suffix" : "" }, { "dropping-particle" : "", "family" : "Hahn", "given" : "Rebecca T.", "non-dropping-particle" : "", "parse-names" : false, "suffix" : "" }, { "dropping-particle" : "", "family" : "Jaber", "given" : "Wael A.", "non-dropping-particle" : "", "parse-names" : false, "suffix" : "" }, { "dropping-particle" : "", "family" : "Anderson", "given" : "William N.", "non-dropping-particle" : "", "parse-names" : false, "suffix" : "" }, { "dropping-particle" : "", "family" : "Alu", "given" : "Maria C.", "non-dropping-particle" : "", "parse-names" : false, "suffix" : "" }, { "dropping-particle" : "", "family" : "Webb", "given" : "John G.", "non-dropping-particle" : "", "parse-names" : false, "suffix" : "" } ], "container-title" : "New England Journal of Medicine", "id" : "ITEM-1", "issue" : "17", "issued" : { "date-parts" : [ [ "2016", "4", "28" ] ] }, "page" : "1609-1620", "title" : "Transcatheter or Surgical Aortic-Valve Replacement in Intermediate-Risk Patients", "type" : "article-journal", "volume" : "374" }, "uris" : [ "http://www.mendeley.com/documents/?uuid=e0b992cc-7a9e-47bc-a08a-e4b0628b6d43" ] } ], "mendeley" : { "formattedCitation" : "[3]", "plainTextFormattedCitation" : "[3]", "previouslyFormattedCitation" : "[3]" }, "properties" : { "noteIndex" : 0 }, "schema" : "https://github.com/citation-style-language/schema/raw/master/csl-citation.json" }</w:instrText>
      </w:r>
      <w:r w:rsidR="00CE1D30">
        <w:fldChar w:fldCharType="separate"/>
      </w:r>
      <w:r w:rsidR="00CE1D30" w:rsidRPr="003F3484">
        <w:rPr>
          <w:noProof/>
        </w:rPr>
        <w:t>[3]</w:t>
      </w:r>
      <w:r w:rsidR="00CE1D30">
        <w:fldChar w:fldCharType="end"/>
      </w:r>
      <w:r w:rsidR="00CC1679">
        <w:t xml:space="preserve">, </w:t>
      </w:r>
      <w:r w:rsidR="00DD6AB9">
        <w:t>CPMs</w:t>
      </w:r>
      <w:r w:rsidR="00CC1679">
        <w:t xml:space="preserve"> </w:t>
      </w:r>
      <w:r w:rsidR="00CE1D30">
        <w:t xml:space="preserve">are fundamental to appropriately adjust for case-mix when investigating post-procedural outcomes across centres. In particular, the assessment of TAVI futility should consider multiple outcomes, including mortality, quality of life and hospital re-admission, </w:t>
      </w:r>
      <w:r w:rsidR="00CC1679">
        <w:t xml:space="preserve">but </w:t>
      </w:r>
      <w:r w:rsidR="00CE1D30">
        <w:t xml:space="preserve">the variability in the calibration intercept per TAVI centre </w:t>
      </w:r>
      <w:r w:rsidR="00335B6B">
        <w:t>(</w:t>
      </w:r>
      <w:r w:rsidR="00335B6B">
        <w:rPr>
          <w:b/>
        </w:rPr>
        <w:t xml:space="preserve">Figure </w:t>
      </w:r>
      <w:r w:rsidR="001110D7">
        <w:rPr>
          <w:b/>
        </w:rPr>
        <w:t>4</w:t>
      </w:r>
      <w:r w:rsidR="00335B6B">
        <w:t xml:space="preserve">) </w:t>
      </w:r>
      <w:r w:rsidR="00CE1D30" w:rsidRPr="00335B6B">
        <w:t>indicates</w:t>
      </w:r>
      <w:r w:rsidR="00CE1D30">
        <w:t xml:space="preserve"> the importance of case-mix adjustment when comparing mortality </w:t>
      </w:r>
      <w:r w:rsidR="00FD7AF1">
        <w:t>rates</w:t>
      </w:r>
      <w:r w:rsidR="00CE1D30">
        <w:t xml:space="preserve">. Consequently, the </w:t>
      </w:r>
      <w:r w:rsidR="00B41E17">
        <w:t xml:space="preserve">herein derived </w:t>
      </w:r>
      <w:r w:rsidR="00CE1D30">
        <w:t xml:space="preserve">model presents </w:t>
      </w:r>
      <w:r w:rsidR="00D25232">
        <w:t xml:space="preserve">an important step in facilitating appropriate adjustment for case-mix when making centre level outcome comparisons </w:t>
      </w:r>
      <w:r w:rsidR="00CE1D30">
        <w:t>in UK patients, with similar applications undertaken within the STS</w:t>
      </w:r>
      <w:r w:rsidR="00CE1D30" w:rsidRPr="009E3D27">
        <w:t>/</w:t>
      </w:r>
      <w:r w:rsidR="00CE1D30">
        <w:t>ACC</w:t>
      </w:r>
      <w:r w:rsidR="00CE1D30" w:rsidRPr="009E3D27">
        <w:t xml:space="preserve"> Transcathe</w:t>
      </w:r>
      <w:r w:rsidR="00CE1D30">
        <w:t xml:space="preserve">ter Valve Therapy </w:t>
      </w:r>
      <w:r w:rsidR="00CE1D30" w:rsidRPr="009E3D27">
        <w:t>Registry</w:t>
      </w:r>
      <w:r w:rsidR="00CE1D30">
        <w:t xml:space="preserve"> using the ACC model </w:t>
      </w:r>
      <w:r w:rsidR="00CE1D30">
        <w:fldChar w:fldCharType="begin" w:fldLock="1"/>
      </w:r>
      <w:r w:rsidR="00CE1D30">
        <w:instrText>ADDIN CSL_CITATION { "citationItems" : [ { "id" : "ITEM-1", "itemData" : { "DOI" : "10.1001/jamacardio.2015.0326", "ISSN" : "2380-6583", "author" : [ { "dropping-particle" : "", "family" : "Edwards", "given" : "Fred H.", "non-dropping-particle" : "", "parse-names" : false, "suffix" : "" }, { "dropping-particle" : "", "family" : "Cohen", "given" : "David J.", "non-dropping-particle" : "", "parse-names" : false, "suffix" : "" }, { "dropping-particle" : "", "family" : "O\u2019Brien", "given" : "Sean M.", "non-dropping-particle" : "", "parse-names" : false, "suffix" : "" }, { "dropping-particle" : "", "family" : "Peterson", "given" : "Eric D.", "non-dropping-particle" : "", "parse-names" : false, "suffix" : "" }, { "dropping-particle" : "", "family" : "Mack", "given" : "Michael J.", "non-dropping-particle" : "", "parse-names" : false, "suffix" : "" }, { "dropping-particle" : "", "family" : "Shahian", "given" : "David M.", "non-dropping-particle" : "", "parse-names" : false, "suffix" : "" }, { "dropping-particle" : "", "family" : "Grover", "given" : "Frederick L.", "non-dropping-particle" : "", "parse-names" : false, "suffix" : "" }, { "dropping-particle" : "", "family" : "Tuzcu", "given" : "E. Murat", "non-dropping-particle" : "", "parse-names" : false, "suffix" : "" }, { "dropping-particle" : "", "family" : "Thourani", "given" : "Vinod H.", "non-dropping-particle" : "", "parse-names" : false, "suffix" : "" }, { "dropping-particle" : "", "family" : "Carroll", "given" : "John", "non-dropping-particle" : "", "parse-names" : false, "suffix" : "" }, { "dropping-particle" : "", "family" : "Brennan", "given" : "J. Matthew", "non-dropping-particle" : "", "parse-names" : false, "suffix" : "" }, { "dropping-particle" : "", "family" : "Brindis", "given" : "Ralph G.", "non-dropping-particle" : "", "parse-names" : false, "suffix" : "" }, { "dropping-particle" : "", "family" : "Rumsfeld", "given" : "John", "non-dropping-particle" : "", "parse-names" : false, "suffix" : "" }, { "dropping-particle" : "", "family" : "Holmes", "given" : "David R.", "non-dropping-particle" : "", "parse-names" : false, "suffix" : "" } ], "container-title" : "JAMA Cardiology", "id" : "ITEM-1", "issue" : "1", "issued" : { "date-parts" : [ [ "2016", "4", "1" ] ] }, "page" : "46", "title" : "Development and Validation of a Risk Prediction Model for In-Hospital Mortality After Transcatheter Aortic Valve Replacement", "type" : "article-journal", "volume" : "1" }, "uris" : [ "http://www.mendeley.com/documents/?uuid=2c8944b5-1726-42c3-8329-ed1e5851e209" ] } ], "mendeley" : { "formattedCitation" : "[11]", "plainTextFormattedCitation" : "[11]", "previouslyFormattedCitation" : "[11]" }, "properties" : { "noteIndex" : 0 }, "schema" : "https://github.com/citation-style-language/schema/raw/master/csl-citation.json" }</w:instrText>
      </w:r>
      <w:r w:rsidR="00CE1D30">
        <w:fldChar w:fldCharType="separate"/>
      </w:r>
      <w:r w:rsidR="00CE1D30" w:rsidRPr="00A03C5F">
        <w:rPr>
          <w:noProof/>
        </w:rPr>
        <w:t>[11]</w:t>
      </w:r>
      <w:r w:rsidR="00CE1D30">
        <w:fldChar w:fldCharType="end"/>
      </w:r>
      <w:r w:rsidR="00CE1D30">
        <w:t>.</w:t>
      </w:r>
    </w:p>
    <w:p w14:paraId="3A76F8AB" w14:textId="68884C9B" w:rsidR="00CC1679" w:rsidRDefault="00CC1679" w:rsidP="00CC1679">
      <w:pPr>
        <w:ind w:firstLine="720"/>
      </w:pPr>
      <w:r>
        <w:t>However, it is inevitable that predictive performance will decrease when the UK-TAVI CPM is applied in populations distinct to that in which it was developed (external validation)</w:t>
      </w:r>
      <w:r w:rsidR="00A05FAB">
        <w:t xml:space="preserve"> </w:t>
      </w:r>
      <w:r w:rsidR="00A05FAB">
        <w:fldChar w:fldCharType="begin" w:fldLock="1"/>
      </w:r>
      <w:r w:rsidR="00A05FAB">
        <w:instrText>ADDIN CSL_CITATION { "citationItems" : [ { "id" : "ITEM-1", "itemData" : { "DOI" : "10.1007/978-0-387-77244-8", "ISBN" : "978-0-387-77243-1", "author" : [ { "dropping-particle" : "", "family" : "Steyerberg", "given" : "E.W.", "non-dropping-particle" : "", "parse-names" : false, "suffix" : "" } ], "collection-title" : "Statistics for Biology and Health", "container-title" : "Statistics for Biology and Health", "id" : "ITEM-1", "issued" : { "date-parts" : [ [ "2009" ] ] }, "number-of-pages" : "1-508", "publisher" : "Springer New York", "publisher-place" : "New York, NY", "title" : "Clinical Prediction Models", "type" : "book" }, "uris" : [ "http://www.mendeley.com/documents/?uuid=3347b622-912c-4203-bc11-6dc09d22fc01" ] } ], "mendeley" : { "formattedCitation" : "[22]", "plainTextFormattedCitation" : "[22]", "previouslyFormattedCitation" : "[22]" }, "properties" : { "noteIndex" : 0 }, "schema" : "https://github.com/citation-style-language/schema/raw/master/csl-citation.json" }</w:instrText>
      </w:r>
      <w:r w:rsidR="00A05FAB">
        <w:fldChar w:fldCharType="separate"/>
      </w:r>
      <w:r w:rsidR="00A05FAB" w:rsidRPr="00A05FAB">
        <w:rPr>
          <w:noProof/>
        </w:rPr>
        <w:t>[22]</w:t>
      </w:r>
      <w:r w:rsidR="00A05FAB">
        <w:fldChar w:fldCharType="end"/>
      </w:r>
      <w:r>
        <w:t xml:space="preserve">, as observed when our group applied the France, Italian and American TAVI CPMs to the UK population </w:t>
      </w:r>
      <w:r>
        <w:fldChar w:fldCharType="begin" w:fldLock="1"/>
      </w:r>
      <w:r w:rsidR="003F7F49">
        <w:instrText>ADDIN CSL_CITATION { "citationItems" : [ { "id" : "ITEM-1", "itemData" : { "DOI" : "10.1016/j.ahj.2016.10.020", "ISSN" : "00028703", "author" : [ { "dropping-particle" : "", "family" : "Martin", "given" : "Glen Philip", "non-dropping-particle" : "", "parse-names" : false, "suffix" : "" }, { "dropping-particle" : "", "family" : "Sperrin", "given" : "Matthew", "non-dropping-particle" : "", "parse-names" : false, "suffix" : "" }, { "dropping-particle" : "", "family" : "Ludman", "given" : "Peter F.", "non-dropping-particle" : "", "parse-names" : false, "suffix" : "" }, { "dropping-particle" : "", "family" : "Belder", "given" : "Mark A.", "non-dropping-particle" : "de", "parse-names" : false, "suffix" : "" }, { "dropping-particle" : "", "family" : "Gale", "given" : "Chris P.", "non-dropping-particle" : "", "parse-names" : false, "suffix" : "" }, { "dropping-particle" : "", "family" : "Toff", "given" : "William D.", "non-dropping-particle" : "", "parse-names" : false, "suffix" : "" }, { "dropping-particle" : "", "family" : "Moat", "given" : "Neil E.", "non-dropping-particle" : "", "parse-names" : false, "suffix" : "" }, { "dropping-particle" : "", "family" : "Trivedi", "given" : "Uday", "non-dropping-particle" : "", "parse-names" : false, "suffix" : "" }, { "dropping-particle" : "", "family" : "Buchan", "given" : "Iain", "non-dropping-particle" : "", "parse-names" : false, "suffix" : "" }, { "dropping-particle" : "", "family" : "Mamas", "given" : "Mamas A.", "non-dropping-particle" : "", "parse-names" : false, "suffix" : "" } ], "container-title" : "American Heart Journal", "id" : "ITEM-1", "issued" : { "date-parts" : [ [ "2017", "2" ] ] }, "page" : "97-105", "title" : "Inadequacy of existing clinical prediction models for predicting mortality after transcatheter aortic valve implantation", "type" : "article-journal", "volume" : "184" }, "uris" : [ "http://www.mendeley.com/documents/?uuid=02561193-3c06-4533-bd1b-35d7766afe68" ] } ], "mendeley" : { "formattedCitation" : "[13]", "plainTextFormattedCitation" : "[13]", "previouslyFormattedCitation" : "[13]" }, "properties" : { "noteIndex" : 0 }, "schema" : "https://github.com/citation-style-language/schema/raw/master/csl-citation.json" }</w:instrText>
      </w:r>
      <w:r>
        <w:fldChar w:fldCharType="separate"/>
      </w:r>
      <w:r w:rsidR="00EE13ED" w:rsidRPr="00EE13ED">
        <w:rPr>
          <w:noProof/>
        </w:rPr>
        <w:t>[13]</w:t>
      </w:r>
      <w:r>
        <w:fldChar w:fldCharType="end"/>
      </w:r>
      <w:r>
        <w:t xml:space="preserve">. Since the primary aim of the UK-TAVI CPM is for national benchmarking, the main </w:t>
      </w:r>
      <w:r w:rsidR="00FD7AF1">
        <w:t>implementation of this model will be within UK patients</w:t>
      </w:r>
      <w:r>
        <w:t xml:space="preserve">. To this end, the split sample method of internal validation (randomly splitting the data into training and test sets) is common, but this is an inefficient use of data </w:t>
      </w:r>
      <w:r>
        <w:fldChar w:fldCharType="begin" w:fldLock="1"/>
      </w:r>
      <w:r w:rsidR="00A05FAB">
        <w:instrText>ADDIN CSL_CITATION { "citationItems" : [ { "id" : "ITEM-1", "itemData" : { "DOI" : "10.1177/0962280214558972", "ISSN" : "0962-2802", "PMID" : "25411322", "abstract" : "We conducted an extensive set of empirical analyses to examine the effect of the number of events per variable (EPV) on the relative performance of three different methods for assessing the predictive accuracy of a logistic regression model: apparent performance in the analysis sample, split-sample validation, and optimism correction using bootstrap methods. Using a single dataset of patients hospitalized with heart failure, we compared the estimates of discriminatory performance from these methods to those for a very large independent validation sample arising from the same population. As anticipated, the apparent performance was optimistically biased, with the degree of optimism diminishing as the number of events per variable increased. Differences between the bootstrap-corrected approach and the use of an independent validation sample were minimal once the number of events per variable was at least 20. Split-sample assessment resulted in too pessimistic and highly uncertain estimates of model performance. Apparent performance estimates had lower mean squared error compared to split-sample estimates, but the lowest mean squared error was obtained by bootstrap-corrected optimism estimates. For bias, variance, and mean squared error of the performance estimates, the penalty incurred by using split-sample validation was equivalent to reducing the sample size by a proportion equivalent to the proportion of the sample that was withheld for model validation. In conclusion, split-sample validation is inefficient and apparent performance is too optimistic for internal validation of regression-based prediction models. Modern validation methods, such as bootstrap-based optimism correction, are preferable. While these findings may be unsurprising to many statisticians, the results of the current study reinforce what should be considered good statistical practice in the development and validation of clinical prediction models.", "author" : [ { "dropping-particle" : "", "family" : "Austin", "given" : "Peter C", "non-dropping-particle" : "", "parse-names" : false, "suffix" : "" }, { "dropping-particle" : "", "family" : "Steyerberg", "given" : "Ewout W", "non-dropping-particle" : "", "parse-names" : false, "suffix" : "" } ], "container-title" : "Statistical Methods in Medical Research", "id" : "ITEM-1", "issued" : { "date-parts" : [ [ "2014", "11", "19" ] ] }, "title" : "Events per variable (EPV) and the relative performance of different strategies for estimating the out-of-sample validity of logistic regression models", "type" : "article-journal" }, "uris" : [ "http://www.mendeley.com/documents/?uuid=1546e3e1-06da-41fe-9630-37c921867d10" ] } ], "mendeley" : { "formattedCitation" : "[25]", "plainTextFormattedCitation" : "[25]", "previouslyFormattedCitation" : "[25]" }, "properties" : { "noteIndex" : 0 }, "schema" : "https://github.com/citation-style-language/schema/raw/master/csl-citation.json" }</w:instrText>
      </w:r>
      <w:r>
        <w:rPr>
          <w:vertAlign w:val="superscript"/>
        </w:rPr>
        <w:fldChar w:fldCharType="separate"/>
      </w:r>
      <w:r w:rsidR="00A05FAB" w:rsidRPr="00A05FAB">
        <w:rPr>
          <w:noProof/>
        </w:rPr>
        <w:t>[25]</w:t>
      </w:r>
      <w:r>
        <w:fldChar w:fldCharType="end"/>
      </w:r>
      <w:r>
        <w:t xml:space="preserve">. Consequently, we applied bootstrapping methods to estimate the likely performance of the </w:t>
      </w:r>
      <w:r w:rsidR="00004525">
        <w:t xml:space="preserve">model </w:t>
      </w:r>
      <w:r>
        <w:t xml:space="preserve">in samples drawn from the registry. While lack of new and independent data from the UK registry meant that external validation was not possible, such an assessment of model performance will need to be </w:t>
      </w:r>
      <w:r>
        <w:lastRenderedPageBreak/>
        <w:t xml:space="preserve">undertaken by independent investigators </w:t>
      </w:r>
      <w:r>
        <w:fldChar w:fldCharType="begin" w:fldLock="1"/>
      </w:r>
      <w:r w:rsidR="00A05FAB">
        <w:instrText>ADDIN CSL_CITATION { "citationItems" : [ { "id" : "ITEM-1", "itemData" : { "DOI" : "10.1007/s40140-016-0171-8", "ISBN" : "4014001601", "ISSN" : "2167-6275", "author" : [ { "dropping-particle" : "", "family" : "Collins", "given" : "Gary S.", "non-dropping-particle" : "", "parse-names" : false, "suffix" : "" }, { "dropping-particle" : "", "family" : "Ma", "given" : "Jie", "non-dropping-particle" : "", "parse-names" : false, "suffix" : "" }, { "dropping-particle" : "", "family" : "Gerry", "given" : "Stephen", "non-dropping-particle" : "", "parse-names" : false, "suffix" : "" }, { "dropping-particle" : "", "family" : "Ohuma", "given" : "Eric", "non-dropping-particle" : "", "parse-names" : false, "suffix" : "" }, { "dropping-particle" : "", "family" : "Odondi", "given" : "Lang\u2019O", "non-dropping-particle" : "", "parse-names" : false, "suffix" : "" }, { "dropping-particle" : "", "family" : "Trivella", "given" : "Marialena", "non-dropping-particle" : "", "parse-names" : false, "suffix" : "" }, { "dropping-particle" : "", "family" : "Beyer", "given" : "Jennifer", "non-dropping-particle" : "De", "parse-names" : false, "suffix" : "" }, { "dropping-particle" : "", "family" : "Vazquez-Montes", "given" : "Maria D. L. A.", "non-dropping-particle" : "", "parse-names" : false, "suffix" : "" } ], "container-title" : "Current Anesthesiology Reports", "id" : "ITEM-1", "issue" : "3", "issued" : { "date-parts" : [ [ "2016", "9", "5" ] ] }, "page" : "267-275", "publisher" : "Springer US", "title" : "Risk Prediction Models in Perioperative Medicine: Methodological Considerations", "type" : "article-journal", "volume" : "6" }, "uris" : [ "http://www.mendeley.com/documents/?uuid=ad04e683-b54d-4cff-92cc-a638265a6b1d" ] } ], "mendeley" : { "formattedCitation" : "[29]", "plainTextFormattedCitation" : "[29]", "previouslyFormattedCitation" : "[30]" }, "properties" : { "noteIndex" : 0 }, "schema" : "https://github.com/citation-style-language/schema/raw/master/csl-citation.json" }</w:instrText>
      </w:r>
      <w:r>
        <w:fldChar w:fldCharType="separate"/>
      </w:r>
      <w:r w:rsidR="00A05FAB" w:rsidRPr="00A05FAB">
        <w:rPr>
          <w:noProof/>
        </w:rPr>
        <w:t>[29]</w:t>
      </w:r>
      <w:r>
        <w:fldChar w:fldCharType="end"/>
      </w:r>
      <w:r>
        <w:t xml:space="preserve">. As such, we encourage the validation of </w:t>
      </w:r>
      <w:r w:rsidR="00FD7AF1">
        <w:t>our</w:t>
      </w:r>
      <w:r>
        <w:t xml:space="preserve"> model in future extracts of the UK registry to assess temporal validation. Unquestionably, the UK-TAVI CPM should not be regarded as a static tool</w:t>
      </w:r>
      <w:r w:rsidR="005B6FC3">
        <w:t xml:space="preserve">, and </w:t>
      </w:r>
      <w:r w:rsidR="00B42B8C">
        <w:t>the discovery of novel predictors will be fundamental for deriving future TAVI models</w:t>
      </w:r>
      <w:r>
        <w:t xml:space="preserve">. The rapid development of TAVI techniques, knowledge and technology, combined with the possible </w:t>
      </w:r>
      <w:r w:rsidR="00FD7AF1">
        <w:t>expansion</w:t>
      </w:r>
      <w:r>
        <w:t xml:space="preserve"> in</w:t>
      </w:r>
      <w:r w:rsidR="00FD7AF1">
        <w:t>to</w:t>
      </w:r>
      <w:r>
        <w:t xml:space="preserve"> lower risk patients, means the model should be continuously updated. The model needs to be maintained using contemporary extracts of the registry to avoid the calibration drift commonly observed in CPMs, such as that found in the Logistic EuroSCORE </w:t>
      </w:r>
      <w:r>
        <w:fldChar w:fldCharType="begin" w:fldLock="1"/>
      </w:r>
      <w:r w:rsidR="00A05FAB">
        <w:instrText>ADDIN CSL_CITATION { "citationItems" : [ { "id" : "ITEM-1", "itemData" : { "DOI" : "10.1093/ejcts/ezs584", "ISSN" : "1010-7940", "PMID" : "23152436", "abstract" : "OBJECTIVES: Progressive loss of calibration of the original EuroSCORE models has necessitated the introduction of the EuroSCORE II model. Poor model calibration has important implications for clinical decision-making and risk adjustment of governance analyses. The objective of this study was to explore the reasons for the calibration drift of the logistic EuroSCORE.\\n\\nMETHODS: Data from the Society for Cardiothoracic Surgery in Great Britain and Ireland database were analysed for procedures performed at all National Health Service and some private hospitals in England and Wales between April 2001 and March 2011. The primary outcome was in-hospital mortality. EuroSCORE risk factors, overall model calibration and discrimination were assessed over time.\\n\\nRESULTS: A total of 317 292 procedures were included. Over the study period, mean age at surgery increased from 64.6 to 67.2 years. The proportion of procedures that were isolated coronary artery bypass grafts decreased from 67.5 to 51.2%. In-hospital mortality fell from 4.1 to 2.8%, but the mean logistic EuroSCORE increased from 5.6 to 7.6%. The logistic EuroSCORE remained a good discriminant throughout the study period (area under the receiver-operating characteristic curve between 0.79 and 0.85), but calibration (observed-to-expected mortality ratio) fell from 0.76 to 0.37. Inadequate adjustment for decreasing baseline risk affected calibration considerably.\\n\\nDISCUSSIONS: Patient risk factors and case-mix in adult cardiac surgery change dynamically over time. Models like the EuroSCORE that are developed using a 'snapshot' of data in time do not account for this and can subsequently lose calibration. It is therefore important to regularly revalidate clinical prediction models.", "author" : [ { "dropping-particle" : "", "family" : "Hickey", "given" : "G.L. L.", "non-dropping-particle" : "", "parse-names" : false, "suffix" : "" }, { "dropping-particle" : "", "family" : "Grant", "given" : "S.W. W.", "non-dropping-particle" : "", "parse-names" : false, "suffix" : "" }, { "dropping-particle" : "", "family" : "Murphy", "given" : "G.J. J.", "non-dropping-particle" : "", "parse-names" : false, "suffix" : "" }, { "dropping-particle" : "", "family" : "Bhabra", "given" : "M.", "non-dropping-particle" : "", "parse-names" : false, "suffix" : "" }, { "dropping-particle" : "", "family" : "Pagano", "given" : "D.", "non-dropping-particle" : "", "parse-names" : false, "suffix" : "" }, { "dropping-particle" : "", "family" : "McAllister", "given" : "K.", "non-dropping-particle" : "", "parse-names" : false, "suffix" : "" }, { "dropping-particle" : "", "family" : "Buchan", "given" : "I.", "non-dropping-particle" : "", "parse-names" : false, "suffix" : "" }, { "dropping-particle" : "", "family" : "Bridgewater", "given" : "B.", "non-dropping-particle" : "", "parse-names" : false, "suffix" : "" } ], "container-title" : "European Journal of Cardio-Thoracic Surgery", "id" : "ITEM-1", "issue" : "6", "issued" : { "date-parts" : [ [ "2013", "6", "1" ] ] }, "note" : "From Duplicate 1 (Dynamic trends in cardiac surgery: why the logistic EuroSCORE is no longer suitable for contemporary cardiac surgery and implications for future risk models - Hickey, G.L. L.; Grant, S.W. W.; Murphy, G.J. J.; Bhabra, M.; Pagano, D.; McAllister, K.; Buchan, I.; Bridgewater, B.)\n\nFrom Duplicate 2 (Dynamic trends in cardiac surgery: why the logistic EuroSCORE is no longer suitable for contemporary cardiac surgery and implications for future risk models - Hickey, G. L.; Grant, S. W.; Murphy, G. J.; Bhabra, M.; Pagano, D.; McAllister, K.; Buchan, I.; Bridgewater, B.)\n\nThis is a main reference examining the departure in calibration of the original and logistic EuroScores. The authors examined data from the Society for Cardiothoracic Surgery in Great Britain and Ireland database; assessing the EuroScore risk factors, overall model calibration over time. It was found that the \u201cpatient risk factors and case-mix in adult cardiac surgery change dynamically over time\u201d. It can therefore, be argued that models which are formulated using a cross-section or snapshot of data cannot take into account these changes over time. This results from this study also concluded that the EuroScore has suffered from loss of calibration in such a way that the model over predicts in-hospital mortality. The key point from this paper is that it provides evidence of the lack of fit of ES.", "page" : "1146-1152", "title" : "Dynamic trends in cardiac surgery: why the logistic EuroSCORE is no longer suitable for contemporary cardiac surgery and implications for future risk models", "type" : "article-journal", "volume" : "43" }, "uris" : [ "http://www.mendeley.com/documents/?uuid=baa04924-f7a6-4c8b-9e94-315671015ee2" ] } ], "mendeley" : { "formattedCitation" : "[30]", "plainTextFormattedCitation" : "[30]", "previouslyFormattedCitation" : "[31]" }, "properties" : { "noteIndex" : 0 }, "schema" : "https://github.com/citation-style-language/schema/raw/master/csl-citation.json" }</w:instrText>
      </w:r>
      <w:r>
        <w:fldChar w:fldCharType="separate"/>
      </w:r>
      <w:r w:rsidR="00A05FAB" w:rsidRPr="00A05FAB">
        <w:rPr>
          <w:noProof/>
        </w:rPr>
        <w:t>[30]</w:t>
      </w:r>
      <w:r>
        <w:fldChar w:fldCharType="end"/>
      </w:r>
      <w:r>
        <w:t>. This would be equally applicable to other contemporary risk scores used elsewhere.</w:t>
      </w:r>
    </w:p>
    <w:p w14:paraId="58ABD5A1" w14:textId="0EBC7F21" w:rsidR="002D19F1" w:rsidRDefault="002D19F1" w:rsidP="002D19F1">
      <w:pPr>
        <w:pStyle w:val="Heading2"/>
      </w:pPr>
      <w:r>
        <w:t>Limitations</w:t>
      </w:r>
    </w:p>
    <w:p w14:paraId="532F587B" w14:textId="1D94E6B1" w:rsidR="002D19F1" w:rsidRDefault="002D19F1" w:rsidP="002D19F1">
      <w:r>
        <w:tab/>
        <w:t>The main strength of this study is that TAVI data collection is mandatory in the UK meaning the UK-TAVI CPM has been developed using comprehensive national data. However, several limitations need to be considered. Firstly, since we excluded all patients from Northern Ireland and Scotland due to lack of independent mortality information, the model might not be representative of such patients. Secondly,</w:t>
      </w:r>
      <w:r w:rsidR="007D6D7A">
        <w:t xml:space="preserve"> this model </w:t>
      </w:r>
      <w:r w:rsidR="00004525">
        <w:t>only predicts</w:t>
      </w:r>
      <w:r w:rsidR="007D6D7A">
        <w:t xml:space="preserve"> 30-day mortality</w:t>
      </w:r>
      <w:r w:rsidR="00FD7AF1">
        <w:t xml:space="preserve">, but demonstrates the need for registries to routinely collect </w:t>
      </w:r>
      <w:r w:rsidR="007D6D7A">
        <w:t xml:space="preserve">more wide-ranging </w:t>
      </w:r>
      <w:r w:rsidR="00FD7AF1">
        <w:t>outcomes</w:t>
      </w:r>
      <w:r w:rsidR="00453395">
        <w:t xml:space="preserve"> (e.g. hospital re-admission, quality of life)</w:t>
      </w:r>
      <w:r>
        <w:t xml:space="preserve">. Thirdly, to maintain sufficient sample size we included all data from 2009 to 2014, </w:t>
      </w:r>
      <w:r w:rsidR="00A13D5F">
        <w:t xml:space="preserve">involving </w:t>
      </w:r>
      <w:r>
        <w:t xml:space="preserve">several iterations of valve types/devices. Although the </w:t>
      </w:r>
      <w:r w:rsidR="00453395">
        <w:t>modelling strategy aim</w:t>
      </w:r>
      <w:r w:rsidR="007314C5">
        <w:t>ed</w:t>
      </w:r>
      <w:r w:rsidR="00453395">
        <w:t xml:space="preserve"> to </w:t>
      </w:r>
      <w:r w:rsidR="007314C5">
        <w:t xml:space="preserve">revise the </w:t>
      </w:r>
      <w:r w:rsidR="00453395">
        <w:t xml:space="preserve">model </w:t>
      </w:r>
      <w:r w:rsidR="00FD7AF1">
        <w:t>using the 2013-14 data</w:t>
      </w:r>
      <w:r>
        <w:t xml:space="preserve">, the UK-TAVI CPM will need to be </w:t>
      </w:r>
      <w:r w:rsidR="00004525">
        <w:t xml:space="preserve">updated in newer extracts </w:t>
      </w:r>
      <w:r>
        <w:t>to include patients exposed to only the most contemporary technology/practice. Finally, the generalisability of the model is unknown since we were unable to test the performance in independent data. Thus, we recommend independent researchers conduct future validation studies on the later extracts of the UK TAVI registry.</w:t>
      </w:r>
    </w:p>
    <w:p w14:paraId="5A623C1A" w14:textId="77777777" w:rsidR="002D19F1" w:rsidRDefault="002D19F1" w:rsidP="002D19F1">
      <w:pPr>
        <w:pStyle w:val="Heading2"/>
      </w:pPr>
      <w:r>
        <w:lastRenderedPageBreak/>
        <w:t>Conclusions</w:t>
      </w:r>
    </w:p>
    <w:p w14:paraId="05A88DFC" w14:textId="0A76D9A0" w:rsidR="002D19F1" w:rsidRDefault="002D19F1" w:rsidP="002D19F1">
      <w:pPr>
        <w:ind w:firstLine="720"/>
      </w:pPr>
      <w:r>
        <w:t xml:space="preserve">This analysis of the UK TAVI registry has developed a contemporary risk model on over 6000 TAVI patients. The validation procedure demonstrated that the model was well calibrated </w:t>
      </w:r>
      <w:r w:rsidR="008C5F10">
        <w:t xml:space="preserve">but </w:t>
      </w:r>
      <w:r>
        <w:t xml:space="preserve">achieved </w:t>
      </w:r>
      <w:r w:rsidR="001C53E9">
        <w:t>limited</w:t>
      </w:r>
      <w:r>
        <w:t xml:space="preserve"> discrimination. Thus, the derived model has potential to be used for benchmarking analyses in UK TAVI patients, but </w:t>
      </w:r>
      <w:r w:rsidR="00A13D5F">
        <w:t>is not yet ready for deployment</w:t>
      </w:r>
      <w:r w:rsidR="008C5F10">
        <w:t xml:space="preserve"> when attempting to assess risk in individual cases</w:t>
      </w:r>
      <w:r w:rsidR="00A13D5F">
        <w:t>. F</w:t>
      </w:r>
      <w:r>
        <w:t>uture external validation studies of the model within the UK population are required</w:t>
      </w:r>
      <w:r w:rsidR="00A13D5F">
        <w:t xml:space="preserve">, and </w:t>
      </w:r>
      <w:r w:rsidR="009C5760">
        <w:t>outcomes</w:t>
      </w:r>
      <w:r w:rsidR="00A13D5F">
        <w:t xml:space="preserve"> other than 30-day mortality might usefully be explored</w:t>
      </w:r>
      <w:r>
        <w:t>.</w:t>
      </w:r>
    </w:p>
    <w:p w14:paraId="2E5BBC89" w14:textId="77777777" w:rsidR="002D19F1" w:rsidRDefault="002D19F1" w:rsidP="002D19F1"/>
    <w:p w14:paraId="105CB242" w14:textId="77777777" w:rsidR="002D19F1" w:rsidRDefault="002D19F1" w:rsidP="002D19F1">
      <w:pPr>
        <w:sectPr w:rsidR="002D19F1" w:rsidSect="0015001C">
          <w:pgSz w:w="11906" w:h="16838"/>
          <w:pgMar w:top="1440" w:right="1440" w:bottom="1440" w:left="1440" w:header="708" w:footer="708" w:gutter="0"/>
          <w:lnNumType w:countBy="1"/>
          <w:cols w:space="708"/>
          <w:docGrid w:linePitch="360"/>
        </w:sectPr>
      </w:pPr>
    </w:p>
    <w:p w14:paraId="4F2F4353" w14:textId="77777777" w:rsidR="002D19F1" w:rsidRDefault="002D19F1" w:rsidP="002D19F1">
      <w:pPr>
        <w:pStyle w:val="Heading1"/>
      </w:pPr>
      <w:r>
        <w:lastRenderedPageBreak/>
        <w:t>References</w:t>
      </w:r>
    </w:p>
    <w:p w14:paraId="25133E76" w14:textId="4E1B7FB8" w:rsidR="00A05FAB" w:rsidRPr="00A05FAB" w:rsidRDefault="002D19F1" w:rsidP="00A05FAB">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A05FAB" w:rsidRPr="00A05FAB">
        <w:rPr>
          <w:noProof/>
          <w:szCs w:val="24"/>
        </w:rPr>
        <w:t xml:space="preserve">1 </w:t>
      </w:r>
      <w:r w:rsidR="00A05FAB" w:rsidRPr="00A05FAB">
        <w:rPr>
          <w:noProof/>
          <w:szCs w:val="24"/>
        </w:rPr>
        <w:tab/>
        <w:t xml:space="preserve">Leon M, Smith C, Mack M, </w:t>
      </w:r>
      <w:r w:rsidR="00A05FAB" w:rsidRPr="00A05FAB">
        <w:rPr>
          <w:i/>
          <w:iCs/>
          <w:noProof/>
          <w:szCs w:val="24"/>
        </w:rPr>
        <w:t>et al.</w:t>
      </w:r>
      <w:r w:rsidR="00A05FAB" w:rsidRPr="00A05FAB">
        <w:rPr>
          <w:noProof/>
          <w:szCs w:val="24"/>
        </w:rPr>
        <w:t xml:space="preserve"> Transcatheter aortic-valve implantation for aortic stenosis in patients who cannot undergo surgery. </w:t>
      </w:r>
      <w:r w:rsidR="00A05FAB" w:rsidRPr="00A05FAB">
        <w:rPr>
          <w:i/>
          <w:iCs/>
          <w:noProof/>
          <w:szCs w:val="24"/>
        </w:rPr>
        <w:t>N Engl J Med</w:t>
      </w:r>
      <w:r w:rsidR="00A05FAB" w:rsidRPr="00A05FAB">
        <w:rPr>
          <w:noProof/>
          <w:szCs w:val="24"/>
        </w:rPr>
        <w:t xml:space="preserve"> 2010;</w:t>
      </w:r>
      <w:r w:rsidR="00A05FAB" w:rsidRPr="00A05FAB">
        <w:rPr>
          <w:b/>
          <w:bCs/>
          <w:noProof/>
          <w:szCs w:val="24"/>
        </w:rPr>
        <w:t>363</w:t>
      </w:r>
      <w:r w:rsidR="00A05FAB" w:rsidRPr="00A05FAB">
        <w:rPr>
          <w:noProof/>
          <w:szCs w:val="24"/>
        </w:rPr>
        <w:t>:1597–607.</w:t>
      </w:r>
    </w:p>
    <w:p w14:paraId="6E50082F" w14:textId="255AE093"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 </w:t>
      </w:r>
      <w:r w:rsidRPr="00A05FAB">
        <w:rPr>
          <w:noProof/>
          <w:szCs w:val="24"/>
        </w:rPr>
        <w:tab/>
        <w:t xml:space="preserve">Smith C, Leon M, Mack M, </w:t>
      </w:r>
      <w:r w:rsidRPr="00A05FAB">
        <w:rPr>
          <w:i/>
          <w:iCs/>
          <w:noProof/>
          <w:szCs w:val="24"/>
        </w:rPr>
        <w:t>et al.</w:t>
      </w:r>
      <w:r w:rsidRPr="00A05FAB">
        <w:rPr>
          <w:noProof/>
          <w:szCs w:val="24"/>
        </w:rPr>
        <w:t xml:space="preserve"> Transcatheter versus surgical aortic-valve replacement in high-risk patients. </w:t>
      </w:r>
      <w:r w:rsidRPr="00A05FAB">
        <w:rPr>
          <w:i/>
          <w:iCs/>
          <w:noProof/>
          <w:szCs w:val="24"/>
        </w:rPr>
        <w:t>N Engl J Med</w:t>
      </w:r>
      <w:r w:rsidRPr="00A05FAB">
        <w:rPr>
          <w:noProof/>
          <w:szCs w:val="24"/>
        </w:rPr>
        <w:t xml:space="preserve"> 2011;</w:t>
      </w:r>
      <w:r w:rsidRPr="00A05FAB">
        <w:rPr>
          <w:b/>
          <w:bCs/>
          <w:noProof/>
          <w:szCs w:val="24"/>
        </w:rPr>
        <w:t>364</w:t>
      </w:r>
      <w:r w:rsidRPr="00A05FAB">
        <w:rPr>
          <w:noProof/>
          <w:szCs w:val="24"/>
        </w:rPr>
        <w:t>:2187–</w:t>
      </w:r>
      <w:r>
        <w:rPr>
          <w:noProof/>
          <w:szCs w:val="24"/>
        </w:rPr>
        <w:t>98</w:t>
      </w:r>
      <w:r w:rsidRPr="00A05FAB">
        <w:rPr>
          <w:noProof/>
          <w:szCs w:val="24"/>
        </w:rPr>
        <w:t>.</w:t>
      </w:r>
    </w:p>
    <w:p w14:paraId="0F56F2AE"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3 </w:t>
      </w:r>
      <w:r w:rsidRPr="00A05FAB">
        <w:rPr>
          <w:noProof/>
          <w:szCs w:val="24"/>
        </w:rPr>
        <w:tab/>
        <w:t xml:space="preserve">Leon MB, Smith CR, Mack MJ, </w:t>
      </w:r>
      <w:r w:rsidRPr="00A05FAB">
        <w:rPr>
          <w:i/>
          <w:iCs/>
          <w:noProof/>
          <w:szCs w:val="24"/>
        </w:rPr>
        <w:t>et al.</w:t>
      </w:r>
      <w:r w:rsidRPr="00A05FAB">
        <w:rPr>
          <w:noProof/>
          <w:szCs w:val="24"/>
        </w:rPr>
        <w:t xml:space="preserve"> Transcatheter or Surgical Aortic-Valve Replacement in Intermediate-Risk Patients. </w:t>
      </w:r>
      <w:r w:rsidRPr="00A05FAB">
        <w:rPr>
          <w:i/>
          <w:iCs/>
          <w:noProof/>
          <w:szCs w:val="24"/>
        </w:rPr>
        <w:t>N Engl J Med</w:t>
      </w:r>
      <w:r w:rsidRPr="00A05FAB">
        <w:rPr>
          <w:noProof/>
          <w:szCs w:val="24"/>
        </w:rPr>
        <w:t xml:space="preserve"> 2016;</w:t>
      </w:r>
      <w:r w:rsidRPr="00A05FAB">
        <w:rPr>
          <w:b/>
          <w:bCs/>
          <w:noProof/>
          <w:szCs w:val="24"/>
        </w:rPr>
        <w:t>374</w:t>
      </w:r>
      <w:r w:rsidRPr="00A05FAB">
        <w:rPr>
          <w:noProof/>
          <w:szCs w:val="24"/>
        </w:rPr>
        <w:t>:1609–20. doi:10.1056/NEJMoa1514616</w:t>
      </w:r>
    </w:p>
    <w:p w14:paraId="15A8BD94"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4 </w:t>
      </w:r>
      <w:r w:rsidRPr="00A05FAB">
        <w:rPr>
          <w:noProof/>
          <w:szCs w:val="24"/>
        </w:rPr>
        <w:tab/>
        <w:t xml:space="preserve">Vahanian A, Alfieri O, Andreotti F, </w:t>
      </w:r>
      <w:r w:rsidRPr="00A05FAB">
        <w:rPr>
          <w:i/>
          <w:iCs/>
          <w:noProof/>
          <w:szCs w:val="24"/>
        </w:rPr>
        <w:t>et al.</w:t>
      </w:r>
      <w:r w:rsidRPr="00A05FAB">
        <w:rPr>
          <w:noProof/>
          <w:szCs w:val="24"/>
        </w:rPr>
        <w:t xml:space="preserve"> Guidelines on the management of valvular heart disease (version 2012): The Joint Task Force on the Management of Valvular Heart Disease of the European Society of Cardiology (ESC) and the European Association for Cardio-Thoracic Surgery (EACTS). </w:t>
      </w:r>
      <w:r w:rsidRPr="00A05FAB">
        <w:rPr>
          <w:i/>
          <w:iCs/>
          <w:noProof/>
          <w:szCs w:val="24"/>
        </w:rPr>
        <w:t>Eur Heart J</w:t>
      </w:r>
      <w:r w:rsidRPr="00A05FAB">
        <w:rPr>
          <w:noProof/>
          <w:szCs w:val="24"/>
        </w:rPr>
        <w:t xml:space="preserve"> 2012;</w:t>
      </w:r>
      <w:r w:rsidRPr="00A05FAB">
        <w:rPr>
          <w:b/>
          <w:bCs/>
          <w:noProof/>
          <w:szCs w:val="24"/>
        </w:rPr>
        <w:t>33</w:t>
      </w:r>
      <w:r w:rsidRPr="00A05FAB">
        <w:rPr>
          <w:noProof/>
          <w:szCs w:val="24"/>
        </w:rPr>
        <w:t>:2451–96. doi:10.1093/eurheartj/ehs109</w:t>
      </w:r>
    </w:p>
    <w:p w14:paraId="057D8B5F"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5 </w:t>
      </w:r>
      <w:r w:rsidRPr="00A05FAB">
        <w:rPr>
          <w:noProof/>
          <w:szCs w:val="24"/>
        </w:rPr>
        <w:tab/>
        <w:t xml:space="preserve">Nashef SAM, Roques F, Sharples LD, </w:t>
      </w:r>
      <w:r w:rsidRPr="00A05FAB">
        <w:rPr>
          <w:i/>
          <w:iCs/>
          <w:noProof/>
          <w:szCs w:val="24"/>
        </w:rPr>
        <w:t>et al.</w:t>
      </w:r>
      <w:r w:rsidRPr="00A05FAB">
        <w:rPr>
          <w:noProof/>
          <w:szCs w:val="24"/>
        </w:rPr>
        <w:t xml:space="preserve"> EuroSCORE II. </w:t>
      </w:r>
      <w:r w:rsidRPr="00A05FAB">
        <w:rPr>
          <w:i/>
          <w:iCs/>
          <w:noProof/>
          <w:szCs w:val="24"/>
        </w:rPr>
        <w:t>Eur J Cardio-Thoracic Surg</w:t>
      </w:r>
      <w:r w:rsidRPr="00A05FAB">
        <w:rPr>
          <w:noProof/>
          <w:szCs w:val="24"/>
        </w:rPr>
        <w:t xml:space="preserve"> 2012;</w:t>
      </w:r>
      <w:r w:rsidRPr="00A05FAB">
        <w:rPr>
          <w:b/>
          <w:bCs/>
          <w:noProof/>
          <w:szCs w:val="24"/>
        </w:rPr>
        <w:t>41</w:t>
      </w:r>
      <w:r w:rsidRPr="00A05FAB">
        <w:rPr>
          <w:noProof/>
          <w:szCs w:val="24"/>
        </w:rPr>
        <w:t>:734–45. doi:10.1093/ejcts/ezs043</w:t>
      </w:r>
    </w:p>
    <w:p w14:paraId="3C585C42"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6 </w:t>
      </w:r>
      <w:r w:rsidRPr="00A05FAB">
        <w:rPr>
          <w:noProof/>
          <w:szCs w:val="24"/>
        </w:rPr>
        <w:tab/>
        <w:t xml:space="preserve">O’Brien SM, Shahian DM, Filardo G, </w:t>
      </w:r>
      <w:r w:rsidRPr="00A05FAB">
        <w:rPr>
          <w:i/>
          <w:iCs/>
          <w:noProof/>
          <w:szCs w:val="24"/>
        </w:rPr>
        <w:t>et al.</w:t>
      </w:r>
      <w:r w:rsidRPr="00A05FAB">
        <w:rPr>
          <w:noProof/>
          <w:szCs w:val="24"/>
        </w:rPr>
        <w:t xml:space="preserve"> The Society of Thoracic Surgeons 2008 Cardiac Surgery Risk Models: Part 2—Isolated Valve Surgery. </w:t>
      </w:r>
      <w:r w:rsidRPr="00A05FAB">
        <w:rPr>
          <w:i/>
          <w:iCs/>
          <w:noProof/>
          <w:szCs w:val="24"/>
        </w:rPr>
        <w:t>Ann Thorac Surg</w:t>
      </w:r>
      <w:r w:rsidRPr="00A05FAB">
        <w:rPr>
          <w:noProof/>
          <w:szCs w:val="24"/>
        </w:rPr>
        <w:t xml:space="preserve"> 2009;</w:t>
      </w:r>
      <w:r w:rsidRPr="00A05FAB">
        <w:rPr>
          <w:b/>
          <w:bCs/>
          <w:noProof/>
          <w:szCs w:val="24"/>
        </w:rPr>
        <w:t>88</w:t>
      </w:r>
      <w:r w:rsidRPr="00A05FAB">
        <w:rPr>
          <w:noProof/>
          <w:szCs w:val="24"/>
        </w:rPr>
        <w:t>:S23–42. doi:10.1016/j.athoracsur.2009.05.056</w:t>
      </w:r>
    </w:p>
    <w:p w14:paraId="24D811EA"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7 </w:t>
      </w:r>
      <w:r w:rsidRPr="00A05FAB">
        <w:rPr>
          <w:noProof/>
          <w:szCs w:val="24"/>
        </w:rPr>
        <w:tab/>
        <w:t xml:space="preserve">Durand E, Borz B, Godin M, </w:t>
      </w:r>
      <w:r w:rsidRPr="00A05FAB">
        <w:rPr>
          <w:i/>
          <w:iCs/>
          <w:noProof/>
          <w:szCs w:val="24"/>
        </w:rPr>
        <w:t>et al.</w:t>
      </w:r>
      <w:r w:rsidRPr="00A05FAB">
        <w:rPr>
          <w:noProof/>
          <w:szCs w:val="24"/>
        </w:rPr>
        <w:t xml:space="preserve"> Performance analysis of EuroSCORE II compared to the original logistic EuroSCORE and STS scores for predicting 30-day mortality after transcatheter aortic valve replacement. </w:t>
      </w:r>
      <w:r w:rsidRPr="00A05FAB">
        <w:rPr>
          <w:i/>
          <w:iCs/>
          <w:noProof/>
          <w:szCs w:val="24"/>
        </w:rPr>
        <w:t>Am J Cardiol</w:t>
      </w:r>
      <w:r w:rsidRPr="00A05FAB">
        <w:rPr>
          <w:noProof/>
          <w:szCs w:val="24"/>
        </w:rPr>
        <w:t xml:space="preserve"> 2013;</w:t>
      </w:r>
      <w:r w:rsidRPr="00A05FAB">
        <w:rPr>
          <w:b/>
          <w:bCs/>
          <w:noProof/>
          <w:szCs w:val="24"/>
        </w:rPr>
        <w:t>111</w:t>
      </w:r>
      <w:r w:rsidRPr="00A05FAB">
        <w:rPr>
          <w:noProof/>
          <w:szCs w:val="24"/>
        </w:rPr>
        <w:t>:891–7. doi:10.1016/j.amjcard.2012.11.056</w:t>
      </w:r>
    </w:p>
    <w:p w14:paraId="103411DB"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8 </w:t>
      </w:r>
      <w:r w:rsidRPr="00A05FAB">
        <w:rPr>
          <w:noProof/>
          <w:szCs w:val="24"/>
        </w:rPr>
        <w:tab/>
        <w:t xml:space="preserve">Ben-Dor I, Gaglia MA, Barbash IM, </w:t>
      </w:r>
      <w:r w:rsidRPr="00A05FAB">
        <w:rPr>
          <w:i/>
          <w:iCs/>
          <w:noProof/>
          <w:szCs w:val="24"/>
        </w:rPr>
        <w:t>et al.</w:t>
      </w:r>
      <w:r w:rsidRPr="00A05FAB">
        <w:rPr>
          <w:noProof/>
          <w:szCs w:val="24"/>
        </w:rPr>
        <w:t xml:space="preserve"> Comparison between Society of Thoracic Surgeons score and logistic EuroSCORE for predicting mortality in patients referred for </w:t>
      </w:r>
      <w:r w:rsidRPr="00A05FAB">
        <w:rPr>
          <w:noProof/>
          <w:szCs w:val="24"/>
        </w:rPr>
        <w:lastRenderedPageBreak/>
        <w:t xml:space="preserve">transcatheter aortic valve implantation. </w:t>
      </w:r>
      <w:r w:rsidRPr="00A05FAB">
        <w:rPr>
          <w:i/>
          <w:iCs/>
          <w:noProof/>
          <w:szCs w:val="24"/>
        </w:rPr>
        <w:t>Cardiovasc Revasc Med</w:t>
      </w:r>
      <w:r w:rsidRPr="00A05FAB">
        <w:rPr>
          <w:noProof/>
          <w:szCs w:val="24"/>
        </w:rPr>
        <w:t xml:space="preserve"> 2011;</w:t>
      </w:r>
      <w:r w:rsidRPr="00A05FAB">
        <w:rPr>
          <w:b/>
          <w:bCs/>
          <w:noProof/>
          <w:szCs w:val="24"/>
        </w:rPr>
        <w:t>12</w:t>
      </w:r>
      <w:r w:rsidRPr="00A05FAB">
        <w:rPr>
          <w:noProof/>
          <w:szCs w:val="24"/>
        </w:rPr>
        <w:t>:345–9. doi:10.1016/j.carrev.2011.04.005</w:t>
      </w:r>
    </w:p>
    <w:p w14:paraId="389DBBDA"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9 </w:t>
      </w:r>
      <w:r w:rsidRPr="00A05FAB">
        <w:rPr>
          <w:noProof/>
          <w:szCs w:val="24"/>
        </w:rPr>
        <w:tab/>
        <w:t xml:space="preserve">Iung B, Laouénan C, Himbert D, </w:t>
      </w:r>
      <w:r w:rsidRPr="00A05FAB">
        <w:rPr>
          <w:i/>
          <w:iCs/>
          <w:noProof/>
          <w:szCs w:val="24"/>
        </w:rPr>
        <w:t>et al.</w:t>
      </w:r>
      <w:r w:rsidRPr="00A05FAB">
        <w:rPr>
          <w:noProof/>
          <w:szCs w:val="24"/>
        </w:rPr>
        <w:t xml:space="preserve"> Predictive factors of early mortality after transcatheter aortic valve implantation: individual risk assessment using a simple score. </w:t>
      </w:r>
      <w:r w:rsidRPr="00A05FAB">
        <w:rPr>
          <w:i/>
          <w:iCs/>
          <w:noProof/>
          <w:szCs w:val="24"/>
        </w:rPr>
        <w:t>Heart</w:t>
      </w:r>
      <w:r w:rsidRPr="00A05FAB">
        <w:rPr>
          <w:noProof/>
          <w:szCs w:val="24"/>
        </w:rPr>
        <w:t xml:space="preserve"> 2014;</w:t>
      </w:r>
      <w:r w:rsidRPr="00A05FAB">
        <w:rPr>
          <w:b/>
          <w:bCs/>
          <w:noProof/>
          <w:szCs w:val="24"/>
        </w:rPr>
        <w:t>100</w:t>
      </w:r>
      <w:r w:rsidRPr="00A05FAB">
        <w:rPr>
          <w:noProof/>
          <w:szCs w:val="24"/>
        </w:rPr>
        <w:t>:1016–23. doi:10.1136/heartjnl-2013-305314</w:t>
      </w:r>
    </w:p>
    <w:p w14:paraId="163C6401"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10 </w:t>
      </w:r>
      <w:r w:rsidRPr="00A05FAB">
        <w:rPr>
          <w:noProof/>
          <w:szCs w:val="24"/>
        </w:rPr>
        <w:tab/>
        <w:t xml:space="preserve">Capodanno D, Barbanti M, Tamburino C, </w:t>
      </w:r>
      <w:r w:rsidRPr="00A05FAB">
        <w:rPr>
          <w:i/>
          <w:iCs/>
          <w:noProof/>
          <w:szCs w:val="24"/>
        </w:rPr>
        <w:t>et al.</w:t>
      </w:r>
      <w:r w:rsidRPr="00A05FAB">
        <w:rPr>
          <w:noProof/>
          <w:szCs w:val="24"/>
        </w:rPr>
        <w:t xml:space="preserve"> A simple risk tool (the OBSERVANT score) for prediction of 30-day mortality after transcatheter aortic valve replacement. </w:t>
      </w:r>
      <w:r w:rsidRPr="00A05FAB">
        <w:rPr>
          <w:i/>
          <w:iCs/>
          <w:noProof/>
          <w:szCs w:val="24"/>
        </w:rPr>
        <w:t>Am J Cardiol</w:t>
      </w:r>
      <w:r w:rsidRPr="00A05FAB">
        <w:rPr>
          <w:noProof/>
          <w:szCs w:val="24"/>
        </w:rPr>
        <w:t xml:space="preserve"> 2014;</w:t>
      </w:r>
      <w:r w:rsidRPr="00A05FAB">
        <w:rPr>
          <w:b/>
          <w:bCs/>
          <w:noProof/>
          <w:szCs w:val="24"/>
        </w:rPr>
        <w:t>113</w:t>
      </w:r>
      <w:r w:rsidRPr="00A05FAB">
        <w:rPr>
          <w:noProof/>
          <w:szCs w:val="24"/>
        </w:rPr>
        <w:t>:1851–8. doi:10.1016/j.amjcard.2014.03.014</w:t>
      </w:r>
    </w:p>
    <w:p w14:paraId="25D52A9E"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11 </w:t>
      </w:r>
      <w:r w:rsidRPr="00A05FAB">
        <w:rPr>
          <w:noProof/>
          <w:szCs w:val="24"/>
        </w:rPr>
        <w:tab/>
        <w:t xml:space="preserve">Edwards FH, Cohen DJ, O’Brien SM, </w:t>
      </w:r>
      <w:r w:rsidRPr="00A05FAB">
        <w:rPr>
          <w:i/>
          <w:iCs/>
          <w:noProof/>
          <w:szCs w:val="24"/>
        </w:rPr>
        <w:t>et al.</w:t>
      </w:r>
      <w:r w:rsidRPr="00A05FAB">
        <w:rPr>
          <w:noProof/>
          <w:szCs w:val="24"/>
        </w:rPr>
        <w:t xml:space="preserve"> Development and Validation of a Risk Prediction Model for In-Hospital Mortality After Transcatheter Aortic Valve Replacement. </w:t>
      </w:r>
      <w:r w:rsidRPr="00A05FAB">
        <w:rPr>
          <w:i/>
          <w:iCs/>
          <w:noProof/>
          <w:szCs w:val="24"/>
        </w:rPr>
        <w:t>JAMA Cardiol</w:t>
      </w:r>
      <w:r w:rsidRPr="00A05FAB">
        <w:rPr>
          <w:noProof/>
          <w:szCs w:val="24"/>
        </w:rPr>
        <w:t xml:space="preserve"> 2016;</w:t>
      </w:r>
      <w:r w:rsidRPr="00A05FAB">
        <w:rPr>
          <w:b/>
          <w:bCs/>
          <w:noProof/>
          <w:szCs w:val="24"/>
        </w:rPr>
        <w:t>1</w:t>
      </w:r>
      <w:r w:rsidRPr="00A05FAB">
        <w:rPr>
          <w:noProof/>
          <w:szCs w:val="24"/>
        </w:rPr>
        <w:t>:46. doi:10.1001/jamacardio.2015.0326</w:t>
      </w:r>
    </w:p>
    <w:p w14:paraId="7DD0C856"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12 </w:t>
      </w:r>
      <w:r w:rsidRPr="00A05FAB">
        <w:rPr>
          <w:noProof/>
          <w:szCs w:val="24"/>
        </w:rPr>
        <w:tab/>
        <w:t xml:space="preserve">Halkin A, Steinvil A, Witberg G, </w:t>
      </w:r>
      <w:r w:rsidRPr="00A05FAB">
        <w:rPr>
          <w:i/>
          <w:iCs/>
          <w:noProof/>
          <w:szCs w:val="24"/>
        </w:rPr>
        <w:t>et al.</w:t>
      </w:r>
      <w:r w:rsidRPr="00A05FAB">
        <w:rPr>
          <w:noProof/>
          <w:szCs w:val="24"/>
        </w:rPr>
        <w:t xml:space="preserve"> Mortality prediction following transcatheter aortic valve replacement: A quantitative comparison of risk scores derived from populations treated with either surgical or percutaneous aortic valve replacement. The Israeli TAVR Registry Risk Model Accuracy A. </w:t>
      </w:r>
      <w:r w:rsidRPr="00A05FAB">
        <w:rPr>
          <w:i/>
          <w:iCs/>
          <w:noProof/>
          <w:szCs w:val="24"/>
        </w:rPr>
        <w:t>Int J Cardiol</w:t>
      </w:r>
      <w:r w:rsidRPr="00A05FAB">
        <w:rPr>
          <w:noProof/>
          <w:szCs w:val="24"/>
        </w:rPr>
        <w:t xml:space="preserve"> 2016;</w:t>
      </w:r>
      <w:r w:rsidRPr="00A05FAB">
        <w:rPr>
          <w:b/>
          <w:bCs/>
          <w:noProof/>
          <w:szCs w:val="24"/>
        </w:rPr>
        <w:t>215</w:t>
      </w:r>
      <w:r w:rsidRPr="00A05FAB">
        <w:rPr>
          <w:noProof/>
          <w:szCs w:val="24"/>
        </w:rPr>
        <w:t>:227–31. doi:10.1016/j.ijcard.2016.04.038</w:t>
      </w:r>
    </w:p>
    <w:p w14:paraId="4DA27C62"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13 </w:t>
      </w:r>
      <w:r w:rsidRPr="00A05FAB">
        <w:rPr>
          <w:noProof/>
          <w:szCs w:val="24"/>
        </w:rPr>
        <w:tab/>
        <w:t xml:space="preserve">Martin GP, Sperrin M, Ludman PF, </w:t>
      </w:r>
      <w:r w:rsidRPr="00A05FAB">
        <w:rPr>
          <w:i/>
          <w:iCs/>
          <w:noProof/>
          <w:szCs w:val="24"/>
        </w:rPr>
        <w:t>et al.</w:t>
      </w:r>
      <w:r w:rsidRPr="00A05FAB">
        <w:rPr>
          <w:noProof/>
          <w:szCs w:val="24"/>
        </w:rPr>
        <w:t xml:space="preserve"> Inadequacy of existing clinical prediction models for predicting mortality after transcatheter aortic valve implantation. </w:t>
      </w:r>
      <w:r w:rsidRPr="00A05FAB">
        <w:rPr>
          <w:i/>
          <w:iCs/>
          <w:noProof/>
          <w:szCs w:val="24"/>
        </w:rPr>
        <w:t>Am Heart J</w:t>
      </w:r>
      <w:r w:rsidRPr="00A05FAB">
        <w:rPr>
          <w:noProof/>
          <w:szCs w:val="24"/>
        </w:rPr>
        <w:t xml:space="preserve"> 2017;</w:t>
      </w:r>
      <w:r w:rsidRPr="00A05FAB">
        <w:rPr>
          <w:b/>
          <w:bCs/>
          <w:noProof/>
          <w:szCs w:val="24"/>
        </w:rPr>
        <w:t>184</w:t>
      </w:r>
      <w:r w:rsidRPr="00A05FAB">
        <w:rPr>
          <w:noProof/>
          <w:szCs w:val="24"/>
        </w:rPr>
        <w:t>:97–105. doi:10.1016/j.ahj.2016.10.020</w:t>
      </w:r>
    </w:p>
    <w:p w14:paraId="6D8AA03A"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14 </w:t>
      </w:r>
      <w:r w:rsidRPr="00A05FAB">
        <w:rPr>
          <w:noProof/>
          <w:szCs w:val="24"/>
        </w:rPr>
        <w:tab/>
        <w:t xml:space="preserve">Collins GS, Reitsma JB, Altman DG, </w:t>
      </w:r>
      <w:r w:rsidRPr="00A05FAB">
        <w:rPr>
          <w:i/>
          <w:iCs/>
          <w:noProof/>
          <w:szCs w:val="24"/>
        </w:rPr>
        <w:t>et al.</w:t>
      </w:r>
      <w:r w:rsidRPr="00A05FAB">
        <w:rPr>
          <w:noProof/>
          <w:szCs w:val="24"/>
        </w:rPr>
        <w:t xml:space="preserve"> Transparent Reporting of a Multivariable Prediction Model for Individual Prognosis or Diagnosis (TRIPOD): The TRIPOD Statement. </w:t>
      </w:r>
      <w:r w:rsidRPr="00A05FAB">
        <w:rPr>
          <w:i/>
          <w:iCs/>
          <w:noProof/>
          <w:szCs w:val="24"/>
        </w:rPr>
        <w:t>BMJ</w:t>
      </w:r>
      <w:r w:rsidRPr="00A05FAB">
        <w:rPr>
          <w:noProof/>
          <w:szCs w:val="24"/>
        </w:rPr>
        <w:t xml:space="preserve"> 2015;</w:t>
      </w:r>
      <w:r w:rsidRPr="00A05FAB">
        <w:rPr>
          <w:b/>
          <w:bCs/>
          <w:noProof/>
          <w:szCs w:val="24"/>
        </w:rPr>
        <w:t>67</w:t>
      </w:r>
      <w:r w:rsidRPr="00A05FAB">
        <w:rPr>
          <w:noProof/>
          <w:szCs w:val="24"/>
        </w:rPr>
        <w:t>:1142–51. doi:10.1016/j.eururo.2014.11.025</w:t>
      </w:r>
    </w:p>
    <w:p w14:paraId="7A31CF19"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15 </w:t>
      </w:r>
      <w:r w:rsidRPr="00A05FAB">
        <w:rPr>
          <w:noProof/>
          <w:szCs w:val="24"/>
        </w:rPr>
        <w:tab/>
        <w:t xml:space="preserve">Ludman PF. The UK transcatheter aortic valve implantation registry; one of the suite of registries hosted by the National Institute for Cardiovascular Outcomes Research (NICOR). </w:t>
      </w:r>
      <w:r w:rsidRPr="00A05FAB">
        <w:rPr>
          <w:i/>
          <w:iCs/>
          <w:noProof/>
          <w:szCs w:val="24"/>
        </w:rPr>
        <w:t>Heart</w:t>
      </w:r>
      <w:r w:rsidRPr="00A05FAB">
        <w:rPr>
          <w:noProof/>
          <w:szCs w:val="24"/>
        </w:rPr>
        <w:t xml:space="preserve"> 2012;</w:t>
      </w:r>
      <w:r w:rsidRPr="00A05FAB">
        <w:rPr>
          <w:b/>
          <w:bCs/>
          <w:noProof/>
          <w:szCs w:val="24"/>
        </w:rPr>
        <w:t>98</w:t>
      </w:r>
      <w:r w:rsidRPr="00A05FAB">
        <w:rPr>
          <w:noProof/>
          <w:szCs w:val="24"/>
        </w:rPr>
        <w:t>:1787–9. doi:10.1136/heartjnl-2012-302534</w:t>
      </w:r>
    </w:p>
    <w:p w14:paraId="63E2E000"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lastRenderedPageBreak/>
        <w:t xml:space="preserve">16 </w:t>
      </w:r>
      <w:r w:rsidRPr="00A05FAB">
        <w:rPr>
          <w:noProof/>
          <w:szCs w:val="24"/>
        </w:rPr>
        <w:tab/>
        <w:t xml:space="preserve">Katz S. Studies of Illness in the Aged. The Index of ADL: A Standardized Measure of Biological and Psychosocial Function. </w:t>
      </w:r>
      <w:r w:rsidRPr="00A05FAB">
        <w:rPr>
          <w:i/>
          <w:iCs/>
          <w:noProof/>
          <w:szCs w:val="24"/>
        </w:rPr>
        <w:t>JAMA</w:t>
      </w:r>
      <w:r w:rsidRPr="00A05FAB">
        <w:rPr>
          <w:noProof/>
          <w:szCs w:val="24"/>
        </w:rPr>
        <w:t xml:space="preserve"> 1963;</w:t>
      </w:r>
      <w:r w:rsidRPr="00A05FAB">
        <w:rPr>
          <w:b/>
          <w:bCs/>
          <w:noProof/>
          <w:szCs w:val="24"/>
        </w:rPr>
        <w:t>185</w:t>
      </w:r>
      <w:r w:rsidRPr="00A05FAB">
        <w:rPr>
          <w:noProof/>
          <w:szCs w:val="24"/>
        </w:rPr>
        <w:t>:914. doi:10.1001/jama.1963.03060120024016</w:t>
      </w:r>
    </w:p>
    <w:p w14:paraId="11B84BD3"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17 </w:t>
      </w:r>
      <w:r w:rsidRPr="00A05FAB">
        <w:rPr>
          <w:noProof/>
          <w:szCs w:val="24"/>
        </w:rPr>
        <w:tab/>
        <w:t xml:space="preserve">Rockwood K, Song X, MacKnight C, </w:t>
      </w:r>
      <w:r w:rsidRPr="00A05FAB">
        <w:rPr>
          <w:i/>
          <w:iCs/>
          <w:noProof/>
          <w:szCs w:val="24"/>
        </w:rPr>
        <w:t>et al.</w:t>
      </w:r>
      <w:r w:rsidRPr="00A05FAB">
        <w:rPr>
          <w:noProof/>
          <w:szCs w:val="24"/>
        </w:rPr>
        <w:t xml:space="preserve"> A global clinical measure of fitness and frailty in elderly people. </w:t>
      </w:r>
      <w:r w:rsidRPr="00A05FAB">
        <w:rPr>
          <w:i/>
          <w:iCs/>
          <w:noProof/>
          <w:szCs w:val="24"/>
        </w:rPr>
        <w:t>C  Can Med Assoc J</w:t>
      </w:r>
      <w:r w:rsidRPr="00A05FAB">
        <w:rPr>
          <w:noProof/>
          <w:szCs w:val="24"/>
        </w:rPr>
        <w:t xml:space="preserve"> 2005;</w:t>
      </w:r>
      <w:r w:rsidRPr="00A05FAB">
        <w:rPr>
          <w:b/>
          <w:bCs/>
          <w:noProof/>
          <w:szCs w:val="24"/>
        </w:rPr>
        <w:t>173</w:t>
      </w:r>
      <w:r w:rsidRPr="00A05FAB">
        <w:rPr>
          <w:noProof/>
          <w:szCs w:val="24"/>
        </w:rPr>
        <w:t>:489–95. doi:10.1503/cmaj.050051</w:t>
      </w:r>
    </w:p>
    <w:p w14:paraId="66419FBD"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18 </w:t>
      </w:r>
      <w:r w:rsidRPr="00A05FAB">
        <w:rPr>
          <w:noProof/>
          <w:szCs w:val="24"/>
        </w:rPr>
        <w:tab/>
        <w:t xml:space="preserve">Rubin DB. </w:t>
      </w:r>
      <w:r w:rsidRPr="00A05FAB">
        <w:rPr>
          <w:i/>
          <w:iCs/>
          <w:noProof/>
          <w:szCs w:val="24"/>
        </w:rPr>
        <w:t>Multiple Imputation for Nonresponse in Surveys</w:t>
      </w:r>
      <w:r w:rsidRPr="00A05FAB">
        <w:rPr>
          <w:noProof/>
          <w:szCs w:val="24"/>
        </w:rPr>
        <w:t xml:space="preserve">. John Wiley &amp; Sons 1987. </w:t>
      </w:r>
    </w:p>
    <w:p w14:paraId="7E99F770"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19 </w:t>
      </w:r>
      <w:r w:rsidRPr="00A05FAB">
        <w:rPr>
          <w:noProof/>
          <w:szCs w:val="24"/>
        </w:rPr>
        <w:tab/>
        <w:t xml:space="preserve">White IR, Royston P. Imputing missing covariate values for the Cox model. </w:t>
      </w:r>
      <w:r w:rsidRPr="00A05FAB">
        <w:rPr>
          <w:i/>
          <w:iCs/>
          <w:noProof/>
          <w:szCs w:val="24"/>
        </w:rPr>
        <w:t>Stat Med</w:t>
      </w:r>
      <w:r w:rsidRPr="00A05FAB">
        <w:rPr>
          <w:noProof/>
          <w:szCs w:val="24"/>
        </w:rPr>
        <w:t xml:space="preserve"> 2009;</w:t>
      </w:r>
      <w:r w:rsidRPr="00A05FAB">
        <w:rPr>
          <w:b/>
          <w:bCs/>
          <w:noProof/>
          <w:szCs w:val="24"/>
        </w:rPr>
        <w:t>28</w:t>
      </w:r>
      <w:r w:rsidRPr="00A05FAB">
        <w:rPr>
          <w:noProof/>
          <w:szCs w:val="24"/>
        </w:rPr>
        <w:t>:1982–98. doi:10.1002/sim.3618</w:t>
      </w:r>
    </w:p>
    <w:p w14:paraId="73B68576"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20 </w:t>
      </w:r>
      <w:r w:rsidRPr="00A05FAB">
        <w:rPr>
          <w:noProof/>
          <w:szCs w:val="24"/>
        </w:rPr>
        <w:tab/>
        <w:t xml:space="preserve">Vergouwe Y, Royston P, Moons KGM, </w:t>
      </w:r>
      <w:r w:rsidRPr="00A05FAB">
        <w:rPr>
          <w:i/>
          <w:iCs/>
          <w:noProof/>
          <w:szCs w:val="24"/>
        </w:rPr>
        <w:t>et al.</w:t>
      </w:r>
      <w:r w:rsidRPr="00A05FAB">
        <w:rPr>
          <w:noProof/>
          <w:szCs w:val="24"/>
        </w:rPr>
        <w:t xml:space="preserve"> Development and validation of a prediction model with missing predictor data: a practical approach. </w:t>
      </w:r>
      <w:r w:rsidRPr="00A05FAB">
        <w:rPr>
          <w:i/>
          <w:iCs/>
          <w:noProof/>
          <w:szCs w:val="24"/>
        </w:rPr>
        <w:t>J Clin Epidemiol</w:t>
      </w:r>
      <w:r w:rsidRPr="00A05FAB">
        <w:rPr>
          <w:noProof/>
          <w:szCs w:val="24"/>
        </w:rPr>
        <w:t xml:space="preserve"> 2010;</w:t>
      </w:r>
      <w:r w:rsidRPr="00A05FAB">
        <w:rPr>
          <w:b/>
          <w:bCs/>
          <w:noProof/>
          <w:szCs w:val="24"/>
        </w:rPr>
        <w:t>63</w:t>
      </w:r>
      <w:r w:rsidRPr="00A05FAB">
        <w:rPr>
          <w:noProof/>
          <w:szCs w:val="24"/>
        </w:rPr>
        <w:t>:205–14. doi:10.1016/j.jclinepi.2009.03.017</w:t>
      </w:r>
    </w:p>
    <w:p w14:paraId="3C2AF0C9"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21 </w:t>
      </w:r>
      <w:r w:rsidRPr="00A05FAB">
        <w:rPr>
          <w:noProof/>
          <w:szCs w:val="24"/>
        </w:rPr>
        <w:tab/>
        <w:t xml:space="preserve">Janssen KJM, Moons KGM, Kalkman CJ, </w:t>
      </w:r>
      <w:r w:rsidRPr="00A05FAB">
        <w:rPr>
          <w:i/>
          <w:iCs/>
          <w:noProof/>
          <w:szCs w:val="24"/>
        </w:rPr>
        <w:t>et al.</w:t>
      </w:r>
      <w:r w:rsidRPr="00A05FAB">
        <w:rPr>
          <w:noProof/>
          <w:szCs w:val="24"/>
        </w:rPr>
        <w:t xml:space="preserve"> Updating methods improved the performance of a clinical prediction model in new patients. </w:t>
      </w:r>
      <w:r w:rsidRPr="00A05FAB">
        <w:rPr>
          <w:i/>
          <w:iCs/>
          <w:noProof/>
          <w:szCs w:val="24"/>
        </w:rPr>
        <w:t>J Clin Epidemiol</w:t>
      </w:r>
      <w:r w:rsidRPr="00A05FAB">
        <w:rPr>
          <w:noProof/>
          <w:szCs w:val="24"/>
        </w:rPr>
        <w:t xml:space="preserve"> 2008;</w:t>
      </w:r>
      <w:r w:rsidRPr="00A05FAB">
        <w:rPr>
          <w:b/>
          <w:bCs/>
          <w:noProof/>
          <w:szCs w:val="24"/>
        </w:rPr>
        <w:t>61</w:t>
      </w:r>
      <w:r w:rsidRPr="00A05FAB">
        <w:rPr>
          <w:noProof/>
          <w:szCs w:val="24"/>
        </w:rPr>
        <w:t>:76–86. doi:10.1016/j.jclinepi.2007.04.018</w:t>
      </w:r>
    </w:p>
    <w:p w14:paraId="56641EAB" w14:textId="3FDEBECA"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22 </w:t>
      </w:r>
      <w:r w:rsidRPr="00A05FAB">
        <w:rPr>
          <w:noProof/>
          <w:szCs w:val="24"/>
        </w:rPr>
        <w:tab/>
        <w:t xml:space="preserve">Steyerberg EW. </w:t>
      </w:r>
      <w:r w:rsidRPr="00A05FAB">
        <w:rPr>
          <w:i/>
          <w:iCs/>
          <w:noProof/>
          <w:szCs w:val="24"/>
        </w:rPr>
        <w:t>Clinical Prediction Models</w:t>
      </w:r>
      <w:r w:rsidRPr="00A05FAB">
        <w:rPr>
          <w:noProof/>
          <w:szCs w:val="24"/>
        </w:rPr>
        <w:t xml:space="preserve">. </w:t>
      </w:r>
      <w:r>
        <w:rPr>
          <w:noProof/>
          <w:szCs w:val="24"/>
        </w:rPr>
        <w:t>S</w:t>
      </w:r>
      <w:r w:rsidRPr="00A05FAB">
        <w:rPr>
          <w:noProof/>
          <w:szCs w:val="24"/>
        </w:rPr>
        <w:t>pringer New York 2009</w:t>
      </w:r>
      <w:r>
        <w:rPr>
          <w:noProof/>
          <w:szCs w:val="24"/>
        </w:rPr>
        <w:t>.</w:t>
      </w:r>
    </w:p>
    <w:p w14:paraId="59F9632E"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23 </w:t>
      </w:r>
      <w:r w:rsidRPr="00A05FAB">
        <w:rPr>
          <w:noProof/>
          <w:szCs w:val="24"/>
        </w:rPr>
        <w:tab/>
        <w:t xml:space="preserve">Shimura T, Yamamoto M, Kano S, </w:t>
      </w:r>
      <w:r w:rsidRPr="00A05FAB">
        <w:rPr>
          <w:i/>
          <w:iCs/>
          <w:noProof/>
          <w:szCs w:val="24"/>
        </w:rPr>
        <w:t>et al.</w:t>
      </w:r>
      <w:r w:rsidRPr="00A05FAB">
        <w:rPr>
          <w:noProof/>
          <w:szCs w:val="24"/>
        </w:rPr>
        <w:t xml:space="preserve"> Impact of the Clinical Frailty Scale on Outcomes After Transcatheter Aortic Valve ReplacementClinical Perspective. </w:t>
      </w:r>
      <w:r w:rsidRPr="00A05FAB">
        <w:rPr>
          <w:i/>
          <w:iCs/>
          <w:noProof/>
          <w:szCs w:val="24"/>
        </w:rPr>
        <w:t>Circulation</w:t>
      </w:r>
      <w:r w:rsidRPr="00A05FAB">
        <w:rPr>
          <w:noProof/>
          <w:szCs w:val="24"/>
        </w:rPr>
        <w:t xml:space="preserve"> 2017;</w:t>
      </w:r>
      <w:r w:rsidRPr="00A05FAB">
        <w:rPr>
          <w:b/>
          <w:bCs/>
          <w:noProof/>
          <w:szCs w:val="24"/>
        </w:rPr>
        <w:t>135</w:t>
      </w:r>
      <w:r w:rsidRPr="00A05FAB">
        <w:rPr>
          <w:noProof/>
          <w:szCs w:val="24"/>
        </w:rPr>
        <w:t>:2013–24. doi:10.1161/CIRCULATIONAHA.116.025630</w:t>
      </w:r>
    </w:p>
    <w:p w14:paraId="4F5ECC7A" w14:textId="4CE443ED"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24 </w:t>
      </w:r>
      <w:r w:rsidRPr="00A05FAB">
        <w:rPr>
          <w:noProof/>
          <w:szCs w:val="24"/>
        </w:rPr>
        <w:tab/>
        <w:t xml:space="preserve">Cox D. Two further applications of a model for binary regression. </w:t>
      </w:r>
      <w:r w:rsidRPr="00A05FAB">
        <w:rPr>
          <w:i/>
          <w:iCs/>
          <w:noProof/>
          <w:szCs w:val="24"/>
        </w:rPr>
        <w:t>Biometrika</w:t>
      </w:r>
      <w:r w:rsidRPr="00A05FAB">
        <w:rPr>
          <w:noProof/>
          <w:szCs w:val="24"/>
        </w:rPr>
        <w:t xml:space="preserve"> 1958;</w:t>
      </w:r>
      <w:r w:rsidRPr="00A05FAB">
        <w:rPr>
          <w:b/>
          <w:bCs/>
          <w:noProof/>
          <w:szCs w:val="24"/>
        </w:rPr>
        <w:t>45</w:t>
      </w:r>
      <w:r w:rsidRPr="00A05FAB">
        <w:rPr>
          <w:noProof/>
          <w:szCs w:val="24"/>
        </w:rPr>
        <w:t>:562–</w:t>
      </w:r>
      <w:r>
        <w:rPr>
          <w:noProof/>
          <w:szCs w:val="24"/>
        </w:rPr>
        <w:t>5.</w:t>
      </w:r>
    </w:p>
    <w:p w14:paraId="02D74C53" w14:textId="6C0EB742"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25 </w:t>
      </w:r>
      <w:r w:rsidRPr="00A05FAB">
        <w:rPr>
          <w:noProof/>
          <w:szCs w:val="24"/>
        </w:rPr>
        <w:tab/>
        <w:t xml:space="preserve">Austin PC, Steyerberg EW. Events per variable (EPV) and the relative performance of different strategies for estimating the out-of-sample validity of logistic regression models. </w:t>
      </w:r>
      <w:r w:rsidRPr="00A05FAB">
        <w:rPr>
          <w:i/>
          <w:iCs/>
          <w:noProof/>
          <w:szCs w:val="24"/>
        </w:rPr>
        <w:t>Stat Methods Med Res</w:t>
      </w:r>
      <w:r w:rsidRPr="00A05FAB">
        <w:rPr>
          <w:noProof/>
          <w:szCs w:val="24"/>
        </w:rPr>
        <w:t xml:space="preserve"> 2014. doi:10.1177/0962280214558972</w:t>
      </w:r>
    </w:p>
    <w:p w14:paraId="1897C420"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26 </w:t>
      </w:r>
      <w:r w:rsidRPr="00A05FAB">
        <w:rPr>
          <w:noProof/>
          <w:szCs w:val="24"/>
        </w:rPr>
        <w:tab/>
        <w:t xml:space="preserve">R Core Team R. R: A Language and Environment for Statistical Computing. R Found. </w:t>
      </w:r>
      <w:r w:rsidRPr="00A05FAB">
        <w:rPr>
          <w:noProof/>
          <w:szCs w:val="24"/>
        </w:rPr>
        <w:lastRenderedPageBreak/>
        <w:t>Stat. Comput. 2017. doi:10.1007/978-3-540-74686-7</w:t>
      </w:r>
    </w:p>
    <w:p w14:paraId="114BCD68" w14:textId="0B9948DB"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27 </w:t>
      </w:r>
      <w:r w:rsidRPr="00A05FAB">
        <w:rPr>
          <w:noProof/>
          <w:szCs w:val="24"/>
        </w:rPr>
        <w:tab/>
        <w:t xml:space="preserve">Buuren S Van, Groothuis-Oudshoorn K. mice: Multivariate Imputation by Chained Equations in R. </w:t>
      </w:r>
      <w:r w:rsidRPr="00A05FAB">
        <w:rPr>
          <w:i/>
          <w:iCs/>
          <w:noProof/>
          <w:szCs w:val="24"/>
        </w:rPr>
        <w:t>J Stat Softw</w:t>
      </w:r>
      <w:r w:rsidRPr="00A05FAB">
        <w:rPr>
          <w:noProof/>
          <w:szCs w:val="24"/>
        </w:rPr>
        <w:t xml:space="preserve"> 2011;</w:t>
      </w:r>
      <w:r w:rsidRPr="00A05FAB">
        <w:rPr>
          <w:b/>
          <w:bCs/>
          <w:noProof/>
          <w:szCs w:val="24"/>
        </w:rPr>
        <w:t>45</w:t>
      </w:r>
      <w:r w:rsidRPr="00A05FAB">
        <w:rPr>
          <w:noProof/>
          <w:szCs w:val="24"/>
        </w:rPr>
        <w:t>:1–67.</w:t>
      </w:r>
    </w:p>
    <w:p w14:paraId="2413C7BB" w14:textId="128CA000"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28 </w:t>
      </w:r>
      <w:r w:rsidRPr="00A05FAB">
        <w:rPr>
          <w:noProof/>
          <w:szCs w:val="24"/>
        </w:rPr>
        <w:tab/>
        <w:t xml:space="preserve">Robin X, Turck N, Hainard A, </w:t>
      </w:r>
      <w:r w:rsidRPr="00A05FAB">
        <w:rPr>
          <w:i/>
          <w:iCs/>
          <w:noProof/>
          <w:szCs w:val="24"/>
        </w:rPr>
        <w:t>et al.</w:t>
      </w:r>
      <w:r w:rsidRPr="00A05FAB">
        <w:rPr>
          <w:noProof/>
          <w:szCs w:val="24"/>
        </w:rPr>
        <w:t xml:space="preserve"> pROC: an open-source package for R and S+ to analyze and compare ROC curves. </w:t>
      </w:r>
      <w:r w:rsidRPr="00A05FAB">
        <w:rPr>
          <w:i/>
          <w:iCs/>
          <w:noProof/>
          <w:szCs w:val="24"/>
        </w:rPr>
        <w:t>BMC Bioinformatics</w:t>
      </w:r>
      <w:r w:rsidRPr="00A05FAB">
        <w:rPr>
          <w:noProof/>
          <w:szCs w:val="24"/>
        </w:rPr>
        <w:t xml:space="preserve"> 2011;</w:t>
      </w:r>
      <w:r w:rsidRPr="00A05FAB">
        <w:rPr>
          <w:b/>
          <w:bCs/>
          <w:noProof/>
          <w:szCs w:val="24"/>
        </w:rPr>
        <w:t>12</w:t>
      </w:r>
      <w:r w:rsidRPr="00A05FAB">
        <w:rPr>
          <w:noProof/>
          <w:szCs w:val="24"/>
        </w:rPr>
        <w:t>:77.</w:t>
      </w:r>
    </w:p>
    <w:p w14:paraId="25E20636" w14:textId="77777777" w:rsidR="00A05FAB" w:rsidRPr="00A05FAB" w:rsidRDefault="00A05FAB" w:rsidP="00A05FAB">
      <w:pPr>
        <w:widowControl w:val="0"/>
        <w:autoSpaceDE w:val="0"/>
        <w:autoSpaceDN w:val="0"/>
        <w:adjustRightInd w:val="0"/>
        <w:ind w:left="640" w:hanging="640"/>
        <w:rPr>
          <w:noProof/>
          <w:szCs w:val="24"/>
        </w:rPr>
      </w:pPr>
      <w:r w:rsidRPr="00A05FAB">
        <w:rPr>
          <w:noProof/>
          <w:szCs w:val="24"/>
        </w:rPr>
        <w:t xml:space="preserve">29 </w:t>
      </w:r>
      <w:r w:rsidRPr="00A05FAB">
        <w:rPr>
          <w:noProof/>
          <w:szCs w:val="24"/>
        </w:rPr>
        <w:tab/>
        <w:t xml:space="preserve">Collins GS, Ma J, Gerry S, </w:t>
      </w:r>
      <w:r w:rsidRPr="00A05FAB">
        <w:rPr>
          <w:i/>
          <w:iCs/>
          <w:noProof/>
          <w:szCs w:val="24"/>
        </w:rPr>
        <w:t>et al.</w:t>
      </w:r>
      <w:r w:rsidRPr="00A05FAB">
        <w:rPr>
          <w:noProof/>
          <w:szCs w:val="24"/>
        </w:rPr>
        <w:t xml:space="preserve"> Risk Prediction Models in Perioperative Medicine: Methodological Considerations. </w:t>
      </w:r>
      <w:r w:rsidRPr="00A05FAB">
        <w:rPr>
          <w:i/>
          <w:iCs/>
          <w:noProof/>
          <w:szCs w:val="24"/>
        </w:rPr>
        <w:t>Curr Anesthesiol Rep</w:t>
      </w:r>
      <w:r w:rsidRPr="00A05FAB">
        <w:rPr>
          <w:noProof/>
          <w:szCs w:val="24"/>
        </w:rPr>
        <w:t xml:space="preserve"> 2016;</w:t>
      </w:r>
      <w:r w:rsidRPr="00A05FAB">
        <w:rPr>
          <w:b/>
          <w:bCs/>
          <w:noProof/>
          <w:szCs w:val="24"/>
        </w:rPr>
        <w:t>6</w:t>
      </w:r>
      <w:r w:rsidRPr="00A05FAB">
        <w:rPr>
          <w:noProof/>
          <w:szCs w:val="24"/>
        </w:rPr>
        <w:t>:267–75. doi:10.1007/s40140-016-0171-8</w:t>
      </w:r>
    </w:p>
    <w:p w14:paraId="6B14FEB6" w14:textId="77777777" w:rsidR="00A05FAB" w:rsidRPr="00A05FAB" w:rsidRDefault="00A05FAB" w:rsidP="00A05FAB">
      <w:pPr>
        <w:widowControl w:val="0"/>
        <w:autoSpaceDE w:val="0"/>
        <w:autoSpaceDN w:val="0"/>
        <w:adjustRightInd w:val="0"/>
        <w:ind w:left="640" w:hanging="640"/>
        <w:rPr>
          <w:noProof/>
        </w:rPr>
      </w:pPr>
      <w:r w:rsidRPr="00A05FAB">
        <w:rPr>
          <w:noProof/>
          <w:szCs w:val="24"/>
        </w:rPr>
        <w:t xml:space="preserve">30 </w:t>
      </w:r>
      <w:r w:rsidRPr="00A05FAB">
        <w:rPr>
          <w:noProof/>
          <w:szCs w:val="24"/>
        </w:rPr>
        <w:tab/>
        <w:t xml:space="preserve">Hickey GLL, Grant SWW, Murphy GJJ, </w:t>
      </w:r>
      <w:r w:rsidRPr="00A05FAB">
        <w:rPr>
          <w:i/>
          <w:iCs/>
          <w:noProof/>
          <w:szCs w:val="24"/>
        </w:rPr>
        <w:t>et al.</w:t>
      </w:r>
      <w:r w:rsidRPr="00A05FAB">
        <w:rPr>
          <w:noProof/>
          <w:szCs w:val="24"/>
        </w:rPr>
        <w:t xml:space="preserve"> Dynamic trends in cardiac surgery: why the logistic EuroSCORE is no longer suitable for contemporary cardiac surgery and implications for future risk models. </w:t>
      </w:r>
      <w:r w:rsidRPr="00A05FAB">
        <w:rPr>
          <w:i/>
          <w:iCs/>
          <w:noProof/>
          <w:szCs w:val="24"/>
        </w:rPr>
        <w:t>Eur J Cardio-Thoracic Surg</w:t>
      </w:r>
      <w:r w:rsidRPr="00A05FAB">
        <w:rPr>
          <w:noProof/>
          <w:szCs w:val="24"/>
        </w:rPr>
        <w:t xml:space="preserve"> 2013;</w:t>
      </w:r>
      <w:r w:rsidRPr="00A05FAB">
        <w:rPr>
          <w:b/>
          <w:bCs/>
          <w:noProof/>
          <w:szCs w:val="24"/>
        </w:rPr>
        <w:t>43</w:t>
      </w:r>
      <w:r w:rsidRPr="00A05FAB">
        <w:rPr>
          <w:noProof/>
          <w:szCs w:val="24"/>
        </w:rPr>
        <w:t>:1146–52. doi:10.1093/ejcts/ezs584</w:t>
      </w:r>
    </w:p>
    <w:p w14:paraId="7A1A71EA" w14:textId="32702AAB" w:rsidR="002D19F1" w:rsidRDefault="002D19F1" w:rsidP="00EE13ED">
      <w:pPr>
        <w:widowControl w:val="0"/>
        <w:autoSpaceDE w:val="0"/>
        <w:autoSpaceDN w:val="0"/>
        <w:adjustRightInd w:val="0"/>
        <w:ind w:left="640" w:hanging="640"/>
        <w:jc w:val="left"/>
        <w:sectPr w:rsidR="002D19F1">
          <w:pgSz w:w="11906" w:h="16838"/>
          <w:pgMar w:top="1440" w:right="1440" w:bottom="1440" w:left="1440" w:header="708" w:footer="708" w:gutter="0"/>
          <w:cols w:space="708"/>
          <w:docGrid w:linePitch="360"/>
        </w:sectPr>
      </w:pPr>
      <w:r>
        <w:fldChar w:fldCharType="end"/>
      </w:r>
    </w:p>
    <w:p w14:paraId="63910DB9" w14:textId="77777777" w:rsidR="002D19F1" w:rsidRDefault="002D19F1" w:rsidP="002D19F1">
      <w:pPr>
        <w:pStyle w:val="Heading1"/>
      </w:pPr>
      <w:r>
        <w:lastRenderedPageBreak/>
        <w:t>Tables</w:t>
      </w:r>
    </w:p>
    <w:p w14:paraId="4EC86BD1" w14:textId="00776F8A" w:rsidR="002D19F1" w:rsidRPr="00736347" w:rsidRDefault="002D19F1" w:rsidP="002D19F1">
      <w:pPr>
        <w:keepNext/>
        <w:spacing w:before="240" w:after="60"/>
        <w:outlineLvl w:val="1"/>
        <w:rPr>
          <w:rFonts w:eastAsia="Times New Roman"/>
          <w:b/>
          <w:bCs/>
          <w:iCs/>
          <w:szCs w:val="28"/>
        </w:rPr>
      </w:pPr>
      <w:r w:rsidRPr="00736347">
        <w:rPr>
          <w:rFonts w:eastAsia="Times New Roman"/>
          <w:b/>
          <w:bCs/>
          <w:iCs/>
          <w:szCs w:val="28"/>
        </w:rPr>
        <w:t>Table 1</w:t>
      </w:r>
      <w:r>
        <w:rPr>
          <w:rFonts w:eastAsia="Times New Roman"/>
          <w:b/>
          <w:bCs/>
          <w:iCs/>
          <w:szCs w:val="28"/>
        </w:rPr>
        <w:t>:</w:t>
      </w:r>
      <w:r w:rsidRPr="00736347">
        <w:rPr>
          <w:rFonts w:eastAsia="Times New Roman"/>
          <w:b/>
          <w:bCs/>
          <w:iCs/>
          <w:szCs w:val="28"/>
        </w:rPr>
        <w:t xml:space="preserve"> </w:t>
      </w:r>
      <w:r w:rsidR="00B41E17">
        <w:rPr>
          <w:rFonts w:eastAsia="Times New Roman"/>
          <w:bCs/>
          <w:iCs/>
          <w:szCs w:val="28"/>
        </w:rPr>
        <w:t>B</w:t>
      </w:r>
      <w:r w:rsidRPr="005E038B">
        <w:rPr>
          <w:rFonts w:eastAsia="Times New Roman"/>
          <w:bCs/>
          <w:iCs/>
          <w:szCs w:val="28"/>
        </w:rPr>
        <w:t xml:space="preserve">aseline and procedural characteristics </w:t>
      </w:r>
      <w:r>
        <w:rPr>
          <w:rFonts w:eastAsia="Times New Roman"/>
          <w:bCs/>
          <w:iCs/>
          <w:szCs w:val="28"/>
        </w:rPr>
        <w:t>for patients in the main development cohort</w:t>
      </w:r>
      <w:r w:rsidRPr="005E038B">
        <w:rPr>
          <w:rFonts w:eastAsia="Times New Roman"/>
          <w:bCs/>
          <w:i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4070"/>
        <w:gridCol w:w="2553"/>
        <w:gridCol w:w="2393"/>
      </w:tblGrid>
      <w:tr w:rsidR="002D19F1" w:rsidRPr="00AC7ECB" w14:paraId="2A5ACCD2" w14:textId="77777777" w:rsidTr="0015001C">
        <w:trPr>
          <w:cantSplit/>
          <w:trHeight w:val="170"/>
          <w:jc w:val="center"/>
        </w:trPr>
        <w:tc>
          <w:tcPr>
            <w:tcW w:w="2257" w:type="pct"/>
          </w:tcPr>
          <w:p w14:paraId="79DD0332" w14:textId="77777777" w:rsidR="002D19F1" w:rsidRPr="00AC7ECB" w:rsidRDefault="002D19F1" w:rsidP="0015001C">
            <w:pPr>
              <w:rPr>
                <w:b/>
                <w:szCs w:val="20"/>
              </w:rPr>
            </w:pPr>
            <w:r w:rsidRPr="00AC7ECB">
              <w:rPr>
                <w:b/>
                <w:szCs w:val="20"/>
              </w:rPr>
              <w:t>Variable</w:t>
            </w:r>
            <w:r>
              <w:rPr>
                <w:b/>
                <w:szCs w:val="20"/>
              </w:rPr>
              <w:t xml:space="preserve"> *</w:t>
            </w:r>
          </w:p>
        </w:tc>
        <w:tc>
          <w:tcPr>
            <w:tcW w:w="1416" w:type="pct"/>
          </w:tcPr>
          <w:p w14:paraId="2ED07FF0" w14:textId="77777777" w:rsidR="002D19F1" w:rsidRPr="00AC7ECB" w:rsidRDefault="002D19F1" w:rsidP="0015001C">
            <w:pPr>
              <w:rPr>
                <w:b/>
                <w:szCs w:val="20"/>
              </w:rPr>
            </w:pPr>
            <w:r w:rsidRPr="00AC7ECB">
              <w:rPr>
                <w:b/>
                <w:szCs w:val="20"/>
              </w:rPr>
              <w:t xml:space="preserve">Summary </w:t>
            </w:r>
            <w:r>
              <w:rPr>
                <w:b/>
                <w:szCs w:val="20"/>
              </w:rPr>
              <w:t>(n</w:t>
            </w:r>
            <w:r w:rsidRPr="00AC7ECB">
              <w:rPr>
                <w:b/>
                <w:szCs w:val="20"/>
              </w:rPr>
              <w:t>=</w:t>
            </w:r>
            <w:r>
              <w:rPr>
                <w:b/>
                <w:szCs w:val="20"/>
              </w:rPr>
              <w:t>6339</w:t>
            </w:r>
            <w:r w:rsidRPr="00AC7ECB">
              <w:rPr>
                <w:b/>
                <w:szCs w:val="20"/>
              </w:rPr>
              <w:t>)</w:t>
            </w:r>
          </w:p>
        </w:tc>
        <w:tc>
          <w:tcPr>
            <w:tcW w:w="1327" w:type="pct"/>
          </w:tcPr>
          <w:p w14:paraId="0FC8EDE3" w14:textId="684A2BC4" w:rsidR="002D19F1" w:rsidRPr="00AC7ECB" w:rsidRDefault="002D19F1" w:rsidP="0015001C">
            <w:pPr>
              <w:rPr>
                <w:b/>
                <w:szCs w:val="20"/>
              </w:rPr>
            </w:pPr>
            <w:r w:rsidRPr="00AC7ECB">
              <w:rPr>
                <w:b/>
                <w:szCs w:val="20"/>
              </w:rPr>
              <w:t>Missing (</w:t>
            </w:r>
            <w:r>
              <w:rPr>
                <w:b/>
                <w:szCs w:val="20"/>
              </w:rPr>
              <w:t>%</w:t>
            </w:r>
            <w:r w:rsidR="00DD48CE">
              <w:rPr>
                <w:b/>
                <w:szCs w:val="20"/>
              </w:rPr>
              <w:t xml:space="preserve"> of 6339</w:t>
            </w:r>
            <w:r w:rsidRPr="00AC7ECB">
              <w:rPr>
                <w:b/>
                <w:szCs w:val="20"/>
              </w:rPr>
              <w:t>)</w:t>
            </w:r>
          </w:p>
        </w:tc>
      </w:tr>
      <w:tr w:rsidR="002D19F1" w:rsidRPr="00AC7ECB" w14:paraId="00A154E7" w14:textId="77777777" w:rsidTr="0015001C">
        <w:trPr>
          <w:cantSplit/>
          <w:trHeight w:val="170"/>
          <w:jc w:val="center"/>
        </w:trPr>
        <w:tc>
          <w:tcPr>
            <w:tcW w:w="2257" w:type="pct"/>
          </w:tcPr>
          <w:p w14:paraId="78706655" w14:textId="77777777" w:rsidR="002D19F1" w:rsidRPr="00AC7ECB" w:rsidRDefault="002D19F1" w:rsidP="0015001C">
            <w:pPr>
              <w:rPr>
                <w:szCs w:val="20"/>
              </w:rPr>
            </w:pPr>
            <w:r w:rsidRPr="00AC7ECB">
              <w:rPr>
                <w:szCs w:val="20"/>
              </w:rPr>
              <w:t>Age, mean [range]</w:t>
            </w:r>
          </w:p>
        </w:tc>
        <w:tc>
          <w:tcPr>
            <w:tcW w:w="1416" w:type="pct"/>
            <w:vAlign w:val="center"/>
          </w:tcPr>
          <w:p w14:paraId="0B12C71D" w14:textId="77777777" w:rsidR="002D19F1" w:rsidRPr="009702B9" w:rsidRDefault="002D19F1" w:rsidP="0015001C">
            <w:pPr>
              <w:jc w:val="center"/>
              <w:rPr>
                <w:szCs w:val="20"/>
              </w:rPr>
            </w:pPr>
            <w:r>
              <w:rPr>
                <w:szCs w:val="20"/>
              </w:rPr>
              <w:t>81.25 [29-101]</w:t>
            </w:r>
          </w:p>
        </w:tc>
        <w:tc>
          <w:tcPr>
            <w:tcW w:w="1327" w:type="pct"/>
            <w:vAlign w:val="center"/>
          </w:tcPr>
          <w:p w14:paraId="6A6D5D4D" w14:textId="77777777" w:rsidR="002D19F1" w:rsidRPr="009702B9" w:rsidRDefault="002D19F1" w:rsidP="0015001C">
            <w:pPr>
              <w:jc w:val="center"/>
              <w:rPr>
                <w:szCs w:val="20"/>
              </w:rPr>
            </w:pPr>
            <w:r>
              <w:rPr>
                <w:szCs w:val="20"/>
              </w:rPr>
              <w:t>0 (0%)</w:t>
            </w:r>
          </w:p>
        </w:tc>
      </w:tr>
      <w:tr w:rsidR="002D19F1" w:rsidRPr="00AC7ECB" w14:paraId="5ACB7723" w14:textId="77777777" w:rsidTr="0015001C">
        <w:trPr>
          <w:cantSplit/>
          <w:trHeight w:val="170"/>
          <w:jc w:val="center"/>
        </w:trPr>
        <w:tc>
          <w:tcPr>
            <w:tcW w:w="2257" w:type="pct"/>
          </w:tcPr>
          <w:p w14:paraId="4842D40B" w14:textId="77777777" w:rsidR="002D19F1" w:rsidRPr="00AC7ECB" w:rsidRDefault="002D19F1" w:rsidP="0015001C">
            <w:pPr>
              <w:rPr>
                <w:szCs w:val="20"/>
              </w:rPr>
            </w:pPr>
            <w:r w:rsidRPr="00AC7ECB">
              <w:rPr>
                <w:szCs w:val="20"/>
              </w:rPr>
              <w:t>Females, n (%)</w:t>
            </w:r>
          </w:p>
        </w:tc>
        <w:tc>
          <w:tcPr>
            <w:tcW w:w="1416" w:type="pct"/>
            <w:vAlign w:val="center"/>
          </w:tcPr>
          <w:p w14:paraId="46CD97B1" w14:textId="77777777" w:rsidR="002D19F1" w:rsidRPr="009702B9" w:rsidRDefault="002D19F1" w:rsidP="0015001C">
            <w:pPr>
              <w:jc w:val="center"/>
              <w:rPr>
                <w:szCs w:val="20"/>
              </w:rPr>
            </w:pPr>
            <w:r>
              <w:rPr>
                <w:szCs w:val="20"/>
              </w:rPr>
              <w:t>2927 (46.17%)</w:t>
            </w:r>
          </w:p>
        </w:tc>
        <w:tc>
          <w:tcPr>
            <w:tcW w:w="1327" w:type="pct"/>
            <w:vAlign w:val="center"/>
          </w:tcPr>
          <w:p w14:paraId="5841439B" w14:textId="77777777" w:rsidR="002D19F1" w:rsidRPr="009702B9" w:rsidRDefault="002D19F1" w:rsidP="0015001C">
            <w:pPr>
              <w:jc w:val="center"/>
              <w:rPr>
                <w:szCs w:val="20"/>
              </w:rPr>
            </w:pPr>
            <w:r>
              <w:rPr>
                <w:szCs w:val="20"/>
              </w:rPr>
              <w:t>22 (0.35%)</w:t>
            </w:r>
          </w:p>
        </w:tc>
      </w:tr>
      <w:tr w:rsidR="002D19F1" w:rsidRPr="00AC7ECB" w14:paraId="44C9ADC3" w14:textId="77777777" w:rsidTr="0015001C">
        <w:trPr>
          <w:cantSplit/>
          <w:trHeight w:val="170"/>
          <w:jc w:val="center"/>
        </w:trPr>
        <w:tc>
          <w:tcPr>
            <w:tcW w:w="2257" w:type="pct"/>
          </w:tcPr>
          <w:p w14:paraId="4AA64DC9" w14:textId="77777777" w:rsidR="002D19F1" w:rsidRPr="00AC7ECB" w:rsidRDefault="002D19F1" w:rsidP="0015001C">
            <w:pPr>
              <w:rPr>
                <w:szCs w:val="20"/>
              </w:rPr>
            </w:pPr>
            <w:r>
              <w:rPr>
                <w:szCs w:val="20"/>
              </w:rPr>
              <w:t>Non-Caucasian, n (%)</w:t>
            </w:r>
          </w:p>
        </w:tc>
        <w:tc>
          <w:tcPr>
            <w:tcW w:w="1416" w:type="pct"/>
            <w:vAlign w:val="center"/>
          </w:tcPr>
          <w:p w14:paraId="6902EA37" w14:textId="77777777" w:rsidR="002D19F1" w:rsidRPr="009702B9" w:rsidRDefault="002D19F1" w:rsidP="0015001C">
            <w:pPr>
              <w:jc w:val="center"/>
              <w:rPr>
                <w:szCs w:val="20"/>
              </w:rPr>
            </w:pPr>
            <w:r>
              <w:rPr>
                <w:szCs w:val="20"/>
              </w:rPr>
              <w:t>249 (3.93%)</w:t>
            </w:r>
          </w:p>
        </w:tc>
        <w:tc>
          <w:tcPr>
            <w:tcW w:w="1327" w:type="pct"/>
            <w:vAlign w:val="center"/>
          </w:tcPr>
          <w:p w14:paraId="2FE023C9" w14:textId="77777777" w:rsidR="002D19F1" w:rsidRPr="009702B9" w:rsidRDefault="002D19F1" w:rsidP="0015001C">
            <w:pPr>
              <w:jc w:val="center"/>
              <w:rPr>
                <w:szCs w:val="20"/>
              </w:rPr>
            </w:pPr>
            <w:r>
              <w:rPr>
                <w:szCs w:val="20"/>
              </w:rPr>
              <w:t>65 (1.03%)</w:t>
            </w:r>
          </w:p>
        </w:tc>
      </w:tr>
      <w:tr w:rsidR="002D19F1" w:rsidRPr="00AC7ECB" w14:paraId="3EA6D6FA" w14:textId="77777777" w:rsidTr="0015001C">
        <w:trPr>
          <w:cantSplit/>
          <w:trHeight w:val="170"/>
          <w:jc w:val="center"/>
        </w:trPr>
        <w:tc>
          <w:tcPr>
            <w:tcW w:w="2257" w:type="pct"/>
          </w:tcPr>
          <w:p w14:paraId="081BE038" w14:textId="77777777" w:rsidR="002D19F1" w:rsidRDefault="002D19F1" w:rsidP="0015001C">
            <w:pPr>
              <w:rPr>
                <w:szCs w:val="20"/>
              </w:rPr>
            </w:pPr>
            <w:r>
              <w:rPr>
                <w:szCs w:val="20"/>
              </w:rPr>
              <w:t>Diabetic, n (%)</w:t>
            </w:r>
          </w:p>
        </w:tc>
        <w:tc>
          <w:tcPr>
            <w:tcW w:w="1416" w:type="pct"/>
            <w:vAlign w:val="center"/>
          </w:tcPr>
          <w:p w14:paraId="307577AC" w14:textId="77777777" w:rsidR="002D19F1" w:rsidRPr="009702B9" w:rsidRDefault="002D19F1" w:rsidP="0015001C">
            <w:pPr>
              <w:jc w:val="center"/>
              <w:rPr>
                <w:szCs w:val="20"/>
              </w:rPr>
            </w:pPr>
            <w:r>
              <w:rPr>
                <w:szCs w:val="20"/>
              </w:rPr>
              <w:t>1463 (23.08%)</w:t>
            </w:r>
          </w:p>
        </w:tc>
        <w:tc>
          <w:tcPr>
            <w:tcW w:w="1327" w:type="pct"/>
            <w:vAlign w:val="center"/>
          </w:tcPr>
          <w:p w14:paraId="257CC539" w14:textId="77777777" w:rsidR="002D19F1" w:rsidRDefault="002D19F1" w:rsidP="0015001C">
            <w:pPr>
              <w:jc w:val="center"/>
              <w:rPr>
                <w:szCs w:val="20"/>
              </w:rPr>
            </w:pPr>
            <w:r>
              <w:rPr>
                <w:szCs w:val="20"/>
              </w:rPr>
              <w:t>35 (0.55%)</w:t>
            </w:r>
          </w:p>
        </w:tc>
      </w:tr>
      <w:tr w:rsidR="002D19F1" w:rsidRPr="00AC7ECB" w14:paraId="7A96DB71" w14:textId="77777777" w:rsidTr="0015001C">
        <w:trPr>
          <w:cantSplit/>
          <w:trHeight w:val="170"/>
          <w:jc w:val="center"/>
        </w:trPr>
        <w:tc>
          <w:tcPr>
            <w:tcW w:w="2257" w:type="pct"/>
          </w:tcPr>
          <w:p w14:paraId="2192024C" w14:textId="77777777" w:rsidR="002D19F1" w:rsidRDefault="002D19F1" w:rsidP="0015001C">
            <w:pPr>
              <w:rPr>
                <w:szCs w:val="20"/>
              </w:rPr>
            </w:pPr>
            <w:r>
              <w:rPr>
                <w:szCs w:val="20"/>
              </w:rPr>
              <w:t>Current or ex-smoker, n (%)</w:t>
            </w:r>
          </w:p>
        </w:tc>
        <w:tc>
          <w:tcPr>
            <w:tcW w:w="1416" w:type="pct"/>
            <w:vAlign w:val="center"/>
          </w:tcPr>
          <w:p w14:paraId="796EF067" w14:textId="02DAE75D" w:rsidR="002D19F1" w:rsidRPr="009702B9" w:rsidRDefault="002D19F1" w:rsidP="00E1441F">
            <w:pPr>
              <w:jc w:val="center"/>
              <w:rPr>
                <w:szCs w:val="20"/>
              </w:rPr>
            </w:pPr>
            <w:r>
              <w:rPr>
                <w:szCs w:val="20"/>
              </w:rPr>
              <w:t>3</w:t>
            </w:r>
            <w:r w:rsidR="00E1441F">
              <w:rPr>
                <w:szCs w:val="20"/>
              </w:rPr>
              <w:t>24</w:t>
            </w:r>
            <w:r>
              <w:rPr>
                <w:szCs w:val="20"/>
              </w:rPr>
              <w:t>0 (51.11%)</w:t>
            </w:r>
          </w:p>
        </w:tc>
        <w:tc>
          <w:tcPr>
            <w:tcW w:w="1327" w:type="pct"/>
            <w:vAlign w:val="center"/>
          </w:tcPr>
          <w:p w14:paraId="3009949B" w14:textId="77777777" w:rsidR="002D19F1" w:rsidRDefault="002D19F1" w:rsidP="0015001C">
            <w:pPr>
              <w:jc w:val="center"/>
              <w:rPr>
                <w:szCs w:val="20"/>
              </w:rPr>
            </w:pPr>
            <w:r>
              <w:rPr>
                <w:szCs w:val="20"/>
              </w:rPr>
              <w:t>245 (3.86%)</w:t>
            </w:r>
          </w:p>
        </w:tc>
      </w:tr>
      <w:tr w:rsidR="002D19F1" w:rsidRPr="00AC7ECB" w14:paraId="0E63E7BE" w14:textId="77777777" w:rsidTr="0015001C">
        <w:trPr>
          <w:cantSplit/>
          <w:trHeight w:val="170"/>
          <w:jc w:val="center"/>
        </w:trPr>
        <w:tc>
          <w:tcPr>
            <w:tcW w:w="2257" w:type="pct"/>
          </w:tcPr>
          <w:p w14:paraId="086D75CA" w14:textId="77777777" w:rsidR="002D19F1" w:rsidRPr="00AC7ECB" w:rsidRDefault="002D19F1" w:rsidP="0015001C">
            <w:pPr>
              <w:rPr>
                <w:szCs w:val="20"/>
              </w:rPr>
            </w:pPr>
            <w:r w:rsidRPr="00AC7ECB">
              <w:rPr>
                <w:szCs w:val="20"/>
              </w:rPr>
              <w:t>Height (m), mean [range]</w:t>
            </w:r>
          </w:p>
        </w:tc>
        <w:tc>
          <w:tcPr>
            <w:tcW w:w="1416" w:type="pct"/>
            <w:vAlign w:val="center"/>
          </w:tcPr>
          <w:p w14:paraId="6A4C840C" w14:textId="77777777" w:rsidR="002D19F1" w:rsidRPr="009702B9" w:rsidRDefault="002D19F1" w:rsidP="0015001C">
            <w:pPr>
              <w:jc w:val="center"/>
              <w:rPr>
                <w:szCs w:val="20"/>
              </w:rPr>
            </w:pPr>
            <w:r>
              <w:rPr>
                <w:szCs w:val="20"/>
              </w:rPr>
              <w:t>1.65 [1.10-2.36]</w:t>
            </w:r>
          </w:p>
        </w:tc>
        <w:tc>
          <w:tcPr>
            <w:tcW w:w="1327" w:type="pct"/>
            <w:vAlign w:val="center"/>
          </w:tcPr>
          <w:p w14:paraId="1472AD02" w14:textId="77777777" w:rsidR="002D19F1" w:rsidRPr="009702B9" w:rsidRDefault="002D19F1" w:rsidP="0015001C">
            <w:pPr>
              <w:jc w:val="center"/>
              <w:rPr>
                <w:szCs w:val="20"/>
              </w:rPr>
            </w:pPr>
            <w:r>
              <w:rPr>
                <w:szCs w:val="20"/>
              </w:rPr>
              <w:t>156 (2.46%)</w:t>
            </w:r>
          </w:p>
        </w:tc>
      </w:tr>
      <w:tr w:rsidR="002D19F1" w:rsidRPr="00AC7ECB" w14:paraId="329FC3E3" w14:textId="77777777" w:rsidTr="0015001C">
        <w:trPr>
          <w:cantSplit/>
          <w:trHeight w:val="170"/>
          <w:jc w:val="center"/>
        </w:trPr>
        <w:tc>
          <w:tcPr>
            <w:tcW w:w="2257" w:type="pct"/>
          </w:tcPr>
          <w:p w14:paraId="29BE187A" w14:textId="77777777" w:rsidR="002D19F1" w:rsidRPr="00AC7ECB" w:rsidRDefault="002D19F1" w:rsidP="0015001C">
            <w:pPr>
              <w:rPr>
                <w:szCs w:val="20"/>
              </w:rPr>
            </w:pPr>
            <w:r w:rsidRPr="00AC7ECB">
              <w:rPr>
                <w:szCs w:val="20"/>
              </w:rPr>
              <w:t>Weight (Kg), mean [range]</w:t>
            </w:r>
          </w:p>
        </w:tc>
        <w:tc>
          <w:tcPr>
            <w:tcW w:w="1416" w:type="pct"/>
            <w:vAlign w:val="center"/>
          </w:tcPr>
          <w:p w14:paraId="7CBDB97D" w14:textId="77777777" w:rsidR="002D19F1" w:rsidRDefault="002D19F1" w:rsidP="0015001C">
            <w:pPr>
              <w:jc w:val="center"/>
              <w:rPr>
                <w:szCs w:val="20"/>
              </w:rPr>
            </w:pPr>
            <w:r>
              <w:rPr>
                <w:szCs w:val="20"/>
              </w:rPr>
              <w:t>74.23 [32-190]</w:t>
            </w:r>
          </w:p>
        </w:tc>
        <w:tc>
          <w:tcPr>
            <w:tcW w:w="1327" w:type="pct"/>
            <w:vAlign w:val="center"/>
          </w:tcPr>
          <w:p w14:paraId="1581E0F5" w14:textId="77777777" w:rsidR="002D19F1" w:rsidRDefault="002D19F1" w:rsidP="0015001C">
            <w:pPr>
              <w:jc w:val="center"/>
              <w:rPr>
                <w:szCs w:val="20"/>
              </w:rPr>
            </w:pPr>
            <w:r>
              <w:rPr>
                <w:szCs w:val="20"/>
              </w:rPr>
              <w:t>129 (2.04%)</w:t>
            </w:r>
          </w:p>
        </w:tc>
      </w:tr>
      <w:tr w:rsidR="002D19F1" w:rsidRPr="00AC7ECB" w14:paraId="0CD611A6" w14:textId="77777777" w:rsidTr="0015001C">
        <w:trPr>
          <w:cantSplit/>
          <w:trHeight w:val="170"/>
          <w:jc w:val="center"/>
        </w:trPr>
        <w:tc>
          <w:tcPr>
            <w:tcW w:w="2257" w:type="pct"/>
          </w:tcPr>
          <w:p w14:paraId="362AADBD" w14:textId="77777777" w:rsidR="002D19F1" w:rsidRPr="00AC7ECB" w:rsidRDefault="002D19F1" w:rsidP="0015001C">
            <w:pPr>
              <w:rPr>
                <w:szCs w:val="20"/>
              </w:rPr>
            </w:pPr>
            <w:r w:rsidRPr="00AC7ECB">
              <w:rPr>
                <w:szCs w:val="20"/>
              </w:rPr>
              <w:t xml:space="preserve">Creatinine, </w:t>
            </w:r>
            <w:r w:rsidRPr="00AC7ECB">
              <w:rPr>
                <w:i/>
                <w:szCs w:val="20"/>
              </w:rPr>
              <w:t>µ</w:t>
            </w:r>
            <w:r w:rsidRPr="00AC7ECB">
              <w:rPr>
                <w:szCs w:val="20"/>
              </w:rPr>
              <w:t>mol/L, mean [range]</w:t>
            </w:r>
          </w:p>
        </w:tc>
        <w:tc>
          <w:tcPr>
            <w:tcW w:w="1416" w:type="pct"/>
            <w:vAlign w:val="center"/>
          </w:tcPr>
          <w:p w14:paraId="1E57F012" w14:textId="77777777" w:rsidR="002D19F1" w:rsidRPr="009702B9" w:rsidRDefault="002D19F1" w:rsidP="0015001C">
            <w:pPr>
              <w:jc w:val="center"/>
              <w:rPr>
                <w:szCs w:val="20"/>
              </w:rPr>
            </w:pPr>
            <w:r>
              <w:rPr>
                <w:szCs w:val="20"/>
              </w:rPr>
              <w:t>114.2 [29-1044]</w:t>
            </w:r>
          </w:p>
        </w:tc>
        <w:tc>
          <w:tcPr>
            <w:tcW w:w="1327" w:type="pct"/>
            <w:vAlign w:val="center"/>
          </w:tcPr>
          <w:p w14:paraId="2EA1B629" w14:textId="77777777" w:rsidR="002D19F1" w:rsidRPr="009702B9" w:rsidRDefault="002D19F1" w:rsidP="0015001C">
            <w:pPr>
              <w:jc w:val="center"/>
              <w:rPr>
                <w:szCs w:val="20"/>
              </w:rPr>
            </w:pPr>
            <w:r>
              <w:rPr>
                <w:szCs w:val="20"/>
              </w:rPr>
              <w:t>71 (1.12%)</w:t>
            </w:r>
          </w:p>
        </w:tc>
      </w:tr>
      <w:tr w:rsidR="002D19F1" w:rsidRPr="00AC7ECB" w14:paraId="0134E593" w14:textId="77777777" w:rsidTr="0015001C">
        <w:trPr>
          <w:cantSplit/>
          <w:trHeight w:val="170"/>
          <w:jc w:val="center"/>
        </w:trPr>
        <w:tc>
          <w:tcPr>
            <w:tcW w:w="2257" w:type="pct"/>
          </w:tcPr>
          <w:p w14:paraId="0B6FBD1D" w14:textId="77777777" w:rsidR="002D19F1" w:rsidRDefault="002D19F1" w:rsidP="0015001C">
            <w:pPr>
              <w:rPr>
                <w:szCs w:val="20"/>
              </w:rPr>
            </w:pPr>
            <w:r w:rsidRPr="00AC7ECB">
              <w:rPr>
                <w:szCs w:val="20"/>
              </w:rPr>
              <w:t>Dialysis, n (%)</w:t>
            </w:r>
          </w:p>
        </w:tc>
        <w:tc>
          <w:tcPr>
            <w:tcW w:w="1416" w:type="pct"/>
            <w:vAlign w:val="center"/>
          </w:tcPr>
          <w:p w14:paraId="58B6B0AA" w14:textId="77777777" w:rsidR="002D19F1" w:rsidRPr="009702B9" w:rsidRDefault="002D19F1" w:rsidP="0015001C">
            <w:pPr>
              <w:jc w:val="center"/>
              <w:rPr>
                <w:szCs w:val="20"/>
              </w:rPr>
            </w:pPr>
            <w:r>
              <w:rPr>
                <w:szCs w:val="20"/>
              </w:rPr>
              <w:t>122 (1.92%)</w:t>
            </w:r>
          </w:p>
        </w:tc>
        <w:tc>
          <w:tcPr>
            <w:tcW w:w="1327" w:type="pct"/>
            <w:vAlign w:val="center"/>
          </w:tcPr>
          <w:p w14:paraId="73A44D42" w14:textId="77777777" w:rsidR="002D19F1" w:rsidRDefault="002D19F1" w:rsidP="0015001C">
            <w:pPr>
              <w:jc w:val="center"/>
              <w:rPr>
                <w:szCs w:val="20"/>
              </w:rPr>
            </w:pPr>
            <w:r>
              <w:rPr>
                <w:szCs w:val="20"/>
              </w:rPr>
              <w:t>66 (1.04%)</w:t>
            </w:r>
          </w:p>
        </w:tc>
      </w:tr>
      <w:tr w:rsidR="002D19F1" w:rsidRPr="00AC7ECB" w14:paraId="599CB925" w14:textId="77777777" w:rsidTr="0015001C">
        <w:trPr>
          <w:cantSplit/>
          <w:trHeight w:val="170"/>
          <w:jc w:val="center"/>
        </w:trPr>
        <w:tc>
          <w:tcPr>
            <w:tcW w:w="2257" w:type="pct"/>
          </w:tcPr>
          <w:p w14:paraId="6557F0F9" w14:textId="77777777" w:rsidR="002D19F1" w:rsidRDefault="002D19F1" w:rsidP="0015001C">
            <w:pPr>
              <w:rPr>
                <w:szCs w:val="20"/>
              </w:rPr>
            </w:pPr>
            <w:r w:rsidRPr="00AC7ECB">
              <w:rPr>
                <w:szCs w:val="20"/>
              </w:rPr>
              <w:t>MI</w:t>
            </w:r>
            <w:r>
              <w:rPr>
                <w:szCs w:val="20"/>
              </w:rPr>
              <w:t xml:space="preserve"> </w:t>
            </w:r>
            <w:r w:rsidRPr="00AC7ECB">
              <w:rPr>
                <w:szCs w:val="20"/>
              </w:rPr>
              <w:t>within 30 days of TAVI, n (%)</w:t>
            </w:r>
          </w:p>
        </w:tc>
        <w:tc>
          <w:tcPr>
            <w:tcW w:w="1416" w:type="pct"/>
            <w:vAlign w:val="center"/>
          </w:tcPr>
          <w:p w14:paraId="79C45F9D" w14:textId="77777777" w:rsidR="002D19F1" w:rsidRPr="009702B9" w:rsidRDefault="002D19F1" w:rsidP="0015001C">
            <w:pPr>
              <w:jc w:val="center"/>
              <w:rPr>
                <w:szCs w:val="20"/>
              </w:rPr>
            </w:pPr>
            <w:r>
              <w:rPr>
                <w:szCs w:val="20"/>
              </w:rPr>
              <w:t>60 (0.95%)</w:t>
            </w:r>
          </w:p>
        </w:tc>
        <w:tc>
          <w:tcPr>
            <w:tcW w:w="1327" w:type="pct"/>
            <w:vAlign w:val="center"/>
          </w:tcPr>
          <w:p w14:paraId="7D95098F" w14:textId="77777777" w:rsidR="002D19F1" w:rsidRDefault="002D19F1" w:rsidP="0015001C">
            <w:pPr>
              <w:jc w:val="center"/>
              <w:rPr>
                <w:szCs w:val="20"/>
              </w:rPr>
            </w:pPr>
            <w:r>
              <w:rPr>
                <w:szCs w:val="20"/>
              </w:rPr>
              <w:t>33 (0.52%)</w:t>
            </w:r>
          </w:p>
        </w:tc>
      </w:tr>
      <w:tr w:rsidR="002D19F1" w:rsidRPr="00AC7ECB" w14:paraId="0B4CA001" w14:textId="77777777" w:rsidTr="0015001C">
        <w:trPr>
          <w:cantSplit/>
          <w:trHeight w:val="170"/>
          <w:jc w:val="center"/>
        </w:trPr>
        <w:tc>
          <w:tcPr>
            <w:tcW w:w="2257" w:type="pct"/>
          </w:tcPr>
          <w:p w14:paraId="6C77A691" w14:textId="77777777" w:rsidR="002D19F1" w:rsidRDefault="002D19F1" w:rsidP="0015001C">
            <w:pPr>
              <w:rPr>
                <w:szCs w:val="20"/>
              </w:rPr>
            </w:pPr>
            <w:r>
              <w:rPr>
                <w:szCs w:val="20"/>
              </w:rPr>
              <w:t>Pulmonary Disease, n (%)</w:t>
            </w:r>
          </w:p>
        </w:tc>
        <w:tc>
          <w:tcPr>
            <w:tcW w:w="1416" w:type="pct"/>
            <w:vAlign w:val="center"/>
          </w:tcPr>
          <w:p w14:paraId="453DF89E" w14:textId="77777777" w:rsidR="002D19F1" w:rsidRPr="009702B9" w:rsidRDefault="002D19F1" w:rsidP="0015001C">
            <w:pPr>
              <w:jc w:val="center"/>
              <w:rPr>
                <w:szCs w:val="20"/>
              </w:rPr>
            </w:pPr>
            <w:r>
              <w:rPr>
                <w:szCs w:val="20"/>
              </w:rPr>
              <w:t>1777 (28.03%)</w:t>
            </w:r>
          </w:p>
        </w:tc>
        <w:tc>
          <w:tcPr>
            <w:tcW w:w="1327" w:type="pct"/>
            <w:vAlign w:val="center"/>
          </w:tcPr>
          <w:p w14:paraId="7577AD9F" w14:textId="77777777" w:rsidR="002D19F1" w:rsidRDefault="002D19F1" w:rsidP="0015001C">
            <w:pPr>
              <w:jc w:val="center"/>
              <w:rPr>
                <w:szCs w:val="20"/>
              </w:rPr>
            </w:pPr>
            <w:r>
              <w:rPr>
                <w:szCs w:val="20"/>
              </w:rPr>
              <w:t>87 (1.37%)</w:t>
            </w:r>
          </w:p>
        </w:tc>
      </w:tr>
      <w:tr w:rsidR="002D19F1" w:rsidRPr="00AC7ECB" w14:paraId="01CBFAEC" w14:textId="77777777" w:rsidTr="0015001C">
        <w:trPr>
          <w:cantSplit/>
          <w:trHeight w:val="170"/>
          <w:jc w:val="center"/>
        </w:trPr>
        <w:tc>
          <w:tcPr>
            <w:tcW w:w="2257" w:type="pct"/>
          </w:tcPr>
          <w:p w14:paraId="15A307EE" w14:textId="77777777" w:rsidR="002D19F1" w:rsidRDefault="002D19F1" w:rsidP="0015001C">
            <w:pPr>
              <w:rPr>
                <w:szCs w:val="20"/>
              </w:rPr>
            </w:pPr>
            <w:r w:rsidRPr="00AC7ECB">
              <w:rPr>
                <w:szCs w:val="20"/>
              </w:rPr>
              <w:t>Cerebrovascular Disease</w:t>
            </w:r>
            <w:r>
              <w:t>, n (%)</w:t>
            </w:r>
          </w:p>
        </w:tc>
        <w:tc>
          <w:tcPr>
            <w:tcW w:w="1416" w:type="pct"/>
            <w:vAlign w:val="center"/>
          </w:tcPr>
          <w:p w14:paraId="2A73E677" w14:textId="77777777" w:rsidR="002D19F1" w:rsidRPr="009702B9" w:rsidRDefault="002D19F1" w:rsidP="0015001C">
            <w:pPr>
              <w:jc w:val="center"/>
              <w:rPr>
                <w:szCs w:val="20"/>
              </w:rPr>
            </w:pPr>
            <w:r>
              <w:rPr>
                <w:szCs w:val="20"/>
              </w:rPr>
              <w:t>913 (14.40%)</w:t>
            </w:r>
          </w:p>
        </w:tc>
        <w:tc>
          <w:tcPr>
            <w:tcW w:w="1327" w:type="pct"/>
            <w:vAlign w:val="center"/>
          </w:tcPr>
          <w:p w14:paraId="3B5D3521" w14:textId="77777777" w:rsidR="002D19F1" w:rsidRDefault="002D19F1" w:rsidP="0015001C">
            <w:pPr>
              <w:jc w:val="center"/>
              <w:rPr>
                <w:szCs w:val="20"/>
              </w:rPr>
            </w:pPr>
            <w:r>
              <w:rPr>
                <w:szCs w:val="20"/>
              </w:rPr>
              <w:t>34 (0.54%)</w:t>
            </w:r>
          </w:p>
        </w:tc>
      </w:tr>
      <w:tr w:rsidR="002D19F1" w:rsidRPr="00AC7ECB" w14:paraId="68DD1EE8" w14:textId="77777777" w:rsidTr="0015001C">
        <w:trPr>
          <w:cantSplit/>
          <w:trHeight w:val="170"/>
          <w:jc w:val="center"/>
        </w:trPr>
        <w:tc>
          <w:tcPr>
            <w:tcW w:w="2257" w:type="pct"/>
          </w:tcPr>
          <w:p w14:paraId="0965F19A" w14:textId="77777777" w:rsidR="002D19F1" w:rsidRDefault="002D19F1" w:rsidP="0015001C">
            <w:pPr>
              <w:rPr>
                <w:szCs w:val="20"/>
              </w:rPr>
            </w:pPr>
            <w:r w:rsidRPr="00AC7ECB">
              <w:rPr>
                <w:szCs w:val="20"/>
              </w:rPr>
              <w:t>Extracardiac Arteriopathy, n (%)</w:t>
            </w:r>
          </w:p>
        </w:tc>
        <w:tc>
          <w:tcPr>
            <w:tcW w:w="1416" w:type="pct"/>
            <w:vAlign w:val="center"/>
          </w:tcPr>
          <w:p w14:paraId="26F24776" w14:textId="77777777" w:rsidR="002D19F1" w:rsidRPr="009702B9" w:rsidRDefault="002D19F1" w:rsidP="0015001C">
            <w:pPr>
              <w:jc w:val="center"/>
              <w:rPr>
                <w:szCs w:val="20"/>
              </w:rPr>
            </w:pPr>
            <w:r>
              <w:rPr>
                <w:szCs w:val="20"/>
              </w:rPr>
              <w:t>1462 (23.06%)</w:t>
            </w:r>
          </w:p>
        </w:tc>
        <w:tc>
          <w:tcPr>
            <w:tcW w:w="1327" w:type="pct"/>
            <w:vAlign w:val="center"/>
          </w:tcPr>
          <w:p w14:paraId="37AC5246" w14:textId="77777777" w:rsidR="002D19F1" w:rsidRDefault="002D19F1" w:rsidP="0015001C">
            <w:pPr>
              <w:jc w:val="center"/>
              <w:rPr>
                <w:szCs w:val="20"/>
              </w:rPr>
            </w:pPr>
            <w:r>
              <w:rPr>
                <w:szCs w:val="20"/>
              </w:rPr>
              <w:t>84 (1.33%)</w:t>
            </w:r>
          </w:p>
        </w:tc>
      </w:tr>
      <w:tr w:rsidR="002D19F1" w:rsidRPr="00AC7ECB" w14:paraId="65EE92CE" w14:textId="77777777" w:rsidTr="0015001C">
        <w:trPr>
          <w:cantSplit/>
          <w:trHeight w:val="170"/>
          <w:jc w:val="center"/>
        </w:trPr>
        <w:tc>
          <w:tcPr>
            <w:tcW w:w="2257" w:type="pct"/>
          </w:tcPr>
          <w:p w14:paraId="05F799C7" w14:textId="77777777" w:rsidR="002D19F1" w:rsidRDefault="002D19F1" w:rsidP="0015001C">
            <w:pPr>
              <w:rPr>
                <w:szCs w:val="20"/>
              </w:rPr>
            </w:pPr>
            <w:r>
              <w:t>Calcified Aorta, n (%)</w:t>
            </w:r>
          </w:p>
        </w:tc>
        <w:tc>
          <w:tcPr>
            <w:tcW w:w="1416" w:type="pct"/>
            <w:vAlign w:val="center"/>
          </w:tcPr>
          <w:p w14:paraId="06D32590" w14:textId="77777777" w:rsidR="002D19F1" w:rsidRPr="009702B9" w:rsidRDefault="002D19F1" w:rsidP="0015001C">
            <w:pPr>
              <w:jc w:val="center"/>
              <w:rPr>
                <w:szCs w:val="20"/>
              </w:rPr>
            </w:pPr>
            <w:r>
              <w:rPr>
                <w:szCs w:val="20"/>
              </w:rPr>
              <w:t>1076 (16.97%)</w:t>
            </w:r>
          </w:p>
        </w:tc>
        <w:tc>
          <w:tcPr>
            <w:tcW w:w="1327" w:type="pct"/>
            <w:vAlign w:val="center"/>
          </w:tcPr>
          <w:p w14:paraId="6D54B69D" w14:textId="77777777" w:rsidR="002D19F1" w:rsidRDefault="002D19F1" w:rsidP="0015001C">
            <w:pPr>
              <w:jc w:val="center"/>
              <w:rPr>
                <w:szCs w:val="20"/>
              </w:rPr>
            </w:pPr>
            <w:r>
              <w:rPr>
                <w:szCs w:val="20"/>
              </w:rPr>
              <w:t>73 (1.15%)</w:t>
            </w:r>
          </w:p>
        </w:tc>
      </w:tr>
      <w:tr w:rsidR="002D19F1" w:rsidRPr="00AC7ECB" w14:paraId="7F821BED" w14:textId="77777777" w:rsidTr="0015001C">
        <w:trPr>
          <w:cantSplit/>
          <w:trHeight w:val="170"/>
          <w:jc w:val="center"/>
        </w:trPr>
        <w:tc>
          <w:tcPr>
            <w:tcW w:w="2257" w:type="pct"/>
          </w:tcPr>
          <w:p w14:paraId="0C82C6B9" w14:textId="77777777" w:rsidR="002D19F1" w:rsidRDefault="002D19F1" w:rsidP="0015001C">
            <w:pPr>
              <w:rPr>
                <w:szCs w:val="20"/>
              </w:rPr>
            </w:pPr>
            <w:r>
              <w:rPr>
                <w:szCs w:val="20"/>
              </w:rPr>
              <w:t>Sinus rhythm, n (%)</w:t>
            </w:r>
          </w:p>
        </w:tc>
        <w:tc>
          <w:tcPr>
            <w:tcW w:w="1416" w:type="pct"/>
            <w:vAlign w:val="center"/>
          </w:tcPr>
          <w:p w14:paraId="100E718A" w14:textId="77777777" w:rsidR="002D19F1" w:rsidRPr="009702B9" w:rsidRDefault="002D19F1" w:rsidP="0015001C">
            <w:pPr>
              <w:jc w:val="center"/>
              <w:rPr>
                <w:szCs w:val="20"/>
              </w:rPr>
            </w:pPr>
            <w:r>
              <w:rPr>
                <w:szCs w:val="20"/>
              </w:rPr>
              <w:t>4054 (63.95%)</w:t>
            </w:r>
          </w:p>
        </w:tc>
        <w:tc>
          <w:tcPr>
            <w:tcW w:w="1327" w:type="pct"/>
            <w:vAlign w:val="center"/>
          </w:tcPr>
          <w:p w14:paraId="152675CE" w14:textId="77777777" w:rsidR="002D19F1" w:rsidRDefault="002D19F1" w:rsidP="0015001C">
            <w:pPr>
              <w:jc w:val="center"/>
              <w:rPr>
                <w:szCs w:val="20"/>
              </w:rPr>
            </w:pPr>
            <w:r>
              <w:rPr>
                <w:szCs w:val="20"/>
              </w:rPr>
              <w:t>106 (1.67%)</w:t>
            </w:r>
          </w:p>
        </w:tc>
      </w:tr>
      <w:tr w:rsidR="002D19F1" w:rsidRPr="00AC7ECB" w14:paraId="09D26C57" w14:textId="77777777" w:rsidTr="0015001C">
        <w:trPr>
          <w:cantSplit/>
          <w:trHeight w:val="170"/>
          <w:jc w:val="center"/>
        </w:trPr>
        <w:tc>
          <w:tcPr>
            <w:tcW w:w="2257" w:type="pct"/>
          </w:tcPr>
          <w:p w14:paraId="3D7646DD" w14:textId="77777777" w:rsidR="002D19F1" w:rsidRDefault="002D19F1" w:rsidP="0015001C">
            <w:pPr>
              <w:rPr>
                <w:szCs w:val="20"/>
              </w:rPr>
            </w:pPr>
            <w:r w:rsidRPr="00AC7ECB">
              <w:rPr>
                <w:szCs w:val="20"/>
              </w:rPr>
              <w:t>Previous cardiac surgery, n (%)</w:t>
            </w:r>
          </w:p>
        </w:tc>
        <w:tc>
          <w:tcPr>
            <w:tcW w:w="1416" w:type="pct"/>
            <w:vAlign w:val="center"/>
          </w:tcPr>
          <w:p w14:paraId="7D89582F" w14:textId="77777777" w:rsidR="002D19F1" w:rsidRPr="009702B9" w:rsidRDefault="002D19F1" w:rsidP="0015001C">
            <w:pPr>
              <w:jc w:val="center"/>
              <w:rPr>
                <w:szCs w:val="20"/>
              </w:rPr>
            </w:pPr>
            <w:r>
              <w:rPr>
                <w:szCs w:val="20"/>
              </w:rPr>
              <w:t>1990 (31.39%)</w:t>
            </w:r>
          </w:p>
        </w:tc>
        <w:tc>
          <w:tcPr>
            <w:tcW w:w="1327" w:type="pct"/>
            <w:vAlign w:val="center"/>
          </w:tcPr>
          <w:p w14:paraId="1909035B" w14:textId="77777777" w:rsidR="002D19F1" w:rsidRDefault="002D19F1" w:rsidP="0015001C">
            <w:pPr>
              <w:jc w:val="center"/>
              <w:rPr>
                <w:szCs w:val="20"/>
              </w:rPr>
            </w:pPr>
            <w:r>
              <w:rPr>
                <w:szCs w:val="20"/>
              </w:rPr>
              <w:t>35 (0.55%)</w:t>
            </w:r>
          </w:p>
        </w:tc>
      </w:tr>
      <w:tr w:rsidR="002D19F1" w:rsidRPr="00AC7ECB" w14:paraId="32C464A5" w14:textId="77777777" w:rsidTr="0015001C">
        <w:trPr>
          <w:cantSplit/>
          <w:trHeight w:val="170"/>
          <w:jc w:val="center"/>
        </w:trPr>
        <w:tc>
          <w:tcPr>
            <w:tcW w:w="2257" w:type="pct"/>
          </w:tcPr>
          <w:p w14:paraId="6892F482" w14:textId="77777777" w:rsidR="002D19F1" w:rsidRDefault="002D19F1" w:rsidP="0015001C">
            <w:pPr>
              <w:rPr>
                <w:szCs w:val="20"/>
              </w:rPr>
            </w:pPr>
            <w:r>
              <w:rPr>
                <w:szCs w:val="20"/>
              </w:rPr>
              <w:t>Prior BAV, n (%)</w:t>
            </w:r>
          </w:p>
        </w:tc>
        <w:tc>
          <w:tcPr>
            <w:tcW w:w="1416" w:type="pct"/>
            <w:vAlign w:val="center"/>
          </w:tcPr>
          <w:p w14:paraId="68BB1430" w14:textId="77777777" w:rsidR="002D19F1" w:rsidRPr="009702B9" w:rsidRDefault="002D19F1" w:rsidP="0015001C">
            <w:pPr>
              <w:jc w:val="center"/>
              <w:rPr>
                <w:szCs w:val="20"/>
              </w:rPr>
            </w:pPr>
            <w:r>
              <w:rPr>
                <w:szCs w:val="20"/>
              </w:rPr>
              <w:t>694 (10.95%)</w:t>
            </w:r>
          </w:p>
        </w:tc>
        <w:tc>
          <w:tcPr>
            <w:tcW w:w="1327" w:type="pct"/>
            <w:vAlign w:val="center"/>
          </w:tcPr>
          <w:p w14:paraId="6C026407" w14:textId="77777777" w:rsidR="002D19F1" w:rsidRDefault="002D19F1" w:rsidP="0015001C">
            <w:pPr>
              <w:jc w:val="center"/>
              <w:rPr>
                <w:szCs w:val="20"/>
              </w:rPr>
            </w:pPr>
            <w:r>
              <w:rPr>
                <w:szCs w:val="20"/>
              </w:rPr>
              <w:t>32 (0.50%)</w:t>
            </w:r>
          </w:p>
        </w:tc>
      </w:tr>
      <w:tr w:rsidR="002D19F1" w:rsidRPr="00AC7ECB" w14:paraId="50EC3319" w14:textId="77777777" w:rsidTr="0015001C">
        <w:trPr>
          <w:cantSplit/>
          <w:trHeight w:val="170"/>
          <w:jc w:val="center"/>
        </w:trPr>
        <w:tc>
          <w:tcPr>
            <w:tcW w:w="2257" w:type="pct"/>
          </w:tcPr>
          <w:p w14:paraId="3355CA69" w14:textId="77777777" w:rsidR="002D19F1" w:rsidRDefault="002D19F1" w:rsidP="0015001C">
            <w:pPr>
              <w:rPr>
                <w:szCs w:val="20"/>
              </w:rPr>
            </w:pPr>
            <w:r>
              <w:rPr>
                <w:szCs w:val="20"/>
              </w:rPr>
              <w:t>Previous PCI, n (%)</w:t>
            </w:r>
          </w:p>
        </w:tc>
        <w:tc>
          <w:tcPr>
            <w:tcW w:w="1416" w:type="pct"/>
            <w:vAlign w:val="center"/>
          </w:tcPr>
          <w:p w14:paraId="7D42E805" w14:textId="77777777" w:rsidR="002D19F1" w:rsidRPr="009702B9" w:rsidRDefault="002D19F1" w:rsidP="0015001C">
            <w:pPr>
              <w:jc w:val="center"/>
              <w:rPr>
                <w:szCs w:val="20"/>
              </w:rPr>
            </w:pPr>
            <w:r>
              <w:rPr>
                <w:szCs w:val="20"/>
              </w:rPr>
              <w:t>1272 (20.07%)</w:t>
            </w:r>
          </w:p>
        </w:tc>
        <w:tc>
          <w:tcPr>
            <w:tcW w:w="1327" w:type="pct"/>
            <w:vAlign w:val="center"/>
          </w:tcPr>
          <w:p w14:paraId="0ACC0BC5" w14:textId="77777777" w:rsidR="002D19F1" w:rsidRDefault="002D19F1" w:rsidP="0015001C">
            <w:pPr>
              <w:jc w:val="center"/>
              <w:rPr>
                <w:szCs w:val="20"/>
              </w:rPr>
            </w:pPr>
            <w:r>
              <w:rPr>
                <w:szCs w:val="20"/>
              </w:rPr>
              <w:t>34 (0.54%)</w:t>
            </w:r>
          </w:p>
        </w:tc>
      </w:tr>
      <w:tr w:rsidR="002D19F1" w:rsidRPr="00AC7ECB" w14:paraId="1522F654" w14:textId="77777777" w:rsidTr="0015001C">
        <w:trPr>
          <w:cantSplit/>
          <w:trHeight w:val="170"/>
          <w:jc w:val="center"/>
        </w:trPr>
        <w:tc>
          <w:tcPr>
            <w:tcW w:w="2257" w:type="pct"/>
          </w:tcPr>
          <w:p w14:paraId="10711835" w14:textId="77777777" w:rsidR="002D19F1" w:rsidRDefault="002D19F1" w:rsidP="0015001C">
            <w:pPr>
              <w:rPr>
                <w:szCs w:val="20"/>
              </w:rPr>
            </w:pPr>
            <w:r w:rsidRPr="00AC7ECB">
              <w:rPr>
                <w:szCs w:val="20"/>
              </w:rPr>
              <w:t>Critical preoperative state, n (%)</w:t>
            </w:r>
          </w:p>
        </w:tc>
        <w:tc>
          <w:tcPr>
            <w:tcW w:w="1416" w:type="pct"/>
            <w:vAlign w:val="center"/>
          </w:tcPr>
          <w:p w14:paraId="5DBA5FBA" w14:textId="77777777" w:rsidR="002D19F1" w:rsidRPr="009702B9" w:rsidRDefault="002D19F1" w:rsidP="0015001C">
            <w:pPr>
              <w:jc w:val="center"/>
              <w:rPr>
                <w:szCs w:val="20"/>
              </w:rPr>
            </w:pPr>
            <w:r>
              <w:rPr>
                <w:szCs w:val="20"/>
              </w:rPr>
              <w:t>98 (1.55%)</w:t>
            </w:r>
          </w:p>
        </w:tc>
        <w:tc>
          <w:tcPr>
            <w:tcW w:w="1327" w:type="pct"/>
            <w:vAlign w:val="center"/>
          </w:tcPr>
          <w:p w14:paraId="51F73E6E" w14:textId="77777777" w:rsidR="002D19F1" w:rsidRDefault="002D19F1" w:rsidP="0015001C">
            <w:pPr>
              <w:jc w:val="center"/>
              <w:rPr>
                <w:szCs w:val="20"/>
              </w:rPr>
            </w:pPr>
            <w:r>
              <w:rPr>
                <w:szCs w:val="20"/>
              </w:rPr>
              <w:t>81 (1.28%)</w:t>
            </w:r>
          </w:p>
        </w:tc>
      </w:tr>
      <w:tr w:rsidR="002D19F1" w:rsidRPr="00AC7ECB" w14:paraId="2AC5EC8F" w14:textId="77777777" w:rsidTr="0015001C">
        <w:trPr>
          <w:cantSplit/>
          <w:trHeight w:val="170"/>
          <w:jc w:val="center"/>
        </w:trPr>
        <w:tc>
          <w:tcPr>
            <w:tcW w:w="2257" w:type="pct"/>
          </w:tcPr>
          <w:p w14:paraId="7950AB5C" w14:textId="77777777" w:rsidR="002D19F1" w:rsidRPr="00AC7ECB" w:rsidRDefault="002D19F1" w:rsidP="0015001C">
            <w:pPr>
              <w:rPr>
                <w:szCs w:val="20"/>
              </w:rPr>
            </w:pPr>
            <w:r w:rsidRPr="00AC7ECB">
              <w:rPr>
                <w:szCs w:val="20"/>
              </w:rPr>
              <w:lastRenderedPageBreak/>
              <w:t>NYHA</w:t>
            </w:r>
            <w:r>
              <w:rPr>
                <w:szCs w:val="20"/>
              </w:rPr>
              <w:t xml:space="preserve"> Class IV, n (%)</w:t>
            </w:r>
          </w:p>
        </w:tc>
        <w:tc>
          <w:tcPr>
            <w:tcW w:w="1416" w:type="pct"/>
            <w:vAlign w:val="center"/>
          </w:tcPr>
          <w:p w14:paraId="26CAE721" w14:textId="77777777" w:rsidR="002D19F1" w:rsidRPr="009702B9" w:rsidRDefault="002D19F1" w:rsidP="0015001C">
            <w:pPr>
              <w:jc w:val="center"/>
              <w:rPr>
                <w:szCs w:val="20"/>
              </w:rPr>
            </w:pPr>
            <w:r>
              <w:rPr>
                <w:szCs w:val="20"/>
              </w:rPr>
              <w:t>1089 (17.18%)</w:t>
            </w:r>
          </w:p>
        </w:tc>
        <w:tc>
          <w:tcPr>
            <w:tcW w:w="1327" w:type="pct"/>
            <w:vAlign w:val="center"/>
          </w:tcPr>
          <w:p w14:paraId="51119675" w14:textId="77777777" w:rsidR="002D19F1" w:rsidRPr="009702B9" w:rsidRDefault="002D19F1" w:rsidP="0015001C">
            <w:pPr>
              <w:jc w:val="center"/>
              <w:rPr>
                <w:szCs w:val="20"/>
              </w:rPr>
            </w:pPr>
            <w:r>
              <w:rPr>
                <w:szCs w:val="20"/>
              </w:rPr>
              <w:t>42 (0.66%)</w:t>
            </w:r>
          </w:p>
        </w:tc>
      </w:tr>
      <w:tr w:rsidR="002D19F1" w:rsidRPr="00AC7ECB" w14:paraId="588CFFB0" w14:textId="77777777" w:rsidTr="0015001C">
        <w:trPr>
          <w:cantSplit/>
          <w:trHeight w:val="170"/>
          <w:jc w:val="center"/>
        </w:trPr>
        <w:tc>
          <w:tcPr>
            <w:tcW w:w="2257" w:type="pct"/>
          </w:tcPr>
          <w:p w14:paraId="0610EC90" w14:textId="77777777" w:rsidR="002D19F1" w:rsidRPr="00AC7ECB" w:rsidRDefault="002D19F1" w:rsidP="0015001C">
            <w:pPr>
              <w:rPr>
                <w:szCs w:val="20"/>
              </w:rPr>
            </w:pPr>
            <w:r>
              <w:rPr>
                <w:szCs w:val="20"/>
              </w:rPr>
              <w:t>Poor mobility, n (%)</w:t>
            </w:r>
          </w:p>
        </w:tc>
        <w:tc>
          <w:tcPr>
            <w:tcW w:w="1416" w:type="pct"/>
            <w:vAlign w:val="center"/>
          </w:tcPr>
          <w:p w14:paraId="52501625" w14:textId="77777777" w:rsidR="002D19F1" w:rsidRPr="00A8741E" w:rsidRDefault="002D19F1" w:rsidP="0015001C">
            <w:pPr>
              <w:jc w:val="center"/>
              <w:rPr>
                <w:szCs w:val="20"/>
              </w:rPr>
            </w:pPr>
            <w:r w:rsidRPr="00A8741E">
              <w:rPr>
                <w:szCs w:val="20"/>
              </w:rPr>
              <w:t>662 (10.44%)</w:t>
            </w:r>
          </w:p>
        </w:tc>
        <w:tc>
          <w:tcPr>
            <w:tcW w:w="1327" w:type="pct"/>
            <w:vAlign w:val="center"/>
          </w:tcPr>
          <w:p w14:paraId="656E6E5E" w14:textId="77777777" w:rsidR="002D19F1" w:rsidRPr="00A8741E" w:rsidRDefault="002D19F1" w:rsidP="0015001C">
            <w:pPr>
              <w:jc w:val="center"/>
              <w:rPr>
                <w:szCs w:val="20"/>
              </w:rPr>
            </w:pPr>
            <w:r w:rsidRPr="00A8741E">
              <w:rPr>
                <w:szCs w:val="20"/>
              </w:rPr>
              <w:t>3423 (54.00%)</w:t>
            </w:r>
          </w:p>
        </w:tc>
      </w:tr>
      <w:tr w:rsidR="002D19F1" w:rsidRPr="00AC7ECB" w14:paraId="73856CD0" w14:textId="77777777" w:rsidTr="0015001C">
        <w:trPr>
          <w:cantSplit/>
          <w:trHeight w:val="170"/>
          <w:jc w:val="center"/>
        </w:trPr>
        <w:tc>
          <w:tcPr>
            <w:tcW w:w="2257" w:type="pct"/>
          </w:tcPr>
          <w:p w14:paraId="3439E039" w14:textId="77777777" w:rsidR="002D19F1" w:rsidRPr="00AC7ECB" w:rsidRDefault="002D19F1" w:rsidP="0015001C">
            <w:pPr>
              <w:rPr>
                <w:szCs w:val="20"/>
              </w:rPr>
            </w:pPr>
            <w:r>
              <w:rPr>
                <w:szCs w:val="20"/>
              </w:rPr>
              <w:t>CSHA frail, n (%)</w:t>
            </w:r>
          </w:p>
        </w:tc>
        <w:tc>
          <w:tcPr>
            <w:tcW w:w="1416" w:type="pct"/>
            <w:vAlign w:val="center"/>
          </w:tcPr>
          <w:p w14:paraId="2B5BCA04" w14:textId="77777777" w:rsidR="002D19F1" w:rsidRPr="00A8741E" w:rsidRDefault="002D19F1" w:rsidP="0015001C">
            <w:pPr>
              <w:jc w:val="center"/>
              <w:rPr>
                <w:szCs w:val="20"/>
              </w:rPr>
            </w:pPr>
            <w:r w:rsidRPr="00A8741E">
              <w:rPr>
                <w:szCs w:val="20"/>
              </w:rPr>
              <w:t>1165 (18.38%)</w:t>
            </w:r>
          </w:p>
        </w:tc>
        <w:tc>
          <w:tcPr>
            <w:tcW w:w="1327" w:type="pct"/>
            <w:vAlign w:val="center"/>
          </w:tcPr>
          <w:p w14:paraId="7B61D716" w14:textId="77777777" w:rsidR="002D19F1" w:rsidRPr="00A8741E" w:rsidRDefault="002D19F1" w:rsidP="0015001C">
            <w:pPr>
              <w:jc w:val="center"/>
              <w:rPr>
                <w:szCs w:val="20"/>
              </w:rPr>
            </w:pPr>
            <w:r w:rsidRPr="00A8741E">
              <w:rPr>
                <w:szCs w:val="20"/>
              </w:rPr>
              <w:t>3419 (53.94%)</w:t>
            </w:r>
          </w:p>
        </w:tc>
      </w:tr>
      <w:tr w:rsidR="002D19F1" w:rsidRPr="00AC7ECB" w14:paraId="3200CF7D" w14:textId="77777777" w:rsidTr="0015001C">
        <w:trPr>
          <w:cantSplit/>
          <w:trHeight w:val="170"/>
          <w:jc w:val="center"/>
        </w:trPr>
        <w:tc>
          <w:tcPr>
            <w:tcW w:w="2257" w:type="pct"/>
          </w:tcPr>
          <w:p w14:paraId="60AC5149" w14:textId="77777777" w:rsidR="002D19F1" w:rsidRPr="00AC7ECB" w:rsidRDefault="002D19F1" w:rsidP="0015001C">
            <w:pPr>
              <w:rPr>
                <w:szCs w:val="20"/>
              </w:rPr>
            </w:pPr>
            <w:r>
              <w:rPr>
                <w:szCs w:val="20"/>
              </w:rPr>
              <w:t>KATZ&lt;6, n (%)</w:t>
            </w:r>
          </w:p>
        </w:tc>
        <w:tc>
          <w:tcPr>
            <w:tcW w:w="1416" w:type="pct"/>
            <w:vAlign w:val="center"/>
          </w:tcPr>
          <w:p w14:paraId="4DB742BF" w14:textId="77777777" w:rsidR="002D19F1" w:rsidRPr="00A8741E" w:rsidRDefault="002D19F1" w:rsidP="0015001C">
            <w:pPr>
              <w:jc w:val="center"/>
              <w:rPr>
                <w:szCs w:val="20"/>
              </w:rPr>
            </w:pPr>
            <w:r w:rsidRPr="00A8741E">
              <w:rPr>
                <w:szCs w:val="20"/>
              </w:rPr>
              <w:t>851 (13.42%)</w:t>
            </w:r>
          </w:p>
        </w:tc>
        <w:tc>
          <w:tcPr>
            <w:tcW w:w="1327" w:type="pct"/>
            <w:vAlign w:val="center"/>
          </w:tcPr>
          <w:p w14:paraId="0A888271" w14:textId="77777777" w:rsidR="002D19F1" w:rsidRPr="00A8741E" w:rsidRDefault="002D19F1" w:rsidP="0015001C">
            <w:pPr>
              <w:jc w:val="center"/>
              <w:rPr>
                <w:szCs w:val="20"/>
              </w:rPr>
            </w:pPr>
            <w:r w:rsidRPr="00A8741E">
              <w:rPr>
                <w:szCs w:val="20"/>
              </w:rPr>
              <w:t>3696 (58.31%)</w:t>
            </w:r>
          </w:p>
        </w:tc>
      </w:tr>
      <w:tr w:rsidR="002D19F1" w:rsidRPr="00AC7ECB" w14:paraId="46D047DB" w14:textId="77777777" w:rsidTr="0015001C">
        <w:trPr>
          <w:cantSplit/>
          <w:trHeight w:val="170"/>
          <w:jc w:val="center"/>
        </w:trPr>
        <w:tc>
          <w:tcPr>
            <w:tcW w:w="2257" w:type="pct"/>
          </w:tcPr>
          <w:p w14:paraId="6424CF37" w14:textId="77777777" w:rsidR="002D19F1" w:rsidRDefault="002D19F1" w:rsidP="0015001C">
            <w:pPr>
              <w:rPr>
                <w:szCs w:val="20"/>
              </w:rPr>
            </w:pPr>
            <w:r w:rsidRPr="002A7ED2">
              <w:rPr>
                <w:szCs w:val="20"/>
              </w:rPr>
              <w:t>PA systolic &gt; 60mmHg</w:t>
            </w:r>
            <w:r>
              <w:rPr>
                <w:szCs w:val="20"/>
              </w:rPr>
              <w:t>, n (%)</w:t>
            </w:r>
          </w:p>
        </w:tc>
        <w:tc>
          <w:tcPr>
            <w:tcW w:w="1416" w:type="pct"/>
            <w:vAlign w:val="center"/>
          </w:tcPr>
          <w:p w14:paraId="732E64E4" w14:textId="77777777" w:rsidR="002D19F1" w:rsidRPr="009702B9" w:rsidRDefault="002D19F1" w:rsidP="0015001C">
            <w:pPr>
              <w:jc w:val="center"/>
              <w:rPr>
                <w:szCs w:val="20"/>
              </w:rPr>
            </w:pPr>
            <w:r>
              <w:rPr>
                <w:szCs w:val="20"/>
              </w:rPr>
              <w:t>740 (11.67%)</w:t>
            </w:r>
          </w:p>
        </w:tc>
        <w:tc>
          <w:tcPr>
            <w:tcW w:w="1327" w:type="pct"/>
            <w:vAlign w:val="center"/>
          </w:tcPr>
          <w:p w14:paraId="55E17EF4" w14:textId="77777777" w:rsidR="002D19F1" w:rsidRDefault="002D19F1" w:rsidP="0015001C">
            <w:pPr>
              <w:jc w:val="center"/>
              <w:rPr>
                <w:szCs w:val="20"/>
              </w:rPr>
            </w:pPr>
            <w:r>
              <w:rPr>
                <w:szCs w:val="20"/>
              </w:rPr>
              <w:t>1816 (28.65%)</w:t>
            </w:r>
          </w:p>
        </w:tc>
      </w:tr>
      <w:tr w:rsidR="002D19F1" w:rsidRPr="00AC7ECB" w14:paraId="1CB3DB3F" w14:textId="77777777" w:rsidTr="0015001C">
        <w:trPr>
          <w:cantSplit/>
          <w:trHeight w:val="170"/>
          <w:jc w:val="center"/>
        </w:trPr>
        <w:tc>
          <w:tcPr>
            <w:tcW w:w="2257" w:type="pct"/>
          </w:tcPr>
          <w:p w14:paraId="3F618802" w14:textId="77777777" w:rsidR="002D19F1" w:rsidRDefault="002D19F1" w:rsidP="0015001C">
            <w:pPr>
              <w:rPr>
                <w:szCs w:val="20"/>
              </w:rPr>
            </w:pPr>
            <w:r>
              <w:rPr>
                <w:szCs w:val="20"/>
              </w:rPr>
              <w:t>Aortic peak gradient, mean [range]</w:t>
            </w:r>
          </w:p>
        </w:tc>
        <w:tc>
          <w:tcPr>
            <w:tcW w:w="1416" w:type="pct"/>
            <w:vAlign w:val="center"/>
          </w:tcPr>
          <w:p w14:paraId="1BAB7A56" w14:textId="77777777" w:rsidR="002D19F1" w:rsidRPr="009702B9" w:rsidRDefault="002D19F1" w:rsidP="0015001C">
            <w:pPr>
              <w:jc w:val="center"/>
              <w:rPr>
                <w:szCs w:val="20"/>
              </w:rPr>
            </w:pPr>
            <w:r>
              <w:rPr>
                <w:szCs w:val="20"/>
              </w:rPr>
              <w:t>74.56 [3.35-200]</w:t>
            </w:r>
          </w:p>
        </w:tc>
        <w:tc>
          <w:tcPr>
            <w:tcW w:w="1327" w:type="pct"/>
            <w:vAlign w:val="center"/>
          </w:tcPr>
          <w:p w14:paraId="1C810545" w14:textId="77777777" w:rsidR="002D19F1" w:rsidRDefault="002D19F1" w:rsidP="0015001C">
            <w:pPr>
              <w:jc w:val="center"/>
              <w:rPr>
                <w:szCs w:val="20"/>
              </w:rPr>
            </w:pPr>
            <w:r>
              <w:rPr>
                <w:szCs w:val="20"/>
              </w:rPr>
              <w:t>259 (4.09%)</w:t>
            </w:r>
          </w:p>
        </w:tc>
      </w:tr>
      <w:tr w:rsidR="002D19F1" w:rsidRPr="00AC7ECB" w14:paraId="10DC1AB5" w14:textId="77777777" w:rsidTr="0015001C">
        <w:trPr>
          <w:cantSplit/>
          <w:trHeight w:val="170"/>
          <w:jc w:val="center"/>
        </w:trPr>
        <w:tc>
          <w:tcPr>
            <w:tcW w:w="2257" w:type="pct"/>
          </w:tcPr>
          <w:p w14:paraId="3AEEB5B0" w14:textId="77777777" w:rsidR="002D19F1" w:rsidRDefault="002D19F1" w:rsidP="0015001C">
            <w:pPr>
              <w:rPr>
                <w:szCs w:val="20"/>
              </w:rPr>
            </w:pPr>
            <w:r>
              <w:rPr>
                <w:szCs w:val="20"/>
              </w:rPr>
              <w:t>Aortic valve area, mean [range]</w:t>
            </w:r>
          </w:p>
        </w:tc>
        <w:tc>
          <w:tcPr>
            <w:tcW w:w="1416" w:type="pct"/>
            <w:vAlign w:val="center"/>
          </w:tcPr>
          <w:p w14:paraId="72BCE472" w14:textId="77777777" w:rsidR="002D19F1" w:rsidRPr="009702B9" w:rsidRDefault="002D19F1" w:rsidP="0015001C">
            <w:pPr>
              <w:jc w:val="center"/>
              <w:rPr>
                <w:szCs w:val="20"/>
              </w:rPr>
            </w:pPr>
            <w:r>
              <w:rPr>
                <w:szCs w:val="20"/>
              </w:rPr>
              <w:t>0.68 [0.2-2]</w:t>
            </w:r>
          </w:p>
        </w:tc>
        <w:tc>
          <w:tcPr>
            <w:tcW w:w="1327" w:type="pct"/>
            <w:vAlign w:val="center"/>
          </w:tcPr>
          <w:p w14:paraId="5394DC81" w14:textId="77777777" w:rsidR="002D19F1" w:rsidRDefault="002D19F1" w:rsidP="0015001C">
            <w:pPr>
              <w:jc w:val="center"/>
              <w:rPr>
                <w:szCs w:val="20"/>
              </w:rPr>
            </w:pPr>
            <w:r>
              <w:rPr>
                <w:szCs w:val="20"/>
              </w:rPr>
              <w:t>388 (6.12%)</w:t>
            </w:r>
          </w:p>
        </w:tc>
      </w:tr>
      <w:tr w:rsidR="002D19F1" w:rsidRPr="00AC7ECB" w14:paraId="034487A8" w14:textId="77777777" w:rsidTr="0015001C">
        <w:trPr>
          <w:cantSplit/>
          <w:trHeight w:val="170"/>
          <w:jc w:val="center"/>
        </w:trPr>
        <w:tc>
          <w:tcPr>
            <w:tcW w:w="2257" w:type="pct"/>
          </w:tcPr>
          <w:p w14:paraId="66F93D0F" w14:textId="77777777" w:rsidR="002D19F1" w:rsidRPr="00AC7ECB" w:rsidRDefault="002D19F1" w:rsidP="0015001C">
            <w:pPr>
              <w:rPr>
                <w:szCs w:val="20"/>
              </w:rPr>
            </w:pPr>
            <w:r w:rsidRPr="00AC7ECB">
              <w:rPr>
                <w:szCs w:val="20"/>
              </w:rPr>
              <w:t>LVEF</w:t>
            </w:r>
            <w:r>
              <w:rPr>
                <w:szCs w:val="20"/>
              </w:rPr>
              <w:t xml:space="preserve"> &lt;50%, n (%)</w:t>
            </w:r>
          </w:p>
        </w:tc>
        <w:tc>
          <w:tcPr>
            <w:tcW w:w="1416" w:type="pct"/>
            <w:vAlign w:val="center"/>
          </w:tcPr>
          <w:p w14:paraId="02A86835" w14:textId="77777777" w:rsidR="002D19F1" w:rsidRPr="009702B9" w:rsidRDefault="002D19F1" w:rsidP="0015001C">
            <w:pPr>
              <w:jc w:val="center"/>
              <w:rPr>
                <w:szCs w:val="20"/>
              </w:rPr>
            </w:pPr>
            <w:r>
              <w:rPr>
                <w:szCs w:val="20"/>
              </w:rPr>
              <w:t>2421 (38.19%)</w:t>
            </w:r>
          </w:p>
        </w:tc>
        <w:tc>
          <w:tcPr>
            <w:tcW w:w="1327" w:type="pct"/>
            <w:vAlign w:val="center"/>
          </w:tcPr>
          <w:p w14:paraId="11B2611E" w14:textId="77777777" w:rsidR="002D19F1" w:rsidRPr="009702B9" w:rsidRDefault="002D19F1" w:rsidP="0015001C">
            <w:pPr>
              <w:jc w:val="center"/>
              <w:rPr>
                <w:szCs w:val="20"/>
              </w:rPr>
            </w:pPr>
            <w:r>
              <w:rPr>
                <w:szCs w:val="20"/>
              </w:rPr>
              <w:t>55 (0.87%)</w:t>
            </w:r>
          </w:p>
        </w:tc>
      </w:tr>
      <w:tr w:rsidR="002D19F1" w:rsidRPr="00AC7ECB" w14:paraId="4B8CF61E" w14:textId="77777777" w:rsidTr="0015001C">
        <w:trPr>
          <w:cantSplit/>
          <w:trHeight w:val="170"/>
          <w:jc w:val="center"/>
        </w:trPr>
        <w:tc>
          <w:tcPr>
            <w:tcW w:w="2257" w:type="pct"/>
          </w:tcPr>
          <w:p w14:paraId="7714F4A5" w14:textId="77777777" w:rsidR="002D19F1" w:rsidRPr="00AC7ECB" w:rsidRDefault="002D19F1" w:rsidP="0015001C">
            <w:pPr>
              <w:rPr>
                <w:szCs w:val="20"/>
              </w:rPr>
            </w:pPr>
            <w:r w:rsidRPr="00AC7ECB">
              <w:rPr>
                <w:szCs w:val="20"/>
              </w:rPr>
              <w:t>LMS</w:t>
            </w:r>
            <w:r w:rsidRPr="00AC7ECB">
              <w:rPr>
                <w:i/>
                <w:szCs w:val="20"/>
              </w:rPr>
              <w:t xml:space="preserve">&gt; </w:t>
            </w:r>
            <w:r w:rsidRPr="00AC7ECB">
              <w:rPr>
                <w:szCs w:val="20"/>
              </w:rPr>
              <w:t>50%, n (%)</w:t>
            </w:r>
          </w:p>
        </w:tc>
        <w:tc>
          <w:tcPr>
            <w:tcW w:w="1416" w:type="pct"/>
            <w:vAlign w:val="center"/>
          </w:tcPr>
          <w:p w14:paraId="79FA5C1F" w14:textId="77777777" w:rsidR="002D19F1" w:rsidRPr="009702B9" w:rsidRDefault="002D19F1" w:rsidP="0015001C">
            <w:pPr>
              <w:jc w:val="center"/>
              <w:rPr>
                <w:szCs w:val="20"/>
              </w:rPr>
            </w:pPr>
            <w:r>
              <w:rPr>
                <w:szCs w:val="20"/>
              </w:rPr>
              <w:t>275 (4.34%)</w:t>
            </w:r>
          </w:p>
        </w:tc>
        <w:tc>
          <w:tcPr>
            <w:tcW w:w="1327" w:type="pct"/>
            <w:vAlign w:val="center"/>
          </w:tcPr>
          <w:p w14:paraId="14ACFDB0" w14:textId="77777777" w:rsidR="002D19F1" w:rsidRPr="009702B9" w:rsidRDefault="002D19F1" w:rsidP="0015001C">
            <w:pPr>
              <w:jc w:val="center"/>
              <w:rPr>
                <w:szCs w:val="20"/>
              </w:rPr>
            </w:pPr>
            <w:r>
              <w:rPr>
                <w:szCs w:val="20"/>
              </w:rPr>
              <w:t>138 (2.18%)</w:t>
            </w:r>
          </w:p>
        </w:tc>
      </w:tr>
      <w:tr w:rsidR="002D19F1" w:rsidRPr="00AC7ECB" w14:paraId="0D793C31" w14:textId="77777777" w:rsidTr="0015001C">
        <w:trPr>
          <w:cantSplit/>
          <w:trHeight w:val="170"/>
          <w:jc w:val="center"/>
        </w:trPr>
        <w:tc>
          <w:tcPr>
            <w:tcW w:w="2257" w:type="pct"/>
          </w:tcPr>
          <w:p w14:paraId="79CACB0A" w14:textId="77777777" w:rsidR="002D19F1" w:rsidRPr="00AC7ECB" w:rsidRDefault="002D19F1" w:rsidP="0015001C">
            <w:pPr>
              <w:rPr>
                <w:szCs w:val="20"/>
              </w:rPr>
            </w:pPr>
            <w:r>
              <w:rPr>
                <w:szCs w:val="20"/>
              </w:rPr>
              <w:t>Non-elective procedure, n (%)</w:t>
            </w:r>
          </w:p>
        </w:tc>
        <w:tc>
          <w:tcPr>
            <w:tcW w:w="1416" w:type="pct"/>
            <w:vAlign w:val="center"/>
          </w:tcPr>
          <w:p w14:paraId="73DC3F48" w14:textId="77777777" w:rsidR="002D19F1" w:rsidRPr="009702B9" w:rsidRDefault="002D19F1" w:rsidP="0015001C">
            <w:pPr>
              <w:jc w:val="center"/>
              <w:rPr>
                <w:szCs w:val="20"/>
              </w:rPr>
            </w:pPr>
            <w:r>
              <w:rPr>
                <w:szCs w:val="20"/>
              </w:rPr>
              <w:t>790 (12.46%)</w:t>
            </w:r>
          </w:p>
        </w:tc>
        <w:tc>
          <w:tcPr>
            <w:tcW w:w="1327" w:type="pct"/>
            <w:vAlign w:val="center"/>
          </w:tcPr>
          <w:p w14:paraId="6374A8B6" w14:textId="77777777" w:rsidR="002D19F1" w:rsidRPr="009702B9" w:rsidRDefault="002D19F1" w:rsidP="0015001C">
            <w:pPr>
              <w:jc w:val="center"/>
              <w:rPr>
                <w:szCs w:val="20"/>
              </w:rPr>
            </w:pPr>
            <w:r>
              <w:rPr>
                <w:szCs w:val="20"/>
              </w:rPr>
              <w:t>7 (0.11%)</w:t>
            </w:r>
          </w:p>
        </w:tc>
      </w:tr>
      <w:tr w:rsidR="002D19F1" w:rsidRPr="00AC7ECB" w14:paraId="4E178637" w14:textId="77777777" w:rsidTr="0015001C">
        <w:trPr>
          <w:cantSplit/>
          <w:trHeight w:val="170"/>
          <w:jc w:val="center"/>
        </w:trPr>
        <w:tc>
          <w:tcPr>
            <w:tcW w:w="2257" w:type="pct"/>
          </w:tcPr>
          <w:p w14:paraId="7F06D0C1" w14:textId="77777777" w:rsidR="002D19F1" w:rsidRPr="00AC7ECB" w:rsidRDefault="002D19F1" w:rsidP="0015001C">
            <w:pPr>
              <w:rPr>
                <w:szCs w:val="20"/>
              </w:rPr>
            </w:pPr>
            <w:r>
              <w:rPr>
                <w:szCs w:val="20"/>
              </w:rPr>
              <w:t>Non-transfemoral access, n (%)</w:t>
            </w:r>
          </w:p>
        </w:tc>
        <w:tc>
          <w:tcPr>
            <w:tcW w:w="1416" w:type="pct"/>
            <w:vAlign w:val="center"/>
          </w:tcPr>
          <w:p w14:paraId="43837BB7" w14:textId="77777777" w:rsidR="002D19F1" w:rsidRPr="009702B9" w:rsidRDefault="002D19F1" w:rsidP="0015001C">
            <w:pPr>
              <w:jc w:val="center"/>
              <w:rPr>
                <w:szCs w:val="20"/>
              </w:rPr>
            </w:pPr>
            <w:r>
              <w:rPr>
                <w:szCs w:val="20"/>
              </w:rPr>
              <w:t>1607 (25.35%)</w:t>
            </w:r>
          </w:p>
        </w:tc>
        <w:tc>
          <w:tcPr>
            <w:tcW w:w="1327" w:type="pct"/>
            <w:vAlign w:val="center"/>
          </w:tcPr>
          <w:p w14:paraId="262E0236" w14:textId="77777777" w:rsidR="002D19F1" w:rsidRPr="009702B9" w:rsidRDefault="002D19F1" w:rsidP="0015001C">
            <w:pPr>
              <w:jc w:val="center"/>
              <w:rPr>
                <w:szCs w:val="20"/>
              </w:rPr>
            </w:pPr>
            <w:r>
              <w:rPr>
                <w:szCs w:val="20"/>
              </w:rPr>
              <w:t>13 (0.21%)</w:t>
            </w:r>
          </w:p>
        </w:tc>
      </w:tr>
      <w:tr w:rsidR="002D19F1" w:rsidRPr="00AC7ECB" w14:paraId="2A813DD4" w14:textId="77777777" w:rsidTr="0015001C">
        <w:trPr>
          <w:cantSplit/>
          <w:trHeight w:val="170"/>
          <w:jc w:val="center"/>
        </w:trPr>
        <w:tc>
          <w:tcPr>
            <w:tcW w:w="2257" w:type="pct"/>
          </w:tcPr>
          <w:p w14:paraId="7784D973" w14:textId="77777777" w:rsidR="002D19F1" w:rsidRPr="00AC7ECB" w:rsidRDefault="002D19F1" w:rsidP="0015001C">
            <w:pPr>
              <w:rPr>
                <w:szCs w:val="20"/>
              </w:rPr>
            </w:pPr>
            <w:r w:rsidRPr="00AC7ECB">
              <w:rPr>
                <w:szCs w:val="20"/>
              </w:rPr>
              <w:t>Valve Type</w:t>
            </w:r>
          </w:p>
        </w:tc>
        <w:tc>
          <w:tcPr>
            <w:tcW w:w="1416" w:type="pct"/>
            <w:vAlign w:val="center"/>
          </w:tcPr>
          <w:p w14:paraId="3E96F914" w14:textId="77777777" w:rsidR="002D19F1" w:rsidRPr="009702B9" w:rsidRDefault="002D19F1" w:rsidP="0015001C">
            <w:pPr>
              <w:jc w:val="center"/>
              <w:rPr>
                <w:szCs w:val="20"/>
              </w:rPr>
            </w:pPr>
          </w:p>
        </w:tc>
        <w:tc>
          <w:tcPr>
            <w:tcW w:w="1327" w:type="pct"/>
            <w:vAlign w:val="center"/>
          </w:tcPr>
          <w:p w14:paraId="40DE481C" w14:textId="065B597A" w:rsidR="002D19F1" w:rsidRPr="009702B9" w:rsidRDefault="00E1441F" w:rsidP="0015001C">
            <w:pPr>
              <w:jc w:val="center"/>
              <w:rPr>
                <w:szCs w:val="20"/>
              </w:rPr>
            </w:pPr>
            <w:r w:rsidRPr="00A8741E">
              <w:rPr>
                <w:szCs w:val="20"/>
              </w:rPr>
              <w:t>29 (0.46%)</w:t>
            </w:r>
          </w:p>
        </w:tc>
      </w:tr>
      <w:tr w:rsidR="002D19F1" w:rsidRPr="00AC7ECB" w14:paraId="7DEB2F7B" w14:textId="77777777" w:rsidTr="0015001C">
        <w:trPr>
          <w:cantSplit/>
          <w:trHeight w:val="170"/>
          <w:jc w:val="center"/>
        </w:trPr>
        <w:tc>
          <w:tcPr>
            <w:tcW w:w="2257" w:type="pct"/>
          </w:tcPr>
          <w:p w14:paraId="3B2DB7D2" w14:textId="77777777" w:rsidR="002D19F1" w:rsidRPr="00AC7ECB" w:rsidRDefault="002D19F1" w:rsidP="0015001C">
            <w:pPr>
              <w:rPr>
                <w:szCs w:val="20"/>
              </w:rPr>
            </w:pPr>
            <w:r w:rsidRPr="00AC7ECB">
              <w:rPr>
                <w:szCs w:val="20"/>
              </w:rPr>
              <w:t xml:space="preserve">        Edwards SAPIEN Valve, n (%)</w:t>
            </w:r>
          </w:p>
        </w:tc>
        <w:tc>
          <w:tcPr>
            <w:tcW w:w="1416" w:type="pct"/>
            <w:vAlign w:val="center"/>
          </w:tcPr>
          <w:p w14:paraId="63F1C9E8" w14:textId="77777777" w:rsidR="002D19F1" w:rsidRPr="009702B9" w:rsidRDefault="002D19F1" w:rsidP="0015001C">
            <w:pPr>
              <w:jc w:val="center"/>
              <w:rPr>
                <w:szCs w:val="20"/>
              </w:rPr>
            </w:pPr>
            <w:r>
              <w:rPr>
                <w:szCs w:val="20"/>
              </w:rPr>
              <w:t>3553 (56.05%)</w:t>
            </w:r>
          </w:p>
        </w:tc>
        <w:tc>
          <w:tcPr>
            <w:tcW w:w="1327" w:type="pct"/>
            <w:vAlign w:val="center"/>
          </w:tcPr>
          <w:p w14:paraId="4DDBA238" w14:textId="53E7BF5D" w:rsidR="002D19F1" w:rsidRPr="00A8741E" w:rsidRDefault="002D19F1" w:rsidP="0015001C">
            <w:pPr>
              <w:jc w:val="center"/>
              <w:rPr>
                <w:szCs w:val="20"/>
              </w:rPr>
            </w:pPr>
          </w:p>
        </w:tc>
      </w:tr>
      <w:tr w:rsidR="002D19F1" w:rsidRPr="00AC7ECB" w14:paraId="050A03B9" w14:textId="77777777" w:rsidTr="0015001C">
        <w:trPr>
          <w:cantSplit/>
          <w:trHeight w:val="170"/>
          <w:jc w:val="center"/>
        </w:trPr>
        <w:tc>
          <w:tcPr>
            <w:tcW w:w="2257" w:type="pct"/>
          </w:tcPr>
          <w:p w14:paraId="42898C87" w14:textId="77777777" w:rsidR="002D19F1" w:rsidRPr="00AC7ECB" w:rsidRDefault="002D19F1" w:rsidP="0015001C">
            <w:pPr>
              <w:rPr>
                <w:szCs w:val="20"/>
              </w:rPr>
            </w:pPr>
            <w:r w:rsidRPr="00AC7ECB">
              <w:rPr>
                <w:szCs w:val="20"/>
              </w:rPr>
              <w:t xml:space="preserve">        Medtronic CoreValve, n (%)</w:t>
            </w:r>
          </w:p>
        </w:tc>
        <w:tc>
          <w:tcPr>
            <w:tcW w:w="1416" w:type="pct"/>
            <w:vAlign w:val="center"/>
          </w:tcPr>
          <w:p w14:paraId="31E0E0D9" w14:textId="77777777" w:rsidR="002D19F1" w:rsidRPr="009702B9" w:rsidRDefault="002D19F1" w:rsidP="0015001C">
            <w:pPr>
              <w:jc w:val="center"/>
              <w:rPr>
                <w:szCs w:val="20"/>
              </w:rPr>
            </w:pPr>
            <w:r>
              <w:rPr>
                <w:szCs w:val="20"/>
              </w:rPr>
              <w:t>2531 (39.93%)</w:t>
            </w:r>
          </w:p>
        </w:tc>
        <w:tc>
          <w:tcPr>
            <w:tcW w:w="1327" w:type="pct"/>
            <w:vAlign w:val="center"/>
          </w:tcPr>
          <w:p w14:paraId="1B1EBB74" w14:textId="207BABC5" w:rsidR="002D19F1" w:rsidRPr="00A8741E" w:rsidRDefault="002D19F1" w:rsidP="0015001C">
            <w:pPr>
              <w:jc w:val="center"/>
              <w:rPr>
                <w:szCs w:val="20"/>
              </w:rPr>
            </w:pPr>
          </w:p>
        </w:tc>
      </w:tr>
      <w:tr w:rsidR="001B5B96" w:rsidRPr="00AC7ECB" w14:paraId="612EB0AC" w14:textId="77777777" w:rsidTr="0015001C">
        <w:trPr>
          <w:cantSplit/>
          <w:trHeight w:val="170"/>
          <w:jc w:val="center"/>
        </w:trPr>
        <w:tc>
          <w:tcPr>
            <w:tcW w:w="2257" w:type="pct"/>
          </w:tcPr>
          <w:p w14:paraId="5CE842A6" w14:textId="7D776FE7" w:rsidR="001B5B96" w:rsidRPr="00AC7ECB" w:rsidRDefault="001B5B96" w:rsidP="0015001C">
            <w:pPr>
              <w:rPr>
                <w:szCs w:val="20"/>
              </w:rPr>
            </w:pPr>
            <w:r>
              <w:rPr>
                <w:szCs w:val="20"/>
              </w:rPr>
              <w:t xml:space="preserve">        Other, n (%)</w:t>
            </w:r>
          </w:p>
        </w:tc>
        <w:tc>
          <w:tcPr>
            <w:tcW w:w="1416" w:type="pct"/>
            <w:vAlign w:val="center"/>
          </w:tcPr>
          <w:p w14:paraId="5551B2F2" w14:textId="0EA1D764" w:rsidR="001B5B96" w:rsidRDefault="001B5B96" w:rsidP="0015001C">
            <w:pPr>
              <w:jc w:val="center"/>
              <w:rPr>
                <w:szCs w:val="20"/>
              </w:rPr>
            </w:pPr>
            <w:r>
              <w:rPr>
                <w:szCs w:val="20"/>
              </w:rPr>
              <w:t>226 (3.57%)</w:t>
            </w:r>
          </w:p>
        </w:tc>
        <w:tc>
          <w:tcPr>
            <w:tcW w:w="1327" w:type="pct"/>
            <w:vAlign w:val="center"/>
          </w:tcPr>
          <w:p w14:paraId="3A4AC32F" w14:textId="33BC6BEF" w:rsidR="001B5B96" w:rsidRPr="00A8741E" w:rsidRDefault="001B5B96" w:rsidP="0015001C">
            <w:pPr>
              <w:jc w:val="center"/>
              <w:rPr>
                <w:szCs w:val="20"/>
              </w:rPr>
            </w:pPr>
          </w:p>
        </w:tc>
      </w:tr>
    </w:tbl>
    <w:p w14:paraId="0CAFDC3E" w14:textId="3C8B6029" w:rsidR="002D19F1" w:rsidRDefault="002D19F1" w:rsidP="002D19F1">
      <w:pPr>
        <w:jc w:val="center"/>
        <w:rPr>
          <w:i/>
          <w:sz w:val="22"/>
          <w:szCs w:val="20"/>
        </w:rPr>
      </w:pPr>
      <w:r w:rsidRPr="008008F1">
        <w:rPr>
          <w:i/>
          <w:sz w:val="22"/>
          <w:szCs w:val="20"/>
        </w:rPr>
        <w:t xml:space="preserve">*: </w:t>
      </w:r>
      <w:r>
        <w:rPr>
          <w:i/>
          <w:sz w:val="22"/>
          <w:szCs w:val="20"/>
        </w:rPr>
        <w:t>Variable definitions are given in Supplementary Table 1.</w:t>
      </w:r>
      <w:r w:rsidR="007153F8">
        <w:rPr>
          <w:i/>
          <w:sz w:val="22"/>
          <w:szCs w:val="20"/>
        </w:rPr>
        <w:t xml:space="preserve"> </w:t>
      </w:r>
      <w:r w:rsidR="007153F8" w:rsidRPr="001D74BF">
        <w:rPr>
          <w:i/>
          <w:sz w:val="22"/>
        </w:rPr>
        <w:t>Abbreviations</w:t>
      </w:r>
      <w:r w:rsidR="007153F8" w:rsidRPr="009B0EA4">
        <w:rPr>
          <w:sz w:val="22"/>
        </w:rPr>
        <w:t>:</w:t>
      </w:r>
      <w:r w:rsidR="007153F8">
        <w:rPr>
          <w:sz w:val="22"/>
        </w:rPr>
        <w:t xml:space="preserve"> </w:t>
      </w:r>
      <w:r w:rsidR="007153F8">
        <w:rPr>
          <w:i/>
          <w:sz w:val="22"/>
          <w:szCs w:val="20"/>
        </w:rPr>
        <w:t xml:space="preserve">BAV: Balloon aortic </w:t>
      </w:r>
      <w:r w:rsidR="007153F8" w:rsidRPr="000344A4">
        <w:rPr>
          <w:i/>
          <w:sz w:val="22"/>
          <w:szCs w:val="20"/>
        </w:rPr>
        <w:t>valvuloplasty</w:t>
      </w:r>
      <w:r w:rsidR="007153F8">
        <w:rPr>
          <w:i/>
          <w:sz w:val="22"/>
          <w:szCs w:val="20"/>
        </w:rPr>
        <w:t xml:space="preserve">, </w:t>
      </w:r>
      <w:r w:rsidR="007153F8" w:rsidRPr="00736347">
        <w:rPr>
          <w:i/>
          <w:sz w:val="22"/>
          <w:szCs w:val="20"/>
        </w:rPr>
        <w:t>LMS: Left Main Stem Disease, LVEF: Left Ventricular Ejection Fraction, MI: Myocardial Infarction,</w:t>
      </w:r>
      <w:r w:rsidR="007153F8">
        <w:rPr>
          <w:i/>
          <w:sz w:val="22"/>
          <w:szCs w:val="20"/>
        </w:rPr>
        <w:t xml:space="preserve"> </w:t>
      </w:r>
      <w:r w:rsidR="007153F8" w:rsidRPr="00736347">
        <w:rPr>
          <w:i/>
          <w:sz w:val="22"/>
          <w:szCs w:val="20"/>
        </w:rPr>
        <w:t>NYHA: New York Heart Association Functional Classification</w:t>
      </w:r>
      <w:r w:rsidR="007153F8">
        <w:rPr>
          <w:i/>
          <w:sz w:val="22"/>
          <w:szCs w:val="20"/>
        </w:rPr>
        <w:t>, PA: Pulmonary Artery</w:t>
      </w:r>
      <w:r w:rsidR="007153F8" w:rsidRPr="00736347">
        <w:rPr>
          <w:i/>
          <w:sz w:val="22"/>
          <w:szCs w:val="20"/>
        </w:rPr>
        <w:t xml:space="preserve">, </w:t>
      </w:r>
      <w:r w:rsidR="007153F8">
        <w:rPr>
          <w:i/>
          <w:sz w:val="22"/>
          <w:szCs w:val="20"/>
        </w:rPr>
        <w:t>PCI: percutaneous coronary intervention</w:t>
      </w:r>
    </w:p>
    <w:p w14:paraId="51A10054" w14:textId="77777777" w:rsidR="002D19F1" w:rsidRDefault="002D19F1" w:rsidP="002D19F1">
      <w:pPr>
        <w:rPr>
          <w:i/>
          <w:sz w:val="22"/>
          <w:szCs w:val="20"/>
        </w:rPr>
      </w:pPr>
    </w:p>
    <w:p w14:paraId="28966D22" w14:textId="77777777" w:rsidR="002D19F1" w:rsidRDefault="002D19F1" w:rsidP="002D19F1">
      <w:pPr>
        <w:rPr>
          <w:i/>
          <w:sz w:val="22"/>
          <w:szCs w:val="20"/>
        </w:rPr>
        <w:sectPr w:rsidR="002D19F1">
          <w:pgSz w:w="11906" w:h="16838"/>
          <w:pgMar w:top="1440" w:right="1440" w:bottom="1440" w:left="1440" w:header="708" w:footer="708" w:gutter="0"/>
          <w:cols w:space="708"/>
          <w:docGrid w:linePitch="360"/>
        </w:sectPr>
      </w:pPr>
    </w:p>
    <w:p w14:paraId="2DE58A4B" w14:textId="77777777" w:rsidR="002D19F1" w:rsidRPr="00736347" w:rsidRDefault="002D19F1" w:rsidP="002D19F1">
      <w:pPr>
        <w:keepNext/>
        <w:spacing w:before="240" w:after="60"/>
        <w:outlineLvl w:val="1"/>
        <w:rPr>
          <w:rFonts w:eastAsia="Times New Roman"/>
          <w:b/>
          <w:bCs/>
          <w:iCs/>
          <w:szCs w:val="28"/>
        </w:rPr>
      </w:pPr>
      <w:r w:rsidRPr="00736347">
        <w:rPr>
          <w:rFonts w:eastAsia="Times New Roman"/>
          <w:b/>
          <w:bCs/>
          <w:iCs/>
          <w:szCs w:val="28"/>
        </w:rPr>
        <w:lastRenderedPageBreak/>
        <w:t xml:space="preserve">Table </w:t>
      </w:r>
      <w:r>
        <w:rPr>
          <w:rFonts w:eastAsia="Times New Roman"/>
          <w:b/>
          <w:bCs/>
          <w:iCs/>
          <w:szCs w:val="28"/>
        </w:rPr>
        <w:t>2:</w:t>
      </w:r>
      <w:r w:rsidRPr="00736347">
        <w:rPr>
          <w:rFonts w:eastAsia="Times New Roman"/>
          <w:b/>
          <w:bCs/>
          <w:iCs/>
          <w:szCs w:val="28"/>
        </w:rPr>
        <w:t xml:space="preserve"> </w:t>
      </w:r>
      <w:r>
        <w:rPr>
          <w:rFonts w:eastAsia="Times New Roman"/>
          <w:bCs/>
          <w:iCs/>
          <w:szCs w:val="28"/>
        </w:rPr>
        <w:t>Univariable odds ratios (ORs) of each baseline variable on 30-day mortality in the main analysis development cohort</w:t>
      </w:r>
      <w:r w:rsidRPr="005E038B">
        <w:rPr>
          <w:rFonts w:eastAsia="Times New Roman"/>
          <w:bCs/>
          <w:iCs/>
          <w:szCs w:val="28"/>
        </w:rPr>
        <w:t>.</w:t>
      </w:r>
      <w:r w:rsidRPr="001D74BF">
        <w:rPr>
          <w:rFonts w:eastAsia="Times New Roman"/>
          <w:b/>
          <w:bCs/>
          <w:iCs/>
          <w:szCs w:val="28"/>
        </w:rPr>
        <w:t xml:space="preserve"> </w:t>
      </w: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963"/>
        <w:gridCol w:w="2466"/>
        <w:gridCol w:w="1646"/>
      </w:tblGrid>
      <w:tr w:rsidR="002D19F1" w:rsidRPr="00AC7ECB" w14:paraId="3AD19046" w14:textId="77777777" w:rsidTr="0015001C">
        <w:trPr>
          <w:cantSplit/>
          <w:trHeight w:val="170"/>
          <w:jc w:val="center"/>
        </w:trPr>
        <w:tc>
          <w:tcPr>
            <w:tcW w:w="2454" w:type="pct"/>
          </w:tcPr>
          <w:p w14:paraId="59F72A06" w14:textId="77777777" w:rsidR="002D19F1" w:rsidRPr="00AC7ECB" w:rsidRDefault="002D19F1" w:rsidP="0015001C">
            <w:pPr>
              <w:rPr>
                <w:b/>
                <w:szCs w:val="20"/>
              </w:rPr>
            </w:pPr>
            <w:r w:rsidRPr="00AC7ECB">
              <w:rPr>
                <w:b/>
                <w:szCs w:val="20"/>
              </w:rPr>
              <w:t>Variable</w:t>
            </w:r>
            <w:r>
              <w:rPr>
                <w:b/>
                <w:szCs w:val="20"/>
              </w:rPr>
              <w:t xml:space="preserve"> </w:t>
            </w:r>
            <w:r w:rsidRPr="0061246C">
              <w:rPr>
                <w:b/>
                <w:szCs w:val="20"/>
              </w:rPr>
              <w:t>*</w:t>
            </w:r>
          </w:p>
        </w:tc>
        <w:tc>
          <w:tcPr>
            <w:tcW w:w="1527" w:type="pct"/>
            <w:vAlign w:val="center"/>
          </w:tcPr>
          <w:p w14:paraId="7A140CA8" w14:textId="77777777" w:rsidR="002D19F1" w:rsidRPr="00AC7ECB" w:rsidRDefault="002D19F1" w:rsidP="0015001C">
            <w:pPr>
              <w:jc w:val="center"/>
              <w:rPr>
                <w:b/>
                <w:szCs w:val="20"/>
              </w:rPr>
            </w:pPr>
            <w:r>
              <w:rPr>
                <w:b/>
                <w:szCs w:val="20"/>
              </w:rPr>
              <w:t xml:space="preserve">OR (95% CI) </w:t>
            </w:r>
            <w:r w:rsidRPr="0061246C">
              <w:rPr>
                <w:szCs w:val="20"/>
              </w:rPr>
              <w:t>†</w:t>
            </w:r>
          </w:p>
        </w:tc>
        <w:tc>
          <w:tcPr>
            <w:tcW w:w="1019" w:type="pct"/>
            <w:vAlign w:val="center"/>
          </w:tcPr>
          <w:p w14:paraId="6E36791F" w14:textId="77777777" w:rsidR="002D19F1" w:rsidRPr="00AC7ECB" w:rsidRDefault="002D19F1" w:rsidP="0015001C">
            <w:pPr>
              <w:jc w:val="center"/>
              <w:rPr>
                <w:b/>
                <w:szCs w:val="20"/>
              </w:rPr>
            </w:pPr>
            <w:r>
              <w:rPr>
                <w:b/>
                <w:szCs w:val="20"/>
              </w:rPr>
              <w:t>p-value</w:t>
            </w:r>
          </w:p>
        </w:tc>
      </w:tr>
      <w:tr w:rsidR="002D19F1" w:rsidRPr="00AC7ECB" w14:paraId="2AD330DF" w14:textId="77777777" w:rsidTr="0015001C">
        <w:trPr>
          <w:cantSplit/>
          <w:trHeight w:val="170"/>
          <w:jc w:val="center"/>
        </w:trPr>
        <w:tc>
          <w:tcPr>
            <w:tcW w:w="2454" w:type="pct"/>
          </w:tcPr>
          <w:p w14:paraId="1498AA92" w14:textId="42DF48B6" w:rsidR="002D19F1" w:rsidRPr="00AC7ECB" w:rsidRDefault="002D19F1" w:rsidP="0015001C">
            <w:pPr>
              <w:rPr>
                <w:szCs w:val="20"/>
              </w:rPr>
            </w:pPr>
            <w:r>
              <w:rPr>
                <w:szCs w:val="20"/>
              </w:rPr>
              <w:t>Mean-centred Age</w:t>
            </w:r>
          </w:p>
        </w:tc>
        <w:tc>
          <w:tcPr>
            <w:tcW w:w="1527" w:type="pct"/>
            <w:vAlign w:val="center"/>
          </w:tcPr>
          <w:p w14:paraId="3FD44E0C" w14:textId="7E4C59E1" w:rsidR="002D19F1" w:rsidRPr="009702B9" w:rsidRDefault="002D19F1" w:rsidP="0015001C">
            <w:pPr>
              <w:jc w:val="center"/>
              <w:rPr>
                <w:szCs w:val="20"/>
              </w:rPr>
            </w:pPr>
            <w:r>
              <w:t>1.01 (1.00, 1.03)</w:t>
            </w:r>
          </w:p>
        </w:tc>
        <w:tc>
          <w:tcPr>
            <w:tcW w:w="1019" w:type="pct"/>
            <w:vAlign w:val="center"/>
          </w:tcPr>
          <w:p w14:paraId="4EC3063D" w14:textId="5221127C" w:rsidR="002D19F1" w:rsidRPr="009702B9" w:rsidRDefault="002D19F1" w:rsidP="0015001C">
            <w:pPr>
              <w:jc w:val="center"/>
              <w:rPr>
                <w:szCs w:val="20"/>
              </w:rPr>
            </w:pPr>
            <w:r>
              <w:t>0.0751</w:t>
            </w:r>
          </w:p>
        </w:tc>
      </w:tr>
      <w:tr w:rsidR="002D19F1" w:rsidRPr="00AC7ECB" w14:paraId="3C4600B0" w14:textId="77777777" w:rsidTr="0015001C">
        <w:trPr>
          <w:cantSplit/>
          <w:trHeight w:val="170"/>
          <w:jc w:val="center"/>
        </w:trPr>
        <w:tc>
          <w:tcPr>
            <w:tcW w:w="2454" w:type="pct"/>
          </w:tcPr>
          <w:p w14:paraId="0306A545" w14:textId="77777777" w:rsidR="002D19F1" w:rsidRPr="00AC7ECB" w:rsidRDefault="002D19F1" w:rsidP="0015001C">
            <w:pPr>
              <w:rPr>
                <w:szCs w:val="20"/>
              </w:rPr>
            </w:pPr>
            <w:r>
              <w:rPr>
                <w:szCs w:val="20"/>
              </w:rPr>
              <w:t>Female</w:t>
            </w:r>
          </w:p>
        </w:tc>
        <w:tc>
          <w:tcPr>
            <w:tcW w:w="1527" w:type="pct"/>
            <w:vAlign w:val="center"/>
          </w:tcPr>
          <w:p w14:paraId="30FEFBC5" w14:textId="77777777" w:rsidR="002D19F1" w:rsidRPr="009702B9" w:rsidRDefault="002D19F1" w:rsidP="0015001C">
            <w:pPr>
              <w:jc w:val="center"/>
              <w:rPr>
                <w:szCs w:val="20"/>
              </w:rPr>
            </w:pPr>
            <w:r>
              <w:t>1.15 (0.92, 1.44)</w:t>
            </w:r>
          </w:p>
        </w:tc>
        <w:tc>
          <w:tcPr>
            <w:tcW w:w="1019" w:type="pct"/>
            <w:vAlign w:val="center"/>
          </w:tcPr>
          <w:p w14:paraId="410D74C8" w14:textId="77777777" w:rsidR="002D19F1" w:rsidRPr="009702B9" w:rsidRDefault="002D19F1" w:rsidP="0015001C">
            <w:pPr>
              <w:jc w:val="center"/>
              <w:rPr>
                <w:szCs w:val="20"/>
              </w:rPr>
            </w:pPr>
            <w:r>
              <w:t>0.2111</w:t>
            </w:r>
          </w:p>
        </w:tc>
      </w:tr>
      <w:tr w:rsidR="002D19F1" w:rsidRPr="00AC7ECB" w14:paraId="78720F90" w14:textId="77777777" w:rsidTr="0015001C">
        <w:trPr>
          <w:cantSplit/>
          <w:trHeight w:val="170"/>
          <w:jc w:val="center"/>
        </w:trPr>
        <w:tc>
          <w:tcPr>
            <w:tcW w:w="2454" w:type="pct"/>
          </w:tcPr>
          <w:p w14:paraId="64952638" w14:textId="77777777" w:rsidR="002D19F1" w:rsidRPr="00AC7ECB" w:rsidRDefault="002D19F1" w:rsidP="0015001C">
            <w:pPr>
              <w:rPr>
                <w:szCs w:val="20"/>
              </w:rPr>
            </w:pPr>
            <w:r>
              <w:rPr>
                <w:szCs w:val="20"/>
              </w:rPr>
              <w:t>Non-Caucasian</w:t>
            </w:r>
          </w:p>
        </w:tc>
        <w:tc>
          <w:tcPr>
            <w:tcW w:w="1527" w:type="pct"/>
            <w:vAlign w:val="center"/>
          </w:tcPr>
          <w:p w14:paraId="48E81AB8" w14:textId="77777777" w:rsidR="002D19F1" w:rsidRPr="009702B9" w:rsidRDefault="002D19F1" w:rsidP="0015001C">
            <w:pPr>
              <w:jc w:val="center"/>
              <w:rPr>
                <w:szCs w:val="20"/>
              </w:rPr>
            </w:pPr>
            <w:r>
              <w:t>0.75 (0.40, 1.43)</w:t>
            </w:r>
          </w:p>
        </w:tc>
        <w:tc>
          <w:tcPr>
            <w:tcW w:w="1019" w:type="pct"/>
            <w:vAlign w:val="center"/>
          </w:tcPr>
          <w:p w14:paraId="0B55DFA9" w14:textId="77777777" w:rsidR="002D19F1" w:rsidRPr="009702B9" w:rsidRDefault="002D19F1" w:rsidP="0015001C">
            <w:pPr>
              <w:jc w:val="center"/>
              <w:rPr>
                <w:szCs w:val="20"/>
              </w:rPr>
            </w:pPr>
            <w:r>
              <w:t>0.3840</w:t>
            </w:r>
          </w:p>
        </w:tc>
      </w:tr>
      <w:tr w:rsidR="002D19F1" w:rsidRPr="00AC7ECB" w14:paraId="3F13DA95" w14:textId="77777777" w:rsidTr="0015001C">
        <w:trPr>
          <w:cantSplit/>
          <w:trHeight w:val="170"/>
          <w:jc w:val="center"/>
        </w:trPr>
        <w:tc>
          <w:tcPr>
            <w:tcW w:w="2454" w:type="pct"/>
          </w:tcPr>
          <w:p w14:paraId="4ACBF7DB" w14:textId="77777777" w:rsidR="002D19F1" w:rsidRDefault="002D19F1" w:rsidP="0015001C">
            <w:pPr>
              <w:rPr>
                <w:szCs w:val="20"/>
              </w:rPr>
            </w:pPr>
            <w:r>
              <w:rPr>
                <w:szCs w:val="20"/>
              </w:rPr>
              <w:t>Diabetic</w:t>
            </w:r>
          </w:p>
        </w:tc>
        <w:tc>
          <w:tcPr>
            <w:tcW w:w="1527" w:type="pct"/>
            <w:vAlign w:val="center"/>
          </w:tcPr>
          <w:p w14:paraId="0DF05FCF" w14:textId="77777777" w:rsidR="002D19F1" w:rsidRPr="009702B9" w:rsidRDefault="002D19F1" w:rsidP="0015001C">
            <w:pPr>
              <w:jc w:val="center"/>
              <w:rPr>
                <w:szCs w:val="20"/>
              </w:rPr>
            </w:pPr>
            <w:r>
              <w:t>0.86 (0.65, 1.13)</w:t>
            </w:r>
          </w:p>
        </w:tc>
        <w:tc>
          <w:tcPr>
            <w:tcW w:w="1019" w:type="pct"/>
            <w:vAlign w:val="center"/>
          </w:tcPr>
          <w:p w14:paraId="5998341B" w14:textId="77777777" w:rsidR="002D19F1" w:rsidRDefault="002D19F1" w:rsidP="0015001C">
            <w:pPr>
              <w:jc w:val="center"/>
              <w:rPr>
                <w:szCs w:val="20"/>
              </w:rPr>
            </w:pPr>
            <w:r>
              <w:t>0.2712</w:t>
            </w:r>
          </w:p>
        </w:tc>
      </w:tr>
      <w:tr w:rsidR="002D19F1" w:rsidRPr="00AC7ECB" w14:paraId="075EBA7E" w14:textId="77777777" w:rsidTr="0015001C">
        <w:trPr>
          <w:cantSplit/>
          <w:trHeight w:val="170"/>
          <w:jc w:val="center"/>
        </w:trPr>
        <w:tc>
          <w:tcPr>
            <w:tcW w:w="2454" w:type="pct"/>
          </w:tcPr>
          <w:p w14:paraId="77B559BF" w14:textId="77777777" w:rsidR="002D19F1" w:rsidRDefault="002D19F1" w:rsidP="0015001C">
            <w:pPr>
              <w:rPr>
                <w:szCs w:val="20"/>
              </w:rPr>
            </w:pPr>
            <w:r>
              <w:rPr>
                <w:szCs w:val="20"/>
              </w:rPr>
              <w:t>Current or ex-smoker</w:t>
            </w:r>
          </w:p>
        </w:tc>
        <w:tc>
          <w:tcPr>
            <w:tcW w:w="1527" w:type="pct"/>
            <w:vAlign w:val="center"/>
          </w:tcPr>
          <w:p w14:paraId="0340E981" w14:textId="77777777" w:rsidR="002D19F1" w:rsidRPr="009702B9" w:rsidRDefault="002D19F1" w:rsidP="0015001C">
            <w:pPr>
              <w:jc w:val="center"/>
              <w:rPr>
                <w:szCs w:val="20"/>
              </w:rPr>
            </w:pPr>
            <w:r>
              <w:t>1.00 (0.80, 1.25)</w:t>
            </w:r>
          </w:p>
        </w:tc>
        <w:tc>
          <w:tcPr>
            <w:tcW w:w="1019" w:type="pct"/>
            <w:vAlign w:val="center"/>
          </w:tcPr>
          <w:p w14:paraId="6C4AA9BD" w14:textId="77777777" w:rsidR="002D19F1" w:rsidRDefault="002D19F1" w:rsidP="0015001C">
            <w:pPr>
              <w:jc w:val="center"/>
              <w:rPr>
                <w:szCs w:val="20"/>
              </w:rPr>
            </w:pPr>
            <w:r>
              <w:t>0.9893</w:t>
            </w:r>
          </w:p>
        </w:tc>
      </w:tr>
      <w:tr w:rsidR="002D19F1" w:rsidRPr="00AC7ECB" w14:paraId="4290457E" w14:textId="77777777" w:rsidTr="0015001C">
        <w:trPr>
          <w:cantSplit/>
          <w:trHeight w:val="170"/>
          <w:jc w:val="center"/>
        </w:trPr>
        <w:tc>
          <w:tcPr>
            <w:tcW w:w="2454" w:type="pct"/>
          </w:tcPr>
          <w:p w14:paraId="58251D82" w14:textId="77777777" w:rsidR="002D19F1" w:rsidRPr="00AC7ECB" w:rsidRDefault="002D19F1" w:rsidP="0015001C">
            <w:pPr>
              <w:rPr>
                <w:szCs w:val="20"/>
              </w:rPr>
            </w:pPr>
            <w:r>
              <w:rPr>
                <w:szCs w:val="20"/>
              </w:rPr>
              <w:t>Mean-centred BMI</w:t>
            </w:r>
          </w:p>
        </w:tc>
        <w:tc>
          <w:tcPr>
            <w:tcW w:w="1527" w:type="pct"/>
            <w:vAlign w:val="center"/>
          </w:tcPr>
          <w:p w14:paraId="22E9E4BC" w14:textId="77777777" w:rsidR="002D19F1" w:rsidRPr="009702B9" w:rsidRDefault="002D19F1" w:rsidP="0015001C">
            <w:pPr>
              <w:jc w:val="center"/>
              <w:rPr>
                <w:szCs w:val="20"/>
              </w:rPr>
            </w:pPr>
            <w:r>
              <w:t>0.97 (0.95, 0.99)</w:t>
            </w:r>
          </w:p>
        </w:tc>
        <w:tc>
          <w:tcPr>
            <w:tcW w:w="1019" w:type="pct"/>
            <w:vAlign w:val="center"/>
          </w:tcPr>
          <w:p w14:paraId="01F8D857" w14:textId="77777777" w:rsidR="002D19F1" w:rsidRPr="009702B9" w:rsidRDefault="002D19F1" w:rsidP="0015001C">
            <w:pPr>
              <w:jc w:val="center"/>
              <w:rPr>
                <w:szCs w:val="20"/>
              </w:rPr>
            </w:pPr>
            <w:r>
              <w:t>0.0051</w:t>
            </w:r>
          </w:p>
        </w:tc>
      </w:tr>
      <w:tr w:rsidR="002D19F1" w:rsidRPr="00AC7ECB" w14:paraId="0C945217" w14:textId="77777777" w:rsidTr="0015001C">
        <w:trPr>
          <w:cantSplit/>
          <w:trHeight w:val="170"/>
          <w:jc w:val="center"/>
        </w:trPr>
        <w:tc>
          <w:tcPr>
            <w:tcW w:w="2454" w:type="pct"/>
          </w:tcPr>
          <w:p w14:paraId="33C6BBFB" w14:textId="77777777" w:rsidR="002D19F1" w:rsidRPr="00AC7ECB" w:rsidRDefault="002D19F1" w:rsidP="0015001C">
            <w:pPr>
              <w:rPr>
                <w:szCs w:val="20"/>
              </w:rPr>
            </w:pPr>
            <w:r w:rsidRPr="0061246C">
              <w:rPr>
                <w:szCs w:val="20"/>
              </w:rPr>
              <w:t>Glomerular Filtration Rate per 5 unit increase</w:t>
            </w:r>
          </w:p>
        </w:tc>
        <w:tc>
          <w:tcPr>
            <w:tcW w:w="1527" w:type="pct"/>
            <w:vAlign w:val="center"/>
          </w:tcPr>
          <w:p w14:paraId="6A26686B" w14:textId="77777777" w:rsidR="002D19F1" w:rsidRPr="009702B9" w:rsidRDefault="002D19F1" w:rsidP="0015001C">
            <w:pPr>
              <w:jc w:val="center"/>
              <w:rPr>
                <w:szCs w:val="20"/>
              </w:rPr>
            </w:pPr>
            <w:r>
              <w:t>0.95 (0.92, 0.97)</w:t>
            </w:r>
          </w:p>
        </w:tc>
        <w:tc>
          <w:tcPr>
            <w:tcW w:w="1019" w:type="pct"/>
            <w:vAlign w:val="center"/>
          </w:tcPr>
          <w:p w14:paraId="5E80C1B6" w14:textId="77777777" w:rsidR="002D19F1" w:rsidRPr="009702B9" w:rsidRDefault="002D19F1" w:rsidP="0015001C">
            <w:pPr>
              <w:jc w:val="center"/>
              <w:rPr>
                <w:szCs w:val="20"/>
              </w:rPr>
            </w:pPr>
            <w:r>
              <w:t>&lt;0.0001</w:t>
            </w:r>
          </w:p>
        </w:tc>
      </w:tr>
      <w:tr w:rsidR="002D19F1" w:rsidRPr="00AC7ECB" w14:paraId="682DE3C6" w14:textId="77777777" w:rsidTr="0015001C">
        <w:trPr>
          <w:cantSplit/>
          <w:trHeight w:val="170"/>
          <w:jc w:val="center"/>
        </w:trPr>
        <w:tc>
          <w:tcPr>
            <w:tcW w:w="2454" w:type="pct"/>
          </w:tcPr>
          <w:p w14:paraId="311DF035" w14:textId="77777777" w:rsidR="002D19F1" w:rsidRDefault="002D19F1" w:rsidP="0015001C">
            <w:pPr>
              <w:rPr>
                <w:szCs w:val="20"/>
              </w:rPr>
            </w:pPr>
            <w:r>
              <w:rPr>
                <w:szCs w:val="20"/>
              </w:rPr>
              <w:t>Renal failure</w:t>
            </w:r>
          </w:p>
        </w:tc>
        <w:tc>
          <w:tcPr>
            <w:tcW w:w="1527" w:type="pct"/>
            <w:vAlign w:val="center"/>
          </w:tcPr>
          <w:p w14:paraId="6494EF67" w14:textId="77777777" w:rsidR="002D19F1" w:rsidRPr="009702B9" w:rsidRDefault="002D19F1" w:rsidP="0015001C">
            <w:pPr>
              <w:jc w:val="center"/>
              <w:rPr>
                <w:szCs w:val="20"/>
              </w:rPr>
            </w:pPr>
            <w:r>
              <w:t>1.70 (1.16, 2.49)</w:t>
            </w:r>
          </w:p>
        </w:tc>
        <w:tc>
          <w:tcPr>
            <w:tcW w:w="1019" w:type="pct"/>
            <w:vAlign w:val="center"/>
          </w:tcPr>
          <w:p w14:paraId="40B12D91" w14:textId="77777777" w:rsidR="002D19F1" w:rsidRDefault="002D19F1" w:rsidP="0015001C">
            <w:pPr>
              <w:jc w:val="center"/>
              <w:rPr>
                <w:szCs w:val="20"/>
              </w:rPr>
            </w:pPr>
            <w:r>
              <w:t>0.0062</w:t>
            </w:r>
          </w:p>
        </w:tc>
      </w:tr>
      <w:tr w:rsidR="002D19F1" w:rsidRPr="00AC7ECB" w14:paraId="1D35F57F" w14:textId="77777777" w:rsidTr="0015001C">
        <w:trPr>
          <w:cantSplit/>
          <w:trHeight w:val="170"/>
          <w:jc w:val="center"/>
        </w:trPr>
        <w:tc>
          <w:tcPr>
            <w:tcW w:w="2454" w:type="pct"/>
          </w:tcPr>
          <w:p w14:paraId="43880370" w14:textId="77777777" w:rsidR="002D19F1" w:rsidRDefault="002D19F1" w:rsidP="0015001C">
            <w:pPr>
              <w:rPr>
                <w:szCs w:val="20"/>
              </w:rPr>
            </w:pPr>
            <w:r>
              <w:rPr>
                <w:szCs w:val="20"/>
              </w:rPr>
              <w:t>Recent MI</w:t>
            </w:r>
          </w:p>
        </w:tc>
        <w:tc>
          <w:tcPr>
            <w:tcW w:w="1527" w:type="pct"/>
            <w:vAlign w:val="center"/>
          </w:tcPr>
          <w:p w14:paraId="53F8B7BA" w14:textId="77777777" w:rsidR="002D19F1" w:rsidRPr="009702B9" w:rsidRDefault="002D19F1" w:rsidP="0015001C">
            <w:pPr>
              <w:jc w:val="center"/>
              <w:rPr>
                <w:szCs w:val="20"/>
              </w:rPr>
            </w:pPr>
            <w:r>
              <w:t>1.65 (0.65, 4.14)</w:t>
            </w:r>
          </w:p>
        </w:tc>
        <w:tc>
          <w:tcPr>
            <w:tcW w:w="1019" w:type="pct"/>
            <w:vAlign w:val="center"/>
          </w:tcPr>
          <w:p w14:paraId="07AD44D3" w14:textId="77777777" w:rsidR="002D19F1" w:rsidRDefault="002D19F1" w:rsidP="0015001C">
            <w:pPr>
              <w:jc w:val="center"/>
              <w:rPr>
                <w:szCs w:val="20"/>
              </w:rPr>
            </w:pPr>
            <w:r>
              <w:t>0.2899</w:t>
            </w:r>
          </w:p>
        </w:tc>
      </w:tr>
      <w:tr w:rsidR="002D19F1" w:rsidRPr="00AC7ECB" w14:paraId="630BD2B8" w14:textId="77777777" w:rsidTr="0015001C">
        <w:trPr>
          <w:cantSplit/>
          <w:trHeight w:val="170"/>
          <w:jc w:val="center"/>
        </w:trPr>
        <w:tc>
          <w:tcPr>
            <w:tcW w:w="2454" w:type="pct"/>
          </w:tcPr>
          <w:p w14:paraId="3A17CE5F" w14:textId="77777777" w:rsidR="002D19F1" w:rsidRDefault="002D19F1" w:rsidP="0015001C">
            <w:pPr>
              <w:rPr>
                <w:szCs w:val="20"/>
              </w:rPr>
            </w:pPr>
            <w:r>
              <w:rPr>
                <w:szCs w:val="20"/>
              </w:rPr>
              <w:t>Pulmonary Disease</w:t>
            </w:r>
          </w:p>
        </w:tc>
        <w:tc>
          <w:tcPr>
            <w:tcW w:w="1527" w:type="pct"/>
            <w:vAlign w:val="center"/>
          </w:tcPr>
          <w:p w14:paraId="3E54E60F" w14:textId="77777777" w:rsidR="002D19F1" w:rsidRPr="009702B9" w:rsidRDefault="002D19F1" w:rsidP="0015001C">
            <w:pPr>
              <w:jc w:val="center"/>
              <w:rPr>
                <w:szCs w:val="20"/>
              </w:rPr>
            </w:pPr>
            <w:r>
              <w:t>1.27 (1.00, 1.61)</w:t>
            </w:r>
          </w:p>
        </w:tc>
        <w:tc>
          <w:tcPr>
            <w:tcW w:w="1019" w:type="pct"/>
            <w:vAlign w:val="center"/>
          </w:tcPr>
          <w:p w14:paraId="5A0A953B" w14:textId="77777777" w:rsidR="002D19F1" w:rsidRDefault="002D19F1" w:rsidP="0015001C">
            <w:pPr>
              <w:jc w:val="center"/>
              <w:rPr>
                <w:szCs w:val="20"/>
              </w:rPr>
            </w:pPr>
            <w:r>
              <w:t>0.0535</w:t>
            </w:r>
          </w:p>
        </w:tc>
      </w:tr>
      <w:tr w:rsidR="002D19F1" w:rsidRPr="00AC7ECB" w14:paraId="621A300F" w14:textId="77777777" w:rsidTr="0015001C">
        <w:trPr>
          <w:cantSplit/>
          <w:trHeight w:val="170"/>
          <w:jc w:val="center"/>
        </w:trPr>
        <w:tc>
          <w:tcPr>
            <w:tcW w:w="2454" w:type="pct"/>
          </w:tcPr>
          <w:p w14:paraId="579FD853" w14:textId="77777777" w:rsidR="002D19F1" w:rsidRDefault="002D19F1" w:rsidP="0015001C">
            <w:pPr>
              <w:rPr>
                <w:szCs w:val="20"/>
              </w:rPr>
            </w:pPr>
            <w:r w:rsidRPr="00AC7ECB">
              <w:rPr>
                <w:szCs w:val="20"/>
              </w:rPr>
              <w:t>Cerebrovascular Disease</w:t>
            </w:r>
          </w:p>
        </w:tc>
        <w:tc>
          <w:tcPr>
            <w:tcW w:w="1527" w:type="pct"/>
            <w:vAlign w:val="center"/>
          </w:tcPr>
          <w:p w14:paraId="2A3ACF2E" w14:textId="77777777" w:rsidR="002D19F1" w:rsidRPr="009702B9" w:rsidRDefault="002D19F1" w:rsidP="0015001C">
            <w:pPr>
              <w:jc w:val="center"/>
              <w:rPr>
                <w:szCs w:val="20"/>
              </w:rPr>
            </w:pPr>
            <w:r>
              <w:t>0.92 (0.66, 1.27)</w:t>
            </w:r>
          </w:p>
        </w:tc>
        <w:tc>
          <w:tcPr>
            <w:tcW w:w="1019" w:type="pct"/>
            <w:vAlign w:val="center"/>
          </w:tcPr>
          <w:p w14:paraId="2D2AE82F" w14:textId="77777777" w:rsidR="002D19F1" w:rsidRDefault="002D19F1" w:rsidP="0015001C">
            <w:pPr>
              <w:jc w:val="center"/>
              <w:rPr>
                <w:szCs w:val="20"/>
              </w:rPr>
            </w:pPr>
            <w:r>
              <w:t>0.6155</w:t>
            </w:r>
          </w:p>
        </w:tc>
      </w:tr>
      <w:tr w:rsidR="002D19F1" w:rsidRPr="00AC7ECB" w14:paraId="5868753C" w14:textId="77777777" w:rsidTr="0015001C">
        <w:trPr>
          <w:cantSplit/>
          <w:trHeight w:val="170"/>
          <w:jc w:val="center"/>
        </w:trPr>
        <w:tc>
          <w:tcPr>
            <w:tcW w:w="2454" w:type="pct"/>
          </w:tcPr>
          <w:p w14:paraId="21B29940" w14:textId="77777777" w:rsidR="002D19F1" w:rsidRDefault="002D19F1" w:rsidP="0015001C">
            <w:pPr>
              <w:rPr>
                <w:szCs w:val="20"/>
              </w:rPr>
            </w:pPr>
            <w:r>
              <w:rPr>
                <w:szCs w:val="20"/>
              </w:rPr>
              <w:t>Extracardiac Arteriopathy</w:t>
            </w:r>
          </w:p>
        </w:tc>
        <w:tc>
          <w:tcPr>
            <w:tcW w:w="1527" w:type="pct"/>
            <w:vAlign w:val="center"/>
          </w:tcPr>
          <w:p w14:paraId="5BADF202" w14:textId="77777777" w:rsidR="002D19F1" w:rsidRPr="009702B9" w:rsidRDefault="002D19F1" w:rsidP="0015001C">
            <w:pPr>
              <w:jc w:val="center"/>
              <w:rPr>
                <w:szCs w:val="20"/>
              </w:rPr>
            </w:pPr>
            <w:r>
              <w:t>1.61 (1.26, 2.05)</w:t>
            </w:r>
          </w:p>
        </w:tc>
        <w:tc>
          <w:tcPr>
            <w:tcW w:w="1019" w:type="pct"/>
            <w:vAlign w:val="center"/>
          </w:tcPr>
          <w:p w14:paraId="3B2A14B0" w14:textId="77777777" w:rsidR="002D19F1" w:rsidRDefault="002D19F1" w:rsidP="0015001C">
            <w:pPr>
              <w:jc w:val="center"/>
              <w:rPr>
                <w:szCs w:val="20"/>
              </w:rPr>
            </w:pPr>
            <w:r>
              <w:t>&lt;0.0001</w:t>
            </w:r>
          </w:p>
        </w:tc>
      </w:tr>
      <w:tr w:rsidR="002D19F1" w:rsidRPr="00AC7ECB" w14:paraId="28FE2719" w14:textId="77777777" w:rsidTr="0015001C">
        <w:trPr>
          <w:cantSplit/>
          <w:trHeight w:val="170"/>
          <w:jc w:val="center"/>
        </w:trPr>
        <w:tc>
          <w:tcPr>
            <w:tcW w:w="2454" w:type="pct"/>
          </w:tcPr>
          <w:p w14:paraId="3A665BB5" w14:textId="77777777" w:rsidR="002D19F1" w:rsidRDefault="002D19F1" w:rsidP="0015001C">
            <w:pPr>
              <w:rPr>
                <w:szCs w:val="20"/>
              </w:rPr>
            </w:pPr>
            <w:r>
              <w:t>Calcified Aorta</w:t>
            </w:r>
          </w:p>
        </w:tc>
        <w:tc>
          <w:tcPr>
            <w:tcW w:w="1527" w:type="pct"/>
            <w:vAlign w:val="center"/>
          </w:tcPr>
          <w:p w14:paraId="03D91197" w14:textId="77777777" w:rsidR="002D19F1" w:rsidRPr="009702B9" w:rsidRDefault="002D19F1" w:rsidP="0015001C">
            <w:pPr>
              <w:jc w:val="center"/>
              <w:rPr>
                <w:szCs w:val="20"/>
              </w:rPr>
            </w:pPr>
            <w:r>
              <w:t>1.34 (1.02, 1.76)</w:t>
            </w:r>
          </w:p>
        </w:tc>
        <w:tc>
          <w:tcPr>
            <w:tcW w:w="1019" w:type="pct"/>
            <w:vAlign w:val="center"/>
          </w:tcPr>
          <w:p w14:paraId="3984715F" w14:textId="77777777" w:rsidR="002D19F1" w:rsidRDefault="002D19F1" w:rsidP="0015001C">
            <w:pPr>
              <w:jc w:val="center"/>
              <w:rPr>
                <w:szCs w:val="20"/>
              </w:rPr>
            </w:pPr>
            <w:r>
              <w:t>0.0369</w:t>
            </w:r>
          </w:p>
        </w:tc>
      </w:tr>
      <w:tr w:rsidR="002D19F1" w:rsidRPr="00AC7ECB" w14:paraId="2BB271A0" w14:textId="77777777" w:rsidTr="0015001C">
        <w:trPr>
          <w:cantSplit/>
          <w:trHeight w:val="170"/>
          <w:jc w:val="center"/>
        </w:trPr>
        <w:tc>
          <w:tcPr>
            <w:tcW w:w="2454" w:type="pct"/>
          </w:tcPr>
          <w:p w14:paraId="392EBEE7" w14:textId="77777777" w:rsidR="002D19F1" w:rsidRDefault="002D19F1" w:rsidP="0015001C">
            <w:pPr>
              <w:rPr>
                <w:szCs w:val="20"/>
              </w:rPr>
            </w:pPr>
            <w:r>
              <w:rPr>
                <w:szCs w:val="20"/>
              </w:rPr>
              <w:t>Sinus rhythm</w:t>
            </w:r>
          </w:p>
        </w:tc>
        <w:tc>
          <w:tcPr>
            <w:tcW w:w="1527" w:type="pct"/>
            <w:vAlign w:val="center"/>
          </w:tcPr>
          <w:p w14:paraId="515E6F12" w14:textId="77777777" w:rsidR="002D19F1" w:rsidRPr="009702B9" w:rsidRDefault="002D19F1" w:rsidP="0015001C">
            <w:pPr>
              <w:jc w:val="center"/>
              <w:rPr>
                <w:szCs w:val="20"/>
              </w:rPr>
            </w:pPr>
            <w:r>
              <w:t>0.76 (0.60, 0.95)</w:t>
            </w:r>
          </w:p>
        </w:tc>
        <w:tc>
          <w:tcPr>
            <w:tcW w:w="1019" w:type="pct"/>
            <w:vAlign w:val="center"/>
          </w:tcPr>
          <w:p w14:paraId="2ED7E67F" w14:textId="77777777" w:rsidR="002D19F1" w:rsidRDefault="002D19F1" w:rsidP="0015001C">
            <w:pPr>
              <w:jc w:val="center"/>
              <w:rPr>
                <w:szCs w:val="20"/>
              </w:rPr>
            </w:pPr>
            <w:r>
              <w:t>0.0163</w:t>
            </w:r>
          </w:p>
        </w:tc>
      </w:tr>
      <w:tr w:rsidR="002D19F1" w:rsidRPr="00AC7ECB" w14:paraId="1624B1CA" w14:textId="77777777" w:rsidTr="0015001C">
        <w:trPr>
          <w:cantSplit/>
          <w:trHeight w:val="170"/>
          <w:jc w:val="center"/>
        </w:trPr>
        <w:tc>
          <w:tcPr>
            <w:tcW w:w="2454" w:type="pct"/>
          </w:tcPr>
          <w:p w14:paraId="77BDD8A5" w14:textId="77777777" w:rsidR="002D19F1" w:rsidRDefault="002D19F1" w:rsidP="0015001C">
            <w:pPr>
              <w:rPr>
                <w:szCs w:val="20"/>
              </w:rPr>
            </w:pPr>
            <w:r>
              <w:rPr>
                <w:szCs w:val="20"/>
              </w:rPr>
              <w:t>Previous cardiac surgery</w:t>
            </w:r>
          </w:p>
        </w:tc>
        <w:tc>
          <w:tcPr>
            <w:tcW w:w="1527" w:type="pct"/>
            <w:vAlign w:val="center"/>
          </w:tcPr>
          <w:p w14:paraId="492D23C2" w14:textId="77777777" w:rsidR="002D19F1" w:rsidRPr="009702B9" w:rsidRDefault="002D19F1" w:rsidP="0015001C">
            <w:pPr>
              <w:jc w:val="center"/>
              <w:rPr>
                <w:szCs w:val="20"/>
              </w:rPr>
            </w:pPr>
            <w:r>
              <w:t>0.88 (0.69, 1.13)</w:t>
            </w:r>
          </w:p>
        </w:tc>
        <w:tc>
          <w:tcPr>
            <w:tcW w:w="1019" w:type="pct"/>
            <w:vAlign w:val="center"/>
          </w:tcPr>
          <w:p w14:paraId="63C1A004" w14:textId="77777777" w:rsidR="002D19F1" w:rsidRDefault="002D19F1" w:rsidP="0015001C">
            <w:pPr>
              <w:jc w:val="center"/>
              <w:rPr>
                <w:szCs w:val="20"/>
              </w:rPr>
            </w:pPr>
            <w:r>
              <w:t>0.3194</w:t>
            </w:r>
          </w:p>
        </w:tc>
      </w:tr>
      <w:tr w:rsidR="002D19F1" w:rsidRPr="00AC7ECB" w14:paraId="0C0A231D" w14:textId="77777777" w:rsidTr="0015001C">
        <w:trPr>
          <w:cantSplit/>
          <w:trHeight w:val="170"/>
          <w:jc w:val="center"/>
        </w:trPr>
        <w:tc>
          <w:tcPr>
            <w:tcW w:w="2454" w:type="pct"/>
          </w:tcPr>
          <w:p w14:paraId="18C56149" w14:textId="77777777" w:rsidR="002D19F1" w:rsidRDefault="002D19F1" w:rsidP="0015001C">
            <w:pPr>
              <w:rPr>
                <w:szCs w:val="20"/>
              </w:rPr>
            </w:pPr>
            <w:r>
              <w:rPr>
                <w:szCs w:val="20"/>
              </w:rPr>
              <w:t>Prior BAV</w:t>
            </w:r>
          </w:p>
        </w:tc>
        <w:tc>
          <w:tcPr>
            <w:tcW w:w="1527" w:type="pct"/>
            <w:vAlign w:val="center"/>
          </w:tcPr>
          <w:p w14:paraId="6731EB42" w14:textId="77777777" w:rsidR="002D19F1" w:rsidRPr="009702B9" w:rsidRDefault="002D19F1" w:rsidP="0015001C">
            <w:pPr>
              <w:jc w:val="center"/>
              <w:rPr>
                <w:szCs w:val="20"/>
              </w:rPr>
            </w:pPr>
            <w:r>
              <w:t>1.46 (1.07, 2.00)</w:t>
            </w:r>
          </w:p>
        </w:tc>
        <w:tc>
          <w:tcPr>
            <w:tcW w:w="1019" w:type="pct"/>
            <w:vAlign w:val="center"/>
          </w:tcPr>
          <w:p w14:paraId="011B3698" w14:textId="77777777" w:rsidR="002D19F1" w:rsidRDefault="002D19F1" w:rsidP="0015001C">
            <w:pPr>
              <w:jc w:val="center"/>
              <w:rPr>
                <w:szCs w:val="20"/>
              </w:rPr>
            </w:pPr>
            <w:r>
              <w:t>0.0181</w:t>
            </w:r>
          </w:p>
        </w:tc>
      </w:tr>
      <w:tr w:rsidR="002D19F1" w:rsidRPr="00AC7ECB" w14:paraId="5C50F476" w14:textId="77777777" w:rsidTr="0015001C">
        <w:trPr>
          <w:cantSplit/>
          <w:trHeight w:val="170"/>
          <w:jc w:val="center"/>
        </w:trPr>
        <w:tc>
          <w:tcPr>
            <w:tcW w:w="2454" w:type="pct"/>
          </w:tcPr>
          <w:p w14:paraId="7BF1C45C" w14:textId="77777777" w:rsidR="002D19F1" w:rsidRDefault="002D19F1" w:rsidP="0015001C">
            <w:pPr>
              <w:rPr>
                <w:szCs w:val="20"/>
              </w:rPr>
            </w:pPr>
            <w:r>
              <w:rPr>
                <w:szCs w:val="20"/>
              </w:rPr>
              <w:t>Previous PCI</w:t>
            </w:r>
          </w:p>
        </w:tc>
        <w:tc>
          <w:tcPr>
            <w:tcW w:w="1527" w:type="pct"/>
            <w:vAlign w:val="center"/>
          </w:tcPr>
          <w:p w14:paraId="0506E4F0" w14:textId="77777777" w:rsidR="002D19F1" w:rsidRPr="009702B9" w:rsidRDefault="002D19F1" w:rsidP="0015001C">
            <w:pPr>
              <w:jc w:val="center"/>
              <w:rPr>
                <w:szCs w:val="20"/>
              </w:rPr>
            </w:pPr>
            <w:r>
              <w:t>0.89 (0.67, 1.18)</w:t>
            </w:r>
          </w:p>
        </w:tc>
        <w:tc>
          <w:tcPr>
            <w:tcW w:w="1019" w:type="pct"/>
            <w:vAlign w:val="center"/>
          </w:tcPr>
          <w:p w14:paraId="74898F72" w14:textId="77777777" w:rsidR="002D19F1" w:rsidRDefault="002D19F1" w:rsidP="0015001C">
            <w:pPr>
              <w:jc w:val="center"/>
              <w:rPr>
                <w:szCs w:val="20"/>
              </w:rPr>
            </w:pPr>
            <w:r>
              <w:t>0.4205</w:t>
            </w:r>
          </w:p>
        </w:tc>
      </w:tr>
      <w:tr w:rsidR="002D19F1" w:rsidRPr="00AC7ECB" w14:paraId="5B4A3BD6" w14:textId="77777777" w:rsidTr="0015001C">
        <w:trPr>
          <w:cantSplit/>
          <w:trHeight w:val="170"/>
          <w:jc w:val="center"/>
        </w:trPr>
        <w:tc>
          <w:tcPr>
            <w:tcW w:w="2454" w:type="pct"/>
          </w:tcPr>
          <w:p w14:paraId="28BF2A03" w14:textId="77777777" w:rsidR="002D19F1" w:rsidRDefault="002D19F1" w:rsidP="0015001C">
            <w:pPr>
              <w:rPr>
                <w:szCs w:val="20"/>
              </w:rPr>
            </w:pPr>
            <w:r w:rsidRPr="00AC7ECB">
              <w:rPr>
                <w:szCs w:val="20"/>
              </w:rPr>
              <w:t>Critical preop</w:t>
            </w:r>
            <w:r>
              <w:rPr>
                <w:szCs w:val="20"/>
              </w:rPr>
              <w:t>erative state</w:t>
            </w:r>
          </w:p>
        </w:tc>
        <w:tc>
          <w:tcPr>
            <w:tcW w:w="1527" w:type="pct"/>
            <w:vAlign w:val="center"/>
          </w:tcPr>
          <w:p w14:paraId="48BB7215" w14:textId="77777777" w:rsidR="002D19F1" w:rsidRPr="009702B9" w:rsidRDefault="002D19F1" w:rsidP="0015001C">
            <w:pPr>
              <w:jc w:val="center"/>
              <w:rPr>
                <w:szCs w:val="20"/>
              </w:rPr>
            </w:pPr>
            <w:r>
              <w:t>2.94 (1.77, 4.88)</w:t>
            </w:r>
          </w:p>
        </w:tc>
        <w:tc>
          <w:tcPr>
            <w:tcW w:w="1019" w:type="pct"/>
            <w:vAlign w:val="center"/>
          </w:tcPr>
          <w:p w14:paraId="5A1463EC" w14:textId="77777777" w:rsidR="002D19F1" w:rsidRDefault="002D19F1" w:rsidP="0015001C">
            <w:pPr>
              <w:jc w:val="center"/>
              <w:rPr>
                <w:szCs w:val="20"/>
              </w:rPr>
            </w:pPr>
            <w:r>
              <w:t>&lt;0.0001</w:t>
            </w:r>
          </w:p>
        </w:tc>
      </w:tr>
      <w:tr w:rsidR="002D19F1" w:rsidRPr="00AC7ECB" w14:paraId="79B66205" w14:textId="77777777" w:rsidTr="0015001C">
        <w:trPr>
          <w:cantSplit/>
          <w:trHeight w:val="170"/>
          <w:jc w:val="center"/>
        </w:trPr>
        <w:tc>
          <w:tcPr>
            <w:tcW w:w="2454" w:type="pct"/>
          </w:tcPr>
          <w:p w14:paraId="49E6582F" w14:textId="77777777" w:rsidR="002D19F1" w:rsidRPr="00AC7ECB" w:rsidRDefault="002D19F1" w:rsidP="0015001C">
            <w:pPr>
              <w:rPr>
                <w:szCs w:val="20"/>
              </w:rPr>
            </w:pPr>
            <w:r w:rsidRPr="00AC7ECB">
              <w:rPr>
                <w:szCs w:val="20"/>
              </w:rPr>
              <w:lastRenderedPageBreak/>
              <w:t>NYHA</w:t>
            </w:r>
            <w:r>
              <w:rPr>
                <w:szCs w:val="20"/>
              </w:rPr>
              <w:t xml:space="preserve"> Class IV</w:t>
            </w:r>
          </w:p>
        </w:tc>
        <w:tc>
          <w:tcPr>
            <w:tcW w:w="1527" w:type="pct"/>
            <w:vAlign w:val="center"/>
          </w:tcPr>
          <w:p w14:paraId="24D1DBF1" w14:textId="77777777" w:rsidR="002D19F1" w:rsidRPr="009702B9" w:rsidRDefault="002D19F1" w:rsidP="0015001C">
            <w:pPr>
              <w:jc w:val="center"/>
              <w:rPr>
                <w:szCs w:val="20"/>
              </w:rPr>
            </w:pPr>
            <w:r>
              <w:t>1.49 (1.15, 1.95)</w:t>
            </w:r>
          </w:p>
        </w:tc>
        <w:tc>
          <w:tcPr>
            <w:tcW w:w="1019" w:type="pct"/>
            <w:vAlign w:val="center"/>
          </w:tcPr>
          <w:p w14:paraId="21EF705D" w14:textId="77777777" w:rsidR="002D19F1" w:rsidRPr="009702B9" w:rsidRDefault="002D19F1" w:rsidP="0015001C">
            <w:pPr>
              <w:jc w:val="center"/>
              <w:rPr>
                <w:szCs w:val="20"/>
              </w:rPr>
            </w:pPr>
            <w:r>
              <w:t>0.0030</w:t>
            </w:r>
          </w:p>
        </w:tc>
      </w:tr>
      <w:tr w:rsidR="002D19F1" w:rsidRPr="00AC7ECB" w14:paraId="339A62FB" w14:textId="77777777" w:rsidTr="0015001C">
        <w:trPr>
          <w:cantSplit/>
          <w:trHeight w:val="170"/>
          <w:jc w:val="center"/>
        </w:trPr>
        <w:tc>
          <w:tcPr>
            <w:tcW w:w="2454" w:type="pct"/>
          </w:tcPr>
          <w:p w14:paraId="64DB4988" w14:textId="14A9603D" w:rsidR="002D19F1" w:rsidRPr="00AC7ECB" w:rsidRDefault="002D19F1" w:rsidP="0015001C">
            <w:pPr>
              <w:rPr>
                <w:szCs w:val="20"/>
              </w:rPr>
            </w:pPr>
            <w:r>
              <w:rPr>
                <w:szCs w:val="20"/>
              </w:rPr>
              <w:t>Poor mobility</w:t>
            </w:r>
            <w:r w:rsidR="003E6DEA">
              <w:rPr>
                <w:szCs w:val="20"/>
              </w:rPr>
              <w:t xml:space="preserve"> </w:t>
            </w:r>
            <w:r w:rsidR="003E6DEA" w:rsidRPr="00A8741E">
              <w:rPr>
                <w:rFonts w:ascii="Helvetica" w:hAnsi="Helvetica" w:cs="Helvetica"/>
                <w:color w:val="000000"/>
                <w:shd w:val="clear" w:color="auto" w:fill="FFFFFF"/>
                <w:vertAlign w:val="superscript"/>
              </w:rPr>
              <w:t>‡</w:t>
            </w:r>
          </w:p>
        </w:tc>
        <w:tc>
          <w:tcPr>
            <w:tcW w:w="1527" w:type="pct"/>
            <w:vAlign w:val="center"/>
          </w:tcPr>
          <w:p w14:paraId="4BA0E004" w14:textId="789CC8B8" w:rsidR="002D19F1" w:rsidRPr="009702B9" w:rsidRDefault="003E6DEA" w:rsidP="0015001C">
            <w:pPr>
              <w:jc w:val="center"/>
              <w:rPr>
                <w:szCs w:val="20"/>
              </w:rPr>
            </w:pPr>
            <w:r>
              <w:t>2.74 (1.89, 3.96)</w:t>
            </w:r>
          </w:p>
        </w:tc>
        <w:tc>
          <w:tcPr>
            <w:tcW w:w="1019" w:type="pct"/>
            <w:vAlign w:val="center"/>
          </w:tcPr>
          <w:p w14:paraId="75BECBB9" w14:textId="31CD20F9" w:rsidR="002D19F1" w:rsidRPr="009702B9" w:rsidRDefault="003E6DEA" w:rsidP="0015001C">
            <w:pPr>
              <w:jc w:val="center"/>
              <w:rPr>
                <w:szCs w:val="20"/>
              </w:rPr>
            </w:pPr>
            <w:r>
              <w:t>&lt;0.0001</w:t>
            </w:r>
          </w:p>
        </w:tc>
      </w:tr>
      <w:tr w:rsidR="002D19F1" w:rsidRPr="00AC7ECB" w14:paraId="1D1E9018" w14:textId="77777777" w:rsidTr="0015001C">
        <w:trPr>
          <w:cantSplit/>
          <w:trHeight w:val="170"/>
          <w:jc w:val="center"/>
        </w:trPr>
        <w:tc>
          <w:tcPr>
            <w:tcW w:w="2454" w:type="pct"/>
          </w:tcPr>
          <w:p w14:paraId="44D40AE1" w14:textId="51497C46" w:rsidR="002D19F1" w:rsidRPr="00AC7ECB" w:rsidRDefault="002D19F1" w:rsidP="0015001C">
            <w:pPr>
              <w:rPr>
                <w:szCs w:val="20"/>
              </w:rPr>
            </w:pPr>
            <w:r>
              <w:rPr>
                <w:szCs w:val="20"/>
              </w:rPr>
              <w:t>CSHA frail</w:t>
            </w:r>
            <w:r w:rsidR="003E6DEA">
              <w:rPr>
                <w:szCs w:val="20"/>
              </w:rPr>
              <w:t xml:space="preserve"> </w:t>
            </w:r>
            <w:r w:rsidR="003E6DEA" w:rsidRPr="00A8741E">
              <w:rPr>
                <w:rFonts w:ascii="Helvetica" w:hAnsi="Helvetica" w:cs="Helvetica"/>
                <w:color w:val="000000"/>
                <w:shd w:val="clear" w:color="auto" w:fill="FFFFFF"/>
                <w:vertAlign w:val="superscript"/>
              </w:rPr>
              <w:t>‡</w:t>
            </w:r>
          </w:p>
        </w:tc>
        <w:tc>
          <w:tcPr>
            <w:tcW w:w="1527" w:type="pct"/>
            <w:vAlign w:val="center"/>
          </w:tcPr>
          <w:p w14:paraId="15B22F76" w14:textId="56CEB337" w:rsidR="002D19F1" w:rsidRPr="009702B9" w:rsidRDefault="003E6DEA" w:rsidP="0015001C">
            <w:pPr>
              <w:jc w:val="center"/>
              <w:rPr>
                <w:szCs w:val="20"/>
              </w:rPr>
            </w:pPr>
            <w:r>
              <w:t>1.91 (1.33, 2.75)</w:t>
            </w:r>
          </w:p>
        </w:tc>
        <w:tc>
          <w:tcPr>
            <w:tcW w:w="1019" w:type="pct"/>
            <w:vAlign w:val="center"/>
          </w:tcPr>
          <w:p w14:paraId="6FD36D8C" w14:textId="77777777" w:rsidR="002D19F1" w:rsidRPr="009702B9" w:rsidRDefault="002D19F1" w:rsidP="0015001C">
            <w:pPr>
              <w:jc w:val="center"/>
              <w:rPr>
                <w:szCs w:val="20"/>
              </w:rPr>
            </w:pPr>
            <w:r>
              <w:t>&lt;0.0001</w:t>
            </w:r>
          </w:p>
        </w:tc>
      </w:tr>
      <w:tr w:rsidR="002D19F1" w:rsidRPr="00AC7ECB" w14:paraId="6529A99B" w14:textId="77777777" w:rsidTr="0015001C">
        <w:trPr>
          <w:cantSplit/>
          <w:trHeight w:val="170"/>
          <w:jc w:val="center"/>
        </w:trPr>
        <w:tc>
          <w:tcPr>
            <w:tcW w:w="2454" w:type="pct"/>
          </w:tcPr>
          <w:p w14:paraId="388AA27D" w14:textId="52BE2629" w:rsidR="002D19F1" w:rsidRPr="00AC7ECB" w:rsidRDefault="004A50CD" w:rsidP="0015001C">
            <w:pPr>
              <w:rPr>
                <w:szCs w:val="20"/>
              </w:rPr>
            </w:pPr>
            <w:r w:rsidRPr="00E46123">
              <w:t>KATZ</w:t>
            </w:r>
            <w:r>
              <w:t xml:space="preserve"> (per point drop from 6 points)</w:t>
            </w:r>
            <w:r w:rsidR="003E6DEA">
              <w:rPr>
                <w:szCs w:val="20"/>
              </w:rPr>
              <w:t xml:space="preserve"> </w:t>
            </w:r>
            <w:r w:rsidR="003E6DEA" w:rsidRPr="00A8741E">
              <w:rPr>
                <w:rFonts w:ascii="Helvetica" w:hAnsi="Helvetica" w:cs="Helvetica"/>
                <w:color w:val="000000"/>
                <w:shd w:val="clear" w:color="auto" w:fill="FFFFFF"/>
                <w:vertAlign w:val="superscript"/>
              </w:rPr>
              <w:t>‡</w:t>
            </w:r>
          </w:p>
        </w:tc>
        <w:tc>
          <w:tcPr>
            <w:tcW w:w="1527" w:type="pct"/>
            <w:vAlign w:val="center"/>
          </w:tcPr>
          <w:p w14:paraId="398870F9" w14:textId="0AEABF65" w:rsidR="002D19F1" w:rsidRPr="009702B9" w:rsidRDefault="003E6DEA" w:rsidP="0015001C">
            <w:pPr>
              <w:jc w:val="center"/>
              <w:rPr>
                <w:szCs w:val="20"/>
              </w:rPr>
            </w:pPr>
            <w:r>
              <w:t>1.40 (1.24, 1.58)</w:t>
            </w:r>
          </w:p>
        </w:tc>
        <w:tc>
          <w:tcPr>
            <w:tcW w:w="1019" w:type="pct"/>
            <w:vAlign w:val="center"/>
          </w:tcPr>
          <w:p w14:paraId="4262D8F3" w14:textId="6ABD4D9F" w:rsidR="002D19F1" w:rsidRPr="009702B9" w:rsidRDefault="003E6DEA" w:rsidP="0015001C">
            <w:pPr>
              <w:jc w:val="center"/>
              <w:rPr>
                <w:szCs w:val="20"/>
              </w:rPr>
            </w:pPr>
            <w:r>
              <w:t>&lt;0.0001</w:t>
            </w:r>
          </w:p>
        </w:tc>
      </w:tr>
      <w:tr w:rsidR="002D19F1" w:rsidRPr="00AC7ECB" w14:paraId="7FA7290B" w14:textId="77777777" w:rsidTr="0015001C">
        <w:trPr>
          <w:cantSplit/>
          <w:trHeight w:val="170"/>
          <w:jc w:val="center"/>
        </w:trPr>
        <w:tc>
          <w:tcPr>
            <w:tcW w:w="2454" w:type="pct"/>
          </w:tcPr>
          <w:p w14:paraId="0A5C9C84" w14:textId="77777777" w:rsidR="002D19F1" w:rsidRDefault="002D19F1" w:rsidP="0015001C">
            <w:pPr>
              <w:rPr>
                <w:szCs w:val="20"/>
              </w:rPr>
            </w:pPr>
            <w:r w:rsidRPr="002A7ED2">
              <w:rPr>
                <w:szCs w:val="20"/>
              </w:rPr>
              <w:t>PA systolic &gt; 60mmHg</w:t>
            </w:r>
          </w:p>
        </w:tc>
        <w:tc>
          <w:tcPr>
            <w:tcW w:w="1527" w:type="pct"/>
            <w:vAlign w:val="center"/>
          </w:tcPr>
          <w:p w14:paraId="1DED3B70" w14:textId="77777777" w:rsidR="002D19F1" w:rsidRPr="009702B9" w:rsidRDefault="002D19F1" w:rsidP="0015001C">
            <w:pPr>
              <w:jc w:val="center"/>
              <w:rPr>
                <w:szCs w:val="20"/>
              </w:rPr>
            </w:pPr>
            <w:r>
              <w:t>1.29 (0.96, 1.75)</w:t>
            </w:r>
          </w:p>
        </w:tc>
        <w:tc>
          <w:tcPr>
            <w:tcW w:w="1019" w:type="pct"/>
            <w:vAlign w:val="center"/>
          </w:tcPr>
          <w:p w14:paraId="310DF61B" w14:textId="77777777" w:rsidR="002D19F1" w:rsidRDefault="002D19F1" w:rsidP="0015001C">
            <w:pPr>
              <w:jc w:val="center"/>
              <w:rPr>
                <w:szCs w:val="20"/>
              </w:rPr>
            </w:pPr>
            <w:r>
              <w:t>0.0946</w:t>
            </w:r>
          </w:p>
        </w:tc>
      </w:tr>
      <w:tr w:rsidR="002D19F1" w:rsidRPr="00AC7ECB" w14:paraId="3916151F" w14:textId="77777777" w:rsidTr="0015001C">
        <w:trPr>
          <w:cantSplit/>
          <w:trHeight w:val="170"/>
          <w:jc w:val="center"/>
        </w:trPr>
        <w:tc>
          <w:tcPr>
            <w:tcW w:w="2454" w:type="pct"/>
          </w:tcPr>
          <w:p w14:paraId="4ADE96E3" w14:textId="77777777" w:rsidR="002D19F1" w:rsidRDefault="002D19F1" w:rsidP="0015001C">
            <w:pPr>
              <w:rPr>
                <w:szCs w:val="20"/>
              </w:rPr>
            </w:pPr>
            <w:r>
              <w:rPr>
                <w:szCs w:val="20"/>
              </w:rPr>
              <w:t>Aortic peak gradient</w:t>
            </w:r>
          </w:p>
        </w:tc>
        <w:tc>
          <w:tcPr>
            <w:tcW w:w="1527" w:type="pct"/>
            <w:vAlign w:val="center"/>
          </w:tcPr>
          <w:p w14:paraId="584F6119" w14:textId="77777777" w:rsidR="002D19F1" w:rsidRPr="009702B9" w:rsidRDefault="002D19F1" w:rsidP="0015001C">
            <w:pPr>
              <w:jc w:val="center"/>
              <w:rPr>
                <w:szCs w:val="20"/>
              </w:rPr>
            </w:pPr>
            <w:r>
              <w:t>1.00 (0.99, 1.00)</w:t>
            </w:r>
          </w:p>
        </w:tc>
        <w:tc>
          <w:tcPr>
            <w:tcW w:w="1019" w:type="pct"/>
            <w:vAlign w:val="center"/>
          </w:tcPr>
          <w:p w14:paraId="784CE5BA" w14:textId="77777777" w:rsidR="002D19F1" w:rsidRDefault="002D19F1" w:rsidP="0015001C">
            <w:pPr>
              <w:jc w:val="center"/>
              <w:rPr>
                <w:szCs w:val="20"/>
              </w:rPr>
            </w:pPr>
            <w:r>
              <w:t>0.0990</w:t>
            </w:r>
          </w:p>
        </w:tc>
      </w:tr>
      <w:tr w:rsidR="002D19F1" w:rsidRPr="00AC7ECB" w14:paraId="2B94C5F4" w14:textId="77777777" w:rsidTr="0015001C">
        <w:trPr>
          <w:cantSplit/>
          <w:trHeight w:val="170"/>
          <w:jc w:val="center"/>
        </w:trPr>
        <w:tc>
          <w:tcPr>
            <w:tcW w:w="2454" w:type="pct"/>
          </w:tcPr>
          <w:p w14:paraId="1F35062E" w14:textId="77777777" w:rsidR="002D19F1" w:rsidRDefault="002D19F1" w:rsidP="0015001C">
            <w:pPr>
              <w:rPr>
                <w:szCs w:val="20"/>
              </w:rPr>
            </w:pPr>
            <w:r>
              <w:t>Aortic valve area per 0.1 unit increase</w:t>
            </w:r>
          </w:p>
        </w:tc>
        <w:tc>
          <w:tcPr>
            <w:tcW w:w="1527" w:type="pct"/>
            <w:vAlign w:val="center"/>
          </w:tcPr>
          <w:p w14:paraId="503AC3DD" w14:textId="77777777" w:rsidR="002D19F1" w:rsidRPr="009702B9" w:rsidRDefault="002D19F1" w:rsidP="0015001C">
            <w:pPr>
              <w:jc w:val="center"/>
              <w:rPr>
                <w:szCs w:val="20"/>
              </w:rPr>
            </w:pPr>
            <w:r>
              <w:t>1.00 (0.95, 1.04)</w:t>
            </w:r>
          </w:p>
        </w:tc>
        <w:tc>
          <w:tcPr>
            <w:tcW w:w="1019" w:type="pct"/>
            <w:vAlign w:val="center"/>
          </w:tcPr>
          <w:p w14:paraId="7978D51E" w14:textId="77777777" w:rsidR="002D19F1" w:rsidRDefault="002D19F1" w:rsidP="0015001C">
            <w:pPr>
              <w:jc w:val="center"/>
              <w:rPr>
                <w:szCs w:val="20"/>
              </w:rPr>
            </w:pPr>
            <w:r>
              <w:t>0.8450</w:t>
            </w:r>
          </w:p>
        </w:tc>
      </w:tr>
      <w:tr w:rsidR="002D19F1" w:rsidRPr="00AC7ECB" w14:paraId="189CBE8E" w14:textId="77777777" w:rsidTr="0015001C">
        <w:trPr>
          <w:cantSplit/>
          <w:trHeight w:val="170"/>
          <w:jc w:val="center"/>
        </w:trPr>
        <w:tc>
          <w:tcPr>
            <w:tcW w:w="2454" w:type="pct"/>
          </w:tcPr>
          <w:p w14:paraId="057AE468" w14:textId="77777777" w:rsidR="002D19F1" w:rsidRPr="00AC7ECB" w:rsidRDefault="002D19F1" w:rsidP="0015001C">
            <w:pPr>
              <w:rPr>
                <w:szCs w:val="20"/>
              </w:rPr>
            </w:pPr>
            <w:r w:rsidRPr="00AC7ECB">
              <w:rPr>
                <w:szCs w:val="20"/>
              </w:rPr>
              <w:t>LVEF</w:t>
            </w:r>
            <w:r>
              <w:rPr>
                <w:szCs w:val="20"/>
              </w:rPr>
              <w:t xml:space="preserve"> &lt;50%</w:t>
            </w:r>
          </w:p>
        </w:tc>
        <w:tc>
          <w:tcPr>
            <w:tcW w:w="1527" w:type="pct"/>
            <w:vAlign w:val="center"/>
          </w:tcPr>
          <w:p w14:paraId="56991730" w14:textId="77777777" w:rsidR="002D19F1" w:rsidRPr="009702B9" w:rsidRDefault="002D19F1" w:rsidP="0015001C">
            <w:pPr>
              <w:jc w:val="center"/>
              <w:rPr>
                <w:szCs w:val="20"/>
              </w:rPr>
            </w:pPr>
            <w:r>
              <w:t>1.33 (1.06, 1.66)</w:t>
            </w:r>
          </w:p>
        </w:tc>
        <w:tc>
          <w:tcPr>
            <w:tcW w:w="1019" w:type="pct"/>
            <w:vAlign w:val="center"/>
          </w:tcPr>
          <w:p w14:paraId="4A1B6920" w14:textId="77777777" w:rsidR="002D19F1" w:rsidRPr="009702B9" w:rsidRDefault="002D19F1" w:rsidP="0015001C">
            <w:pPr>
              <w:jc w:val="center"/>
              <w:rPr>
                <w:szCs w:val="20"/>
              </w:rPr>
            </w:pPr>
            <w:r>
              <w:t>0.0140</w:t>
            </w:r>
          </w:p>
        </w:tc>
      </w:tr>
      <w:tr w:rsidR="002D19F1" w:rsidRPr="00AC7ECB" w14:paraId="6245B72E" w14:textId="77777777" w:rsidTr="0015001C">
        <w:trPr>
          <w:cantSplit/>
          <w:trHeight w:val="170"/>
          <w:jc w:val="center"/>
        </w:trPr>
        <w:tc>
          <w:tcPr>
            <w:tcW w:w="2454" w:type="pct"/>
          </w:tcPr>
          <w:p w14:paraId="5046FD77" w14:textId="77777777" w:rsidR="002D19F1" w:rsidRPr="00AC7ECB" w:rsidRDefault="002D19F1" w:rsidP="0015001C">
            <w:pPr>
              <w:rPr>
                <w:szCs w:val="20"/>
              </w:rPr>
            </w:pPr>
            <w:r>
              <w:t>More than one diseased vessel</w:t>
            </w:r>
          </w:p>
        </w:tc>
        <w:tc>
          <w:tcPr>
            <w:tcW w:w="1527" w:type="pct"/>
            <w:vAlign w:val="center"/>
          </w:tcPr>
          <w:p w14:paraId="4E769AB1" w14:textId="77777777" w:rsidR="002D19F1" w:rsidRPr="009702B9" w:rsidRDefault="002D19F1" w:rsidP="0015001C">
            <w:pPr>
              <w:jc w:val="center"/>
              <w:rPr>
                <w:szCs w:val="20"/>
              </w:rPr>
            </w:pPr>
            <w:r>
              <w:t>1.16 (0.93, 1.46)</w:t>
            </w:r>
          </w:p>
        </w:tc>
        <w:tc>
          <w:tcPr>
            <w:tcW w:w="1019" w:type="pct"/>
            <w:vAlign w:val="center"/>
          </w:tcPr>
          <w:p w14:paraId="371957AF" w14:textId="77777777" w:rsidR="002D19F1" w:rsidRPr="009702B9" w:rsidRDefault="002D19F1" w:rsidP="0015001C">
            <w:pPr>
              <w:jc w:val="center"/>
              <w:rPr>
                <w:szCs w:val="20"/>
              </w:rPr>
            </w:pPr>
            <w:r>
              <w:t>0.1832</w:t>
            </w:r>
          </w:p>
        </w:tc>
      </w:tr>
      <w:tr w:rsidR="002D19F1" w:rsidRPr="00AC7ECB" w14:paraId="5E26C768" w14:textId="77777777" w:rsidTr="0015001C">
        <w:trPr>
          <w:cantSplit/>
          <w:trHeight w:val="170"/>
          <w:jc w:val="center"/>
        </w:trPr>
        <w:tc>
          <w:tcPr>
            <w:tcW w:w="2454" w:type="pct"/>
          </w:tcPr>
          <w:p w14:paraId="27913B0D" w14:textId="77777777" w:rsidR="002D19F1" w:rsidRPr="00AC7ECB" w:rsidRDefault="002D19F1" w:rsidP="0015001C">
            <w:pPr>
              <w:rPr>
                <w:szCs w:val="20"/>
              </w:rPr>
            </w:pPr>
            <w:r>
              <w:t>Left main stem disease</w:t>
            </w:r>
          </w:p>
        </w:tc>
        <w:tc>
          <w:tcPr>
            <w:tcW w:w="1527" w:type="pct"/>
            <w:vAlign w:val="center"/>
          </w:tcPr>
          <w:p w14:paraId="09932550" w14:textId="77777777" w:rsidR="002D19F1" w:rsidRPr="009702B9" w:rsidRDefault="002D19F1" w:rsidP="0015001C">
            <w:pPr>
              <w:jc w:val="center"/>
              <w:rPr>
                <w:szCs w:val="20"/>
              </w:rPr>
            </w:pPr>
            <w:r>
              <w:t>1.00 (0.58, 1.74)</w:t>
            </w:r>
          </w:p>
        </w:tc>
        <w:tc>
          <w:tcPr>
            <w:tcW w:w="1019" w:type="pct"/>
            <w:vAlign w:val="center"/>
          </w:tcPr>
          <w:p w14:paraId="6D0B1B64" w14:textId="77777777" w:rsidR="002D19F1" w:rsidRPr="009702B9" w:rsidRDefault="002D19F1" w:rsidP="0015001C">
            <w:pPr>
              <w:jc w:val="center"/>
              <w:rPr>
                <w:szCs w:val="20"/>
              </w:rPr>
            </w:pPr>
            <w:r>
              <w:t>0.9861</w:t>
            </w:r>
          </w:p>
        </w:tc>
      </w:tr>
      <w:tr w:rsidR="002D19F1" w:rsidRPr="00AC7ECB" w14:paraId="2255EB70" w14:textId="77777777" w:rsidTr="0015001C">
        <w:trPr>
          <w:cantSplit/>
          <w:trHeight w:val="170"/>
          <w:jc w:val="center"/>
        </w:trPr>
        <w:tc>
          <w:tcPr>
            <w:tcW w:w="2454" w:type="pct"/>
          </w:tcPr>
          <w:p w14:paraId="10BCD932" w14:textId="77777777" w:rsidR="002D19F1" w:rsidRPr="00AC7ECB" w:rsidRDefault="002D19F1" w:rsidP="0015001C">
            <w:pPr>
              <w:rPr>
                <w:szCs w:val="20"/>
              </w:rPr>
            </w:pPr>
            <w:r>
              <w:rPr>
                <w:szCs w:val="20"/>
              </w:rPr>
              <w:t>Non-elective procedure</w:t>
            </w:r>
          </w:p>
        </w:tc>
        <w:tc>
          <w:tcPr>
            <w:tcW w:w="1527" w:type="pct"/>
            <w:vAlign w:val="center"/>
          </w:tcPr>
          <w:p w14:paraId="37E502AB" w14:textId="77777777" w:rsidR="002D19F1" w:rsidRPr="009702B9" w:rsidRDefault="002D19F1" w:rsidP="0015001C">
            <w:pPr>
              <w:jc w:val="center"/>
              <w:rPr>
                <w:szCs w:val="20"/>
              </w:rPr>
            </w:pPr>
            <w:r>
              <w:t>1.77 (1.33, 2.35)</w:t>
            </w:r>
          </w:p>
        </w:tc>
        <w:tc>
          <w:tcPr>
            <w:tcW w:w="1019" w:type="pct"/>
            <w:vAlign w:val="center"/>
          </w:tcPr>
          <w:p w14:paraId="67A43A1A" w14:textId="77777777" w:rsidR="002D19F1" w:rsidRPr="009702B9" w:rsidRDefault="002D19F1" w:rsidP="0015001C">
            <w:pPr>
              <w:jc w:val="center"/>
              <w:rPr>
                <w:szCs w:val="20"/>
              </w:rPr>
            </w:pPr>
            <w:r>
              <w:t>&lt;0.0001</w:t>
            </w:r>
          </w:p>
        </w:tc>
      </w:tr>
      <w:tr w:rsidR="002D19F1" w:rsidRPr="00AC7ECB" w14:paraId="5E7E2613" w14:textId="77777777" w:rsidTr="0015001C">
        <w:trPr>
          <w:cantSplit/>
          <w:trHeight w:val="170"/>
          <w:jc w:val="center"/>
        </w:trPr>
        <w:tc>
          <w:tcPr>
            <w:tcW w:w="2454" w:type="pct"/>
          </w:tcPr>
          <w:p w14:paraId="5535E20E" w14:textId="77777777" w:rsidR="002D19F1" w:rsidRPr="00AC7ECB" w:rsidRDefault="002D19F1" w:rsidP="0015001C">
            <w:pPr>
              <w:rPr>
                <w:szCs w:val="20"/>
              </w:rPr>
            </w:pPr>
            <w:r>
              <w:rPr>
                <w:szCs w:val="20"/>
              </w:rPr>
              <w:t>Non-transfemoral access</w:t>
            </w:r>
          </w:p>
        </w:tc>
        <w:tc>
          <w:tcPr>
            <w:tcW w:w="1527" w:type="pct"/>
            <w:vAlign w:val="center"/>
          </w:tcPr>
          <w:p w14:paraId="0F2E2009" w14:textId="77777777" w:rsidR="002D19F1" w:rsidRPr="009702B9" w:rsidRDefault="002D19F1" w:rsidP="0015001C">
            <w:pPr>
              <w:jc w:val="center"/>
              <w:rPr>
                <w:szCs w:val="20"/>
              </w:rPr>
            </w:pPr>
            <w:r>
              <w:t>2.12 (1.68, 2.66)</w:t>
            </w:r>
          </w:p>
        </w:tc>
        <w:tc>
          <w:tcPr>
            <w:tcW w:w="1019" w:type="pct"/>
            <w:vAlign w:val="center"/>
          </w:tcPr>
          <w:p w14:paraId="778FB0CA" w14:textId="77777777" w:rsidR="002D19F1" w:rsidRPr="009702B9" w:rsidRDefault="002D19F1" w:rsidP="0015001C">
            <w:pPr>
              <w:jc w:val="center"/>
              <w:rPr>
                <w:szCs w:val="20"/>
              </w:rPr>
            </w:pPr>
            <w:r>
              <w:t>&lt;0.0001</w:t>
            </w:r>
          </w:p>
        </w:tc>
      </w:tr>
    </w:tbl>
    <w:p w14:paraId="7276BE47" w14:textId="13F74AA2" w:rsidR="002D19F1" w:rsidRDefault="002D19F1" w:rsidP="002D19F1">
      <w:pPr>
        <w:jc w:val="center"/>
        <w:rPr>
          <w:i/>
          <w:sz w:val="22"/>
          <w:szCs w:val="20"/>
        </w:rPr>
      </w:pPr>
      <w:r w:rsidRPr="008008F1">
        <w:rPr>
          <w:i/>
          <w:sz w:val="22"/>
          <w:szCs w:val="20"/>
        </w:rPr>
        <w:t xml:space="preserve">*: </w:t>
      </w:r>
      <w:r>
        <w:rPr>
          <w:i/>
          <w:sz w:val="22"/>
          <w:szCs w:val="20"/>
        </w:rPr>
        <w:t xml:space="preserve">Variable definitions are given in Supplementary Table 1. </w:t>
      </w:r>
      <w:r w:rsidRPr="008008F1">
        <w:rPr>
          <w:i/>
          <w:sz w:val="22"/>
        </w:rPr>
        <w:t xml:space="preserve">†: Each </w:t>
      </w:r>
      <w:r>
        <w:rPr>
          <w:i/>
          <w:sz w:val="22"/>
        </w:rPr>
        <w:t>univariable</w:t>
      </w:r>
      <w:r w:rsidRPr="008008F1">
        <w:rPr>
          <w:i/>
          <w:sz w:val="22"/>
        </w:rPr>
        <w:t xml:space="preserve"> odds ratio</w:t>
      </w:r>
      <w:r>
        <w:rPr>
          <w:i/>
          <w:sz w:val="22"/>
          <w:szCs w:val="20"/>
        </w:rPr>
        <w:t xml:space="preserve"> (OR) was pooled across all ten multiple imputed datasets.</w:t>
      </w:r>
      <w:r w:rsidR="003E6DEA">
        <w:rPr>
          <w:i/>
          <w:sz w:val="22"/>
          <w:szCs w:val="20"/>
        </w:rPr>
        <w:t xml:space="preserve"> </w:t>
      </w:r>
      <w:r w:rsidR="003E6DEA" w:rsidRPr="003E6DEA">
        <w:rPr>
          <w:i/>
          <w:sz w:val="22"/>
          <w:szCs w:val="20"/>
        </w:rPr>
        <w:t>‡</w:t>
      </w:r>
      <w:r w:rsidR="003E6DEA">
        <w:rPr>
          <w:i/>
          <w:sz w:val="22"/>
          <w:szCs w:val="20"/>
        </w:rPr>
        <w:t>: The univariable ORs for the three frailty variables were estimated using only 2013-2014 data since this is the period in which these variables were recorded within the UK TAVI registry.</w:t>
      </w:r>
      <w:r w:rsidR="007153F8">
        <w:rPr>
          <w:i/>
          <w:sz w:val="22"/>
          <w:szCs w:val="20"/>
        </w:rPr>
        <w:t xml:space="preserve"> </w:t>
      </w:r>
      <w:r w:rsidR="007153F8" w:rsidRPr="001D74BF">
        <w:rPr>
          <w:i/>
          <w:sz w:val="22"/>
        </w:rPr>
        <w:t>Abbreviations</w:t>
      </w:r>
      <w:r w:rsidR="007153F8" w:rsidRPr="009B0EA4">
        <w:rPr>
          <w:sz w:val="22"/>
        </w:rPr>
        <w:t>:</w:t>
      </w:r>
      <w:r w:rsidR="007153F8">
        <w:rPr>
          <w:sz w:val="22"/>
        </w:rPr>
        <w:t xml:space="preserve"> </w:t>
      </w:r>
      <w:r w:rsidR="007153F8">
        <w:rPr>
          <w:i/>
          <w:sz w:val="22"/>
          <w:szCs w:val="20"/>
        </w:rPr>
        <w:t xml:space="preserve">BAV: Balloon aortic </w:t>
      </w:r>
      <w:r w:rsidR="007153F8" w:rsidRPr="000344A4">
        <w:rPr>
          <w:i/>
          <w:sz w:val="22"/>
          <w:szCs w:val="20"/>
        </w:rPr>
        <w:t>valvuloplasty</w:t>
      </w:r>
      <w:r w:rsidR="007153F8">
        <w:rPr>
          <w:i/>
          <w:sz w:val="22"/>
          <w:szCs w:val="20"/>
        </w:rPr>
        <w:t xml:space="preserve">, </w:t>
      </w:r>
      <w:r w:rsidR="007153F8">
        <w:rPr>
          <w:i/>
          <w:sz w:val="22"/>
        </w:rPr>
        <w:t>BMI: Body mass index</w:t>
      </w:r>
      <w:r w:rsidR="007153F8">
        <w:rPr>
          <w:i/>
          <w:sz w:val="22"/>
          <w:szCs w:val="20"/>
        </w:rPr>
        <w:t xml:space="preserve">, </w:t>
      </w:r>
      <w:r w:rsidR="007153F8" w:rsidRPr="00736347">
        <w:rPr>
          <w:i/>
          <w:sz w:val="22"/>
          <w:szCs w:val="20"/>
        </w:rPr>
        <w:t>LMS: Left Main Stem Disease, LVEF: Left Ventricular Ejection Fraction, MI: Myocardial Infarction,</w:t>
      </w:r>
      <w:r w:rsidR="007153F8">
        <w:rPr>
          <w:i/>
          <w:sz w:val="22"/>
          <w:szCs w:val="20"/>
        </w:rPr>
        <w:t xml:space="preserve"> </w:t>
      </w:r>
      <w:r w:rsidR="007153F8" w:rsidRPr="00736347">
        <w:rPr>
          <w:i/>
          <w:sz w:val="22"/>
          <w:szCs w:val="20"/>
        </w:rPr>
        <w:t>NYHA: New York Heart Association Functional Classification</w:t>
      </w:r>
      <w:r w:rsidR="007153F8">
        <w:rPr>
          <w:i/>
          <w:sz w:val="22"/>
          <w:szCs w:val="20"/>
        </w:rPr>
        <w:t>, PA: Pulmonary Artery</w:t>
      </w:r>
      <w:r w:rsidR="007153F8" w:rsidRPr="00736347">
        <w:rPr>
          <w:i/>
          <w:sz w:val="22"/>
          <w:szCs w:val="20"/>
        </w:rPr>
        <w:t xml:space="preserve">, </w:t>
      </w:r>
      <w:r w:rsidR="007153F8">
        <w:rPr>
          <w:i/>
          <w:sz w:val="22"/>
          <w:szCs w:val="20"/>
        </w:rPr>
        <w:t>PCI: percutaneous coronary intervention</w:t>
      </w:r>
    </w:p>
    <w:p w14:paraId="506E9D8E" w14:textId="77777777" w:rsidR="002D19F1" w:rsidRDefault="002D19F1" w:rsidP="002D19F1">
      <w:pPr>
        <w:keepNext/>
        <w:spacing w:before="240" w:after="60"/>
        <w:outlineLvl w:val="1"/>
        <w:rPr>
          <w:i/>
          <w:sz w:val="22"/>
          <w:szCs w:val="20"/>
        </w:rPr>
      </w:pPr>
    </w:p>
    <w:p w14:paraId="3E9F42DA" w14:textId="77777777" w:rsidR="002D19F1" w:rsidRDefault="002D19F1" w:rsidP="002D19F1">
      <w:pPr>
        <w:rPr>
          <w:i/>
          <w:sz w:val="22"/>
          <w:szCs w:val="20"/>
        </w:rPr>
        <w:sectPr w:rsidR="002D19F1">
          <w:pgSz w:w="11906" w:h="16838"/>
          <w:pgMar w:top="1440" w:right="1440" w:bottom="1440" w:left="1440" w:header="708" w:footer="708" w:gutter="0"/>
          <w:cols w:space="708"/>
          <w:docGrid w:linePitch="360"/>
        </w:sectPr>
      </w:pPr>
    </w:p>
    <w:p w14:paraId="7ED47F1B" w14:textId="77777777" w:rsidR="002D19F1" w:rsidRDefault="002D19F1" w:rsidP="002D19F1">
      <w:pPr>
        <w:keepNext/>
        <w:spacing w:before="240" w:after="60"/>
        <w:outlineLvl w:val="1"/>
        <w:rPr>
          <w:rFonts w:eastAsia="Times New Roman"/>
          <w:bCs/>
          <w:iCs/>
          <w:szCs w:val="28"/>
        </w:rPr>
      </w:pPr>
      <w:r w:rsidRPr="00736347">
        <w:rPr>
          <w:rFonts w:eastAsia="Times New Roman"/>
          <w:b/>
          <w:bCs/>
          <w:iCs/>
          <w:szCs w:val="28"/>
        </w:rPr>
        <w:lastRenderedPageBreak/>
        <w:t xml:space="preserve">Table </w:t>
      </w:r>
      <w:r>
        <w:rPr>
          <w:rFonts w:eastAsia="Times New Roman"/>
          <w:b/>
          <w:bCs/>
          <w:iCs/>
          <w:szCs w:val="28"/>
        </w:rPr>
        <w:t>3:</w:t>
      </w:r>
      <w:r w:rsidRPr="00736347">
        <w:rPr>
          <w:rFonts w:eastAsia="Times New Roman"/>
          <w:b/>
          <w:bCs/>
          <w:iCs/>
          <w:szCs w:val="28"/>
        </w:rPr>
        <w:t xml:space="preserve"> </w:t>
      </w:r>
      <w:r>
        <w:rPr>
          <w:rFonts w:eastAsia="Times New Roman"/>
          <w:bCs/>
          <w:iCs/>
          <w:szCs w:val="28"/>
        </w:rPr>
        <w:t>Variables and coefficients included in the final multivariable UK-TAVI CPM.</w:t>
      </w:r>
    </w:p>
    <w:tbl>
      <w:tblPr>
        <w:tblStyle w:val="TableGrid"/>
        <w:tblW w:w="5000" w:type="pct"/>
        <w:tblLook w:val="04A0" w:firstRow="1" w:lastRow="0" w:firstColumn="1" w:lastColumn="0" w:noHBand="0" w:noVBand="1"/>
      </w:tblPr>
      <w:tblGrid>
        <w:gridCol w:w="3890"/>
        <w:gridCol w:w="2185"/>
        <w:gridCol w:w="2941"/>
      </w:tblGrid>
      <w:tr w:rsidR="002D19F1" w14:paraId="5D73E54E" w14:textId="77777777" w:rsidTr="0015001C">
        <w:tc>
          <w:tcPr>
            <w:tcW w:w="2157" w:type="pct"/>
          </w:tcPr>
          <w:p w14:paraId="391D2DD0" w14:textId="77777777" w:rsidR="002D19F1" w:rsidRPr="005D25E7" w:rsidRDefault="002D19F1" w:rsidP="0015001C">
            <w:pPr>
              <w:rPr>
                <w:b/>
              </w:rPr>
            </w:pPr>
            <w:bookmarkStart w:id="1" w:name="_Hlk488314914"/>
            <w:r>
              <w:rPr>
                <w:b/>
              </w:rPr>
              <w:t>Variable*</w:t>
            </w:r>
          </w:p>
        </w:tc>
        <w:tc>
          <w:tcPr>
            <w:tcW w:w="1212" w:type="pct"/>
            <w:vAlign w:val="center"/>
          </w:tcPr>
          <w:p w14:paraId="2F7359E8" w14:textId="77777777" w:rsidR="002D19F1" w:rsidRPr="005D25E7" w:rsidRDefault="002D19F1" w:rsidP="0015001C">
            <w:pPr>
              <w:jc w:val="center"/>
              <w:rPr>
                <w:b/>
              </w:rPr>
            </w:pPr>
            <w:r>
              <w:rPr>
                <w:b/>
              </w:rPr>
              <w:t>Coefficient (SE)</w:t>
            </w:r>
          </w:p>
        </w:tc>
        <w:tc>
          <w:tcPr>
            <w:tcW w:w="1631" w:type="pct"/>
            <w:vAlign w:val="center"/>
          </w:tcPr>
          <w:p w14:paraId="774CEED9" w14:textId="77777777" w:rsidR="002D19F1" w:rsidRPr="005D25E7" w:rsidRDefault="002D19F1" w:rsidP="0015001C">
            <w:pPr>
              <w:jc w:val="center"/>
              <w:rPr>
                <w:b/>
              </w:rPr>
            </w:pPr>
            <w:r>
              <w:rPr>
                <w:b/>
              </w:rPr>
              <w:t>OR (95% CI)</w:t>
            </w:r>
          </w:p>
        </w:tc>
      </w:tr>
      <w:tr w:rsidR="002D19F1" w14:paraId="54BD373D" w14:textId="77777777" w:rsidTr="0015001C">
        <w:tc>
          <w:tcPr>
            <w:tcW w:w="2157" w:type="pct"/>
          </w:tcPr>
          <w:p w14:paraId="4230BF85" w14:textId="77777777" w:rsidR="002D19F1" w:rsidRPr="00533BEC" w:rsidRDefault="002D19F1" w:rsidP="0015001C">
            <w:r w:rsidRPr="00533BEC">
              <w:t>Intercept</w:t>
            </w:r>
          </w:p>
        </w:tc>
        <w:tc>
          <w:tcPr>
            <w:tcW w:w="1212" w:type="pct"/>
          </w:tcPr>
          <w:p w14:paraId="63303784" w14:textId="675B78F1" w:rsidR="002D19F1" w:rsidRPr="00676C50" w:rsidRDefault="00594864" w:rsidP="0015001C">
            <w:pPr>
              <w:jc w:val="center"/>
              <w:rPr>
                <w:szCs w:val="24"/>
              </w:rPr>
            </w:pPr>
            <w:r w:rsidRPr="00594864">
              <w:rPr>
                <w:szCs w:val="24"/>
              </w:rPr>
              <w:t>-3.6119 (0.1995)</w:t>
            </w:r>
          </w:p>
        </w:tc>
        <w:tc>
          <w:tcPr>
            <w:tcW w:w="1631" w:type="pct"/>
          </w:tcPr>
          <w:p w14:paraId="4BCEB9DD" w14:textId="77777777" w:rsidR="002D19F1" w:rsidRPr="00676C50" w:rsidRDefault="002D19F1" w:rsidP="0015001C">
            <w:pPr>
              <w:jc w:val="center"/>
              <w:rPr>
                <w:szCs w:val="24"/>
              </w:rPr>
            </w:pPr>
            <w:r w:rsidRPr="00676C50">
              <w:rPr>
                <w:szCs w:val="24"/>
              </w:rPr>
              <w:t>N/A</w:t>
            </w:r>
          </w:p>
        </w:tc>
      </w:tr>
      <w:tr w:rsidR="00FB3A78" w14:paraId="1EBF98B7" w14:textId="77777777" w:rsidTr="00FB3A78">
        <w:tc>
          <w:tcPr>
            <w:tcW w:w="2157" w:type="pct"/>
          </w:tcPr>
          <w:p w14:paraId="79FD04D6" w14:textId="77777777" w:rsidR="00FB3A78" w:rsidRDefault="00FB3A78" w:rsidP="00FB3A78">
            <w:r>
              <w:t>Mean-centred Age</w:t>
            </w:r>
          </w:p>
        </w:tc>
        <w:tc>
          <w:tcPr>
            <w:tcW w:w="1212" w:type="pct"/>
          </w:tcPr>
          <w:p w14:paraId="7AAF723C" w14:textId="3B3BB35B" w:rsidR="00FB3A78" w:rsidRPr="00676C50" w:rsidRDefault="00FB3A78" w:rsidP="00FB3A78">
            <w:pPr>
              <w:jc w:val="center"/>
              <w:rPr>
                <w:szCs w:val="24"/>
              </w:rPr>
            </w:pPr>
            <w:r w:rsidRPr="00F57D0A">
              <w:t>0.0115 (0.0085)</w:t>
            </w:r>
          </w:p>
        </w:tc>
        <w:tc>
          <w:tcPr>
            <w:tcW w:w="1631" w:type="pct"/>
          </w:tcPr>
          <w:p w14:paraId="37BE6899" w14:textId="7A1F1D92" w:rsidR="00FB3A78" w:rsidRDefault="00EA1B35" w:rsidP="00FB3A78">
            <w:pPr>
              <w:jc w:val="center"/>
              <w:rPr>
                <w:szCs w:val="24"/>
              </w:rPr>
            </w:pPr>
            <w:r>
              <w:t>1.012 (0.995, 1.028</w:t>
            </w:r>
            <w:r w:rsidR="00FB3A78" w:rsidRPr="00F57D0A">
              <w:t>)</w:t>
            </w:r>
          </w:p>
        </w:tc>
      </w:tr>
      <w:tr w:rsidR="00FB3A78" w14:paraId="46D52BA0" w14:textId="77777777" w:rsidTr="00FB3A78">
        <w:tc>
          <w:tcPr>
            <w:tcW w:w="2157" w:type="pct"/>
          </w:tcPr>
          <w:p w14:paraId="375263DF" w14:textId="77777777" w:rsidR="00FB3A78" w:rsidRPr="00533BEC" w:rsidRDefault="00FB3A78" w:rsidP="00FB3A78">
            <w:r>
              <w:t>Female</w:t>
            </w:r>
          </w:p>
        </w:tc>
        <w:tc>
          <w:tcPr>
            <w:tcW w:w="1212" w:type="pct"/>
          </w:tcPr>
          <w:p w14:paraId="6ECE2F1C" w14:textId="14DF89F6" w:rsidR="00FB3A78" w:rsidRPr="00676C50" w:rsidRDefault="00FB3A78" w:rsidP="00FB3A78">
            <w:pPr>
              <w:jc w:val="center"/>
              <w:rPr>
                <w:szCs w:val="24"/>
              </w:rPr>
            </w:pPr>
            <w:r w:rsidRPr="00AD5AFF">
              <w:t>0.1393 (0.1174)</w:t>
            </w:r>
          </w:p>
        </w:tc>
        <w:tc>
          <w:tcPr>
            <w:tcW w:w="1631" w:type="pct"/>
          </w:tcPr>
          <w:p w14:paraId="76F241D9" w14:textId="78C90190" w:rsidR="00FB3A78" w:rsidRPr="00676C50" w:rsidRDefault="00FB3A78" w:rsidP="00FB3A78">
            <w:pPr>
              <w:jc w:val="center"/>
              <w:rPr>
                <w:szCs w:val="24"/>
              </w:rPr>
            </w:pPr>
            <w:r>
              <w:t>1.150 (0.913</w:t>
            </w:r>
            <w:r w:rsidRPr="00AD5AFF">
              <w:t>, 1.447)</w:t>
            </w:r>
          </w:p>
        </w:tc>
      </w:tr>
      <w:tr w:rsidR="002D19F1" w14:paraId="2664763A" w14:textId="77777777" w:rsidTr="0015001C">
        <w:tc>
          <w:tcPr>
            <w:tcW w:w="2157" w:type="pct"/>
          </w:tcPr>
          <w:p w14:paraId="7AF77476" w14:textId="77777777" w:rsidR="002D19F1" w:rsidRDefault="002D19F1" w:rsidP="0015001C">
            <w:pPr>
              <w:jc w:val="left"/>
            </w:pPr>
            <w:r>
              <w:t>Mean-centred BMI</w:t>
            </w:r>
          </w:p>
        </w:tc>
        <w:tc>
          <w:tcPr>
            <w:tcW w:w="1212" w:type="pct"/>
            <w:vAlign w:val="center"/>
          </w:tcPr>
          <w:p w14:paraId="023BBCD2" w14:textId="1117DF38" w:rsidR="002D19F1" w:rsidRPr="00676C50" w:rsidRDefault="00FB3A78" w:rsidP="0015001C">
            <w:pPr>
              <w:jc w:val="center"/>
              <w:rPr>
                <w:szCs w:val="24"/>
              </w:rPr>
            </w:pPr>
            <w:r w:rsidRPr="00FB3A78">
              <w:rPr>
                <w:szCs w:val="24"/>
              </w:rPr>
              <w:t>-0.0257 (0.0119)</w:t>
            </w:r>
          </w:p>
        </w:tc>
        <w:tc>
          <w:tcPr>
            <w:tcW w:w="1631" w:type="pct"/>
            <w:vAlign w:val="center"/>
          </w:tcPr>
          <w:p w14:paraId="48C771C5" w14:textId="0363B0A4" w:rsidR="002D19F1" w:rsidRPr="00676C50" w:rsidRDefault="00FB3A78" w:rsidP="0015001C">
            <w:pPr>
              <w:jc w:val="center"/>
              <w:rPr>
                <w:szCs w:val="24"/>
              </w:rPr>
            </w:pPr>
            <w:r>
              <w:rPr>
                <w:szCs w:val="24"/>
              </w:rPr>
              <w:t>0.975 (0.952, 0.998</w:t>
            </w:r>
            <w:r w:rsidRPr="00FB3A78">
              <w:rPr>
                <w:szCs w:val="24"/>
              </w:rPr>
              <w:t>)</w:t>
            </w:r>
          </w:p>
        </w:tc>
      </w:tr>
      <w:tr w:rsidR="00FB3A78" w14:paraId="39C3EB23" w14:textId="77777777" w:rsidTr="00FB3A78">
        <w:tc>
          <w:tcPr>
            <w:tcW w:w="2157" w:type="pct"/>
          </w:tcPr>
          <w:p w14:paraId="77184983" w14:textId="77777777" w:rsidR="00FB3A78" w:rsidRDefault="00FB3A78" w:rsidP="00FB3A78">
            <w:pPr>
              <w:jc w:val="left"/>
            </w:pPr>
            <w:r>
              <w:t>Mean-centred BMI Squared</w:t>
            </w:r>
          </w:p>
        </w:tc>
        <w:tc>
          <w:tcPr>
            <w:tcW w:w="1212" w:type="pct"/>
          </w:tcPr>
          <w:p w14:paraId="79C91A80" w14:textId="3B464AD2" w:rsidR="00FB3A78" w:rsidRPr="00676C50" w:rsidRDefault="00FB3A78" w:rsidP="00FB3A78">
            <w:pPr>
              <w:jc w:val="center"/>
              <w:rPr>
                <w:szCs w:val="24"/>
              </w:rPr>
            </w:pPr>
            <w:r w:rsidRPr="00B40026">
              <w:t>0.0011 (</w:t>
            </w:r>
            <w:r w:rsidR="00EA1B35">
              <w:t>0.0007</w:t>
            </w:r>
            <w:r w:rsidRPr="00B40026">
              <w:t>)</w:t>
            </w:r>
          </w:p>
        </w:tc>
        <w:tc>
          <w:tcPr>
            <w:tcW w:w="1631" w:type="pct"/>
          </w:tcPr>
          <w:p w14:paraId="330AA0B4" w14:textId="0144BA80" w:rsidR="00FB3A78" w:rsidRPr="00676C50" w:rsidRDefault="00FB3A78" w:rsidP="00FB3A78">
            <w:pPr>
              <w:jc w:val="center"/>
              <w:rPr>
                <w:szCs w:val="24"/>
              </w:rPr>
            </w:pPr>
            <w:r>
              <w:t>1.001 (1.000, 1.002</w:t>
            </w:r>
            <w:r w:rsidRPr="00B40026">
              <w:t>)</w:t>
            </w:r>
          </w:p>
        </w:tc>
      </w:tr>
      <w:tr w:rsidR="00FB3A78" w14:paraId="612FC303" w14:textId="77777777" w:rsidTr="0015001C">
        <w:tc>
          <w:tcPr>
            <w:tcW w:w="2157" w:type="pct"/>
          </w:tcPr>
          <w:p w14:paraId="2C207E13" w14:textId="77777777" w:rsidR="00FB3A78" w:rsidRDefault="00FB3A78" w:rsidP="00FB3A78">
            <w:pPr>
              <w:jc w:val="left"/>
            </w:pPr>
            <w:r w:rsidRPr="005D25E7">
              <w:t>Glomerular Filtration Rate per 5 unit increase</w:t>
            </w:r>
          </w:p>
        </w:tc>
        <w:tc>
          <w:tcPr>
            <w:tcW w:w="1212" w:type="pct"/>
            <w:vAlign w:val="center"/>
          </w:tcPr>
          <w:p w14:paraId="75916901" w14:textId="44B377DF" w:rsidR="00FB3A78" w:rsidRPr="00676C50" w:rsidRDefault="00FB3A78" w:rsidP="00FB3A78">
            <w:pPr>
              <w:jc w:val="center"/>
              <w:rPr>
                <w:szCs w:val="24"/>
              </w:rPr>
            </w:pPr>
            <w:r>
              <w:t>-0.0342 (0.0139)</w:t>
            </w:r>
          </w:p>
        </w:tc>
        <w:tc>
          <w:tcPr>
            <w:tcW w:w="1631" w:type="pct"/>
            <w:vAlign w:val="center"/>
          </w:tcPr>
          <w:p w14:paraId="66763DDA" w14:textId="5C8FE63D" w:rsidR="00FB3A78" w:rsidRDefault="00FB3A78" w:rsidP="00FB3A78">
            <w:pPr>
              <w:jc w:val="center"/>
              <w:rPr>
                <w:szCs w:val="24"/>
              </w:rPr>
            </w:pPr>
            <w:r>
              <w:t>0.966 (0.940, 0.993)</w:t>
            </w:r>
          </w:p>
        </w:tc>
      </w:tr>
      <w:tr w:rsidR="00FB3A78" w14:paraId="04D2A0C1" w14:textId="77777777" w:rsidTr="00FB3A78">
        <w:tc>
          <w:tcPr>
            <w:tcW w:w="2157" w:type="pct"/>
          </w:tcPr>
          <w:p w14:paraId="00593CBC" w14:textId="77777777" w:rsidR="00FB3A78" w:rsidRDefault="00FB3A78" w:rsidP="00FB3A78">
            <w:pPr>
              <w:jc w:val="left"/>
            </w:pPr>
            <w:r>
              <w:t>Pulmonary disease</w:t>
            </w:r>
          </w:p>
        </w:tc>
        <w:tc>
          <w:tcPr>
            <w:tcW w:w="1212" w:type="pct"/>
          </w:tcPr>
          <w:p w14:paraId="7A7BA853" w14:textId="6D3C3E8F" w:rsidR="00FB3A78" w:rsidRPr="00676C50" w:rsidRDefault="00FB3A78" w:rsidP="00FB3A78">
            <w:pPr>
              <w:jc w:val="center"/>
              <w:rPr>
                <w:szCs w:val="24"/>
              </w:rPr>
            </w:pPr>
            <w:r w:rsidRPr="00366F94">
              <w:t>0.214</w:t>
            </w:r>
            <w:r w:rsidR="001E5CC8">
              <w:t>0</w:t>
            </w:r>
            <w:r w:rsidRPr="00366F94">
              <w:t xml:space="preserve"> (0.1266)</w:t>
            </w:r>
          </w:p>
        </w:tc>
        <w:tc>
          <w:tcPr>
            <w:tcW w:w="1631" w:type="pct"/>
          </w:tcPr>
          <w:p w14:paraId="74F5628D" w14:textId="1ECE3B26" w:rsidR="00FB3A78" w:rsidRDefault="00FB3A78" w:rsidP="00FB3A78">
            <w:pPr>
              <w:jc w:val="center"/>
              <w:rPr>
                <w:szCs w:val="24"/>
              </w:rPr>
            </w:pPr>
            <w:r>
              <w:t>1.239 (0.966, 1.588</w:t>
            </w:r>
            <w:r w:rsidRPr="00366F94">
              <w:t>)</w:t>
            </w:r>
          </w:p>
        </w:tc>
      </w:tr>
      <w:tr w:rsidR="00FB3A78" w14:paraId="240B7D74" w14:textId="77777777" w:rsidTr="00FB3A78">
        <w:tc>
          <w:tcPr>
            <w:tcW w:w="2157" w:type="pct"/>
          </w:tcPr>
          <w:p w14:paraId="3D1332C4" w14:textId="08D44F94" w:rsidR="00FB3A78" w:rsidRDefault="00FB3A78" w:rsidP="00FB3A78">
            <w:pPr>
              <w:jc w:val="left"/>
            </w:pPr>
            <w:r w:rsidRPr="00E46123">
              <w:t>Extracardiac arteriopathy</w:t>
            </w:r>
          </w:p>
        </w:tc>
        <w:tc>
          <w:tcPr>
            <w:tcW w:w="1212" w:type="pct"/>
          </w:tcPr>
          <w:p w14:paraId="248F69F0" w14:textId="67E4B7B3" w:rsidR="00FB3A78" w:rsidRPr="00676C50" w:rsidRDefault="00FB3A78" w:rsidP="00FB3A78">
            <w:pPr>
              <w:jc w:val="center"/>
              <w:rPr>
                <w:szCs w:val="24"/>
              </w:rPr>
            </w:pPr>
            <w:r w:rsidRPr="00F33CC5">
              <w:t>0.1912 (0.1348)</w:t>
            </w:r>
          </w:p>
        </w:tc>
        <w:tc>
          <w:tcPr>
            <w:tcW w:w="1631" w:type="pct"/>
          </w:tcPr>
          <w:p w14:paraId="2CDFE2C5" w14:textId="5DFA4751" w:rsidR="00FB3A78" w:rsidRDefault="00FB3A78" w:rsidP="00FB3A78">
            <w:pPr>
              <w:jc w:val="center"/>
              <w:rPr>
                <w:szCs w:val="24"/>
              </w:rPr>
            </w:pPr>
            <w:r>
              <w:t>1.211 (0.930, 1.577</w:t>
            </w:r>
            <w:r w:rsidRPr="00F33CC5">
              <w:t>)</w:t>
            </w:r>
          </w:p>
        </w:tc>
      </w:tr>
      <w:tr w:rsidR="00FB3A78" w14:paraId="0188FE88" w14:textId="77777777" w:rsidTr="0015001C">
        <w:tc>
          <w:tcPr>
            <w:tcW w:w="2157" w:type="pct"/>
          </w:tcPr>
          <w:p w14:paraId="1F6DC463" w14:textId="77777777" w:rsidR="00FB3A78" w:rsidRDefault="00FB3A78" w:rsidP="00FB3A78">
            <w:pPr>
              <w:jc w:val="left"/>
            </w:pPr>
            <w:r>
              <w:t>Sinus pre-operative heart rhythm</w:t>
            </w:r>
          </w:p>
        </w:tc>
        <w:tc>
          <w:tcPr>
            <w:tcW w:w="1212" w:type="pct"/>
            <w:vAlign w:val="center"/>
          </w:tcPr>
          <w:p w14:paraId="5113CD40" w14:textId="0CDC47B5" w:rsidR="00FB3A78" w:rsidRPr="00676C50" w:rsidRDefault="00FB3A78" w:rsidP="00FB3A78">
            <w:pPr>
              <w:jc w:val="center"/>
              <w:rPr>
                <w:szCs w:val="24"/>
              </w:rPr>
            </w:pPr>
            <w:r>
              <w:t>-0.1798 (0.1193)</w:t>
            </w:r>
          </w:p>
        </w:tc>
        <w:tc>
          <w:tcPr>
            <w:tcW w:w="1631" w:type="pct"/>
            <w:vAlign w:val="center"/>
          </w:tcPr>
          <w:p w14:paraId="7FB5EE6E" w14:textId="71394B4C" w:rsidR="00FB3A78" w:rsidRDefault="00EA1B35" w:rsidP="00FB3A78">
            <w:pPr>
              <w:jc w:val="center"/>
              <w:rPr>
                <w:szCs w:val="24"/>
              </w:rPr>
            </w:pPr>
            <w:r>
              <w:t>0.835</w:t>
            </w:r>
            <w:r w:rsidR="00FB3A78">
              <w:t xml:space="preserve"> (0.661, 1.056)</w:t>
            </w:r>
          </w:p>
        </w:tc>
      </w:tr>
      <w:tr w:rsidR="00FB3A78" w14:paraId="0C3664F5" w14:textId="77777777" w:rsidTr="0015001C">
        <w:tc>
          <w:tcPr>
            <w:tcW w:w="2157" w:type="pct"/>
          </w:tcPr>
          <w:p w14:paraId="7F995196" w14:textId="77777777" w:rsidR="00FB3A78" w:rsidRDefault="00FB3A78" w:rsidP="00FB3A78">
            <w:pPr>
              <w:jc w:val="left"/>
            </w:pPr>
            <w:r>
              <w:t>Prior BAV</w:t>
            </w:r>
          </w:p>
        </w:tc>
        <w:tc>
          <w:tcPr>
            <w:tcW w:w="1212" w:type="pct"/>
            <w:vAlign w:val="center"/>
          </w:tcPr>
          <w:p w14:paraId="37DBF1D0" w14:textId="7EC19AA0" w:rsidR="00FB3A78" w:rsidRPr="00676C50" w:rsidRDefault="00FB3A78" w:rsidP="00FB3A78">
            <w:pPr>
              <w:jc w:val="center"/>
              <w:rPr>
                <w:szCs w:val="24"/>
              </w:rPr>
            </w:pPr>
            <w:r>
              <w:t>0.2469 (0.1633)</w:t>
            </w:r>
          </w:p>
        </w:tc>
        <w:tc>
          <w:tcPr>
            <w:tcW w:w="1631" w:type="pct"/>
            <w:vAlign w:val="center"/>
          </w:tcPr>
          <w:p w14:paraId="0BD8836B" w14:textId="4E0D930F" w:rsidR="00FB3A78" w:rsidRDefault="00FB3A78" w:rsidP="00FB3A78">
            <w:pPr>
              <w:jc w:val="center"/>
              <w:rPr>
                <w:szCs w:val="24"/>
              </w:rPr>
            </w:pPr>
            <w:r>
              <w:t>1.280 (0.930, 1.763)</w:t>
            </w:r>
          </w:p>
        </w:tc>
      </w:tr>
      <w:tr w:rsidR="00FB3A78" w14:paraId="797CDD12" w14:textId="77777777" w:rsidTr="00FB3A78">
        <w:tc>
          <w:tcPr>
            <w:tcW w:w="2157" w:type="pct"/>
          </w:tcPr>
          <w:p w14:paraId="1DCBD09D" w14:textId="77777777" w:rsidR="00FB3A78" w:rsidRDefault="00FB3A78" w:rsidP="00FB3A78">
            <w:pPr>
              <w:jc w:val="left"/>
            </w:pPr>
            <w:r>
              <w:t>Critical pre-operative status</w:t>
            </w:r>
          </w:p>
        </w:tc>
        <w:tc>
          <w:tcPr>
            <w:tcW w:w="1212" w:type="pct"/>
          </w:tcPr>
          <w:p w14:paraId="2F0EE70F" w14:textId="12B12CDD" w:rsidR="00FB3A78" w:rsidRPr="00676C50" w:rsidRDefault="00FB3A78" w:rsidP="00FB3A78">
            <w:pPr>
              <w:jc w:val="center"/>
              <w:rPr>
                <w:szCs w:val="24"/>
              </w:rPr>
            </w:pPr>
            <w:r w:rsidRPr="002161AF">
              <w:t>0.5914 (0.277</w:t>
            </w:r>
            <w:r w:rsidR="00EA1B35">
              <w:t>0</w:t>
            </w:r>
            <w:r w:rsidRPr="002161AF">
              <w:t>)</w:t>
            </w:r>
          </w:p>
        </w:tc>
        <w:tc>
          <w:tcPr>
            <w:tcW w:w="1631" w:type="pct"/>
          </w:tcPr>
          <w:p w14:paraId="69C303FC" w14:textId="36CF4BEB" w:rsidR="00FB3A78" w:rsidRDefault="00FB3A78" w:rsidP="00FB3A78">
            <w:pPr>
              <w:jc w:val="center"/>
              <w:rPr>
                <w:szCs w:val="24"/>
              </w:rPr>
            </w:pPr>
            <w:r>
              <w:t>1.807 (1.050, 3.109</w:t>
            </w:r>
            <w:r w:rsidRPr="002161AF">
              <w:t>)</w:t>
            </w:r>
          </w:p>
        </w:tc>
      </w:tr>
      <w:tr w:rsidR="00FB3A78" w14:paraId="7F06A3C6" w14:textId="77777777" w:rsidTr="00FB3A78">
        <w:tc>
          <w:tcPr>
            <w:tcW w:w="2157" w:type="pct"/>
          </w:tcPr>
          <w:p w14:paraId="4639E56A" w14:textId="77777777" w:rsidR="00FB3A78" w:rsidRDefault="00FB3A78" w:rsidP="00FB3A78">
            <w:pPr>
              <w:jc w:val="left"/>
            </w:pPr>
            <w:r>
              <w:t>Poor Mobility</w:t>
            </w:r>
          </w:p>
        </w:tc>
        <w:tc>
          <w:tcPr>
            <w:tcW w:w="1212" w:type="pct"/>
          </w:tcPr>
          <w:p w14:paraId="3622E04F" w14:textId="49A04066" w:rsidR="00FB3A78" w:rsidRPr="00676C50" w:rsidRDefault="00FB3A78" w:rsidP="00FB3A78">
            <w:pPr>
              <w:jc w:val="center"/>
              <w:rPr>
                <w:szCs w:val="24"/>
              </w:rPr>
            </w:pPr>
            <w:r w:rsidRPr="006618F4">
              <w:t>0.6302 (0.2052)</w:t>
            </w:r>
          </w:p>
        </w:tc>
        <w:tc>
          <w:tcPr>
            <w:tcW w:w="1631" w:type="pct"/>
          </w:tcPr>
          <w:p w14:paraId="73041781" w14:textId="022C1E59" w:rsidR="00FB3A78" w:rsidRDefault="00FB3A78" w:rsidP="00FB3A78">
            <w:pPr>
              <w:jc w:val="center"/>
              <w:rPr>
                <w:szCs w:val="24"/>
              </w:rPr>
            </w:pPr>
            <w:r>
              <w:t>1.878 (1.256, 2.808</w:t>
            </w:r>
            <w:r w:rsidRPr="006618F4">
              <w:t>)</w:t>
            </w:r>
          </w:p>
        </w:tc>
      </w:tr>
      <w:tr w:rsidR="00FB3A78" w14:paraId="65580D7F" w14:textId="77777777" w:rsidTr="00FB3A78">
        <w:tc>
          <w:tcPr>
            <w:tcW w:w="2157" w:type="pct"/>
          </w:tcPr>
          <w:p w14:paraId="04D1BBAA" w14:textId="0F282396" w:rsidR="00FB3A78" w:rsidRDefault="004A50CD" w:rsidP="00FB3A78">
            <w:pPr>
              <w:jc w:val="left"/>
            </w:pPr>
            <w:r w:rsidRPr="00E46123">
              <w:t>KATZ</w:t>
            </w:r>
            <w:r>
              <w:t xml:space="preserve"> (per point drop from 6 points)</w:t>
            </w:r>
          </w:p>
        </w:tc>
        <w:tc>
          <w:tcPr>
            <w:tcW w:w="1212" w:type="pct"/>
          </w:tcPr>
          <w:p w14:paraId="7D190AD9" w14:textId="11E9E100" w:rsidR="00FB3A78" w:rsidRPr="00676C50" w:rsidRDefault="00FB3A78" w:rsidP="00FB3A78">
            <w:pPr>
              <w:jc w:val="center"/>
              <w:rPr>
                <w:szCs w:val="24"/>
              </w:rPr>
            </w:pPr>
            <w:r w:rsidRPr="00B636DC">
              <w:t>0.2362 (0.0689)</w:t>
            </w:r>
          </w:p>
        </w:tc>
        <w:tc>
          <w:tcPr>
            <w:tcW w:w="1631" w:type="pct"/>
          </w:tcPr>
          <w:p w14:paraId="44C21979" w14:textId="6CF87F63" w:rsidR="00FB3A78" w:rsidRPr="00676C50" w:rsidRDefault="00FB3A78" w:rsidP="00FB3A78">
            <w:pPr>
              <w:jc w:val="center"/>
              <w:rPr>
                <w:szCs w:val="24"/>
              </w:rPr>
            </w:pPr>
            <w:r>
              <w:t>1.267 (1.107, 1.450</w:t>
            </w:r>
            <w:r w:rsidRPr="00B636DC">
              <w:t>)</w:t>
            </w:r>
          </w:p>
        </w:tc>
      </w:tr>
      <w:tr w:rsidR="00FB3A78" w14:paraId="47D9F4F4" w14:textId="77777777" w:rsidTr="00FB3A78">
        <w:tc>
          <w:tcPr>
            <w:tcW w:w="2157" w:type="pct"/>
          </w:tcPr>
          <w:p w14:paraId="7E0AB978" w14:textId="77777777" w:rsidR="00FB3A78" w:rsidRDefault="00FB3A78" w:rsidP="00FB3A78">
            <w:pPr>
              <w:jc w:val="left"/>
            </w:pPr>
            <w:r w:rsidRPr="005D25E7">
              <w:t>PA Systolic pressure &gt;60mmHg</w:t>
            </w:r>
          </w:p>
        </w:tc>
        <w:tc>
          <w:tcPr>
            <w:tcW w:w="1212" w:type="pct"/>
          </w:tcPr>
          <w:p w14:paraId="7C7A25DA" w14:textId="571B6EAF" w:rsidR="00FB3A78" w:rsidRPr="00676C50" w:rsidRDefault="00FB3A78" w:rsidP="00FB3A78">
            <w:pPr>
              <w:jc w:val="center"/>
              <w:rPr>
                <w:szCs w:val="24"/>
              </w:rPr>
            </w:pPr>
            <w:r w:rsidRPr="008A70A8">
              <w:t>0.1867 (0.1583)</w:t>
            </w:r>
          </w:p>
        </w:tc>
        <w:tc>
          <w:tcPr>
            <w:tcW w:w="1631" w:type="pct"/>
          </w:tcPr>
          <w:p w14:paraId="750B26BC" w14:textId="7D86862A" w:rsidR="00FB3A78" w:rsidRPr="00676C50" w:rsidRDefault="00FB3A78" w:rsidP="00FB3A78">
            <w:pPr>
              <w:jc w:val="center"/>
              <w:rPr>
                <w:szCs w:val="24"/>
              </w:rPr>
            </w:pPr>
            <w:r>
              <w:t>1.205 (0.884, 1.644</w:t>
            </w:r>
            <w:r w:rsidRPr="008A70A8">
              <w:t>)</w:t>
            </w:r>
          </w:p>
        </w:tc>
      </w:tr>
      <w:tr w:rsidR="00FB3A78" w14:paraId="25E16019" w14:textId="77777777" w:rsidTr="00CA3D51">
        <w:tc>
          <w:tcPr>
            <w:tcW w:w="2157" w:type="pct"/>
          </w:tcPr>
          <w:p w14:paraId="0F971BD2" w14:textId="77777777" w:rsidR="00FB3A78" w:rsidRDefault="00FB3A78" w:rsidP="00FB3A78">
            <w:pPr>
              <w:jc w:val="left"/>
            </w:pPr>
            <w:r>
              <w:t>Non-elective procedure</w:t>
            </w:r>
          </w:p>
        </w:tc>
        <w:tc>
          <w:tcPr>
            <w:tcW w:w="1212" w:type="pct"/>
          </w:tcPr>
          <w:p w14:paraId="3312FF56" w14:textId="71D34F7A" w:rsidR="00FB3A78" w:rsidRPr="00676C50" w:rsidRDefault="00FB3A78" w:rsidP="00FB3A78">
            <w:pPr>
              <w:jc w:val="center"/>
              <w:rPr>
                <w:szCs w:val="24"/>
              </w:rPr>
            </w:pPr>
            <w:r w:rsidRPr="00402791">
              <w:t>0.3719 (0.1554)</w:t>
            </w:r>
          </w:p>
        </w:tc>
        <w:tc>
          <w:tcPr>
            <w:tcW w:w="1631" w:type="pct"/>
          </w:tcPr>
          <w:p w14:paraId="7ADA5AFC" w14:textId="69986A60" w:rsidR="00FB3A78" w:rsidRPr="00676C50" w:rsidRDefault="00FB3A78" w:rsidP="00FB3A78">
            <w:pPr>
              <w:jc w:val="center"/>
              <w:rPr>
                <w:szCs w:val="24"/>
              </w:rPr>
            </w:pPr>
            <w:r>
              <w:t>1.451 (1.070, 1.967</w:t>
            </w:r>
            <w:r w:rsidRPr="00402791">
              <w:t>)</w:t>
            </w:r>
          </w:p>
        </w:tc>
      </w:tr>
      <w:tr w:rsidR="00FB3A78" w14:paraId="66CB2F36" w14:textId="77777777" w:rsidTr="00FB3A78">
        <w:tc>
          <w:tcPr>
            <w:tcW w:w="2157" w:type="pct"/>
          </w:tcPr>
          <w:p w14:paraId="52305DF2" w14:textId="77777777" w:rsidR="00FB3A78" w:rsidRDefault="00FB3A78" w:rsidP="00FB3A78">
            <w:pPr>
              <w:jc w:val="left"/>
            </w:pPr>
            <w:r>
              <w:t>Non-transfemoral access</w:t>
            </w:r>
          </w:p>
        </w:tc>
        <w:tc>
          <w:tcPr>
            <w:tcW w:w="1212" w:type="pct"/>
          </w:tcPr>
          <w:p w14:paraId="2490F5F7" w14:textId="50F49785" w:rsidR="00FB3A78" w:rsidRPr="00676C50" w:rsidRDefault="00FB3A78" w:rsidP="00FB3A78">
            <w:pPr>
              <w:jc w:val="center"/>
              <w:rPr>
                <w:szCs w:val="24"/>
              </w:rPr>
            </w:pPr>
            <w:r w:rsidRPr="00B936EB">
              <w:t>0.5436 (0.1268)</w:t>
            </w:r>
          </w:p>
        </w:tc>
        <w:tc>
          <w:tcPr>
            <w:tcW w:w="1631" w:type="pct"/>
          </w:tcPr>
          <w:p w14:paraId="6838D188" w14:textId="23672238" w:rsidR="00FB3A78" w:rsidRPr="00676C50" w:rsidRDefault="00FB3A78" w:rsidP="00FB3A78">
            <w:pPr>
              <w:jc w:val="center"/>
              <w:rPr>
                <w:szCs w:val="24"/>
              </w:rPr>
            </w:pPr>
            <w:r>
              <w:t>1.722 (1.343, 2.208</w:t>
            </w:r>
            <w:r w:rsidRPr="00B936EB">
              <w:t>)</w:t>
            </w:r>
          </w:p>
        </w:tc>
      </w:tr>
    </w:tbl>
    <w:bookmarkEnd w:id="1"/>
    <w:p w14:paraId="59A3212B" w14:textId="5B7C6045" w:rsidR="002D19F1" w:rsidRPr="003F6721" w:rsidRDefault="002D19F1" w:rsidP="007153F8">
      <w:pPr>
        <w:jc w:val="center"/>
        <w:rPr>
          <w:i/>
          <w:sz w:val="22"/>
        </w:rPr>
      </w:pPr>
      <w:r w:rsidRPr="003F6721">
        <w:rPr>
          <w:i/>
          <w:sz w:val="22"/>
        </w:rPr>
        <w:t xml:space="preserve">*: </w:t>
      </w:r>
      <w:r>
        <w:rPr>
          <w:i/>
          <w:sz w:val="22"/>
          <w:szCs w:val="20"/>
        </w:rPr>
        <w:t>Variable definitions are given in Supplementary Table 1</w:t>
      </w:r>
      <w:r w:rsidRPr="003F6721">
        <w:rPr>
          <w:i/>
          <w:sz w:val="22"/>
        </w:rPr>
        <w:t>.</w:t>
      </w:r>
      <w:r w:rsidR="007153F8" w:rsidRPr="007153F8">
        <w:rPr>
          <w:i/>
          <w:sz w:val="22"/>
        </w:rPr>
        <w:t xml:space="preserve"> </w:t>
      </w:r>
      <w:r w:rsidR="007153F8" w:rsidRPr="003F6721">
        <w:rPr>
          <w:i/>
          <w:sz w:val="22"/>
        </w:rPr>
        <w:t>Abbreviations: BAV</w:t>
      </w:r>
      <w:r w:rsidR="007153F8">
        <w:rPr>
          <w:i/>
          <w:sz w:val="22"/>
        </w:rPr>
        <w:t>: Balloon aortic valvuloplasty, BMI: Body mass index,</w:t>
      </w:r>
      <w:r w:rsidR="007153F8" w:rsidRPr="003F6721">
        <w:rPr>
          <w:i/>
          <w:sz w:val="22"/>
        </w:rPr>
        <w:t xml:space="preserve"> OR</w:t>
      </w:r>
      <w:r w:rsidR="007153F8">
        <w:rPr>
          <w:i/>
          <w:sz w:val="22"/>
        </w:rPr>
        <w:t xml:space="preserve">: </w:t>
      </w:r>
      <w:r w:rsidR="007153F8" w:rsidRPr="003F6721">
        <w:rPr>
          <w:i/>
          <w:sz w:val="22"/>
        </w:rPr>
        <w:t>Odds ratio, SE</w:t>
      </w:r>
      <w:r w:rsidR="007153F8">
        <w:rPr>
          <w:i/>
          <w:sz w:val="22"/>
        </w:rPr>
        <w:t xml:space="preserve">: </w:t>
      </w:r>
      <w:r w:rsidR="007153F8" w:rsidRPr="003F6721">
        <w:rPr>
          <w:i/>
          <w:sz w:val="22"/>
        </w:rPr>
        <w:t>standard error</w:t>
      </w:r>
    </w:p>
    <w:p w14:paraId="623C5FB0" w14:textId="77777777" w:rsidR="002D19F1" w:rsidRDefault="002D19F1" w:rsidP="002D19F1"/>
    <w:p w14:paraId="412FC073" w14:textId="77777777" w:rsidR="002D19F1" w:rsidRDefault="002D19F1" w:rsidP="002D19F1">
      <w:pPr>
        <w:sectPr w:rsidR="002D19F1">
          <w:pgSz w:w="11906" w:h="16838"/>
          <w:pgMar w:top="1440" w:right="1440" w:bottom="1440" w:left="1440" w:header="708" w:footer="708" w:gutter="0"/>
          <w:cols w:space="708"/>
          <w:docGrid w:linePitch="360"/>
        </w:sectPr>
      </w:pPr>
    </w:p>
    <w:p w14:paraId="5FF6C9A0" w14:textId="512317B2" w:rsidR="002D19F1" w:rsidRDefault="002D19F1" w:rsidP="002D19F1">
      <w:r>
        <w:rPr>
          <w:b/>
        </w:rPr>
        <w:lastRenderedPageBreak/>
        <w:t xml:space="preserve">Table 4: </w:t>
      </w:r>
      <w:r>
        <w:t xml:space="preserve">Performance measures before (apparent) and after bootstrap corrected optimism within the </w:t>
      </w:r>
      <w:r w:rsidR="00FB3A78">
        <w:t>2013</w:t>
      </w:r>
      <w:r>
        <w:t>-2014 data (n=</w:t>
      </w:r>
      <w:r w:rsidR="00F940C7">
        <w:t>2969</w:t>
      </w:r>
      <w:r>
        <w:t>).</w:t>
      </w:r>
    </w:p>
    <w:tbl>
      <w:tblPr>
        <w:tblStyle w:val="TableGrid"/>
        <w:tblW w:w="0" w:type="auto"/>
        <w:tblLook w:val="04A0" w:firstRow="1" w:lastRow="0" w:firstColumn="1" w:lastColumn="0" w:noHBand="0" w:noVBand="1"/>
      </w:tblPr>
      <w:tblGrid>
        <w:gridCol w:w="2254"/>
        <w:gridCol w:w="2254"/>
        <w:gridCol w:w="2254"/>
        <w:gridCol w:w="2254"/>
      </w:tblGrid>
      <w:tr w:rsidR="002D19F1" w14:paraId="0939EF53" w14:textId="77777777" w:rsidTr="0015001C">
        <w:tc>
          <w:tcPr>
            <w:tcW w:w="2254" w:type="dxa"/>
          </w:tcPr>
          <w:p w14:paraId="19A1F4C4" w14:textId="77777777" w:rsidR="002D19F1" w:rsidRPr="00F661D1" w:rsidRDefault="002D19F1" w:rsidP="0015001C">
            <w:pPr>
              <w:rPr>
                <w:b/>
              </w:rPr>
            </w:pPr>
            <w:r>
              <w:rPr>
                <w:b/>
              </w:rPr>
              <w:t>Validation</w:t>
            </w:r>
          </w:p>
        </w:tc>
        <w:tc>
          <w:tcPr>
            <w:tcW w:w="2254" w:type="dxa"/>
          </w:tcPr>
          <w:p w14:paraId="7537BD6B" w14:textId="77777777" w:rsidR="002D19F1" w:rsidRPr="00F661D1" w:rsidRDefault="002D19F1" w:rsidP="0015001C">
            <w:pPr>
              <w:jc w:val="center"/>
              <w:rPr>
                <w:b/>
              </w:rPr>
            </w:pPr>
            <w:r>
              <w:rPr>
                <w:b/>
              </w:rPr>
              <w:t>Calibration Intercept (95% CI)</w:t>
            </w:r>
          </w:p>
        </w:tc>
        <w:tc>
          <w:tcPr>
            <w:tcW w:w="2254" w:type="dxa"/>
          </w:tcPr>
          <w:p w14:paraId="766AB73E" w14:textId="77777777" w:rsidR="002D19F1" w:rsidRPr="00F661D1" w:rsidRDefault="002D19F1" w:rsidP="0015001C">
            <w:pPr>
              <w:jc w:val="center"/>
              <w:rPr>
                <w:b/>
              </w:rPr>
            </w:pPr>
            <w:r w:rsidRPr="00F661D1">
              <w:rPr>
                <w:b/>
              </w:rPr>
              <w:t>Calibration Slope (95% CI)</w:t>
            </w:r>
          </w:p>
        </w:tc>
        <w:tc>
          <w:tcPr>
            <w:tcW w:w="2254" w:type="dxa"/>
          </w:tcPr>
          <w:p w14:paraId="7704ABA6" w14:textId="77777777" w:rsidR="002D19F1" w:rsidRPr="00F661D1" w:rsidRDefault="002D19F1" w:rsidP="0015001C">
            <w:pPr>
              <w:jc w:val="center"/>
              <w:rPr>
                <w:b/>
              </w:rPr>
            </w:pPr>
            <w:r w:rsidRPr="00F661D1">
              <w:rPr>
                <w:b/>
              </w:rPr>
              <w:t>AUC (95% CI)</w:t>
            </w:r>
          </w:p>
        </w:tc>
      </w:tr>
      <w:tr w:rsidR="002D19F1" w14:paraId="1C655BF0" w14:textId="77777777" w:rsidTr="0015001C">
        <w:tc>
          <w:tcPr>
            <w:tcW w:w="2254" w:type="dxa"/>
          </w:tcPr>
          <w:p w14:paraId="0E9F0BE9" w14:textId="77777777" w:rsidR="002D19F1" w:rsidRDefault="002D19F1" w:rsidP="0015001C">
            <w:r>
              <w:t>Apparent</w:t>
            </w:r>
          </w:p>
        </w:tc>
        <w:tc>
          <w:tcPr>
            <w:tcW w:w="2254" w:type="dxa"/>
          </w:tcPr>
          <w:p w14:paraId="0698AB6F" w14:textId="41DC71C8" w:rsidR="002D19F1" w:rsidRDefault="002D19F1" w:rsidP="0015001C">
            <w:pPr>
              <w:jc w:val="center"/>
            </w:pPr>
            <w:r>
              <w:t>0.0</w:t>
            </w:r>
            <w:r w:rsidR="00FB3A78">
              <w:t>0</w:t>
            </w:r>
            <w:r>
              <w:t xml:space="preserve"> (-0.1</w:t>
            </w:r>
            <w:r w:rsidR="00FB3A78">
              <w:t>8</w:t>
            </w:r>
            <w:r>
              <w:t>, 0.1</w:t>
            </w:r>
            <w:r w:rsidR="00FB3A78">
              <w:t>8</w:t>
            </w:r>
            <w:r>
              <w:t>)</w:t>
            </w:r>
          </w:p>
        </w:tc>
        <w:tc>
          <w:tcPr>
            <w:tcW w:w="2254" w:type="dxa"/>
          </w:tcPr>
          <w:p w14:paraId="29F5873C" w14:textId="186D478C" w:rsidR="002D19F1" w:rsidRDefault="002D19F1" w:rsidP="0015001C">
            <w:pPr>
              <w:jc w:val="center"/>
            </w:pPr>
            <w:r>
              <w:t>1.00 (0.7</w:t>
            </w:r>
            <w:r w:rsidR="00FB3A78">
              <w:t>6</w:t>
            </w:r>
            <w:r>
              <w:t>, 1.2</w:t>
            </w:r>
            <w:r w:rsidR="00FB3A78">
              <w:t>4</w:t>
            </w:r>
            <w:r>
              <w:t>)</w:t>
            </w:r>
          </w:p>
        </w:tc>
        <w:tc>
          <w:tcPr>
            <w:tcW w:w="2254" w:type="dxa"/>
          </w:tcPr>
          <w:p w14:paraId="4B51CE54" w14:textId="04460AC2" w:rsidR="002D19F1" w:rsidRDefault="002D19F1" w:rsidP="0015001C">
            <w:pPr>
              <w:jc w:val="center"/>
            </w:pPr>
            <w:r>
              <w:t>0.</w:t>
            </w:r>
            <w:r w:rsidR="00FB3A78">
              <w:t>70</w:t>
            </w:r>
            <w:r>
              <w:t xml:space="preserve"> (0.6</w:t>
            </w:r>
            <w:r w:rsidR="00FB3A78">
              <w:t>5</w:t>
            </w:r>
            <w:r>
              <w:t>, 0.7</w:t>
            </w:r>
            <w:r w:rsidR="00FB3A78">
              <w:t>5</w:t>
            </w:r>
            <w:r>
              <w:t>)</w:t>
            </w:r>
          </w:p>
        </w:tc>
      </w:tr>
      <w:tr w:rsidR="002D19F1" w14:paraId="54F49A32" w14:textId="77777777" w:rsidTr="0015001C">
        <w:tc>
          <w:tcPr>
            <w:tcW w:w="2254" w:type="dxa"/>
          </w:tcPr>
          <w:p w14:paraId="7784BD7B" w14:textId="77777777" w:rsidR="002D19F1" w:rsidRDefault="002D19F1" w:rsidP="0015001C">
            <w:r>
              <w:t>Internal*</w:t>
            </w:r>
          </w:p>
        </w:tc>
        <w:tc>
          <w:tcPr>
            <w:tcW w:w="2254" w:type="dxa"/>
          </w:tcPr>
          <w:p w14:paraId="3A6619D6" w14:textId="3FCEA335" w:rsidR="002D19F1" w:rsidRPr="00CF04D2" w:rsidRDefault="002D19F1" w:rsidP="0015001C">
            <w:pPr>
              <w:jc w:val="center"/>
            </w:pPr>
            <w:r w:rsidRPr="00CF04D2">
              <w:t>0.0</w:t>
            </w:r>
            <w:r w:rsidR="00FB3A78">
              <w:t>2</w:t>
            </w:r>
            <w:r w:rsidRPr="00CF04D2">
              <w:t xml:space="preserve"> (-0.1</w:t>
            </w:r>
            <w:r w:rsidR="00FB3A78">
              <w:t>7</w:t>
            </w:r>
            <w:r w:rsidRPr="00CF04D2">
              <w:t>, 0.</w:t>
            </w:r>
            <w:r w:rsidR="00FB3A78">
              <w:t>20</w:t>
            </w:r>
            <w:r w:rsidRPr="00CF04D2">
              <w:t>)</w:t>
            </w:r>
          </w:p>
        </w:tc>
        <w:tc>
          <w:tcPr>
            <w:tcW w:w="2254" w:type="dxa"/>
          </w:tcPr>
          <w:p w14:paraId="79F9EDD9" w14:textId="61F3A77D" w:rsidR="002D19F1" w:rsidRPr="00CF04D2" w:rsidRDefault="002D19F1" w:rsidP="0015001C">
            <w:pPr>
              <w:jc w:val="center"/>
            </w:pPr>
            <w:r w:rsidRPr="00CF04D2">
              <w:t>0.</w:t>
            </w:r>
            <w:r w:rsidR="00FB3A78">
              <w:t>79</w:t>
            </w:r>
            <w:r w:rsidR="00FB3A78" w:rsidRPr="00CF04D2">
              <w:t xml:space="preserve"> </w:t>
            </w:r>
            <w:r w:rsidRPr="00CF04D2">
              <w:t>(0.</w:t>
            </w:r>
            <w:r w:rsidR="00F940C7">
              <w:t>55</w:t>
            </w:r>
            <w:r w:rsidRPr="00CF04D2">
              <w:t>, 1.0</w:t>
            </w:r>
            <w:r w:rsidR="00F940C7">
              <w:t>3</w:t>
            </w:r>
            <w:r w:rsidRPr="00CF04D2">
              <w:t>)</w:t>
            </w:r>
          </w:p>
        </w:tc>
        <w:tc>
          <w:tcPr>
            <w:tcW w:w="2254" w:type="dxa"/>
          </w:tcPr>
          <w:p w14:paraId="04268623" w14:textId="663DDE6F" w:rsidR="002D19F1" w:rsidRPr="00CF04D2" w:rsidRDefault="002D19F1" w:rsidP="0015001C">
            <w:pPr>
              <w:jc w:val="center"/>
            </w:pPr>
            <w:r>
              <w:t>0.6</w:t>
            </w:r>
            <w:r w:rsidR="00F940C7">
              <w:t>6</w:t>
            </w:r>
            <w:r>
              <w:t xml:space="preserve"> (0.61, 0.</w:t>
            </w:r>
            <w:r w:rsidR="00F940C7">
              <w:t>71</w:t>
            </w:r>
            <w:r w:rsidRPr="00CF04D2">
              <w:t>)</w:t>
            </w:r>
          </w:p>
        </w:tc>
      </w:tr>
    </w:tbl>
    <w:p w14:paraId="46CC53D2" w14:textId="6E6AD7E9" w:rsidR="002D19F1" w:rsidRPr="001D74BF" w:rsidRDefault="002D19F1" w:rsidP="002D19F1">
      <w:pPr>
        <w:jc w:val="center"/>
        <w:rPr>
          <w:i/>
          <w:sz w:val="22"/>
        </w:rPr>
      </w:pPr>
      <w:r>
        <w:rPr>
          <w:i/>
          <w:sz w:val="22"/>
        </w:rPr>
        <w:t>*: Estimated as the apparent performance minus optimism, where optimism was obtained through bootstrap resampling.</w:t>
      </w:r>
    </w:p>
    <w:p w14:paraId="27B86918" w14:textId="77777777" w:rsidR="002D19F1" w:rsidRDefault="002D19F1" w:rsidP="002D19F1"/>
    <w:p w14:paraId="68A49455" w14:textId="77777777" w:rsidR="002D19F1" w:rsidRDefault="002D19F1" w:rsidP="002D19F1"/>
    <w:p w14:paraId="0CDB802F" w14:textId="77777777" w:rsidR="002D19F1" w:rsidRDefault="002D19F1" w:rsidP="002D19F1">
      <w:pPr>
        <w:sectPr w:rsidR="002D19F1">
          <w:pgSz w:w="11906" w:h="16838"/>
          <w:pgMar w:top="1440" w:right="1440" w:bottom="1440" w:left="1440" w:header="708" w:footer="708" w:gutter="0"/>
          <w:cols w:space="708"/>
          <w:docGrid w:linePitch="360"/>
        </w:sectPr>
      </w:pPr>
    </w:p>
    <w:p w14:paraId="5BD155DA" w14:textId="2D805463" w:rsidR="002D19F1" w:rsidRDefault="00246C95" w:rsidP="002D19F1">
      <w:pPr>
        <w:pStyle w:val="Heading1"/>
      </w:pPr>
      <w:r>
        <w:lastRenderedPageBreak/>
        <w:t>Figure Legends</w:t>
      </w:r>
    </w:p>
    <w:p w14:paraId="07B810F8" w14:textId="02A3723B" w:rsidR="00DE2D7F" w:rsidRDefault="00DE2D7F" w:rsidP="00DE2D7F">
      <w:r>
        <w:rPr>
          <w:b/>
        </w:rPr>
        <w:t>Figure 1</w:t>
      </w:r>
      <w:r>
        <w:t xml:space="preserve">: Flowchart illustrating the steps undertaken </w:t>
      </w:r>
      <w:r w:rsidR="00453395">
        <w:t xml:space="preserve">within the </w:t>
      </w:r>
      <w:r w:rsidR="00A6740D">
        <w:t xml:space="preserve">two-stage </w:t>
      </w:r>
      <w:r w:rsidR="00453395">
        <w:t xml:space="preserve">modelling strategy </w:t>
      </w:r>
      <w:r>
        <w:t xml:space="preserve">to derive </w:t>
      </w:r>
      <w:r w:rsidR="00453395">
        <w:t xml:space="preserve">and internally validate </w:t>
      </w:r>
      <w:r>
        <w:t>the UK-TAVI CPM.</w:t>
      </w:r>
    </w:p>
    <w:p w14:paraId="5175672F" w14:textId="1AFB1915" w:rsidR="00DE2D7F" w:rsidRDefault="000B43DC" w:rsidP="00DE2D7F">
      <w:pPr>
        <w:jc w:val="center"/>
      </w:pPr>
      <w:r>
        <w:rPr>
          <w:noProof/>
          <w:lang w:eastAsia="en-GB"/>
        </w:rPr>
        <w:drawing>
          <wp:inline distT="0" distB="0" distL="0" distR="0" wp14:anchorId="4E44292A" wp14:editId="5DB58701">
            <wp:extent cx="4533900" cy="3149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256" cy="3158642"/>
                    </a:xfrm>
                    <a:prstGeom prst="rect">
                      <a:avLst/>
                    </a:prstGeom>
                    <a:noFill/>
                  </pic:spPr>
                </pic:pic>
              </a:graphicData>
            </a:graphic>
          </wp:inline>
        </w:drawing>
      </w:r>
    </w:p>
    <w:p w14:paraId="08D770AE" w14:textId="488F7C4C" w:rsidR="002D19F1" w:rsidRDefault="002D19F1" w:rsidP="002D19F1">
      <w:r>
        <w:rPr>
          <w:b/>
        </w:rPr>
        <w:t xml:space="preserve">Figure </w:t>
      </w:r>
      <w:r w:rsidR="00DE2D7F">
        <w:rPr>
          <w:b/>
        </w:rPr>
        <w:t>2</w:t>
      </w:r>
      <w:r>
        <w:t xml:space="preserve">: Patient flowchart through the exclusion criteria for both the main development sample and the sensitivity analysis that </w:t>
      </w:r>
      <w:r w:rsidR="00E1441F">
        <w:t>modelled</w:t>
      </w:r>
      <w:r>
        <w:t xml:space="preserve"> using 2013/14 data only.</w:t>
      </w:r>
    </w:p>
    <w:p w14:paraId="3F1C3257" w14:textId="57374459" w:rsidR="00246C95" w:rsidRDefault="000B43DC" w:rsidP="000B43DC">
      <w:pPr>
        <w:jc w:val="center"/>
        <w:rPr>
          <w:b/>
        </w:rPr>
      </w:pPr>
      <w:r>
        <w:rPr>
          <w:b/>
          <w:noProof/>
          <w:lang w:eastAsia="en-GB"/>
        </w:rPr>
        <w:drawing>
          <wp:inline distT="0" distB="0" distL="0" distR="0" wp14:anchorId="34C3E9EB" wp14:editId="01573A22">
            <wp:extent cx="4634796"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396" cy="3222645"/>
                    </a:xfrm>
                    <a:prstGeom prst="rect">
                      <a:avLst/>
                    </a:prstGeom>
                    <a:noFill/>
                  </pic:spPr>
                </pic:pic>
              </a:graphicData>
            </a:graphic>
          </wp:inline>
        </w:drawing>
      </w:r>
    </w:p>
    <w:p w14:paraId="461B8C89" w14:textId="63B74202" w:rsidR="001110D7" w:rsidRDefault="001110D7" w:rsidP="001110D7">
      <w:r>
        <w:rPr>
          <w:b/>
        </w:rPr>
        <w:lastRenderedPageBreak/>
        <w:t xml:space="preserve">Figure 3: </w:t>
      </w:r>
      <w:r w:rsidR="00D94E72" w:rsidRPr="00C06A05">
        <w:t>Graphical representation of the UK-TAVI CPM. First, multiply each variable (either yes/no for categorical variables or enter the observed continuous variable) by the corresponding coefficient and then sum across all variables to obtain the linear predictor. The linear predictor can then be converted to a predicted risk using the graph</w:t>
      </w:r>
      <w:r w:rsidR="00D94E72">
        <w:t xml:space="preserve"> or through the equation: </w:t>
      </w:r>
      <m:oMath>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m:rPr>
                    <m:sty m:val="p"/>
                  </m:rPr>
                  <w:rPr>
                    <w:rFonts w:ascii="Cambria Math" w:hAnsi="Cambria Math"/>
                  </w:rPr>
                  <m:t>Linear Predictor</m:t>
                </m:r>
              </m:e>
            </m:d>
          </m:e>
        </m:func>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m:rPr>
                        <m:sty m:val="p"/>
                      </m:rPr>
                      <w:rPr>
                        <w:rFonts w:ascii="Cambria Math" w:hAnsi="Cambria Math"/>
                      </w:rPr>
                      <m:t>Linear Predictor</m:t>
                    </m:r>
                  </m:e>
                </m:d>
              </m:e>
            </m:func>
          </m:e>
        </m:d>
      </m:oMath>
      <w:r w:rsidR="00D94E72" w:rsidRPr="00C06A05">
        <w:t>. The dotted arrows show the example described in the text.</w:t>
      </w:r>
    </w:p>
    <w:p w14:paraId="3673A934" w14:textId="35AE17DB" w:rsidR="001110D7" w:rsidRDefault="000B43DC" w:rsidP="002D19F1">
      <w:pPr>
        <w:rPr>
          <w:b/>
        </w:rPr>
      </w:pPr>
      <w:r>
        <w:rPr>
          <w:b/>
          <w:noProof/>
          <w:lang w:eastAsia="en-GB"/>
        </w:rPr>
        <w:drawing>
          <wp:inline distT="0" distB="0" distL="0" distR="0" wp14:anchorId="107868DE" wp14:editId="224BA937">
            <wp:extent cx="5730875" cy="429831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4298315"/>
                    </a:xfrm>
                    <a:prstGeom prst="rect">
                      <a:avLst/>
                    </a:prstGeom>
                    <a:noFill/>
                  </pic:spPr>
                </pic:pic>
              </a:graphicData>
            </a:graphic>
          </wp:inline>
        </w:drawing>
      </w:r>
    </w:p>
    <w:p w14:paraId="5AA6378E" w14:textId="77777777" w:rsidR="000B43DC" w:rsidRDefault="000B43DC" w:rsidP="002D19F1">
      <w:pPr>
        <w:rPr>
          <w:b/>
        </w:rPr>
      </w:pPr>
    </w:p>
    <w:p w14:paraId="2B2460A0" w14:textId="77777777" w:rsidR="000B43DC" w:rsidRDefault="000B43DC" w:rsidP="002D19F1">
      <w:pPr>
        <w:rPr>
          <w:b/>
        </w:rPr>
      </w:pPr>
    </w:p>
    <w:p w14:paraId="1A84352C" w14:textId="77777777" w:rsidR="000B43DC" w:rsidRDefault="000B43DC" w:rsidP="002D19F1">
      <w:pPr>
        <w:rPr>
          <w:b/>
        </w:rPr>
      </w:pPr>
    </w:p>
    <w:p w14:paraId="176AC6CB" w14:textId="77777777" w:rsidR="000B43DC" w:rsidRDefault="000B43DC" w:rsidP="002D19F1">
      <w:pPr>
        <w:rPr>
          <w:b/>
        </w:rPr>
      </w:pPr>
    </w:p>
    <w:p w14:paraId="3C2640E6" w14:textId="0379F329" w:rsidR="001110D7" w:rsidRDefault="002D19F1" w:rsidP="002D19F1">
      <w:r>
        <w:rPr>
          <w:b/>
        </w:rPr>
        <w:lastRenderedPageBreak/>
        <w:t xml:space="preserve">Figure </w:t>
      </w:r>
      <w:r w:rsidR="001110D7">
        <w:rPr>
          <w:b/>
        </w:rPr>
        <w:t>4</w:t>
      </w:r>
      <w:r>
        <w:rPr>
          <w:b/>
        </w:rPr>
        <w:t>:</w:t>
      </w:r>
      <w:r>
        <w:t xml:space="preserve"> Forest plot of the calibration intercept for the UK-TAVI CPM across all centres.</w:t>
      </w:r>
      <w:r w:rsidR="000B4710">
        <w:t xml:space="preserve"> Centres have been sorted based on the calibration intercept.</w:t>
      </w:r>
      <w:r>
        <w:t xml:space="preserve"> </w:t>
      </w:r>
      <w:r w:rsidR="00F940C7">
        <w:t xml:space="preserve">Three </w:t>
      </w:r>
      <w:r>
        <w:t xml:space="preserve">centres with no deaths </w:t>
      </w:r>
      <w:r w:rsidR="00A13D5F">
        <w:t>by</w:t>
      </w:r>
      <w:r>
        <w:t xml:space="preserve"> 30 days have been removed</w:t>
      </w:r>
      <w:r w:rsidR="00D16E5D">
        <w:t>.</w:t>
      </w:r>
      <w:bookmarkStart w:id="2" w:name="_GoBack"/>
      <w:bookmarkEnd w:id="2"/>
    </w:p>
    <w:p w14:paraId="2523B959" w14:textId="00E8503A" w:rsidR="001110D7" w:rsidRDefault="000B43DC" w:rsidP="001110D7">
      <w:r>
        <w:rPr>
          <w:noProof/>
          <w:lang w:eastAsia="en-GB"/>
        </w:rPr>
        <w:drawing>
          <wp:inline distT="0" distB="0" distL="0" distR="0" wp14:anchorId="7FDFD912" wp14:editId="579B6E6E">
            <wp:extent cx="5730875" cy="491363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4913630"/>
                    </a:xfrm>
                    <a:prstGeom prst="rect">
                      <a:avLst/>
                    </a:prstGeom>
                    <a:noFill/>
                  </pic:spPr>
                </pic:pic>
              </a:graphicData>
            </a:graphic>
          </wp:inline>
        </w:drawing>
      </w:r>
    </w:p>
    <w:sectPr w:rsidR="001110D7" w:rsidSect="00150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2187" w14:textId="77777777" w:rsidR="00E46F21" w:rsidRDefault="00E46F21">
      <w:pPr>
        <w:spacing w:after="0" w:line="240" w:lineRule="auto"/>
      </w:pPr>
      <w:r>
        <w:separator/>
      </w:r>
    </w:p>
  </w:endnote>
  <w:endnote w:type="continuationSeparator" w:id="0">
    <w:p w14:paraId="31C386AD" w14:textId="77777777" w:rsidR="00E46F21" w:rsidRDefault="00E46F21">
      <w:pPr>
        <w:spacing w:after="0" w:line="240" w:lineRule="auto"/>
      </w:pPr>
      <w:r>
        <w:continuationSeparator/>
      </w:r>
    </w:p>
  </w:endnote>
  <w:endnote w:type="continuationNotice" w:id="1">
    <w:p w14:paraId="1EE2A352" w14:textId="77777777" w:rsidR="00E46F21" w:rsidRDefault="00E46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08957"/>
      <w:docPartObj>
        <w:docPartGallery w:val="Page Numbers (Bottom of Page)"/>
        <w:docPartUnique/>
      </w:docPartObj>
    </w:sdtPr>
    <w:sdtEndPr>
      <w:rPr>
        <w:noProof/>
      </w:rPr>
    </w:sdtEndPr>
    <w:sdtContent>
      <w:p w14:paraId="1B272298" w14:textId="7AE55B64" w:rsidR="00E46F21" w:rsidRDefault="00E46F21">
        <w:pPr>
          <w:pStyle w:val="Footer"/>
          <w:jc w:val="center"/>
        </w:pPr>
        <w:r>
          <w:fldChar w:fldCharType="begin"/>
        </w:r>
        <w:r>
          <w:instrText xml:space="preserve"> PAGE   \* MERGEFORMAT </w:instrText>
        </w:r>
        <w:r>
          <w:fldChar w:fldCharType="separate"/>
        </w:r>
        <w:r w:rsidR="000B43DC">
          <w:rPr>
            <w:noProof/>
          </w:rPr>
          <w:t>25</w:t>
        </w:r>
        <w:r>
          <w:rPr>
            <w:noProof/>
          </w:rPr>
          <w:fldChar w:fldCharType="end"/>
        </w:r>
      </w:p>
    </w:sdtContent>
  </w:sdt>
  <w:p w14:paraId="4766E2A2" w14:textId="77777777" w:rsidR="00E46F21" w:rsidRDefault="00E4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9A10" w14:textId="77777777" w:rsidR="00E46F21" w:rsidRDefault="00E46F21">
      <w:pPr>
        <w:spacing w:after="0" w:line="240" w:lineRule="auto"/>
      </w:pPr>
      <w:r>
        <w:separator/>
      </w:r>
    </w:p>
  </w:footnote>
  <w:footnote w:type="continuationSeparator" w:id="0">
    <w:p w14:paraId="4D5A8660" w14:textId="77777777" w:rsidR="00E46F21" w:rsidRDefault="00E46F21">
      <w:pPr>
        <w:spacing w:after="0" w:line="240" w:lineRule="auto"/>
      </w:pPr>
      <w:r>
        <w:continuationSeparator/>
      </w:r>
    </w:p>
  </w:footnote>
  <w:footnote w:type="continuationNotice" w:id="1">
    <w:p w14:paraId="0C32466C" w14:textId="77777777" w:rsidR="00E46F21" w:rsidRDefault="00E46F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E9B6" w14:textId="77777777" w:rsidR="00E46F21" w:rsidRDefault="00E46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01E6"/>
    <w:multiLevelType w:val="hybridMultilevel"/>
    <w:tmpl w:val="F81E1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21FB4"/>
    <w:multiLevelType w:val="hybridMultilevel"/>
    <w:tmpl w:val="F9F4C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85F46"/>
    <w:multiLevelType w:val="hybridMultilevel"/>
    <w:tmpl w:val="93C2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76B1B"/>
    <w:multiLevelType w:val="hybridMultilevel"/>
    <w:tmpl w:val="74E6F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47D0B"/>
    <w:multiLevelType w:val="hybridMultilevel"/>
    <w:tmpl w:val="B79C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224A6"/>
    <w:multiLevelType w:val="hybridMultilevel"/>
    <w:tmpl w:val="6C289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F1"/>
    <w:rsid w:val="0000116C"/>
    <w:rsid w:val="00004525"/>
    <w:rsid w:val="00010A41"/>
    <w:rsid w:val="00012993"/>
    <w:rsid w:val="00017B9A"/>
    <w:rsid w:val="00017CC7"/>
    <w:rsid w:val="0002114A"/>
    <w:rsid w:val="00024209"/>
    <w:rsid w:val="0003130A"/>
    <w:rsid w:val="000344A4"/>
    <w:rsid w:val="0004361E"/>
    <w:rsid w:val="00053874"/>
    <w:rsid w:val="000544DE"/>
    <w:rsid w:val="000646B4"/>
    <w:rsid w:val="000700B9"/>
    <w:rsid w:val="00076CDE"/>
    <w:rsid w:val="00092DF5"/>
    <w:rsid w:val="0009349E"/>
    <w:rsid w:val="00093F17"/>
    <w:rsid w:val="0009635B"/>
    <w:rsid w:val="00097A39"/>
    <w:rsid w:val="00097C1E"/>
    <w:rsid w:val="000A21A1"/>
    <w:rsid w:val="000A23FB"/>
    <w:rsid w:val="000A2C48"/>
    <w:rsid w:val="000A657B"/>
    <w:rsid w:val="000B06B4"/>
    <w:rsid w:val="000B43DC"/>
    <w:rsid w:val="000B4710"/>
    <w:rsid w:val="000C243F"/>
    <w:rsid w:val="000C40FE"/>
    <w:rsid w:val="000C4FE2"/>
    <w:rsid w:val="000D5F36"/>
    <w:rsid w:val="000D663B"/>
    <w:rsid w:val="000E3D14"/>
    <w:rsid w:val="000E5565"/>
    <w:rsid w:val="000E60CD"/>
    <w:rsid w:val="000F5420"/>
    <w:rsid w:val="000F61B5"/>
    <w:rsid w:val="001010D6"/>
    <w:rsid w:val="001110D7"/>
    <w:rsid w:val="0011173E"/>
    <w:rsid w:val="00117B61"/>
    <w:rsid w:val="001306B7"/>
    <w:rsid w:val="00130B10"/>
    <w:rsid w:val="00134A94"/>
    <w:rsid w:val="0014080A"/>
    <w:rsid w:val="00143E9D"/>
    <w:rsid w:val="0015001C"/>
    <w:rsid w:val="0015134E"/>
    <w:rsid w:val="001551E6"/>
    <w:rsid w:val="00194050"/>
    <w:rsid w:val="001A15B2"/>
    <w:rsid w:val="001A19DF"/>
    <w:rsid w:val="001B2042"/>
    <w:rsid w:val="001B5B96"/>
    <w:rsid w:val="001C53E9"/>
    <w:rsid w:val="001D1544"/>
    <w:rsid w:val="001D335E"/>
    <w:rsid w:val="001D74BF"/>
    <w:rsid w:val="001E52B5"/>
    <w:rsid w:val="001E5630"/>
    <w:rsid w:val="001E5BD3"/>
    <w:rsid w:val="001E5CC8"/>
    <w:rsid w:val="001E7E07"/>
    <w:rsid w:val="001E7FC4"/>
    <w:rsid w:val="001F4666"/>
    <w:rsid w:val="001F4692"/>
    <w:rsid w:val="00202826"/>
    <w:rsid w:val="00216127"/>
    <w:rsid w:val="00216584"/>
    <w:rsid w:val="00220724"/>
    <w:rsid w:val="0022247E"/>
    <w:rsid w:val="002247B5"/>
    <w:rsid w:val="0022769D"/>
    <w:rsid w:val="002424A5"/>
    <w:rsid w:val="00246C95"/>
    <w:rsid w:val="0026017E"/>
    <w:rsid w:val="002605DE"/>
    <w:rsid w:val="00261BAA"/>
    <w:rsid w:val="0026384C"/>
    <w:rsid w:val="00266C0B"/>
    <w:rsid w:val="00283E12"/>
    <w:rsid w:val="00284DC6"/>
    <w:rsid w:val="00290B31"/>
    <w:rsid w:val="002A1560"/>
    <w:rsid w:val="002A281A"/>
    <w:rsid w:val="002A468C"/>
    <w:rsid w:val="002A4AEE"/>
    <w:rsid w:val="002A6BF0"/>
    <w:rsid w:val="002B3168"/>
    <w:rsid w:val="002B666F"/>
    <w:rsid w:val="002C70A3"/>
    <w:rsid w:val="002D19F1"/>
    <w:rsid w:val="002D341F"/>
    <w:rsid w:val="002E29B8"/>
    <w:rsid w:val="002E39C0"/>
    <w:rsid w:val="002E40B9"/>
    <w:rsid w:val="002E74F1"/>
    <w:rsid w:val="002E7B8A"/>
    <w:rsid w:val="002F0E15"/>
    <w:rsid w:val="002F62C2"/>
    <w:rsid w:val="00300FF9"/>
    <w:rsid w:val="00303BD0"/>
    <w:rsid w:val="003050E9"/>
    <w:rsid w:val="003063FC"/>
    <w:rsid w:val="00307FBC"/>
    <w:rsid w:val="0031762F"/>
    <w:rsid w:val="003311E9"/>
    <w:rsid w:val="00331E08"/>
    <w:rsid w:val="00332C41"/>
    <w:rsid w:val="003333FF"/>
    <w:rsid w:val="00335B6B"/>
    <w:rsid w:val="003430D8"/>
    <w:rsid w:val="00351DEF"/>
    <w:rsid w:val="0035729B"/>
    <w:rsid w:val="00360190"/>
    <w:rsid w:val="00361E6A"/>
    <w:rsid w:val="00365EBA"/>
    <w:rsid w:val="003663F5"/>
    <w:rsid w:val="00371F3D"/>
    <w:rsid w:val="00373A46"/>
    <w:rsid w:val="0038191C"/>
    <w:rsid w:val="00381BF8"/>
    <w:rsid w:val="00383685"/>
    <w:rsid w:val="00395595"/>
    <w:rsid w:val="0039653D"/>
    <w:rsid w:val="003A7B96"/>
    <w:rsid w:val="003B0372"/>
    <w:rsid w:val="003B1585"/>
    <w:rsid w:val="003B2705"/>
    <w:rsid w:val="003B4A7C"/>
    <w:rsid w:val="003B4DD3"/>
    <w:rsid w:val="003D24DE"/>
    <w:rsid w:val="003D63D5"/>
    <w:rsid w:val="003D722A"/>
    <w:rsid w:val="003E19F9"/>
    <w:rsid w:val="003E1E0B"/>
    <w:rsid w:val="003E6DEA"/>
    <w:rsid w:val="003F04D6"/>
    <w:rsid w:val="003F082F"/>
    <w:rsid w:val="003F0ED7"/>
    <w:rsid w:val="003F6721"/>
    <w:rsid w:val="003F7BB4"/>
    <w:rsid w:val="003F7F49"/>
    <w:rsid w:val="00403203"/>
    <w:rsid w:val="00404CAA"/>
    <w:rsid w:val="00407CA9"/>
    <w:rsid w:val="00413B00"/>
    <w:rsid w:val="00417C4E"/>
    <w:rsid w:val="004306EB"/>
    <w:rsid w:val="00441122"/>
    <w:rsid w:val="004439E9"/>
    <w:rsid w:val="00444D37"/>
    <w:rsid w:val="00453395"/>
    <w:rsid w:val="00454E91"/>
    <w:rsid w:val="0046221F"/>
    <w:rsid w:val="00463E45"/>
    <w:rsid w:val="00465ABD"/>
    <w:rsid w:val="004673C7"/>
    <w:rsid w:val="004718CA"/>
    <w:rsid w:val="00490D3E"/>
    <w:rsid w:val="004A50CD"/>
    <w:rsid w:val="004A59BC"/>
    <w:rsid w:val="004A65ED"/>
    <w:rsid w:val="004B2F50"/>
    <w:rsid w:val="004D0F3F"/>
    <w:rsid w:val="004F24AF"/>
    <w:rsid w:val="005053B0"/>
    <w:rsid w:val="00505DD9"/>
    <w:rsid w:val="005214F9"/>
    <w:rsid w:val="005243C2"/>
    <w:rsid w:val="00524E37"/>
    <w:rsid w:val="00535BAD"/>
    <w:rsid w:val="00541AE7"/>
    <w:rsid w:val="00554E3E"/>
    <w:rsid w:val="00555CF1"/>
    <w:rsid w:val="0056266B"/>
    <w:rsid w:val="00563A58"/>
    <w:rsid w:val="005644F4"/>
    <w:rsid w:val="00564C33"/>
    <w:rsid w:val="00570668"/>
    <w:rsid w:val="00570CF7"/>
    <w:rsid w:val="0058280A"/>
    <w:rsid w:val="00585CDF"/>
    <w:rsid w:val="0059032C"/>
    <w:rsid w:val="00594864"/>
    <w:rsid w:val="00595E49"/>
    <w:rsid w:val="005A7105"/>
    <w:rsid w:val="005B1418"/>
    <w:rsid w:val="005B6FC3"/>
    <w:rsid w:val="005C0AF7"/>
    <w:rsid w:val="005D25E7"/>
    <w:rsid w:val="005D2F8B"/>
    <w:rsid w:val="005D3D61"/>
    <w:rsid w:val="005E038B"/>
    <w:rsid w:val="005E2680"/>
    <w:rsid w:val="005E36BC"/>
    <w:rsid w:val="005F3477"/>
    <w:rsid w:val="005F393E"/>
    <w:rsid w:val="005F3B7B"/>
    <w:rsid w:val="005F4881"/>
    <w:rsid w:val="005F6C70"/>
    <w:rsid w:val="00601732"/>
    <w:rsid w:val="00603D10"/>
    <w:rsid w:val="00607BEA"/>
    <w:rsid w:val="0061246C"/>
    <w:rsid w:val="006129C2"/>
    <w:rsid w:val="0061430D"/>
    <w:rsid w:val="006152C1"/>
    <w:rsid w:val="00617296"/>
    <w:rsid w:val="00621742"/>
    <w:rsid w:val="00622800"/>
    <w:rsid w:val="00623736"/>
    <w:rsid w:val="0063077A"/>
    <w:rsid w:val="00631BC1"/>
    <w:rsid w:val="006325B3"/>
    <w:rsid w:val="00634224"/>
    <w:rsid w:val="006358E7"/>
    <w:rsid w:val="00636C39"/>
    <w:rsid w:val="00647A61"/>
    <w:rsid w:val="00653081"/>
    <w:rsid w:val="00653C54"/>
    <w:rsid w:val="0065668D"/>
    <w:rsid w:val="006567A3"/>
    <w:rsid w:val="006663C1"/>
    <w:rsid w:val="00670189"/>
    <w:rsid w:val="00673301"/>
    <w:rsid w:val="006764AB"/>
    <w:rsid w:val="00680092"/>
    <w:rsid w:val="0068165B"/>
    <w:rsid w:val="006873E7"/>
    <w:rsid w:val="006A4A3A"/>
    <w:rsid w:val="006A5366"/>
    <w:rsid w:val="006B0B07"/>
    <w:rsid w:val="006B2C4A"/>
    <w:rsid w:val="006B4DA2"/>
    <w:rsid w:val="006B7531"/>
    <w:rsid w:val="006C1568"/>
    <w:rsid w:val="006D121C"/>
    <w:rsid w:val="006D1B11"/>
    <w:rsid w:val="006D2D47"/>
    <w:rsid w:val="006E2CF8"/>
    <w:rsid w:val="006F0CCD"/>
    <w:rsid w:val="006F4EB6"/>
    <w:rsid w:val="00702F05"/>
    <w:rsid w:val="007153F8"/>
    <w:rsid w:val="007248F6"/>
    <w:rsid w:val="00727809"/>
    <w:rsid w:val="00730D9C"/>
    <w:rsid w:val="007314C5"/>
    <w:rsid w:val="00747956"/>
    <w:rsid w:val="00754C69"/>
    <w:rsid w:val="00764BB6"/>
    <w:rsid w:val="00764EB1"/>
    <w:rsid w:val="00770E47"/>
    <w:rsid w:val="0078094C"/>
    <w:rsid w:val="00782571"/>
    <w:rsid w:val="007972A4"/>
    <w:rsid w:val="00797761"/>
    <w:rsid w:val="007A3D16"/>
    <w:rsid w:val="007A7F69"/>
    <w:rsid w:val="007B0ABA"/>
    <w:rsid w:val="007B2439"/>
    <w:rsid w:val="007C496E"/>
    <w:rsid w:val="007D1A31"/>
    <w:rsid w:val="007D6D7A"/>
    <w:rsid w:val="007E3489"/>
    <w:rsid w:val="007F1A43"/>
    <w:rsid w:val="007F1F0F"/>
    <w:rsid w:val="007F218E"/>
    <w:rsid w:val="008008F1"/>
    <w:rsid w:val="00802F79"/>
    <w:rsid w:val="008138B5"/>
    <w:rsid w:val="00813BB6"/>
    <w:rsid w:val="0082224F"/>
    <w:rsid w:val="008245E3"/>
    <w:rsid w:val="00830924"/>
    <w:rsid w:val="0083475A"/>
    <w:rsid w:val="0083700E"/>
    <w:rsid w:val="00861761"/>
    <w:rsid w:val="00863C5D"/>
    <w:rsid w:val="008709EE"/>
    <w:rsid w:val="00874B91"/>
    <w:rsid w:val="00894329"/>
    <w:rsid w:val="008A48A8"/>
    <w:rsid w:val="008A53C6"/>
    <w:rsid w:val="008B49E7"/>
    <w:rsid w:val="008C4EF2"/>
    <w:rsid w:val="008C5F10"/>
    <w:rsid w:val="008C6E6C"/>
    <w:rsid w:val="008D0338"/>
    <w:rsid w:val="008D2784"/>
    <w:rsid w:val="008E6607"/>
    <w:rsid w:val="00901888"/>
    <w:rsid w:val="00916429"/>
    <w:rsid w:val="00917107"/>
    <w:rsid w:val="0091759C"/>
    <w:rsid w:val="00920D98"/>
    <w:rsid w:val="0092484C"/>
    <w:rsid w:val="0093219D"/>
    <w:rsid w:val="00932A04"/>
    <w:rsid w:val="0093380C"/>
    <w:rsid w:val="00933D7B"/>
    <w:rsid w:val="009413CC"/>
    <w:rsid w:val="0094257A"/>
    <w:rsid w:val="00942D50"/>
    <w:rsid w:val="00942EF9"/>
    <w:rsid w:val="00950E01"/>
    <w:rsid w:val="00951ED7"/>
    <w:rsid w:val="0095380E"/>
    <w:rsid w:val="009539B8"/>
    <w:rsid w:val="00954D2D"/>
    <w:rsid w:val="00963874"/>
    <w:rsid w:val="009646DD"/>
    <w:rsid w:val="00964F0A"/>
    <w:rsid w:val="009702B9"/>
    <w:rsid w:val="00972459"/>
    <w:rsid w:val="00976B1B"/>
    <w:rsid w:val="009843CC"/>
    <w:rsid w:val="009845C9"/>
    <w:rsid w:val="00985987"/>
    <w:rsid w:val="009873AE"/>
    <w:rsid w:val="0099196B"/>
    <w:rsid w:val="0099366C"/>
    <w:rsid w:val="00996164"/>
    <w:rsid w:val="009B0EA4"/>
    <w:rsid w:val="009C0A3E"/>
    <w:rsid w:val="009C13BF"/>
    <w:rsid w:val="009C2176"/>
    <w:rsid w:val="009C3069"/>
    <w:rsid w:val="009C3312"/>
    <w:rsid w:val="009C387C"/>
    <w:rsid w:val="009C3EA1"/>
    <w:rsid w:val="009C5760"/>
    <w:rsid w:val="009C7775"/>
    <w:rsid w:val="009C7CE3"/>
    <w:rsid w:val="009D3CBA"/>
    <w:rsid w:val="009E3D27"/>
    <w:rsid w:val="009F2980"/>
    <w:rsid w:val="009F3776"/>
    <w:rsid w:val="009F4460"/>
    <w:rsid w:val="00A0405F"/>
    <w:rsid w:val="00A05FAB"/>
    <w:rsid w:val="00A06FEA"/>
    <w:rsid w:val="00A0754F"/>
    <w:rsid w:val="00A13B6C"/>
    <w:rsid w:val="00A13D5F"/>
    <w:rsid w:val="00A20E2A"/>
    <w:rsid w:val="00A26F76"/>
    <w:rsid w:val="00A35162"/>
    <w:rsid w:val="00A3629A"/>
    <w:rsid w:val="00A37604"/>
    <w:rsid w:val="00A469C1"/>
    <w:rsid w:val="00A53359"/>
    <w:rsid w:val="00A63160"/>
    <w:rsid w:val="00A6740D"/>
    <w:rsid w:val="00A84A72"/>
    <w:rsid w:val="00A85B77"/>
    <w:rsid w:val="00A85E49"/>
    <w:rsid w:val="00A8741E"/>
    <w:rsid w:val="00A90762"/>
    <w:rsid w:val="00A947E1"/>
    <w:rsid w:val="00A9658B"/>
    <w:rsid w:val="00AA39CF"/>
    <w:rsid w:val="00AA767B"/>
    <w:rsid w:val="00AB03AE"/>
    <w:rsid w:val="00AB2FFC"/>
    <w:rsid w:val="00AC57E3"/>
    <w:rsid w:val="00AC7908"/>
    <w:rsid w:val="00AD65BC"/>
    <w:rsid w:val="00AE5F93"/>
    <w:rsid w:val="00AE6FF6"/>
    <w:rsid w:val="00AF2520"/>
    <w:rsid w:val="00AF4399"/>
    <w:rsid w:val="00AF4D73"/>
    <w:rsid w:val="00AF646C"/>
    <w:rsid w:val="00AF7B99"/>
    <w:rsid w:val="00B013F0"/>
    <w:rsid w:val="00B07C1F"/>
    <w:rsid w:val="00B10CD3"/>
    <w:rsid w:val="00B13442"/>
    <w:rsid w:val="00B27CF2"/>
    <w:rsid w:val="00B30AEF"/>
    <w:rsid w:val="00B33093"/>
    <w:rsid w:val="00B404FE"/>
    <w:rsid w:val="00B41E17"/>
    <w:rsid w:val="00B42B8C"/>
    <w:rsid w:val="00B4383E"/>
    <w:rsid w:val="00B44129"/>
    <w:rsid w:val="00B61C16"/>
    <w:rsid w:val="00B6631C"/>
    <w:rsid w:val="00B74B63"/>
    <w:rsid w:val="00B7520E"/>
    <w:rsid w:val="00B8138F"/>
    <w:rsid w:val="00B836A8"/>
    <w:rsid w:val="00B840FE"/>
    <w:rsid w:val="00B8656A"/>
    <w:rsid w:val="00BB2400"/>
    <w:rsid w:val="00BB42CA"/>
    <w:rsid w:val="00BC0703"/>
    <w:rsid w:val="00BC5283"/>
    <w:rsid w:val="00BC5CA1"/>
    <w:rsid w:val="00BC7452"/>
    <w:rsid w:val="00BF3E14"/>
    <w:rsid w:val="00BF5562"/>
    <w:rsid w:val="00C014F5"/>
    <w:rsid w:val="00C1374D"/>
    <w:rsid w:val="00C13C11"/>
    <w:rsid w:val="00C149BD"/>
    <w:rsid w:val="00C150DA"/>
    <w:rsid w:val="00C15280"/>
    <w:rsid w:val="00C17244"/>
    <w:rsid w:val="00C25744"/>
    <w:rsid w:val="00C359A3"/>
    <w:rsid w:val="00C36774"/>
    <w:rsid w:val="00C4042C"/>
    <w:rsid w:val="00C457BA"/>
    <w:rsid w:val="00C51458"/>
    <w:rsid w:val="00C602B4"/>
    <w:rsid w:val="00C65FEC"/>
    <w:rsid w:val="00C71617"/>
    <w:rsid w:val="00C76B9E"/>
    <w:rsid w:val="00C776E2"/>
    <w:rsid w:val="00C77B7B"/>
    <w:rsid w:val="00C838A5"/>
    <w:rsid w:val="00C83AFE"/>
    <w:rsid w:val="00C85940"/>
    <w:rsid w:val="00C959EA"/>
    <w:rsid w:val="00CA042E"/>
    <w:rsid w:val="00CA09D8"/>
    <w:rsid w:val="00CA3D51"/>
    <w:rsid w:val="00CA4CE3"/>
    <w:rsid w:val="00CA7AED"/>
    <w:rsid w:val="00CB225A"/>
    <w:rsid w:val="00CB2D42"/>
    <w:rsid w:val="00CB366E"/>
    <w:rsid w:val="00CB42EA"/>
    <w:rsid w:val="00CC150B"/>
    <w:rsid w:val="00CC1679"/>
    <w:rsid w:val="00CC3061"/>
    <w:rsid w:val="00CD6537"/>
    <w:rsid w:val="00CE0A43"/>
    <w:rsid w:val="00CE1D30"/>
    <w:rsid w:val="00CE3427"/>
    <w:rsid w:val="00CE6DCB"/>
    <w:rsid w:val="00CF04D2"/>
    <w:rsid w:val="00CF38C6"/>
    <w:rsid w:val="00CF53C7"/>
    <w:rsid w:val="00D05222"/>
    <w:rsid w:val="00D1482D"/>
    <w:rsid w:val="00D16E5D"/>
    <w:rsid w:val="00D244FB"/>
    <w:rsid w:val="00D25232"/>
    <w:rsid w:val="00D25FF4"/>
    <w:rsid w:val="00D26A8B"/>
    <w:rsid w:val="00D27364"/>
    <w:rsid w:val="00D30459"/>
    <w:rsid w:val="00D40964"/>
    <w:rsid w:val="00D41802"/>
    <w:rsid w:val="00D42DCA"/>
    <w:rsid w:val="00D53FD9"/>
    <w:rsid w:val="00D555DF"/>
    <w:rsid w:val="00D626B5"/>
    <w:rsid w:val="00D65C53"/>
    <w:rsid w:val="00D664BB"/>
    <w:rsid w:val="00D86E7C"/>
    <w:rsid w:val="00D91B87"/>
    <w:rsid w:val="00D94E72"/>
    <w:rsid w:val="00DA027B"/>
    <w:rsid w:val="00DB1BD2"/>
    <w:rsid w:val="00DB73F5"/>
    <w:rsid w:val="00DC023D"/>
    <w:rsid w:val="00DC4427"/>
    <w:rsid w:val="00DD0068"/>
    <w:rsid w:val="00DD3A60"/>
    <w:rsid w:val="00DD3F61"/>
    <w:rsid w:val="00DD48CE"/>
    <w:rsid w:val="00DD6AB9"/>
    <w:rsid w:val="00DE2A83"/>
    <w:rsid w:val="00DE2D7F"/>
    <w:rsid w:val="00DF2635"/>
    <w:rsid w:val="00DF2A71"/>
    <w:rsid w:val="00DF5FC4"/>
    <w:rsid w:val="00DF7475"/>
    <w:rsid w:val="00E01560"/>
    <w:rsid w:val="00E03182"/>
    <w:rsid w:val="00E06530"/>
    <w:rsid w:val="00E1441F"/>
    <w:rsid w:val="00E32AED"/>
    <w:rsid w:val="00E46F21"/>
    <w:rsid w:val="00E52A04"/>
    <w:rsid w:val="00E56EF5"/>
    <w:rsid w:val="00E614C1"/>
    <w:rsid w:val="00E65CB8"/>
    <w:rsid w:val="00E75F30"/>
    <w:rsid w:val="00E937F3"/>
    <w:rsid w:val="00EA1B35"/>
    <w:rsid w:val="00EA3B47"/>
    <w:rsid w:val="00EB59BE"/>
    <w:rsid w:val="00EC130F"/>
    <w:rsid w:val="00EC307E"/>
    <w:rsid w:val="00ED1293"/>
    <w:rsid w:val="00EE13ED"/>
    <w:rsid w:val="00EE69CF"/>
    <w:rsid w:val="00EF078D"/>
    <w:rsid w:val="00EF5AA8"/>
    <w:rsid w:val="00F00A38"/>
    <w:rsid w:val="00F02406"/>
    <w:rsid w:val="00F11D41"/>
    <w:rsid w:val="00F134C8"/>
    <w:rsid w:val="00F17285"/>
    <w:rsid w:val="00F308E9"/>
    <w:rsid w:val="00F3532D"/>
    <w:rsid w:val="00F405E6"/>
    <w:rsid w:val="00F53CDB"/>
    <w:rsid w:val="00F63416"/>
    <w:rsid w:val="00F661D1"/>
    <w:rsid w:val="00F70A17"/>
    <w:rsid w:val="00F76DE1"/>
    <w:rsid w:val="00F774C0"/>
    <w:rsid w:val="00F81B30"/>
    <w:rsid w:val="00F83B54"/>
    <w:rsid w:val="00F84F52"/>
    <w:rsid w:val="00F93631"/>
    <w:rsid w:val="00F940C7"/>
    <w:rsid w:val="00F94425"/>
    <w:rsid w:val="00F95A2F"/>
    <w:rsid w:val="00F96644"/>
    <w:rsid w:val="00FA6026"/>
    <w:rsid w:val="00FA6869"/>
    <w:rsid w:val="00FB3A78"/>
    <w:rsid w:val="00FD0C95"/>
    <w:rsid w:val="00FD2DBD"/>
    <w:rsid w:val="00FD579E"/>
    <w:rsid w:val="00FD7AF1"/>
    <w:rsid w:val="00FE5EAC"/>
    <w:rsid w:val="00FF1C95"/>
    <w:rsid w:val="00FF2DA1"/>
    <w:rsid w:val="00FF3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A2AE4B1"/>
  <w15:docId w15:val="{C1CC687F-C931-4744-A51B-F9D43BE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F1"/>
    <w:pPr>
      <w:spacing w:after="4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B0B07"/>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
    <w:unhideWhenUsed/>
    <w:qFormat/>
    <w:rsid w:val="00B30AE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D19F1"/>
    <w:pPr>
      <w:keepNext/>
      <w:spacing w:before="240" w:after="60"/>
      <w:outlineLvl w:val="2"/>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0B07"/>
    <w:pPr>
      <w:spacing w:after="0" w:line="240" w:lineRule="auto"/>
      <w:contextualSpacing/>
    </w:pPr>
    <w:rPr>
      <w:rFonts w:eastAsia="Times New Roman"/>
      <w:b/>
      <w:spacing w:val="-10"/>
      <w:kern w:val="28"/>
      <w:sz w:val="28"/>
      <w:szCs w:val="56"/>
      <w:u w:val="single"/>
    </w:rPr>
  </w:style>
  <w:style w:type="character" w:customStyle="1" w:styleId="TitleChar">
    <w:name w:val="Title Char"/>
    <w:basedOn w:val="DefaultParagraphFont"/>
    <w:link w:val="Title"/>
    <w:uiPriority w:val="10"/>
    <w:rsid w:val="006B0B07"/>
    <w:rPr>
      <w:rFonts w:ascii="Times New Roman" w:eastAsia="Times New Roman" w:hAnsi="Times New Roman"/>
      <w:b/>
      <w:spacing w:val="-10"/>
      <w:kern w:val="28"/>
      <w:sz w:val="28"/>
      <w:szCs w:val="56"/>
      <w:u w:val="single"/>
    </w:rPr>
  </w:style>
  <w:style w:type="character" w:customStyle="1" w:styleId="Heading1Char">
    <w:name w:val="Heading 1 Char"/>
    <w:basedOn w:val="DefaultParagraphFont"/>
    <w:link w:val="Heading1"/>
    <w:uiPriority w:val="9"/>
    <w:rsid w:val="006B0B07"/>
    <w:rPr>
      <w:rFonts w:ascii="Times New Roman" w:eastAsia="Times New Roman" w:hAnsi="Times New Roman"/>
      <w:b/>
      <w:sz w:val="28"/>
      <w:szCs w:val="32"/>
    </w:rPr>
  </w:style>
  <w:style w:type="character" w:customStyle="1" w:styleId="Heading2Char">
    <w:name w:val="Heading 2 Char"/>
    <w:basedOn w:val="DefaultParagraphFont"/>
    <w:link w:val="Heading2"/>
    <w:uiPriority w:val="9"/>
    <w:rsid w:val="006B0B0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D19F1"/>
    <w:rPr>
      <w:rFonts w:ascii="Times New Roman" w:eastAsia="Times New Roman" w:hAnsi="Times New Roman" w:cs="Times New Roman"/>
      <w:bCs/>
      <w:i/>
      <w:sz w:val="24"/>
      <w:szCs w:val="26"/>
    </w:rPr>
  </w:style>
  <w:style w:type="character" w:styleId="HTMLTypewriter">
    <w:name w:val="HTML Typewriter"/>
    <w:uiPriority w:val="99"/>
    <w:semiHidden/>
    <w:unhideWhenUsed/>
    <w:rsid w:val="002D19F1"/>
    <w:rPr>
      <w:rFonts w:ascii="Courier New" w:eastAsia="Times New Roman" w:hAnsi="Courier New" w:cs="Courier New"/>
      <w:sz w:val="20"/>
      <w:szCs w:val="20"/>
    </w:rPr>
  </w:style>
  <w:style w:type="character" w:styleId="Hyperlink">
    <w:name w:val="Hyperlink"/>
    <w:basedOn w:val="DefaultParagraphFont"/>
    <w:uiPriority w:val="99"/>
    <w:unhideWhenUsed/>
    <w:rsid w:val="002D19F1"/>
    <w:rPr>
      <w:color w:val="0563C1" w:themeColor="hyperlink"/>
      <w:u w:val="single"/>
    </w:rPr>
  </w:style>
  <w:style w:type="character" w:customStyle="1" w:styleId="st">
    <w:name w:val="st"/>
    <w:basedOn w:val="DefaultParagraphFont"/>
    <w:rsid w:val="002D19F1"/>
  </w:style>
  <w:style w:type="character" w:styleId="CommentReference">
    <w:name w:val="annotation reference"/>
    <w:basedOn w:val="DefaultParagraphFont"/>
    <w:uiPriority w:val="99"/>
    <w:semiHidden/>
    <w:unhideWhenUsed/>
    <w:rsid w:val="002D19F1"/>
    <w:rPr>
      <w:sz w:val="16"/>
      <w:szCs w:val="16"/>
    </w:rPr>
  </w:style>
  <w:style w:type="paragraph" w:styleId="CommentText">
    <w:name w:val="annotation text"/>
    <w:basedOn w:val="Normal"/>
    <w:link w:val="CommentTextChar"/>
    <w:uiPriority w:val="99"/>
    <w:unhideWhenUsed/>
    <w:rsid w:val="002D19F1"/>
    <w:pPr>
      <w:spacing w:after="160" w:line="240" w:lineRule="auto"/>
      <w:jc w:val="left"/>
    </w:pPr>
    <w:rPr>
      <w:rFonts w:eastAsiaTheme="minorHAnsi" w:cstheme="minorBidi"/>
      <w:sz w:val="20"/>
      <w:szCs w:val="20"/>
    </w:rPr>
  </w:style>
  <w:style w:type="character" w:customStyle="1" w:styleId="CommentTextChar">
    <w:name w:val="Comment Text Char"/>
    <w:basedOn w:val="DefaultParagraphFont"/>
    <w:link w:val="CommentText"/>
    <w:uiPriority w:val="99"/>
    <w:rsid w:val="002D19F1"/>
    <w:rPr>
      <w:rFonts w:ascii="Times New Roman" w:hAnsi="Times New Roman"/>
      <w:sz w:val="20"/>
      <w:szCs w:val="20"/>
    </w:rPr>
  </w:style>
  <w:style w:type="paragraph" w:styleId="BalloonText">
    <w:name w:val="Balloon Text"/>
    <w:basedOn w:val="Normal"/>
    <w:link w:val="BalloonTextChar"/>
    <w:uiPriority w:val="99"/>
    <w:semiHidden/>
    <w:unhideWhenUsed/>
    <w:rsid w:val="002D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F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D19F1"/>
    <w:pPr>
      <w:spacing w:after="40"/>
      <w:jc w:val="both"/>
    </w:pPr>
    <w:rPr>
      <w:rFonts w:eastAsia="Calibri" w:cs="Times New Roman"/>
      <w:b/>
      <w:bCs/>
    </w:rPr>
  </w:style>
  <w:style w:type="character" w:customStyle="1" w:styleId="CommentSubjectChar">
    <w:name w:val="Comment Subject Char"/>
    <w:basedOn w:val="CommentTextChar"/>
    <w:link w:val="CommentSubject"/>
    <w:uiPriority w:val="99"/>
    <w:semiHidden/>
    <w:rsid w:val="002D19F1"/>
    <w:rPr>
      <w:rFonts w:ascii="Times New Roman" w:eastAsia="Calibri" w:hAnsi="Times New Roman" w:cs="Times New Roman"/>
      <w:b/>
      <w:bCs/>
      <w:sz w:val="20"/>
      <w:szCs w:val="20"/>
    </w:rPr>
  </w:style>
  <w:style w:type="table" w:styleId="TableGrid">
    <w:name w:val="Table Grid"/>
    <w:basedOn w:val="TableNormal"/>
    <w:uiPriority w:val="39"/>
    <w:rsid w:val="002D19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9F1"/>
    <w:pPr>
      <w:ind w:left="720"/>
      <w:contextualSpacing/>
    </w:pPr>
  </w:style>
  <w:style w:type="character" w:customStyle="1" w:styleId="highlight">
    <w:name w:val="highlight"/>
    <w:basedOn w:val="DefaultParagraphFont"/>
    <w:rsid w:val="002D19F1"/>
  </w:style>
  <w:style w:type="character" w:styleId="PlaceholderText">
    <w:name w:val="Placeholder Text"/>
    <w:basedOn w:val="DefaultParagraphFont"/>
    <w:uiPriority w:val="99"/>
    <w:semiHidden/>
    <w:rsid w:val="002D19F1"/>
    <w:rPr>
      <w:color w:val="808080"/>
    </w:rPr>
  </w:style>
  <w:style w:type="paragraph" w:styleId="Header">
    <w:name w:val="header"/>
    <w:basedOn w:val="Normal"/>
    <w:link w:val="HeaderChar"/>
    <w:uiPriority w:val="99"/>
    <w:unhideWhenUsed/>
    <w:rsid w:val="002D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F1"/>
    <w:rPr>
      <w:rFonts w:ascii="Times New Roman" w:eastAsia="Calibri" w:hAnsi="Times New Roman" w:cs="Times New Roman"/>
      <w:sz w:val="24"/>
    </w:rPr>
  </w:style>
  <w:style w:type="paragraph" w:styleId="Footer">
    <w:name w:val="footer"/>
    <w:basedOn w:val="Normal"/>
    <w:link w:val="FooterChar"/>
    <w:uiPriority w:val="99"/>
    <w:unhideWhenUsed/>
    <w:rsid w:val="002D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F1"/>
    <w:rPr>
      <w:rFonts w:ascii="Times New Roman" w:eastAsia="Calibri" w:hAnsi="Times New Roman" w:cs="Times New Roman"/>
      <w:sz w:val="24"/>
    </w:rPr>
  </w:style>
  <w:style w:type="character" w:styleId="LineNumber">
    <w:name w:val="line number"/>
    <w:basedOn w:val="DefaultParagraphFont"/>
    <w:uiPriority w:val="99"/>
    <w:semiHidden/>
    <w:unhideWhenUsed/>
    <w:rsid w:val="002D19F1"/>
  </w:style>
  <w:style w:type="paragraph" w:styleId="Revision">
    <w:name w:val="Revision"/>
    <w:hidden/>
    <w:uiPriority w:val="99"/>
    <w:semiHidden/>
    <w:rsid w:val="00B30AEF"/>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0492">
      <w:bodyDiv w:val="1"/>
      <w:marLeft w:val="0"/>
      <w:marRight w:val="0"/>
      <w:marTop w:val="0"/>
      <w:marBottom w:val="0"/>
      <w:divBdr>
        <w:top w:val="none" w:sz="0" w:space="0" w:color="auto"/>
        <w:left w:val="none" w:sz="0" w:space="0" w:color="auto"/>
        <w:bottom w:val="none" w:sz="0" w:space="0" w:color="auto"/>
        <w:right w:val="none" w:sz="0" w:space="0" w:color="auto"/>
      </w:divBdr>
    </w:div>
    <w:div w:id="337194119">
      <w:bodyDiv w:val="1"/>
      <w:marLeft w:val="0"/>
      <w:marRight w:val="0"/>
      <w:marTop w:val="0"/>
      <w:marBottom w:val="0"/>
      <w:divBdr>
        <w:top w:val="none" w:sz="0" w:space="0" w:color="auto"/>
        <w:left w:val="none" w:sz="0" w:space="0" w:color="auto"/>
        <w:bottom w:val="none" w:sz="0" w:space="0" w:color="auto"/>
        <w:right w:val="none" w:sz="0" w:space="0" w:color="auto"/>
      </w:divBdr>
    </w:div>
    <w:div w:id="421412252">
      <w:bodyDiv w:val="1"/>
      <w:marLeft w:val="0"/>
      <w:marRight w:val="0"/>
      <w:marTop w:val="0"/>
      <w:marBottom w:val="0"/>
      <w:divBdr>
        <w:top w:val="none" w:sz="0" w:space="0" w:color="auto"/>
        <w:left w:val="none" w:sz="0" w:space="0" w:color="auto"/>
        <w:bottom w:val="none" w:sz="0" w:space="0" w:color="auto"/>
        <w:right w:val="none" w:sz="0" w:space="0" w:color="auto"/>
      </w:divBdr>
    </w:div>
    <w:div w:id="572006180">
      <w:bodyDiv w:val="1"/>
      <w:marLeft w:val="0"/>
      <w:marRight w:val="0"/>
      <w:marTop w:val="0"/>
      <w:marBottom w:val="0"/>
      <w:divBdr>
        <w:top w:val="none" w:sz="0" w:space="0" w:color="auto"/>
        <w:left w:val="none" w:sz="0" w:space="0" w:color="auto"/>
        <w:bottom w:val="none" w:sz="0" w:space="0" w:color="auto"/>
        <w:right w:val="none" w:sz="0" w:space="0" w:color="auto"/>
      </w:divBdr>
    </w:div>
    <w:div w:id="664012198">
      <w:bodyDiv w:val="1"/>
      <w:marLeft w:val="0"/>
      <w:marRight w:val="0"/>
      <w:marTop w:val="0"/>
      <w:marBottom w:val="0"/>
      <w:divBdr>
        <w:top w:val="none" w:sz="0" w:space="0" w:color="auto"/>
        <w:left w:val="none" w:sz="0" w:space="0" w:color="auto"/>
        <w:bottom w:val="none" w:sz="0" w:space="0" w:color="auto"/>
        <w:right w:val="none" w:sz="0" w:space="0" w:color="auto"/>
      </w:divBdr>
    </w:div>
    <w:div w:id="771900439">
      <w:bodyDiv w:val="1"/>
      <w:marLeft w:val="0"/>
      <w:marRight w:val="0"/>
      <w:marTop w:val="0"/>
      <w:marBottom w:val="0"/>
      <w:divBdr>
        <w:top w:val="none" w:sz="0" w:space="0" w:color="auto"/>
        <w:left w:val="none" w:sz="0" w:space="0" w:color="auto"/>
        <w:bottom w:val="none" w:sz="0" w:space="0" w:color="auto"/>
        <w:right w:val="none" w:sz="0" w:space="0" w:color="auto"/>
      </w:divBdr>
    </w:div>
    <w:div w:id="865025836">
      <w:bodyDiv w:val="1"/>
      <w:marLeft w:val="0"/>
      <w:marRight w:val="0"/>
      <w:marTop w:val="0"/>
      <w:marBottom w:val="0"/>
      <w:divBdr>
        <w:top w:val="none" w:sz="0" w:space="0" w:color="auto"/>
        <w:left w:val="none" w:sz="0" w:space="0" w:color="auto"/>
        <w:bottom w:val="none" w:sz="0" w:space="0" w:color="auto"/>
        <w:right w:val="none" w:sz="0" w:space="0" w:color="auto"/>
      </w:divBdr>
    </w:div>
    <w:div w:id="885146407">
      <w:bodyDiv w:val="1"/>
      <w:marLeft w:val="0"/>
      <w:marRight w:val="0"/>
      <w:marTop w:val="0"/>
      <w:marBottom w:val="0"/>
      <w:divBdr>
        <w:top w:val="none" w:sz="0" w:space="0" w:color="auto"/>
        <w:left w:val="none" w:sz="0" w:space="0" w:color="auto"/>
        <w:bottom w:val="none" w:sz="0" w:space="0" w:color="auto"/>
        <w:right w:val="none" w:sz="0" w:space="0" w:color="auto"/>
      </w:divBdr>
    </w:div>
    <w:div w:id="1037897885">
      <w:bodyDiv w:val="1"/>
      <w:marLeft w:val="0"/>
      <w:marRight w:val="0"/>
      <w:marTop w:val="0"/>
      <w:marBottom w:val="0"/>
      <w:divBdr>
        <w:top w:val="none" w:sz="0" w:space="0" w:color="auto"/>
        <w:left w:val="none" w:sz="0" w:space="0" w:color="auto"/>
        <w:bottom w:val="none" w:sz="0" w:space="0" w:color="auto"/>
        <w:right w:val="none" w:sz="0" w:space="0" w:color="auto"/>
      </w:divBdr>
    </w:div>
    <w:div w:id="1055158597">
      <w:bodyDiv w:val="1"/>
      <w:marLeft w:val="0"/>
      <w:marRight w:val="0"/>
      <w:marTop w:val="0"/>
      <w:marBottom w:val="0"/>
      <w:divBdr>
        <w:top w:val="none" w:sz="0" w:space="0" w:color="auto"/>
        <w:left w:val="none" w:sz="0" w:space="0" w:color="auto"/>
        <w:bottom w:val="none" w:sz="0" w:space="0" w:color="auto"/>
        <w:right w:val="none" w:sz="0" w:space="0" w:color="auto"/>
      </w:divBdr>
    </w:div>
    <w:div w:id="1160122189">
      <w:bodyDiv w:val="1"/>
      <w:marLeft w:val="0"/>
      <w:marRight w:val="0"/>
      <w:marTop w:val="0"/>
      <w:marBottom w:val="0"/>
      <w:divBdr>
        <w:top w:val="none" w:sz="0" w:space="0" w:color="auto"/>
        <w:left w:val="none" w:sz="0" w:space="0" w:color="auto"/>
        <w:bottom w:val="none" w:sz="0" w:space="0" w:color="auto"/>
        <w:right w:val="none" w:sz="0" w:space="0" w:color="auto"/>
      </w:divBdr>
    </w:div>
    <w:div w:id="1480805494">
      <w:bodyDiv w:val="1"/>
      <w:marLeft w:val="0"/>
      <w:marRight w:val="0"/>
      <w:marTop w:val="0"/>
      <w:marBottom w:val="0"/>
      <w:divBdr>
        <w:top w:val="none" w:sz="0" w:space="0" w:color="auto"/>
        <w:left w:val="none" w:sz="0" w:space="0" w:color="auto"/>
        <w:bottom w:val="none" w:sz="0" w:space="0" w:color="auto"/>
        <w:right w:val="none" w:sz="0" w:space="0" w:color="auto"/>
      </w:divBdr>
    </w:div>
    <w:div w:id="1864853780">
      <w:bodyDiv w:val="1"/>
      <w:marLeft w:val="0"/>
      <w:marRight w:val="0"/>
      <w:marTop w:val="0"/>
      <w:marBottom w:val="0"/>
      <w:divBdr>
        <w:top w:val="none" w:sz="0" w:space="0" w:color="auto"/>
        <w:left w:val="none" w:sz="0" w:space="0" w:color="auto"/>
        <w:bottom w:val="none" w:sz="0" w:space="0" w:color="auto"/>
        <w:right w:val="none" w:sz="0" w:space="0" w:color="auto"/>
      </w:divBdr>
    </w:div>
    <w:div w:id="2004895518">
      <w:bodyDiv w:val="1"/>
      <w:marLeft w:val="0"/>
      <w:marRight w:val="0"/>
      <w:marTop w:val="0"/>
      <w:marBottom w:val="0"/>
      <w:divBdr>
        <w:top w:val="none" w:sz="0" w:space="0" w:color="auto"/>
        <w:left w:val="none" w:sz="0" w:space="0" w:color="auto"/>
        <w:bottom w:val="none" w:sz="0" w:space="0" w:color="auto"/>
        <w:right w:val="none" w:sz="0" w:space="0" w:color="auto"/>
      </w:divBdr>
    </w:div>
    <w:div w:id="2037734180">
      <w:bodyDiv w:val="1"/>
      <w:marLeft w:val="0"/>
      <w:marRight w:val="0"/>
      <w:marTop w:val="0"/>
      <w:marBottom w:val="0"/>
      <w:divBdr>
        <w:top w:val="none" w:sz="0" w:space="0" w:color="auto"/>
        <w:left w:val="none" w:sz="0" w:space="0" w:color="auto"/>
        <w:bottom w:val="none" w:sz="0" w:space="0" w:color="auto"/>
        <w:right w:val="none" w:sz="0" w:space="0" w:color="auto"/>
      </w:divBdr>
    </w:div>
    <w:div w:id="2067726969">
      <w:bodyDiv w:val="1"/>
      <w:marLeft w:val="0"/>
      <w:marRight w:val="0"/>
      <w:marTop w:val="0"/>
      <w:marBottom w:val="0"/>
      <w:divBdr>
        <w:top w:val="none" w:sz="0" w:space="0" w:color="auto"/>
        <w:left w:val="none" w:sz="0" w:space="0" w:color="auto"/>
        <w:bottom w:val="none" w:sz="0" w:space="0" w:color="auto"/>
        <w:right w:val="none" w:sz="0" w:space="0" w:color="auto"/>
      </w:divBdr>
    </w:div>
    <w:div w:id="2116751896">
      <w:bodyDiv w:val="1"/>
      <w:marLeft w:val="0"/>
      <w:marRight w:val="0"/>
      <w:marTop w:val="0"/>
      <w:marBottom w:val="0"/>
      <w:divBdr>
        <w:top w:val="none" w:sz="0" w:space="0" w:color="auto"/>
        <w:left w:val="none" w:sz="0" w:space="0" w:color="auto"/>
        <w:bottom w:val="none" w:sz="0" w:space="0" w:color="auto"/>
        <w:right w:val="none" w:sz="0" w:space="0" w:color="auto"/>
      </w:divBdr>
    </w:div>
    <w:div w:id="21219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FDA8-AABE-416B-B9E3-FCF43A23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34124</Words>
  <Characters>194508</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Martin</dc:creator>
  <cp:lastModifiedBy>Glen Martin</cp:lastModifiedBy>
  <cp:revision>3</cp:revision>
  <dcterms:created xsi:type="dcterms:W3CDTF">2017-11-20T13:42:00Z</dcterms:created>
  <dcterms:modified xsi:type="dcterms:W3CDTF">2017-11-22T08:39:00Z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http://www.zotero.org/styles/american-heart-journal</vt:lpwstr>
  </property>
  <property fmtid="{D5CDD505-2E9C-101B-9397-08002B2CF9AE}" pid="3" name="Mendeley Recent Style Name 0_1">
    <vt:lpwstr>American Heart Journal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http://www.zotero.org/styles/circulation</vt:lpwstr>
  </property>
  <property fmtid="{D5CDD505-2E9C-101B-9397-08002B2CF9AE}" pid="9" name="Mendeley Recent Style Name 3_1">
    <vt:lpwstr>Circulation</vt:lpwstr>
  </property>
  <property fmtid="{D5CDD505-2E9C-101B-9397-08002B2CF9AE}" pid="10" name="Mendeley Recent Style Id 4_1">
    <vt:lpwstr>http://www.zotero.org/styles/heart</vt:lpwstr>
  </property>
  <property fmtid="{D5CDD505-2E9C-101B-9397-08002B2CF9AE}" pid="11" name="Mendeley Recent Style Name 4_1">
    <vt:lpwstr>Heart</vt:lpwstr>
  </property>
  <property fmtid="{D5CDD505-2E9C-101B-9397-08002B2CF9AE}" pid="12" name="Mendeley Recent Style Id 5_1">
    <vt:lpwstr>http://www.zotero.org/styles/jacc-cardiovascular-imaging</vt:lpwstr>
  </property>
  <property fmtid="{D5CDD505-2E9C-101B-9397-08002B2CF9AE}" pid="13" name="Mendeley Recent Style Name 5_1">
    <vt:lpwstr>JACC: Cardiovascular Imaging</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http://www.zotero.org/styles/jamia</vt:lpwstr>
  </property>
  <property fmtid="{D5CDD505-2E9C-101B-9397-08002B2CF9AE}" pid="17" name="Mendeley Recent Style Name 7_1">
    <vt:lpwstr>JAMIA</vt:lpwstr>
  </property>
  <property fmtid="{D5CDD505-2E9C-101B-9397-08002B2CF9AE}" pid="18" name="Mendeley Recent Style Id 8_1">
    <vt:lpwstr>http://www.zotero.org/styles/statistics</vt:lpwstr>
  </property>
  <property fmtid="{D5CDD505-2E9C-101B-9397-08002B2CF9AE}" pid="19" name="Mendeley Recent Style Name 8_1">
    <vt:lpwstr>Statistics</vt:lpwstr>
  </property>
  <property fmtid="{D5CDD505-2E9C-101B-9397-08002B2CF9AE}" pid="20" name="Mendeley Recent Style Id 9_1">
    <vt:lpwstr>http://www.zotero.org/styles/statistics-in-biosciences</vt:lpwstr>
  </property>
  <property fmtid="{D5CDD505-2E9C-101B-9397-08002B2CF9AE}" pid="21" name="Mendeley Recent Style Name 9_1">
    <vt:lpwstr>Statistics in Biosciences</vt:lpwstr>
  </property>
  <property fmtid="{D5CDD505-2E9C-101B-9397-08002B2CF9AE}" pid="22" name="Mendeley Document_1">
    <vt:lpwstr>True</vt:lpwstr>
  </property>
  <property fmtid="{D5CDD505-2E9C-101B-9397-08002B2CF9AE}" pid="23" name="Mendeley Unique User Id_1">
    <vt:lpwstr>02afbd35-bc8c-37b5-8284-f6a681c4f1b8</vt:lpwstr>
  </property>
  <property fmtid="{D5CDD505-2E9C-101B-9397-08002B2CF9AE}" pid="24" name="Mendeley Citation Style_1">
    <vt:lpwstr>http://www.zotero.org/styles/heart</vt:lpwstr>
  </property>
</Properties>
</file>