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57A3" w14:textId="6A3C434C" w:rsidR="0042521B" w:rsidRPr="0042521B" w:rsidRDefault="005E225C" w:rsidP="0042521B">
      <w:pPr>
        <w:contextualSpacing/>
        <w:rPr>
          <w:rFonts w:ascii="Arial" w:hAnsi="Arial"/>
          <w:b/>
        </w:rPr>
      </w:pPr>
      <w:r w:rsidRPr="00781897">
        <w:rPr>
          <w:bCs/>
          <w:u w:val="single"/>
        </w:rPr>
        <w:t>Full title</w:t>
      </w:r>
      <w:r w:rsidRPr="00781897">
        <w:rPr>
          <w:bCs/>
        </w:rPr>
        <w:t>:</w:t>
      </w:r>
      <w:r w:rsidRPr="00781897">
        <w:rPr>
          <w:b/>
        </w:rPr>
        <w:t xml:space="preserve"> </w:t>
      </w:r>
      <w:r w:rsidR="0042521B" w:rsidRPr="0042521B">
        <w:rPr>
          <w:b/>
        </w:rPr>
        <w:t>Primary prevention of cardiovascular and heart failure events with SGLT2 inhibitors, GLP-1 receptor agonists and their combination in type 2 diabetes</w:t>
      </w:r>
    </w:p>
    <w:p w14:paraId="11717BB8" w14:textId="6C44F97C" w:rsidR="00330AC2" w:rsidRDefault="00330AC2" w:rsidP="00781897">
      <w:pPr>
        <w:contextualSpacing/>
        <w:rPr>
          <w:rStyle w:val="acknowledgements"/>
          <w:iCs/>
          <w:u w:val="single"/>
        </w:rPr>
      </w:pPr>
    </w:p>
    <w:p w14:paraId="2D240408" w14:textId="77777777" w:rsidR="0042521B" w:rsidRPr="00781897" w:rsidRDefault="0042521B" w:rsidP="00781897">
      <w:pPr>
        <w:contextualSpacing/>
        <w:rPr>
          <w:rStyle w:val="acknowledgements"/>
          <w:iCs/>
          <w:u w:val="single"/>
        </w:rPr>
      </w:pPr>
    </w:p>
    <w:p w14:paraId="3F6E27FB" w14:textId="0D791C88" w:rsidR="005E225C" w:rsidRPr="00781897" w:rsidRDefault="005E225C" w:rsidP="00781897">
      <w:pPr>
        <w:contextualSpacing/>
        <w:rPr>
          <w:rStyle w:val="acknowledgements"/>
          <w:iCs/>
          <w:u w:val="single"/>
        </w:rPr>
      </w:pPr>
      <w:r w:rsidRPr="00781897">
        <w:rPr>
          <w:rStyle w:val="acknowledgements"/>
          <w:iCs/>
          <w:u w:val="single"/>
        </w:rPr>
        <w:t xml:space="preserve">Short </w:t>
      </w:r>
      <w:r w:rsidR="00774AE4">
        <w:rPr>
          <w:rStyle w:val="acknowledgements"/>
          <w:iCs/>
          <w:u w:val="single"/>
        </w:rPr>
        <w:t xml:space="preserve">running </w:t>
      </w:r>
      <w:r w:rsidRPr="00781897">
        <w:rPr>
          <w:rStyle w:val="acknowledgements"/>
          <w:iCs/>
          <w:u w:val="single"/>
        </w:rPr>
        <w:t>title</w:t>
      </w:r>
      <w:r w:rsidRPr="00781897">
        <w:rPr>
          <w:rStyle w:val="acknowledgements"/>
          <w:iCs/>
        </w:rPr>
        <w:t>:</w:t>
      </w:r>
      <w:r w:rsidR="001B3A31" w:rsidRPr="00781897">
        <w:rPr>
          <w:rStyle w:val="acknowledgements"/>
          <w:iCs/>
        </w:rPr>
        <w:t xml:space="preserve"> MACCE &amp; heart failure </w:t>
      </w:r>
      <w:r w:rsidR="000B2033">
        <w:rPr>
          <w:rStyle w:val="acknowledgements"/>
          <w:iCs/>
        </w:rPr>
        <w:t xml:space="preserve">risk </w:t>
      </w:r>
      <w:r w:rsidR="001B3A31" w:rsidRPr="00781897">
        <w:rPr>
          <w:rStyle w:val="acknowledgements"/>
          <w:iCs/>
        </w:rPr>
        <w:t>with antidiabetics</w:t>
      </w:r>
    </w:p>
    <w:p w14:paraId="6C50B1B9" w14:textId="77777777" w:rsidR="00B9471F" w:rsidRPr="00781897" w:rsidRDefault="00B9471F" w:rsidP="00781897">
      <w:pPr>
        <w:contextualSpacing/>
        <w:rPr>
          <w:rStyle w:val="acknowledgements"/>
          <w:iCs/>
          <w:u w:val="single"/>
        </w:rPr>
      </w:pPr>
    </w:p>
    <w:p w14:paraId="382FB192" w14:textId="5D91DA3C" w:rsidR="00D270AD" w:rsidRPr="00781897" w:rsidRDefault="00D270AD" w:rsidP="00781897">
      <w:pPr>
        <w:contextualSpacing/>
        <w:rPr>
          <w:rStyle w:val="acknowledgements"/>
          <w:iCs/>
        </w:rPr>
      </w:pPr>
      <w:r w:rsidRPr="00781897">
        <w:rPr>
          <w:rStyle w:val="acknowledgements"/>
          <w:iCs/>
          <w:u w:val="single"/>
        </w:rPr>
        <w:t>Author names</w:t>
      </w:r>
      <w:r w:rsidRPr="00781897">
        <w:rPr>
          <w:rStyle w:val="acknowledgements"/>
          <w:iCs/>
        </w:rPr>
        <w:t>:</w:t>
      </w:r>
    </w:p>
    <w:p w14:paraId="18BBF466" w14:textId="400AF3AA" w:rsidR="00D270AD" w:rsidRPr="00781897" w:rsidRDefault="00D270AD" w:rsidP="00781897">
      <w:pPr>
        <w:contextualSpacing/>
        <w:rPr>
          <w:rStyle w:val="acknowledgements"/>
          <w:i/>
          <w:iCs/>
        </w:rPr>
      </w:pPr>
      <w:r w:rsidRPr="00781897">
        <w:rPr>
          <w:rStyle w:val="acknowledgements"/>
          <w:iCs/>
        </w:rPr>
        <w:t>Alison K Wright</w:t>
      </w:r>
      <w:r w:rsidR="00E02C21" w:rsidRPr="00781897">
        <w:rPr>
          <w:rStyle w:val="acknowledgements"/>
          <w:iCs/>
        </w:rPr>
        <w:t xml:space="preserve">, </w:t>
      </w:r>
      <w:r w:rsidR="00E02C21" w:rsidRPr="00781897">
        <w:rPr>
          <w:rStyle w:val="acknowledgements"/>
          <w:i/>
        </w:rPr>
        <w:t>PhD</w:t>
      </w:r>
      <w:r w:rsidR="006A4D57" w:rsidRPr="00781897">
        <w:rPr>
          <w:rStyle w:val="acknowledgements"/>
          <w:i/>
          <w:vertAlign w:val="superscript"/>
        </w:rPr>
        <w:t xml:space="preserve"> </w:t>
      </w:r>
      <w:r w:rsidR="001277BC">
        <w:rPr>
          <w:rStyle w:val="acknowledgements"/>
          <w:iCs/>
          <w:vertAlign w:val="superscript"/>
        </w:rPr>
        <w:t>1,2</w:t>
      </w:r>
      <w:r w:rsidR="00E02C21" w:rsidRPr="00781897">
        <w:rPr>
          <w:rStyle w:val="acknowledgements"/>
          <w:iCs/>
        </w:rPr>
        <w:t>;</w:t>
      </w:r>
      <w:r w:rsidRPr="00781897">
        <w:rPr>
          <w:rStyle w:val="acknowledgements"/>
          <w:iCs/>
        </w:rPr>
        <w:t xml:space="preserve"> </w:t>
      </w:r>
      <w:r w:rsidR="00084DB4" w:rsidRPr="00781897">
        <w:rPr>
          <w:rStyle w:val="acknowledgements"/>
          <w:iCs/>
        </w:rPr>
        <w:t xml:space="preserve">Matthew </w:t>
      </w:r>
      <w:r w:rsidR="003B6C12" w:rsidRPr="00781897">
        <w:rPr>
          <w:rStyle w:val="acknowledgements"/>
          <w:iCs/>
        </w:rPr>
        <w:t xml:space="preserve">J </w:t>
      </w:r>
      <w:proofErr w:type="spellStart"/>
      <w:r w:rsidR="00084DB4" w:rsidRPr="00781897">
        <w:rPr>
          <w:rStyle w:val="acknowledgements"/>
          <w:iCs/>
        </w:rPr>
        <w:t>Carr</w:t>
      </w:r>
      <w:proofErr w:type="spellEnd"/>
      <w:r w:rsidR="00E02C21" w:rsidRPr="00781897">
        <w:rPr>
          <w:rStyle w:val="acknowledgements"/>
          <w:iCs/>
        </w:rPr>
        <w:t xml:space="preserve">, </w:t>
      </w:r>
      <w:r w:rsidR="006A4D57" w:rsidRPr="00781897">
        <w:rPr>
          <w:rStyle w:val="acknowledgements"/>
          <w:i/>
        </w:rPr>
        <w:t>PhD</w:t>
      </w:r>
      <w:r w:rsidR="006A4D57" w:rsidRPr="00781897">
        <w:rPr>
          <w:rStyle w:val="acknowledgements"/>
          <w:i/>
          <w:vertAlign w:val="superscript"/>
        </w:rPr>
        <w:t xml:space="preserve"> </w:t>
      </w:r>
      <w:r w:rsidR="001277BC">
        <w:rPr>
          <w:rStyle w:val="acknowledgements"/>
          <w:iCs/>
          <w:vertAlign w:val="superscript"/>
        </w:rPr>
        <w:t>2</w:t>
      </w:r>
      <w:r w:rsidR="00C34C29">
        <w:rPr>
          <w:rStyle w:val="acknowledgements"/>
          <w:iCs/>
          <w:vertAlign w:val="superscript"/>
        </w:rPr>
        <w:t>,3</w:t>
      </w:r>
      <w:r w:rsidR="00E02C21" w:rsidRPr="00781897">
        <w:rPr>
          <w:rStyle w:val="acknowledgements"/>
          <w:iCs/>
        </w:rPr>
        <w:t>;</w:t>
      </w:r>
      <w:r w:rsidR="00084DB4" w:rsidRPr="00781897">
        <w:rPr>
          <w:rStyle w:val="acknowledgements"/>
          <w:iCs/>
        </w:rPr>
        <w:t xml:space="preserve"> </w:t>
      </w:r>
      <w:proofErr w:type="spellStart"/>
      <w:r w:rsidRPr="00781897">
        <w:rPr>
          <w:rStyle w:val="acknowledgements"/>
          <w:iCs/>
        </w:rPr>
        <w:t>Evangelos</w:t>
      </w:r>
      <w:proofErr w:type="spellEnd"/>
      <w:r w:rsidRPr="00781897">
        <w:rPr>
          <w:rStyle w:val="acknowledgements"/>
          <w:iCs/>
        </w:rPr>
        <w:t xml:space="preserve"> </w:t>
      </w:r>
      <w:proofErr w:type="spellStart"/>
      <w:r w:rsidRPr="00781897">
        <w:t>Kontopantelis</w:t>
      </w:r>
      <w:proofErr w:type="spellEnd"/>
      <w:r w:rsidR="00E02C21" w:rsidRPr="00781897">
        <w:t xml:space="preserve">, </w:t>
      </w:r>
      <w:r w:rsidR="006A4D57" w:rsidRPr="00781897">
        <w:rPr>
          <w:rStyle w:val="acknowledgements"/>
          <w:i/>
        </w:rPr>
        <w:t>PhD</w:t>
      </w:r>
      <w:r w:rsidR="006A4D57" w:rsidRPr="00781897">
        <w:rPr>
          <w:rStyle w:val="acknowledgements"/>
          <w:i/>
          <w:vertAlign w:val="superscript"/>
        </w:rPr>
        <w:t xml:space="preserve"> </w:t>
      </w:r>
      <w:r w:rsidR="00C34C29">
        <w:rPr>
          <w:vertAlign w:val="superscript"/>
        </w:rPr>
        <w:t>4</w:t>
      </w:r>
      <w:r w:rsidR="00E02C21" w:rsidRPr="00781897">
        <w:t>;</w:t>
      </w:r>
      <w:r w:rsidRPr="00781897">
        <w:t xml:space="preserve"> </w:t>
      </w:r>
      <w:proofErr w:type="spellStart"/>
      <w:r w:rsidR="007A5D25" w:rsidRPr="00781897">
        <w:t>Lala</w:t>
      </w:r>
      <w:r w:rsidR="00E00D0B" w:rsidRPr="00781897">
        <w:t>ntha</w:t>
      </w:r>
      <w:proofErr w:type="spellEnd"/>
      <w:r w:rsidR="007A5D25" w:rsidRPr="00781897">
        <w:t xml:space="preserve"> </w:t>
      </w:r>
      <w:proofErr w:type="spellStart"/>
      <w:r w:rsidR="007A5D25" w:rsidRPr="00781897">
        <w:t>Leelarathna</w:t>
      </w:r>
      <w:proofErr w:type="spellEnd"/>
      <w:r w:rsidR="00E02C21" w:rsidRPr="00781897">
        <w:t xml:space="preserve">, </w:t>
      </w:r>
      <w:r w:rsidR="006A4D57" w:rsidRPr="00781897">
        <w:rPr>
          <w:i/>
          <w:iCs/>
        </w:rPr>
        <w:t xml:space="preserve">PhD </w:t>
      </w:r>
      <w:r w:rsidR="006A4D57" w:rsidRPr="00781897">
        <w:rPr>
          <w:rStyle w:val="acknowledgements"/>
          <w:i/>
        </w:rPr>
        <w:t>FRCP</w:t>
      </w:r>
      <w:r w:rsidR="006A4D57" w:rsidRPr="00781897">
        <w:rPr>
          <w:rStyle w:val="acknowledgements"/>
          <w:i/>
          <w:vertAlign w:val="superscript"/>
        </w:rPr>
        <w:t xml:space="preserve"> </w:t>
      </w:r>
      <w:r w:rsidR="001277BC">
        <w:rPr>
          <w:iCs/>
          <w:vertAlign w:val="superscript"/>
        </w:rPr>
        <w:t>1,</w:t>
      </w:r>
      <w:r w:rsidR="00C34C29">
        <w:rPr>
          <w:iCs/>
          <w:vertAlign w:val="superscript"/>
        </w:rPr>
        <w:t>5</w:t>
      </w:r>
      <w:r w:rsidR="00E02C21" w:rsidRPr="00781897">
        <w:rPr>
          <w:i/>
        </w:rPr>
        <w:t>;</w:t>
      </w:r>
      <w:r w:rsidR="004A4E3A" w:rsidRPr="00781897">
        <w:t xml:space="preserve"> Hood Thabit</w:t>
      </w:r>
      <w:r w:rsidR="00E02C21" w:rsidRPr="00781897">
        <w:t xml:space="preserve">, </w:t>
      </w:r>
      <w:r w:rsidR="006A4D57" w:rsidRPr="00781897">
        <w:rPr>
          <w:rStyle w:val="acknowledgements"/>
          <w:i/>
        </w:rPr>
        <w:t>Ph</w:t>
      </w:r>
      <w:r w:rsidR="000B2033">
        <w:rPr>
          <w:rStyle w:val="acknowledgements"/>
          <w:i/>
        </w:rPr>
        <w:t>D</w:t>
      </w:r>
      <w:r w:rsidR="006A4D57" w:rsidRPr="00781897">
        <w:rPr>
          <w:rStyle w:val="acknowledgements"/>
          <w:i/>
          <w:vertAlign w:val="superscript"/>
        </w:rPr>
        <w:t xml:space="preserve"> </w:t>
      </w:r>
      <w:r w:rsidR="001277BC">
        <w:rPr>
          <w:iCs/>
          <w:vertAlign w:val="superscript"/>
        </w:rPr>
        <w:t>1,</w:t>
      </w:r>
      <w:r w:rsidR="00C34C29">
        <w:rPr>
          <w:iCs/>
          <w:vertAlign w:val="superscript"/>
        </w:rPr>
        <w:t>5</w:t>
      </w:r>
      <w:r w:rsidR="00E02C21" w:rsidRPr="00781897">
        <w:rPr>
          <w:i/>
        </w:rPr>
        <w:t>;</w:t>
      </w:r>
      <w:r w:rsidR="004A4E3A" w:rsidRPr="00781897">
        <w:t xml:space="preserve"> </w:t>
      </w:r>
      <w:r w:rsidRPr="00781897">
        <w:t>Richard Emsley</w:t>
      </w:r>
      <w:r w:rsidR="00E02C21" w:rsidRPr="00781897">
        <w:t xml:space="preserve">, </w:t>
      </w:r>
      <w:r w:rsidR="006A4D57" w:rsidRPr="00781897">
        <w:rPr>
          <w:rStyle w:val="acknowledgements"/>
          <w:i/>
        </w:rPr>
        <w:t>PhD</w:t>
      </w:r>
      <w:r w:rsidR="006A4D57" w:rsidRPr="00781897">
        <w:rPr>
          <w:rStyle w:val="acknowledgements"/>
          <w:i/>
          <w:vertAlign w:val="superscript"/>
        </w:rPr>
        <w:t xml:space="preserve"> </w:t>
      </w:r>
      <w:r w:rsidR="00C34C29">
        <w:rPr>
          <w:rStyle w:val="acknowledgements"/>
          <w:iCs/>
          <w:vertAlign w:val="superscript"/>
        </w:rPr>
        <w:t>6</w:t>
      </w:r>
      <w:r w:rsidR="00E02C21" w:rsidRPr="00781897">
        <w:t>;</w:t>
      </w:r>
      <w:r w:rsidRPr="00781897">
        <w:t xml:space="preserve"> Iain Buchan</w:t>
      </w:r>
      <w:r w:rsidR="00E02C21" w:rsidRPr="00781897">
        <w:t xml:space="preserve">, </w:t>
      </w:r>
      <w:r w:rsidR="006A4D57" w:rsidRPr="00781897">
        <w:rPr>
          <w:i/>
          <w:iCs/>
        </w:rPr>
        <w:t>MD FFPH</w:t>
      </w:r>
      <w:r w:rsidR="006A4D57" w:rsidRPr="00781897">
        <w:rPr>
          <w:vertAlign w:val="superscript"/>
        </w:rPr>
        <w:t xml:space="preserve"> </w:t>
      </w:r>
      <w:r w:rsidR="00C34C29">
        <w:rPr>
          <w:rStyle w:val="acknowledgements"/>
          <w:iCs/>
          <w:vertAlign w:val="superscript"/>
        </w:rPr>
        <w:t>7</w:t>
      </w:r>
      <w:r w:rsidR="00E02C21" w:rsidRPr="00781897">
        <w:t>;</w:t>
      </w:r>
      <w:r w:rsidRPr="00781897">
        <w:t xml:space="preserve"> </w:t>
      </w:r>
      <w:r w:rsidRPr="00781897">
        <w:rPr>
          <w:rStyle w:val="acknowledgements"/>
          <w:iCs/>
        </w:rPr>
        <w:t>Mamas A Mamas</w:t>
      </w:r>
      <w:r w:rsidR="00E02C21" w:rsidRPr="00781897">
        <w:rPr>
          <w:rStyle w:val="acknowledgements"/>
          <w:iCs/>
        </w:rPr>
        <w:t xml:space="preserve">, </w:t>
      </w:r>
      <w:r w:rsidR="006A4D57" w:rsidRPr="00781897">
        <w:rPr>
          <w:rStyle w:val="acknowledgements"/>
          <w:i/>
        </w:rPr>
        <w:t>PhD FRCP</w:t>
      </w:r>
      <w:r w:rsidR="006A4D57" w:rsidRPr="00781897">
        <w:rPr>
          <w:rStyle w:val="acknowledgements"/>
          <w:i/>
          <w:vertAlign w:val="superscript"/>
        </w:rPr>
        <w:t xml:space="preserve"> </w:t>
      </w:r>
      <w:r w:rsidR="00C34C29">
        <w:rPr>
          <w:rStyle w:val="acknowledgements"/>
          <w:iCs/>
          <w:vertAlign w:val="superscript"/>
        </w:rPr>
        <w:t>8</w:t>
      </w:r>
      <w:r w:rsidR="00E02C21" w:rsidRPr="00781897">
        <w:rPr>
          <w:rStyle w:val="acknowledgements"/>
          <w:iCs/>
        </w:rPr>
        <w:t>;</w:t>
      </w:r>
      <w:r w:rsidRPr="00781897">
        <w:rPr>
          <w:rStyle w:val="acknowledgements"/>
          <w:iCs/>
        </w:rPr>
        <w:t xml:space="preserve"> </w:t>
      </w:r>
      <w:proofErr w:type="spellStart"/>
      <w:r w:rsidRPr="00781897">
        <w:rPr>
          <w:rStyle w:val="acknowledgements"/>
          <w:iCs/>
        </w:rPr>
        <w:t>Tjeerd</w:t>
      </w:r>
      <w:proofErr w:type="spellEnd"/>
      <w:r w:rsidRPr="00781897">
        <w:rPr>
          <w:rStyle w:val="acknowledgements"/>
          <w:iCs/>
        </w:rPr>
        <w:t xml:space="preserve"> </w:t>
      </w:r>
      <w:r w:rsidR="00275978" w:rsidRPr="00781897">
        <w:rPr>
          <w:rStyle w:val="acknowledgements"/>
          <w:iCs/>
        </w:rPr>
        <w:t xml:space="preserve">P </w:t>
      </w:r>
      <w:r w:rsidR="004D0C77" w:rsidRPr="00781897">
        <w:rPr>
          <w:rStyle w:val="acknowledgements"/>
          <w:iCs/>
        </w:rPr>
        <w:t>v</w:t>
      </w:r>
      <w:r w:rsidRPr="00781897">
        <w:rPr>
          <w:rStyle w:val="acknowledgements"/>
          <w:iCs/>
        </w:rPr>
        <w:t xml:space="preserve">an </w:t>
      </w:r>
      <w:proofErr w:type="spellStart"/>
      <w:r w:rsidRPr="00781897">
        <w:rPr>
          <w:rStyle w:val="acknowledgements"/>
          <w:iCs/>
        </w:rPr>
        <w:t>Staa</w:t>
      </w:r>
      <w:proofErr w:type="spellEnd"/>
      <w:r w:rsidR="00E02C21" w:rsidRPr="00781897">
        <w:rPr>
          <w:rStyle w:val="acknowledgements"/>
          <w:iCs/>
        </w:rPr>
        <w:t>,</w:t>
      </w:r>
      <w:r w:rsidR="006A4D57" w:rsidRPr="00781897">
        <w:rPr>
          <w:rStyle w:val="acknowledgements"/>
          <w:iCs/>
        </w:rPr>
        <w:t xml:space="preserve"> </w:t>
      </w:r>
      <w:r w:rsidR="006A4D57" w:rsidRPr="00781897">
        <w:rPr>
          <w:rStyle w:val="acknowledgements"/>
          <w:i/>
        </w:rPr>
        <w:t>MD PhD</w:t>
      </w:r>
      <w:r w:rsidR="006A4D57" w:rsidRPr="00781897">
        <w:rPr>
          <w:rStyle w:val="acknowledgements"/>
          <w:iCs/>
          <w:vertAlign w:val="superscript"/>
        </w:rPr>
        <w:t xml:space="preserve"> </w:t>
      </w:r>
      <w:r w:rsidR="00C34C29">
        <w:rPr>
          <w:rStyle w:val="acknowledgements"/>
          <w:iCs/>
          <w:vertAlign w:val="superscript"/>
        </w:rPr>
        <w:t>9</w:t>
      </w:r>
      <w:r w:rsidR="00E02C21" w:rsidRPr="00781897">
        <w:rPr>
          <w:rStyle w:val="acknowledgements"/>
          <w:iCs/>
        </w:rPr>
        <w:t>;</w:t>
      </w:r>
      <w:r w:rsidRPr="00781897">
        <w:rPr>
          <w:rStyle w:val="acknowledgements"/>
          <w:iCs/>
        </w:rPr>
        <w:t xml:space="preserve"> </w:t>
      </w:r>
      <w:r w:rsidRPr="00781897">
        <w:t>Naveed Sattar</w:t>
      </w:r>
      <w:r w:rsidR="00E02C21" w:rsidRPr="00781897">
        <w:t>,</w:t>
      </w:r>
      <w:r w:rsidR="006A4D57" w:rsidRPr="00781897">
        <w:rPr>
          <w:i/>
        </w:rPr>
        <w:t xml:space="preserve"> PhD FRCP</w:t>
      </w:r>
      <w:r w:rsidR="006A4D57" w:rsidRPr="00781897">
        <w:rPr>
          <w:i/>
          <w:vertAlign w:val="superscript"/>
        </w:rPr>
        <w:t xml:space="preserve"> </w:t>
      </w:r>
      <w:r w:rsidR="00C34C29">
        <w:rPr>
          <w:rStyle w:val="acknowledgements"/>
          <w:iCs/>
          <w:vertAlign w:val="superscript"/>
        </w:rPr>
        <w:t>10</w:t>
      </w:r>
      <w:r w:rsidR="00E02C21" w:rsidRPr="00781897">
        <w:rPr>
          <w:rStyle w:val="acknowledgements"/>
          <w:iCs/>
        </w:rPr>
        <w:t>;</w:t>
      </w:r>
      <w:r w:rsidRPr="00781897">
        <w:rPr>
          <w:rStyle w:val="acknowledgements"/>
          <w:iCs/>
        </w:rPr>
        <w:t xml:space="preserve"> Darren M Ashcroft</w:t>
      </w:r>
      <w:r w:rsidR="00E02C21" w:rsidRPr="00781897">
        <w:rPr>
          <w:rStyle w:val="acknowledgements"/>
          <w:iCs/>
        </w:rPr>
        <w:t xml:space="preserve">, </w:t>
      </w:r>
      <w:r w:rsidR="00E02C21" w:rsidRPr="00781897">
        <w:rPr>
          <w:rStyle w:val="acknowledgements"/>
          <w:i/>
        </w:rPr>
        <w:t>PhD</w:t>
      </w:r>
      <w:r w:rsidR="006A4D57" w:rsidRPr="00781897">
        <w:rPr>
          <w:rStyle w:val="acknowledgements"/>
          <w:iCs/>
          <w:vertAlign w:val="superscript"/>
        </w:rPr>
        <w:t xml:space="preserve"> </w:t>
      </w:r>
      <w:r w:rsidR="001277BC">
        <w:rPr>
          <w:rStyle w:val="acknowledgements"/>
          <w:iCs/>
          <w:vertAlign w:val="superscript"/>
        </w:rPr>
        <w:t>2</w:t>
      </w:r>
      <w:r w:rsidR="00C34C29">
        <w:rPr>
          <w:rStyle w:val="acknowledgements"/>
          <w:iCs/>
          <w:vertAlign w:val="superscript"/>
        </w:rPr>
        <w:t>,3</w:t>
      </w:r>
      <w:r w:rsidR="001277BC" w:rsidRPr="00781897">
        <w:rPr>
          <w:rStyle w:val="acknowledgements"/>
          <w:iCs/>
        </w:rPr>
        <w:t>*</w:t>
      </w:r>
      <w:r w:rsidR="00E02C21" w:rsidRPr="00781897">
        <w:rPr>
          <w:rStyle w:val="acknowledgements"/>
          <w:iCs/>
        </w:rPr>
        <w:t>;</w:t>
      </w:r>
      <w:r w:rsidRPr="00781897">
        <w:rPr>
          <w:rStyle w:val="acknowledgements"/>
          <w:iCs/>
        </w:rPr>
        <w:t xml:space="preserve"> Martin K Rutter</w:t>
      </w:r>
      <w:r w:rsidR="00E02C21" w:rsidRPr="00781897">
        <w:rPr>
          <w:rStyle w:val="acknowledgements"/>
          <w:iCs/>
        </w:rPr>
        <w:t xml:space="preserve">, </w:t>
      </w:r>
      <w:r w:rsidR="006A4D57" w:rsidRPr="00781897">
        <w:rPr>
          <w:rStyle w:val="acknowledgements"/>
          <w:i/>
          <w:iCs/>
        </w:rPr>
        <w:t>MD FRCP</w:t>
      </w:r>
      <w:r w:rsidR="006A4D57" w:rsidRPr="00781897">
        <w:rPr>
          <w:rStyle w:val="acknowledgements"/>
          <w:i/>
          <w:iCs/>
          <w:vertAlign w:val="superscript"/>
        </w:rPr>
        <w:t xml:space="preserve"> </w:t>
      </w:r>
      <w:r w:rsidR="001277BC">
        <w:rPr>
          <w:rStyle w:val="acknowledgements"/>
          <w:iCs/>
          <w:vertAlign w:val="superscript"/>
        </w:rPr>
        <w:t>1,4</w:t>
      </w:r>
      <w:r w:rsidR="001277BC" w:rsidRPr="00781897">
        <w:rPr>
          <w:rStyle w:val="acknowledgements"/>
          <w:iCs/>
        </w:rPr>
        <w:t>*</w:t>
      </w:r>
    </w:p>
    <w:p w14:paraId="117B9807" w14:textId="36F9B40A" w:rsidR="005B79C5" w:rsidRPr="00781897" w:rsidRDefault="00EF79E0" w:rsidP="005B79C5">
      <w:pPr>
        <w:contextualSpacing/>
      </w:pPr>
      <w:r w:rsidRPr="00781897">
        <w:t>*</w:t>
      </w:r>
      <w:proofErr w:type="gramStart"/>
      <w:r w:rsidRPr="00781897">
        <w:t>contributed</w:t>
      </w:r>
      <w:proofErr w:type="gramEnd"/>
      <w:r w:rsidRPr="00781897">
        <w:t xml:space="preserve"> equally, dual senior authorship</w:t>
      </w:r>
    </w:p>
    <w:p w14:paraId="0D29A3BF" w14:textId="5B7B21BA" w:rsidR="005B79C5" w:rsidRDefault="005B79C5" w:rsidP="00781897">
      <w:pPr>
        <w:contextualSpacing/>
        <w:rPr>
          <w:rStyle w:val="acknowledgements"/>
          <w:iCs/>
          <w:u w:val="single"/>
        </w:rPr>
      </w:pPr>
    </w:p>
    <w:p w14:paraId="68F2B659" w14:textId="1B190627" w:rsidR="00D270AD" w:rsidRPr="00781897" w:rsidRDefault="00D270AD" w:rsidP="00781897">
      <w:pPr>
        <w:contextualSpacing/>
        <w:rPr>
          <w:rStyle w:val="acknowledgements"/>
          <w:iCs/>
        </w:rPr>
      </w:pPr>
      <w:r w:rsidRPr="00781897">
        <w:rPr>
          <w:rStyle w:val="acknowledgements"/>
          <w:iCs/>
          <w:u w:val="single"/>
        </w:rPr>
        <w:t>Author Affiliations</w:t>
      </w:r>
      <w:r w:rsidRPr="00781897">
        <w:rPr>
          <w:rStyle w:val="acknowledgements"/>
          <w:iCs/>
        </w:rPr>
        <w:t>:</w:t>
      </w:r>
    </w:p>
    <w:p w14:paraId="424A6852" w14:textId="51B20F5B" w:rsidR="00D270AD" w:rsidRPr="00781897" w:rsidRDefault="001277BC" w:rsidP="00781897">
      <w:pPr>
        <w:contextualSpacing/>
      </w:pPr>
      <w:r>
        <w:rPr>
          <w:vertAlign w:val="superscript"/>
        </w:rPr>
        <w:t>1</w:t>
      </w:r>
      <w:r w:rsidR="00D270AD" w:rsidRPr="00781897">
        <w:t xml:space="preserve"> Division of Diabetes, Endocrinology and Gastroenterology, School of Medical Sciences, University of Manchester</w:t>
      </w:r>
    </w:p>
    <w:p w14:paraId="2385D67F" w14:textId="77777777" w:rsidR="00C34C29" w:rsidRDefault="001277BC" w:rsidP="00781897">
      <w:pPr>
        <w:contextualSpacing/>
      </w:pPr>
      <w:r>
        <w:rPr>
          <w:vertAlign w:val="superscript"/>
        </w:rPr>
        <w:t>2</w:t>
      </w:r>
      <w:r w:rsidR="00254FCC" w:rsidRPr="00781897">
        <w:rPr>
          <w:vertAlign w:val="superscript"/>
        </w:rPr>
        <w:t xml:space="preserve"> </w:t>
      </w:r>
      <w:r w:rsidR="00254FCC" w:rsidRPr="00781897">
        <w:t>Centre for Pharmacoepidemiology and Drug Safety; Division of Pharmacy and Optometry, School of Health Sciences, University of Manchester, Manchester Academic Health Sciences Centre</w:t>
      </w:r>
    </w:p>
    <w:p w14:paraId="3B90F286" w14:textId="1F3537E8" w:rsidR="00254FCC" w:rsidRPr="00781897" w:rsidRDefault="00C34C29" w:rsidP="00781897">
      <w:pPr>
        <w:contextualSpacing/>
      </w:pPr>
      <w:r>
        <w:rPr>
          <w:vertAlign w:val="superscript"/>
        </w:rPr>
        <w:t>3</w:t>
      </w:r>
      <w:r>
        <w:t xml:space="preserve"> NIHR Greater Manchester Patient Safety Translational Research Centre, School of Health Sciences, University of Manchester</w:t>
      </w:r>
      <w:r w:rsidR="003A4DD5" w:rsidRPr="00781897">
        <w:t xml:space="preserve"> </w:t>
      </w:r>
    </w:p>
    <w:p w14:paraId="1A54A90C" w14:textId="7F32992B" w:rsidR="00EF79E0" w:rsidRPr="00781897" w:rsidRDefault="00C34C29" w:rsidP="00781897">
      <w:r>
        <w:rPr>
          <w:vertAlign w:val="superscript"/>
        </w:rPr>
        <w:t>4</w:t>
      </w:r>
      <w:r w:rsidR="00D270AD" w:rsidRPr="00781897">
        <w:t xml:space="preserve"> Division of Population Health, Health Services &amp; Primary Care, School of Health Sciences, University of Manchester</w:t>
      </w:r>
    </w:p>
    <w:p w14:paraId="676EA71F" w14:textId="532B13B6" w:rsidR="00334F0D" w:rsidRPr="00781897" w:rsidRDefault="00C34C29" w:rsidP="00781897">
      <w:r>
        <w:rPr>
          <w:vertAlign w:val="superscript"/>
        </w:rPr>
        <w:t>5</w:t>
      </w:r>
      <w:r w:rsidR="00334F0D" w:rsidRPr="00781897">
        <w:rPr>
          <w:vertAlign w:val="superscript"/>
        </w:rPr>
        <w:t xml:space="preserve"> </w:t>
      </w:r>
      <w:r w:rsidR="00334F0D" w:rsidRPr="00781897">
        <w:t>Diabetes</w:t>
      </w:r>
      <w:r w:rsidR="00D83F2C">
        <w:t>, Endocrinology and Metabolism</w:t>
      </w:r>
      <w:r w:rsidR="00334F0D" w:rsidRPr="00781897">
        <w:t xml:space="preserve"> Centre, Manchester Royal Infirmary, Manchester University NHS Foundation Trust, Manchester Academic Health Sciences Centre</w:t>
      </w:r>
    </w:p>
    <w:p w14:paraId="5559FE17" w14:textId="36A00828" w:rsidR="00C772F4" w:rsidRPr="00781897" w:rsidRDefault="00C34C29" w:rsidP="00781897">
      <w:r>
        <w:rPr>
          <w:rStyle w:val="acknowledgements"/>
          <w:iCs/>
          <w:vertAlign w:val="superscript"/>
        </w:rPr>
        <w:t>6</w:t>
      </w:r>
      <w:r w:rsidR="00334F0D" w:rsidRPr="00781897">
        <w:rPr>
          <w:rStyle w:val="acknowledgements"/>
          <w:iCs/>
        </w:rPr>
        <w:t xml:space="preserve"> </w:t>
      </w:r>
      <w:r w:rsidR="00D270AD" w:rsidRPr="00781897">
        <w:rPr>
          <w:rStyle w:val="acknowledgements"/>
          <w:iCs/>
        </w:rPr>
        <w:t>Department of Biostatistics &amp; Health Informatics, Institute of Psychiatry, Psychology and Neuroscience, King’s College London</w:t>
      </w:r>
    </w:p>
    <w:p w14:paraId="2B5EAA7A" w14:textId="3465B49C" w:rsidR="00486E2B" w:rsidRPr="00781897" w:rsidRDefault="00C34C29" w:rsidP="00781897">
      <w:r>
        <w:rPr>
          <w:vertAlign w:val="superscript"/>
        </w:rPr>
        <w:t>7</w:t>
      </w:r>
      <w:r w:rsidR="00334F0D" w:rsidRPr="00781897">
        <w:t xml:space="preserve"> </w:t>
      </w:r>
      <w:r w:rsidR="00486E2B" w:rsidRPr="00781897">
        <w:rPr>
          <w:rFonts w:eastAsia="Arial"/>
        </w:rPr>
        <w:t>Institute of Population Health, University of Liverpool</w:t>
      </w:r>
    </w:p>
    <w:p w14:paraId="4EDFDA16" w14:textId="3CCE827D" w:rsidR="00D270AD" w:rsidRPr="00781897" w:rsidRDefault="00C34C29" w:rsidP="00781897">
      <w:r>
        <w:rPr>
          <w:vertAlign w:val="superscript"/>
        </w:rPr>
        <w:t>8</w:t>
      </w:r>
      <w:r w:rsidR="00334F0D" w:rsidRPr="00781897">
        <w:t xml:space="preserve"> </w:t>
      </w:r>
      <w:proofErr w:type="spellStart"/>
      <w:r w:rsidR="00D270AD" w:rsidRPr="00781897">
        <w:t>Keele</w:t>
      </w:r>
      <w:proofErr w:type="spellEnd"/>
      <w:r w:rsidR="00D270AD" w:rsidRPr="00781897">
        <w:t xml:space="preserve"> Cardiovascular Group, Centre for Prognosis Research, </w:t>
      </w:r>
      <w:proofErr w:type="spellStart"/>
      <w:r w:rsidR="00D270AD" w:rsidRPr="00781897">
        <w:t>Keele</w:t>
      </w:r>
      <w:proofErr w:type="spellEnd"/>
      <w:r w:rsidR="00D270AD" w:rsidRPr="00781897">
        <w:t xml:space="preserve"> University</w:t>
      </w:r>
    </w:p>
    <w:p w14:paraId="7CBE6072" w14:textId="5970C9A1" w:rsidR="00D270AD" w:rsidRPr="00781897" w:rsidRDefault="00C34C29" w:rsidP="00781897">
      <w:r>
        <w:rPr>
          <w:rStyle w:val="acknowledgements"/>
          <w:iCs/>
          <w:vertAlign w:val="superscript"/>
        </w:rPr>
        <w:t>9</w:t>
      </w:r>
      <w:r w:rsidR="00D270AD" w:rsidRPr="00781897">
        <w:rPr>
          <w:rStyle w:val="acknowledgements"/>
          <w:iCs/>
        </w:rPr>
        <w:t xml:space="preserve"> </w:t>
      </w:r>
      <w:r w:rsidR="00577A6F" w:rsidRPr="00781897">
        <w:t>Division of Informatics, Imaging &amp; Data Sciences</w:t>
      </w:r>
      <w:r w:rsidR="00D270AD" w:rsidRPr="00781897">
        <w:t>,</w:t>
      </w:r>
      <w:r>
        <w:t xml:space="preserve"> School of Health Sciences,</w:t>
      </w:r>
      <w:r w:rsidR="00D270AD" w:rsidRPr="00781897">
        <w:t xml:space="preserve"> University of Manchester</w:t>
      </w:r>
    </w:p>
    <w:p w14:paraId="2E86E92E" w14:textId="56F4059F" w:rsidR="00D270AD" w:rsidRPr="00781897" w:rsidRDefault="00C34C29" w:rsidP="00781897">
      <w:pPr>
        <w:rPr>
          <w:rStyle w:val="acknowledgements"/>
        </w:rPr>
      </w:pPr>
      <w:r>
        <w:rPr>
          <w:rStyle w:val="acknowledgements"/>
          <w:iCs/>
          <w:vertAlign w:val="superscript"/>
        </w:rPr>
        <w:t>10</w:t>
      </w:r>
      <w:r w:rsidR="00D270AD" w:rsidRPr="00781897">
        <w:rPr>
          <w:rStyle w:val="acknowledgements"/>
          <w:iCs/>
        </w:rPr>
        <w:t xml:space="preserve"> Institute of Cardiovascular &amp; Medical Sciences, University of Glasgow</w:t>
      </w:r>
    </w:p>
    <w:p w14:paraId="3062D52E" w14:textId="247CB575" w:rsidR="00D270AD" w:rsidRDefault="00D270AD" w:rsidP="00781897">
      <w:pPr>
        <w:contextualSpacing/>
        <w:rPr>
          <w:u w:val="single"/>
        </w:rPr>
      </w:pPr>
    </w:p>
    <w:p w14:paraId="18876E21" w14:textId="77777777" w:rsidR="004A647C" w:rsidRPr="00781897" w:rsidRDefault="004A647C" w:rsidP="00781897">
      <w:pPr>
        <w:contextualSpacing/>
        <w:rPr>
          <w:u w:val="single"/>
        </w:rPr>
      </w:pPr>
    </w:p>
    <w:p w14:paraId="1B8BE063" w14:textId="3EFA6BA5" w:rsidR="00AF2048" w:rsidRPr="00781897" w:rsidRDefault="0042521B" w:rsidP="00781897">
      <w:pPr>
        <w:contextualSpacing/>
      </w:pPr>
      <w:r>
        <w:rPr>
          <w:u w:val="single"/>
        </w:rPr>
        <w:t>Corresponding author contact information</w:t>
      </w:r>
      <w:r w:rsidR="00D270AD" w:rsidRPr="00781897">
        <w:t xml:space="preserve">: </w:t>
      </w:r>
    </w:p>
    <w:p w14:paraId="5A990E04" w14:textId="602BE624" w:rsidR="00D270AD" w:rsidRPr="00781897" w:rsidRDefault="00021C69" w:rsidP="00781897">
      <w:pPr>
        <w:contextualSpacing/>
      </w:pPr>
      <w:r w:rsidRPr="00781897">
        <w:t>Dr Alison K. Wright</w:t>
      </w:r>
    </w:p>
    <w:p w14:paraId="45C13325" w14:textId="77777777" w:rsidR="001277BC" w:rsidRPr="00D777FA" w:rsidRDefault="001277BC" w:rsidP="00781897">
      <w:pPr>
        <w:tabs>
          <w:tab w:val="left" w:pos="3686"/>
        </w:tabs>
        <w:rPr>
          <w:color w:val="000000" w:themeColor="text1"/>
          <w:sz w:val="12"/>
          <w:szCs w:val="12"/>
        </w:rPr>
      </w:pPr>
    </w:p>
    <w:p w14:paraId="2FDC1069" w14:textId="45472969" w:rsidR="00AF2048" w:rsidRPr="00781897" w:rsidRDefault="00D777FA" w:rsidP="00781897">
      <w:pPr>
        <w:tabs>
          <w:tab w:val="left" w:pos="3686"/>
        </w:tabs>
        <w:rPr>
          <w:color w:val="000000" w:themeColor="text1"/>
        </w:rPr>
      </w:pPr>
      <w:r>
        <w:rPr>
          <w:color w:val="000000" w:themeColor="text1"/>
        </w:rPr>
        <w:t xml:space="preserve">Address - </w:t>
      </w:r>
      <w:r w:rsidR="00AF2048" w:rsidRPr="00781897">
        <w:rPr>
          <w:color w:val="000000" w:themeColor="text1"/>
        </w:rPr>
        <w:t xml:space="preserve">Centre for Pharmacoepidemiology and Drug Safety, Division of Pharmacy and Optometry, The University of Manchester, Stopford Building, Oxford Road, Manchester, M13 9PT </w:t>
      </w:r>
    </w:p>
    <w:p w14:paraId="1962B876" w14:textId="77777777" w:rsidR="001277BC" w:rsidRPr="00D777FA" w:rsidRDefault="001277BC" w:rsidP="00781897">
      <w:pPr>
        <w:tabs>
          <w:tab w:val="left" w:pos="3686"/>
        </w:tabs>
        <w:rPr>
          <w:sz w:val="16"/>
          <w:szCs w:val="16"/>
        </w:rPr>
      </w:pPr>
    </w:p>
    <w:p w14:paraId="71C7CCFD" w14:textId="560C7F67" w:rsidR="000A692A" w:rsidRDefault="001277BC" w:rsidP="00781897">
      <w:pPr>
        <w:tabs>
          <w:tab w:val="left" w:pos="3686"/>
        </w:tabs>
      </w:pPr>
      <w:r>
        <w:t xml:space="preserve">Email - </w:t>
      </w:r>
      <w:hyperlink r:id="rId8" w:history="1">
        <w:r w:rsidRPr="0054449C">
          <w:rPr>
            <w:rStyle w:val="Hyperlink"/>
          </w:rPr>
          <w:t>alison.wright@manchester.ac.uk</w:t>
        </w:r>
      </w:hyperlink>
    </w:p>
    <w:p w14:paraId="38807F97" w14:textId="77777777" w:rsidR="00D777FA" w:rsidRPr="00D777FA" w:rsidRDefault="00D777FA" w:rsidP="00781897">
      <w:pPr>
        <w:tabs>
          <w:tab w:val="left" w:pos="3686"/>
        </w:tabs>
        <w:rPr>
          <w:rStyle w:val="Hyperlink"/>
          <w:color w:val="000000" w:themeColor="text1"/>
          <w:sz w:val="12"/>
          <w:szCs w:val="12"/>
          <w:u w:val="none"/>
        </w:rPr>
      </w:pPr>
    </w:p>
    <w:p w14:paraId="19218815" w14:textId="2B016F10" w:rsidR="004A647C" w:rsidRDefault="004A647C" w:rsidP="00781897">
      <w:pPr>
        <w:tabs>
          <w:tab w:val="left" w:pos="3686"/>
        </w:tabs>
        <w:rPr>
          <w:rStyle w:val="Hyperlink"/>
          <w:color w:val="000000" w:themeColor="text1"/>
          <w:u w:val="none"/>
        </w:rPr>
      </w:pPr>
      <w:r>
        <w:rPr>
          <w:rStyle w:val="Hyperlink"/>
          <w:color w:val="000000" w:themeColor="text1"/>
          <w:u w:val="none"/>
        </w:rPr>
        <w:t>Telephone -  (+44)161 275 8334</w:t>
      </w:r>
    </w:p>
    <w:p w14:paraId="779EB8E5" w14:textId="3600226A" w:rsidR="00160B52" w:rsidRDefault="00160B52" w:rsidP="00781897">
      <w:pPr>
        <w:tabs>
          <w:tab w:val="left" w:pos="3686"/>
        </w:tabs>
        <w:rPr>
          <w:color w:val="000000" w:themeColor="text1"/>
          <w:u w:val="single"/>
        </w:rPr>
      </w:pPr>
    </w:p>
    <w:p w14:paraId="3E351A18" w14:textId="77777777" w:rsidR="00CD7690" w:rsidRDefault="00CD7690" w:rsidP="00781897">
      <w:pPr>
        <w:tabs>
          <w:tab w:val="left" w:pos="3686"/>
        </w:tabs>
        <w:rPr>
          <w:color w:val="000000" w:themeColor="text1"/>
          <w:u w:val="single"/>
        </w:rPr>
      </w:pPr>
    </w:p>
    <w:p w14:paraId="5C3AB4E7" w14:textId="460C85D2" w:rsidR="0042521B" w:rsidRDefault="0042521B" w:rsidP="0042521B">
      <w:pPr>
        <w:contextualSpacing/>
      </w:pPr>
      <w:r>
        <w:rPr>
          <w:u w:val="single"/>
        </w:rPr>
        <w:t>Total w</w:t>
      </w:r>
      <w:r w:rsidRPr="00781897">
        <w:rPr>
          <w:u w:val="single"/>
        </w:rPr>
        <w:t>ord count</w:t>
      </w:r>
      <w:r w:rsidRPr="00781897">
        <w:t>:</w:t>
      </w:r>
      <w:r>
        <w:t xml:space="preserve"> </w:t>
      </w:r>
      <w:r w:rsidR="00840002">
        <w:t>4,</w:t>
      </w:r>
      <w:r w:rsidR="00ED709A">
        <w:t>599</w:t>
      </w:r>
    </w:p>
    <w:p w14:paraId="32CA8524" w14:textId="1E628E1F" w:rsidR="0042521B" w:rsidRDefault="0042521B" w:rsidP="0042521B">
      <w:pPr>
        <w:contextualSpacing/>
      </w:pPr>
    </w:p>
    <w:p w14:paraId="45F2FF26" w14:textId="5C3ECCBB" w:rsidR="0042521B" w:rsidRDefault="0042521B" w:rsidP="0042521B">
      <w:pPr>
        <w:contextualSpacing/>
      </w:pPr>
      <w:r w:rsidRPr="0042521B">
        <w:rPr>
          <w:u w:val="single"/>
        </w:rPr>
        <w:t>Number of Tables</w:t>
      </w:r>
      <w:r>
        <w:t>:</w:t>
      </w:r>
      <w:r w:rsidR="001A2EAB">
        <w:t xml:space="preserve"> </w:t>
      </w:r>
      <w:r w:rsidR="00BC43E6">
        <w:t>1</w:t>
      </w:r>
    </w:p>
    <w:p w14:paraId="733B881D" w14:textId="4DE1C71B" w:rsidR="0042521B" w:rsidRDefault="0042521B" w:rsidP="0042521B">
      <w:pPr>
        <w:contextualSpacing/>
      </w:pPr>
    </w:p>
    <w:p w14:paraId="03CF9DDE" w14:textId="704118EB" w:rsidR="00B84353" w:rsidRPr="00B84353" w:rsidRDefault="0042521B" w:rsidP="004D30C7">
      <w:pPr>
        <w:contextualSpacing/>
        <w:rPr>
          <w:color w:val="000000" w:themeColor="text1"/>
        </w:rPr>
      </w:pPr>
      <w:r w:rsidRPr="0042521B">
        <w:rPr>
          <w:u w:val="single"/>
        </w:rPr>
        <w:t>Number of Figures</w:t>
      </w:r>
      <w:r>
        <w:t>:</w:t>
      </w:r>
      <w:r w:rsidR="001A2EAB">
        <w:t xml:space="preserve"> </w:t>
      </w:r>
      <w:r w:rsidR="00BC43E6">
        <w:t>3</w:t>
      </w:r>
      <w:r w:rsidR="00B84353">
        <w:rPr>
          <w:color w:val="000000" w:themeColor="text1"/>
        </w:rPr>
        <w:t xml:space="preserve">         </w:t>
      </w:r>
    </w:p>
    <w:p w14:paraId="3125812C" w14:textId="60C8786F" w:rsidR="0042521B" w:rsidRPr="00781897" w:rsidRDefault="0042521B" w:rsidP="00781897">
      <w:pPr>
        <w:tabs>
          <w:tab w:val="left" w:pos="3686"/>
        </w:tabs>
        <w:rPr>
          <w:color w:val="000000" w:themeColor="text1"/>
          <w:u w:val="single"/>
        </w:rPr>
        <w:sectPr w:rsidR="0042521B" w:rsidRPr="00781897" w:rsidSect="00781897">
          <w:footerReference w:type="even" r:id="rId9"/>
          <w:footerReference w:type="default" r:id="rId10"/>
          <w:pgSz w:w="11906" w:h="16838"/>
          <w:pgMar w:top="1440" w:right="1440" w:bottom="1440" w:left="1440" w:header="708" w:footer="708" w:gutter="0"/>
          <w:cols w:space="708"/>
          <w:docGrid w:linePitch="360"/>
        </w:sectPr>
      </w:pPr>
    </w:p>
    <w:p w14:paraId="6AE95A74" w14:textId="1B4F9537" w:rsidR="0093493C" w:rsidRPr="00B84353" w:rsidRDefault="00D270AD" w:rsidP="00781897">
      <w:pPr>
        <w:contextualSpacing/>
      </w:pPr>
      <w:r w:rsidRPr="00781897">
        <w:rPr>
          <w:b/>
          <w:bCs/>
        </w:rPr>
        <w:lastRenderedPageBreak/>
        <w:t>Abstract</w:t>
      </w:r>
      <w:r w:rsidR="00B84353">
        <w:rPr>
          <w:b/>
          <w:bCs/>
        </w:rPr>
        <w:t xml:space="preserve"> </w:t>
      </w:r>
      <w:r w:rsidR="00B84353" w:rsidRPr="00B84353">
        <w:t>(</w:t>
      </w:r>
      <w:r w:rsidR="00DB5BF8">
        <w:t xml:space="preserve">235 </w:t>
      </w:r>
      <w:r w:rsidR="00B84353" w:rsidRPr="00B84353">
        <w:t>words)</w:t>
      </w:r>
    </w:p>
    <w:p w14:paraId="777D586F" w14:textId="77777777" w:rsidR="00B84353" w:rsidRPr="00781897" w:rsidRDefault="00B84353" w:rsidP="00781897">
      <w:pPr>
        <w:contextualSpacing/>
      </w:pPr>
    </w:p>
    <w:p w14:paraId="65A4E2AC" w14:textId="002F0238" w:rsidR="00781897" w:rsidRPr="004849AB" w:rsidRDefault="004849AB" w:rsidP="001A2EAB">
      <w:pPr>
        <w:pStyle w:val="NormalWeb"/>
        <w:spacing w:before="0" w:beforeAutospacing="0" w:after="0" w:afterAutospacing="0" w:line="480" w:lineRule="auto"/>
        <w:contextualSpacing/>
        <w:rPr>
          <w:b/>
          <w:bCs/>
        </w:rPr>
      </w:pPr>
      <w:r w:rsidRPr="004849AB">
        <w:rPr>
          <w:b/>
          <w:bCs/>
        </w:rPr>
        <w:t xml:space="preserve">Objective: </w:t>
      </w:r>
      <w:r w:rsidRPr="004849AB">
        <w:t>To assess association</w:t>
      </w:r>
      <w:r w:rsidR="00293A6D">
        <w:t>s</w:t>
      </w:r>
      <w:r w:rsidRPr="004849AB">
        <w:t xml:space="preserve"> between current use of SGLT2i, GLP-1RA and their combination </w:t>
      </w:r>
      <w:r w:rsidR="007F46C9">
        <w:t>and</w:t>
      </w:r>
      <w:r w:rsidRPr="004849AB">
        <w:t xml:space="preserve"> risk </w:t>
      </w:r>
      <w:r w:rsidR="00293A6D">
        <w:t>for</w:t>
      </w:r>
      <w:r w:rsidRPr="004849AB">
        <w:t xml:space="preserve"> MACCE and heart failure (HF) i</w:t>
      </w:r>
      <w:r w:rsidR="00FE0009">
        <w:t>n</w:t>
      </w:r>
      <w:r w:rsidRPr="004849AB">
        <w:t xml:space="preserve"> </w:t>
      </w:r>
      <w:r w:rsidR="00C34C29">
        <w:t xml:space="preserve">people with </w:t>
      </w:r>
      <w:r w:rsidRPr="004849AB">
        <w:t>type 2 diabetes.</w:t>
      </w:r>
    </w:p>
    <w:p w14:paraId="07D9D141" w14:textId="71D23FAE" w:rsidR="00F00D9C" w:rsidRPr="00781897" w:rsidRDefault="00B84353" w:rsidP="001A2EAB">
      <w:pPr>
        <w:pStyle w:val="NormalWeb"/>
        <w:spacing w:before="0" w:beforeAutospacing="0" w:after="0" w:afterAutospacing="0" w:line="480" w:lineRule="auto"/>
        <w:contextualSpacing/>
        <w:rPr>
          <w:b/>
          <w:bCs/>
        </w:rPr>
      </w:pPr>
      <w:r>
        <w:rPr>
          <w:b/>
          <w:bCs/>
        </w:rPr>
        <w:t xml:space="preserve">Research Design and </w:t>
      </w:r>
      <w:r w:rsidR="00F00D9C" w:rsidRPr="004849AB">
        <w:rPr>
          <w:b/>
          <w:bCs/>
        </w:rPr>
        <w:t>Methods:</w:t>
      </w:r>
      <w:r w:rsidR="00F00D9C" w:rsidRPr="004849AB">
        <w:rPr>
          <w:rStyle w:val="Strong"/>
          <w:b w:val="0"/>
          <w:bCs w:val="0"/>
        </w:rPr>
        <w:t xml:space="preserve"> In three</w:t>
      </w:r>
      <w:r w:rsidR="00F00D9C" w:rsidRPr="00781897">
        <w:rPr>
          <w:rStyle w:val="Strong"/>
          <w:b w:val="0"/>
          <w:bCs w:val="0"/>
        </w:rPr>
        <w:t xml:space="preserve"> nested case-control studies involving people with </w:t>
      </w:r>
      <w:r w:rsidR="005A498B" w:rsidRPr="004849AB">
        <w:t>type 2 diabetes</w:t>
      </w:r>
      <w:r w:rsidR="005A498B" w:rsidDel="005A498B">
        <w:rPr>
          <w:rStyle w:val="Strong"/>
          <w:b w:val="0"/>
          <w:bCs w:val="0"/>
        </w:rPr>
        <w:t xml:space="preserve"> </w:t>
      </w:r>
      <w:r w:rsidR="00F00D9C" w:rsidRPr="00781897">
        <w:rPr>
          <w:rStyle w:val="Strong"/>
          <w:b w:val="0"/>
          <w:bCs w:val="0"/>
        </w:rPr>
        <w:t>in England and Wales (primary care data from CPRD and SAIL Databank with linkage to hospital and mortality records), we matched each patient experiencing an event with up to 20 controls.</w:t>
      </w:r>
      <w:r w:rsidR="00F00D9C" w:rsidRPr="00781897">
        <w:rPr>
          <w:b/>
          <w:bCs/>
        </w:rPr>
        <w:t xml:space="preserve"> </w:t>
      </w:r>
      <w:r w:rsidR="00F00D9C" w:rsidRPr="00781897">
        <w:t xml:space="preserve">Adjusted odds ratios for MACCE and </w:t>
      </w:r>
      <w:r w:rsidR="00AA26A8">
        <w:t>HF</w:t>
      </w:r>
      <w:r w:rsidR="00F00D9C" w:rsidRPr="00781897">
        <w:t xml:space="preserve"> among patients receiving SGLT2i or GLP-1RA </w:t>
      </w:r>
      <w:r w:rsidR="00885B1F">
        <w:t xml:space="preserve">regimens </w:t>
      </w:r>
      <w:r w:rsidR="00F00D9C" w:rsidRPr="00781897">
        <w:t>vs other combinations were estimated using conditional logistic regression and</w:t>
      </w:r>
      <w:r w:rsidR="00F00D9C" w:rsidRPr="00781897">
        <w:rPr>
          <w:rStyle w:val="Strong"/>
          <w:b w:val="0"/>
          <w:bCs w:val="0"/>
        </w:rPr>
        <w:t xml:space="preserve"> pooled using random-effects meta-analysis.</w:t>
      </w:r>
    </w:p>
    <w:p w14:paraId="4A3D5E8A" w14:textId="79B23658" w:rsidR="00F00D9C" w:rsidRPr="00781897" w:rsidRDefault="00F00D9C" w:rsidP="001A2EAB">
      <w:pPr>
        <w:pStyle w:val="NormalWeb"/>
        <w:spacing w:before="0" w:beforeAutospacing="0" w:after="0" w:afterAutospacing="0" w:line="480" w:lineRule="auto"/>
        <w:contextualSpacing/>
        <w:rPr>
          <w:b/>
          <w:bCs/>
        </w:rPr>
      </w:pPr>
      <w:r w:rsidRPr="00781897">
        <w:rPr>
          <w:b/>
          <w:bCs/>
        </w:rPr>
        <w:t>Results:</w:t>
      </w:r>
      <w:r w:rsidRPr="00781897">
        <w:rPr>
          <w:rStyle w:val="Strong"/>
          <w:b w:val="0"/>
          <w:bCs w:val="0"/>
        </w:rPr>
        <w:t xml:space="preserve"> Among 336,334 people with </w:t>
      </w:r>
      <w:r w:rsidR="005A498B" w:rsidRPr="004849AB">
        <w:t>type 2 diabetes</w:t>
      </w:r>
      <w:r w:rsidRPr="00781897">
        <w:rPr>
          <w:rStyle w:val="Strong"/>
          <w:b w:val="0"/>
          <w:bCs w:val="0"/>
        </w:rPr>
        <w:t xml:space="preserve"> and without cardiovascular disease, 18,531 (</w:t>
      </w:r>
      <w:r w:rsidR="00E91520">
        <w:rPr>
          <w:rStyle w:val="Strong"/>
          <w:b w:val="0"/>
          <w:bCs w:val="0"/>
        </w:rPr>
        <w:t>5.5</w:t>
      </w:r>
      <w:r w:rsidRPr="00781897">
        <w:rPr>
          <w:rStyle w:val="Strong"/>
          <w:b w:val="0"/>
          <w:bCs w:val="0"/>
        </w:rPr>
        <w:t xml:space="preserve">%) experienced a MACCE. </w:t>
      </w:r>
      <w:r w:rsidR="006F5502" w:rsidRPr="00781897">
        <w:rPr>
          <w:rStyle w:val="Strong"/>
          <w:b w:val="0"/>
          <w:bCs w:val="0"/>
        </w:rPr>
        <w:t xml:space="preserve">17,451 (4.2%) experienced a </w:t>
      </w:r>
      <w:r w:rsidR="006F5502">
        <w:rPr>
          <w:rStyle w:val="Strong"/>
          <w:b w:val="0"/>
          <w:bCs w:val="0"/>
        </w:rPr>
        <w:t>HF</w:t>
      </w:r>
      <w:r w:rsidR="006F5502" w:rsidRPr="00781897">
        <w:rPr>
          <w:rStyle w:val="Strong"/>
          <w:b w:val="0"/>
          <w:bCs w:val="0"/>
        </w:rPr>
        <w:t xml:space="preserve"> event in a cohort of 411,206 with </w:t>
      </w:r>
      <w:r w:rsidR="005A498B" w:rsidRPr="004849AB">
        <w:t>type 2 diabetes</w:t>
      </w:r>
      <w:r w:rsidR="005A498B" w:rsidDel="005A498B">
        <w:rPr>
          <w:rStyle w:val="Strong"/>
          <w:b w:val="0"/>
          <w:bCs w:val="0"/>
        </w:rPr>
        <w:t xml:space="preserve"> </w:t>
      </w:r>
      <w:r w:rsidR="006F5502" w:rsidRPr="00781897">
        <w:rPr>
          <w:rStyle w:val="Strong"/>
          <w:b w:val="0"/>
          <w:bCs w:val="0"/>
        </w:rPr>
        <w:t xml:space="preserve">and without </w:t>
      </w:r>
      <w:r w:rsidR="006F5502">
        <w:rPr>
          <w:rStyle w:val="Strong"/>
          <w:b w:val="0"/>
          <w:bCs w:val="0"/>
        </w:rPr>
        <w:t>HF</w:t>
      </w:r>
      <w:r w:rsidRPr="00781897">
        <w:rPr>
          <w:rStyle w:val="Strong"/>
          <w:b w:val="0"/>
          <w:bCs w:val="0"/>
        </w:rPr>
        <w:t>. Compared with other combination regimens, the adjusted pooled</w:t>
      </w:r>
      <w:r w:rsidRPr="00781897">
        <w:rPr>
          <w:rStyle w:val="Strong"/>
          <w:b w:val="0"/>
        </w:rPr>
        <w:t xml:space="preserve"> odds ratio a</w:t>
      </w:r>
      <w:r w:rsidRPr="00781897">
        <w:rPr>
          <w:rStyle w:val="Strong"/>
          <w:b w:val="0"/>
          <w:bCs w:val="0"/>
        </w:rPr>
        <w:t xml:space="preserve">nd 95% confidence interval (CI) for MACCE associated with SGLT2i regimens was </w:t>
      </w:r>
      <w:r w:rsidRPr="00781897">
        <w:t>0</w:t>
      </w:r>
      <w:r w:rsidRPr="00781897">
        <w:rPr>
          <w:rStyle w:val="Strong"/>
          <w:b w:val="0"/>
          <w:bCs w:val="0"/>
        </w:rPr>
        <w:t>.</w:t>
      </w:r>
      <w:r w:rsidR="00720B47">
        <w:t>82</w:t>
      </w:r>
      <w:r w:rsidR="00720B47" w:rsidRPr="00781897">
        <w:t xml:space="preserve"> </w:t>
      </w:r>
      <w:r w:rsidRPr="00781897">
        <w:t>(95% CI 0</w:t>
      </w:r>
      <w:r w:rsidRPr="00781897">
        <w:rPr>
          <w:rStyle w:val="Strong"/>
          <w:b w:val="0"/>
          <w:bCs w:val="0"/>
        </w:rPr>
        <w:t>.</w:t>
      </w:r>
      <w:r w:rsidR="00720B47" w:rsidRPr="00781897">
        <w:t>7</w:t>
      </w:r>
      <w:r w:rsidR="00720B47">
        <w:t>3</w:t>
      </w:r>
      <w:r w:rsidRPr="00781897">
        <w:t>-0</w:t>
      </w:r>
      <w:r w:rsidRPr="00781897">
        <w:rPr>
          <w:rStyle w:val="Strong"/>
          <w:b w:val="0"/>
          <w:bCs w:val="0"/>
        </w:rPr>
        <w:t>.</w:t>
      </w:r>
      <w:r w:rsidR="00720B47">
        <w:t>92</w:t>
      </w:r>
      <w:r w:rsidRPr="00781897">
        <w:t xml:space="preserve">); with </w:t>
      </w:r>
      <w:r w:rsidRPr="00781897">
        <w:rPr>
          <w:rStyle w:val="Strong"/>
          <w:b w:val="0"/>
          <w:bCs w:val="0"/>
        </w:rPr>
        <w:t>GLP-1RA regimens 0.</w:t>
      </w:r>
      <w:r w:rsidR="00720B47" w:rsidRPr="00781897">
        <w:rPr>
          <w:rStyle w:val="Strong"/>
          <w:b w:val="0"/>
          <w:bCs w:val="0"/>
        </w:rPr>
        <w:t>9</w:t>
      </w:r>
      <w:r w:rsidR="00720B47">
        <w:rPr>
          <w:rStyle w:val="Strong"/>
          <w:b w:val="0"/>
          <w:bCs w:val="0"/>
        </w:rPr>
        <w:t>3</w:t>
      </w:r>
      <w:r w:rsidR="00720B47" w:rsidRPr="00781897">
        <w:rPr>
          <w:rStyle w:val="Strong"/>
          <w:b w:val="0"/>
          <w:bCs w:val="0"/>
        </w:rPr>
        <w:t xml:space="preserve"> </w:t>
      </w:r>
      <w:r w:rsidRPr="00781897">
        <w:rPr>
          <w:rStyle w:val="Strong"/>
          <w:b w:val="0"/>
          <w:bCs w:val="0"/>
        </w:rPr>
        <w:t>(95% CI 0.</w:t>
      </w:r>
      <w:r w:rsidR="00742DA2">
        <w:rPr>
          <w:rStyle w:val="Strong"/>
          <w:b w:val="0"/>
          <w:bCs w:val="0"/>
        </w:rPr>
        <w:t>81</w:t>
      </w:r>
      <w:r w:rsidRPr="00781897">
        <w:rPr>
          <w:rStyle w:val="Strong"/>
          <w:b w:val="0"/>
          <w:bCs w:val="0"/>
        </w:rPr>
        <w:t>-1.</w:t>
      </w:r>
      <w:r w:rsidR="00742DA2" w:rsidRPr="00781897">
        <w:rPr>
          <w:rStyle w:val="Strong"/>
          <w:b w:val="0"/>
          <w:bCs w:val="0"/>
        </w:rPr>
        <w:t>0</w:t>
      </w:r>
      <w:r w:rsidR="00742DA2">
        <w:rPr>
          <w:rStyle w:val="Strong"/>
          <w:b w:val="0"/>
          <w:bCs w:val="0"/>
        </w:rPr>
        <w:t>6</w:t>
      </w:r>
      <w:r w:rsidRPr="00781897">
        <w:rPr>
          <w:rStyle w:val="Strong"/>
          <w:b w:val="0"/>
          <w:bCs w:val="0"/>
        </w:rPr>
        <w:t xml:space="preserve">), and with the SGLT2i/GLP-1RA combination </w:t>
      </w:r>
      <w:r w:rsidRPr="00781897">
        <w:t>0</w:t>
      </w:r>
      <w:r w:rsidRPr="00781897">
        <w:rPr>
          <w:rStyle w:val="Strong"/>
          <w:b w:val="0"/>
          <w:bCs w:val="0"/>
        </w:rPr>
        <w:t>.</w:t>
      </w:r>
      <w:r w:rsidR="00742DA2">
        <w:t>70</w:t>
      </w:r>
      <w:r w:rsidR="00742DA2" w:rsidRPr="00781897">
        <w:t xml:space="preserve"> </w:t>
      </w:r>
      <w:r w:rsidRPr="00781897">
        <w:t>(95% CI 0</w:t>
      </w:r>
      <w:r w:rsidRPr="00781897">
        <w:rPr>
          <w:rStyle w:val="Strong"/>
          <w:b w:val="0"/>
          <w:bCs w:val="0"/>
        </w:rPr>
        <w:t>.</w:t>
      </w:r>
      <w:r w:rsidR="00742DA2">
        <w:t>50</w:t>
      </w:r>
      <w:r w:rsidRPr="00781897">
        <w:t>-0</w:t>
      </w:r>
      <w:r w:rsidRPr="00781897">
        <w:rPr>
          <w:rStyle w:val="Strong"/>
          <w:b w:val="0"/>
          <w:bCs w:val="0"/>
        </w:rPr>
        <w:t>.</w:t>
      </w:r>
      <w:r w:rsidR="00742DA2" w:rsidRPr="00781897">
        <w:t>9</w:t>
      </w:r>
      <w:r w:rsidR="00742DA2">
        <w:t>8</w:t>
      </w:r>
      <w:r w:rsidRPr="00781897">
        <w:t>)</w:t>
      </w:r>
      <w:r w:rsidRPr="00781897">
        <w:rPr>
          <w:rStyle w:val="Strong"/>
          <w:b w:val="0"/>
        </w:rPr>
        <w:t>.</w:t>
      </w:r>
      <w:r w:rsidRPr="00781897">
        <w:t xml:space="preserve"> Corresponding data for </w:t>
      </w:r>
      <w:r w:rsidR="00AA26A8">
        <w:t>HF</w:t>
      </w:r>
      <w:r w:rsidRPr="00781897">
        <w:t xml:space="preserve"> were: SGLT2i, 0</w:t>
      </w:r>
      <w:r w:rsidRPr="00781897">
        <w:rPr>
          <w:rStyle w:val="Strong"/>
          <w:b w:val="0"/>
          <w:bCs w:val="0"/>
        </w:rPr>
        <w:t>.</w:t>
      </w:r>
      <w:r w:rsidR="00742DA2">
        <w:t>49</w:t>
      </w:r>
      <w:r w:rsidR="00742DA2" w:rsidRPr="00781897">
        <w:t xml:space="preserve"> </w:t>
      </w:r>
      <w:r w:rsidRPr="00781897">
        <w:t>(95% CI 0</w:t>
      </w:r>
      <w:r w:rsidRPr="00781897">
        <w:rPr>
          <w:rStyle w:val="Strong"/>
          <w:b w:val="0"/>
          <w:bCs w:val="0"/>
        </w:rPr>
        <w:t>.</w:t>
      </w:r>
      <w:r w:rsidR="00742DA2">
        <w:t>42</w:t>
      </w:r>
      <w:r w:rsidRPr="00781897">
        <w:t>-0</w:t>
      </w:r>
      <w:r w:rsidRPr="00781897">
        <w:rPr>
          <w:rStyle w:val="Strong"/>
          <w:b w:val="0"/>
          <w:bCs w:val="0"/>
        </w:rPr>
        <w:t>.</w:t>
      </w:r>
      <w:r w:rsidR="00742DA2">
        <w:t>58</w:t>
      </w:r>
      <w:r w:rsidRPr="00781897">
        <w:t>); GLP-1RA, 0</w:t>
      </w:r>
      <w:r w:rsidRPr="00781897">
        <w:rPr>
          <w:rStyle w:val="Strong"/>
          <w:b w:val="0"/>
          <w:bCs w:val="0"/>
        </w:rPr>
        <w:t>.</w:t>
      </w:r>
      <w:r w:rsidR="00742DA2" w:rsidRPr="00781897">
        <w:t>8</w:t>
      </w:r>
      <w:r w:rsidR="00742DA2">
        <w:t>2</w:t>
      </w:r>
      <w:r w:rsidR="00742DA2" w:rsidRPr="00781897">
        <w:t xml:space="preserve"> </w:t>
      </w:r>
      <w:r w:rsidRPr="00781897">
        <w:t>(95% CI 0</w:t>
      </w:r>
      <w:r w:rsidRPr="00781897">
        <w:rPr>
          <w:rStyle w:val="Strong"/>
          <w:b w:val="0"/>
          <w:bCs w:val="0"/>
        </w:rPr>
        <w:t>.</w:t>
      </w:r>
      <w:r w:rsidR="00742DA2" w:rsidRPr="00781897">
        <w:t>7</w:t>
      </w:r>
      <w:r w:rsidR="00742DA2">
        <w:t>1</w:t>
      </w:r>
      <w:r w:rsidRPr="00781897">
        <w:t>-0</w:t>
      </w:r>
      <w:r w:rsidRPr="00781897">
        <w:rPr>
          <w:rStyle w:val="Strong"/>
          <w:b w:val="0"/>
          <w:bCs w:val="0"/>
        </w:rPr>
        <w:t>.</w:t>
      </w:r>
      <w:r w:rsidR="00742DA2" w:rsidRPr="00781897">
        <w:t>9</w:t>
      </w:r>
      <w:r w:rsidR="00742DA2">
        <w:t>5</w:t>
      </w:r>
      <w:r w:rsidRPr="00781897">
        <w:t xml:space="preserve">); </w:t>
      </w:r>
      <w:r w:rsidRPr="00781897">
        <w:rPr>
          <w:rStyle w:val="Strong"/>
          <w:b w:val="0"/>
          <w:bCs w:val="0"/>
        </w:rPr>
        <w:t>and SGLT2i/GLP-1RA combination</w:t>
      </w:r>
      <w:r w:rsidRPr="00781897">
        <w:rPr>
          <w:rStyle w:val="Strong"/>
          <w:b w:val="0"/>
        </w:rPr>
        <w:t xml:space="preserve">, </w:t>
      </w:r>
      <w:r w:rsidRPr="00781897">
        <w:t>0</w:t>
      </w:r>
      <w:r w:rsidRPr="00781897">
        <w:rPr>
          <w:rStyle w:val="Strong"/>
          <w:b w:val="0"/>
          <w:bCs w:val="0"/>
        </w:rPr>
        <w:t>.</w:t>
      </w:r>
      <w:r w:rsidR="00742DA2">
        <w:t>43</w:t>
      </w:r>
      <w:r w:rsidR="00742DA2" w:rsidRPr="00781897">
        <w:t xml:space="preserve"> </w:t>
      </w:r>
      <w:r w:rsidRPr="00781897">
        <w:t>(95% CI 0</w:t>
      </w:r>
      <w:r w:rsidRPr="00781897">
        <w:rPr>
          <w:rStyle w:val="Strong"/>
          <w:b w:val="0"/>
          <w:bCs w:val="0"/>
        </w:rPr>
        <w:t>.</w:t>
      </w:r>
      <w:r w:rsidR="00742DA2">
        <w:t>28</w:t>
      </w:r>
      <w:r w:rsidRPr="00781897">
        <w:t>-0</w:t>
      </w:r>
      <w:r w:rsidRPr="00781897">
        <w:rPr>
          <w:rStyle w:val="Strong"/>
          <w:b w:val="0"/>
          <w:bCs w:val="0"/>
        </w:rPr>
        <w:t>.</w:t>
      </w:r>
      <w:r w:rsidR="00742DA2">
        <w:t>64</w:t>
      </w:r>
      <w:r w:rsidRPr="00781897">
        <w:t>).</w:t>
      </w:r>
    </w:p>
    <w:p w14:paraId="2F60A941" w14:textId="7E02D34B" w:rsidR="00F00D9C" w:rsidRPr="00781897" w:rsidRDefault="00F00D9C" w:rsidP="001A2EAB">
      <w:pPr>
        <w:pStyle w:val="NormalWeb"/>
        <w:spacing w:before="0" w:beforeAutospacing="0" w:after="0" w:afterAutospacing="0" w:line="480" w:lineRule="auto"/>
        <w:contextualSpacing/>
        <w:rPr>
          <w:b/>
        </w:rPr>
      </w:pPr>
      <w:r w:rsidRPr="00781897">
        <w:rPr>
          <w:b/>
          <w:bCs/>
        </w:rPr>
        <w:t>Conclusions:</w:t>
      </w:r>
      <w:r w:rsidRPr="00781897">
        <w:t xml:space="preserve"> SGLT2i and </w:t>
      </w:r>
      <w:r w:rsidRPr="00781897">
        <w:rPr>
          <w:rStyle w:val="Strong"/>
          <w:b w:val="0"/>
          <w:bCs w:val="0"/>
        </w:rPr>
        <w:t>SGLT2i/GLP-1RA</w:t>
      </w:r>
      <w:r w:rsidRPr="00781897">
        <w:t xml:space="preserve"> combination regimens </w:t>
      </w:r>
      <w:r w:rsidR="008B2C74">
        <w:t>may be</w:t>
      </w:r>
      <w:r w:rsidRPr="00781897">
        <w:t xml:space="preserve"> beneficial in primary prevention of MACCE and </w:t>
      </w:r>
      <w:r w:rsidR="006F5502">
        <w:t>heart failure</w:t>
      </w:r>
      <w:r w:rsidRPr="00781897">
        <w:t xml:space="preserve"> and GLP-1RA for </w:t>
      </w:r>
      <w:r w:rsidR="006F5502">
        <w:t>heart failure</w:t>
      </w:r>
      <w:r w:rsidRPr="00781897">
        <w:t xml:space="preserve">. </w:t>
      </w:r>
      <w:r w:rsidR="000305A5">
        <w:t>These data call for primary prevention</w:t>
      </w:r>
      <w:r w:rsidR="000305A5" w:rsidRPr="00781897">
        <w:t xml:space="preserve"> </w:t>
      </w:r>
      <w:r w:rsidRPr="00781897">
        <w:t xml:space="preserve">trials </w:t>
      </w:r>
      <w:r w:rsidR="009A102C">
        <w:t>using</w:t>
      </w:r>
      <w:r w:rsidRPr="00781897">
        <w:t xml:space="preserve"> these agents and their combination.</w:t>
      </w:r>
    </w:p>
    <w:p w14:paraId="697A0B2D" w14:textId="46B5B9A7" w:rsidR="00B92B81" w:rsidRDefault="00B92B81" w:rsidP="00781897">
      <w:pPr>
        <w:tabs>
          <w:tab w:val="left" w:pos="2646"/>
        </w:tabs>
        <w:contextualSpacing/>
        <w:rPr>
          <w:b/>
        </w:rPr>
      </w:pPr>
    </w:p>
    <w:p w14:paraId="44A01150" w14:textId="77777777" w:rsidR="00A07569" w:rsidRDefault="00A07569" w:rsidP="00781897">
      <w:pPr>
        <w:tabs>
          <w:tab w:val="left" w:pos="2646"/>
        </w:tabs>
        <w:contextualSpacing/>
        <w:rPr>
          <w:b/>
        </w:rPr>
      </w:pPr>
    </w:p>
    <w:p w14:paraId="5EC54D67" w14:textId="52375237" w:rsidR="0001009D" w:rsidRDefault="0001009D" w:rsidP="00781897">
      <w:pPr>
        <w:tabs>
          <w:tab w:val="left" w:pos="2646"/>
        </w:tabs>
        <w:contextualSpacing/>
        <w:rPr>
          <w:b/>
        </w:rPr>
      </w:pPr>
    </w:p>
    <w:p w14:paraId="2F59F41A" w14:textId="674E465C" w:rsidR="0001009D" w:rsidRDefault="0001009D" w:rsidP="00781897">
      <w:pPr>
        <w:tabs>
          <w:tab w:val="left" w:pos="2646"/>
        </w:tabs>
        <w:contextualSpacing/>
        <w:rPr>
          <w:b/>
        </w:rPr>
      </w:pPr>
    </w:p>
    <w:p w14:paraId="09473B61" w14:textId="77777777" w:rsidR="00A07569" w:rsidRDefault="00A07569" w:rsidP="00781897">
      <w:pPr>
        <w:tabs>
          <w:tab w:val="left" w:pos="2646"/>
        </w:tabs>
        <w:contextualSpacing/>
        <w:rPr>
          <w:b/>
        </w:rPr>
      </w:pPr>
    </w:p>
    <w:p w14:paraId="30134EEB" w14:textId="0B94F883" w:rsidR="0056077E" w:rsidRPr="00781897" w:rsidRDefault="0056077E" w:rsidP="00781897">
      <w:pPr>
        <w:tabs>
          <w:tab w:val="left" w:pos="2646"/>
        </w:tabs>
        <w:contextualSpacing/>
        <w:rPr>
          <w:b/>
        </w:rPr>
        <w:sectPr w:rsidR="0056077E" w:rsidRPr="00781897" w:rsidSect="00781897">
          <w:footerReference w:type="default" r:id="rId11"/>
          <w:pgSz w:w="11906" w:h="16838"/>
          <w:pgMar w:top="1304" w:right="1440" w:bottom="1440" w:left="1440" w:header="567" w:footer="709" w:gutter="0"/>
          <w:cols w:space="708"/>
          <w:docGrid w:linePitch="360"/>
        </w:sectPr>
      </w:pPr>
    </w:p>
    <w:p w14:paraId="03DBA88C" w14:textId="00F8EBCC" w:rsidR="0019535A" w:rsidRPr="00781897" w:rsidRDefault="00A57D5B" w:rsidP="00781897">
      <w:pPr>
        <w:spacing w:line="480" w:lineRule="auto"/>
      </w:pPr>
      <w:r w:rsidRPr="00781897">
        <w:lastRenderedPageBreak/>
        <w:t>G</w:t>
      </w:r>
      <w:r w:rsidR="00552A24" w:rsidRPr="00781897">
        <w:t xml:space="preserve">lucagon-like peptide-1 </w:t>
      </w:r>
      <w:r w:rsidR="006723E5" w:rsidRPr="00781897">
        <w:t xml:space="preserve">receptor agonists </w:t>
      </w:r>
      <w:r w:rsidR="00552A24" w:rsidRPr="00781897">
        <w:t>(GLP-1</w:t>
      </w:r>
      <w:r w:rsidR="005C7930" w:rsidRPr="00781897">
        <w:t>RA</w:t>
      </w:r>
      <w:r w:rsidR="00552A24" w:rsidRPr="00781897">
        <w:t>) and sodium-glucose co-transporter</w:t>
      </w:r>
      <w:r w:rsidR="00765976" w:rsidRPr="00781897">
        <w:t>-</w:t>
      </w:r>
      <w:r w:rsidR="00552A24" w:rsidRPr="00781897">
        <w:t>2</w:t>
      </w:r>
      <w:r w:rsidR="006723E5" w:rsidRPr="00781897">
        <w:t xml:space="preserve"> </w:t>
      </w:r>
      <w:r w:rsidR="00D77743" w:rsidRPr="00781897">
        <w:t>inhibitors (SGLT2</w:t>
      </w:r>
      <w:r w:rsidR="00FA7866" w:rsidRPr="00781897">
        <w:t>i</w:t>
      </w:r>
      <w:r w:rsidR="00D77743" w:rsidRPr="00781897">
        <w:t xml:space="preserve">) </w:t>
      </w:r>
      <w:r w:rsidR="00552A24" w:rsidRPr="00781897">
        <w:t xml:space="preserve">have </w:t>
      </w:r>
      <w:r w:rsidR="00B02C2F" w:rsidRPr="00781897">
        <w:t xml:space="preserve">important </w:t>
      </w:r>
      <w:r w:rsidR="00553356" w:rsidRPr="00781897">
        <w:t xml:space="preserve">cardiovascular </w:t>
      </w:r>
      <w:r w:rsidR="000A3336" w:rsidRPr="00781897">
        <w:t>benefits</w:t>
      </w:r>
      <w:r w:rsidRPr="00781897">
        <w:t xml:space="preserve"> in</w:t>
      </w:r>
      <w:r w:rsidR="00B02C2F" w:rsidRPr="00781897">
        <w:t xml:space="preserve"> people with</w:t>
      </w:r>
      <w:r w:rsidRPr="00781897">
        <w:t xml:space="preserve"> type 2 diabetes</w:t>
      </w:r>
      <w:r w:rsidR="00B600BA" w:rsidRPr="00781897">
        <w:t xml:space="preserve">; however, there are </w:t>
      </w:r>
      <w:r w:rsidR="001512A6" w:rsidRPr="00781897">
        <w:t>notable differences</w:t>
      </w:r>
      <w:r w:rsidR="00516666" w:rsidRPr="00781897">
        <w:t>.</w:t>
      </w:r>
      <w:r w:rsidR="00D91B1D" w:rsidRPr="00781897">
        <w:fldChar w:fldCharType="begin" w:fldLock="1"/>
      </w:r>
      <w:r w:rsidR="00620A8C">
        <w:instrText>ADDIN CSL_CITATION {"citationItems":[{"id":"ITEM-1","itemData":{"DOI":"10.1161/CIRCULATIONAHA.118.038868","ISSN":"0009-7322","author":[{"dropping-particle":"","family":"Zelniker","given":"Thomas A.","non-dropping-particle":"","parse-names":false,"suffix":""},{"dropping-particle":"","family":"Wiviott","given":"Stephen D.","non-dropping-particle":"","parse-names":false,"suffix":""},{"dropping-particle":"","family":"Raz","given":"Itamar","non-dropping-particle":"","parse-names":false,"suffix":""},{"dropping-particle":"","family":"Im","given":"KyungAh","non-dropping-particle":"","parse-names":false,"suffix":""},{"dropping-particle":"","family":"Goodrich","given":"Erica L.","non-dropping-particle":"","parse-names":false,"suffix":""},{"dropping-particle":"","family":"Furtado","given":"Remo H.M.","non-dropping-particle":"","parse-names":false,"suffix":""},{"dropping-particle":"","family":"Bonaca","given":"Marc P.","non-dropping-particle":"","parse-names":false,"suffix":""},{"dropping-particle":"","family":"Mosenzon","given":"Ofri","non-dropping-particle":"","parse-names":false,"suffix":""},{"dropping-particle":"","family":"Kato","given":"Eri T.","non-dropping-particle":"","parse-names":false,"suffix":""},{"dropping-particle":"","family":"Cahn","given":"Avivit","non-dropping-particle":"","parse-names":false,"suffix":""},{"dropping-particle":"","family":"Bhatt","given":"Deepak L.","non-dropping-particle":"","parse-names":false,"suffix":""},{"dropping-particle":"","family":"Leiter","given":"Lawrence A.","non-dropping-particle":"","parse-names":false,"suffix":""},{"dropping-particle":"","family":"McGuire","given":"Darren K.","non-dropping-particle":"","parse-names":false,"suffix":""},{"dropping-particle":"","family":"Wilding","given":"John P.H.","non-dropping-particle":"","parse-names":false,"suffix":""},{"dropping-particle":"","family":"Sabatine","given":"Marc S.","non-dropping-particle":"","parse-names":false,"suffix":""}],"container-title":"Circulation","id":"ITEM-1","issue":"17","issued":{"date-parts":[["2019","4","23"]]},"page":"2022-2031","title":"Comparison of the Effects of Glucagon-Like Peptide Receptor Agonists and Sodium-Glucose Cotransporter 2 Inhibitors for Prevention of Major Adverse Cardiovascular and Renal Outcomes in Type 2 Diabetes Mellitus","type":"article-journal","volume":"139"},"uris":["http://www.mendeley.com/documents/?uuid=1e77b180-2752-4e5e-ae30-ad7e18f8689f"]},{"id":"ITEM-2","itemData":{"DOI":"10.1136/bmj.m4573","ISSN":"1756-1833","author":[{"dropping-particle":"","family":"Palmer","given":"Suetonia C","non-dropping-particle":"","parse-names":false,"suffix":""},{"dropping-particle":"","family":"Tendal","given":"Britta","non-dropping-particle":"","parse-names":false,"suffix":""},{"dropping-particle":"","family":"Mustafa","given":"Reem A","non-dropping-particle":"","parse-names":false,"suffix":""},{"dropping-particle":"","family":"Vandvik","given":"Per Olav","non-dropping-particle":"","parse-names":false,"suffix":""},{"dropping-particle":"","family":"Li","given":"Sheyu","non-dropping-particle":"","parse-names":false,"suffix":""},{"dropping-particle":"","family":"Hao","given":"Qiukui","non-dropping-particle":"","parse-names":false,"suffix":""},{"dropping-particle":"","family":"Tunnicliffe","given":"David","non-dropping-particle":"","parse-names":false,"suffix":""},{"dropping-particle":"","family":"Ruospo","given":"Marinella","non-dropping-particle":"","parse-names":false,"suffix":""},{"dropping-particle":"","family":"Natale","given":"Patrizia","non-dropping-particle":"","parse-names":false,"suffix":""},{"dropping-particle":"","family":"Saglimbene","given":"Valeria","non-dropping-particle":"","parse-names":false,"suffix":""},{"dropping-particle":"","family":"Nicolucci","given":"Antonio","non-dropping-particle":"","parse-names":false,"suffix":""},{"dropping-particle":"","family":"Johnson","given":"David W","non-dropping-particle":"","parse-names":false,"suffix":""},{"dropping-particle":"","family":"Tonelli","given":"Marcello","non-dropping-particle":"","parse-names":false,"suffix":""},{"dropping-particle":"","family":"Rossi","given":"Maria Chiara","non-dropping-particle":"","parse-names":false,"suffix":""},{"dropping-particle":"V","family":"Badve","given":"Sunil","non-dropping-particle":"","parse-names":false,"suffix":""},{"dropping-particle":"","family":"Cho","given":"Yeoungjee","non-dropping-particle":"","parse-names":false,"suffix":""},{"dropping-particle":"","family":"Nadeau-Fredette","given":"Annie-Claire","non-dropping-particle":"","parse-names":false,"suffix":""},{"dropping-particle":"","family":"Burke","given":"Michael","non-dropping-particle":"","parse-names":false,"suffix":""},{"dropping-particle":"","family":"Faruque","given":"Labib I","non-dropping-particle":"","parse-names":false,"suffix":""},{"dropping-particle":"","family":"Lloyd","given":"Anita","non-dropping-particle":"","parse-names":false,"suffix":""},{"dropping-particle":"","family":"Ahmad","given":"Nasreen","non-dropping-particle":"","parse-names":false,"suffix":""},{"dropping-particle":"","family":"Liu","given":"Yuanchen","non-dropping-particle":"","parse-names":false,"suffix":""},{"dropping-particle":"","family":"Tiv","given":"Sophanny","non-dropping-particle":"","parse-names":false,"suffix":""},{"dropping-particle":"","family":"Millard","given":"Tanya","non-dropping-particle":"","parse-names":false,"suffix":""},{"dropping-particle":"","family":"Gagliardi","given":"Lucia","non-dropping-particle":"","parse-names":false,"suffix":""},{"dropping-particle":"","family":"Kolanu","given":"Nithin","non-dropping-particle":"","parse-names":false,"suffix":""},{"dropping-particle":"","family":"Barmanray","given":"Rahul D","non-dropping-particle":"","parse-names":false,"suffix":""},{"dropping-particle":"","family":"McMorrow","given":"Rita","non-dropping-particle":"","parse-names":false,"suffix":""},{"dropping-particle":"","family":"Raygoza Cortez","given":"Ana Karina","non-dropping-particle":"","parse-names":false,"suffix":""},{"dropping-particle":"","family":"White","given":"Heath","non-dropping-particle":"","parse-names":false,"suffix":""},{"dropping-particle":"","family":"Chen","given":"Xiangyang","non-dropping-particle":"","parse-names":false,"suffix":""},{"dropping-particle":"","family":"Zhou","given":"Xu","non-dropping-particle":"","parse-names":false,"suffix":""},{"dropping-particle":"","family":"Liu","given":"Jiali","non-dropping-particle":"","parse-names":false,"suffix":""},{"dropping-particle":"","family":"Rodríguez","given":"Andrea Flores","non-dropping-particle":"","parse-names":false,"suffix":""},{"dropping-particle":"","family":"González-Colmenero","given":"Alejandro Díaz","non-dropping-particle":"","parse-names":false,"suffix":""},{"dropping-particle":"","family":"Wang","given":"Yang","non-dropping-particle":"","parse-names":false,"suffix":""},{"dropping-particle":"","family":"Li","given":"Ling","non-dropping-particle":"","parse-names":false,"suffix":""},{"dropping-particle":"","family":"Sutanto","given":"Surya","non-dropping-particle":"","parse-names":false,"suffix":""},{"dropping-particle":"","family":"Solis","given":"Ricardo Cesar","non-dropping-particle":"","parse-names":false,"suffix":""},{"dropping-particle":"","family":"Díaz González-Colmenero","given":"Fernando","non-dropping-particle":"","parse-names":false,"suffix":""},{"dropping-particle":"","family":"Rodriguez-Gutierrez","given":"René","non-dropping-particle":"","parse-names":false,"suffix":""},{"dropping-particle":"","family":"Walsh","given":"Michael","non-dropping-particle":"","parse-names":false,"suffix":""},{"dropping-particle":"","family":"Guyatt","given":"Gordon","non-dropping-particle":"","parse-names":false,"suffix":""},{"dropping-particle":"","family":"Strippoli","given":"Giovanni F M","non-dropping-particle":"","parse-names":false,"suffix":""}],"container-title":"BMJ","id":"ITEM-2","issued":{"date-parts":[["2021","1","13"]]},"page":"m4573","title":"Sodium-glucose cotransporter protein-2 (SGLT-2) inhibitors and glucagon-like peptide-1 (GLP-1) receptor agonists for type 2 diabetes: systematic review and network meta-analysis of randomised controlled trials","type":"article-journal","volume":"372"},"uris":["http://www.mendeley.com/documents/?uuid=d5833274-92cd-49f6-b03b-890b1b7a6371"]}],"mendeley":{"formattedCitation":"(1,2)","plainTextFormattedCitation":"(1,2)","previouslyFormattedCitation":"(1,2)"},"properties":{"noteIndex":0},"schema":"https://github.com/citation-style-language/schema/raw/master/csl-citation.json"}</w:instrText>
      </w:r>
      <w:r w:rsidR="00D91B1D" w:rsidRPr="00781897">
        <w:fldChar w:fldCharType="separate"/>
      </w:r>
      <w:r w:rsidR="00201C04" w:rsidRPr="00201C04">
        <w:rPr>
          <w:noProof/>
        </w:rPr>
        <w:t>(1,2)</w:t>
      </w:r>
      <w:r w:rsidR="00D91B1D" w:rsidRPr="00781897">
        <w:fldChar w:fldCharType="end"/>
      </w:r>
      <w:r w:rsidR="00516666" w:rsidRPr="00781897">
        <w:t xml:space="preserve"> </w:t>
      </w:r>
      <w:r w:rsidR="007C3128">
        <w:t>A network meta-analysis suggested</w:t>
      </w:r>
      <w:r w:rsidR="00B600BA" w:rsidRPr="00781897">
        <w:t xml:space="preserve"> that </w:t>
      </w:r>
      <w:r w:rsidR="00516666" w:rsidRPr="00781897">
        <w:t>SGLT-2 inhibitors reduce</w:t>
      </w:r>
      <w:r w:rsidR="007C3128">
        <w:t>d</w:t>
      </w:r>
      <w:r w:rsidR="00516666" w:rsidRPr="00781897">
        <w:t xml:space="preserve"> admission to hospital for heart failure more than GLP-1 receptor agonists, whereas GLP-1 receptor agonists reduce</w:t>
      </w:r>
      <w:r w:rsidR="007C3128">
        <w:t>d risk for</w:t>
      </w:r>
      <w:r w:rsidR="00516666" w:rsidRPr="00781897">
        <w:t xml:space="preserve"> non-fatal stroke more than SGLT-2 inhibitors.</w:t>
      </w:r>
      <w:r w:rsidR="00516666" w:rsidRPr="00781897">
        <w:fldChar w:fldCharType="begin" w:fldLock="1"/>
      </w:r>
      <w:r w:rsidR="00620A8C">
        <w:instrText>ADDIN CSL_CITATION {"citationItems":[{"id":"ITEM-1","itemData":{"DOI":"10.1136/bmj.m4573","ISSN":"1756-1833","author":[{"dropping-particle":"","family":"Palmer","given":"Suetonia C","non-dropping-particle":"","parse-names":false,"suffix":""},{"dropping-particle":"","family":"Tendal","given":"Britta","non-dropping-particle":"","parse-names":false,"suffix":""},{"dropping-particle":"","family":"Mustafa","given":"Reem A","non-dropping-particle":"","parse-names":false,"suffix":""},{"dropping-particle":"","family":"Vandvik","given":"Per Olav","non-dropping-particle":"","parse-names":false,"suffix":""},{"dropping-particle":"","family":"Li","given":"Sheyu","non-dropping-particle":"","parse-names":false,"suffix":""},{"dropping-particle":"","family":"Hao","given":"Qiukui","non-dropping-particle":"","parse-names":false,"suffix":""},{"dropping-particle":"","family":"Tunnicliffe","given":"David","non-dropping-particle":"","parse-names":false,"suffix":""},{"dropping-particle":"","family":"Ruospo","given":"Marinella","non-dropping-particle":"","parse-names":false,"suffix":""},{"dropping-particle":"","family":"Natale","given":"Patrizia","non-dropping-particle":"","parse-names":false,"suffix":""},{"dropping-particle":"","family":"Saglimbene","given":"Valeria","non-dropping-particle":"","parse-names":false,"suffix":""},{"dropping-particle":"","family":"Nicolucci","given":"Antonio","non-dropping-particle":"","parse-names":false,"suffix":""},{"dropping-particle":"","family":"Johnson","given":"David W","non-dropping-particle":"","parse-names":false,"suffix":""},{"dropping-particle":"","family":"Tonelli","given":"Marcello","non-dropping-particle":"","parse-names":false,"suffix":""},{"dropping-particle":"","family":"Rossi","given":"Maria Chiara","non-dropping-particle":"","parse-names":false,"suffix":""},{"dropping-particle":"V","family":"Badve","given":"Sunil","non-dropping-particle":"","parse-names":false,"suffix":""},{"dropping-particle":"","family":"Cho","given":"Yeoungjee","non-dropping-particle":"","parse-names":false,"suffix":""},{"dropping-particle":"","family":"Nadeau-Fredette","given":"Annie-Claire","non-dropping-particle":"","parse-names":false,"suffix":""},{"dropping-particle":"","family":"Burke","given":"Michael","non-dropping-particle":"","parse-names":false,"suffix":""},{"dropping-particle":"","family":"Faruque","given":"Labib I","non-dropping-particle":"","parse-names":false,"suffix":""},{"dropping-particle":"","family":"Lloyd","given":"Anita","non-dropping-particle":"","parse-names":false,"suffix":""},{"dropping-particle":"","family":"Ahmad","given":"Nasreen","non-dropping-particle":"","parse-names":false,"suffix":""},{"dropping-particle":"","family":"Liu","given":"Yuanchen","non-dropping-particle":"","parse-names":false,"suffix":""},{"dropping-particle":"","family":"Tiv","given":"Sophanny","non-dropping-particle":"","parse-names":false,"suffix":""},{"dropping-particle":"","family":"Millard","given":"Tanya","non-dropping-particle":"","parse-names":false,"suffix":""},{"dropping-particle":"","family":"Gagliardi","given":"Lucia","non-dropping-particle":"","parse-names":false,"suffix":""},{"dropping-particle":"","family":"Kolanu","given":"Nithin","non-dropping-particle":"","parse-names":false,"suffix":""},{"dropping-particle":"","family":"Barmanray","given":"Rahul D","non-dropping-particle":"","parse-names":false,"suffix":""},{"dropping-particle":"","family":"McMorrow","given":"Rita","non-dropping-particle":"","parse-names":false,"suffix":""},{"dropping-particle":"","family":"Raygoza Cortez","given":"Ana Karina","non-dropping-particle":"","parse-names":false,"suffix":""},{"dropping-particle":"","family":"White","given":"Heath","non-dropping-particle":"","parse-names":false,"suffix":""},{"dropping-particle":"","family":"Chen","given":"Xiangyang","non-dropping-particle":"","parse-names":false,"suffix":""},{"dropping-particle":"","family":"Zhou","given":"Xu","non-dropping-particle":"","parse-names":false,"suffix":""},{"dropping-particle":"","family":"Liu","given":"Jiali","non-dropping-particle":"","parse-names":false,"suffix":""},{"dropping-particle":"","family":"Rodríguez","given":"Andrea Flores","non-dropping-particle":"","parse-names":false,"suffix":""},{"dropping-particle":"","family":"González-Colmenero","given":"Alejandro Díaz","non-dropping-particle":"","parse-names":false,"suffix":""},{"dropping-particle":"","family":"Wang","given":"Yang","non-dropping-particle":"","parse-names":false,"suffix":""},{"dropping-particle":"","family":"Li","given":"Ling","non-dropping-particle":"","parse-names":false,"suffix":""},{"dropping-particle":"","family":"Sutanto","given":"Surya","non-dropping-particle":"","parse-names":false,"suffix":""},{"dropping-particle":"","family":"Solis","given":"Ricardo Cesar","non-dropping-particle":"","parse-names":false,"suffix":""},{"dropping-particle":"","family":"Díaz González-Colmenero","given":"Fernando","non-dropping-particle":"","parse-names":false,"suffix":""},{"dropping-particle":"","family":"Rodriguez-Gutierrez","given":"René","non-dropping-particle":"","parse-names":false,"suffix":""},{"dropping-particle":"","family":"Walsh","given":"Michael","non-dropping-particle":"","parse-names":false,"suffix":""},{"dropping-particle":"","family":"Guyatt","given":"Gordon","non-dropping-particle":"","parse-names":false,"suffix":""},{"dropping-particle":"","family":"Strippoli","given":"Giovanni F M","non-dropping-particle":"","parse-names":false,"suffix":""}],"container-title":"BMJ","id":"ITEM-1","issued":{"date-parts":[["2021","1","13"]]},"page":"m4573","title":"Sodium-glucose cotransporter protein-2 (SGLT-2) inhibitors and glucagon-like peptide-1 (GLP-1) receptor agonists for type 2 diabetes: systematic review and network meta-analysis of randomised controlled trials","type":"article-journal","volume":"372"},"uris":["http://www.mendeley.com/documents/?uuid=d5833274-92cd-49f6-b03b-890b1b7a6371"]}],"mendeley":{"formattedCitation":"(2)","plainTextFormattedCitation":"(2)","previouslyFormattedCitation":"(2)"},"properties":{"noteIndex":0},"schema":"https://github.com/citation-style-language/schema/raw/master/csl-citation.json"}</w:instrText>
      </w:r>
      <w:r w:rsidR="00516666" w:rsidRPr="00781897">
        <w:fldChar w:fldCharType="separate"/>
      </w:r>
      <w:r w:rsidR="00201C04" w:rsidRPr="00201C04">
        <w:rPr>
          <w:noProof/>
        </w:rPr>
        <w:t>(2)</w:t>
      </w:r>
      <w:r w:rsidR="00516666" w:rsidRPr="00781897">
        <w:fldChar w:fldCharType="end"/>
      </w:r>
      <w:r w:rsidR="001512A6" w:rsidRPr="00781897">
        <w:t xml:space="preserve"> </w:t>
      </w:r>
      <w:r w:rsidR="00B600BA" w:rsidRPr="00781897">
        <w:t>In</w:t>
      </w:r>
      <w:r w:rsidR="000A3336" w:rsidRPr="00781897">
        <w:t xml:space="preserve"> </w:t>
      </w:r>
      <w:r w:rsidR="00C34C29">
        <w:t xml:space="preserve">a </w:t>
      </w:r>
      <w:r w:rsidR="001B38BB" w:rsidRPr="00781897">
        <w:t>meta-analys</w:t>
      </w:r>
      <w:r w:rsidR="00C53336" w:rsidRPr="00781897">
        <w:t>e</w:t>
      </w:r>
      <w:r w:rsidR="00FA7866" w:rsidRPr="00781897">
        <w:t xml:space="preserve">s of </w:t>
      </w:r>
      <w:r w:rsidR="000A3336" w:rsidRPr="00781897">
        <w:t>placebo-controlled</w:t>
      </w:r>
      <w:r w:rsidR="008C3A4A" w:rsidRPr="00781897">
        <w:t xml:space="preserve"> clinical t</w:t>
      </w:r>
      <w:r w:rsidR="00AF2E07" w:rsidRPr="00781897">
        <w:t>rial</w:t>
      </w:r>
      <w:r w:rsidR="008C3A4A" w:rsidRPr="00781897">
        <w:t>s</w:t>
      </w:r>
      <w:r w:rsidR="000A3336" w:rsidRPr="00781897">
        <w:t>,</w:t>
      </w:r>
      <w:r w:rsidR="008C3A4A" w:rsidRPr="00781897">
        <w:t xml:space="preserve"> </w:t>
      </w:r>
      <w:r w:rsidR="004B3B4A" w:rsidRPr="00781897">
        <w:t>GLP-1</w:t>
      </w:r>
      <w:r w:rsidR="005C7930" w:rsidRPr="00781897">
        <w:t xml:space="preserve">RA </w:t>
      </w:r>
      <w:r w:rsidR="00FA7866" w:rsidRPr="00781897">
        <w:t xml:space="preserve">and SGLT2i </w:t>
      </w:r>
      <w:r w:rsidR="000A3336" w:rsidRPr="00781897">
        <w:t>reduce</w:t>
      </w:r>
      <w:r w:rsidR="00E37A94" w:rsidRPr="00781897">
        <w:t>d</w:t>
      </w:r>
      <w:r w:rsidR="00234290" w:rsidRPr="00781897">
        <w:t xml:space="preserve"> the </w:t>
      </w:r>
      <w:r w:rsidR="00495DC2" w:rsidRPr="00781897">
        <w:t>risk of</w:t>
      </w:r>
      <w:r w:rsidR="00241B57" w:rsidRPr="00781897">
        <w:t xml:space="preserve"> </w:t>
      </w:r>
      <w:r w:rsidR="00FA6376" w:rsidRPr="00781897">
        <w:t>major adverse cardi</w:t>
      </w:r>
      <w:r w:rsidR="00853C08">
        <w:t>ac</w:t>
      </w:r>
      <w:r w:rsidR="00FA6376" w:rsidRPr="00781897">
        <w:t xml:space="preserve"> and cerebrovascular events </w:t>
      </w:r>
      <w:r w:rsidR="00232B72" w:rsidRPr="00781897">
        <w:t>(</w:t>
      </w:r>
      <w:r w:rsidR="00FA6376" w:rsidRPr="00781897">
        <w:t>MACCE</w:t>
      </w:r>
      <w:r w:rsidR="00232B72" w:rsidRPr="00781897">
        <w:t xml:space="preserve">) </w:t>
      </w:r>
      <w:r w:rsidR="004E6BB2" w:rsidRPr="00781897">
        <w:t xml:space="preserve">by </w:t>
      </w:r>
      <w:r w:rsidR="00A455E8" w:rsidRPr="00781897">
        <w:t>~</w:t>
      </w:r>
      <w:r w:rsidR="00FA7866" w:rsidRPr="00781897">
        <w:t>14%</w:t>
      </w:r>
      <w:r w:rsidR="00234290" w:rsidRPr="00781897">
        <w:t xml:space="preserve"> </w:t>
      </w:r>
      <w:r w:rsidR="00A455E8" w:rsidRPr="00781897">
        <w:t>in people</w:t>
      </w:r>
      <w:r w:rsidR="00AE3CFD" w:rsidRPr="00781897">
        <w:t xml:space="preserve"> with established </w:t>
      </w:r>
      <w:r w:rsidR="00FA7866" w:rsidRPr="00781897">
        <w:t>cardiovascular disease</w:t>
      </w:r>
      <w:r w:rsidR="00553356" w:rsidRPr="00781897">
        <w:t xml:space="preserve"> (CVD)</w:t>
      </w:r>
      <w:r w:rsidR="00D60F5B" w:rsidRPr="00781897">
        <w:t xml:space="preserve"> but</w:t>
      </w:r>
      <w:r w:rsidR="00E66B84" w:rsidRPr="00781897">
        <w:t xml:space="preserve"> provided </w:t>
      </w:r>
      <w:r w:rsidR="00D60F5B" w:rsidRPr="00781897">
        <w:t xml:space="preserve">no </w:t>
      </w:r>
      <w:r w:rsidR="000E4AAA" w:rsidRPr="00781897">
        <w:t xml:space="preserve">significant </w:t>
      </w:r>
      <w:r w:rsidR="0097745E" w:rsidRPr="00781897">
        <w:t>benefits</w:t>
      </w:r>
      <w:r w:rsidR="00E66B84" w:rsidRPr="00781897">
        <w:t xml:space="preserve"> </w:t>
      </w:r>
      <w:r w:rsidR="00234290" w:rsidRPr="00781897">
        <w:t>in primary prevention setting</w:t>
      </w:r>
      <w:r w:rsidR="00D90149" w:rsidRPr="00781897">
        <w:t>s</w:t>
      </w:r>
      <w:r w:rsidR="00C53336" w:rsidRPr="00781897">
        <w:t>.</w:t>
      </w:r>
      <w:r w:rsidR="00CE7AC3">
        <w:fldChar w:fldCharType="begin" w:fldLock="1"/>
      </w:r>
      <w:r w:rsidR="00CE7AC3">
        <w:instrText>ADDIN CSL_CITATION {"citationItems":[{"id":"ITEM-1","itemData":{"DOI":"10.1161/CIRCULATIONAHA.118.038868","ISSN":"0009-7322","author":[{"dropping-particle":"","family":"Zelniker","given":"Thomas A.","non-dropping-particle":"","parse-names":false,"suffix":""},{"dropping-particle":"","family":"Wiviott","given":"Stephen D.","non-dropping-particle":"","parse-names":false,"suffix":""},{"dropping-particle":"","family":"Raz","given":"Itamar","non-dropping-particle":"","parse-names":false,"suffix":""},{"dropping-particle":"","family":"Im","given":"KyungAh","non-dropping-particle":"","parse-names":false,"suffix":""},{"dropping-particle":"","family":"Goodrich","given":"Erica L.","non-dropping-particle":"","parse-names":false,"suffix":""},{"dropping-particle":"","family":"Furtado","given":"Remo H.M.","non-dropping-particle":"","parse-names":false,"suffix":""},{"dropping-particle":"","family":"Bonaca","given":"Marc P.","non-dropping-particle":"","parse-names":false,"suffix":""},{"dropping-particle":"","family":"Mosenzon","given":"Ofri","non-dropping-particle":"","parse-names":false,"suffix":""},{"dropping-particle":"","family":"Kato","given":"Eri T.","non-dropping-particle":"","parse-names":false,"suffix":""},{"dropping-particle":"","family":"Cahn","given":"Avivit","non-dropping-particle":"","parse-names":false,"suffix":""},{"dropping-particle":"","family":"Bhatt","given":"Deepak L.","non-dropping-particle":"","parse-names":false,"suffix":""},{"dropping-particle":"","family":"Leiter","given":"Lawrence A.","non-dropping-particle":"","parse-names":false,"suffix":""},{"dropping-particle":"","family":"McGuire","given":"Darren K.","non-dropping-particle":"","parse-names":false,"suffix":""},{"dropping-particle":"","family":"Wilding","given":"John P.H.","non-dropping-particle":"","parse-names":false,"suffix":""},{"dropping-particle":"","family":"Sabatine","given":"Marc S.","non-dropping-particle":"","parse-names":false,"suffix":""}],"container-title":"Circulation","id":"ITEM-1","issue":"17","issued":{"date-parts":[["2019","4","23"]]},"page":"2022-2031","title":"Comparison of the Effects of Glucagon-Like Peptide Receptor Agonists and Sodium-Glucose Cotransporter 2 Inhibitors for Prevention of Major Adverse Cardiovascular and Renal Outcomes in Type 2 Diabetes Mellitus","type":"article-journal","volume":"139"},"uris":["http://www.mendeley.com/documents/?uuid=1e77b180-2752-4e5e-ae30-ad7e18f8689f"]},{"id":"ITEM-2","itemData":{"DOI":"10.1016/S2213-8587(21)00203-5","ISSN":"22138587","author":[{"dropping-particle":"","family":"Sattar","given":"Naveed","non-dropping-particle":"","parse-names":false,"suffix":""},{"dropping-particle":"","family":"Lee","given":"Matthew M Y","non-dropping-particle":"","parse-names":false,"suffix":""},{"dropping-particle":"","family":"Kristensen","given":"Søren L","non-dropping-particle":"","parse-names":false,"suffix":""},{"dropping-particle":"","family":"Branch","given":"Kelley R H","non-dropping-particle":"","parse-names":false,"suffix":""},{"dropping-particle":"","family":"Prato","given":"Stefano","non-dropping-particle":"Del","parse-names":false,"suffix":""},{"dropping-particle":"","family":"Khurmi","given":"Nardev S","non-dropping-particle":"","parse-names":false,"suffix":""},{"dropping-particle":"","family":"Lam","given":"Carolyn S P","non-dropping-particle":"","parse-names":false,"suffix":""},{"dropping-particle":"","family":"Lopes","given":"Renato D","non-dropping-particle":"","parse-names":false,"suffix":""},{"dropping-particle":"V","family":"McMurray","given":"John J","non-dropping-particle":"","parse-names":false,"suffix":""},{"dropping-particle":"","family":"Pratley","given":"Richard E","non-dropping-particle":"","parse-names":false,"suffix":""},{"dropping-particle":"","family":"Rosenstock","given":"Julio","non-dropping-particle":"","parse-names":false,"suffix":""},{"dropping-particle":"","family":"Gerstein","given":"Hertzel C","non-dropping-particle":"","parse-names":false,"suffix":""}],"container-title":"The Lancet Diabetes &amp; Endocrinology","id":"ITEM-2","issue":"10","issued":{"date-parts":[["2021","10"]]},"page":"653-662","title":"Cardiovascular, mortality, and kidney outcomes with GLP-1 receptor agonists in patients with type 2 diabetes: a systematic review and meta-analysis of randomised trials","type":"article-journal","volume":"9"},"uris":["http://www.mendeley.com/documents/?uuid=068cb5e8-ee99-40b7-b510-a9846e71e73e"]}],"mendeley":{"formattedCitation":"(1,3)","plainTextFormattedCitation":"(1,3)","previouslyFormattedCitation":"(1,3)"},"properties":{"noteIndex":0},"schema":"https://github.com/citation-style-language/schema/raw/master/csl-citation.json"}</w:instrText>
      </w:r>
      <w:r w:rsidR="00CE7AC3">
        <w:fldChar w:fldCharType="separate"/>
      </w:r>
      <w:r w:rsidR="00CE7AC3" w:rsidRPr="00CE7AC3">
        <w:rPr>
          <w:noProof/>
        </w:rPr>
        <w:t>(1,3)</w:t>
      </w:r>
      <w:r w:rsidR="00CE7AC3">
        <w:fldChar w:fldCharType="end"/>
      </w:r>
      <w:r w:rsidR="007E6A4D" w:rsidRPr="00781897">
        <w:t xml:space="preserve"> </w:t>
      </w:r>
      <w:r w:rsidR="000A077F">
        <w:t>M</w:t>
      </w:r>
      <w:r w:rsidR="005C7930" w:rsidRPr="00781897">
        <w:t>eta-a</w:t>
      </w:r>
      <w:r w:rsidR="001B38BB" w:rsidRPr="00781897">
        <w:t>nalys</w:t>
      </w:r>
      <w:r w:rsidR="00190FB1" w:rsidRPr="00781897">
        <w:t>e</w:t>
      </w:r>
      <w:r w:rsidR="005C7930" w:rsidRPr="00781897">
        <w:t>s</w:t>
      </w:r>
      <w:r w:rsidR="00E05D25">
        <w:t xml:space="preserve"> </w:t>
      </w:r>
      <w:r w:rsidR="000A077F">
        <w:t xml:space="preserve">have </w:t>
      </w:r>
      <w:r w:rsidR="007B6A08">
        <w:t>s</w:t>
      </w:r>
      <w:r w:rsidR="000A077F">
        <w:t>uggested</w:t>
      </w:r>
      <w:r w:rsidR="00E05D25">
        <w:t xml:space="preserve"> that </w:t>
      </w:r>
      <w:r w:rsidR="00D60F5B" w:rsidRPr="00781897">
        <w:t>SGLT2i</w:t>
      </w:r>
      <w:r w:rsidR="007B6A08">
        <w:t>s</w:t>
      </w:r>
      <w:r w:rsidR="00D60F5B" w:rsidRPr="00781897">
        <w:t xml:space="preserve"> </w:t>
      </w:r>
      <w:r w:rsidR="005C7930" w:rsidRPr="00781897">
        <w:t>reduce</w:t>
      </w:r>
      <w:r w:rsidR="000A077F">
        <w:t xml:space="preserve"> the</w:t>
      </w:r>
      <w:r w:rsidR="00D60F5B" w:rsidRPr="00781897">
        <w:t xml:space="preserve"> </w:t>
      </w:r>
      <w:r w:rsidR="00495DC2" w:rsidRPr="00781897">
        <w:t xml:space="preserve">risk </w:t>
      </w:r>
      <w:r w:rsidR="007B6A08">
        <w:t>for</w:t>
      </w:r>
      <w:r w:rsidR="00E66B84" w:rsidRPr="00781897">
        <w:t xml:space="preserve"> heart </w:t>
      </w:r>
      <w:r w:rsidR="00E66B84" w:rsidRPr="00E05D25">
        <w:t xml:space="preserve">failure hospitalization </w:t>
      </w:r>
      <w:r w:rsidR="00D60F5B" w:rsidRPr="00E05D25">
        <w:t>by 3</w:t>
      </w:r>
      <w:r w:rsidR="007B6A08">
        <w:t>0-37</w:t>
      </w:r>
      <w:r w:rsidR="00D60F5B" w:rsidRPr="00E05D25">
        <w:t>%</w:t>
      </w:r>
      <w:r w:rsidR="005C7930" w:rsidRPr="00E05D25">
        <w:t xml:space="preserve">, </w:t>
      </w:r>
      <w:r w:rsidR="007B6A08">
        <w:t>in people with and without prior atherosclerotic CVD</w:t>
      </w:r>
      <w:r w:rsidR="001B38BB" w:rsidRPr="00E05D25">
        <w:t xml:space="preserve">, </w:t>
      </w:r>
      <w:r w:rsidR="005C7930" w:rsidRPr="00E05D25">
        <w:t xml:space="preserve">whereas </w:t>
      </w:r>
      <w:r w:rsidR="00F17B02" w:rsidRPr="00E05D25">
        <w:t>GLP-1RA</w:t>
      </w:r>
      <w:r w:rsidR="005C7930" w:rsidRPr="00E05D25">
        <w:t xml:space="preserve"> </w:t>
      </w:r>
      <w:r w:rsidR="00D90149" w:rsidRPr="00E05D25">
        <w:t xml:space="preserve">provided </w:t>
      </w:r>
      <w:r w:rsidR="002D707F" w:rsidRPr="00E05D25">
        <w:t xml:space="preserve">a </w:t>
      </w:r>
      <w:r w:rsidR="00C53336" w:rsidRPr="00E05D25">
        <w:t xml:space="preserve">more modest </w:t>
      </w:r>
      <w:r w:rsidR="00190FB1" w:rsidRPr="00E05D25">
        <w:t xml:space="preserve">reduction of </w:t>
      </w:r>
      <w:r w:rsidR="00CE7AC3">
        <w:t>11</w:t>
      </w:r>
      <w:r w:rsidR="00190FB1" w:rsidRPr="00E05D25">
        <w:t>%</w:t>
      </w:r>
      <w:r w:rsidR="00D60F5B" w:rsidRPr="00E05D25">
        <w:t>.</w:t>
      </w:r>
      <w:r w:rsidR="00CE7AC3">
        <w:fldChar w:fldCharType="begin" w:fldLock="1"/>
      </w:r>
      <w:r w:rsidR="00CE7AC3">
        <w:instrText>ADDIN CSL_CITATION {"citationItems":[{"id":"ITEM-1","itemData":{"DOI":"10.1161/CIRCULATIONAHA.118.038868","ISSN":"0009-7322","author":[{"dropping-particle":"","family":"Zelniker","given":"Thomas A.","non-dropping-particle":"","parse-names":false,"suffix":""},{"dropping-particle":"","family":"Wiviott","given":"Stephen D.","non-dropping-particle":"","parse-names":false,"suffix":""},{"dropping-particle":"","family":"Raz","given":"Itamar","non-dropping-particle":"","parse-names":false,"suffix":""},{"dropping-particle":"","family":"Im","given":"KyungAh","non-dropping-particle":"","parse-names":false,"suffix":""},{"dropping-particle":"","family":"Goodrich","given":"Erica L.","non-dropping-particle":"","parse-names":false,"suffix":""},{"dropping-particle":"","family":"Furtado","given":"Remo H.M.","non-dropping-particle":"","parse-names":false,"suffix":""},{"dropping-particle":"","family":"Bonaca","given":"Marc P.","non-dropping-particle":"","parse-names":false,"suffix":""},{"dropping-particle":"","family":"Mosenzon","given":"Ofri","non-dropping-particle":"","parse-names":false,"suffix":""},{"dropping-particle":"","family":"Kato","given":"Eri T.","non-dropping-particle":"","parse-names":false,"suffix":""},{"dropping-particle":"","family":"Cahn","given":"Avivit","non-dropping-particle":"","parse-names":false,"suffix":""},{"dropping-particle":"","family":"Bhatt","given":"Deepak L.","non-dropping-particle":"","parse-names":false,"suffix":""},{"dropping-particle":"","family":"Leiter","given":"Lawrence A.","non-dropping-particle":"","parse-names":false,"suffix":""},{"dropping-particle":"","family":"McGuire","given":"Darren K.","non-dropping-particle":"","parse-names":false,"suffix":""},{"dropping-particle":"","family":"Wilding","given":"John P.H.","non-dropping-particle":"","parse-names":false,"suffix":""},{"dropping-particle":"","family":"Sabatine","given":"Marc S.","non-dropping-particle":"","parse-names":false,"suffix":""}],"container-title":"Circulation","id":"ITEM-1","issue":"17","issued":{"date-parts":[["2019","4","23"]]},"page":"2022-2031","title":"Comparison of the Effects of Glucagon-Like Peptide Receptor Agonists and Sodium-Glucose Cotransporter 2 Inhibitors for Prevention of Major Adverse Cardiovascular and Renal Outcomes in Type 2 Diabetes Mellitus","type":"article-journal","volume":"139"},"uris":["http://www.mendeley.com/documents/?uuid=1e77b180-2752-4e5e-ae30-ad7e18f8689f"]},{"id":"ITEM-2","itemData":{"DOI":"10.1001/jamacardio.2020.4511","ISSN":"2380-6583","author":[{"dropping-particle":"","family":"McGuire","given":"Darren K.","non-dropping-particle":"","parse-names":false,"suffix":""},{"dropping-particle":"","family":"Shih","given":"Weichung J.","non-dropping-particle":"","parse-names":false,"suffix":""},{"dropping-particle":"","family":"Cosentino","given":"Francesco","non-dropping-particle":"","parse-names":false,"suffix":""},{"dropping-particle":"","family":"Charbonnel","given":"Bernard","non-dropping-particle":"","parse-names":false,"suffix":""},{"dropping-particle":"","family":"Cherney","given":"David Z. I.","non-dropping-particle":"","parse-names":false,"suffix":""},{"dropping-particle":"","family":"Dagogo-Jack","given":"Samuel","non-dropping-particle":"","parse-names":false,"suffix":""},{"dropping-particle":"","family":"Pratley","given":"Richard","non-dropping-particle":"","parse-names":false,"suffix":""},{"dropping-particle":"","family":"Greenberg","given":"Michelle","non-dropping-particle":"","parse-names":false,"suffix":""},{"dropping-particle":"","family":"Wang","given":"Shuai","non-dropping-particle":"","parse-names":false,"suffix":""},{"dropping-particle":"","family":"Huyck","given":"Susan","non-dropping-particle":"","parse-names":false,"suffix":""},{"dropping-particle":"","family":"Gantz","given":"Ira","non-dropping-particle":"","parse-names":false,"suffix":""},{"dropping-particle":"","family":"Terra","given":"Steven G.","non-dropping-particle":"","parse-names":false,"suffix":""},{"dropping-particle":"","family":"Masiukiewicz","given":"Urszula","non-dropping-particle":"","parse-names":false,"suffix":""},{"dropping-particle":"","family":"Cannon","given":"Christopher P.","non-dropping-particle":"","parse-names":false,"suffix":""}],"container-title":"JAMA Cardiology","id":"ITEM-2","issue":"2","issued":{"date-parts":[["2021","2","1"]]},"page":"148","title":"Association of SGLT2 Inhibitors With Cardiovascular and Kidney Outcomes in Patients With Type 2 Diabetes","type":"article-journal","volume":"6"},"uris":["http://www.mendeley.com/documents/?uuid=35cf0241-0dbe-427f-b5ae-6363c16c8de9"]},{"id":"ITEM-3","itemData":{"DOI":"10.1016/S2213-8587(21)00203-5","ISSN":"22138587","author":[{"dropping-particle":"","family":"Sattar","given":"Naveed","non-dropping-particle":"","parse-names":false,"suffix":""},{"dropping-particle":"","family":"Lee","given":"Matthew M Y","non-dropping-particle":"","parse-names":false,"suffix":""},{"dropping-particle":"","family":"Kristensen","given":"Søren L","non-dropping-particle":"","parse-names":false,"suffix":""},{"dropping-particle":"","family":"Branch","given":"Kelley R H","non-dropping-particle":"","parse-names":false,"suffix":""},{"dropping-particle":"","family":"Prato","given":"Stefano","non-dropping-particle":"Del","parse-names":false,"suffix":""},{"dropping-particle":"","family":"Khurmi","given":"Nardev S","non-dropping-particle":"","parse-names":false,"suffix":""},{"dropping-particle":"","family":"Lam","given":"Carolyn S P","non-dropping-particle":"","parse-names":false,"suffix":""},{"dropping-particle":"","family":"Lopes","given":"Renato D","non-dropping-particle":"","parse-names":false,"suffix":""},{"dropping-particle":"V","family":"McMurray","given":"John J","non-dropping-particle":"","parse-names":false,"suffix":""},{"dropping-particle":"","family":"Pratley","given":"Richard E","non-dropping-particle":"","parse-names":false,"suffix":""},{"dropping-particle":"","family":"Rosenstock","given":"Julio","non-dropping-particle":"","parse-names":false,"suffix":""},{"dropping-particle":"","family":"Gerstein","given":"Hertzel C","non-dropping-particle":"","parse-names":false,"suffix":""}],"container-title":"The Lancet Diabetes &amp; Endocrinology","id":"ITEM-3","issue":"10","issued":{"date-parts":[["2021","10"]]},"page":"653-662","title":"Cardiovascular, mortality, and kidney outcomes with GLP-1 receptor agonists in patients with type 2 diabetes: a systematic review and meta-analysis of randomised trials","type":"article-journal","volume":"9"},"uris":["http://www.mendeley.com/documents/?uuid=068cb5e8-ee99-40b7-b510-a9846e71e73e"]}],"mendeley":{"formattedCitation":"(1,3,4)","plainTextFormattedCitation":"(1,3,4)","previouslyFormattedCitation":"(1,3,4)"},"properties":{"noteIndex":0},"schema":"https://github.com/citation-style-language/schema/raw/master/csl-citation.json"}</w:instrText>
      </w:r>
      <w:r w:rsidR="00CE7AC3">
        <w:fldChar w:fldCharType="separate"/>
      </w:r>
      <w:r w:rsidR="00CE7AC3" w:rsidRPr="00CE7AC3">
        <w:rPr>
          <w:noProof/>
        </w:rPr>
        <w:t>(1,3,4)</w:t>
      </w:r>
      <w:r w:rsidR="00CE7AC3">
        <w:fldChar w:fldCharType="end"/>
      </w:r>
      <w:r w:rsidR="001B38BB" w:rsidRPr="00E05D25">
        <w:t xml:space="preserve"> </w:t>
      </w:r>
      <w:r w:rsidR="00A23185" w:rsidRPr="00E05D25">
        <w:t xml:space="preserve">However, trial cohorts </w:t>
      </w:r>
      <w:r w:rsidR="00AB6E31">
        <w:t>did not exclude people with prior heart failure and they</w:t>
      </w:r>
      <w:r w:rsidR="00A23185" w:rsidRPr="00781897">
        <w:t xml:space="preserve"> largely consisted of </w:t>
      </w:r>
      <w:r w:rsidR="00B02C2F" w:rsidRPr="00781897">
        <w:t>people</w:t>
      </w:r>
      <w:r w:rsidR="00A23185" w:rsidRPr="00781897">
        <w:t xml:space="preserve"> with established CVD and</w:t>
      </w:r>
      <w:r w:rsidR="007C3128">
        <w:t xml:space="preserve"> individually</w:t>
      </w:r>
      <w:r w:rsidR="00A23185" w:rsidRPr="00781897">
        <w:t xml:space="preserve"> </w:t>
      </w:r>
      <w:r w:rsidR="00BF6C23" w:rsidRPr="00781897">
        <w:t xml:space="preserve">were </w:t>
      </w:r>
      <w:r w:rsidR="00B5277F" w:rsidRPr="00781897">
        <w:t>not</w:t>
      </w:r>
      <w:r w:rsidR="00A23185" w:rsidRPr="00781897">
        <w:t xml:space="preserve"> adequately powered to </w:t>
      </w:r>
      <w:r w:rsidR="004F0AC9" w:rsidRPr="00781897">
        <w:t xml:space="preserve">demonstrate </w:t>
      </w:r>
      <w:r w:rsidR="00C15FB9" w:rsidRPr="00781897">
        <w:t xml:space="preserve">superiority in </w:t>
      </w:r>
      <w:r w:rsidR="00A23185" w:rsidRPr="00781897">
        <w:t xml:space="preserve">primary prevention </w:t>
      </w:r>
      <w:r w:rsidR="00C15FB9" w:rsidRPr="00781897">
        <w:t>settings</w:t>
      </w:r>
      <w:r w:rsidR="00A23185" w:rsidRPr="00781897">
        <w:t>.</w:t>
      </w:r>
    </w:p>
    <w:p w14:paraId="7FC208D1" w14:textId="77777777" w:rsidR="0019535A" w:rsidRPr="00781897" w:rsidRDefault="0019535A" w:rsidP="00781897">
      <w:pPr>
        <w:spacing w:line="480" w:lineRule="auto"/>
        <w:contextualSpacing/>
      </w:pPr>
    </w:p>
    <w:p w14:paraId="2E5BF24A" w14:textId="176E99E1" w:rsidR="00196BAD" w:rsidRPr="00781897" w:rsidRDefault="00A23185" w:rsidP="00781897">
      <w:pPr>
        <w:spacing w:line="480" w:lineRule="auto"/>
        <w:contextualSpacing/>
      </w:pPr>
      <w:r w:rsidRPr="00781897">
        <w:t>W</w:t>
      </w:r>
      <w:r w:rsidR="004E6BB2" w:rsidRPr="00781897">
        <w:t xml:space="preserve">e </w:t>
      </w:r>
      <w:r w:rsidR="00E46A86" w:rsidRPr="00781897">
        <w:t>hypothesised that</w:t>
      </w:r>
      <w:r w:rsidRPr="00781897">
        <w:t xml:space="preserve"> the CVD benefits observed in </w:t>
      </w:r>
      <w:r w:rsidR="00C15FB9" w:rsidRPr="00781897">
        <w:t>“</w:t>
      </w:r>
      <w:r w:rsidRPr="00781897">
        <w:t>high-risk</w:t>
      </w:r>
      <w:r w:rsidR="00C15FB9" w:rsidRPr="00781897">
        <w:t>”</w:t>
      </w:r>
      <w:r w:rsidRPr="00781897">
        <w:t xml:space="preserve"> trial participants </w:t>
      </w:r>
      <w:r w:rsidR="00E46A86" w:rsidRPr="00781897">
        <w:t>w</w:t>
      </w:r>
      <w:r w:rsidR="00D26436" w:rsidRPr="00781897">
        <w:t xml:space="preserve">ould </w:t>
      </w:r>
      <w:r w:rsidR="007101E6" w:rsidRPr="00781897">
        <w:t xml:space="preserve">also </w:t>
      </w:r>
      <w:r w:rsidR="00D26436" w:rsidRPr="00781897">
        <w:t xml:space="preserve">be </w:t>
      </w:r>
      <w:r w:rsidR="007101E6" w:rsidRPr="00781897">
        <w:t xml:space="preserve">apparent </w:t>
      </w:r>
      <w:r w:rsidR="00553356" w:rsidRPr="00781897">
        <w:t xml:space="preserve">in </w:t>
      </w:r>
      <w:r w:rsidR="00AE3CFD" w:rsidRPr="00781897">
        <w:t>low</w:t>
      </w:r>
      <w:r w:rsidR="00C15FB9" w:rsidRPr="00781897">
        <w:t>er</w:t>
      </w:r>
      <w:r w:rsidR="00143277" w:rsidRPr="00781897">
        <w:t>-</w:t>
      </w:r>
      <w:r w:rsidR="00AE3CFD" w:rsidRPr="00781897">
        <w:t xml:space="preserve">risk </w:t>
      </w:r>
      <w:r w:rsidR="00BF6C23" w:rsidRPr="00781897">
        <w:t xml:space="preserve">primary care populations </w:t>
      </w:r>
      <w:r w:rsidR="00553356" w:rsidRPr="00781897">
        <w:rPr>
          <w:i/>
        </w:rPr>
        <w:t xml:space="preserve">without </w:t>
      </w:r>
      <w:r w:rsidR="00553356" w:rsidRPr="00781897">
        <w:t xml:space="preserve">known </w:t>
      </w:r>
      <w:r w:rsidR="00EC0A89" w:rsidRPr="00781897">
        <w:t>CVD</w:t>
      </w:r>
      <w:r w:rsidR="004E6BB2" w:rsidRPr="00781897">
        <w:t>.</w:t>
      </w:r>
      <w:r w:rsidR="00AE3CFD" w:rsidRPr="00781897">
        <w:t xml:space="preserve"> </w:t>
      </w:r>
      <w:r w:rsidR="00F008C3" w:rsidRPr="00781897">
        <w:t>Moreover, since the</w:t>
      </w:r>
      <w:r w:rsidR="00185BAD" w:rsidRPr="00781897">
        <w:t xml:space="preserve"> combination</w:t>
      </w:r>
      <w:r w:rsidR="007A5A5F" w:rsidRPr="00781897">
        <w:t xml:space="preserve"> </w:t>
      </w:r>
      <w:r w:rsidR="00925FA8" w:rsidRPr="00781897">
        <w:t>of SGLT2i and GLP-1RA</w:t>
      </w:r>
      <w:r w:rsidR="007A5A5F" w:rsidRPr="00781897">
        <w:t xml:space="preserve"> offer</w:t>
      </w:r>
      <w:r w:rsidR="00925FA8" w:rsidRPr="00781897">
        <w:t>s</w:t>
      </w:r>
      <w:r w:rsidR="007A5A5F" w:rsidRPr="00781897">
        <w:t xml:space="preserve"> superior reductions in </w:t>
      </w:r>
      <w:r w:rsidR="00F008C3" w:rsidRPr="00781897">
        <w:t>CVD risk factors</w:t>
      </w:r>
      <w:r w:rsidR="00483FB2" w:rsidRPr="00781897">
        <w:t xml:space="preserve"> </w:t>
      </w:r>
      <w:r w:rsidR="00DD6C6B" w:rsidRPr="00781897">
        <w:t xml:space="preserve">when </w:t>
      </w:r>
      <w:r w:rsidR="00483FB2" w:rsidRPr="00781897">
        <w:t>compared to</w:t>
      </w:r>
      <w:r w:rsidR="00185BAD" w:rsidRPr="00781897">
        <w:t xml:space="preserve"> </w:t>
      </w:r>
      <w:r w:rsidR="00483FB2" w:rsidRPr="00781897">
        <w:t>us</w:t>
      </w:r>
      <w:r w:rsidR="00185BAD" w:rsidRPr="00781897">
        <w:t>ing</w:t>
      </w:r>
      <w:r w:rsidR="00483FB2" w:rsidRPr="00781897">
        <w:t xml:space="preserve"> either medication </w:t>
      </w:r>
      <w:r w:rsidR="00241B57" w:rsidRPr="00781897">
        <w:t>alone</w:t>
      </w:r>
      <w:r w:rsidR="00925FA8" w:rsidRPr="00781897">
        <w:t>,</w:t>
      </w:r>
      <w:r w:rsidR="0002470B" w:rsidRPr="00781897">
        <w:fldChar w:fldCharType="begin" w:fldLock="1"/>
      </w:r>
      <w:r w:rsidR="00CE7AC3">
        <w:instrText>ADDIN CSL_CITATION {"citationItems":[{"id":"ITEM-1","itemData":{"DOI":"10.4158/EP15877.OR","ISSN":"1530-891X","author":[{"dropping-particle":"","family":"Saroka","given":"Rachel M.","non-dropping-particle":"","parse-names":false,"suffix":""},{"dropping-particle":"","family":"Kane","given":"Michael P.","non-dropping-particle":"","parse-names":false,"suffix":""},{"dropping-particle":"","family":"Busch","given":"Robert S.","non-dropping-particle":"","parse-names":false,"suffix":""},{"dropping-particle":"","family":"Watsky","given":"Jay","non-dropping-particle":"","parse-names":false,"suffix":""},{"dropping-particle":"","family":"Hamilton","given":"Robert A.","non-dropping-particle":"","parse-names":false,"suffix":""}],"container-title":"Endocrine Practice","id":"ITEM-1","issue":"12","issued":{"date-parts":[["2015","12"]]},"page":"1315-1322","title":"SGLT-2 inhibitor therapy added to GLP-1 agonist therapy in the management of T2DM","type":"article-journal","volume":"21"},"uris":["http://www.mendeley.com/documents/?uuid=24fddd1e-c31b-4405-9748-7ba5f8763d41"]},{"id":"ITEM-2","itemData":{"DOI":"10.1111/dom.12897","ISSN":"14628902","author":[{"dropping-particle":"","family":"Goncalves","given":"Edison","non-dropping-particle":"","parse-names":false,"suffix":""},{"dropping-particle":"","family":"Bell","given":"David S. H.","non-dropping-particle":"","parse-names":false,"suffix":""}],"container-title":"Diabetes, Obesity and Metabolism","id":"ITEM-2","issue":"6","issued":{"date-parts":[["2017","6"]]},"page":"909-911","title":"Glucagon-like peptide-1 receptor agonists and sodium-glucose co-transporter-2 inhibitors: Sequential or simultaneous start?","type":"article-journal","volume":"19"},"uris":["http://www.mendeley.com/documents/?uuid=337435a0-b757-4348-8369-5a5dc7300485"]}],"mendeley":{"formattedCitation":"(5,6)","plainTextFormattedCitation":"(5,6)","previouslyFormattedCitation":"(5,6)"},"properties":{"noteIndex":0},"schema":"https://github.com/citation-style-language/schema/raw/master/csl-citation.json"}</w:instrText>
      </w:r>
      <w:r w:rsidR="0002470B" w:rsidRPr="00781897">
        <w:fldChar w:fldCharType="separate"/>
      </w:r>
      <w:r w:rsidR="00CE7AC3" w:rsidRPr="00CE7AC3">
        <w:rPr>
          <w:noProof/>
        </w:rPr>
        <w:t>(5,6)</w:t>
      </w:r>
      <w:r w:rsidR="0002470B" w:rsidRPr="00781897">
        <w:fldChar w:fldCharType="end"/>
      </w:r>
      <w:r w:rsidR="00EC0A89" w:rsidRPr="00781897">
        <w:t xml:space="preserve"> w</w:t>
      </w:r>
      <w:r w:rsidR="0049756B" w:rsidRPr="00781897">
        <w:t>e hypothesised that the</w:t>
      </w:r>
      <w:r w:rsidR="007A5A5F" w:rsidRPr="00781897">
        <w:t xml:space="preserve"> </w:t>
      </w:r>
      <w:r w:rsidR="00282538" w:rsidRPr="00781897">
        <w:t>combination would</w:t>
      </w:r>
      <w:r w:rsidR="006F276D" w:rsidRPr="00781897">
        <w:t xml:space="preserve"> </w:t>
      </w:r>
      <w:r w:rsidR="0049756B" w:rsidRPr="00781897">
        <w:t>provide</w:t>
      </w:r>
      <w:r w:rsidR="002E0519" w:rsidRPr="00781897">
        <w:t xml:space="preserve"> </w:t>
      </w:r>
      <w:r w:rsidR="0049756B" w:rsidRPr="00781897">
        <w:t xml:space="preserve">additive reductions in </w:t>
      </w:r>
      <w:r w:rsidR="00FA6376" w:rsidRPr="00781897">
        <w:t>MACCE</w:t>
      </w:r>
      <w:r w:rsidR="002D4017" w:rsidRPr="00781897">
        <w:t xml:space="preserve"> and heart failure</w:t>
      </w:r>
      <w:r w:rsidR="0049756B" w:rsidRPr="00781897">
        <w:t xml:space="preserve"> risk</w:t>
      </w:r>
      <w:r w:rsidR="002D4017" w:rsidRPr="00781897">
        <w:t>s</w:t>
      </w:r>
      <w:r w:rsidR="00DD6C6B" w:rsidRPr="00781897">
        <w:t>.</w:t>
      </w:r>
      <w:r w:rsidR="0019535A" w:rsidRPr="00781897">
        <w:t xml:space="preserve"> </w:t>
      </w:r>
      <w:r w:rsidR="0031669E" w:rsidRPr="00781897">
        <w:t>U</w:t>
      </w:r>
      <w:r w:rsidR="006723E5" w:rsidRPr="00781897">
        <w:t>sing</w:t>
      </w:r>
      <w:r w:rsidR="00CD29A6" w:rsidRPr="00781897">
        <w:t xml:space="preserve"> </w:t>
      </w:r>
      <w:r w:rsidR="00823C02" w:rsidRPr="00781897">
        <w:t xml:space="preserve">linked electronic </w:t>
      </w:r>
      <w:r w:rsidR="00E76C8F" w:rsidRPr="00781897">
        <w:t xml:space="preserve">primary </w:t>
      </w:r>
      <w:r w:rsidR="007101E6" w:rsidRPr="00781897">
        <w:t xml:space="preserve">and secondary </w:t>
      </w:r>
      <w:r w:rsidR="00E76C8F" w:rsidRPr="00781897">
        <w:t xml:space="preserve">care </w:t>
      </w:r>
      <w:r w:rsidR="00823C02" w:rsidRPr="00781897">
        <w:t xml:space="preserve">health records </w:t>
      </w:r>
      <w:r w:rsidR="00E76C8F" w:rsidRPr="00781897">
        <w:t xml:space="preserve">from </w:t>
      </w:r>
      <w:r w:rsidR="007066EF" w:rsidRPr="00781897">
        <w:t>England and Wales</w:t>
      </w:r>
      <w:r w:rsidR="002C5E06" w:rsidRPr="00781897">
        <w:t xml:space="preserve"> (UK)</w:t>
      </w:r>
      <w:r w:rsidR="00CD29A6" w:rsidRPr="00781897">
        <w:t>, we</w:t>
      </w:r>
      <w:r w:rsidR="00D77743" w:rsidRPr="00781897">
        <w:t xml:space="preserve"> aimed to assess</w:t>
      </w:r>
      <w:r w:rsidR="00CD29A6" w:rsidRPr="00781897">
        <w:t xml:space="preserve"> whether</w:t>
      </w:r>
      <w:r w:rsidR="00282538" w:rsidRPr="00781897">
        <w:t xml:space="preserve"> </w:t>
      </w:r>
      <w:r w:rsidR="002271C2" w:rsidRPr="00781897">
        <w:t>GLP-1</w:t>
      </w:r>
      <w:r w:rsidR="0088119B" w:rsidRPr="00781897">
        <w:t>RA</w:t>
      </w:r>
      <w:r w:rsidR="007A47EB" w:rsidRPr="00781897">
        <w:t xml:space="preserve"> and </w:t>
      </w:r>
      <w:r w:rsidR="002271C2" w:rsidRPr="00781897">
        <w:t>SGLT2</w:t>
      </w:r>
      <w:r w:rsidR="0088119B" w:rsidRPr="00781897">
        <w:t>i</w:t>
      </w:r>
      <w:r w:rsidR="006723E5" w:rsidRPr="00781897">
        <w:t xml:space="preserve"> </w:t>
      </w:r>
      <w:r w:rsidR="00167F4A" w:rsidRPr="00781897">
        <w:t>use</w:t>
      </w:r>
      <w:r w:rsidR="00BF6C23" w:rsidRPr="00781897">
        <w:t xml:space="preserve">, individually or </w:t>
      </w:r>
      <w:r w:rsidR="006A2388" w:rsidRPr="00781897">
        <w:t>combined</w:t>
      </w:r>
      <w:r w:rsidR="00BF6C23" w:rsidRPr="00781897">
        <w:t xml:space="preserve">, </w:t>
      </w:r>
      <w:r w:rsidR="00AA2BDA" w:rsidRPr="00781897">
        <w:t>was associated wit</w:t>
      </w:r>
      <w:r w:rsidR="00553356" w:rsidRPr="00781897">
        <w:t>h</w:t>
      </w:r>
      <w:r w:rsidR="00DB36C9" w:rsidRPr="00781897">
        <w:t xml:space="preserve"> </w:t>
      </w:r>
      <w:r w:rsidR="00232B72" w:rsidRPr="00781897">
        <w:t>lower</w:t>
      </w:r>
      <w:r w:rsidR="00DB36C9" w:rsidRPr="00781897">
        <w:t xml:space="preserve"> </w:t>
      </w:r>
      <w:r w:rsidR="002C5E06" w:rsidRPr="00781897">
        <w:t>rates</w:t>
      </w:r>
      <w:r w:rsidR="00DB36C9" w:rsidRPr="00781897">
        <w:t xml:space="preserve"> </w:t>
      </w:r>
      <w:r w:rsidR="00BF6C23" w:rsidRPr="00781897">
        <w:t>of</w:t>
      </w:r>
      <w:r w:rsidR="00AA2BDA" w:rsidRPr="00781897">
        <w:t xml:space="preserve"> </w:t>
      </w:r>
      <w:r w:rsidR="00FA6376" w:rsidRPr="00781897">
        <w:t>MACCE</w:t>
      </w:r>
      <w:r w:rsidR="00241B57" w:rsidRPr="00781897">
        <w:t xml:space="preserve"> </w:t>
      </w:r>
      <w:r w:rsidR="00BF6C23" w:rsidRPr="00781897">
        <w:t>or</w:t>
      </w:r>
      <w:r w:rsidR="00282538" w:rsidRPr="00781897">
        <w:t xml:space="preserve"> heart failure</w:t>
      </w:r>
      <w:r w:rsidR="00BF6C23" w:rsidRPr="00781897">
        <w:t xml:space="preserve">, </w:t>
      </w:r>
      <w:r w:rsidR="00745765" w:rsidRPr="00781897">
        <w:t xml:space="preserve">compared to not </w:t>
      </w:r>
      <w:r w:rsidR="0029725F" w:rsidRPr="00781897">
        <w:t>using</w:t>
      </w:r>
      <w:r w:rsidR="00745765" w:rsidRPr="00781897">
        <w:t xml:space="preserve"> such therapies</w:t>
      </w:r>
      <w:r w:rsidR="0029725F" w:rsidRPr="00781897">
        <w:t>,</w:t>
      </w:r>
      <w:r w:rsidR="00E76C8F" w:rsidRPr="00781897">
        <w:t xml:space="preserve"> in the primary prevention setting</w:t>
      </w:r>
      <w:r w:rsidR="002271C2" w:rsidRPr="00781897">
        <w:t>.</w:t>
      </w:r>
    </w:p>
    <w:p w14:paraId="32EAE0B8" w14:textId="77777777" w:rsidR="00A95B7C" w:rsidRPr="00781897" w:rsidRDefault="00A95B7C" w:rsidP="00781897">
      <w:pPr>
        <w:spacing w:line="480" w:lineRule="auto"/>
        <w:contextualSpacing/>
      </w:pPr>
    </w:p>
    <w:p w14:paraId="2276ECD0" w14:textId="262D953D" w:rsidR="003425CC" w:rsidRPr="00781897" w:rsidRDefault="00474312" w:rsidP="00781897">
      <w:pPr>
        <w:spacing w:line="480" w:lineRule="auto"/>
        <w:contextualSpacing/>
        <w:rPr>
          <w:b/>
        </w:rPr>
      </w:pPr>
      <w:r>
        <w:rPr>
          <w:b/>
        </w:rPr>
        <w:lastRenderedPageBreak/>
        <w:t xml:space="preserve">RESEARCH DESIGN AND </w:t>
      </w:r>
      <w:r w:rsidR="003425CC" w:rsidRPr="00781897">
        <w:rPr>
          <w:b/>
        </w:rPr>
        <w:t>METHODS</w:t>
      </w:r>
    </w:p>
    <w:p w14:paraId="275E7C80" w14:textId="30687983" w:rsidR="00874240" w:rsidRDefault="004F5E79" w:rsidP="006F132E">
      <w:pPr>
        <w:spacing w:line="480" w:lineRule="auto"/>
        <w:contextualSpacing/>
      </w:pPr>
      <w:r>
        <w:rPr>
          <w:b/>
          <w:bCs/>
        </w:rPr>
        <w:t>Study design and d</w:t>
      </w:r>
      <w:r w:rsidR="0080063C" w:rsidRPr="00781897">
        <w:rPr>
          <w:b/>
          <w:bCs/>
        </w:rPr>
        <w:t>ata</w:t>
      </w:r>
      <w:r w:rsidR="003425CC" w:rsidRPr="00781897">
        <w:rPr>
          <w:b/>
          <w:bCs/>
        </w:rPr>
        <w:t xml:space="preserve"> </w:t>
      </w:r>
      <w:r w:rsidR="0080063C" w:rsidRPr="00781897">
        <w:rPr>
          <w:b/>
          <w:bCs/>
        </w:rPr>
        <w:t>source</w:t>
      </w:r>
    </w:p>
    <w:p w14:paraId="7111CDFF" w14:textId="7C9EE872" w:rsidR="003425CC" w:rsidRPr="006F132E" w:rsidRDefault="004F5E79" w:rsidP="006F132E">
      <w:pPr>
        <w:spacing w:line="480" w:lineRule="auto"/>
        <w:contextualSpacing/>
      </w:pPr>
      <w:r>
        <w:t>We conducted nested case-control studies (</w:t>
      </w:r>
      <w:r w:rsidRPr="00C83E0D">
        <w:t>Supplementa</w:t>
      </w:r>
      <w:r>
        <w:t>l</w:t>
      </w:r>
      <w:r w:rsidRPr="00C83E0D">
        <w:t xml:space="preserve"> Figure 1</w:t>
      </w:r>
      <w:r>
        <w:t xml:space="preserve">) using </w:t>
      </w:r>
      <w:r w:rsidR="003425CC" w:rsidRPr="006F132E">
        <w:t xml:space="preserve">data </w:t>
      </w:r>
      <w:r>
        <w:t xml:space="preserve">obtained </w:t>
      </w:r>
      <w:r w:rsidR="003425CC" w:rsidRPr="006F132E">
        <w:t>from three</w:t>
      </w:r>
      <w:r w:rsidR="00823C02" w:rsidRPr="006F132E">
        <w:t xml:space="preserve"> </w:t>
      </w:r>
      <w:r w:rsidR="0019535A" w:rsidRPr="006F132E">
        <w:t>medical record databases</w:t>
      </w:r>
      <w:r w:rsidR="00BF6C23" w:rsidRPr="006F132E">
        <w:t>:</w:t>
      </w:r>
      <w:r w:rsidR="003425CC" w:rsidRPr="006F132E">
        <w:t xml:space="preserve"> the Clinical Practice Research Datalink (CPRD) GOLD</w:t>
      </w:r>
      <w:r w:rsidR="0061747D" w:rsidRPr="006F132E">
        <w:t xml:space="preserve"> (data contributed by </w:t>
      </w:r>
      <w:r w:rsidR="00752D24">
        <w:t xml:space="preserve">UK </w:t>
      </w:r>
      <w:r w:rsidR="0061747D" w:rsidRPr="006F132E">
        <w:t xml:space="preserve">practices using Vision electronic patient record system software), CPRD Aurum (data contributed by </w:t>
      </w:r>
      <w:r w:rsidR="00752D24">
        <w:t>UK</w:t>
      </w:r>
      <w:r w:rsidR="00752D24" w:rsidRPr="006F132E">
        <w:t xml:space="preserve"> </w:t>
      </w:r>
      <w:r w:rsidR="0061747D" w:rsidRPr="006F132E">
        <w:t>practices using EMIS software), and the Secure Anonymised Information Linkage (SAIL) Databank</w:t>
      </w:r>
      <w:r w:rsidR="00752D24">
        <w:t xml:space="preserve"> (practices contributing data in Wales, UK)</w:t>
      </w:r>
      <w:r w:rsidR="0061747D" w:rsidRPr="006F132E">
        <w:t xml:space="preserve">. </w:t>
      </w:r>
      <w:r w:rsidR="00E40008" w:rsidRPr="000D2831">
        <w:t xml:space="preserve">Patients who transferred from </w:t>
      </w:r>
      <w:r w:rsidR="000D2831" w:rsidRPr="000D2831">
        <w:t xml:space="preserve">CPRD </w:t>
      </w:r>
      <w:r w:rsidR="00E40008" w:rsidRPr="000D2831">
        <w:t>GOLD to Aurum were excluded from GOLD</w:t>
      </w:r>
      <w:r w:rsidR="000D2831" w:rsidRPr="000D2831">
        <w:t>.</w:t>
      </w:r>
      <w:r w:rsidR="00E40008" w:rsidRPr="000D2831">
        <w:t xml:space="preserve"> As we only identified people attending English general practices in CPRD, there </w:t>
      </w:r>
      <w:r w:rsidR="000D2831" w:rsidRPr="000D2831">
        <w:t>was</w:t>
      </w:r>
      <w:r w:rsidR="00E40008" w:rsidRPr="000D2831">
        <w:t xml:space="preserve"> no overlap with the SAIL Databank </w:t>
      </w:r>
      <w:r w:rsidR="000D2831" w:rsidRPr="000D2831">
        <w:t>which</w:t>
      </w:r>
      <w:r w:rsidR="00E40008" w:rsidRPr="000D2831">
        <w:t xml:space="preserve"> only contains patients attending Welsh general practices.</w:t>
      </w:r>
    </w:p>
    <w:p w14:paraId="21704658" w14:textId="77777777" w:rsidR="006F132E" w:rsidRDefault="006F132E" w:rsidP="006F132E">
      <w:pPr>
        <w:spacing w:line="480" w:lineRule="auto"/>
        <w:contextualSpacing/>
      </w:pPr>
    </w:p>
    <w:p w14:paraId="62558B8B" w14:textId="1504E4EA" w:rsidR="006F132E" w:rsidRPr="001339EA" w:rsidRDefault="006F132E" w:rsidP="001339EA">
      <w:pPr>
        <w:spacing w:line="480" w:lineRule="auto"/>
      </w:pPr>
      <w:r w:rsidRPr="001339EA">
        <w:t xml:space="preserve">The CPRD databases contain anonymised, longitudinal primary care medical records </w:t>
      </w:r>
      <w:r w:rsidR="00A94EBC" w:rsidRPr="001339EA">
        <w:t>and prescribing data (</w:t>
      </w:r>
      <w:r w:rsidR="000D2831" w:rsidRPr="001339EA">
        <w:t>contain</w:t>
      </w:r>
      <w:r w:rsidR="00036BBF">
        <w:t>ing</w:t>
      </w:r>
      <w:r w:rsidR="000D2831" w:rsidRPr="001339EA">
        <w:t xml:space="preserve"> </w:t>
      </w:r>
      <w:r w:rsidR="00A94EBC" w:rsidRPr="001339EA">
        <w:t xml:space="preserve">information </w:t>
      </w:r>
      <w:r w:rsidR="000D2831" w:rsidRPr="001339EA">
        <w:t>on</w:t>
      </w:r>
      <w:r w:rsidR="00A94EBC" w:rsidRPr="001339EA">
        <w:t xml:space="preserve"> prescriptions issued but </w:t>
      </w:r>
      <w:r w:rsidR="000D2831" w:rsidRPr="001339EA">
        <w:t>no</w:t>
      </w:r>
      <w:r w:rsidR="00036BBF">
        <w:t>t on</w:t>
      </w:r>
      <w:r w:rsidR="000D2831" w:rsidRPr="001339EA">
        <w:t xml:space="preserve"> dispensing information</w:t>
      </w:r>
      <w:r w:rsidR="00A94EBC" w:rsidRPr="001339EA">
        <w:t xml:space="preserve">) </w:t>
      </w:r>
      <w:r w:rsidRPr="001339EA">
        <w:t>from English general practices.</w:t>
      </w:r>
      <w:r w:rsidRPr="001339EA">
        <w:rPr>
          <w:vertAlign w:val="superscript"/>
        </w:rPr>
        <w:fldChar w:fldCharType="begin" w:fldLock="1"/>
      </w:r>
      <w:r w:rsidR="00CE7AC3">
        <w:rPr>
          <w:vertAlign w:val="superscript"/>
        </w:rPr>
        <w:instrText>ADDIN CSL_CITATION {"citationItems":[{"id":"ITEM-1","itemData":{"DOI":"10.1093/ije/dyv098","ISSN":"0300-5771","author":[{"dropping-particle":"","family":"Herrett","given":"Emily","non-dropping-particle":"","parse-names":false,"suffix":""},{"dropping-particle":"","family":"Gallagher","given":"Arlene M.","non-dropping-particle":"","parse-names":false,"suffix":""},{"dropping-particle":"","family":"Bhaskaran","given":"Krishnan","non-dropping-particle":"","parse-names":false,"suffix":""},{"dropping-particle":"","family":"Forbes","given":"Harriet","non-dropping-particle":"","parse-names":false,"suffix":""},{"dropping-particle":"","family":"Mathur","given":"Rohini","non-dropping-particle":"","parse-names":false,"suffix":""},{"dropping-particle":"","family":"Staa","given":"Tjeerd","non-dropping-particle":"van","parse-names":false,"suffix":""},{"dropping-particle":"","family":"Smeeth","given":"Liam","non-dropping-particle":"","parse-names":false,"suffix":""}],"container-title":"International Journal of Epidemiology","id":"ITEM-1","issue":"3","issued":{"date-parts":[["2015"]]},"page":"827-836","title":"Data Resource Profile: Clinical Practice Research Datalink (CPRD)","type":"article-journal","volume":"44"},"uris":["http://www.mendeley.com/documents/?uuid=80e242e3-d1fe-40f7-9712-e329e83e7ab3"]},{"id":"ITEM-2","itemData":{"DOI":"10.1093/ije/dyz034","ISSN":"0300-5771","author":[{"dropping-particle":"","family":"Wolf","given":"Achim","non-dropping-particle":"","parse-names":false,"suffix":""},{"dropping-particle":"","family":"Dedman","given":"Daniel","non-dropping-particle":"","parse-names":false,"suffix":""},{"dropping-particle":"","family":"Campbell","given":"Jennifer","non-dropping-particle":"","parse-names":false,"suffix":""},{"dropping-particle":"","family":"Booth","given":"Helen","non-dropping-particle":"","parse-names":false,"suffix":""},{"dropping-particle":"","family":"Lunn","given":"Darren","non-dropping-particle":"","parse-names":false,"suffix":""},{"dropping-particle":"","family":"Chapman","given":"Jennifer","non-dropping-particle":"","parse-names":false,"suffix":""},{"dropping-particle":"","family":"Myles","given":"Puja","non-dropping-particle":"","parse-names":false,"suffix":""}],"container-title":"International Journal of Epidemiology","id":"ITEM-2","issue":"6","issued":{"date-parts":[["2019","12","1"]]},"page":"1740-1740g","title":"Data resource profile: Clinical Practice Research Datalink (CPRD) Aurum","type":"article-journal","volume":"48"},"uris":["http://www.mendeley.com/documents/?uuid=72bb93e6-b6b0-4abe-af99-1f5fbbf9f35b"]}],"mendeley":{"formattedCitation":"(7,8)","plainTextFormattedCitation":"(7,8)","previouslyFormattedCitation":"(7,8)"},"properties":{"noteIndex":0},"schema":"https://github.com/citation-style-language/schema/raw/master/csl-citation.json"}</w:instrText>
      </w:r>
      <w:r w:rsidRPr="001339EA">
        <w:rPr>
          <w:vertAlign w:val="superscript"/>
        </w:rPr>
        <w:fldChar w:fldCharType="separate"/>
      </w:r>
      <w:r w:rsidR="00CE7AC3" w:rsidRPr="00CE7AC3">
        <w:rPr>
          <w:noProof/>
        </w:rPr>
        <w:t>(7,8)</w:t>
      </w:r>
      <w:r w:rsidRPr="001339EA">
        <w:rPr>
          <w:vertAlign w:val="superscript"/>
        </w:rPr>
        <w:fldChar w:fldCharType="end"/>
      </w:r>
      <w:r w:rsidRPr="001339EA">
        <w:t xml:space="preserve"> </w:t>
      </w:r>
      <w:r w:rsidR="00FF59BA" w:rsidRPr="001339EA">
        <w:t>Clinical data is coded using Read Version 2 codes in GOLD and SNOMED CT (UK edition), Read Version 2 and local EMIS Web</w:t>
      </w:r>
      <w:r w:rsidR="00FF59BA" w:rsidRPr="001339EA">
        <w:rPr>
          <w:vertAlign w:val="superscript"/>
        </w:rPr>
        <w:t>®</w:t>
      </w:r>
      <w:r w:rsidR="00FF59BA" w:rsidRPr="001339EA">
        <w:t xml:space="preserve"> codes in Aurum.</w:t>
      </w:r>
      <w:r w:rsidR="00BD03D4" w:rsidRPr="001339EA">
        <w:fldChar w:fldCharType="begin" w:fldLock="1"/>
      </w:r>
      <w:r w:rsidR="00CE7AC3">
        <w:instrText>ADDIN CSL_CITATION {"citationItems":[{"id":"ITEM-1","itemData":{"DOI":"10.1093/ije/dyv098","ISSN":"0300-5771","author":[{"dropping-particle":"","family":"Herrett","given":"Emily","non-dropping-particle":"","parse-names":false,"suffix":""},{"dropping-particle":"","family":"Gallagher","given":"Arlene M.","non-dropping-particle":"","parse-names":false,"suffix":""},{"dropping-particle":"","family":"Bhaskaran","given":"Krishnan","non-dropping-particle":"","parse-names":false,"suffix":""},{"dropping-particle":"","family":"Forbes","given":"Harriet","non-dropping-particle":"","parse-names":false,"suffix":""},{"dropping-particle":"","family":"Mathur","given":"Rohini","non-dropping-particle":"","parse-names":false,"suffix":""},{"dropping-particle":"","family":"Staa","given":"Tjeerd","non-dropping-particle":"van","parse-names":false,"suffix":""},{"dropping-particle":"","family":"Smeeth","given":"Liam","non-dropping-particle":"","parse-names":false,"suffix":""}],"container-title":"International Journal of Epidemiology","id":"ITEM-1","issue":"3","issued":{"date-parts":[["2015"]]},"page":"827-836","title":"Data Resource Profile: Clinical Practice Research Datalink (CPRD)","type":"article-journal","volume":"44"},"uris":["http://www.mendeley.com/documents/?uuid=80e242e3-d1fe-40f7-9712-e329e83e7ab3"]},{"id":"ITEM-2","itemData":{"DOI":"10.1093/ije/dyz034","ISSN":"0300-5771","author":[{"dropping-particle":"","family":"Wolf","given":"Achim","non-dropping-particle":"","parse-names":false,"suffix":""},{"dropping-particle":"","family":"Dedman","given":"Daniel","non-dropping-particle":"","parse-names":false,"suffix":""},{"dropping-particle":"","family":"Campbell","given":"Jennifer","non-dropping-particle":"","parse-names":false,"suffix":""},{"dropping-particle":"","family":"Booth","given":"Helen","non-dropping-particle":"","parse-names":false,"suffix":""},{"dropping-particle":"","family":"Lunn","given":"Darren","non-dropping-particle":"","parse-names":false,"suffix":""},{"dropping-particle":"","family":"Chapman","given":"Jennifer","non-dropping-particle":"","parse-names":false,"suffix":""},{"dropping-particle":"","family":"Myles","given":"Puja","non-dropping-particle":"","parse-names":false,"suffix":""}],"container-title":"International Journal of Epidemiology","id":"ITEM-2","issue":"6","issued":{"date-parts":[["2019","12","1"]]},"page":"1740-1740g","title":"Data resource profile: Clinical Practice Research Datalink (CPRD) Aurum","type":"article-journal","volume":"48"},"uris":["http://www.mendeley.com/documents/?uuid=72bb93e6-b6b0-4abe-af99-1f5fbbf9f35b"]}],"mendeley":{"formattedCitation":"(7,8)","plainTextFormattedCitation":"(7,8)","previouslyFormattedCitation":"(7,8)"},"properties":{"noteIndex":0},"schema":"https://github.com/citation-style-language/schema/raw/master/csl-citation.json"}</w:instrText>
      </w:r>
      <w:r w:rsidR="00BD03D4" w:rsidRPr="001339EA">
        <w:fldChar w:fldCharType="separate"/>
      </w:r>
      <w:r w:rsidR="00CE7AC3" w:rsidRPr="00CE7AC3">
        <w:rPr>
          <w:noProof/>
        </w:rPr>
        <w:t>(7,8)</w:t>
      </w:r>
      <w:r w:rsidR="00BD03D4" w:rsidRPr="001339EA">
        <w:fldChar w:fldCharType="end"/>
      </w:r>
      <w:r w:rsidR="00FF59BA" w:rsidRPr="001339EA">
        <w:t xml:space="preserve"> Prescribing data </w:t>
      </w:r>
      <w:r w:rsidR="00BD03D4" w:rsidRPr="001339EA">
        <w:t xml:space="preserve">is </w:t>
      </w:r>
      <w:r w:rsidR="00B71F48" w:rsidRPr="001339EA">
        <w:t xml:space="preserve">recorded </w:t>
      </w:r>
      <w:r w:rsidR="005F02CB" w:rsidRPr="001339EA">
        <w:t xml:space="preserve">using </w:t>
      </w:r>
      <w:r w:rsidR="00701D28">
        <w:t xml:space="preserve">the </w:t>
      </w:r>
      <w:proofErr w:type="spellStart"/>
      <w:r w:rsidR="00701D28">
        <w:t>Gemscript</w:t>
      </w:r>
      <w:proofErr w:type="spellEnd"/>
      <w:r w:rsidR="00701D28">
        <w:t xml:space="preserve"> product code system</w:t>
      </w:r>
      <w:r w:rsidR="001339EA" w:rsidRPr="001339EA">
        <w:t xml:space="preserve"> </w:t>
      </w:r>
      <w:r w:rsidR="00701D28">
        <w:t>(</w:t>
      </w:r>
      <w:r w:rsidR="00512FD1">
        <w:t xml:space="preserve">an </w:t>
      </w:r>
      <w:r w:rsidR="00701D28">
        <w:t>integrated</w:t>
      </w:r>
      <w:r w:rsidR="00701D28" w:rsidRPr="00701D28">
        <w:t xml:space="preserve"> </w:t>
      </w:r>
      <w:r w:rsidR="00701D28" w:rsidRPr="001339EA">
        <w:t xml:space="preserve">NHS Dictionary of Medicines and Devices </w:t>
      </w:r>
      <w:r w:rsidR="00701D28">
        <w:t>[</w:t>
      </w:r>
      <w:proofErr w:type="spellStart"/>
      <w:r w:rsidR="00701D28" w:rsidRPr="001339EA">
        <w:t>dm+d</w:t>
      </w:r>
      <w:proofErr w:type="spellEnd"/>
      <w:r w:rsidR="00701D28">
        <w:t xml:space="preserve">] </w:t>
      </w:r>
      <w:r w:rsidR="00512FD1">
        <w:t>drug</w:t>
      </w:r>
      <w:r w:rsidR="00701D28">
        <w:t xml:space="preserve"> dictionary) </w:t>
      </w:r>
      <w:r w:rsidR="001339EA" w:rsidRPr="001339EA">
        <w:t xml:space="preserve">in GOLD </w:t>
      </w:r>
      <w:r w:rsidR="00BD03D4" w:rsidRPr="001339EA">
        <w:t>and</w:t>
      </w:r>
      <w:r w:rsidR="00B71F48" w:rsidRPr="001339EA">
        <w:t xml:space="preserve"> </w:t>
      </w:r>
      <w:proofErr w:type="spellStart"/>
      <w:r w:rsidR="00B71F48" w:rsidRPr="001339EA">
        <w:t>dm+d</w:t>
      </w:r>
      <w:proofErr w:type="spellEnd"/>
      <w:r w:rsidR="005F02CB" w:rsidRPr="001339EA">
        <w:t xml:space="preserve"> prescribing codes in Aurum</w:t>
      </w:r>
      <w:r w:rsidR="00B71F48" w:rsidRPr="001339EA">
        <w:t>.</w:t>
      </w:r>
      <w:r w:rsidR="00BD03D4" w:rsidRPr="001339EA">
        <w:fldChar w:fldCharType="begin" w:fldLock="1"/>
      </w:r>
      <w:r w:rsidR="00CE7AC3">
        <w:instrText>ADDIN CSL_CITATION {"citationItems":[{"id":"ITEM-1","itemData":{"DOI":"10.1093/ije/dyv098","ISSN":"0300-5771","author":[{"dropping-particle":"","family":"Herrett","given":"Emily","non-dropping-particle":"","parse-names":false,"suffix":""},{"dropping-particle":"","family":"Gallagher","given":"Arlene M.","non-dropping-particle":"","parse-names":false,"suffix":""},{"dropping-particle":"","family":"Bhaskaran","given":"Krishnan","non-dropping-particle":"","parse-names":false,"suffix":""},{"dropping-particle":"","family":"Forbes","given":"Harriet","non-dropping-particle":"","parse-names":false,"suffix":""},{"dropping-particle":"","family":"Mathur","given":"Rohini","non-dropping-particle":"","parse-names":false,"suffix":""},{"dropping-particle":"","family":"Staa","given":"Tjeerd","non-dropping-particle":"van","parse-names":false,"suffix":""},{"dropping-particle":"","family":"Smeeth","given":"Liam","non-dropping-particle":"","parse-names":false,"suffix":""}],"container-title":"International Journal of Epidemiology","id":"ITEM-1","issue":"3","issued":{"date-parts":[["2015"]]},"page":"827-836","title":"Data Resource Profile: Clinical Practice Research Datalink (CPRD)","type":"article-journal","volume":"44"},"uris":["http://www.mendeley.com/documents/?uuid=80e242e3-d1fe-40f7-9712-e329e83e7ab3"]},{"id":"ITEM-2","itemData":{"DOI":"10.1093/ije/dyz034","ISSN":"0300-5771","author":[{"dropping-particle":"","family":"Wolf","given":"Achim","non-dropping-particle":"","parse-names":false,"suffix":""},{"dropping-particle":"","family":"Dedman","given":"Daniel","non-dropping-particle":"","parse-names":false,"suffix":""},{"dropping-particle":"","family":"Campbell","given":"Jennifer","non-dropping-particle":"","parse-names":false,"suffix":""},{"dropping-particle":"","family":"Booth","given":"Helen","non-dropping-particle":"","parse-names":false,"suffix":""},{"dropping-particle":"","family":"Lunn","given":"Darren","non-dropping-particle":"","parse-names":false,"suffix":""},{"dropping-particle":"","family":"Chapman","given":"Jennifer","non-dropping-particle":"","parse-names":false,"suffix":""},{"dropping-particle":"","family":"Myles","given":"Puja","non-dropping-particle":"","parse-names":false,"suffix":""}],"container-title":"International Journal of Epidemiology","id":"ITEM-2","issue":"6","issued":{"date-parts":[["2019","12","1"]]},"page":"1740-1740g","title":"Data resource profile: Clinical Practice Research Datalink (CPRD) Aurum","type":"article-journal","volume":"48"},"uris":["http://www.mendeley.com/documents/?uuid=72bb93e6-b6b0-4abe-af99-1f5fbbf9f35b"]}],"mendeley":{"formattedCitation":"(7,8)","plainTextFormattedCitation":"(7,8)","previouslyFormattedCitation":"(7,8)"},"properties":{"noteIndex":0},"schema":"https://github.com/citation-style-language/schema/raw/master/csl-citation.json"}</w:instrText>
      </w:r>
      <w:r w:rsidR="00BD03D4" w:rsidRPr="001339EA">
        <w:fldChar w:fldCharType="separate"/>
      </w:r>
      <w:r w:rsidR="00CE7AC3" w:rsidRPr="00CE7AC3">
        <w:rPr>
          <w:noProof/>
        </w:rPr>
        <w:t>(7,8)</w:t>
      </w:r>
      <w:r w:rsidR="00BD03D4" w:rsidRPr="001339EA">
        <w:fldChar w:fldCharType="end"/>
      </w:r>
      <w:r w:rsidR="00BD03D4" w:rsidRPr="001339EA">
        <w:t xml:space="preserve"> </w:t>
      </w:r>
      <w:r w:rsidRPr="001339EA">
        <w:t>The CPRD datasets were linked to Hospital Episodes Statistics (HES) for admitted patients and outpatients, Office for National Statistics (ONS) death registration, and the Index of Multiple Deprivation 2015 for all eligible patients in the linkage-consenting English practices.</w:t>
      </w:r>
    </w:p>
    <w:p w14:paraId="06D72C4A" w14:textId="77777777" w:rsidR="006F132E" w:rsidRPr="006F132E" w:rsidRDefault="006F132E" w:rsidP="006F132E">
      <w:pPr>
        <w:spacing w:line="480" w:lineRule="auto"/>
        <w:contextualSpacing/>
      </w:pPr>
    </w:p>
    <w:p w14:paraId="07CACFBA" w14:textId="77CEA8BD" w:rsidR="006F132E" w:rsidRPr="00FE1C86" w:rsidRDefault="006F132E" w:rsidP="006F132E">
      <w:pPr>
        <w:spacing w:line="480" w:lineRule="auto"/>
        <w:contextualSpacing/>
      </w:pPr>
      <w:r w:rsidRPr="006F132E">
        <w:t xml:space="preserve">The SAIL databank provides anonymised health and administrative data covering </w:t>
      </w:r>
      <w:r w:rsidRPr="006F132E">
        <w:sym w:font="Symbol" w:char="F07E"/>
      </w:r>
      <w:r w:rsidRPr="006F132E">
        <w:t>80% of Welsh general practices.</w:t>
      </w:r>
      <w:r w:rsidRPr="006F132E">
        <w:rPr>
          <w:vertAlign w:val="superscript"/>
        </w:rPr>
        <w:fldChar w:fldCharType="begin" w:fldLock="1"/>
      </w:r>
      <w:r w:rsidR="00CE7AC3">
        <w:rPr>
          <w:vertAlign w:val="superscript"/>
        </w:rPr>
        <w:instrText>ADDIN CSL_CITATION {"citationItems":[{"id":"ITEM-1","itemData":{"author":[{"dropping-particle":"","family":"Jones","given":"KH","non-dropping-particle":"","parse-names":false,"suffix":""},{"dropping-particle":"","family":"Ford","given":"DV","non-dropping-particle":"","parse-names":false,"suffix":""},{"dropping-particle":"","family":"Lyons","given":"RA","non-dropping-particle":"","parse-names":false,"suffix":""}],"id":"ITEM-1","issued":{"date-parts":[["2017"]]},"title":"The SAIL Databank: 10 years of spearheading data privacy and research utility, 2007-2017","type":"report"},"uris":["http://www.mendeley.com/documents/?uuid=6e6d0f21-fb1e-4355-b010-917b4910ebb0"]}],"mendeley":{"formattedCitation":"(9)","plainTextFormattedCitation":"(9)","previouslyFormattedCitation":"(9)"},"properties":{"noteIndex":0},"schema":"https://github.com/citation-style-language/schema/raw/master/csl-citation.json"}</w:instrText>
      </w:r>
      <w:r w:rsidRPr="006F132E">
        <w:rPr>
          <w:vertAlign w:val="superscript"/>
        </w:rPr>
        <w:fldChar w:fldCharType="separate"/>
      </w:r>
      <w:r w:rsidR="00CE7AC3" w:rsidRPr="00CE7AC3">
        <w:rPr>
          <w:noProof/>
        </w:rPr>
        <w:t>(9)</w:t>
      </w:r>
      <w:r w:rsidRPr="006F132E">
        <w:rPr>
          <w:vertAlign w:val="superscript"/>
        </w:rPr>
        <w:fldChar w:fldCharType="end"/>
      </w:r>
      <w:r w:rsidRPr="006F132E">
        <w:t xml:space="preserve"> The datasets available within the SAIL databank include: GP practice </w:t>
      </w:r>
      <w:r w:rsidR="009252FA">
        <w:t xml:space="preserve">medical </w:t>
      </w:r>
      <w:r w:rsidRPr="006F132E">
        <w:t>records</w:t>
      </w:r>
      <w:r w:rsidR="000D2831">
        <w:t xml:space="preserve"> including prescriptions issued by general practices (</w:t>
      </w:r>
      <w:r w:rsidR="00036BBF">
        <w:t>without</w:t>
      </w:r>
      <w:r w:rsidR="000D2831">
        <w:t xml:space="preserve"> </w:t>
      </w:r>
      <w:r w:rsidR="000D2831">
        <w:lastRenderedPageBreak/>
        <w:t>dispensing information)</w:t>
      </w:r>
      <w:r w:rsidRPr="006F132E">
        <w:t>, hospital in-patient and out-patient records, ONS deaths, and the Welsh Index of Multiple Deprivation</w:t>
      </w:r>
      <w:r w:rsidR="00990C5E">
        <w:t xml:space="preserve"> 2014</w:t>
      </w:r>
      <w:r w:rsidRPr="006F132E">
        <w:t>.</w:t>
      </w:r>
      <w:r w:rsidRPr="006F132E">
        <w:rPr>
          <w:vertAlign w:val="superscript"/>
        </w:rPr>
        <w:fldChar w:fldCharType="begin" w:fldLock="1"/>
      </w:r>
      <w:r w:rsidR="00CE7AC3">
        <w:rPr>
          <w:vertAlign w:val="superscript"/>
        </w:rPr>
        <w:instrText>ADDIN CSL_CITATION {"citationItems":[{"id":"ITEM-1","itemData":{"author":[{"dropping-particle":"","family":"Jones","given":"KH","non-dropping-particle":"","parse-names":false,"suffix":""},{"dropping-particle":"","family":"Ford","given":"DV","non-dropping-particle":"","parse-names":false,"suffix":""},{"dropping-particle":"","family":"Lyons","given":"RA","non-dropping-particle":"","parse-names":false,"suffix":""}],"id":"ITEM-1","issued":{"date-parts":[["2017"]]},"title":"The SAIL Databank: 10 years of spearheading data privacy and research utility, 2007-2017","type":"report"},"uris":["http://www.mendeley.com/documents/?uuid=6e6d0f21-fb1e-4355-b010-917b4910ebb0"]}],"mendeley":{"formattedCitation":"(9)","plainTextFormattedCitation":"(9)","previouslyFormattedCitation":"(9)"},"properties":{"noteIndex":0},"schema":"https://github.com/citation-style-language/schema/raw/master/csl-citation.json"}</w:instrText>
      </w:r>
      <w:r w:rsidRPr="006F132E">
        <w:rPr>
          <w:vertAlign w:val="superscript"/>
        </w:rPr>
        <w:fldChar w:fldCharType="separate"/>
      </w:r>
      <w:r w:rsidR="00CE7AC3" w:rsidRPr="00CE7AC3">
        <w:rPr>
          <w:noProof/>
        </w:rPr>
        <w:t>(9)</w:t>
      </w:r>
      <w:r w:rsidRPr="006F132E">
        <w:rPr>
          <w:vertAlign w:val="superscript"/>
        </w:rPr>
        <w:fldChar w:fldCharType="end"/>
      </w:r>
      <w:r w:rsidR="00FE1C86">
        <w:t xml:space="preserve"> Clinical </w:t>
      </w:r>
      <w:r w:rsidR="00550394">
        <w:t xml:space="preserve">and prescribing </w:t>
      </w:r>
      <w:r w:rsidR="00FE1C86">
        <w:t>data is coded using Read Version 2</w:t>
      </w:r>
      <w:r w:rsidR="00550394">
        <w:t>.</w:t>
      </w:r>
      <w:r w:rsidR="00FE1C86">
        <w:t xml:space="preserve"> </w:t>
      </w:r>
    </w:p>
    <w:p w14:paraId="60B8FA91" w14:textId="3C8461EE" w:rsidR="004F5E79" w:rsidRDefault="004F5E79" w:rsidP="00781897">
      <w:pPr>
        <w:spacing w:line="480" w:lineRule="auto"/>
        <w:contextualSpacing/>
        <w:rPr>
          <w:b/>
          <w:bCs/>
        </w:rPr>
      </w:pPr>
    </w:p>
    <w:p w14:paraId="52A91087" w14:textId="188F7E85" w:rsidR="003A2EAE" w:rsidRPr="003A2EAE" w:rsidRDefault="00424BA9" w:rsidP="003A2EAE">
      <w:pPr>
        <w:spacing w:line="480" w:lineRule="auto"/>
      </w:pPr>
      <w:r w:rsidRPr="003A2EAE">
        <w:t xml:space="preserve">The nested case-control </w:t>
      </w:r>
      <w:r w:rsidR="008B2F55">
        <w:t xml:space="preserve">(NCC) </w:t>
      </w:r>
      <w:r w:rsidRPr="003A2EAE">
        <w:t xml:space="preserve">design </w:t>
      </w:r>
      <w:r w:rsidR="00D522F1">
        <w:t>was chosen</w:t>
      </w:r>
      <w:r w:rsidR="004A0FBE" w:rsidRPr="003A2EAE">
        <w:t xml:space="preserve"> </w:t>
      </w:r>
      <w:r w:rsidR="00DD60D3" w:rsidRPr="003A2EAE">
        <w:t xml:space="preserve">for its statistical efficiency </w:t>
      </w:r>
      <w:r w:rsidR="002622F3">
        <w:t>as exposure does not need to be classified for each person-moment of follow-up</w:t>
      </w:r>
      <w:r w:rsidR="00DD60D3" w:rsidRPr="003A2EAE">
        <w:t>.</w:t>
      </w:r>
      <w:r w:rsidR="002622F3">
        <w:fldChar w:fldCharType="begin" w:fldLock="1"/>
      </w:r>
      <w:r w:rsidR="002622F3">
        <w:instrText>ADDIN CSL_CITATION {"citationItems":[{"id":"ITEM-1","itemData":{"DOI":"10.1097/EDE.0000000000000221","ISSN":"1044-3983","author":[{"dropping-particle":"","family":"Suissa","given":"Samy","non-dropping-particle":"","parse-names":false,"suffix":""}],"container-title":"Epidemiology","id":"ITEM-1","issue":"2","issued":{"date-parts":[["2015","3"]]},"page":"242-246","title":"The Quasi-cohort Approach in Pharmacoepidemiology","type":"article-journal","volume":"26"},"uris":["http://www.mendeley.com/documents/?uuid=7a6d03b9-dd20-4e4b-972e-da766b339d9c"]}],"mendeley":{"formattedCitation":"(10)","plainTextFormattedCitation":"(10)","previouslyFormattedCitation":"(10)"},"properties":{"noteIndex":0},"schema":"https://github.com/citation-style-language/schema/raw/master/csl-citation.json"}</w:instrText>
      </w:r>
      <w:r w:rsidR="002622F3">
        <w:fldChar w:fldCharType="separate"/>
      </w:r>
      <w:r w:rsidR="002622F3" w:rsidRPr="002622F3">
        <w:rPr>
          <w:noProof/>
        </w:rPr>
        <w:t>(10)</w:t>
      </w:r>
      <w:r w:rsidR="002622F3">
        <w:fldChar w:fldCharType="end"/>
      </w:r>
      <w:r w:rsidR="008B2F55">
        <w:t xml:space="preserve"> Whilst a time-dependent Cox Proportional Hazards regression model can account for time-varying exposure</w:t>
      </w:r>
      <w:r w:rsidR="00822D00">
        <w:t>,</w:t>
      </w:r>
      <w:r w:rsidR="008B2F55">
        <w:t xml:space="preserve"> </w:t>
      </w:r>
      <w:r w:rsidR="00822D00">
        <w:t>the</w:t>
      </w:r>
      <w:r w:rsidR="008B2F55">
        <w:t xml:space="preserve"> NCC </w:t>
      </w:r>
      <w:r w:rsidR="00822D00">
        <w:t>can be used as an alternative approach as the exposure and covariate information for controls correspond to the time of selection of their respective case.</w:t>
      </w:r>
      <w:r w:rsidR="00C456F8">
        <w:fldChar w:fldCharType="begin" w:fldLock="1"/>
      </w:r>
      <w:r w:rsidR="001701DE">
        <w:instrText>ADDIN CSL_CITATION {"citationItems":[{"id":"ITEM-1","itemData":{"DOI":"10.1186/1471-2288-5-5","ISSN":"1471-2288","author":[{"dropping-particle":"","family":"Essebag","given":"Vidal","non-dropping-particle":"","parse-names":false,"suffix":""},{"dropping-particle":"","family":"Platt","given":"Robert W","non-dropping-particle":"","parse-names":false,"suffix":""},{"dropping-particle":"","family":"Abrahamowicz","given":"Michal","non-dropping-particle":"","parse-names":false,"suffix":""},{"dropping-particle":"","family":"Pilote","given":"Louise","non-dropping-particle":"","parse-names":false,"suffix":""}],"container-title":"BMC Medical Research Methodology","id":"ITEM-1","issued":{"date-parts":[["2005","12","25"]]},"page":"5","title":"Comparison of nested case-control and survival analysis methodologies for analysis of time-dependent exposure","type":"article-journal","volume":"5"},"uris":["http://www.mendeley.com/documents/?uuid=af732b5b-3358-4a31-bc75-4be226ee4e2d"]}],"mendeley":{"formattedCitation":"(11)","plainTextFormattedCitation":"(11)","previouslyFormattedCitation":"(11)"},"properties":{"noteIndex":0},"schema":"https://github.com/citation-style-language/schema/raw/master/csl-citation.json"}</w:instrText>
      </w:r>
      <w:r w:rsidR="00C456F8">
        <w:fldChar w:fldCharType="separate"/>
      </w:r>
      <w:r w:rsidR="001701DE" w:rsidRPr="001701DE">
        <w:rPr>
          <w:noProof/>
        </w:rPr>
        <w:t>(11)</w:t>
      </w:r>
      <w:r w:rsidR="00C456F8">
        <w:fldChar w:fldCharType="end"/>
      </w:r>
      <w:r w:rsidR="00822D00">
        <w:t xml:space="preserve"> By matching cases and controls from the same population at the time of the outcome event, this creates a comparable sample of controls</w:t>
      </w:r>
      <w:r w:rsidR="001D6451">
        <w:t xml:space="preserve"> with respect to important clinical and confounding factors</w:t>
      </w:r>
      <w:r w:rsidR="00822D00">
        <w:t xml:space="preserve">, minimising potential selection bias and time-lag bias whereby </w:t>
      </w:r>
      <w:r w:rsidR="001D6451">
        <w:t>cases and controls may be a</w:t>
      </w:r>
      <w:r w:rsidR="00F850C6">
        <w:t>t</w:t>
      </w:r>
      <w:r w:rsidR="001D6451">
        <w:t xml:space="preserve"> different stages of diabetes progression.</w:t>
      </w:r>
      <w:r w:rsidR="002622F3">
        <w:fldChar w:fldCharType="begin" w:fldLock="1"/>
      </w:r>
      <w:r w:rsidR="002622F3">
        <w:instrText>ADDIN CSL_CITATION {"citationItems":[{"id":"ITEM-1","itemData":{"DOI":"10.1186/1471-2288-5-5","ISSN":"1471-2288","author":[{"dropping-particle":"","family":"Essebag","given":"Vidal","non-dropping-particle":"","parse-names":false,"suffix":""},{"dropping-particle":"","family":"Platt","given":"Robert W","non-dropping-particle":"","parse-names":false,"suffix":""},{"dropping-particle":"","family":"Abrahamowicz","given":"Michal","non-dropping-particle":"","parse-names":false,"suffix":""},{"dropping-particle":"","family":"Pilote","given":"Louise","non-dropping-particle":"","parse-names":false,"suffix":""}],"container-title":"BMC Medical Research Methodology","id":"ITEM-1","issued":{"date-parts":[["2005","12","25"]]},"page":"5","title":"Comparison of nested case-control and survival analysis methodologies for analysis of time-dependent exposure","type":"article-journal","volume":"5"},"uris":["http://www.mendeley.com/documents/?uuid=af732b5b-3358-4a31-bc75-4be226ee4e2d"]},{"id":"ITEM-2","itemData":{"DOI":"10.2337/dc12-0788","ISSN":"0149-5992","author":[{"dropping-particle":"","family":"Suissa","given":"S.","non-dropping-particle":"","parse-names":false,"suffix":""},{"dropping-particle":"","family":"Azoulay","given":"L.","non-dropping-particle":"","parse-names":false,"suffix":""}],"container-title":"Diabetes Care","id":"ITEM-2","issue":"12","issued":{"date-parts":[["2012","12","1"]]},"page":"2665-2673","title":"Metformin and the Risk of Cancer: Time-related biases in observational studies","type":"article-journal","volume":"35"},"uris":["http://www.mendeley.com/documents/?uuid=3ac51029-1909-4343-b9c7-962af8125ded"]}],"mendeley":{"formattedCitation":"(11,12)","plainTextFormattedCitation":"(11,12)","previouslyFormattedCitation":"(11,12)"},"properties":{"noteIndex":0},"schema":"https://github.com/citation-style-language/schema/raw/master/csl-citation.json"}</w:instrText>
      </w:r>
      <w:r w:rsidR="002622F3">
        <w:fldChar w:fldCharType="separate"/>
      </w:r>
      <w:r w:rsidR="002622F3" w:rsidRPr="002622F3">
        <w:rPr>
          <w:noProof/>
        </w:rPr>
        <w:t>(11,12)</w:t>
      </w:r>
      <w:r w:rsidR="002622F3">
        <w:fldChar w:fldCharType="end"/>
      </w:r>
      <w:r w:rsidR="001D6451">
        <w:t xml:space="preserve"> </w:t>
      </w:r>
    </w:p>
    <w:p w14:paraId="3DADC01A" w14:textId="4D72DBEF" w:rsidR="00424BA9" w:rsidRDefault="00424BA9" w:rsidP="00781897">
      <w:pPr>
        <w:spacing w:line="480" w:lineRule="auto"/>
        <w:contextualSpacing/>
        <w:rPr>
          <w:b/>
          <w:bCs/>
        </w:rPr>
      </w:pPr>
    </w:p>
    <w:p w14:paraId="6A2E7F0F" w14:textId="0E937FEA" w:rsidR="003425CC" w:rsidRPr="00781897" w:rsidRDefault="003425CC" w:rsidP="00781897">
      <w:pPr>
        <w:spacing w:line="480" w:lineRule="auto"/>
        <w:contextualSpacing/>
        <w:rPr>
          <w:b/>
          <w:bCs/>
        </w:rPr>
      </w:pPr>
      <w:r w:rsidRPr="00781897">
        <w:rPr>
          <w:b/>
          <w:bCs/>
        </w:rPr>
        <w:t>S</w:t>
      </w:r>
      <w:r w:rsidR="0080063C" w:rsidRPr="00781897">
        <w:rPr>
          <w:b/>
          <w:bCs/>
        </w:rPr>
        <w:t>tudy</w:t>
      </w:r>
      <w:r w:rsidRPr="00781897">
        <w:rPr>
          <w:b/>
          <w:bCs/>
        </w:rPr>
        <w:t xml:space="preserve"> </w:t>
      </w:r>
      <w:r w:rsidR="0080063C" w:rsidRPr="00781897">
        <w:rPr>
          <w:b/>
          <w:bCs/>
        </w:rPr>
        <w:t>population</w:t>
      </w:r>
    </w:p>
    <w:p w14:paraId="14CD55FE" w14:textId="0F3D4619" w:rsidR="003425CC" w:rsidRPr="00FC6723" w:rsidRDefault="00F90EF8" w:rsidP="00781897">
      <w:pPr>
        <w:spacing w:line="480" w:lineRule="auto"/>
      </w:pPr>
      <w:r w:rsidRPr="006F132E">
        <w:t xml:space="preserve">We </w:t>
      </w:r>
      <w:r>
        <w:t xml:space="preserve">followed the methodological approach </w:t>
      </w:r>
      <w:r w:rsidR="009252FA">
        <w:t xml:space="preserve">to delineate each nested case-control study </w:t>
      </w:r>
      <w:r>
        <w:t xml:space="preserve">as described by </w:t>
      </w:r>
      <w:proofErr w:type="spellStart"/>
      <w:r>
        <w:t>Filion</w:t>
      </w:r>
      <w:proofErr w:type="spellEnd"/>
      <w:r>
        <w:t xml:space="preserve"> et al.</w:t>
      </w:r>
      <w:r>
        <w:fldChar w:fldCharType="begin" w:fldLock="1"/>
      </w:r>
      <w:r w:rsidR="002622F3">
        <w:instrText>ADDIN CSL_CITATION {"citationItems":[{"id":"ITEM-1","itemData":{"DOI":"10.1056/NEJMoa1506115","ISSN":"0028-4793","author":[{"dropping-particle":"","family":"Filion","given":"Kristian B.","non-dropping-particle":"","parse-names":false,"suffix":""},{"dropping-particle":"","family":"Azoulay","given":"Laurent","non-dropping-particle":"","parse-names":false,"suffix":""},{"dropping-particle":"","family":"Platt","given":"Robert W.","non-dropping-particle":"","parse-names":false,"suffix":""},{"dropping-particle":"","family":"Dahl","given":"Matthew","non-dropping-particle":"","parse-names":false,"suffix":""},{"dropping-particle":"","family":"Dormuth","given":"Colin R.","non-dropping-particle":"","parse-names":false,"suffix":""},{"dropping-particle":"","family":"Clemens","given":"Kristin K.","non-dropping-particle":"","parse-names":false,"suffix":""},{"dropping-particle":"","family":"Hu","given":"Nianping","non-dropping-particle":"","parse-names":false,"suffix":""},{"dropping-particle":"","family":"Paterson","given":"J. Michael","non-dropping-particle":"","parse-names":false,"suffix":""},{"dropping-particle":"","family":"Targownik","given":"Laura","non-dropping-particle":"","parse-names":false,"suffix":""},{"dropping-particle":"","family":"Turin","given":"Tanvir C.","non-dropping-particle":"","parse-names":false,"suffix":""},{"dropping-particle":"","family":"Udell","given":"Jacob A.","non-dropping-particle":"","parse-names":false,"suffix":""},{"dropping-particle":"","family":"Ernst","given":"Pierre","non-dropping-particle":"","parse-names":false,"suffix":""}],"container-title":"New England Journal of Medicine","id":"ITEM-1","issue":"12","issued":{"date-parts":[["2016"]]},"page":"1145-1154","title":"A Multicenter Observational Study of Incretin-based Drugs and Heart Failure","type":"article-journal","volume":"374"},"uris":["http://www.mendeley.com/documents/?uuid=4a3933d6-83b3-48c0-b4e0-b504612b3f9e"]}],"mendeley":{"formattedCitation":"(13)","plainTextFormattedCitation":"(13)","previouslyFormattedCitation":"(13)"},"properties":{"noteIndex":0},"schema":"https://github.com/citation-style-language/schema/raw/master/csl-citation.json"}</w:instrText>
      </w:r>
      <w:r>
        <w:fldChar w:fldCharType="separate"/>
      </w:r>
      <w:r w:rsidR="002622F3" w:rsidRPr="002622F3">
        <w:rPr>
          <w:noProof/>
        </w:rPr>
        <w:t>(13)</w:t>
      </w:r>
      <w:r>
        <w:fldChar w:fldCharType="end"/>
      </w:r>
      <w:r>
        <w:t xml:space="preserve"> for study population construction across the databases</w:t>
      </w:r>
      <w:r w:rsidR="00016C1A">
        <w:t xml:space="preserve"> (Figure 1)</w:t>
      </w:r>
      <w:r w:rsidRPr="006F132E">
        <w:t>.</w:t>
      </w:r>
      <w:r>
        <w:t xml:space="preserve"> </w:t>
      </w:r>
      <w:r w:rsidR="00706001" w:rsidRPr="00781897">
        <w:t xml:space="preserve">The </w:t>
      </w:r>
      <w:r w:rsidR="00991770">
        <w:t xml:space="preserve">defined study </w:t>
      </w:r>
      <w:r w:rsidR="00706001" w:rsidRPr="00781897">
        <w:t>cohorts consisted of individuals</w:t>
      </w:r>
      <w:r w:rsidR="006D5C0E" w:rsidRPr="00781897">
        <w:t xml:space="preserve"> with first-ever prescriptions for non-insulin antidiabetic medications between January 1998 and July 2018 </w:t>
      </w:r>
      <w:r w:rsidR="00706001" w:rsidRPr="00781897">
        <w:t xml:space="preserve">who </w:t>
      </w:r>
      <w:r w:rsidR="006D5C0E" w:rsidRPr="00781897">
        <w:t xml:space="preserve">initiated </w:t>
      </w:r>
      <w:r w:rsidR="00706001" w:rsidRPr="00FC6723">
        <w:t xml:space="preserve">at least one new class of antidiabetic drug </w:t>
      </w:r>
      <w:r w:rsidR="00B7138C">
        <w:t xml:space="preserve">(first-line initiation, switch or addition to treatment regimen) </w:t>
      </w:r>
      <w:r w:rsidR="00706001" w:rsidRPr="00FC6723">
        <w:t xml:space="preserve">between November 2012 </w:t>
      </w:r>
      <w:r w:rsidR="00F438DC">
        <w:t xml:space="preserve">(when SGLT2 </w:t>
      </w:r>
      <w:r w:rsidR="00D9623F">
        <w:t>inhibitors</w:t>
      </w:r>
      <w:r w:rsidR="00F438DC">
        <w:t xml:space="preserve"> became available in the UK) </w:t>
      </w:r>
      <w:r w:rsidR="00706001" w:rsidRPr="00FC6723">
        <w:t>and July 2018</w:t>
      </w:r>
      <w:r w:rsidR="00F438DC">
        <w:t xml:space="preserve"> (end of study</w:t>
      </w:r>
      <w:r w:rsidR="00D9623F">
        <w:t xml:space="preserve"> period</w:t>
      </w:r>
      <w:r w:rsidR="00F438DC">
        <w:t>)</w:t>
      </w:r>
      <w:r w:rsidR="00706001" w:rsidRPr="00FC6723">
        <w:t>, conditional on a number of exclusions</w:t>
      </w:r>
      <w:r w:rsidR="00FC6723" w:rsidRPr="00FC6723">
        <w:t xml:space="preserve"> at the time of the first antidiabetic prescription</w:t>
      </w:r>
      <w:r w:rsidR="0022443F">
        <w:t xml:space="preserve"> </w:t>
      </w:r>
      <w:r w:rsidR="0022443F" w:rsidRPr="0022443F">
        <w:t>(</w:t>
      </w:r>
      <w:r w:rsidR="0022443F" w:rsidRPr="00FC6723">
        <w:t>Figure 1</w:t>
      </w:r>
      <w:r w:rsidR="0022443F">
        <w:t xml:space="preserve"> and</w:t>
      </w:r>
      <w:r w:rsidR="0022443F" w:rsidRPr="00FC6723">
        <w:t xml:space="preserve"> Supplemental Figure 2 for database specifics)</w:t>
      </w:r>
      <w:r w:rsidR="00017443" w:rsidRPr="00FC6723">
        <w:t xml:space="preserve">; </w:t>
      </w:r>
      <w:proofErr w:type="spellStart"/>
      <w:r w:rsidR="00017443" w:rsidRPr="00FC6723">
        <w:t>i</w:t>
      </w:r>
      <w:proofErr w:type="spellEnd"/>
      <w:r w:rsidR="00017443" w:rsidRPr="00FC6723">
        <w:t>. less than 365 days</w:t>
      </w:r>
      <w:r w:rsidR="00FC6723" w:rsidRPr="00FC6723">
        <w:t xml:space="preserve"> current</w:t>
      </w:r>
      <w:r w:rsidR="00017443" w:rsidRPr="00FC6723">
        <w:t xml:space="preserve"> registration at the GP practice, </w:t>
      </w:r>
      <w:r w:rsidR="00495765" w:rsidRPr="00FC6723">
        <w:t xml:space="preserve">ii. less than 18 years of age, </w:t>
      </w:r>
      <w:r w:rsidR="00FC6723" w:rsidRPr="00FC6723">
        <w:t xml:space="preserve">iii. </w:t>
      </w:r>
      <w:r w:rsidR="000D0466">
        <w:t>p</w:t>
      </w:r>
      <w:r w:rsidR="00FC6723" w:rsidRPr="00FC6723">
        <w:t xml:space="preserve">rior use of insulin (as patients with type 2 diabetes initiating on insulin are more likely to be at a </w:t>
      </w:r>
      <w:r w:rsidR="00FC6723" w:rsidRPr="00FC6723">
        <w:lastRenderedPageBreak/>
        <w:t xml:space="preserve">different stage in the condition and have a worse global risk profile), </w:t>
      </w:r>
      <w:r w:rsidR="00017443" w:rsidRPr="00FC6723">
        <w:t>i</w:t>
      </w:r>
      <w:r w:rsidR="00FC6723" w:rsidRPr="00FC6723">
        <w:t>v</w:t>
      </w:r>
      <w:r w:rsidR="00017443" w:rsidRPr="00FC6723">
        <w:t>. women with a history of polycystic ovarian syndrome</w:t>
      </w:r>
      <w:r w:rsidR="00FC6723" w:rsidRPr="00FC6723">
        <w:t xml:space="preserve"> (PCOS)</w:t>
      </w:r>
      <w:r w:rsidR="00017443" w:rsidRPr="00FC6723">
        <w:t xml:space="preserve">, </w:t>
      </w:r>
      <w:r w:rsidR="0022443F">
        <w:t xml:space="preserve">and </w:t>
      </w:r>
      <w:r w:rsidR="00495765" w:rsidRPr="00FC6723">
        <w:t>v</w:t>
      </w:r>
      <w:r w:rsidR="00017443" w:rsidRPr="00FC6723">
        <w:t xml:space="preserve">. women with </w:t>
      </w:r>
      <w:r w:rsidR="00FC6723" w:rsidRPr="00FC6723">
        <w:t xml:space="preserve">a diagnosis of </w:t>
      </w:r>
      <w:r w:rsidR="00017443" w:rsidRPr="00FC6723">
        <w:t>gestational diabetes in the year prior to first antidiabetic</w:t>
      </w:r>
      <w:r w:rsidR="00FC6723" w:rsidRPr="00FC6723">
        <w:t xml:space="preserve"> prescription.</w:t>
      </w:r>
      <w:r w:rsidR="00017443" w:rsidRPr="00FC6723">
        <w:t xml:space="preserve"> </w:t>
      </w:r>
      <w:r w:rsidR="00FC6723" w:rsidRPr="00FC6723">
        <w:t xml:space="preserve">We further excluded </w:t>
      </w:r>
      <w:r w:rsidR="00017443" w:rsidRPr="00FC6723">
        <w:t xml:space="preserve">patients with a history of HIV or antiretroviral therapy prior </w:t>
      </w:r>
      <w:r w:rsidR="00017443" w:rsidRPr="0022443F">
        <w:t>to cohort entry</w:t>
      </w:r>
      <w:r w:rsidR="0022443F">
        <w:t xml:space="preserve"> </w:t>
      </w:r>
      <w:r w:rsidR="0022443F" w:rsidRPr="0022443F">
        <w:t>(due to the effect</w:t>
      </w:r>
      <w:r w:rsidR="0022443F">
        <w:t xml:space="preserve"> o</w:t>
      </w:r>
      <w:r w:rsidR="0022443F" w:rsidRPr="0022443F">
        <w:t>n glucose metabolism, body fat and diabetes-related complications)</w:t>
      </w:r>
      <w:r w:rsidR="003425CC" w:rsidRPr="00FC6723">
        <w:t xml:space="preserve">. </w:t>
      </w:r>
      <w:r w:rsidR="00EE66BE" w:rsidRPr="00FC6723">
        <w:t>P</w:t>
      </w:r>
      <w:r w:rsidR="00284319" w:rsidRPr="00FC6723">
        <w:t xml:space="preserve">eople with type 2 diabetes who were diet only treated </w:t>
      </w:r>
      <w:r w:rsidR="00F90EF2" w:rsidRPr="00FC6723">
        <w:t xml:space="preserve">at cohort entry </w:t>
      </w:r>
      <w:r w:rsidR="00EE66BE" w:rsidRPr="00FC6723">
        <w:t>were excluded</w:t>
      </w:r>
      <w:r w:rsidR="00284319" w:rsidRPr="00FC6723">
        <w:t>.</w:t>
      </w:r>
    </w:p>
    <w:p w14:paraId="28575122" w14:textId="77777777" w:rsidR="00FC6723" w:rsidRDefault="00FC6723" w:rsidP="00781897">
      <w:pPr>
        <w:spacing w:line="480" w:lineRule="auto"/>
        <w:contextualSpacing/>
      </w:pPr>
    </w:p>
    <w:p w14:paraId="2EE4DCAE" w14:textId="6CEF834F" w:rsidR="003425CC" w:rsidRPr="00781897" w:rsidRDefault="003425CC" w:rsidP="00781897">
      <w:pPr>
        <w:spacing w:line="480" w:lineRule="auto"/>
        <w:contextualSpacing/>
      </w:pPr>
      <w:r w:rsidRPr="00781897">
        <w:t xml:space="preserve">Within each database, </w:t>
      </w:r>
      <w:r w:rsidR="00E0024B">
        <w:t xml:space="preserve">we examined incident events by restricting </w:t>
      </w:r>
      <w:r w:rsidR="00631340">
        <w:t>study</w:t>
      </w:r>
      <w:r w:rsidR="00631340" w:rsidRPr="00781897">
        <w:t xml:space="preserve"> </w:t>
      </w:r>
      <w:r w:rsidRPr="00781897">
        <w:t xml:space="preserve">cohorts </w:t>
      </w:r>
      <w:r w:rsidR="00631340">
        <w:t>to</w:t>
      </w:r>
      <w:r w:rsidRPr="00781897">
        <w:t xml:space="preserve"> those </w:t>
      </w:r>
      <w:r w:rsidRPr="00781897">
        <w:rPr>
          <w:i/>
        </w:rPr>
        <w:t xml:space="preserve">without </w:t>
      </w:r>
      <w:r w:rsidR="00631340">
        <w:rPr>
          <w:i/>
        </w:rPr>
        <w:t xml:space="preserve">a </w:t>
      </w:r>
      <w:r w:rsidRPr="00781897">
        <w:rPr>
          <w:i/>
        </w:rPr>
        <w:t>history of CVD</w:t>
      </w:r>
      <w:r w:rsidRPr="00781897">
        <w:t xml:space="preserve"> for the primary endpoint and </w:t>
      </w:r>
      <w:r w:rsidRPr="00781897">
        <w:rPr>
          <w:i/>
        </w:rPr>
        <w:t xml:space="preserve">those without </w:t>
      </w:r>
      <w:r w:rsidR="00631340">
        <w:rPr>
          <w:i/>
        </w:rPr>
        <w:t xml:space="preserve">prior </w:t>
      </w:r>
      <w:r w:rsidRPr="00781897">
        <w:rPr>
          <w:i/>
        </w:rPr>
        <w:t>heart failure</w:t>
      </w:r>
      <w:r w:rsidRPr="00781897">
        <w:t xml:space="preserve"> for the secondary endpoint</w:t>
      </w:r>
      <w:r w:rsidR="000C3A2D" w:rsidRPr="00781897">
        <w:t xml:space="preserve">, </w:t>
      </w:r>
      <w:r w:rsidR="00E0024B">
        <w:t xml:space="preserve">as </w:t>
      </w:r>
      <w:r w:rsidR="000C3A2D" w:rsidRPr="00781897">
        <w:t xml:space="preserve">identified from primary care </w:t>
      </w:r>
      <w:r w:rsidR="007F7934" w:rsidRPr="00781897">
        <w:t xml:space="preserve">and </w:t>
      </w:r>
      <w:r w:rsidR="000C3A2D" w:rsidRPr="00781897">
        <w:t>hospital records</w:t>
      </w:r>
      <w:r w:rsidRPr="00781897">
        <w:t>. We defined prior CVD as non-fatal myocardial infarction</w:t>
      </w:r>
      <w:r w:rsidR="00441BD3" w:rsidRPr="00781897">
        <w:t xml:space="preserve"> (MI)</w:t>
      </w:r>
      <w:r w:rsidRPr="00781897">
        <w:t>, acute coronary syndrome</w:t>
      </w:r>
      <w:r w:rsidR="00441BD3" w:rsidRPr="00781897">
        <w:t xml:space="preserve"> (ACS)</w:t>
      </w:r>
      <w:r w:rsidRPr="00781897">
        <w:t>, stroke, transient ischaemic attack</w:t>
      </w:r>
      <w:r w:rsidR="00441BD3" w:rsidRPr="00781897">
        <w:t xml:space="preserve"> (TIA)</w:t>
      </w:r>
      <w:r w:rsidRPr="00781897">
        <w:t xml:space="preserve">, unstable angina, heart failure and revascularisation procedures. </w:t>
      </w:r>
      <w:r w:rsidR="00137A96">
        <w:t>Prior heart failure was defined as a</w:t>
      </w:r>
      <w:r w:rsidR="00DD7875">
        <w:t xml:space="preserve"> previous</w:t>
      </w:r>
      <w:r w:rsidR="00137A96">
        <w:t xml:space="preserve"> admission for heart failure</w:t>
      </w:r>
      <w:r w:rsidR="00993671">
        <w:t xml:space="preserve"> (</w:t>
      </w:r>
      <w:r w:rsidR="00DD7875">
        <w:t xml:space="preserve">including heart failure with normal, reduced and preserved ejection function). </w:t>
      </w:r>
      <w:r w:rsidRPr="00781897">
        <w:t xml:space="preserve">Individuals within each database cohort were followed from cohort entry until the endpoint (defined below), death, transfer out of practice, or study end (31 </w:t>
      </w:r>
      <w:r w:rsidR="004D5633" w:rsidRPr="00781897">
        <w:t>November</w:t>
      </w:r>
      <w:r w:rsidRPr="00781897">
        <w:t xml:space="preserve"> 2018); whichever occurred first.</w:t>
      </w:r>
    </w:p>
    <w:p w14:paraId="28198074" w14:textId="77777777" w:rsidR="003425CC" w:rsidRPr="00781897" w:rsidRDefault="003425CC" w:rsidP="00781897">
      <w:pPr>
        <w:spacing w:line="480" w:lineRule="auto"/>
        <w:contextualSpacing/>
      </w:pPr>
    </w:p>
    <w:p w14:paraId="7561A619" w14:textId="54AD476A" w:rsidR="003425CC" w:rsidRPr="00685943" w:rsidRDefault="003425CC" w:rsidP="00685943">
      <w:pPr>
        <w:spacing w:line="480" w:lineRule="auto"/>
        <w:contextualSpacing/>
        <w:rPr>
          <w:b/>
          <w:bCs/>
        </w:rPr>
      </w:pPr>
      <w:r w:rsidRPr="00685943">
        <w:rPr>
          <w:b/>
          <w:bCs/>
        </w:rPr>
        <w:t>D</w:t>
      </w:r>
      <w:r w:rsidR="0080063C" w:rsidRPr="00685943">
        <w:rPr>
          <w:b/>
          <w:bCs/>
        </w:rPr>
        <w:t>efinition</w:t>
      </w:r>
      <w:r w:rsidRPr="00685943">
        <w:rPr>
          <w:b/>
          <w:bCs/>
        </w:rPr>
        <w:t xml:space="preserve"> </w:t>
      </w:r>
      <w:r w:rsidR="0080063C" w:rsidRPr="00685943">
        <w:rPr>
          <w:b/>
          <w:bCs/>
        </w:rPr>
        <w:t>of</w:t>
      </w:r>
      <w:r w:rsidRPr="00685943">
        <w:rPr>
          <w:b/>
          <w:bCs/>
        </w:rPr>
        <w:t xml:space="preserve"> </w:t>
      </w:r>
      <w:r w:rsidR="0080063C" w:rsidRPr="00685943">
        <w:rPr>
          <w:b/>
          <w:bCs/>
        </w:rPr>
        <w:t>outcomes</w:t>
      </w:r>
      <w:r w:rsidRPr="00685943">
        <w:rPr>
          <w:b/>
          <w:bCs/>
        </w:rPr>
        <w:t xml:space="preserve"> </w:t>
      </w:r>
    </w:p>
    <w:p w14:paraId="3E2E039E" w14:textId="7BF112DE" w:rsidR="003425CC" w:rsidRPr="00685943" w:rsidRDefault="000B431D" w:rsidP="00685943">
      <w:pPr>
        <w:spacing w:line="480" w:lineRule="auto"/>
      </w:pPr>
      <w:r>
        <w:t>MACCE</w:t>
      </w:r>
      <w:r w:rsidRPr="00685943">
        <w:t xml:space="preserve"> </w:t>
      </w:r>
      <w:r w:rsidR="003425CC" w:rsidRPr="00685943">
        <w:t xml:space="preserve">and heart failure events were identified from primary care, hospital </w:t>
      </w:r>
      <w:r w:rsidR="00017443">
        <w:t>(</w:t>
      </w:r>
      <w:r w:rsidR="00211F13">
        <w:t xml:space="preserve">primary and secondary diagnoses captured from </w:t>
      </w:r>
      <w:r w:rsidR="002A6FB8">
        <w:t>Admitted Patient Care [HES APC] data</w:t>
      </w:r>
      <w:r w:rsidR="00211F13">
        <w:t xml:space="preserve"> files; </w:t>
      </w:r>
      <w:r w:rsidR="002A6FB8">
        <w:t>hospitalisation</w:t>
      </w:r>
      <w:r w:rsidR="00211F13">
        <w:t>/spell, episode</w:t>
      </w:r>
      <w:r w:rsidR="002A6FB8">
        <w:t xml:space="preserve"> and primary diagnos</w:t>
      </w:r>
      <w:r w:rsidR="00211F13">
        <w:t>e</w:t>
      </w:r>
      <w:r w:rsidR="002A6FB8">
        <w:t>s</w:t>
      </w:r>
      <w:r w:rsidR="00211F13">
        <w:t xml:space="preserve"> across a hospitalisation</w:t>
      </w:r>
      <w:r w:rsidR="00017443">
        <w:t xml:space="preserve">) </w:t>
      </w:r>
      <w:r w:rsidR="003425CC" w:rsidRPr="00685943">
        <w:t>and/or ONS</w:t>
      </w:r>
      <w:r w:rsidR="0069060D" w:rsidRPr="00685943">
        <w:t xml:space="preserve"> mortality records</w:t>
      </w:r>
      <w:r w:rsidR="003425CC" w:rsidRPr="00685943">
        <w:t xml:space="preserve">. The primary composite endpoint was the first record of the following </w:t>
      </w:r>
      <w:r w:rsidR="00FA6376" w:rsidRPr="00685943">
        <w:t>MACCE</w:t>
      </w:r>
      <w:r w:rsidR="003425CC" w:rsidRPr="00685943">
        <w:t xml:space="preserve"> after </w:t>
      </w:r>
      <w:r w:rsidR="00123B0E" w:rsidRPr="00685943">
        <w:t>cohort</w:t>
      </w:r>
      <w:r w:rsidR="003425CC" w:rsidRPr="00685943">
        <w:t xml:space="preserve"> entry: </w:t>
      </w:r>
      <w:r w:rsidR="009C3936" w:rsidRPr="00685943">
        <w:t>a</w:t>
      </w:r>
      <w:r w:rsidR="003425CC" w:rsidRPr="00685943">
        <w:t xml:space="preserve">) </w:t>
      </w:r>
      <w:r w:rsidR="00441BD3" w:rsidRPr="00685943">
        <w:t>MI/ACS</w:t>
      </w:r>
      <w:r w:rsidR="00A001E0" w:rsidRPr="00685943">
        <w:t>;</w:t>
      </w:r>
      <w:r w:rsidR="003425CC" w:rsidRPr="00685943">
        <w:t xml:space="preserve"> </w:t>
      </w:r>
      <w:r w:rsidR="009C3936" w:rsidRPr="00685943">
        <w:t>b</w:t>
      </w:r>
      <w:r w:rsidR="003425CC" w:rsidRPr="00685943">
        <w:t>) stroke/TIA</w:t>
      </w:r>
      <w:r w:rsidR="00685943" w:rsidRPr="00685943">
        <w:t xml:space="preserve"> including </w:t>
      </w:r>
      <w:r w:rsidR="00685943" w:rsidRPr="00685943">
        <w:rPr>
          <w:rStyle w:val="hgkelc"/>
        </w:rPr>
        <w:t>intracerebral and</w:t>
      </w:r>
      <w:r w:rsidR="00685943">
        <w:rPr>
          <w:rStyle w:val="hgkelc"/>
        </w:rPr>
        <w:t xml:space="preserve"> </w:t>
      </w:r>
      <w:r w:rsidR="00685943" w:rsidRPr="00685943">
        <w:rPr>
          <w:rStyle w:val="hgkelc"/>
        </w:rPr>
        <w:lastRenderedPageBreak/>
        <w:t>subarachnoid haemorrhage</w:t>
      </w:r>
      <w:r w:rsidR="00A001E0" w:rsidRPr="00685943">
        <w:t>;</w:t>
      </w:r>
      <w:r w:rsidR="00441BD3" w:rsidRPr="00685943">
        <w:t xml:space="preserve"> </w:t>
      </w:r>
      <w:r w:rsidR="003425CC" w:rsidRPr="00685943">
        <w:t xml:space="preserve">and/or </w:t>
      </w:r>
      <w:r w:rsidR="009C3936" w:rsidRPr="00685943">
        <w:t>b</w:t>
      </w:r>
      <w:r w:rsidR="003425CC" w:rsidRPr="00685943">
        <w:t xml:space="preserve">) cardiovascular death. The secondary endpoint was the first record of heart failure after </w:t>
      </w:r>
      <w:r w:rsidR="00123B0E" w:rsidRPr="00685943">
        <w:t>cohort</w:t>
      </w:r>
      <w:r w:rsidR="003425CC" w:rsidRPr="00685943">
        <w:t xml:space="preserve"> entry.</w:t>
      </w:r>
    </w:p>
    <w:p w14:paraId="064DAC07" w14:textId="77777777" w:rsidR="003425CC" w:rsidRPr="00685943" w:rsidRDefault="003425CC" w:rsidP="00685943">
      <w:pPr>
        <w:spacing w:line="480" w:lineRule="auto"/>
        <w:contextualSpacing/>
        <w:rPr>
          <w:u w:val="single"/>
        </w:rPr>
      </w:pPr>
    </w:p>
    <w:p w14:paraId="6CCD4409" w14:textId="503ACC34" w:rsidR="003425CC" w:rsidRPr="00685943" w:rsidRDefault="003425CC" w:rsidP="00685943">
      <w:pPr>
        <w:spacing w:line="480" w:lineRule="auto"/>
        <w:contextualSpacing/>
        <w:rPr>
          <w:b/>
          <w:bCs/>
        </w:rPr>
      </w:pPr>
      <w:r w:rsidRPr="00685943">
        <w:rPr>
          <w:b/>
          <w:bCs/>
        </w:rPr>
        <w:t>C</w:t>
      </w:r>
      <w:r w:rsidR="0080063C" w:rsidRPr="00685943">
        <w:rPr>
          <w:b/>
          <w:bCs/>
        </w:rPr>
        <w:t>ase</w:t>
      </w:r>
      <w:r w:rsidRPr="00685943">
        <w:rPr>
          <w:b/>
          <w:bCs/>
        </w:rPr>
        <w:t xml:space="preserve"> </w:t>
      </w:r>
      <w:r w:rsidR="0080063C" w:rsidRPr="00685943">
        <w:rPr>
          <w:b/>
          <w:bCs/>
        </w:rPr>
        <w:t>and</w:t>
      </w:r>
      <w:r w:rsidRPr="00685943">
        <w:rPr>
          <w:b/>
          <w:bCs/>
        </w:rPr>
        <w:t xml:space="preserve"> </w:t>
      </w:r>
      <w:r w:rsidR="0080063C" w:rsidRPr="00685943">
        <w:rPr>
          <w:b/>
          <w:bCs/>
        </w:rPr>
        <w:t>control</w:t>
      </w:r>
      <w:r w:rsidRPr="00685943">
        <w:rPr>
          <w:b/>
          <w:bCs/>
        </w:rPr>
        <w:t xml:space="preserve"> </w:t>
      </w:r>
      <w:r w:rsidR="0080063C" w:rsidRPr="00685943">
        <w:rPr>
          <w:b/>
          <w:bCs/>
        </w:rPr>
        <w:t>selection</w:t>
      </w:r>
    </w:p>
    <w:p w14:paraId="621AB543" w14:textId="3842F0C2" w:rsidR="003425CC" w:rsidRPr="00781897" w:rsidRDefault="008E05BB" w:rsidP="00781897">
      <w:pPr>
        <w:spacing w:line="480" w:lineRule="auto"/>
        <w:contextualSpacing/>
      </w:pPr>
      <w:r w:rsidRPr="00781897">
        <w:t>For the primary endpoint, within</w:t>
      </w:r>
      <w:r w:rsidR="003425CC" w:rsidRPr="00781897">
        <w:t xml:space="preserve"> each database, cases were identified as those in the study cohort who experienced a </w:t>
      </w:r>
      <w:r w:rsidR="00FA6376" w:rsidRPr="00781897">
        <w:t>MACCE</w:t>
      </w:r>
      <w:r w:rsidR="003425CC" w:rsidRPr="00781897">
        <w:t xml:space="preserve"> during follow-up </w:t>
      </w:r>
      <w:r w:rsidRPr="00781897">
        <w:t>(</w:t>
      </w:r>
      <w:r w:rsidR="00F43273" w:rsidRPr="00781897">
        <w:t xml:space="preserve">Supplemental </w:t>
      </w:r>
      <w:r w:rsidRPr="00781897">
        <w:t>Figure</w:t>
      </w:r>
      <w:r w:rsidR="00016C1A">
        <w:t xml:space="preserve"> </w:t>
      </w:r>
      <w:r w:rsidR="007B6AA8">
        <w:t>3</w:t>
      </w:r>
      <w:r w:rsidRPr="00781897">
        <w:t>)</w:t>
      </w:r>
      <w:r w:rsidR="003425CC" w:rsidRPr="00781897">
        <w:t xml:space="preserve">. The index date for cases was defined as the date of the first </w:t>
      </w:r>
      <w:r w:rsidR="00FA6376" w:rsidRPr="00781897">
        <w:t>MACCE</w:t>
      </w:r>
      <w:r w:rsidR="003425CC" w:rsidRPr="00781897">
        <w:t xml:space="preserve"> event.</w:t>
      </w:r>
      <w:r w:rsidR="0003002F" w:rsidRPr="00781897">
        <w:t xml:space="preserve"> </w:t>
      </w:r>
      <w:r w:rsidRPr="00781897">
        <w:t>For the secondary endpoint, cases were identified as those in the study cohort who experienced heart failure during follow-up (</w:t>
      </w:r>
      <w:r w:rsidR="00F43273" w:rsidRPr="00781897">
        <w:t xml:space="preserve">Supplemental </w:t>
      </w:r>
      <w:r w:rsidRPr="00781897">
        <w:t>Figure</w:t>
      </w:r>
      <w:r w:rsidR="00016C1A">
        <w:t xml:space="preserve"> </w:t>
      </w:r>
      <w:r w:rsidR="007B6AA8">
        <w:t>4</w:t>
      </w:r>
      <w:r w:rsidRPr="00781897">
        <w:t xml:space="preserve">). The index date for cases was defined as the date of the first </w:t>
      </w:r>
      <w:r w:rsidR="00BC7BB0" w:rsidRPr="00781897">
        <w:t>heart failure</w:t>
      </w:r>
      <w:r w:rsidRPr="00781897">
        <w:t xml:space="preserve"> event.</w:t>
      </w:r>
    </w:p>
    <w:p w14:paraId="5F5A24C2" w14:textId="77777777" w:rsidR="0003002F" w:rsidRPr="00781897" w:rsidRDefault="0003002F" w:rsidP="00781897">
      <w:pPr>
        <w:spacing w:line="480" w:lineRule="auto"/>
        <w:contextualSpacing/>
      </w:pPr>
    </w:p>
    <w:p w14:paraId="35A8C027" w14:textId="78102B0A" w:rsidR="003425CC" w:rsidRPr="00781897" w:rsidRDefault="003425CC" w:rsidP="00781897">
      <w:pPr>
        <w:spacing w:line="480" w:lineRule="auto"/>
        <w:contextualSpacing/>
      </w:pPr>
      <w:r w:rsidRPr="00781897">
        <w:t xml:space="preserve">Risk-set sampling </w:t>
      </w:r>
      <w:r w:rsidR="00981AE0">
        <w:t xml:space="preserve">from the study cohort </w:t>
      </w:r>
      <w:r w:rsidRPr="00781897">
        <w:t xml:space="preserve">was used to match each case with up to 20 cohort members </w:t>
      </w:r>
      <w:r w:rsidR="004472D5" w:rsidRPr="00781897">
        <w:t>from the same practice</w:t>
      </w:r>
      <w:r w:rsidR="001641E9">
        <w:t xml:space="preserve"> and of the same sex</w:t>
      </w:r>
      <w:r w:rsidR="004472D5" w:rsidRPr="00781897">
        <w:t xml:space="preserve"> </w:t>
      </w:r>
      <w:r w:rsidRPr="00781897">
        <w:t xml:space="preserve">who were </w:t>
      </w:r>
      <w:r w:rsidR="00981AE0">
        <w:t>at risk of an event but were</w:t>
      </w:r>
      <w:r w:rsidRPr="00781897">
        <w:t xml:space="preserve"> event-free at the </w:t>
      </w:r>
      <w:r w:rsidR="00981AE0">
        <w:t>index date</w:t>
      </w:r>
      <w:r w:rsidRPr="00781897">
        <w:t xml:space="preserve"> on </w:t>
      </w:r>
      <w:r w:rsidR="001641E9">
        <w:t xml:space="preserve">the </w:t>
      </w:r>
      <w:r w:rsidR="00A4041B">
        <w:t>follow-up time</w:t>
      </w:r>
      <w:r w:rsidR="001641E9">
        <w:t xml:space="preserve">scale using </w:t>
      </w:r>
      <w:r w:rsidRPr="00781897">
        <w:t xml:space="preserve">the following criteria: age (±2 years), date of </w:t>
      </w:r>
      <w:r w:rsidR="00123B0E" w:rsidRPr="00781897">
        <w:t>cohort</w:t>
      </w:r>
      <w:r w:rsidRPr="00781897">
        <w:t xml:space="preserve"> entry (±1 year), </w:t>
      </w:r>
      <w:r w:rsidR="001641E9">
        <w:t xml:space="preserve">and </w:t>
      </w:r>
      <w:r w:rsidRPr="00781897">
        <w:t xml:space="preserve">duration of treated diabetes (±1 year). Cases without any eligible controls were excluded. Details of case and control selection are provided in </w:t>
      </w:r>
      <w:r w:rsidR="00F43273" w:rsidRPr="00781897">
        <w:t xml:space="preserve">Supplemental </w:t>
      </w:r>
      <w:r w:rsidRPr="00781897">
        <w:t xml:space="preserve">Figures </w:t>
      </w:r>
      <w:r w:rsidR="007B6AA8">
        <w:t>3</w:t>
      </w:r>
      <w:r w:rsidR="00016C1A">
        <w:t xml:space="preserve"> and </w:t>
      </w:r>
      <w:r w:rsidR="007B6AA8">
        <w:t>4</w:t>
      </w:r>
      <w:r w:rsidRPr="00781897">
        <w:t>.</w:t>
      </w:r>
    </w:p>
    <w:p w14:paraId="28678818" w14:textId="77777777" w:rsidR="003425CC" w:rsidRPr="00781897" w:rsidRDefault="003425CC" w:rsidP="00781897">
      <w:pPr>
        <w:spacing w:line="480" w:lineRule="auto"/>
        <w:contextualSpacing/>
        <w:rPr>
          <w:u w:val="single"/>
        </w:rPr>
      </w:pPr>
    </w:p>
    <w:p w14:paraId="26DCBEE9" w14:textId="1CA28E48" w:rsidR="003425CC" w:rsidRPr="00781897" w:rsidRDefault="003425CC" w:rsidP="00781897">
      <w:pPr>
        <w:spacing w:line="480" w:lineRule="auto"/>
        <w:contextualSpacing/>
        <w:rPr>
          <w:b/>
          <w:bCs/>
        </w:rPr>
      </w:pPr>
      <w:r w:rsidRPr="00781897">
        <w:rPr>
          <w:b/>
          <w:bCs/>
        </w:rPr>
        <w:t>E</w:t>
      </w:r>
      <w:r w:rsidR="0080063C" w:rsidRPr="00781897">
        <w:rPr>
          <w:b/>
          <w:bCs/>
        </w:rPr>
        <w:t>xposure</w:t>
      </w:r>
    </w:p>
    <w:p w14:paraId="6D5B9842" w14:textId="1F50091C" w:rsidR="00035B56" w:rsidRDefault="003425CC" w:rsidP="00781897">
      <w:pPr>
        <w:spacing w:line="480" w:lineRule="auto"/>
      </w:pPr>
      <w:r w:rsidRPr="00781897">
        <w:t>Current exposure to antidiabetic medications (ADMs)</w:t>
      </w:r>
      <w:r w:rsidR="00063BC8">
        <w:t>,</w:t>
      </w:r>
      <w:r w:rsidRPr="00781897">
        <w:t xml:space="preserve"> </w:t>
      </w:r>
      <w:r w:rsidR="00063BC8">
        <w:t xml:space="preserve">including </w:t>
      </w:r>
      <w:r w:rsidR="00257C6E">
        <w:t>insulin</w:t>
      </w:r>
      <w:r w:rsidR="00063BC8">
        <w:t>,</w:t>
      </w:r>
      <w:r w:rsidR="00257C6E">
        <w:t xml:space="preserve"> </w:t>
      </w:r>
      <w:r w:rsidR="002C5E06" w:rsidRPr="00781897">
        <w:t>was</w:t>
      </w:r>
      <w:r w:rsidRPr="00781897">
        <w:t xml:space="preserve"> defined </w:t>
      </w:r>
      <w:r w:rsidR="00DF3CEF" w:rsidRPr="00781897">
        <w:t xml:space="preserve">as </w:t>
      </w:r>
      <w:r w:rsidR="00715B90">
        <w:t xml:space="preserve">2 consecutive </w:t>
      </w:r>
      <w:r w:rsidR="00DF3CEF" w:rsidRPr="00781897">
        <w:t>drug</w:t>
      </w:r>
      <w:r w:rsidRPr="00781897">
        <w:t xml:space="preserve"> prescription</w:t>
      </w:r>
      <w:r w:rsidR="00DF3CEF" w:rsidRPr="00781897">
        <w:t>s</w:t>
      </w:r>
      <w:r w:rsidR="00BD3969" w:rsidRPr="00781897">
        <w:t xml:space="preserve"> </w:t>
      </w:r>
      <w:r w:rsidR="00715B90">
        <w:t xml:space="preserve">for each antidiabetic class </w:t>
      </w:r>
      <w:r w:rsidR="00BD3969" w:rsidRPr="00781897">
        <w:t>issue</w:t>
      </w:r>
      <w:r w:rsidR="00DF3CEF" w:rsidRPr="00781897">
        <w:t>d</w:t>
      </w:r>
      <w:r w:rsidR="00BD3969" w:rsidRPr="00781897">
        <w:t xml:space="preserve"> </w:t>
      </w:r>
      <w:r w:rsidR="00DC6697">
        <w:t xml:space="preserve">prior to the index date </w:t>
      </w:r>
      <w:r w:rsidR="00DC6697" w:rsidRPr="00781897">
        <w:t>(MACCE or heart failure event)</w:t>
      </w:r>
      <w:r w:rsidR="00DC6697">
        <w:t xml:space="preserve"> with a </w:t>
      </w:r>
      <w:r w:rsidR="00C21AC3">
        <w:t>prescription length</w:t>
      </w:r>
      <w:r w:rsidR="00DC6697">
        <w:t xml:space="preserve">, plus a </w:t>
      </w:r>
      <w:r w:rsidR="00DF3CEF" w:rsidRPr="00781897">
        <w:t>90</w:t>
      </w:r>
      <w:r w:rsidR="00DC6697">
        <w:t>-</w:t>
      </w:r>
      <w:r w:rsidR="00DF3CEF" w:rsidRPr="00781897">
        <w:t>day</w:t>
      </w:r>
      <w:r w:rsidR="00DC6697">
        <w:t xml:space="preserve"> grace period</w:t>
      </w:r>
      <w:r w:rsidR="00DF3CEF" w:rsidRPr="00781897">
        <w:t xml:space="preserve"> (defined as continuous use</w:t>
      </w:r>
      <w:r w:rsidR="007869E0">
        <w:t xml:space="preserve">, </w:t>
      </w:r>
      <w:r w:rsidR="00DC6697">
        <w:t>accounting for non</w:t>
      </w:r>
      <w:r w:rsidR="001A50C7">
        <w:t>-</w:t>
      </w:r>
      <w:r w:rsidR="00DC6697">
        <w:t>adherence</w:t>
      </w:r>
      <w:r w:rsidR="00872A9F">
        <w:t>/non-persistence</w:t>
      </w:r>
      <w:r w:rsidR="00DF3CEF" w:rsidRPr="00781897">
        <w:t>)</w:t>
      </w:r>
      <w:r w:rsidR="00DC6697">
        <w:t>,</w:t>
      </w:r>
      <w:r w:rsidR="00DF3CEF" w:rsidRPr="00781897">
        <w:t xml:space="preserve"> </w:t>
      </w:r>
      <w:r w:rsidR="00993671">
        <w:t xml:space="preserve">which </w:t>
      </w:r>
      <w:r w:rsidR="00DC6697">
        <w:t>includ</w:t>
      </w:r>
      <w:r w:rsidR="00993671">
        <w:t>ed</w:t>
      </w:r>
      <w:r w:rsidR="00DC6697">
        <w:t xml:space="preserve"> </w:t>
      </w:r>
      <w:r w:rsidR="00DF3CEF" w:rsidRPr="00781897">
        <w:t>the index dat</w:t>
      </w:r>
      <w:r w:rsidR="00CD19B6" w:rsidRPr="00781897">
        <w:t>e</w:t>
      </w:r>
      <w:r w:rsidR="00DC6697">
        <w:t>.</w:t>
      </w:r>
      <w:r w:rsidR="00CD19B6" w:rsidRPr="00781897">
        <w:t xml:space="preserve"> </w:t>
      </w:r>
      <w:r w:rsidR="008E410C" w:rsidRPr="008E410C">
        <w:t xml:space="preserve">The grace period is the permissible time gap </w:t>
      </w:r>
      <w:r w:rsidR="006609B7">
        <w:t>for patients to get a subsequent prescription following a discontinuation or the end of the previous prescription coverage</w:t>
      </w:r>
      <w:r w:rsidR="008E410C">
        <w:t>.</w:t>
      </w:r>
      <w:r w:rsidR="00992A52">
        <w:fldChar w:fldCharType="begin" w:fldLock="1"/>
      </w:r>
      <w:r w:rsidR="002622F3">
        <w:instrText>ADDIN CSL_CITATION {"citationItems":[{"id":"ITEM-1","itemData":{"DOI":"10.1007/s00592-014-0692-x","ISSN":"0940-5429","author":[{"dropping-particle":"","family":"Simard","given":"Patrice","non-dropping-particle":"","parse-names":false,"suffix":""},{"dropping-particle":"","family":"Presse","given":"Nancy","non-dropping-particle":"","parse-names":false,"suffix":""},{"dropping-particle":"","family":"Roy","given":"Louise","non-dropping-particle":"","parse-names":false,"suffix":""},{"dropping-particle":"","family":"Dorais","given":"Marc","non-dropping-particle":"","parse-names":false,"suffix":""},{"dropping-particle":"","family":"White-Guay","given":"Brian","non-dropping-particle":"","parse-names":false,"suffix":""},{"dropping-particle":"","family":"Räkel","given":"Agnès","non-dropping-particle":"","parse-names":false,"suffix":""},{"dropping-particle":"","family":"Perreault","given":"Sylvie","non-dropping-particle":"","parse-names":false,"suffix":""}],"container-title":"Acta Diabetologica","id":"ITEM-1","issue":"3","issued":{"date-parts":[["2015","6","19"]]},"page":"547-556","title":"Persistence and adherence to oral antidiabetics: a population-based cohort study","type":"article-journal","volume":"52"},"uris":["http://www.mendeley.com/documents/?uuid=6c7d87a7-14f8-47bb-9ce9-273e5c71d0ab"]}],"mendeley":{"formattedCitation":"(14)","plainTextFormattedCitation":"(14)","previouslyFormattedCitation":"(14)"},"properties":{"noteIndex":0},"schema":"https://github.com/citation-style-language/schema/raw/master/csl-citation.json"}</w:instrText>
      </w:r>
      <w:r w:rsidR="00992A52">
        <w:fldChar w:fldCharType="separate"/>
      </w:r>
      <w:r w:rsidR="002622F3" w:rsidRPr="002622F3">
        <w:rPr>
          <w:noProof/>
        </w:rPr>
        <w:t>(14)</w:t>
      </w:r>
      <w:r w:rsidR="00992A52">
        <w:fldChar w:fldCharType="end"/>
      </w:r>
      <w:r w:rsidR="008E410C">
        <w:t xml:space="preserve"> </w:t>
      </w:r>
      <w:r w:rsidR="008E410C">
        <w:lastRenderedPageBreak/>
        <w:t>This approach accounts for the variability among prescription durations</w:t>
      </w:r>
      <w:r w:rsidR="006609B7">
        <w:t xml:space="preserve"> </w:t>
      </w:r>
      <w:r w:rsidR="001A50C7">
        <w:t>and remaining stockpiled medications</w:t>
      </w:r>
      <w:r w:rsidR="008E410C">
        <w:t>.</w:t>
      </w:r>
      <w:r w:rsidR="00992A52">
        <w:fldChar w:fldCharType="begin" w:fldLock="1"/>
      </w:r>
      <w:r w:rsidR="002622F3">
        <w:instrText>ADDIN CSL_CITATION {"citationItems":[{"id":"ITEM-1","itemData":{"DOI":"10.1007/s00592-014-0692-x","ISSN":"0940-5429","author":[{"dropping-particle":"","family":"Simard","given":"Patrice","non-dropping-particle":"","parse-names":false,"suffix":""},{"dropping-particle":"","family":"Presse","given":"Nancy","non-dropping-particle":"","parse-names":false,"suffix":""},{"dropping-particle":"","family":"Roy","given":"Louise","non-dropping-particle":"","parse-names":false,"suffix":""},{"dropping-particle":"","family":"Dorais","given":"Marc","non-dropping-particle":"","parse-names":false,"suffix":""},{"dropping-particle":"","family":"White-Guay","given":"Brian","non-dropping-particle":"","parse-names":false,"suffix":""},{"dropping-particle":"","family":"Räkel","given":"Agnès","non-dropping-particle":"","parse-names":false,"suffix":""},{"dropping-particle":"","family":"Perreault","given":"Sylvie","non-dropping-particle":"","parse-names":false,"suffix":""}],"container-title":"Acta Diabetologica","id":"ITEM-1","issue":"3","issued":{"date-parts":[["2015","6","19"]]},"page":"547-556","title":"Persistence and adherence to oral antidiabetics: a population-based cohort study","type":"article-journal","volume":"52"},"uris":["http://www.mendeley.com/documents/?uuid=6c7d87a7-14f8-47bb-9ce9-273e5c71d0ab"]},{"id":"ITEM-2","itemData":{"DOI":"10.1155/2018/4817178","ISSN":"2314-6745","author":[{"dropping-particle":"","family":"Moura","given":"Cristiano S.","non-dropping-particle":"","parse-names":false,"suffix":""},{"dropping-particle":"","family":"Rosenberg","given":"Zale B.","non-dropping-particle":"","parse-names":false,"suffix":""},{"dropping-particle":"","family":"Abrahamowicz","given":"Michal","non-dropping-particle":"","parse-names":false,"suffix":""},{"dropping-particle":"","family":"Bernatsky","given":"Sasha","non-dropping-particle":"","parse-names":false,"suffix":""},{"dropping-particle":"","family":"Behlouli","given":"Hassan","non-dropping-particle":"","parse-names":false,"suffix":""},{"dropping-particle":"","family":"Pilote","given":"Louise","non-dropping-particle":"","parse-names":false,"suffix":""}],"container-title":"Journal of Diabetes Research","id":"ITEM-2","issue":"4817178","issued":{"date-parts":[["2018"]]},"page":"1-7","title":"Treatment Discontinuation and Clinical Events in Type 2 Diabetes Patients Treated with Dipeptidyl Peptidase-4 Inhibitors or NPH Insulin as Third-Line Therapy","type":"article-journal","volume":"2018"},"uris":["http://www.mendeley.com/documents/?uuid=5b5c4950-a155-4484-905e-603ef4a3bd9f"]}],"mendeley":{"formattedCitation":"(14,15)","plainTextFormattedCitation":"(14,15)","previouslyFormattedCitation":"(14,15)"},"properties":{"noteIndex":0},"schema":"https://github.com/citation-style-language/schema/raw/master/csl-citation.json"}</w:instrText>
      </w:r>
      <w:r w:rsidR="00992A52">
        <w:fldChar w:fldCharType="separate"/>
      </w:r>
      <w:r w:rsidR="002622F3" w:rsidRPr="002622F3">
        <w:rPr>
          <w:noProof/>
        </w:rPr>
        <w:t>(14,15)</w:t>
      </w:r>
      <w:r w:rsidR="00992A52">
        <w:fldChar w:fldCharType="end"/>
      </w:r>
      <w:r w:rsidR="006609B7">
        <w:t xml:space="preserve"> </w:t>
      </w:r>
      <w:r w:rsidR="001A50C7">
        <w:t>For antidiabetic treatment in type 2 diabetes, a permissible gap of 90 days is typically implemented.</w:t>
      </w:r>
      <w:r w:rsidR="00222E1D">
        <w:fldChar w:fldCharType="begin" w:fldLock="1"/>
      </w:r>
      <w:r w:rsidR="002622F3">
        <w:instrText>ADDIN CSL_CITATION {"citationItems":[{"id":"ITEM-1","itemData":{"DOI":"10.1155/2018/4817178","ISSN":"2314-6745","author":[{"dropping-particle":"","family":"Moura","given":"Cristiano S.","non-dropping-particle":"","parse-names":false,"suffix":""},{"dropping-particle":"","family":"Rosenberg","given":"Zale B.","non-dropping-particle":"","parse-names":false,"suffix":""},{"dropping-particle":"","family":"Abrahamowicz","given":"Michal","non-dropping-particle":"","parse-names":false,"suffix":""},{"dropping-particle":"","family":"Bernatsky","given":"Sasha","non-dropping-particle":"","parse-names":false,"suffix":""},{"dropping-particle":"","family":"Behlouli","given":"Hassan","non-dropping-particle":"","parse-names":false,"suffix":""},{"dropping-particle":"","family":"Pilote","given":"Louise","non-dropping-particle":"","parse-names":false,"suffix":""}],"container-title":"Journal of Diabetes Research","id":"ITEM-1","issue":"4817178","issued":{"date-parts":[["2018"]]},"page":"1-7","title":"Treatment Discontinuation and Clinical Events in Type 2 Diabetes Patients Treated with Dipeptidyl Peptidase-4 Inhibitors or NPH Insulin as Third-Line Therapy","type":"article-journal","volume":"2018"},"uris":["http://www.mendeley.com/documents/?uuid=5b5c4950-a155-4484-905e-603ef4a3bd9f"]},{"id":"ITEM-2","itemData":{"DOI":"10.3390/ijerph17103742","ISSN":"1660-4601","author":[{"dropping-particle":"","family":"Moreno-Juste","given":"Aida","non-dropping-particle":"","parse-names":false,"suffix":""},{"dropping-particle":"","family":"Poblador-Plou","given":"Beatriz","non-dropping-particle":"","parse-names":false,"suffix":""},{"dropping-particle":"","family":"Aza-Pascual-Salcedo","given":"Mercedes","non-dropping-particle":"","parse-names":false,"suffix":""},{"dropping-particle":"","family":"González-Rubio","given":"Francisca","non-dropping-particle":"","parse-names":false,"suffix":""},{"dropping-particle":"","family":"Malo","given":"Sara","non-dropping-particle":"","parse-names":false,"suffix":""},{"dropping-particle":"","family":"Librero López","given":"Julián","non-dropping-particle":"","parse-names":false,"suffix":""},{"dropping-particle":"","family":"Pico-Soler","given":"Victoria","non-dropping-particle":"","parse-names":false,"suffix":""},{"dropping-particle":"","family":"Giménez Labrador","given":"Eva","non-dropping-particle":"","parse-names":false,"suffix":""},{"dropping-particle":"","family":"Mucherino","given":"Sara","non-dropping-particle":"","parse-names":false,"suffix":""},{"dropping-particle":"","family":"Orlando","given":"Valentina","non-dropping-particle":"","parse-names":false,"suffix":""},{"dropping-particle":"","family":"Menditto","given":"Enrica","non-dropping-particle":"","parse-names":false,"suffix":""},{"dropping-particle":"","family":"Prados-Torres","given":"Alexandra","non-dropping-particle":"","parse-names":false,"suffix":""},{"dropping-particle":"","family":"Gimeno-Miguel","given":"Antonio","non-dropping-particle":"","parse-names":false,"suffix":""}],"container-title":"International Journal of Environmental Research and Public Health","id":"ITEM-2","issue":"10","issued":{"date-parts":[["2020","5","25"]]},"page":"3742","title":"Initial Therapy, Regimen Change, and Persistence in a Spanish Cohort of Newly Treated Type 2 Diabetes Patients: A Retrospective, Observational Study Using Real-World Data","type":"article-journal","volume":"17"},"uris":["http://www.mendeley.com/documents/?uuid=d4e4d122-1543-4940-a58f-d05b5d805835"]},{"id":"ITEM-3","itemData":{"DOI":"10.2337/dc16-1974","ISSN":"0149-5992","author":[{"dropping-particle":"V.","family":"Edelman","given":"Steven","non-dropping-particle":"","parse-names":false,"suffix":""},{"dropping-particle":"","family":"Polonsky","given":"William H.","non-dropping-particle":"","parse-names":false,"suffix":""}],"container-title":"Diabetes Care","id":"ITEM-3","issue":"11","issued":{"date-parts":[["2017","11"]]},"page":"1425-1432","title":"Type 2 Diabetes in the Real World: The Elusive Nature of Glycemic Control","type":"article-journal","volume":"40"},"uris":["http://www.mendeley.com/documents/?uuid=eb056561-aaef-430a-b7a7-5c7584b1a139"]}],"mendeley":{"formattedCitation":"(15–17)","plainTextFormattedCitation":"(15–17)","previouslyFormattedCitation":"(15–17)"},"properties":{"noteIndex":0},"schema":"https://github.com/citation-style-language/schema/raw/master/csl-citation.json"}</w:instrText>
      </w:r>
      <w:r w:rsidR="00222E1D">
        <w:fldChar w:fldCharType="separate"/>
      </w:r>
      <w:r w:rsidR="002622F3" w:rsidRPr="002622F3">
        <w:rPr>
          <w:noProof/>
        </w:rPr>
        <w:t>(15–17)</w:t>
      </w:r>
      <w:r w:rsidR="00222E1D">
        <w:fldChar w:fldCharType="end"/>
      </w:r>
      <w:r w:rsidR="00094FD0" w:rsidRPr="00094FD0">
        <w:t xml:space="preserve"> </w:t>
      </w:r>
    </w:p>
    <w:p w14:paraId="0A3691C9" w14:textId="77777777" w:rsidR="00D64C91" w:rsidRDefault="00D64C91" w:rsidP="00781897">
      <w:pPr>
        <w:spacing w:line="480" w:lineRule="auto"/>
        <w:contextualSpacing/>
      </w:pPr>
    </w:p>
    <w:p w14:paraId="0BF50A56" w14:textId="26A8105D" w:rsidR="00E55D1E" w:rsidRDefault="003425CC" w:rsidP="00E55D1E">
      <w:pPr>
        <w:spacing w:line="480" w:lineRule="auto"/>
      </w:pPr>
      <w:r w:rsidRPr="00781897">
        <w:t xml:space="preserve">Exposure to ADMs </w:t>
      </w:r>
      <w:r w:rsidR="0056667F">
        <w:t xml:space="preserve">(including insulin) </w:t>
      </w:r>
      <w:r w:rsidRPr="00781897">
        <w:t>was categorised</w:t>
      </w:r>
      <w:r w:rsidR="00895A63" w:rsidRPr="00781897">
        <w:t xml:space="preserve"> </w:t>
      </w:r>
      <w:r w:rsidR="00DF3CEF" w:rsidRPr="00781897">
        <w:t>as</w:t>
      </w:r>
      <w:r w:rsidRPr="00781897">
        <w:t xml:space="preserve">: a) combined </w:t>
      </w:r>
      <w:r w:rsidR="000D061B" w:rsidRPr="00781897">
        <w:t>SGLT2</w:t>
      </w:r>
      <w:r w:rsidRPr="00781897">
        <w:t xml:space="preserve"> inhibitor</w:t>
      </w:r>
      <w:r w:rsidR="00026AC9">
        <w:t xml:space="preserve"> </w:t>
      </w:r>
      <w:r w:rsidR="00026AC9" w:rsidRPr="00781897">
        <w:t>(SGLT2i)</w:t>
      </w:r>
      <w:r w:rsidR="00026AC9">
        <w:t xml:space="preserve"> and </w:t>
      </w:r>
      <w:r w:rsidR="002C5E06" w:rsidRPr="00781897">
        <w:t>GLP-1 receptor agonist</w:t>
      </w:r>
      <w:r w:rsidRPr="00781897">
        <w:t xml:space="preserve"> </w:t>
      </w:r>
      <w:r w:rsidR="00026AC9" w:rsidRPr="00781897">
        <w:t>(GLP-1RA)</w:t>
      </w:r>
      <w:r w:rsidR="00026AC9">
        <w:t xml:space="preserve"> </w:t>
      </w:r>
      <w:r w:rsidRPr="00781897">
        <w:t>regimens, b) GLP-1</w:t>
      </w:r>
      <w:r w:rsidR="00026AC9">
        <w:t>RA</w:t>
      </w:r>
      <w:r w:rsidRPr="00781897">
        <w:t xml:space="preserve"> regimens without </w:t>
      </w:r>
      <w:r w:rsidR="000D061B" w:rsidRPr="00781897">
        <w:t>SGLT2</w:t>
      </w:r>
      <w:r w:rsidR="00026AC9">
        <w:t>i</w:t>
      </w:r>
      <w:r w:rsidRPr="00781897">
        <w:t xml:space="preserve"> agents, c) </w:t>
      </w:r>
      <w:r w:rsidR="000D061B" w:rsidRPr="00781897">
        <w:t>SGLT2</w:t>
      </w:r>
      <w:r w:rsidR="00026AC9">
        <w:t>i</w:t>
      </w:r>
      <w:r w:rsidRPr="00781897">
        <w:t xml:space="preserve"> regimens without GLP-1</w:t>
      </w:r>
      <w:r w:rsidR="00026AC9">
        <w:t>RA</w:t>
      </w:r>
      <w:r w:rsidRPr="00781897">
        <w:t xml:space="preserve"> agents,</w:t>
      </w:r>
      <w:r w:rsidR="00DF3CEF" w:rsidRPr="00781897">
        <w:t xml:space="preserve"> </w:t>
      </w:r>
      <w:r w:rsidRPr="00781897">
        <w:t>d) other combination regimens</w:t>
      </w:r>
      <w:r w:rsidR="00AB62DE" w:rsidRPr="00781897">
        <w:t xml:space="preserve"> </w:t>
      </w:r>
      <w:r w:rsidR="00C75949" w:rsidRPr="00781897">
        <w:t>excluding GLP-1RA and SGLT2i agents</w:t>
      </w:r>
      <w:r w:rsidRPr="00781897">
        <w:t xml:space="preserve">, e) other monotherapy regimens, </w:t>
      </w:r>
      <w:r w:rsidR="00DF3CEF" w:rsidRPr="00781897">
        <w:t>or</w:t>
      </w:r>
      <w:r w:rsidRPr="00781897">
        <w:t xml:space="preserve"> f) no current exposure.</w:t>
      </w:r>
      <w:r w:rsidR="00094FD0">
        <w:t xml:space="preserve"> </w:t>
      </w:r>
      <w:r w:rsidR="00E55D1E">
        <w:t xml:space="preserve">A full list of the antidiabetic regimens contained within each exposure group </w:t>
      </w:r>
      <w:r w:rsidR="0015195A">
        <w:t>is</w:t>
      </w:r>
      <w:r w:rsidR="00E55D1E">
        <w:t xml:space="preserve"> provided in the Supplement</w:t>
      </w:r>
      <w:r w:rsidR="009429D4">
        <w:t>al Material</w:t>
      </w:r>
      <w:r w:rsidR="00E55D1E">
        <w:t>.</w:t>
      </w:r>
    </w:p>
    <w:p w14:paraId="7D94C157" w14:textId="529A2F80" w:rsidR="003425CC" w:rsidRPr="00781897" w:rsidRDefault="003425CC" w:rsidP="00781897">
      <w:pPr>
        <w:spacing w:line="480" w:lineRule="auto"/>
        <w:contextualSpacing/>
      </w:pPr>
    </w:p>
    <w:p w14:paraId="2A1BD749" w14:textId="77777777" w:rsidR="003425CC" w:rsidRPr="00781897" w:rsidRDefault="003425CC" w:rsidP="00781897">
      <w:pPr>
        <w:spacing w:line="480" w:lineRule="auto"/>
        <w:contextualSpacing/>
        <w:rPr>
          <w:b/>
          <w:bCs/>
        </w:rPr>
      </w:pPr>
    </w:p>
    <w:p w14:paraId="091EDEEB" w14:textId="0C89B571" w:rsidR="003425CC" w:rsidRPr="00781897" w:rsidRDefault="003425CC" w:rsidP="00781897">
      <w:pPr>
        <w:spacing w:line="480" w:lineRule="auto"/>
        <w:contextualSpacing/>
        <w:rPr>
          <w:b/>
          <w:bCs/>
        </w:rPr>
      </w:pPr>
      <w:r w:rsidRPr="00781897">
        <w:rPr>
          <w:b/>
          <w:bCs/>
        </w:rPr>
        <w:t>P</w:t>
      </w:r>
      <w:r w:rsidR="0080063C" w:rsidRPr="00781897">
        <w:rPr>
          <w:b/>
          <w:bCs/>
        </w:rPr>
        <w:t>atient</w:t>
      </w:r>
      <w:r w:rsidRPr="00781897">
        <w:rPr>
          <w:b/>
          <w:bCs/>
        </w:rPr>
        <w:t xml:space="preserve"> </w:t>
      </w:r>
      <w:r w:rsidR="0080063C" w:rsidRPr="00781897">
        <w:rPr>
          <w:b/>
          <w:bCs/>
        </w:rPr>
        <w:t>demographics</w:t>
      </w:r>
      <w:r w:rsidRPr="00781897">
        <w:rPr>
          <w:b/>
          <w:bCs/>
        </w:rPr>
        <w:t xml:space="preserve"> </w:t>
      </w:r>
      <w:r w:rsidR="0080063C" w:rsidRPr="00781897">
        <w:rPr>
          <w:b/>
          <w:bCs/>
        </w:rPr>
        <w:t>and</w:t>
      </w:r>
      <w:r w:rsidRPr="00781897">
        <w:rPr>
          <w:b/>
          <w:bCs/>
        </w:rPr>
        <w:t xml:space="preserve"> </w:t>
      </w:r>
      <w:r w:rsidR="0080063C" w:rsidRPr="00781897">
        <w:rPr>
          <w:b/>
          <w:bCs/>
        </w:rPr>
        <w:t>clinical</w:t>
      </w:r>
      <w:r w:rsidRPr="00781897">
        <w:rPr>
          <w:b/>
          <w:bCs/>
        </w:rPr>
        <w:t xml:space="preserve"> </w:t>
      </w:r>
      <w:r w:rsidR="0080063C" w:rsidRPr="00781897">
        <w:rPr>
          <w:b/>
          <w:bCs/>
        </w:rPr>
        <w:t>characteristics</w:t>
      </w:r>
    </w:p>
    <w:p w14:paraId="6628A4F5" w14:textId="5C7A2EFE" w:rsidR="003425CC" w:rsidRPr="009F71F9" w:rsidRDefault="003425CC" w:rsidP="00781897">
      <w:pPr>
        <w:spacing w:line="480" w:lineRule="auto"/>
        <w:contextualSpacing/>
        <w:rPr>
          <w:u w:val="single"/>
        </w:rPr>
      </w:pPr>
      <w:r w:rsidRPr="00781897">
        <w:t>Patient characteristics</w:t>
      </w:r>
      <w:r w:rsidR="00DB2945">
        <w:t xml:space="preserve"> and prescriptions</w:t>
      </w:r>
      <w:r w:rsidRPr="00781897">
        <w:t xml:space="preserve"> were measured at cohort entry.</w:t>
      </w:r>
      <w:r w:rsidR="006430D4" w:rsidRPr="00781897">
        <w:t xml:space="preserve"> </w:t>
      </w:r>
      <w:r w:rsidR="004637F4" w:rsidRPr="0064727E">
        <w:t>Medical diagnoses were defined as any history of Read codes</w:t>
      </w:r>
      <w:r w:rsidR="00DE2B28">
        <w:t xml:space="preserve"> from primary care or ICD-10 codes from HES</w:t>
      </w:r>
      <w:r w:rsidR="004637F4" w:rsidRPr="0064727E">
        <w:t xml:space="preserve"> before cohort entry</w:t>
      </w:r>
      <w:r w:rsidR="00EC4719">
        <w:t xml:space="preserve">. </w:t>
      </w:r>
      <w:r w:rsidR="00A85C01">
        <w:t>Cardiovascular risk factors</w:t>
      </w:r>
      <w:r w:rsidR="004637F4" w:rsidRPr="0097719B">
        <w:rPr>
          <w:color w:val="000000"/>
        </w:rPr>
        <w:t xml:space="preserve"> (BMI, HbA1c, blood pressure</w:t>
      </w:r>
      <w:r w:rsidR="00A85C01">
        <w:rPr>
          <w:color w:val="000000"/>
        </w:rPr>
        <w:t>, total cholesterol</w:t>
      </w:r>
      <w:r w:rsidR="004637F4">
        <w:rPr>
          <w:color w:val="000000"/>
        </w:rPr>
        <w:t>) were identified from the closest recording</w:t>
      </w:r>
      <w:r w:rsidR="004637F4" w:rsidRPr="0097719B">
        <w:rPr>
          <w:color w:val="000000"/>
        </w:rPr>
        <w:t xml:space="preserve"> up to 3 months before the cohort entry date. Drug </w:t>
      </w:r>
      <w:r w:rsidR="00DB2945">
        <w:rPr>
          <w:color w:val="000000"/>
        </w:rPr>
        <w:t>history</w:t>
      </w:r>
      <w:r w:rsidR="004637F4" w:rsidRPr="0097719B">
        <w:rPr>
          <w:color w:val="000000"/>
        </w:rPr>
        <w:t xml:space="preserve"> </w:t>
      </w:r>
      <w:r w:rsidR="00DB2945">
        <w:rPr>
          <w:color w:val="000000"/>
        </w:rPr>
        <w:t>was</w:t>
      </w:r>
      <w:r w:rsidR="004637F4" w:rsidRPr="0097719B">
        <w:rPr>
          <w:color w:val="000000"/>
        </w:rPr>
        <w:t xml:space="preserve"> defined </w:t>
      </w:r>
      <w:r w:rsidR="00DB2945">
        <w:rPr>
          <w:color w:val="000000"/>
        </w:rPr>
        <w:t xml:space="preserve">as prescriptions </w:t>
      </w:r>
      <w:r w:rsidR="00D14AE4">
        <w:rPr>
          <w:color w:val="000000"/>
        </w:rPr>
        <w:t xml:space="preserve">in the year </w:t>
      </w:r>
      <w:r w:rsidR="004637F4" w:rsidRPr="0097719B">
        <w:rPr>
          <w:color w:val="000000"/>
        </w:rPr>
        <w:t>prior to cohort entry</w:t>
      </w:r>
      <w:r w:rsidR="00D14AE4">
        <w:rPr>
          <w:color w:val="000000"/>
        </w:rPr>
        <w:t xml:space="preserve"> and ever exposure</w:t>
      </w:r>
      <w:r w:rsidR="00066EDA">
        <w:rPr>
          <w:color w:val="000000"/>
        </w:rPr>
        <w:t xml:space="preserve"> of antidiabetics as </w:t>
      </w:r>
      <w:r w:rsidR="006532D2">
        <w:rPr>
          <w:color w:val="000000"/>
        </w:rPr>
        <w:t>all</w:t>
      </w:r>
      <w:r w:rsidR="00066EDA">
        <w:rPr>
          <w:color w:val="000000"/>
        </w:rPr>
        <w:t xml:space="preserve"> prescriptions</w:t>
      </w:r>
      <w:r w:rsidR="00D14AE4">
        <w:rPr>
          <w:color w:val="000000"/>
        </w:rPr>
        <w:t xml:space="preserve"> prior to cohort entry</w:t>
      </w:r>
      <w:r w:rsidR="00D81C30">
        <w:rPr>
          <w:color w:val="000000"/>
        </w:rPr>
        <w:t xml:space="preserve">. </w:t>
      </w:r>
      <w:r w:rsidRPr="00781897">
        <w:t>In CPRD, ethnicity was identified from primary care records using Read codes and through linkage with HES.</w:t>
      </w:r>
      <w:r w:rsidRPr="00781897">
        <w:fldChar w:fldCharType="begin" w:fldLock="1"/>
      </w:r>
      <w:r w:rsidR="002622F3">
        <w:instrText>ADDIN CSL_CITATION {"citationItems":[{"id":"ITEM-1","itemData":{"DOI":"10.2337/dc16-1616","ISSN":"0149-5992","abstract":"OBJECTIVES This study 1) investigated life expectancy and cause-specific mortality rates associated with type 2 diabetes and 2) quantified these relationships in ethnic subgroups.RESEARCH DESIGN AND METHODS This was a cohort study using Clinical Practice Research Datalink data from 383 general practices in England with linked hospitalization and mortality records. A total of 187,968 patients with incident type 2 diabetes from 1998 to 2015 were matched to 908,016 control subjects. Abridged life tables estimated years of life lost, and a competing risk survival model quantified cause-specific hazard ratios (HRs).RESULTS A total of 40,286 deaths occurred in patients with type 2 diabetes. At age 40, white men with diabetes lost 5 years of life and white women lost 6 years compared with those without diabetes. A loss of between 1 and 2 years was observed for South Asian and blacks with diabetes. At age older than 65 years, South Asians with diabetes had up to 1.1 years’ longer life expectancy than South Asians without diabetes. Compared with whites with diabetes, South Asians with diabetes had lower adjusted risks for mortality from cardiovascular (HR 0.82 [95% CI 0.75–0.89]), cancer (HR 0.43 [95% CI 0.36–0.51]), and respiratory diseases (HR 0.60 [95% CI 0.48–0.76]). A similar pattern was observed in blacks with diabetes compared with whites with diabetes.CONCLUSIONS Type 2 diabetes was associated with more years of life lost among whites than among South Asians or blacks, with older South Asians experiencing longer life expectancy compared with South Asians without diabetes. The findings support optimized cardiovascular disease risk factor management, especially in whites with type 2 diabetes.","author":[{"dropping-particle":"","family":"Wright","given":"Alison K","non-dropping-particle":"","parse-names":false,"suffix":""},{"dropping-particle":"","family":"Kontopantelis","given":"Evangelos","non-dropping-particle":"","parse-names":false,"suffix":""},{"dropping-particle":"","family":"Emsley","given":"Richard","non-dropping-particle":"","parse-names":false,"suffix":""},{"dropping-particle":"","family":"Buchan","given":"Iain","non-dropping-particle":"","parse-names":false,"suffix":""},{"dropping-particle":"","family":"Sattar","given":"Naveed","non-dropping-particle":"","parse-names":false,"suffix":""},{"dropping-particle":"","family":"Rutter","given":"Martin K","non-dropping-particle":"","parse-names":false,"suffix":""},{"dropping-particle":"","family":"Ashcroft","given":"Darren M","non-dropping-particle":"","parse-names":false,"suffix":""}],"container-title":"Diabetes Care","id":"ITEM-1","issue":"3","issued":{"date-parts":[["2017"]]},"page":"338-345","title":"Life Expectancy and Cause-Specific Mortality in Type 2 Diabetes: A Population-Based Cohort Study Quantifying Relationships in Ethnic Subgroups","type":"article-journal","volume":"40"},"uris":["http://www.mendeley.com/documents/?uuid=47d40a9b-d66b-4883-92d0-4d44269eb228"]}],"mendeley":{"formattedCitation":"(18)","plainTextFormattedCitation":"(18)","previouslyFormattedCitation":"(18)"},"properties":{"noteIndex":0},"schema":"https://github.com/citation-style-language/schema/raw/master/csl-citation.json"}</w:instrText>
      </w:r>
      <w:r w:rsidRPr="00781897">
        <w:fldChar w:fldCharType="separate"/>
      </w:r>
      <w:r w:rsidR="002622F3" w:rsidRPr="002622F3">
        <w:rPr>
          <w:noProof/>
        </w:rPr>
        <w:t>(18)</w:t>
      </w:r>
      <w:r w:rsidRPr="00781897">
        <w:fldChar w:fldCharType="end"/>
      </w:r>
      <w:r w:rsidRPr="00781897">
        <w:t xml:space="preserve"> In SAIL, ethnicity was identified from primary care records. </w:t>
      </w:r>
      <w:r w:rsidR="00FA1352">
        <w:t>Socio-economic d</w:t>
      </w:r>
      <w:r w:rsidRPr="00781897">
        <w:t>eprivation</w:t>
      </w:r>
      <w:r w:rsidR="003512D6">
        <w:t xml:space="preserve"> </w:t>
      </w:r>
      <w:r w:rsidR="003512D6" w:rsidRPr="00781897">
        <w:t>(</w:t>
      </w:r>
      <w:r w:rsidR="00761C53">
        <w:t xml:space="preserve">2015 English </w:t>
      </w:r>
      <w:r w:rsidR="003512D6" w:rsidRPr="00781897">
        <w:t xml:space="preserve">Index of Multiple Deprivation or </w:t>
      </w:r>
      <w:r w:rsidR="00761C53">
        <w:t xml:space="preserve">2014 </w:t>
      </w:r>
      <w:r w:rsidR="003512D6" w:rsidRPr="00781897">
        <w:t>Welsh Index of Multiple Deprivation [IMD])</w:t>
      </w:r>
      <w:r w:rsidR="00FA1352">
        <w:t>,</w:t>
      </w:r>
      <w:r w:rsidR="00DF2B96">
        <w:t xml:space="preserve"> </w:t>
      </w:r>
      <w:r w:rsidR="001C0CFC">
        <w:t xml:space="preserve">an </w:t>
      </w:r>
      <w:r w:rsidR="00761C53">
        <w:t>aggregate</w:t>
      </w:r>
      <w:r w:rsidR="001C0CFC">
        <w:t>d</w:t>
      </w:r>
      <w:r w:rsidR="00761C53">
        <w:t xml:space="preserve"> area-level measure</w:t>
      </w:r>
      <w:r w:rsidRPr="00781897">
        <w:t xml:space="preserve"> of </w:t>
      </w:r>
      <w:r w:rsidR="00761C53">
        <w:t xml:space="preserve">deprivation domains </w:t>
      </w:r>
      <w:r w:rsidR="001C0CFC">
        <w:t>based on</w:t>
      </w:r>
      <w:r w:rsidR="00761C53">
        <w:t xml:space="preserve"> </w:t>
      </w:r>
      <w:r w:rsidRPr="00781897">
        <w:t xml:space="preserve">the patient’s residential </w:t>
      </w:r>
      <w:r w:rsidR="00761C53">
        <w:t>locality</w:t>
      </w:r>
      <w:r w:rsidRPr="00781897">
        <w:t>, was categorised into quintiles:</w:t>
      </w:r>
      <w:r w:rsidR="008578A3" w:rsidRPr="00781897">
        <w:t xml:space="preserve"> </w:t>
      </w:r>
      <w:r w:rsidRPr="00781897">
        <w:t>1 (least deprived) to</w:t>
      </w:r>
      <w:r w:rsidR="008578A3" w:rsidRPr="00781897">
        <w:t xml:space="preserve"> </w:t>
      </w:r>
      <w:r w:rsidRPr="00781897">
        <w:t xml:space="preserve">5 (most deprived). </w:t>
      </w:r>
    </w:p>
    <w:p w14:paraId="19EEB151" w14:textId="77777777" w:rsidR="0097719B" w:rsidRPr="00781897" w:rsidRDefault="0097719B" w:rsidP="00781897">
      <w:pPr>
        <w:spacing w:line="480" w:lineRule="auto"/>
        <w:contextualSpacing/>
        <w:rPr>
          <w:u w:val="single"/>
        </w:rPr>
      </w:pPr>
    </w:p>
    <w:p w14:paraId="6FBB4864" w14:textId="66835CCD" w:rsidR="003425CC" w:rsidRPr="00781897" w:rsidRDefault="003425CC" w:rsidP="00781897">
      <w:pPr>
        <w:spacing w:line="480" w:lineRule="auto"/>
        <w:contextualSpacing/>
        <w:rPr>
          <w:b/>
          <w:bCs/>
        </w:rPr>
      </w:pPr>
      <w:r w:rsidRPr="00A507C8">
        <w:rPr>
          <w:b/>
          <w:bCs/>
        </w:rPr>
        <w:lastRenderedPageBreak/>
        <w:t>S</w:t>
      </w:r>
      <w:r w:rsidR="0080063C" w:rsidRPr="00A507C8">
        <w:rPr>
          <w:b/>
          <w:bCs/>
        </w:rPr>
        <w:t>tatistical</w:t>
      </w:r>
      <w:r w:rsidRPr="00A507C8">
        <w:rPr>
          <w:b/>
          <w:bCs/>
        </w:rPr>
        <w:t xml:space="preserve"> </w:t>
      </w:r>
      <w:r w:rsidR="0080063C" w:rsidRPr="00A507C8">
        <w:rPr>
          <w:b/>
          <w:bCs/>
        </w:rPr>
        <w:t>analysis</w:t>
      </w:r>
    </w:p>
    <w:p w14:paraId="61490F31" w14:textId="5669AC79" w:rsidR="00DE18E9" w:rsidRPr="00781897" w:rsidRDefault="003425CC" w:rsidP="00781897">
      <w:pPr>
        <w:spacing w:line="480" w:lineRule="auto"/>
        <w:contextualSpacing/>
      </w:pPr>
      <w:r w:rsidRPr="00781897">
        <w:t xml:space="preserve">We </w:t>
      </w:r>
      <w:r w:rsidR="00CD19B6" w:rsidRPr="00781897">
        <w:t>determined the association between</w:t>
      </w:r>
      <w:r w:rsidRPr="00781897">
        <w:t xml:space="preserve"> </w:t>
      </w:r>
      <w:r w:rsidR="0081349B">
        <w:t xml:space="preserve">incident </w:t>
      </w:r>
      <w:r w:rsidR="00FA6376" w:rsidRPr="00781897">
        <w:t>MACCE</w:t>
      </w:r>
      <w:r w:rsidRPr="00781897">
        <w:t xml:space="preserve"> and </w:t>
      </w:r>
      <w:r w:rsidR="0081349B">
        <w:t xml:space="preserve">incident </w:t>
      </w:r>
      <w:r w:rsidRPr="00781897">
        <w:t xml:space="preserve">heart failure with </w:t>
      </w:r>
      <w:r w:rsidR="00CD19B6" w:rsidRPr="00781897">
        <w:t xml:space="preserve">current exposure with </w:t>
      </w:r>
      <w:r w:rsidRPr="00781897">
        <w:t xml:space="preserve">SGLT2i regimens, GLP-1RA regimens, and their combination as compared with other combination regimens. Conditional logistic regression was used to estimate odds ratios </w:t>
      </w:r>
      <w:r w:rsidRPr="00DC6FCC">
        <w:t>and 95% confidence intervals (CI)</w:t>
      </w:r>
      <w:r w:rsidR="00223117" w:rsidRPr="00DC6FCC">
        <w:t>, stratifying on matched sets</w:t>
      </w:r>
      <w:r w:rsidRPr="00DC6FCC">
        <w:t xml:space="preserve">. </w:t>
      </w:r>
      <w:r w:rsidR="0071433E" w:rsidRPr="00DC6FCC">
        <w:t>We adjusted</w:t>
      </w:r>
      <w:r w:rsidRPr="00DC6FCC">
        <w:t xml:space="preserve"> all models </w:t>
      </w:r>
      <w:r w:rsidR="0071433E" w:rsidRPr="00DC6FCC">
        <w:t xml:space="preserve">for </w:t>
      </w:r>
      <w:r w:rsidRPr="00DC6FCC">
        <w:t>the case-control matching factors</w:t>
      </w:r>
      <w:r w:rsidR="00DC6FCC" w:rsidRPr="00DC6FCC">
        <w:t xml:space="preserve"> (age, duration of treated diabetes)</w:t>
      </w:r>
      <w:r w:rsidR="00223117" w:rsidRPr="00DC6FCC">
        <w:t>,</w:t>
      </w:r>
      <w:r w:rsidRPr="00DC6FCC">
        <w:t xml:space="preserve"> clinical characteristics</w:t>
      </w:r>
      <w:r w:rsidR="00DC6FCC" w:rsidRPr="00DC6FCC">
        <w:t xml:space="preserve"> (ethnicity, IMD, microvascular complications, </w:t>
      </w:r>
      <w:proofErr w:type="spellStart"/>
      <w:r w:rsidR="00DC6FCC" w:rsidRPr="00DC6FCC">
        <w:t>Charlson</w:t>
      </w:r>
      <w:proofErr w:type="spellEnd"/>
      <w:r w:rsidR="00DC6FCC" w:rsidRPr="00DC6FCC">
        <w:t xml:space="preserve"> Comorbidity Index, smoking status, BMI, HbA1c, blood pressure, total cholesterol)</w:t>
      </w:r>
      <w:r w:rsidR="0071433E" w:rsidRPr="00DC6FCC">
        <w:t xml:space="preserve"> and drug history</w:t>
      </w:r>
      <w:r w:rsidR="00F077C4">
        <w:t xml:space="preserve">; </w:t>
      </w:r>
      <w:r w:rsidR="00DC6FCC" w:rsidRPr="00DC6FCC">
        <w:t xml:space="preserve">prescriptions for </w:t>
      </w:r>
      <w:r w:rsidR="00DC6FCC">
        <w:t>a</w:t>
      </w:r>
      <w:r w:rsidR="00DC6FCC" w:rsidRPr="00DC6FCC">
        <w:t>ntidiabetic medications, antihypertensive agents, lipid-lowering agents, antiplatelet agents, corticosteroids, NSAIDs and anticoagulants in the year prior to cohort entry, ever exposure of antidiabetic drugs and number of antidiabetic drugs prescribed prior to cohort entry</w:t>
      </w:r>
      <w:r w:rsidR="00221FA2" w:rsidRPr="00DC6FCC">
        <w:t>,</w:t>
      </w:r>
      <w:r w:rsidR="00223117" w:rsidRPr="00DC6FCC">
        <w:t xml:space="preserve"> </w:t>
      </w:r>
      <w:r w:rsidR="00221FA2" w:rsidRPr="00DC6FCC">
        <w:t xml:space="preserve">as detailed in </w:t>
      </w:r>
      <w:r w:rsidR="00DE1F80" w:rsidRPr="00DC6FCC">
        <w:t xml:space="preserve">Supplemental </w:t>
      </w:r>
      <w:r w:rsidRPr="00DC6FCC">
        <w:t>Table</w:t>
      </w:r>
      <w:r w:rsidR="00221FA2" w:rsidRPr="00DC6FCC">
        <w:t>s</w:t>
      </w:r>
      <w:r w:rsidRPr="00DC6FCC">
        <w:t xml:space="preserve"> 1</w:t>
      </w:r>
      <w:r w:rsidR="00221FA2" w:rsidRPr="00DC6FCC">
        <w:t xml:space="preserve"> and 2</w:t>
      </w:r>
      <w:r w:rsidRPr="00DC6FCC">
        <w:t>.</w:t>
      </w:r>
      <w:r w:rsidR="00892CB8" w:rsidRPr="00DC6FCC">
        <w:t xml:space="preserve"> </w:t>
      </w:r>
      <w:r w:rsidRPr="00DC6FCC">
        <w:t>Due to the nature of risk-s</w:t>
      </w:r>
      <w:r w:rsidRPr="00781897">
        <w:t>et sampling, odds ratios generated are unbiased estimators of the hazard ratio</w:t>
      </w:r>
      <w:r w:rsidR="006818A9" w:rsidRPr="00781897">
        <w:t xml:space="preserve"> (HR)</w:t>
      </w:r>
      <w:r w:rsidRPr="00781897">
        <w:t>.</w:t>
      </w:r>
      <w:r w:rsidRPr="00781897">
        <w:fldChar w:fldCharType="begin" w:fldLock="1"/>
      </w:r>
      <w:r w:rsidR="002622F3">
        <w:instrText>ADDIN CSL_CITATION {"citationItems":[{"id":"ITEM-1","itemData":{"author":[{"dropping-particle":"","family":"Suissa","given":"Samy","non-dropping-particle":"","parse-names":false,"suffix":""}],"chapter-number":"48","container-title":"Pharmacoepidemiology","edition":"Fouth","editor":[{"dropping-particle":"","family":"Strom","given":"Brian L.","non-dropping-particle":"","parse-names":false,"suffix":""}],"id":"ITEM-1","issued":{"date-parts":[["2005"]]},"page":"811-829","publisher":"Wiley","title":"Novel Approaches to Pharmacoepidemiology Study Design and Statistical Analysis","type":"chapter"},"uris":["http://www.mendeley.com/documents/?uuid=fb4aed0f-bd87-495f-ba85-a3d26c443a02"]}],"mendeley":{"formattedCitation":"(19)","plainTextFormattedCitation":"(19)","previouslyFormattedCitation":"(19)"},"properties":{"noteIndex":0},"schema":"https://github.com/citation-style-language/schema/raw/master/csl-citation.json"}</w:instrText>
      </w:r>
      <w:r w:rsidRPr="00781897">
        <w:fldChar w:fldCharType="separate"/>
      </w:r>
      <w:r w:rsidR="002622F3" w:rsidRPr="002622F3">
        <w:rPr>
          <w:noProof/>
        </w:rPr>
        <w:t>(19)</w:t>
      </w:r>
      <w:r w:rsidRPr="00781897">
        <w:fldChar w:fldCharType="end"/>
      </w:r>
      <w:r w:rsidRPr="00781897">
        <w:t xml:space="preserve"> Database-specific </w:t>
      </w:r>
      <w:r w:rsidR="00A43383" w:rsidRPr="00781897">
        <w:t xml:space="preserve">study </w:t>
      </w:r>
      <w:r w:rsidRPr="00781897">
        <w:t xml:space="preserve">estimates were pooled using </w:t>
      </w:r>
      <w:proofErr w:type="spellStart"/>
      <w:r w:rsidR="00C171F1" w:rsidRPr="00781897">
        <w:t>DerSimonian</w:t>
      </w:r>
      <w:proofErr w:type="spellEnd"/>
      <w:r w:rsidR="00C171F1" w:rsidRPr="00781897">
        <w:t xml:space="preserve"> and Laird </w:t>
      </w:r>
      <w:r w:rsidRPr="00781897">
        <w:t>random-effects meta-analysis. Between-study heterogeneity was assessed through the I</w:t>
      </w:r>
      <w:r w:rsidRPr="00781897">
        <w:rPr>
          <w:vertAlign w:val="superscript"/>
        </w:rPr>
        <w:t>2</w:t>
      </w:r>
      <w:r w:rsidRPr="00781897">
        <w:t xml:space="preserve"> statistic.</w:t>
      </w:r>
      <w:r w:rsidRPr="00781897">
        <w:fldChar w:fldCharType="begin" w:fldLock="1"/>
      </w:r>
      <w:r w:rsidR="002622F3">
        <w:instrText>ADDIN CSL_CITATION {"citationItems":[{"id":"ITEM-1","itemData":{"DOI":"10.1136/bmj.327.7414.557","ISSN":"0959-8138","author":[{"dropping-particle":"","family":"Higgins","given":"J. P T","non-dropping-particle":"","parse-names":false,"suffix":""}],"container-title":"BMJ","id":"ITEM-1","issue":"7414","issued":{"date-parts":[["2003","9","6"]]},"page":"557-560","title":"Measuring inconsistency in meta-analyses","type":"article-journal","volume":"327"},"uris":["http://www.mendeley.com/documents/?uuid=883b751f-f143-48aa-befd-257ee2963663"]}],"mendeley":{"formattedCitation":"(20)","plainTextFormattedCitation":"(20)","previouslyFormattedCitation":"(20)"},"properties":{"noteIndex":0},"schema":"https://github.com/citation-style-language/schema/raw/master/csl-citation.json"}</w:instrText>
      </w:r>
      <w:r w:rsidRPr="00781897">
        <w:fldChar w:fldCharType="separate"/>
      </w:r>
      <w:r w:rsidR="002622F3" w:rsidRPr="002622F3">
        <w:rPr>
          <w:noProof/>
        </w:rPr>
        <w:t>(20)</w:t>
      </w:r>
      <w:r w:rsidRPr="00781897">
        <w:fldChar w:fldCharType="end"/>
      </w:r>
      <w:r w:rsidRPr="00781897">
        <w:t xml:space="preserve"> A value of 0% indicates no observed heterogeneity.</w:t>
      </w:r>
      <w:r w:rsidRPr="00781897">
        <w:fldChar w:fldCharType="begin" w:fldLock="1"/>
      </w:r>
      <w:r w:rsidR="002622F3">
        <w:instrText>ADDIN CSL_CITATION {"citationItems":[{"id":"ITEM-1","itemData":{"DOI":"10.1136/bmj.327.7414.557","ISSN":"0959-8138","author":[{"dropping-particle":"","family":"Higgins","given":"J. P T","non-dropping-particle":"","parse-names":false,"suffix":""}],"container-title":"BMJ","id":"ITEM-1","issue":"7414","issued":{"date-parts":[["2003","9","6"]]},"page":"557-560","title":"Measuring inconsistency in meta-analyses","type":"article-journal","volume":"327"},"uris":["http://www.mendeley.com/documents/?uuid=883b751f-f143-48aa-befd-257ee2963663"]}],"mendeley":{"formattedCitation":"(20)","plainTextFormattedCitation":"(20)","previouslyFormattedCitation":"(20)"},"properties":{"noteIndex":0},"schema":"https://github.com/citation-style-language/schema/raw/master/csl-citation.json"}</w:instrText>
      </w:r>
      <w:r w:rsidRPr="00781897">
        <w:fldChar w:fldCharType="separate"/>
      </w:r>
      <w:r w:rsidR="002622F3" w:rsidRPr="002622F3">
        <w:rPr>
          <w:noProof/>
        </w:rPr>
        <w:t>(20)</w:t>
      </w:r>
      <w:r w:rsidRPr="00781897">
        <w:fldChar w:fldCharType="end"/>
      </w:r>
      <w:r w:rsidRPr="00781897">
        <w:t xml:space="preserve"> </w:t>
      </w:r>
    </w:p>
    <w:p w14:paraId="4E621F61" w14:textId="77777777" w:rsidR="00C5260B" w:rsidRPr="00781897" w:rsidRDefault="00C5260B" w:rsidP="00781897">
      <w:pPr>
        <w:spacing w:line="480" w:lineRule="auto"/>
      </w:pPr>
    </w:p>
    <w:p w14:paraId="6669D776" w14:textId="0E4CA2FA" w:rsidR="003425CC" w:rsidRPr="00781897" w:rsidRDefault="00A65F8F" w:rsidP="00781897">
      <w:pPr>
        <w:spacing w:line="480" w:lineRule="auto"/>
      </w:pPr>
      <w:r w:rsidRPr="00781897">
        <w:t xml:space="preserve">We conducted </w:t>
      </w:r>
      <w:r w:rsidR="00E46A2B" w:rsidRPr="004357F9">
        <w:t xml:space="preserve">several </w:t>
      </w:r>
      <w:r w:rsidRPr="004357F9">
        <w:t>sensitivity analyses</w:t>
      </w:r>
      <w:r w:rsidR="00C64C45" w:rsidRPr="004357F9">
        <w:t xml:space="preserve"> to assess the robustness of our findings</w:t>
      </w:r>
      <w:r w:rsidRPr="004357F9">
        <w:t xml:space="preserve"> </w:t>
      </w:r>
      <w:r w:rsidR="00D75FEE" w:rsidRPr="004357F9">
        <w:t>including</w:t>
      </w:r>
      <w:r w:rsidR="004357F9" w:rsidRPr="004357F9">
        <w:t>:</w:t>
      </w:r>
      <w:r w:rsidR="00D75FEE" w:rsidRPr="004357F9">
        <w:t xml:space="preserve"> </w:t>
      </w:r>
      <w:r w:rsidR="00A05F05" w:rsidRPr="004357F9">
        <w:t xml:space="preserve">varying the length of the current exposure grace period </w:t>
      </w:r>
      <w:r w:rsidR="004357F9" w:rsidRPr="004357F9">
        <w:t xml:space="preserve">to </w:t>
      </w:r>
      <w:r w:rsidR="00A05F05" w:rsidRPr="004357F9">
        <w:t>30 and 60-days</w:t>
      </w:r>
      <w:r w:rsidR="004357F9" w:rsidRPr="004357F9">
        <w:t>;</w:t>
      </w:r>
      <w:r w:rsidR="00A05F05" w:rsidRPr="004357F9">
        <w:t xml:space="preserve"> excluding people with atrial fibrillation</w:t>
      </w:r>
      <w:r w:rsidR="004357F9" w:rsidRPr="004357F9">
        <w:t xml:space="preserve">; excluding people with chronic kidney disease stage 3+; excluding people with current antidiabetic regimens containing sulphonylureas in the MACCE analysis and regimens containing TZDs and/or DPP-4 inhibitor agents in the heart failure analysis; conducting propensity-matched cohort analyses to examining the risk of MACCE and heart failure associated with SGLT2i regimens and GLP-1RA regimens compared with other combination regimens; </w:t>
      </w:r>
      <w:r w:rsidR="004B7C89">
        <w:t xml:space="preserve">and </w:t>
      </w:r>
      <w:r w:rsidR="004357F9" w:rsidRPr="004357F9">
        <w:t xml:space="preserve">assessing the robustness of observed associations to unmeasured </w:t>
      </w:r>
      <w:r w:rsidR="004357F9" w:rsidRPr="004357F9">
        <w:lastRenderedPageBreak/>
        <w:t xml:space="preserve">confounding through </w:t>
      </w:r>
      <w:r w:rsidR="00D75FEE" w:rsidRPr="004357F9">
        <w:t>calculation of the E-value</w:t>
      </w:r>
      <w:r w:rsidR="00D75FEE" w:rsidRPr="004357F9">
        <w:fldChar w:fldCharType="begin" w:fldLock="1"/>
      </w:r>
      <w:r w:rsidR="002622F3">
        <w:instrText>ADDIN CSL_CITATION {"citationItems":[{"id":"ITEM-1","itemData":{"DOI":"10.7326/M16-2607","ISSN":"0003-4819","author":[{"dropping-particle":"","family":"VanderWeele","given":"Tyler J.","non-dropping-particle":"","parse-names":false,"suffix":""},{"dropping-particle":"","family":"Ding","given":"Peng","non-dropping-particle":"","parse-names":false,"suffix":""}],"container-title":"Annals of Internal Medicine","id":"ITEM-1","issue":"4","issued":{"date-parts":[["2017","8","15"]]},"page":"268","title":"Sensitivity Analysis in Observational Research: Introducing the E-Value","type":"article-journal","volume":"167"},"uris":["http://www.mendeley.com/documents/?uuid=12f8b82d-1b1d-4ed1-a51a-acfe205f018e"]}],"mendeley":{"formattedCitation":"(21)","plainTextFormattedCitation":"(21)","previouslyFormattedCitation":"(21)"},"properties":{"noteIndex":0},"schema":"https://github.com/citation-style-language/schema/raw/master/csl-citation.json"}</w:instrText>
      </w:r>
      <w:r w:rsidR="00D75FEE" w:rsidRPr="004357F9">
        <w:fldChar w:fldCharType="separate"/>
      </w:r>
      <w:r w:rsidR="002622F3" w:rsidRPr="002622F3">
        <w:rPr>
          <w:noProof/>
        </w:rPr>
        <w:t>(21)</w:t>
      </w:r>
      <w:r w:rsidR="00D75FEE" w:rsidRPr="004357F9">
        <w:fldChar w:fldCharType="end"/>
      </w:r>
      <w:r w:rsidR="00D75FEE" w:rsidRPr="004357F9">
        <w:t xml:space="preserve"> </w:t>
      </w:r>
      <w:r w:rsidR="008E5B34" w:rsidRPr="004357F9">
        <w:t>(</w:t>
      </w:r>
      <w:r w:rsidR="0037404A">
        <w:t xml:space="preserve">see the </w:t>
      </w:r>
      <w:r w:rsidR="00410A19" w:rsidRPr="004357F9">
        <w:t xml:space="preserve">Supplemental </w:t>
      </w:r>
      <w:r w:rsidR="0037404A">
        <w:t>Material</w:t>
      </w:r>
      <w:r w:rsidR="008E5B34" w:rsidRPr="004357F9">
        <w:t>)</w:t>
      </w:r>
      <w:r w:rsidR="00BF66EA" w:rsidRPr="004357F9">
        <w:t xml:space="preserve">. </w:t>
      </w:r>
      <w:r w:rsidR="003425CC" w:rsidRPr="004357F9">
        <w:t>Analyses were performed using Stata 1</w:t>
      </w:r>
      <w:r w:rsidR="002C5E06" w:rsidRPr="004357F9">
        <w:t>6</w:t>
      </w:r>
      <w:r w:rsidR="003425CC" w:rsidRPr="004357F9">
        <w:t>.1 (</w:t>
      </w:r>
      <w:proofErr w:type="spellStart"/>
      <w:r w:rsidR="003425CC" w:rsidRPr="004357F9">
        <w:t>StataCorp</w:t>
      </w:r>
      <w:proofErr w:type="spellEnd"/>
      <w:r w:rsidR="003425CC" w:rsidRPr="004357F9">
        <w:t xml:space="preserve"> LP, College Station, TX).</w:t>
      </w:r>
      <w:r w:rsidR="002F37F1" w:rsidRPr="004357F9">
        <w:t xml:space="preserve"> We followed RECORD-PE (</w:t>
      </w:r>
      <w:proofErr w:type="spellStart"/>
      <w:r w:rsidR="002F37F1" w:rsidRPr="004357F9">
        <w:t>REporting</w:t>
      </w:r>
      <w:proofErr w:type="spellEnd"/>
      <w:r w:rsidR="002F37F1" w:rsidRPr="004357F9">
        <w:t xml:space="preserve"> of studies Conducted using Observational Routinely collected health Data for </w:t>
      </w:r>
      <w:proofErr w:type="spellStart"/>
      <w:r w:rsidR="002F37F1" w:rsidRPr="004357F9">
        <w:t>PharmacoEpidemiol</w:t>
      </w:r>
      <w:r w:rsidR="0094694E" w:rsidRPr="004357F9">
        <w:t>ogical</w:t>
      </w:r>
      <w:proofErr w:type="spellEnd"/>
      <w:r w:rsidR="0094694E" w:rsidRPr="00781897">
        <w:t xml:space="preserve"> research</w:t>
      </w:r>
      <w:r w:rsidR="002F37F1" w:rsidRPr="00781897">
        <w:t>) guidance.</w:t>
      </w:r>
      <w:r w:rsidR="00041BE0" w:rsidRPr="00781897">
        <w:fldChar w:fldCharType="begin" w:fldLock="1"/>
      </w:r>
      <w:r w:rsidR="002622F3">
        <w:instrText>ADDIN CSL_CITATION {"citationItems":[{"id":"ITEM-1","itemData":{"DOI":"10.1136/bmj.k3532","ISSN":"0959-8138","author":[{"dropping-particle":"","family":"Langan","given":"Sinéad M","non-dropping-particle":"","parse-names":false,"suffix":""},{"dropping-particle":"","family":"Schmidt","given":"Sigrún AJ","non-dropping-particle":"","parse-names":false,"suffix":""},{"dropping-particle":"","family":"Wing","given":"Kevin","non-dropping-particle":"","parse-names":false,"suffix":""},{"dropping-particle":"","family":"Ehrenstein","given":"Vera","non-dropping-particle":"","parse-names":false,"suffix":""},{"dropping-particle":"","family":"Nicholls","given":"Stuart G","non-dropping-particle":"","parse-names":false,"suffix":""},{"dropping-particle":"","family":"Filion","given":"Kristian B","non-dropping-particle":"","parse-names":false,"suffix":""},{"dropping-particle":"","family":"Klungel","given":"Olaf","non-dropping-particle":"","parse-names":false,"suffix":""},{"dropping-particle":"","family":"Petersen","given":"Irene","non-dropping-particle":"","parse-names":false,"suffix":""},{"dropping-particle":"","family":"Sorensen","given":"Henrik T","non-dropping-particle":"","parse-names":false,"suffix":""},{"dropping-particle":"","family":"Dixon","given":"William G","non-dropping-particle":"","parse-names":false,"suffix":""},{"dropping-particle":"","family":"Guttmann","given":"Astrid","non-dropping-particle":"","parse-names":false,"suffix":""},{"dropping-particle":"","family":"Harron","given":"Katie","non-dropping-particle":"","parse-names":false,"suffix":""},{"dropping-particle":"","family":"Hemkens","given":"Lars G","non-dropping-particle":"","parse-names":false,"suffix":""},{"dropping-particle":"","family":"Moher","given":"David","non-dropping-particle":"","parse-names":false,"suffix":""},{"dropping-particle":"","family":"Schneeweiss","given":"Sebastian","non-dropping-particle":"","parse-names":false,"suffix":""},{"dropping-particle":"","family":"Smeeth","given":"Liam","non-dropping-particle":"","parse-names":false,"suffix":""},{"dropping-particle":"","family":"Sturkenboom","given":"Miriam","non-dropping-particle":"","parse-names":false,"suffix":""},{"dropping-particle":"","family":"Elm","given":"Erik","non-dropping-particle":"von","parse-names":false,"suffix":""},{"dropping-particle":"V","family":"Wang","given":"Shirley","non-dropping-particle":"","parse-names":false,"suffix":""},{"dropping-particle":"","family":"Benchimol","given":"Eric I","non-dropping-particle":"","parse-names":false,"suffix":""}],"container-title":"BMJ","id":"ITEM-1","issued":{"date-parts":[["2018","11","14"]]},"page":"k3532","title":"The reporting of studies conducted using observational routinely collected health data statement for pharmacoepidemiology (RECORD-PE)","type":"article-journal","volume":"363"},"uris":["http://www.mendeley.com/documents/?uuid=d0ce8f61-5d99-4df2-87f0-71f1e2a1bca6"]}],"mendeley":{"formattedCitation":"(22)","plainTextFormattedCitation":"(22)","previouslyFormattedCitation":"(22)"},"properties":{"noteIndex":0},"schema":"https://github.com/citation-style-language/schema/raw/master/csl-citation.json"}</w:instrText>
      </w:r>
      <w:r w:rsidR="00041BE0" w:rsidRPr="00781897">
        <w:fldChar w:fldCharType="separate"/>
      </w:r>
      <w:r w:rsidR="002622F3" w:rsidRPr="002622F3">
        <w:rPr>
          <w:noProof/>
        </w:rPr>
        <w:t>(22)</w:t>
      </w:r>
      <w:r w:rsidR="00041BE0" w:rsidRPr="00781897">
        <w:fldChar w:fldCharType="end"/>
      </w:r>
    </w:p>
    <w:p w14:paraId="03018992" w14:textId="77777777" w:rsidR="0095079E" w:rsidRPr="00781897" w:rsidRDefault="0095079E" w:rsidP="00781897">
      <w:pPr>
        <w:spacing w:line="480" w:lineRule="auto"/>
        <w:contextualSpacing/>
      </w:pPr>
    </w:p>
    <w:p w14:paraId="057BB984" w14:textId="7E6233AC" w:rsidR="003425CC" w:rsidRPr="00781897" w:rsidRDefault="003425CC" w:rsidP="00781897">
      <w:pPr>
        <w:spacing w:line="480" w:lineRule="auto"/>
        <w:contextualSpacing/>
        <w:rPr>
          <w:b/>
        </w:rPr>
      </w:pPr>
      <w:r w:rsidRPr="00781897">
        <w:rPr>
          <w:b/>
        </w:rPr>
        <w:t>RESULTS</w:t>
      </w:r>
    </w:p>
    <w:p w14:paraId="7688A2CA" w14:textId="3977F566" w:rsidR="003425CC" w:rsidRPr="00781897" w:rsidRDefault="003425CC" w:rsidP="00781897">
      <w:pPr>
        <w:spacing w:line="480" w:lineRule="auto"/>
        <w:contextualSpacing/>
        <w:rPr>
          <w:b/>
          <w:bCs/>
        </w:rPr>
      </w:pPr>
      <w:r w:rsidRPr="00781897">
        <w:rPr>
          <w:b/>
          <w:bCs/>
        </w:rPr>
        <w:t>S</w:t>
      </w:r>
      <w:r w:rsidR="0080063C" w:rsidRPr="00781897">
        <w:rPr>
          <w:b/>
          <w:bCs/>
        </w:rPr>
        <w:t>tudy</w:t>
      </w:r>
      <w:r w:rsidRPr="00781897">
        <w:rPr>
          <w:b/>
          <w:bCs/>
        </w:rPr>
        <w:t xml:space="preserve"> </w:t>
      </w:r>
      <w:r w:rsidR="0080063C" w:rsidRPr="00781897">
        <w:rPr>
          <w:b/>
          <w:bCs/>
        </w:rPr>
        <w:t>population</w:t>
      </w:r>
    </w:p>
    <w:p w14:paraId="72DA152B" w14:textId="64C0BE13" w:rsidR="003425CC" w:rsidRPr="00781897" w:rsidRDefault="003425CC" w:rsidP="00781897">
      <w:pPr>
        <w:spacing w:line="480" w:lineRule="auto"/>
        <w:contextualSpacing/>
      </w:pPr>
      <w:r w:rsidRPr="00781897">
        <w:t xml:space="preserve">The cohorts included 440,089 </w:t>
      </w:r>
      <w:r w:rsidR="00B608E7">
        <w:t>people with</w:t>
      </w:r>
      <w:r w:rsidR="00B608E7" w:rsidRPr="00B608E7">
        <w:t xml:space="preserve"> </w:t>
      </w:r>
      <w:r w:rsidR="00B608E7" w:rsidRPr="004849AB">
        <w:t>type 2 diabetes</w:t>
      </w:r>
      <w:r w:rsidRPr="00781897">
        <w:t xml:space="preserve"> (CPRD GOLD n=52,012, CPRD Aurum n=279,985, SAIL n=108,092) </w:t>
      </w:r>
      <w:r w:rsidR="00007CA9" w:rsidRPr="00781897">
        <w:t xml:space="preserve">treated with </w:t>
      </w:r>
      <w:r w:rsidRPr="00781897">
        <w:t xml:space="preserve">non-insulin </w:t>
      </w:r>
      <w:r w:rsidR="005B0B22" w:rsidRPr="00781897">
        <w:t>ADMs</w:t>
      </w:r>
      <w:r w:rsidRPr="00781897">
        <w:t xml:space="preserve">. After excluding those with </w:t>
      </w:r>
      <w:r w:rsidR="00105A32" w:rsidRPr="00781897">
        <w:t>prior</w:t>
      </w:r>
      <w:r w:rsidRPr="00781897">
        <w:t xml:space="preserve"> CVD, </w:t>
      </w:r>
      <w:r w:rsidR="0020448B">
        <w:t xml:space="preserve">the unadjusted incidence rate (IR) of MACCE was </w:t>
      </w:r>
      <w:r w:rsidR="001178EB">
        <w:t>18.1</w:t>
      </w:r>
      <w:r w:rsidR="00193E5D">
        <w:t xml:space="preserve"> </w:t>
      </w:r>
      <w:r w:rsidR="0020448B">
        <w:t xml:space="preserve">per 1,000 person-years of follow-up </w:t>
      </w:r>
      <w:r w:rsidRPr="00781897">
        <w:t xml:space="preserve">(CPRD GOLD </w:t>
      </w:r>
      <w:r w:rsidR="0020448B">
        <w:t>IR</w:t>
      </w:r>
      <w:r w:rsidRPr="00781897">
        <w:t>=</w:t>
      </w:r>
      <w:r w:rsidR="00193E5D">
        <w:t>17.7/</w:t>
      </w:r>
      <w:r w:rsidR="0020448B">
        <w:t>1,000 person-years</w:t>
      </w:r>
      <w:r w:rsidRPr="00781897">
        <w:t xml:space="preserve">, CPRD Aurum </w:t>
      </w:r>
      <w:r w:rsidR="00193E5D">
        <w:t>IR</w:t>
      </w:r>
      <w:r w:rsidRPr="00781897">
        <w:t>=</w:t>
      </w:r>
      <w:r w:rsidR="00FA12F7">
        <w:t>17.9</w:t>
      </w:r>
      <w:r w:rsidR="00193E5D">
        <w:t>/1,000 person-years</w:t>
      </w:r>
      <w:r w:rsidRPr="00781897">
        <w:t xml:space="preserve">, SAIL </w:t>
      </w:r>
      <w:r w:rsidR="00193E5D">
        <w:t>IR</w:t>
      </w:r>
      <w:r w:rsidRPr="00781897">
        <w:t>=</w:t>
      </w:r>
      <w:r w:rsidR="00475FFD">
        <w:t>18.9</w:t>
      </w:r>
      <w:r w:rsidR="00193E5D">
        <w:t>/1,000 person-years</w:t>
      </w:r>
      <w:r w:rsidRPr="00781897">
        <w:t xml:space="preserve">); </w:t>
      </w:r>
      <w:r w:rsidR="00410A19" w:rsidRPr="00781897">
        <w:t xml:space="preserve">Supplemental </w:t>
      </w:r>
      <w:r w:rsidRPr="00781897">
        <w:t>Figure</w:t>
      </w:r>
      <w:r w:rsidR="00DE1F80">
        <w:t xml:space="preserve"> </w:t>
      </w:r>
      <w:r w:rsidR="00643F27">
        <w:t>3</w:t>
      </w:r>
      <w:r w:rsidRPr="00781897">
        <w:t>. After separately excluding those with a history of heart failure</w:t>
      </w:r>
      <w:r w:rsidR="00643F27">
        <w:t xml:space="preserve"> from the study cohorts</w:t>
      </w:r>
      <w:r w:rsidRPr="00781897">
        <w:t xml:space="preserve">, </w:t>
      </w:r>
      <w:r w:rsidR="00FA12F7">
        <w:t xml:space="preserve">the unadjusted IR of heart failure was </w:t>
      </w:r>
      <w:r w:rsidR="001178EB">
        <w:t>13.9</w:t>
      </w:r>
      <w:r w:rsidR="00FA12F7">
        <w:t xml:space="preserve"> per 1,000 person-years of follow-up </w:t>
      </w:r>
      <w:r w:rsidRPr="00781897">
        <w:t xml:space="preserve">(CPRD GOLD </w:t>
      </w:r>
      <w:r w:rsidR="00FA12F7">
        <w:t>IR</w:t>
      </w:r>
      <w:r w:rsidR="00FA12F7" w:rsidRPr="00781897">
        <w:t>=</w:t>
      </w:r>
      <w:r w:rsidR="00E76548">
        <w:t>13.2</w:t>
      </w:r>
      <w:r w:rsidR="00FA12F7">
        <w:t>/1,000 person-years</w:t>
      </w:r>
      <w:r w:rsidRPr="00781897">
        <w:t xml:space="preserve">, CPRD Aurum </w:t>
      </w:r>
      <w:r w:rsidR="00FA12F7">
        <w:t>IR</w:t>
      </w:r>
      <w:r w:rsidR="00FA12F7" w:rsidRPr="00781897">
        <w:t>=</w:t>
      </w:r>
      <w:r w:rsidR="000C462B">
        <w:t>14.4</w:t>
      </w:r>
      <w:r w:rsidR="00FA12F7">
        <w:t>/1,000 person-years</w:t>
      </w:r>
      <w:r w:rsidRPr="00781897">
        <w:t xml:space="preserve">, SAIL </w:t>
      </w:r>
      <w:r w:rsidR="00FA12F7">
        <w:t>IR</w:t>
      </w:r>
      <w:r w:rsidR="00FA12F7" w:rsidRPr="00781897">
        <w:t>=</w:t>
      </w:r>
      <w:r w:rsidR="00475FFD">
        <w:t>13.0</w:t>
      </w:r>
      <w:r w:rsidR="00FA12F7">
        <w:t>/1,000 person-years</w:t>
      </w:r>
      <w:r w:rsidRPr="00781897">
        <w:t xml:space="preserve">); </w:t>
      </w:r>
      <w:r w:rsidR="00410A19" w:rsidRPr="00781897">
        <w:t xml:space="preserve">Supplemental </w:t>
      </w:r>
      <w:r w:rsidRPr="00781897">
        <w:t>Figure</w:t>
      </w:r>
      <w:r w:rsidR="00643F27">
        <w:t xml:space="preserve"> 4</w:t>
      </w:r>
      <w:r w:rsidRPr="00781897">
        <w:t>.</w:t>
      </w:r>
      <w:r w:rsidR="00FD5BAF" w:rsidRPr="00781897">
        <w:t xml:space="preserve"> </w:t>
      </w:r>
    </w:p>
    <w:p w14:paraId="336B0124" w14:textId="77777777" w:rsidR="003425CC" w:rsidRPr="00781897" w:rsidRDefault="003425CC" w:rsidP="00781897">
      <w:pPr>
        <w:spacing w:line="480" w:lineRule="auto"/>
        <w:contextualSpacing/>
      </w:pPr>
    </w:p>
    <w:p w14:paraId="17036B4D" w14:textId="31A5015C" w:rsidR="000465BD" w:rsidRPr="00781897" w:rsidRDefault="000465BD" w:rsidP="00781897">
      <w:pPr>
        <w:spacing w:line="480" w:lineRule="auto"/>
        <w:contextualSpacing/>
      </w:pPr>
      <w:r w:rsidRPr="00781897">
        <w:t xml:space="preserve">For the primary endpoint (MACCE), cases were more likely than controls to be: White, living in deprived areas, smokers and have diabetes-related microvascular complications, other comorbidities, and prescriptions for antidiabetic medications, antihypertensives, statins and antiplatelets; </w:t>
      </w:r>
      <w:r w:rsidR="00016C1A" w:rsidRPr="00781897">
        <w:t xml:space="preserve">Supplemental </w:t>
      </w:r>
      <w:r w:rsidRPr="00781897">
        <w:t xml:space="preserve">Table 1. Clinical characteristics for the heart failure cohorts are provided in </w:t>
      </w:r>
      <w:r w:rsidR="00410A19" w:rsidRPr="00781897">
        <w:t xml:space="preserve">Supplemental </w:t>
      </w:r>
      <w:r w:rsidRPr="00781897">
        <w:t xml:space="preserve">Table </w:t>
      </w:r>
      <w:r w:rsidR="00016C1A">
        <w:t>2</w:t>
      </w:r>
      <w:r w:rsidRPr="00781897">
        <w:t>. Heart failure cases were more likely than controls to be older, White, more deprived, smokers, have co-existing conditions (CVD, microvascular complications) and more comorbidities. A higher proportion of cases had prescriptions for multiple ADMs, antihypertensive agents, statins, antiplatelets and anticoagulants.</w:t>
      </w:r>
    </w:p>
    <w:p w14:paraId="4C273404" w14:textId="77777777" w:rsidR="000465BD" w:rsidRPr="00781897" w:rsidRDefault="000465BD" w:rsidP="00781897">
      <w:pPr>
        <w:spacing w:line="480" w:lineRule="auto"/>
        <w:contextualSpacing/>
      </w:pPr>
    </w:p>
    <w:p w14:paraId="49CEEBC2" w14:textId="0D999D6B" w:rsidR="003425CC" w:rsidRPr="00781897" w:rsidRDefault="000D061B" w:rsidP="00781897">
      <w:pPr>
        <w:spacing w:line="480" w:lineRule="auto"/>
        <w:contextualSpacing/>
        <w:rPr>
          <w:b/>
          <w:bCs/>
        </w:rPr>
      </w:pPr>
      <w:r w:rsidRPr="00781897">
        <w:rPr>
          <w:b/>
          <w:bCs/>
        </w:rPr>
        <w:t>SGLT2</w:t>
      </w:r>
      <w:r w:rsidR="003425CC" w:rsidRPr="00781897">
        <w:rPr>
          <w:b/>
          <w:bCs/>
        </w:rPr>
        <w:t xml:space="preserve"> </w:t>
      </w:r>
      <w:r w:rsidR="0080063C" w:rsidRPr="00781897">
        <w:rPr>
          <w:b/>
          <w:bCs/>
        </w:rPr>
        <w:t>inhibitor</w:t>
      </w:r>
      <w:r w:rsidR="003425CC" w:rsidRPr="00781897">
        <w:rPr>
          <w:b/>
          <w:bCs/>
        </w:rPr>
        <w:t xml:space="preserve"> </w:t>
      </w:r>
      <w:r w:rsidR="0080063C" w:rsidRPr="00781897">
        <w:rPr>
          <w:b/>
          <w:bCs/>
        </w:rPr>
        <w:t>and</w:t>
      </w:r>
      <w:r w:rsidR="003425CC" w:rsidRPr="00781897">
        <w:rPr>
          <w:b/>
          <w:bCs/>
        </w:rPr>
        <w:t xml:space="preserve"> GLP-1 </w:t>
      </w:r>
      <w:r w:rsidR="0080063C" w:rsidRPr="00781897">
        <w:rPr>
          <w:b/>
          <w:bCs/>
        </w:rPr>
        <w:t>receptor</w:t>
      </w:r>
      <w:r w:rsidR="003425CC" w:rsidRPr="00781897">
        <w:rPr>
          <w:b/>
          <w:bCs/>
        </w:rPr>
        <w:t xml:space="preserve"> </w:t>
      </w:r>
      <w:r w:rsidR="0080063C" w:rsidRPr="00781897">
        <w:rPr>
          <w:b/>
          <w:bCs/>
        </w:rPr>
        <w:t>agonist</w:t>
      </w:r>
      <w:r w:rsidR="003425CC" w:rsidRPr="00781897">
        <w:rPr>
          <w:b/>
          <w:bCs/>
        </w:rPr>
        <w:t xml:space="preserve"> </w:t>
      </w:r>
      <w:r w:rsidR="0080063C" w:rsidRPr="00781897">
        <w:rPr>
          <w:b/>
          <w:bCs/>
        </w:rPr>
        <w:t>regimens</w:t>
      </w:r>
      <w:r w:rsidR="003425CC" w:rsidRPr="00781897">
        <w:rPr>
          <w:b/>
          <w:bCs/>
        </w:rPr>
        <w:t xml:space="preserve"> </w:t>
      </w:r>
      <w:r w:rsidR="0080063C" w:rsidRPr="00781897">
        <w:rPr>
          <w:b/>
          <w:bCs/>
        </w:rPr>
        <w:t>and</w:t>
      </w:r>
      <w:r w:rsidR="003425CC" w:rsidRPr="00781897">
        <w:rPr>
          <w:b/>
          <w:bCs/>
        </w:rPr>
        <w:t xml:space="preserve"> </w:t>
      </w:r>
      <w:r w:rsidR="00FA6376" w:rsidRPr="00781897">
        <w:rPr>
          <w:b/>
          <w:bCs/>
        </w:rPr>
        <w:t>MACCE</w:t>
      </w:r>
      <w:r w:rsidR="003425CC" w:rsidRPr="00781897">
        <w:rPr>
          <w:b/>
          <w:bCs/>
        </w:rPr>
        <w:t xml:space="preserve"> </w:t>
      </w:r>
    </w:p>
    <w:p w14:paraId="22375715" w14:textId="26F63481" w:rsidR="003425CC" w:rsidRPr="00781897" w:rsidRDefault="009C7BA0" w:rsidP="00781897">
      <w:pPr>
        <w:spacing w:line="480" w:lineRule="auto"/>
        <w:contextualSpacing/>
        <w:rPr>
          <w:b/>
          <w:bCs/>
        </w:rPr>
      </w:pPr>
      <w:r w:rsidRPr="00781897">
        <w:t>Of</w:t>
      </w:r>
      <w:r w:rsidR="003425CC" w:rsidRPr="00781897">
        <w:t xml:space="preserve"> the </w:t>
      </w:r>
      <w:r w:rsidRPr="00781897">
        <w:t xml:space="preserve">final cohort of </w:t>
      </w:r>
      <w:r w:rsidR="003425CC" w:rsidRPr="00781897">
        <w:t xml:space="preserve">18,490 </w:t>
      </w:r>
      <w:r w:rsidR="00FA6376" w:rsidRPr="00781897">
        <w:t>MACCE</w:t>
      </w:r>
      <w:r w:rsidR="003425CC" w:rsidRPr="00781897">
        <w:t xml:space="preserve"> </w:t>
      </w:r>
      <w:r w:rsidRPr="00781897">
        <w:t>cases</w:t>
      </w:r>
      <w:r w:rsidR="003425CC" w:rsidRPr="00781897">
        <w:t xml:space="preserve">, </w:t>
      </w:r>
      <w:r w:rsidR="00E37BF9">
        <w:t>599</w:t>
      </w:r>
      <w:r w:rsidR="00E37BF9" w:rsidRPr="00781897">
        <w:t xml:space="preserve"> </w:t>
      </w:r>
      <w:r w:rsidR="003425CC" w:rsidRPr="00781897">
        <w:t>(</w:t>
      </w:r>
      <w:r w:rsidR="00E37BF9">
        <w:t>3.2</w:t>
      </w:r>
      <w:r w:rsidR="003425CC" w:rsidRPr="00781897">
        <w:t xml:space="preserve">%) were users of SGLT2i regimens, </w:t>
      </w:r>
      <w:r w:rsidR="00E37BF9">
        <w:t>469</w:t>
      </w:r>
      <w:r w:rsidR="00E37BF9" w:rsidRPr="00781897">
        <w:t xml:space="preserve"> </w:t>
      </w:r>
      <w:r w:rsidR="003425CC" w:rsidRPr="00781897">
        <w:t>(</w:t>
      </w:r>
      <w:r w:rsidR="00E37BF9">
        <w:t>2.5</w:t>
      </w:r>
      <w:r w:rsidR="003425CC" w:rsidRPr="00781897">
        <w:t xml:space="preserve">%) GLP-1RA regimen users, </w:t>
      </w:r>
      <w:r w:rsidR="003D524C">
        <w:t>53</w:t>
      </w:r>
      <w:r w:rsidR="003D524C" w:rsidRPr="00781897">
        <w:t xml:space="preserve"> </w:t>
      </w:r>
      <w:r w:rsidR="003425CC" w:rsidRPr="00781897">
        <w:t>(0</w:t>
      </w:r>
      <w:r w:rsidR="00F10B84" w:rsidRPr="00781897">
        <w:t>.</w:t>
      </w:r>
      <w:r w:rsidR="003D524C">
        <w:t>3</w:t>
      </w:r>
      <w:r w:rsidR="003425CC" w:rsidRPr="00781897">
        <w:t xml:space="preserve">%) were using a combination of SGLT2i and GLP-1RA and </w:t>
      </w:r>
      <w:r w:rsidR="003D524C">
        <w:t>4,893</w:t>
      </w:r>
      <w:r w:rsidR="003425CC" w:rsidRPr="00781897">
        <w:t xml:space="preserve"> </w:t>
      </w:r>
      <w:r w:rsidR="003D524C">
        <w:t>26.5</w:t>
      </w:r>
      <w:r w:rsidR="003425CC" w:rsidRPr="00781897">
        <w:t xml:space="preserve">%) were users of other combination regimens; Table </w:t>
      </w:r>
      <w:r w:rsidR="00046A93">
        <w:t>1</w:t>
      </w:r>
      <w:r w:rsidR="003425CC" w:rsidRPr="00781897">
        <w:t>.</w:t>
      </w:r>
      <w:r w:rsidR="008B1633" w:rsidRPr="00781897">
        <w:t xml:space="preserve"> </w:t>
      </w:r>
      <w:r w:rsidR="00320814">
        <w:t>The remaining patients were users of other monotherapy regimens (43</w:t>
      </w:r>
      <w:r w:rsidR="00F76E98">
        <w:t>.</w:t>
      </w:r>
      <w:r w:rsidR="00D45CD6">
        <w:t>1</w:t>
      </w:r>
      <w:r w:rsidR="00320814">
        <w:t xml:space="preserve">%) or </w:t>
      </w:r>
      <w:r w:rsidR="009D238A">
        <w:t xml:space="preserve">were </w:t>
      </w:r>
      <w:r w:rsidR="00320814">
        <w:t xml:space="preserve">not </w:t>
      </w:r>
      <w:r w:rsidR="00F76E98">
        <w:t>on a current ADM regimen</w:t>
      </w:r>
      <w:r w:rsidR="00AA482C">
        <w:t xml:space="preserve"> at the time of the MACCE event</w:t>
      </w:r>
      <w:r w:rsidR="009D238A">
        <w:t xml:space="preserve"> (</w:t>
      </w:r>
      <w:r w:rsidR="00D45CD6">
        <w:t>24.4</w:t>
      </w:r>
      <w:r w:rsidR="00320814">
        <w:t xml:space="preserve">%). </w:t>
      </w:r>
      <w:r w:rsidR="00410A19" w:rsidRPr="00781897">
        <w:t xml:space="preserve">Supplemental </w:t>
      </w:r>
      <w:r w:rsidR="00D4666F" w:rsidRPr="00781897">
        <w:t xml:space="preserve">Tables </w:t>
      </w:r>
      <w:r w:rsidR="00651E42">
        <w:t>3</w:t>
      </w:r>
      <w:r w:rsidR="00D4666F" w:rsidRPr="00781897">
        <w:t>-</w:t>
      </w:r>
      <w:r w:rsidR="00651E42">
        <w:t>5</w:t>
      </w:r>
      <w:r w:rsidR="00651E42" w:rsidRPr="00781897">
        <w:t xml:space="preserve"> </w:t>
      </w:r>
      <w:r w:rsidR="00652731" w:rsidRPr="00781897">
        <w:t>provide database</w:t>
      </w:r>
      <w:r w:rsidR="00A7030A" w:rsidRPr="00781897">
        <w:t>-</w:t>
      </w:r>
      <w:r w:rsidR="00652731" w:rsidRPr="00781897">
        <w:t>specific</w:t>
      </w:r>
      <w:r w:rsidR="008B1633" w:rsidRPr="00781897">
        <w:t xml:space="preserve"> clinical characteristics of people on each </w:t>
      </w:r>
      <w:r w:rsidR="00046A93">
        <w:t xml:space="preserve">current </w:t>
      </w:r>
      <w:r w:rsidR="008B1633" w:rsidRPr="00781897">
        <w:t>antidiabetic</w:t>
      </w:r>
      <w:r w:rsidR="00652731" w:rsidRPr="00781897">
        <w:t xml:space="preserve"> regimen</w:t>
      </w:r>
      <w:r w:rsidR="00046A93">
        <w:t xml:space="preserve"> exposure group</w:t>
      </w:r>
      <w:r w:rsidR="007A0C2C" w:rsidRPr="00781897">
        <w:t>.</w:t>
      </w:r>
      <w:r w:rsidR="00651E42">
        <w:t xml:space="preserve"> </w:t>
      </w:r>
      <w:r w:rsidR="00194956">
        <w:t xml:space="preserve">Across all the current exposure regimens, metformin was the most commonly </w:t>
      </w:r>
      <w:r w:rsidR="00CF2812">
        <w:t>prescribed</w:t>
      </w:r>
      <w:r w:rsidR="00194956">
        <w:t xml:space="preserve"> other antidi</w:t>
      </w:r>
      <w:r w:rsidR="00DC1AB6">
        <w:t>a</w:t>
      </w:r>
      <w:r w:rsidR="00194956">
        <w:t>b</w:t>
      </w:r>
      <w:r w:rsidR="00DC1AB6">
        <w:t>e</w:t>
      </w:r>
      <w:r w:rsidR="00194956">
        <w:t>tic agent</w:t>
      </w:r>
      <w:r w:rsidR="00651E42">
        <w:t xml:space="preserve"> </w:t>
      </w:r>
      <w:r w:rsidR="00194956">
        <w:t>(~</w:t>
      </w:r>
      <w:r w:rsidR="004C12FB">
        <w:t>85</w:t>
      </w:r>
      <w:r w:rsidR="00194956">
        <w:t xml:space="preserve">% in SGLT2i, GLP-1RA and combined SGLT2i/GLP-1RA regimens; </w:t>
      </w:r>
      <w:r w:rsidR="004C12FB">
        <w:t>92</w:t>
      </w:r>
      <w:r w:rsidR="00194956">
        <w:t xml:space="preserve">% in other combination regimens; </w:t>
      </w:r>
      <w:r w:rsidR="004C12FB">
        <w:t>84</w:t>
      </w:r>
      <w:r w:rsidR="00194956">
        <w:t>% in other monotherapy regimens). Exposure to sulphonylureas was more common in other combination regimens compared with the SGLT2i, GLP-1RA and combined SGLT2i/GLP-1RA regimens (</w:t>
      </w:r>
      <w:r w:rsidR="009460D0">
        <w:t>72</w:t>
      </w:r>
      <w:r w:rsidR="00194956">
        <w:t xml:space="preserve">% vs. </w:t>
      </w:r>
      <w:r w:rsidR="009460D0">
        <w:t>30</w:t>
      </w:r>
      <w:r w:rsidR="008433C0">
        <w:t>-47</w:t>
      </w:r>
      <w:r w:rsidR="00194956">
        <w:t xml:space="preserve">%). </w:t>
      </w:r>
      <w:r w:rsidR="00425488">
        <w:t xml:space="preserve">DPP-4 inhibitors were largely observed in the SGLT2i regimens and other combination regimens. </w:t>
      </w:r>
      <w:r w:rsidR="00194956">
        <w:t xml:space="preserve">In </w:t>
      </w:r>
      <w:r w:rsidR="00DC1AB6">
        <w:t>SGLT2i, GLP-1RA and other combination</w:t>
      </w:r>
      <w:r w:rsidR="00194956">
        <w:t xml:space="preserve"> exposure groups, regimens primarily consisted of </w:t>
      </w:r>
      <w:r w:rsidR="00DD62E9">
        <w:t>2 or 3 different antidiabetic agents.</w:t>
      </w:r>
      <w:r w:rsidR="00DC1AB6">
        <w:t xml:space="preserve"> </w:t>
      </w:r>
      <w:r w:rsidR="0074655E">
        <w:t>People in the combined SGLT2i/GLP-1RA regimens exposure groups were more likely to be currently exposed to 3 or more different agents.</w:t>
      </w:r>
    </w:p>
    <w:p w14:paraId="40147FCB" w14:textId="77777777" w:rsidR="003425CC" w:rsidRPr="00781897" w:rsidRDefault="003425CC" w:rsidP="00781897">
      <w:pPr>
        <w:spacing w:line="480" w:lineRule="auto"/>
        <w:contextualSpacing/>
      </w:pPr>
    </w:p>
    <w:p w14:paraId="6D776D4E" w14:textId="4510A85F" w:rsidR="003425CC" w:rsidRPr="00781897" w:rsidRDefault="003425CC" w:rsidP="00781897">
      <w:pPr>
        <w:spacing w:line="480" w:lineRule="auto"/>
        <w:contextualSpacing/>
      </w:pPr>
      <w:r w:rsidRPr="00781897">
        <w:t xml:space="preserve">In people without prior CVD, treatment with a SGLT2i regimen was associated with lower </w:t>
      </w:r>
      <w:r w:rsidR="009C7BA0" w:rsidRPr="00781897">
        <w:t>odds</w:t>
      </w:r>
      <w:r w:rsidRPr="00781897">
        <w:t xml:space="preserve"> of </w:t>
      </w:r>
      <w:r w:rsidR="00FA6376" w:rsidRPr="00781897">
        <w:t>MACCE</w:t>
      </w:r>
      <w:r w:rsidRPr="00781897">
        <w:t xml:space="preserve">, when compared to other combination regimens; adjusted pooled </w:t>
      </w:r>
      <w:r w:rsidR="00FD79D3" w:rsidRPr="00781897">
        <w:t>odds ratio</w:t>
      </w:r>
      <w:r w:rsidRPr="00781897">
        <w:t xml:space="preserve"> 0</w:t>
      </w:r>
      <w:r w:rsidR="00F10B84" w:rsidRPr="00781897">
        <w:t>.</w:t>
      </w:r>
      <w:r w:rsidR="000B7D72">
        <w:t>82</w:t>
      </w:r>
      <w:r w:rsidR="000B7D72" w:rsidRPr="00781897">
        <w:t xml:space="preserve"> </w:t>
      </w:r>
      <w:r w:rsidRPr="00781897">
        <w:t>(95% CI 0</w:t>
      </w:r>
      <w:r w:rsidR="00F10B84" w:rsidRPr="00781897">
        <w:t>.</w:t>
      </w:r>
      <w:r w:rsidR="000B7D72">
        <w:t>73</w:t>
      </w:r>
      <w:r w:rsidR="002B006D" w:rsidRPr="00781897">
        <w:t>-</w:t>
      </w:r>
      <w:r w:rsidRPr="00781897">
        <w:t>0</w:t>
      </w:r>
      <w:r w:rsidR="00F10B84" w:rsidRPr="00781897">
        <w:t>.</w:t>
      </w:r>
      <w:r w:rsidR="000B7D72">
        <w:t>92</w:t>
      </w:r>
      <w:r w:rsidRPr="00781897">
        <w:t xml:space="preserve">), whereas treatment with a GLP-1RA regimen was not associated with </w:t>
      </w:r>
      <w:r w:rsidR="009C7BA0" w:rsidRPr="00781897">
        <w:t xml:space="preserve">significantly </w:t>
      </w:r>
      <w:r w:rsidRPr="00781897">
        <w:t xml:space="preserve">lower </w:t>
      </w:r>
      <w:r w:rsidR="009C7BA0" w:rsidRPr="00781897">
        <w:t xml:space="preserve">odds of </w:t>
      </w:r>
      <w:r w:rsidR="00FA6376" w:rsidRPr="00781897">
        <w:t>MACCE</w:t>
      </w:r>
      <w:r w:rsidRPr="00781897">
        <w:t xml:space="preserve">; pooled </w:t>
      </w:r>
      <w:r w:rsidR="00FD79D3" w:rsidRPr="00781897">
        <w:t>odds ratio</w:t>
      </w:r>
      <w:r w:rsidRPr="00781897">
        <w:t xml:space="preserve"> 0</w:t>
      </w:r>
      <w:r w:rsidR="00F10B84" w:rsidRPr="00781897">
        <w:t>.</w:t>
      </w:r>
      <w:r w:rsidR="000B7D72">
        <w:t>93</w:t>
      </w:r>
      <w:r w:rsidR="000B7D72" w:rsidRPr="00781897">
        <w:t xml:space="preserve"> </w:t>
      </w:r>
      <w:r w:rsidRPr="00781897">
        <w:t>(</w:t>
      </w:r>
      <w:r w:rsidR="00FD4A5F" w:rsidRPr="00781897">
        <w:t>95% CI</w:t>
      </w:r>
      <w:r w:rsidRPr="00781897">
        <w:t xml:space="preserve"> 0</w:t>
      </w:r>
      <w:r w:rsidR="00F10B84" w:rsidRPr="00781897">
        <w:t>.</w:t>
      </w:r>
      <w:r w:rsidR="000B7D72">
        <w:t>81</w:t>
      </w:r>
      <w:r w:rsidR="002B006D" w:rsidRPr="00781897">
        <w:t>-</w:t>
      </w:r>
      <w:r w:rsidRPr="00781897">
        <w:t>1</w:t>
      </w:r>
      <w:r w:rsidR="00F10B84" w:rsidRPr="00781897">
        <w:t>.</w:t>
      </w:r>
      <w:r w:rsidR="000B7D72">
        <w:t>06</w:t>
      </w:r>
      <w:r w:rsidRPr="00781897">
        <w:t>)</w:t>
      </w:r>
      <w:r w:rsidR="008B1633" w:rsidRPr="00781897">
        <w:t xml:space="preserve">; </w:t>
      </w:r>
      <w:r w:rsidRPr="00781897">
        <w:t xml:space="preserve">Figure </w:t>
      </w:r>
      <w:r w:rsidR="006651A4">
        <w:t>2</w:t>
      </w:r>
      <w:r w:rsidRPr="00781897">
        <w:t xml:space="preserve">. The combined SGLT2i and GLP-1RA regimen was associated with </w:t>
      </w:r>
      <w:r w:rsidR="000B7D72">
        <w:t>30</w:t>
      </w:r>
      <w:r w:rsidR="00C807B3" w:rsidRPr="00781897">
        <w:t>% lower odds</w:t>
      </w:r>
      <w:r w:rsidRPr="00781897">
        <w:t xml:space="preserve"> of </w:t>
      </w:r>
      <w:r w:rsidR="00FA6376" w:rsidRPr="00781897">
        <w:t>MACCE</w:t>
      </w:r>
      <w:r w:rsidRPr="00781897">
        <w:t xml:space="preserve">, compared with other combination </w:t>
      </w:r>
      <w:r w:rsidR="00FD4A5F" w:rsidRPr="00781897">
        <w:t>regimens:</w:t>
      </w:r>
      <w:r w:rsidRPr="00781897">
        <w:t xml:space="preserve"> 0</w:t>
      </w:r>
      <w:r w:rsidR="00F10B84" w:rsidRPr="00781897">
        <w:t>.</w:t>
      </w:r>
      <w:r w:rsidR="000B7D72">
        <w:t>70</w:t>
      </w:r>
      <w:r w:rsidR="000B7D72" w:rsidRPr="00781897">
        <w:t xml:space="preserve"> </w:t>
      </w:r>
      <w:r w:rsidRPr="00781897">
        <w:t>(</w:t>
      </w:r>
      <w:r w:rsidR="00FD4A5F" w:rsidRPr="00781897">
        <w:t>95% CI</w:t>
      </w:r>
      <w:r w:rsidR="000C2D0F" w:rsidRPr="00781897">
        <w:t xml:space="preserve"> </w:t>
      </w:r>
      <w:r w:rsidRPr="00781897">
        <w:t>0</w:t>
      </w:r>
      <w:r w:rsidR="00F10B84" w:rsidRPr="00781897">
        <w:t>.</w:t>
      </w:r>
      <w:r w:rsidR="000B7D72">
        <w:t>50</w:t>
      </w:r>
      <w:r w:rsidR="002B006D" w:rsidRPr="00781897">
        <w:t>-</w:t>
      </w:r>
      <w:r w:rsidRPr="00781897">
        <w:t>0</w:t>
      </w:r>
      <w:r w:rsidR="00F10B84" w:rsidRPr="00781897">
        <w:t>.</w:t>
      </w:r>
      <w:r w:rsidR="000B7D72">
        <w:t>98</w:t>
      </w:r>
      <w:r w:rsidRPr="00781897">
        <w:t>)</w:t>
      </w:r>
      <w:r w:rsidR="008B1633" w:rsidRPr="00781897">
        <w:t xml:space="preserve">; </w:t>
      </w:r>
      <w:r w:rsidRPr="00781897">
        <w:t xml:space="preserve">Figure </w:t>
      </w:r>
      <w:r w:rsidR="006651A4">
        <w:t>2</w:t>
      </w:r>
      <w:r w:rsidRPr="00781897">
        <w:t>.</w:t>
      </w:r>
    </w:p>
    <w:p w14:paraId="6E9B0828" w14:textId="1C5BA9CE" w:rsidR="00F97BD9" w:rsidRDefault="00A90159" w:rsidP="00781897">
      <w:pPr>
        <w:spacing w:line="480" w:lineRule="auto"/>
        <w:contextualSpacing/>
      </w:pPr>
      <w:r>
        <w:lastRenderedPageBreak/>
        <w:t xml:space="preserve">Supplemental Figure 5 reports the estimates for individual components of MACCE. </w:t>
      </w:r>
      <w:r w:rsidR="00DE407F">
        <w:t>The MACCE risks were largely driven by reductions</w:t>
      </w:r>
      <w:r w:rsidR="003C39F8">
        <w:t xml:space="preserve"> </w:t>
      </w:r>
      <w:r w:rsidR="00CF2812">
        <w:t xml:space="preserve">in </w:t>
      </w:r>
      <w:r w:rsidR="003C39F8">
        <w:t>risk for</w:t>
      </w:r>
      <w:r w:rsidR="00DE407F">
        <w:t xml:space="preserve"> myocardial infarction.</w:t>
      </w:r>
    </w:p>
    <w:p w14:paraId="0C8B743D" w14:textId="77777777" w:rsidR="00A90159" w:rsidRPr="00781897" w:rsidRDefault="00A90159" w:rsidP="00781897">
      <w:pPr>
        <w:spacing w:line="480" w:lineRule="auto"/>
        <w:contextualSpacing/>
      </w:pPr>
    </w:p>
    <w:p w14:paraId="0A0A77D6" w14:textId="031EA389" w:rsidR="003425CC" w:rsidRPr="00781897" w:rsidRDefault="000D061B" w:rsidP="00781897">
      <w:pPr>
        <w:spacing w:line="480" w:lineRule="auto"/>
        <w:contextualSpacing/>
        <w:rPr>
          <w:b/>
          <w:bCs/>
        </w:rPr>
      </w:pPr>
      <w:r w:rsidRPr="00781897">
        <w:rPr>
          <w:b/>
          <w:bCs/>
        </w:rPr>
        <w:t>SGLT2</w:t>
      </w:r>
      <w:r w:rsidR="003425CC" w:rsidRPr="00781897">
        <w:rPr>
          <w:b/>
          <w:bCs/>
        </w:rPr>
        <w:t xml:space="preserve"> </w:t>
      </w:r>
      <w:r w:rsidR="00672721" w:rsidRPr="00781897">
        <w:rPr>
          <w:b/>
          <w:bCs/>
        </w:rPr>
        <w:t>inhibitor</w:t>
      </w:r>
      <w:r w:rsidR="003425CC" w:rsidRPr="00781897">
        <w:rPr>
          <w:b/>
          <w:bCs/>
        </w:rPr>
        <w:t xml:space="preserve"> </w:t>
      </w:r>
      <w:r w:rsidR="00672721" w:rsidRPr="00781897">
        <w:rPr>
          <w:b/>
          <w:bCs/>
        </w:rPr>
        <w:t>and</w:t>
      </w:r>
      <w:r w:rsidR="003425CC" w:rsidRPr="00781897">
        <w:rPr>
          <w:b/>
          <w:bCs/>
        </w:rPr>
        <w:t xml:space="preserve"> GLP-1 </w:t>
      </w:r>
      <w:r w:rsidR="00672721" w:rsidRPr="00781897">
        <w:rPr>
          <w:b/>
          <w:bCs/>
        </w:rPr>
        <w:t>receptor agonist regimens and heart failure</w:t>
      </w:r>
      <w:r w:rsidR="003425CC" w:rsidRPr="00781897">
        <w:rPr>
          <w:b/>
          <w:bCs/>
        </w:rPr>
        <w:t xml:space="preserve"> </w:t>
      </w:r>
    </w:p>
    <w:p w14:paraId="6620B72E" w14:textId="7AE92837" w:rsidR="003425CC" w:rsidRPr="00781897" w:rsidRDefault="003425CC" w:rsidP="00781897">
      <w:pPr>
        <w:spacing w:line="480" w:lineRule="auto"/>
        <w:contextualSpacing/>
      </w:pPr>
      <w:r w:rsidRPr="00781897">
        <w:t xml:space="preserve">Of the </w:t>
      </w:r>
      <w:r w:rsidR="009C7BA0" w:rsidRPr="00781897">
        <w:t xml:space="preserve">final cohort of </w:t>
      </w:r>
      <w:r w:rsidRPr="00781897">
        <w:t xml:space="preserve">17,428 heart failure </w:t>
      </w:r>
      <w:r w:rsidR="009C7BA0" w:rsidRPr="00781897">
        <w:t>cases</w:t>
      </w:r>
      <w:r w:rsidRPr="00781897">
        <w:t xml:space="preserve">, </w:t>
      </w:r>
      <w:r w:rsidR="00817675">
        <w:t>299</w:t>
      </w:r>
      <w:r w:rsidR="00817675" w:rsidRPr="00781897">
        <w:t xml:space="preserve"> </w:t>
      </w:r>
      <w:r w:rsidRPr="00781897">
        <w:t>(</w:t>
      </w:r>
      <w:r w:rsidR="00817675">
        <w:t>1.7</w:t>
      </w:r>
      <w:r w:rsidRPr="00781897">
        <w:t xml:space="preserve">%) individuals were users of SGLT2i regimens, </w:t>
      </w:r>
      <w:r w:rsidR="00817675">
        <w:t>490</w:t>
      </w:r>
      <w:r w:rsidR="00817675" w:rsidRPr="00781897">
        <w:t xml:space="preserve"> </w:t>
      </w:r>
      <w:r w:rsidRPr="00781897">
        <w:t>(</w:t>
      </w:r>
      <w:r w:rsidR="00817675">
        <w:t>2.8</w:t>
      </w:r>
      <w:r w:rsidRPr="00781897">
        <w:t xml:space="preserve">%) GLP-1RA regimen users, </w:t>
      </w:r>
      <w:r w:rsidR="00817675">
        <w:t>42</w:t>
      </w:r>
      <w:r w:rsidR="00817675" w:rsidRPr="00781897">
        <w:t xml:space="preserve"> </w:t>
      </w:r>
      <w:r w:rsidRPr="00781897">
        <w:t>(0</w:t>
      </w:r>
      <w:r w:rsidR="00F10B84" w:rsidRPr="00781897">
        <w:t>.</w:t>
      </w:r>
      <w:r w:rsidR="00817675">
        <w:t>2</w:t>
      </w:r>
      <w:r w:rsidRPr="00781897">
        <w:t xml:space="preserve">%) on a combination of SGLT2i and GLP-1RA and </w:t>
      </w:r>
      <w:r w:rsidR="00817675">
        <w:t>4,352</w:t>
      </w:r>
      <w:r w:rsidRPr="00781897">
        <w:t xml:space="preserve"> (</w:t>
      </w:r>
      <w:r w:rsidR="00817675">
        <w:t>25.0</w:t>
      </w:r>
      <w:r w:rsidRPr="00781897">
        <w:t xml:space="preserve">%) were users of other combination regimens; </w:t>
      </w:r>
      <w:r w:rsidR="00410A19" w:rsidRPr="00781897">
        <w:t xml:space="preserve">Supplemental </w:t>
      </w:r>
      <w:r w:rsidRPr="00781897">
        <w:t xml:space="preserve">Table </w:t>
      </w:r>
      <w:r w:rsidR="00651E42">
        <w:t>6</w:t>
      </w:r>
      <w:r w:rsidRPr="00781897">
        <w:t>.</w:t>
      </w:r>
    </w:p>
    <w:p w14:paraId="10203FFF" w14:textId="77777777" w:rsidR="003425CC" w:rsidRPr="00781897" w:rsidRDefault="003425CC" w:rsidP="00781897">
      <w:pPr>
        <w:spacing w:line="480" w:lineRule="auto"/>
        <w:contextualSpacing/>
      </w:pPr>
    </w:p>
    <w:p w14:paraId="2C741E74" w14:textId="589E6BB1" w:rsidR="00216B32" w:rsidRPr="00781897" w:rsidRDefault="00370870" w:rsidP="00781897">
      <w:pPr>
        <w:spacing w:line="480" w:lineRule="auto"/>
        <w:contextualSpacing/>
      </w:pPr>
      <w:r w:rsidRPr="00781897">
        <w:t>T</w:t>
      </w:r>
      <w:r w:rsidR="003425CC" w:rsidRPr="00781897">
        <w:t xml:space="preserve">reatment with a SGLT2i regimen or a GLP-1RA regimen was associated with lower </w:t>
      </w:r>
      <w:r w:rsidR="00C85968" w:rsidRPr="00781897">
        <w:t>odds</w:t>
      </w:r>
      <w:r w:rsidR="003425CC" w:rsidRPr="00781897">
        <w:t xml:space="preserve"> of</w:t>
      </w:r>
      <w:r w:rsidRPr="00781897">
        <w:t xml:space="preserve"> incident</w:t>
      </w:r>
      <w:r w:rsidR="003425CC" w:rsidRPr="00781897">
        <w:t xml:space="preserve"> heart failure, when compared to other antidiabetic combination regimens (Figure </w:t>
      </w:r>
      <w:r w:rsidR="006651A4">
        <w:t>3</w:t>
      </w:r>
      <w:r w:rsidR="003425CC" w:rsidRPr="00781897">
        <w:t xml:space="preserve">); adjusted pooled </w:t>
      </w:r>
      <w:r w:rsidR="00FD79D3" w:rsidRPr="00781897">
        <w:t>odds ratio</w:t>
      </w:r>
      <w:r w:rsidR="00D0425B" w:rsidRPr="00781897">
        <w:t>s</w:t>
      </w:r>
      <w:r w:rsidR="003425CC" w:rsidRPr="00781897">
        <w:t xml:space="preserve"> 0</w:t>
      </w:r>
      <w:r w:rsidR="00F10B84" w:rsidRPr="00781897">
        <w:t>.</w:t>
      </w:r>
      <w:r w:rsidR="00403655">
        <w:t>49</w:t>
      </w:r>
      <w:r w:rsidR="00403655" w:rsidRPr="00781897">
        <w:t xml:space="preserve"> </w:t>
      </w:r>
      <w:r w:rsidR="003425CC" w:rsidRPr="00781897">
        <w:t>(95% CI 0</w:t>
      </w:r>
      <w:r w:rsidR="00F10B84" w:rsidRPr="00781897">
        <w:t>.</w:t>
      </w:r>
      <w:r w:rsidR="00403655">
        <w:t>42</w:t>
      </w:r>
      <w:r w:rsidR="002B006D" w:rsidRPr="00781897">
        <w:t>-</w:t>
      </w:r>
      <w:r w:rsidR="003425CC" w:rsidRPr="00781897">
        <w:t>0</w:t>
      </w:r>
      <w:r w:rsidR="00F10B84" w:rsidRPr="00781897">
        <w:t>.</w:t>
      </w:r>
      <w:r w:rsidR="00403655">
        <w:t>58</w:t>
      </w:r>
      <w:r w:rsidR="003425CC" w:rsidRPr="00781897">
        <w:t>) and 0</w:t>
      </w:r>
      <w:r w:rsidR="00F10B84" w:rsidRPr="00781897">
        <w:t>.</w:t>
      </w:r>
      <w:r w:rsidR="00403655">
        <w:t>82</w:t>
      </w:r>
      <w:r w:rsidR="00403655" w:rsidRPr="00781897">
        <w:t xml:space="preserve"> </w:t>
      </w:r>
      <w:r w:rsidR="003425CC" w:rsidRPr="00781897">
        <w:t>(</w:t>
      </w:r>
      <w:r w:rsidR="00FD4A5F" w:rsidRPr="00781897">
        <w:t>95% CI</w:t>
      </w:r>
      <w:r w:rsidR="003425CC" w:rsidRPr="00781897">
        <w:t xml:space="preserve"> 0</w:t>
      </w:r>
      <w:r w:rsidR="00F10B84" w:rsidRPr="00781897">
        <w:t>.</w:t>
      </w:r>
      <w:r w:rsidR="00403655">
        <w:t>71</w:t>
      </w:r>
      <w:r w:rsidR="002B006D" w:rsidRPr="00781897">
        <w:t>-</w:t>
      </w:r>
      <w:r w:rsidR="003425CC" w:rsidRPr="00781897">
        <w:t>0</w:t>
      </w:r>
      <w:r w:rsidR="00F10B84" w:rsidRPr="00781897">
        <w:t>.</w:t>
      </w:r>
      <w:r w:rsidR="00403655">
        <w:t>95</w:t>
      </w:r>
      <w:r w:rsidR="003425CC" w:rsidRPr="00781897">
        <w:t xml:space="preserve">), respectively. The combined SGLT2i and GLP-1RA regimen was associated with </w:t>
      </w:r>
      <w:r w:rsidR="00403655">
        <w:t>57</w:t>
      </w:r>
      <w:r w:rsidR="003425CC" w:rsidRPr="00781897">
        <w:t xml:space="preserve">% lower </w:t>
      </w:r>
      <w:r w:rsidRPr="00781897">
        <w:t>odds</w:t>
      </w:r>
      <w:r w:rsidR="003425CC" w:rsidRPr="00781897">
        <w:t xml:space="preserve"> of heart failure when compared with other combination </w:t>
      </w:r>
      <w:r w:rsidR="00FD4A5F" w:rsidRPr="00781897">
        <w:t>regimens:</w:t>
      </w:r>
      <w:r w:rsidR="003425CC" w:rsidRPr="00781897">
        <w:t xml:space="preserve"> 0</w:t>
      </w:r>
      <w:r w:rsidR="00F10B84" w:rsidRPr="00781897">
        <w:t>.</w:t>
      </w:r>
      <w:r w:rsidR="00403655">
        <w:t>43</w:t>
      </w:r>
      <w:r w:rsidR="00403655" w:rsidRPr="00781897">
        <w:t xml:space="preserve"> </w:t>
      </w:r>
      <w:r w:rsidR="003425CC" w:rsidRPr="00781897">
        <w:t>(</w:t>
      </w:r>
      <w:r w:rsidR="00FD4A5F" w:rsidRPr="00781897">
        <w:t>95% CI</w:t>
      </w:r>
      <w:r w:rsidR="003425CC" w:rsidRPr="00781897">
        <w:t xml:space="preserve"> 0</w:t>
      </w:r>
      <w:r w:rsidR="00F10B84" w:rsidRPr="00781897">
        <w:t>.</w:t>
      </w:r>
      <w:r w:rsidR="00403655">
        <w:t>28</w:t>
      </w:r>
      <w:r w:rsidR="002B006D" w:rsidRPr="00781897">
        <w:t>-</w:t>
      </w:r>
      <w:r w:rsidR="003425CC" w:rsidRPr="00781897">
        <w:t>0</w:t>
      </w:r>
      <w:r w:rsidR="00F10B84" w:rsidRPr="00781897">
        <w:t>.</w:t>
      </w:r>
      <w:r w:rsidR="00403655">
        <w:t>64</w:t>
      </w:r>
      <w:r w:rsidR="003425CC" w:rsidRPr="00781897">
        <w:t xml:space="preserve">), (Figure </w:t>
      </w:r>
      <w:r w:rsidR="006651A4">
        <w:t>3</w:t>
      </w:r>
      <w:r w:rsidR="003425CC" w:rsidRPr="00781897">
        <w:t>).</w:t>
      </w:r>
    </w:p>
    <w:p w14:paraId="5CBCA237" w14:textId="4BA80620" w:rsidR="00932722" w:rsidRPr="00781897" w:rsidRDefault="00932722" w:rsidP="00781897">
      <w:pPr>
        <w:spacing w:line="480" w:lineRule="auto"/>
        <w:contextualSpacing/>
      </w:pPr>
    </w:p>
    <w:p w14:paraId="07AD2414" w14:textId="7D862A6B" w:rsidR="00932722" w:rsidRPr="00781897" w:rsidRDefault="00932722" w:rsidP="00781897">
      <w:pPr>
        <w:spacing w:line="480" w:lineRule="auto"/>
        <w:contextualSpacing/>
        <w:rPr>
          <w:b/>
          <w:bCs/>
        </w:rPr>
      </w:pPr>
      <w:r w:rsidRPr="00781897">
        <w:rPr>
          <w:b/>
          <w:bCs/>
        </w:rPr>
        <w:t>S</w:t>
      </w:r>
      <w:r w:rsidR="00672721" w:rsidRPr="00781897">
        <w:rPr>
          <w:b/>
          <w:bCs/>
        </w:rPr>
        <w:t>ensitivity</w:t>
      </w:r>
      <w:r w:rsidRPr="00781897">
        <w:rPr>
          <w:b/>
          <w:bCs/>
        </w:rPr>
        <w:t xml:space="preserve"> </w:t>
      </w:r>
      <w:r w:rsidR="00672721" w:rsidRPr="00781897">
        <w:rPr>
          <w:b/>
          <w:bCs/>
        </w:rPr>
        <w:t>analyses</w:t>
      </w:r>
    </w:p>
    <w:p w14:paraId="58356A38" w14:textId="752AE677" w:rsidR="00E238FD" w:rsidRPr="00781897" w:rsidRDefault="00D40FEF" w:rsidP="00781897">
      <w:pPr>
        <w:spacing w:line="480" w:lineRule="auto"/>
      </w:pPr>
      <w:r w:rsidRPr="00781897">
        <w:t>Generally, E-value</w:t>
      </w:r>
      <w:r w:rsidR="00BC590A" w:rsidRPr="00781897">
        <w:t>s</w:t>
      </w:r>
      <w:r w:rsidRPr="00781897">
        <w:t xml:space="preserve"> </w:t>
      </w:r>
      <w:r w:rsidR="00BC590A" w:rsidRPr="00781897">
        <w:t>indicated that unmeasured confounders would have to have much larger effects</w:t>
      </w:r>
      <w:r w:rsidR="00D0425B" w:rsidRPr="00781897">
        <w:t xml:space="preserve"> on endpoints</w:t>
      </w:r>
      <w:r w:rsidR="00BC590A" w:rsidRPr="00781897">
        <w:t xml:space="preserve"> than most risk factors to explain the reported associations</w:t>
      </w:r>
      <w:r w:rsidR="00D0425B" w:rsidRPr="00781897">
        <w:t xml:space="preserve"> (</w:t>
      </w:r>
      <w:r w:rsidR="00410A19" w:rsidRPr="00781897">
        <w:t xml:space="preserve">Supplemental </w:t>
      </w:r>
      <w:r w:rsidR="00D0425B" w:rsidRPr="00781897">
        <w:t xml:space="preserve">Table </w:t>
      </w:r>
      <w:r w:rsidR="002D6603">
        <w:t>7</w:t>
      </w:r>
      <w:r w:rsidR="00D0425B" w:rsidRPr="00781897">
        <w:t>)</w:t>
      </w:r>
      <w:r w:rsidR="00BC590A" w:rsidRPr="00781897">
        <w:t>.</w:t>
      </w:r>
      <w:r w:rsidR="00B668EF" w:rsidRPr="00781897">
        <w:t xml:space="preserve"> </w:t>
      </w:r>
      <w:r w:rsidR="00E238FD" w:rsidRPr="00781897">
        <w:t>The results of all other sensitivity analyses were consistent with our main results</w:t>
      </w:r>
      <w:r w:rsidR="00CB4424" w:rsidRPr="00781897">
        <w:t>,</w:t>
      </w:r>
      <w:r w:rsidR="00E238FD" w:rsidRPr="00781897">
        <w:t xml:space="preserve"> </w:t>
      </w:r>
      <w:r w:rsidR="00410A19" w:rsidRPr="00781897">
        <w:t xml:space="preserve">Supplemental </w:t>
      </w:r>
      <w:r w:rsidR="00E238FD" w:rsidRPr="00781897">
        <w:rPr>
          <w:color w:val="000000" w:themeColor="text1"/>
        </w:rPr>
        <w:t xml:space="preserve">Figures </w:t>
      </w:r>
      <w:r w:rsidR="007415C7">
        <w:rPr>
          <w:color w:val="000000" w:themeColor="text1"/>
        </w:rPr>
        <w:t>6</w:t>
      </w:r>
      <w:r w:rsidR="00643F27">
        <w:rPr>
          <w:color w:val="000000" w:themeColor="text1"/>
        </w:rPr>
        <w:t>-1</w:t>
      </w:r>
      <w:r w:rsidR="00D41E46">
        <w:rPr>
          <w:color w:val="000000" w:themeColor="text1"/>
        </w:rPr>
        <w:t>7</w:t>
      </w:r>
      <w:r w:rsidR="00E238FD" w:rsidRPr="00781897">
        <w:rPr>
          <w:color w:val="000000" w:themeColor="text1"/>
        </w:rPr>
        <w:t>.</w:t>
      </w:r>
      <w:r w:rsidR="00BB73F2" w:rsidRPr="00781897">
        <w:rPr>
          <w:color w:val="000000" w:themeColor="text1"/>
        </w:rPr>
        <w:t xml:space="preserve"> </w:t>
      </w:r>
    </w:p>
    <w:p w14:paraId="474EC606" w14:textId="77777777" w:rsidR="00BC590A" w:rsidRPr="00781897" w:rsidRDefault="00BC590A" w:rsidP="00781897">
      <w:pPr>
        <w:spacing w:line="480" w:lineRule="auto"/>
      </w:pPr>
    </w:p>
    <w:p w14:paraId="3AE06B34" w14:textId="63CB24E9" w:rsidR="00474312" w:rsidRDefault="00474312" w:rsidP="00781897">
      <w:pPr>
        <w:spacing w:line="480" w:lineRule="auto"/>
        <w:contextualSpacing/>
      </w:pPr>
      <w:r>
        <w:rPr>
          <w:b/>
        </w:rPr>
        <w:t>CONCLUSIONS</w:t>
      </w:r>
    </w:p>
    <w:p w14:paraId="1C9C3E21" w14:textId="0A92C01A" w:rsidR="004C5F39" w:rsidRPr="00781897" w:rsidRDefault="00CC4966" w:rsidP="00781897">
      <w:pPr>
        <w:spacing w:line="480" w:lineRule="auto"/>
        <w:contextualSpacing/>
      </w:pPr>
      <w:r w:rsidRPr="00781897">
        <w:t>In this st</w:t>
      </w:r>
      <w:r w:rsidR="007A2679" w:rsidRPr="00781897">
        <w:t>udy</w:t>
      </w:r>
      <w:r w:rsidRPr="00781897">
        <w:t xml:space="preserve"> </w:t>
      </w:r>
      <w:r w:rsidR="008E5548" w:rsidRPr="00781897">
        <w:rPr>
          <w:iCs/>
        </w:rPr>
        <w:t>focus</w:t>
      </w:r>
      <w:r w:rsidR="00C634AA" w:rsidRPr="00781897">
        <w:rPr>
          <w:iCs/>
        </w:rPr>
        <w:t>sing</w:t>
      </w:r>
      <w:r w:rsidR="008E5548" w:rsidRPr="00781897">
        <w:rPr>
          <w:iCs/>
        </w:rPr>
        <w:t xml:space="preserve"> on the primary prevention of clinical events</w:t>
      </w:r>
      <w:r w:rsidR="008E5548" w:rsidRPr="00781897">
        <w:t xml:space="preserve">, </w:t>
      </w:r>
      <w:r w:rsidR="000D5580" w:rsidRPr="00781897">
        <w:t>our results suggest</w:t>
      </w:r>
      <w:r w:rsidR="00F77C63" w:rsidRPr="00781897">
        <w:t xml:space="preserve"> that</w:t>
      </w:r>
      <w:r w:rsidR="00781667" w:rsidRPr="00781897">
        <w:t xml:space="preserve"> when compared with other antidiabetic combination regimens</w:t>
      </w:r>
      <w:r w:rsidR="003F7155" w:rsidRPr="00781897">
        <w:t xml:space="preserve">: </w:t>
      </w:r>
      <w:r w:rsidR="00E14F63" w:rsidRPr="00781897">
        <w:t>a</w:t>
      </w:r>
      <w:r w:rsidR="00016CCD" w:rsidRPr="00781897">
        <w:t xml:space="preserve">) </w:t>
      </w:r>
      <w:r w:rsidR="000D5580" w:rsidRPr="00781897">
        <w:t xml:space="preserve">current use of </w:t>
      </w:r>
      <w:r w:rsidR="00EA7636" w:rsidRPr="00781897">
        <w:t>SGLT2i</w:t>
      </w:r>
      <w:r w:rsidR="00C634AA" w:rsidRPr="00781897">
        <w:t>,</w:t>
      </w:r>
      <w:r w:rsidR="00EA7636" w:rsidRPr="00781897">
        <w:t xml:space="preserve"> but </w:t>
      </w:r>
      <w:r w:rsidR="00EA7636" w:rsidRPr="00781897">
        <w:lastRenderedPageBreak/>
        <w:t>not GLP-1RA, was associated with</w:t>
      </w:r>
      <w:r w:rsidR="008E5548" w:rsidRPr="00781897">
        <w:t xml:space="preserve"> </w:t>
      </w:r>
      <w:r w:rsidR="00CB4424" w:rsidRPr="00781897">
        <w:t xml:space="preserve">significantly </w:t>
      </w:r>
      <w:r w:rsidR="00EA7636" w:rsidRPr="00781897">
        <w:t xml:space="preserve">lower </w:t>
      </w:r>
      <w:r w:rsidR="00DE4E35" w:rsidRPr="00781897">
        <w:t>odds</w:t>
      </w:r>
      <w:r w:rsidR="00EA7636" w:rsidRPr="00781897">
        <w:t xml:space="preserve"> of </w:t>
      </w:r>
      <w:r w:rsidR="00DE4E35" w:rsidRPr="00781897">
        <w:t xml:space="preserve">incident </w:t>
      </w:r>
      <w:r w:rsidR="00FA6376" w:rsidRPr="00781897">
        <w:t>MACCE</w:t>
      </w:r>
      <w:r w:rsidR="00EA7636" w:rsidRPr="00781897">
        <w:t xml:space="preserve">; </w:t>
      </w:r>
      <w:r w:rsidR="00E14F63" w:rsidRPr="00781897">
        <w:t>b</w:t>
      </w:r>
      <w:r w:rsidR="00375FA5" w:rsidRPr="00781897">
        <w:t xml:space="preserve">) </w:t>
      </w:r>
      <w:r w:rsidR="000D5580" w:rsidRPr="00781897">
        <w:t xml:space="preserve">current use of </w:t>
      </w:r>
      <w:r w:rsidR="008E5548" w:rsidRPr="00781897">
        <w:t>SGLT2i</w:t>
      </w:r>
      <w:r w:rsidR="00F17B02" w:rsidRPr="00781897">
        <w:t>, GLP-1</w:t>
      </w:r>
      <w:r w:rsidR="008E5548" w:rsidRPr="00781897">
        <w:t>RA and</w:t>
      </w:r>
      <w:r w:rsidR="005C7255" w:rsidRPr="00781897">
        <w:t xml:space="preserve"> their com</w:t>
      </w:r>
      <w:r w:rsidR="00CD2CBD" w:rsidRPr="00781897">
        <w:t xml:space="preserve">bination </w:t>
      </w:r>
      <w:r w:rsidR="00143277" w:rsidRPr="00781897">
        <w:t>was</w:t>
      </w:r>
      <w:r w:rsidR="00375FA5" w:rsidRPr="00781897">
        <w:t xml:space="preserve"> associated with </w:t>
      </w:r>
      <w:r w:rsidR="00CB4424" w:rsidRPr="00781897">
        <w:t xml:space="preserve">significantly </w:t>
      </w:r>
      <w:r w:rsidR="00CD2CBD" w:rsidRPr="00781897">
        <w:t>lower</w:t>
      </w:r>
      <w:r w:rsidR="005C7255" w:rsidRPr="00781897">
        <w:t xml:space="preserve"> </w:t>
      </w:r>
      <w:r w:rsidR="00DE4E35" w:rsidRPr="00781897">
        <w:t>odds</w:t>
      </w:r>
      <w:r w:rsidR="00CD2CBD" w:rsidRPr="00781897">
        <w:t xml:space="preserve"> </w:t>
      </w:r>
      <w:r w:rsidR="00FD4A5F" w:rsidRPr="00781897">
        <w:t>of</w:t>
      </w:r>
      <w:r w:rsidR="00DE4E35" w:rsidRPr="00781897">
        <w:t xml:space="preserve"> incident</w:t>
      </w:r>
      <w:r w:rsidR="008E5548" w:rsidRPr="00781897">
        <w:t xml:space="preserve"> heart failure</w:t>
      </w:r>
      <w:r w:rsidR="00375FA5" w:rsidRPr="00781897">
        <w:t>;</w:t>
      </w:r>
      <w:r w:rsidR="008E5548" w:rsidRPr="00781897">
        <w:t xml:space="preserve"> and</w:t>
      </w:r>
      <w:r w:rsidR="005C7255" w:rsidRPr="00781897">
        <w:t xml:space="preserve"> </w:t>
      </w:r>
      <w:r w:rsidR="00E14F63" w:rsidRPr="00781897">
        <w:t>c</w:t>
      </w:r>
      <w:r w:rsidR="003F7155" w:rsidRPr="00781897">
        <w:t>)</w:t>
      </w:r>
      <w:r w:rsidR="00EA7636" w:rsidRPr="00781897">
        <w:t xml:space="preserve"> </w:t>
      </w:r>
      <w:r w:rsidR="000D5580" w:rsidRPr="00781897">
        <w:t xml:space="preserve">current use of </w:t>
      </w:r>
      <w:r w:rsidR="00D55A24" w:rsidRPr="00781897">
        <w:t xml:space="preserve">the SGLT2i/GLP-1RA combination </w:t>
      </w:r>
      <w:r w:rsidR="00DA1127" w:rsidRPr="00781897">
        <w:t>was</w:t>
      </w:r>
      <w:r w:rsidR="00D55A24" w:rsidRPr="00781897">
        <w:t xml:space="preserve"> </w:t>
      </w:r>
      <w:r w:rsidR="007C4BFA">
        <w:t xml:space="preserve">nominally </w:t>
      </w:r>
      <w:r w:rsidR="00D55A24" w:rsidRPr="00781897">
        <w:t>associated with</w:t>
      </w:r>
      <w:r w:rsidR="00E14F63" w:rsidRPr="00781897">
        <w:t xml:space="preserve"> </w:t>
      </w:r>
      <w:r w:rsidR="00D55A24" w:rsidRPr="00781897">
        <w:t>lowe</w:t>
      </w:r>
      <w:r w:rsidR="005A7A09" w:rsidRPr="00781897">
        <w:t xml:space="preserve">r </w:t>
      </w:r>
      <w:r w:rsidR="00DE4E35" w:rsidRPr="00781897">
        <w:t>odd</w:t>
      </w:r>
      <w:r w:rsidR="005A7A09" w:rsidRPr="00781897">
        <w:t>s</w:t>
      </w:r>
      <w:r w:rsidR="00D55A24" w:rsidRPr="00781897">
        <w:t xml:space="preserve"> </w:t>
      </w:r>
      <w:r w:rsidR="00FD4A5F" w:rsidRPr="00781897">
        <w:t>of</w:t>
      </w:r>
      <w:r w:rsidR="00D55A24" w:rsidRPr="00781897">
        <w:t xml:space="preserve"> </w:t>
      </w:r>
      <w:r w:rsidR="00FA6376" w:rsidRPr="00781897">
        <w:t>MACCE</w:t>
      </w:r>
      <w:r w:rsidR="006F7ECF" w:rsidRPr="00781897">
        <w:t xml:space="preserve"> than the</w:t>
      </w:r>
      <w:r w:rsidR="00D55A24" w:rsidRPr="00781897">
        <w:t xml:space="preserve"> SGLT2i and GLP-1RA regimens alone.</w:t>
      </w:r>
      <w:r w:rsidR="004C5F39" w:rsidRPr="00781897">
        <w:t xml:space="preserve"> </w:t>
      </w:r>
    </w:p>
    <w:p w14:paraId="24E7DE55" w14:textId="77777777" w:rsidR="004C5F39" w:rsidRPr="00781897" w:rsidRDefault="004C5F39" w:rsidP="00781897">
      <w:pPr>
        <w:spacing w:line="480" w:lineRule="auto"/>
        <w:contextualSpacing/>
      </w:pPr>
    </w:p>
    <w:p w14:paraId="5D113011" w14:textId="5174B2FB" w:rsidR="00F634C2" w:rsidRPr="00781897" w:rsidRDefault="00F634C2" w:rsidP="00781897">
      <w:pPr>
        <w:spacing w:line="480" w:lineRule="auto"/>
        <w:contextualSpacing/>
        <w:rPr>
          <w:b/>
          <w:bCs/>
        </w:rPr>
      </w:pPr>
      <w:r w:rsidRPr="00781897">
        <w:rPr>
          <w:b/>
          <w:bCs/>
        </w:rPr>
        <w:t>P</w:t>
      </w:r>
      <w:r w:rsidR="00672721" w:rsidRPr="00781897">
        <w:rPr>
          <w:b/>
          <w:bCs/>
        </w:rPr>
        <w:t>rimary prevention of MACCE</w:t>
      </w:r>
    </w:p>
    <w:p w14:paraId="196D80DF" w14:textId="44225BCD" w:rsidR="002E31BA" w:rsidRPr="006F0C8B" w:rsidRDefault="00BF27EE" w:rsidP="006F0C8B">
      <w:pPr>
        <w:spacing w:line="480" w:lineRule="auto"/>
        <w:contextualSpacing/>
      </w:pPr>
      <w:r w:rsidRPr="00781897">
        <w:rPr>
          <w:i/>
          <w:lang w:val="en-US"/>
        </w:rPr>
        <w:t>SGLT2i</w:t>
      </w:r>
      <w:r w:rsidRPr="00781897">
        <w:rPr>
          <w:lang w:val="en-US"/>
        </w:rPr>
        <w:t xml:space="preserve">: </w:t>
      </w:r>
      <w:r w:rsidR="00B8609A" w:rsidRPr="00781897">
        <w:rPr>
          <w:lang w:val="en-US"/>
        </w:rPr>
        <w:t xml:space="preserve">A </w:t>
      </w:r>
      <w:r w:rsidR="00970C81" w:rsidRPr="00781897">
        <w:rPr>
          <w:lang w:val="en-US"/>
        </w:rPr>
        <w:t>trial</w:t>
      </w:r>
      <w:r w:rsidR="009D224E" w:rsidRPr="00781897">
        <w:rPr>
          <w:lang w:val="en-US"/>
        </w:rPr>
        <w:t xml:space="preserve"> with</w:t>
      </w:r>
      <w:r w:rsidR="004766CA" w:rsidRPr="00781897">
        <w:rPr>
          <w:lang w:val="en-US"/>
        </w:rPr>
        <w:t xml:space="preserve"> </w:t>
      </w:r>
      <w:r w:rsidR="007C073C" w:rsidRPr="00781897">
        <w:rPr>
          <w:lang w:val="en-US"/>
        </w:rPr>
        <w:t>d</w:t>
      </w:r>
      <w:r w:rsidR="004766CA" w:rsidRPr="00781897">
        <w:rPr>
          <w:lang w:val="en-US"/>
        </w:rPr>
        <w:t>apagliflozin</w:t>
      </w:r>
      <w:r w:rsidR="005B2E87" w:rsidRPr="00781897">
        <w:t xml:space="preserve"> </w:t>
      </w:r>
      <w:r w:rsidR="00970C81" w:rsidRPr="00781897">
        <w:t xml:space="preserve">and </w:t>
      </w:r>
      <w:r w:rsidR="00C73B33">
        <w:t xml:space="preserve">two </w:t>
      </w:r>
      <w:r w:rsidR="00F55F2E" w:rsidRPr="00781897">
        <w:t>meta-analyses</w:t>
      </w:r>
      <w:r w:rsidR="000839AF" w:rsidRPr="00781897">
        <w:t xml:space="preserve"> </w:t>
      </w:r>
      <w:r w:rsidR="009953D0" w:rsidRPr="00781897">
        <w:t>of</w:t>
      </w:r>
      <w:r w:rsidR="000839AF" w:rsidRPr="00781897">
        <w:t xml:space="preserve"> other</w:t>
      </w:r>
      <w:r w:rsidR="002C223B" w:rsidRPr="00781897">
        <w:t xml:space="preserve"> </w:t>
      </w:r>
      <w:r w:rsidR="007E0479" w:rsidRPr="00781897">
        <w:t>placebo-controlled</w:t>
      </w:r>
      <w:r w:rsidR="00B8609A" w:rsidRPr="00781897">
        <w:t xml:space="preserve"> </w:t>
      </w:r>
      <w:r w:rsidR="002C223B" w:rsidRPr="00781897">
        <w:t xml:space="preserve">trials </w:t>
      </w:r>
      <w:r w:rsidR="00970C81" w:rsidRPr="00781897">
        <w:t>indicated no</w:t>
      </w:r>
      <w:r w:rsidR="00C73B33">
        <w:t xml:space="preserve"> significant</w:t>
      </w:r>
      <w:r w:rsidR="00EB44B3" w:rsidRPr="00781897">
        <w:t xml:space="preserve"> benefit of</w:t>
      </w:r>
      <w:r w:rsidR="00842160" w:rsidRPr="00781897">
        <w:t xml:space="preserve"> </w:t>
      </w:r>
      <w:r w:rsidR="002C223B" w:rsidRPr="00781897">
        <w:t>SGLT2</w:t>
      </w:r>
      <w:r w:rsidR="00314753" w:rsidRPr="00781897">
        <w:t>i</w:t>
      </w:r>
      <w:r w:rsidR="002C223B" w:rsidRPr="00781897">
        <w:t xml:space="preserve"> </w:t>
      </w:r>
      <w:r w:rsidRPr="00781897">
        <w:t xml:space="preserve">in </w:t>
      </w:r>
      <w:r w:rsidR="009953D0" w:rsidRPr="00781897">
        <w:t>reducing</w:t>
      </w:r>
      <w:r w:rsidR="00831A22" w:rsidRPr="00781897">
        <w:t xml:space="preserve"> risk for</w:t>
      </w:r>
      <w:r w:rsidR="002C223B" w:rsidRPr="00781897">
        <w:t xml:space="preserve"> </w:t>
      </w:r>
      <w:r w:rsidR="00FA6376" w:rsidRPr="00781897">
        <w:t>MACCE</w:t>
      </w:r>
      <w:r w:rsidR="00B8609A" w:rsidRPr="00781897">
        <w:t xml:space="preserve"> in primary prevention setting</w:t>
      </w:r>
      <w:r w:rsidR="00C73B33">
        <w:t>s</w:t>
      </w:r>
      <w:r w:rsidR="00077D2A" w:rsidRPr="00781897">
        <w:t>.</w:t>
      </w:r>
      <w:r w:rsidR="00993671">
        <w:fldChar w:fldCharType="begin" w:fldLock="1"/>
      </w:r>
      <w:r w:rsidR="00CE7AC3">
        <w:instrText>ADDIN CSL_CITATION {"citationItems":[{"id":"ITEM-1","itemData":{"DOI":"10.1001/jamacardio.2020.4511","ISSN":"2380-6583","author":[{"dropping-particle":"","family":"McGuire","given":"Darren K.","non-dropping-particle":"","parse-names":false,"suffix":""},{"dropping-particle":"","family":"Shih","given":"Weichung J.","non-dropping-particle":"","parse-names":false,"suffix":""},{"dropping-particle":"","family":"Cosentino","given":"Francesco","non-dropping-particle":"","parse-names":false,"suffix":""},{"dropping-particle":"","family":"Charbonnel","given":"Bernard","non-dropping-particle":"","parse-names":false,"suffix":""},{"dropping-particle":"","family":"Cherney","given":"David Z. I.","non-dropping-particle":"","parse-names":false,"suffix":""},{"dropping-particle":"","family":"Dagogo-Jack","given":"Samuel","non-dropping-particle":"","parse-names":false,"suffix":""},{"dropping-particle":"","family":"Pratley","given":"Richard","non-dropping-particle":"","parse-names":false,"suffix":""},{"dropping-particle":"","family":"Greenberg","given":"Michelle","non-dropping-particle":"","parse-names":false,"suffix":""},{"dropping-particle":"","family":"Wang","given":"Shuai","non-dropping-particle":"","parse-names":false,"suffix":""},{"dropping-particle":"","family":"Huyck","given":"Susan","non-dropping-particle":"","parse-names":false,"suffix":""},{"dropping-particle":"","family":"Gantz","given":"Ira","non-dropping-particle":"","parse-names":false,"suffix":""},{"dropping-particle":"","family":"Terra","given":"Steven G.","non-dropping-particle":"","parse-names":false,"suffix":""},{"dropping-particle":"","family":"Masiukiewicz","given":"Urszula","non-dropping-particle":"","parse-names":false,"suffix":""},{"dropping-particle":"","family":"Cannon","given":"Christopher P.","non-dropping-particle":"","parse-names":false,"suffix":""}],"container-title":"JAMA Cardiology","id":"ITEM-1","issue":"2","issued":{"date-parts":[["2021","2","1"]]},"page":"148","title":"Association of SGLT2 Inhibitors With Cardiovascular and Kidney Outcomes in Patients With Type 2 Diabetes","type":"article-journal","volume":"6"},"uris":["http://www.mendeley.com/documents/?uuid=35cf0241-0dbe-427f-b5ae-6363c16c8de9"]}],"mendeley":{"formattedCitation":"(4)","plainTextFormattedCitation":"(4)","previouslyFormattedCitation":"(4)"},"properties":{"noteIndex":0},"schema":"https://github.com/citation-style-language/schema/raw/master/csl-citation.json"}</w:instrText>
      </w:r>
      <w:r w:rsidR="00993671">
        <w:fldChar w:fldCharType="separate"/>
      </w:r>
      <w:r w:rsidR="00CE7AC3" w:rsidRPr="00CE7AC3">
        <w:rPr>
          <w:noProof/>
        </w:rPr>
        <w:t>(4)</w:t>
      </w:r>
      <w:r w:rsidR="00993671">
        <w:fldChar w:fldCharType="end"/>
      </w:r>
      <w:r w:rsidR="00993671">
        <w:t xml:space="preserve"> </w:t>
      </w:r>
      <w:r w:rsidR="00C93FB6" w:rsidRPr="00781897">
        <w:t xml:space="preserve">Whilst the CREDENCE trial considered a special population with type 2 diabetes and </w:t>
      </w:r>
      <w:proofErr w:type="spellStart"/>
      <w:r w:rsidR="00C93FB6" w:rsidRPr="00781897">
        <w:t>albuminuric</w:t>
      </w:r>
      <w:proofErr w:type="spellEnd"/>
      <w:r w:rsidR="00C93FB6" w:rsidRPr="00781897">
        <w:t xml:space="preserve"> chronic kidney disease, in the</w:t>
      </w:r>
      <w:r w:rsidR="00452048" w:rsidRPr="00781897">
        <w:t xml:space="preserve"> </w:t>
      </w:r>
      <w:r w:rsidR="00EB44B3" w:rsidRPr="00781897">
        <w:t>primary prevention subgroup</w:t>
      </w:r>
      <w:r w:rsidR="00C93FB6" w:rsidRPr="00781897">
        <w:t>,</w:t>
      </w:r>
      <w:r w:rsidR="00EB44B3" w:rsidRPr="00781897">
        <w:t xml:space="preserve"> </w:t>
      </w:r>
      <w:r w:rsidR="007C073C" w:rsidRPr="00781897">
        <w:t>c</w:t>
      </w:r>
      <w:r w:rsidR="00C844BA" w:rsidRPr="00781897">
        <w:t>a</w:t>
      </w:r>
      <w:r w:rsidR="000839AF" w:rsidRPr="00781897">
        <w:t>nagliflozin reduced</w:t>
      </w:r>
      <w:r w:rsidR="00B8609A" w:rsidRPr="00781897">
        <w:t xml:space="preserve"> </w:t>
      </w:r>
      <w:r w:rsidR="00495DC2" w:rsidRPr="00781897">
        <w:t>risk</w:t>
      </w:r>
      <w:r w:rsidR="00EB44B3" w:rsidRPr="00781897">
        <w:t xml:space="preserve"> </w:t>
      </w:r>
      <w:r w:rsidR="00C844BA" w:rsidRPr="00781897">
        <w:t xml:space="preserve">by </w:t>
      </w:r>
      <w:r w:rsidR="00743EE4" w:rsidRPr="00781897">
        <w:t>32%</w:t>
      </w:r>
      <w:r w:rsidR="00F920B1" w:rsidRPr="00781897">
        <w:t xml:space="preserve"> (HR 0</w:t>
      </w:r>
      <w:r w:rsidR="00F10B84" w:rsidRPr="00781897">
        <w:t>.</w:t>
      </w:r>
      <w:r w:rsidR="00F920B1" w:rsidRPr="00781897">
        <w:t>68</w:t>
      </w:r>
      <w:r w:rsidR="005B2E87" w:rsidRPr="00781897">
        <w:t xml:space="preserve">; </w:t>
      </w:r>
      <w:r w:rsidR="00FD4A5F" w:rsidRPr="00781897">
        <w:t>95% CI</w:t>
      </w:r>
      <w:r w:rsidR="00F920B1" w:rsidRPr="00781897">
        <w:t xml:space="preserve"> 0</w:t>
      </w:r>
      <w:r w:rsidR="00F10B84" w:rsidRPr="00781897">
        <w:t>.</w:t>
      </w:r>
      <w:r w:rsidR="00F920B1" w:rsidRPr="00781897">
        <w:t>49</w:t>
      </w:r>
      <w:r w:rsidR="002B006D" w:rsidRPr="00781897">
        <w:t>-</w:t>
      </w:r>
      <w:r w:rsidR="00F920B1" w:rsidRPr="00781897">
        <w:t>0</w:t>
      </w:r>
      <w:r w:rsidR="00F10B84" w:rsidRPr="00781897">
        <w:t>.</w:t>
      </w:r>
      <w:r w:rsidR="00F920B1" w:rsidRPr="00781897">
        <w:t>94)</w:t>
      </w:r>
      <w:r w:rsidR="005B2E87" w:rsidRPr="00781897">
        <w:t>.</w:t>
      </w:r>
      <w:r w:rsidR="005B2E87" w:rsidRPr="00781897">
        <w:fldChar w:fldCharType="begin" w:fldLock="1"/>
      </w:r>
      <w:r w:rsidR="002622F3">
        <w:instrText>ADDIN CSL_CITATION {"citationItems":[{"id":"ITEM-1","itemData":{"DOI":"10.1161/CIRCULATIONAHA.119.042007","ISSN":"0009-7322","author":[{"dropping-particle":"","family":"Mahaffey","given":"Kenneth W.","non-dropping-particle":"","parse-names":false,"suffix":""},{"dropping-particle":"","family":"Jardine","given":"Meg J.","non-dropping-particle":"","parse-names":false,"suffix":""},{"dropping-particle":"","family":"Bompoint","given":"Severine","non-dropping-particle":"","parse-names":false,"suffix":""},{"dropping-particle":"","family":"Cannon","given":"Christopher P.","non-dropping-particle":"","parse-names":false,"suffix":""},{"dropping-particle":"","family":"Neal","given":"Bruce","non-dropping-particle":"","parse-names":false,"suffix":""},{"dropping-particle":"","family":"Heerspink","given":"Hiddo J.L.","non-dropping-particle":"","parse-names":false,"suffix":""},{"dropping-particle":"","family":"Charytan","given":"David M.","non-dropping-particle":"","parse-names":false,"suffix":""},{"dropping-particle":"","family":"Edwards","given":"Robert","non-dropping-particle":"","parse-names":false,"suffix":""},{"dropping-particle":"","family":"Agarwal","given":"Rajiv","non-dropping-particle":"","parse-names":false,"suffix":""},{"dropping-particle":"","family":"Bakris","given":"George","non-dropping-particle":"","parse-names":false,"suffix":""},{"dropping-particle":"","family":"Bull","given":"Scott","non-dropping-particle":"","parse-names":false,"suffix":""},{"dropping-particle":"","family":"Capuano","given":"George","non-dropping-particle":"","parse-names":false,"suffix":""},{"dropping-particle":"","family":"Zeeuw","given":"Dick","non-dropping-particle":"de","parse-names":false,"suffix":""},{"dropping-particle":"","family":"Greene","given":"Tom","non-dropping-particle":"","parse-names":false,"suffix":""},{"dropping-particle":"","family":"Levin","given":"Adeera","non-dropping-particle":"","parse-names":false,"suffix":""},{"dropping-particle":"","family":"Pollock","given":"Carol","non-dropping-particle":"","parse-names":false,"suffix":""},{"dropping-particle":"","family":"Sun","given":"Tao","non-dropping-particle":"","parse-names":false,"suffix":""},{"dropping-particle":"","family":"Wheeler","given":"David C.","non-dropping-particle":"","parse-names":false,"suffix":""},{"dropping-particle":"","family":"Yavin","given":"Yshai","non-dropping-particle":"","parse-names":false,"suffix":""},{"dropping-particle":"","family":"Zhang","given":"Hong","non-dropping-particle":"","parse-names":false,"suffix":""},{"dropping-particle":"","family":"Zinman","given":"Bernard","non-dropping-particle":"","parse-names":false,"suffix":""},{"dropping-particle":"","family":"Rosenthal","given":"Norman","non-dropping-particle":"","parse-names":false,"suffix":""},{"dropping-particle":"","family":"Brenner","given":"Barry M.","non-dropping-particle":"","parse-names":false,"suffix":""},{"dropping-particle":"","family":"Perkovic","given":"Vlado","non-dropping-particle":"","parse-names":false,"suffix":""}],"container-title":"Circulation","id":"ITEM-1","issue":"9","issued":{"date-parts":[["2019","8","27"]]},"page":"739-750","title":"Canagliflozin and Cardiovascular and Renal Outcomes in Type 2 Diabetes Mellitus and Chronic Kidney Disease in Primary and Secondary Cardiovascular Prevention Groups","type":"article-journal","volume":"140"},"uris":["http://www.mendeley.com/documents/?uuid=e7e4ecec-b99f-42e0-aa92-c3dcc06b629b"]}],"mendeley":{"formattedCitation":"(23)","plainTextFormattedCitation":"(23)","previouslyFormattedCitation":"(23)"},"properties":{"noteIndex":0},"schema":"https://github.com/citation-style-language/schema/raw/master/csl-citation.json"}</w:instrText>
      </w:r>
      <w:r w:rsidR="005B2E87" w:rsidRPr="00781897">
        <w:fldChar w:fldCharType="separate"/>
      </w:r>
      <w:r w:rsidR="002622F3" w:rsidRPr="002622F3">
        <w:rPr>
          <w:noProof/>
        </w:rPr>
        <w:t>(23)</w:t>
      </w:r>
      <w:r w:rsidR="005B2E87" w:rsidRPr="00781897">
        <w:fldChar w:fldCharType="end"/>
      </w:r>
      <w:r w:rsidR="005B2E87" w:rsidRPr="00781897">
        <w:t xml:space="preserve"> </w:t>
      </w:r>
      <w:r w:rsidR="00C93FB6" w:rsidRPr="00781897">
        <w:t xml:space="preserve">Whether these </w:t>
      </w:r>
      <w:r w:rsidR="003A4F6C" w:rsidRPr="00781897">
        <w:t xml:space="preserve">primary prevention MACCE </w:t>
      </w:r>
      <w:r w:rsidR="00C93FB6" w:rsidRPr="00781897">
        <w:t xml:space="preserve">benefits would be observed in a general type 2 </w:t>
      </w:r>
      <w:r w:rsidR="00C93FB6" w:rsidRPr="006F0C8B">
        <w:t xml:space="preserve">diabetes population remain </w:t>
      </w:r>
      <w:r w:rsidR="002E0F27" w:rsidRPr="006F0C8B">
        <w:t>unclear</w:t>
      </w:r>
      <w:r w:rsidR="00C93FB6" w:rsidRPr="006F0C8B">
        <w:t>.</w:t>
      </w:r>
    </w:p>
    <w:p w14:paraId="0E75EE3B" w14:textId="0CAF7F7A" w:rsidR="006F0C8B" w:rsidRDefault="008E0F0E" w:rsidP="00392DDE">
      <w:pPr>
        <w:spacing w:line="480" w:lineRule="auto"/>
      </w:pPr>
      <w:r w:rsidRPr="006F0C8B">
        <w:t>O</w:t>
      </w:r>
      <w:r w:rsidR="00420A01" w:rsidRPr="006F0C8B">
        <w:t>bs</w:t>
      </w:r>
      <w:r w:rsidR="006A2DA7" w:rsidRPr="006F0C8B">
        <w:t xml:space="preserve">ervational studies </w:t>
      </w:r>
      <w:r w:rsidRPr="006F0C8B">
        <w:t xml:space="preserve">assessing </w:t>
      </w:r>
      <w:r w:rsidR="00FA6376" w:rsidRPr="006F0C8B">
        <w:t>MACCE</w:t>
      </w:r>
      <w:r w:rsidR="007773D7" w:rsidRPr="006F0C8B">
        <w:t xml:space="preserve"> </w:t>
      </w:r>
      <w:r w:rsidRPr="006F0C8B">
        <w:t>risks</w:t>
      </w:r>
      <w:r w:rsidR="00F2418E" w:rsidRPr="006F0C8B">
        <w:t xml:space="preserve"> </w:t>
      </w:r>
      <w:r w:rsidR="001B45B6" w:rsidRPr="006F0C8B">
        <w:t xml:space="preserve">associated with </w:t>
      </w:r>
      <w:r w:rsidR="00420A01" w:rsidRPr="006F0C8B">
        <w:t>SGLT2is</w:t>
      </w:r>
      <w:r w:rsidRPr="006F0C8B">
        <w:t xml:space="preserve"> have </w:t>
      </w:r>
      <w:r w:rsidR="009D224E" w:rsidRPr="006F0C8B">
        <w:t xml:space="preserve">also </w:t>
      </w:r>
      <w:r w:rsidR="00F77F74" w:rsidRPr="006F0C8B">
        <w:t>been inconclusive</w:t>
      </w:r>
      <w:r w:rsidR="005B2E87" w:rsidRPr="006F0C8B">
        <w:t>.</w:t>
      </w:r>
      <w:r w:rsidR="002D389F">
        <w:fldChar w:fldCharType="begin" w:fldLock="1"/>
      </w:r>
      <w:r w:rsidR="002622F3">
        <w:instrText>ADDIN CSL_CITATION {"citationItems":[{"id":"ITEM-1","itemData":{"DOI":"10.1210/jc.2016-3446","ISSN":"0021-972X","author":[{"dropping-particle":"","family":"Toulis","given":"Konstantinos A.","non-dropping-particle":"","parse-names":false,"suffix":""},{"dropping-particle":"","family":"Willis","given":"Brian H.","non-dropping-particle":"","parse-names":false,"suffix":""},{"dropping-particle":"","family":"Marshall","given":"Tom","non-dropping-particle":"","parse-names":false,"suffix":""},{"dropping-particle":"","family":"Kumarendran","given":"Balachadran","non-dropping-particle":"","parse-names":false,"suffix":""},{"dropping-particle":"","family":"Gokhale","given":"Krishna","non-dropping-particle":"","parse-names":false,"suffix":""},{"dropping-particle":"","family":"Ghosh","given":"Sandip","non-dropping-particle":"","parse-names":false,"suffix":""},{"dropping-particle":"","family":"Thomas","given":"G. Neil","non-dropping-particle":"","parse-names":false,"suffix":""},{"dropping-particle":"","family":"Cheng","given":"Kar Keung","non-dropping-particle":"","parse-names":false,"suffix":""},{"dropping-particle":"","family":"Narendran","given":"Parth","non-dropping-particle":"","parse-names":false,"suffix":""},{"dropping-particle":"","family":"Hanif","given":"Wasim","non-dropping-particle":"","parse-names":false,"suffix":""},{"dropping-particle":"","family":"Nirantharakumar","given":"Krishnarajah","non-dropping-particle":"","parse-names":false,"suffix":""}],"container-title":"The Journal of Clinical Endocrinology &amp; Metabolism","id":"ITEM-1","issue":"5","issued":{"date-parts":[["2017","5","1"]]},"page":"1719-1725","title":"All-Cause Mortality in Patients With Diabetes Under Treatment With Dapagliflozin: A Population-Based, Open-Cohort Study in The Health Improvement Network Database","type":"article-journal","volume":"102"},"uris":["http://www.mendeley.com/documents/?uuid=60dabd33-361f-4b25-9c0d-45b46ad7b437"]},{"id":"ITEM-2","itemData":{"DOI":"10.1136/bmj.k119","ISSN":"0959-8138","author":[{"dropping-particle":"","family":"Patorno","given":"Elisabetta","non-dropping-particle":"","parse-names":false,"suffix":""},{"dropping-particle":"","family":"Goldfine","given":"Allison B","non-dropping-particle":"","parse-names":false,"suffix":""},{"dropping-particle":"","family":"Schneeweiss","given":"Sebastian","non-dropping-particle":"","parse-names":false,"suffix":""},{"dropping-particle":"","family":"Everett","given":"Brendan M","non-dropping-particle":"","parse-names":false,"suffix":""},{"dropping-particle":"","family":"Glynn","given":"Robert J","non-dropping-particle":"","parse-names":false,"suffix":""},{"dropping-particle":"","family":"Liu","given":"Jun","non-dropping-particle":"","parse-names":false,"suffix":""},{"dropping-particle":"","family":"Kim","given":"Seoyoung C","non-dropping-particle":"","parse-names":false,"suffix":""}],"container-title":"BMJ","id":"ITEM-2","issued":{"date-parts":[["2018","2","6"]]},"page":"k119","title":"Cardiovascular outcomes associated with canagliflozin versus other non-gliflozin antidiabetic drugs: population based cohort study","type":"article-journal","volume":"360"},"uris":["http://www.mendeley.com/documents/?uuid=d8ca3563-5bb9-4f2d-814a-8973ae27292f"]},{"id":"ITEM-3","itemData":{"DOI":"10.1016/j.jdiacomp.2021.107972","ISSN":"10568727","author":[{"dropping-particle":"","family":"DeRemer","given":"Christina E.","non-dropping-particle":"","parse-names":false,"suffix":""},{"dropping-particle":"","family":"Vouri","given":"Scott M.","non-dropping-particle":"","parse-names":false,"suffix":""},{"dropping-particle":"","family":"Guo","given":"Jingchuan","non-dropping-particle":"","parse-names":false,"suffix":""},{"dropping-particle":"","family":"Donahoo","given":"William T.","non-dropping-particle":"","parse-names":false,"suffix":""},{"dropping-particle":"","family":"Winterstein","given":"Almut G.","non-dropping-particle":"","parse-names":false,"suffix":""},{"dropping-particle":"","family":"Shao","given":"Hui","non-dropping-particle":"","parse-names":false,"suffix":""}],"container-title":"Journal of Diabetes and its Complications","id":"ITEM-3","issue":"9","issued":{"date-parts":[["2021","9"]]},"title":"Comparing cardiovascular benefits between GLP-1 receptor agonists and SGLT2 inhibitors as an add-on to metformin among patients with type 2 diabetes: A retrospective cohort study","type":"article-journal","volume":"35"},"uris":["http://www.mendeley.com/documents/?uuid=f5913c47-88e2-447c-90d5-9d8fe3812949"]},{"id":"ITEM-4","itemData":{"DOI":"10.1111/dom.14474","ISSN":"1462-8902","author":[{"dropping-particle":"","family":"Fralick","given":"Michael","non-dropping-particle":"","parse-names":false,"suffix":""},{"dropping-particle":"","family":"Schneeweiss","given":"Sebastian","non-dropping-particle":"","parse-names":false,"suffix":""},{"dropping-particle":"","family":"Redelmeier","given":"Donald A.","non-dropping-particle":"","parse-names":false,"suffix":""},{"dropping-particle":"","family":"Razak","given":"Fahad","non-dropping-particle":"","parse-names":false,"suffix":""},{"dropping-particle":"","family":"Gomes","given":"Tara","non-dropping-particle":"","parse-names":false,"suffix":""},{"dropping-particle":"","family":"Patorno","given":"Elisabetta","non-dropping-particle":"","parse-names":false,"suffix":""}],"container-title":"Diabetes, Obesity and Metabolism","id":"ITEM-4","issue":"10","issued":{"date-parts":[["2021","10","13"]]},"page":"2320-2328","title":"Comparative effectiveness and safety of sodium‐glucose cotransporter‐2 inhibitors versus metformin in patients with type 2 diabetes: An observational study using data from routine care","type":"article-journal","volume":"23"},"uris":["http://www.mendeley.com/documents/?uuid=08989038-1567-4c0c-b1da-a6261bb15ca9"]}],"mendeley":{"formattedCitation":"(24–27)","plainTextFormattedCitation":"(24–27)","previouslyFormattedCitation":"(24–27)"},"properties":{"noteIndex":0},"schema":"https://github.com/citation-style-language/schema/raw/master/csl-citation.json"}</w:instrText>
      </w:r>
      <w:r w:rsidR="002D389F">
        <w:fldChar w:fldCharType="separate"/>
      </w:r>
      <w:r w:rsidR="002622F3" w:rsidRPr="002622F3">
        <w:rPr>
          <w:noProof/>
        </w:rPr>
        <w:t>(24–27)</w:t>
      </w:r>
      <w:r w:rsidR="002D389F">
        <w:fldChar w:fldCharType="end"/>
      </w:r>
      <w:r w:rsidR="001B45B6" w:rsidRPr="006F0C8B">
        <w:t xml:space="preserve"> </w:t>
      </w:r>
      <w:r w:rsidR="009D224E" w:rsidRPr="006F0C8B">
        <w:t xml:space="preserve">The most convincing data </w:t>
      </w:r>
      <w:r w:rsidR="00FD5B7B" w:rsidRPr="006F0C8B">
        <w:t>co</w:t>
      </w:r>
      <w:r w:rsidRPr="006F0C8B">
        <w:t>me from</w:t>
      </w:r>
      <w:r w:rsidR="002E31BA" w:rsidRPr="006F0C8B">
        <w:t xml:space="preserve"> a large multi-national cohort</w:t>
      </w:r>
      <w:r w:rsidR="00E53945" w:rsidRPr="006F0C8B">
        <w:t xml:space="preserve"> </w:t>
      </w:r>
      <w:r w:rsidR="002E31BA" w:rsidRPr="006F0C8B">
        <w:t>show</w:t>
      </w:r>
      <w:r w:rsidR="00E53945" w:rsidRPr="006F0C8B">
        <w:t>ing</w:t>
      </w:r>
      <w:r w:rsidR="002E31BA" w:rsidRPr="006F0C8B">
        <w:t xml:space="preserve"> that in </w:t>
      </w:r>
      <w:r w:rsidR="00B608E7" w:rsidRPr="004849AB">
        <w:t>type 2 diabetes</w:t>
      </w:r>
      <w:r w:rsidR="005B336E" w:rsidRPr="006F0C8B">
        <w:t xml:space="preserve"> </w:t>
      </w:r>
      <w:r w:rsidR="002E31BA" w:rsidRPr="006F0C8B">
        <w:t xml:space="preserve">patients </w:t>
      </w:r>
      <w:r w:rsidR="003432F9" w:rsidRPr="006F0C8B">
        <w:t xml:space="preserve">(27% with </w:t>
      </w:r>
      <w:r w:rsidR="002E31BA" w:rsidRPr="006F0C8B">
        <w:t>CVD</w:t>
      </w:r>
      <w:r w:rsidR="005B336E" w:rsidRPr="006F0C8B">
        <w:t>)</w:t>
      </w:r>
      <w:r w:rsidR="002E31BA" w:rsidRPr="006F0C8B">
        <w:t xml:space="preserve">, </w:t>
      </w:r>
      <w:r w:rsidR="000D061B" w:rsidRPr="006F0C8B">
        <w:t>SGLT2</w:t>
      </w:r>
      <w:r w:rsidR="002E31BA" w:rsidRPr="006F0C8B">
        <w:t>i</w:t>
      </w:r>
      <w:r w:rsidR="009D224E" w:rsidRPr="006F0C8B">
        <w:t xml:space="preserve"> use was</w:t>
      </w:r>
      <w:r w:rsidRPr="006F0C8B">
        <w:t xml:space="preserve"> associated with</w:t>
      </w:r>
      <w:r w:rsidR="009D224E" w:rsidRPr="006F0C8B">
        <w:t xml:space="preserve"> lower risks of</w:t>
      </w:r>
      <w:r w:rsidRPr="006F0C8B">
        <w:t xml:space="preserve"> individual </w:t>
      </w:r>
      <w:r w:rsidR="00FA6376" w:rsidRPr="006F0C8B">
        <w:t>MACCE</w:t>
      </w:r>
      <w:r w:rsidRPr="006F0C8B">
        <w:t xml:space="preserve"> events </w:t>
      </w:r>
      <w:r w:rsidR="002E31BA" w:rsidRPr="006F0C8B">
        <w:t>w</w:t>
      </w:r>
      <w:r w:rsidRPr="006F0C8B">
        <w:t xml:space="preserve">hen compared to other </w:t>
      </w:r>
      <w:r w:rsidR="00E53945" w:rsidRPr="006F0C8B">
        <w:t>ADMs</w:t>
      </w:r>
      <w:r w:rsidR="005B336E" w:rsidRPr="006F0C8B">
        <w:t>.</w:t>
      </w:r>
      <w:r w:rsidR="005B2E87" w:rsidRPr="006F0C8B">
        <w:fldChar w:fldCharType="begin" w:fldLock="1"/>
      </w:r>
      <w:r w:rsidR="002622F3">
        <w:instrText>ADDIN CSL_CITATION {"citationItems":[{"id":"ITEM-1","itemData":{"DOI":"10.1016/j.jacc.2018.03.009","ISSN":"07351097","author":[{"dropping-particle":"","family":"Kosiborod","given":"Mikhail","non-dropping-particle":"","parse-names":false,"suffix":""},{"dropping-particle":"","family":"Lam","given":"Carolyn S.P.","non-dropping-particle":"","parse-names":false,"suffix":""},{"dropping-particle":"","family":"Kohsaka","given":"Shun","non-dropping-particle":"","parse-names":false,"suffix":""},{"dropping-particle":"","family":"Kim","given":"Dae Jung","non-dropping-particle":"","parse-names":false,"suffix":""},{"dropping-particle":"","family":"Karasik","given":"Avraham","non-dropping-particle":"","parse-names":false,"suffix":""},{"dropping-particle":"","family":"Shaw","given":"Jonathan","non-dropping-particle":"","parse-names":false,"suffix":""},{"dropping-particle":"","family":"Tangri","given":"Navdeep","non-dropping-particle":"","parse-names":false,"suffix":""},{"dropping-particle":"","family":"Goh","given":"Su-Yen","non-dropping-particle":"","parse-names":false,"suffix":""},{"dropping-particle":"","family":"Thuresson","given":"Marcus","non-dropping-particle":"","parse-names":false,"suffix":""},{"dropping-particle":"","family":"Chen","given":"Hungta","non-dropping-particle":"","parse-names":false,"suffix":""},{"dropping-particle":"","family":"Surmont","given":"Filip","non-dropping-particle":"","parse-names":false,"suffix":""},{"dropping-particle":"","family":"Hammar","given":"Niklas","non-dropping-particle":"","parse-names":false,"suffix":""},{"dropping-particle":"","family":"Fenici","given":"Peter","non-dropping-particle":"","parse-names":false,"suffix":""},{"dropping-particle":"","family":"Kosiborod","given":"Mikhail","non-dropping-particle":"","parse-names":false,"suffix":""},{"dropping-particle":"","family":"Cavender","given":"Matthew A.","non-dropping-particle":"","parse-names":false,"suffix":""},{"dropping-particle":"","family":"Fu","given":"Alex Z.","non-dropping-particle":"","parse-names":false,"suffix":""},{"dropping-particle":"","family":"Wilding","given":"John P.","non-dropping-particle":"","parse-names":false,"suffix":""},{"dropping-particle":"","family":"Khunti","given":"Kamlesh","non-dropping-particle":"","parse-names":false,"suffix":""},{"dropping-particle":"","family":"Norhammar","given":"Anna","non-dropping-particle":"","parse-names":false,"suffix":""},{"dropping-particle":"","family":"Birkeland","given":"Kåre","non-dropping-particle":"","parse-names":false,"suffix":""},{"dropping-particle":"","family":"Jørgensen","given":"Marit Eika","non-dropping-particle":"","parse-names":false,"suffix":""},{"dropping-particle":"","family":"Holl","given":"Reinhard W.","non-dropping-particle":"","parse-names":false,"suffix":""},{"dropping-particle":"","family":"Lam","given":"Carolyn SP","non-dropping-particle":"","parse-names":false,"suffix":""},{"dropping-particle":"","family":"Gulseth","given":"Hanne Løvdal","non-dropping-particle":"","parse-names":false,"suffix":""},{"dropping-particle":"","family":"Carstensen","given":"Bendix","non-dropping-particle":"","parse-names":false,"suffix":""},{"dropping-particle":"","family":"Bollow","given":"Esther","non-dropping-particle":"","parse-names":false,"suffix":""},{"dropping-particle":"","family":"Franch-Nadal","given":"Josep","non-dropping-particle":"","parse-names":false,"suffix":""},{"dropping-particle":"","family":"García Rodríguez","given":"Luis Alberto","non-dropping-particle":"","parse-names":false,"suffix":""},{"dropping-particle":"","family":"Karasik","given":"Avraham","non-dropping-particle":"","parse-names":false,"suffix":""},{"dropping-particle":"","family":"Tangri","given":"Navdeep","non-dropping-particle":"","parse-names":false,"suffix":""},{"dropping-particle":"","family":"Kohsaka","given":"Shun","non-dropping-particle":"","parse-names":false,"suffix":""},{"dropping-particle":"","family":"Kim","given":"Dae Jung","non-dropping-particle":"","parse-names":false,"suffix":""},{"dropping-particle":"","family":"Shaw","given":"Jonathan","non-dropping-particle":"","parse-names":false,"suffix":""},{"dropping-particle":"","family":"Arnold","given":"Suzanne","non-dropping-particle":"","parse-names":false,"suffix":""},{"dropping-particle":"","family":"Goh","given":"Su-Yen","non-dropping-particle":"","parse-names":false,"suffix":""},{"dropping-particle":"","family":"Hammar","given":"Niklas","non-dropping-particle":"","parse-names":false,"suffix":""},{"dropping-particle":"","family":"Fenici","given":"Peter","non-dropping-particle":"","parse-names":false,"suffix":""},{"dropping-particle":"","family":"Bodegård","given":"Johan","non-dropping-particle":"","parse-names":false,"suffix":""},{"dropping-particle":"","family":"Chen","given":"Hungta","non-dropping-particle":"","parse-names":false,"suffix":""},{"dropping-particle":"","family":"Surmont","given":"Filip","non-dropping-particle":"","parse-names":false,"suffix":""},{"dropping-particle":"","family":"Nahrebne","given":"Kyle","non-dropping-particle":"","parse-names":false,"suffix":""},{"dropping-particle":"","family":"Blak","given":"Betina T.","non-dropping-particle":"","parse-names":false,"suffix":""},{"dropping-particle":"","family":"Wittbrodt","given":"Eric T.","non-dropping-particle":"","parse-names":false,"suffix":""},{"dropping-particle":"","family":"Saathoff","given":"Matthias","non-dropping-particle":"","parse-names":false,"suffix":""},{"dropping-particle":"","family":"Noguchi","given":"Yusuke","non-dropping-particle":"","parse-names":false,"suffix":""},{"dropping-particle":"","family":"Tan","given":"Donna","non-dropping-particle":"","parse-names":false,"suffix":""},{"dropping-particle":"","family":"Williams","given":"Maro","non-dropping-particle":"","parse-names":false,"suffix":""},{"dropping-particle":"","family":"Lee","given":"Hye Won","non-dropping-particle":"","parse-names":false,"suffix":""},{"dropping-particle":"","family":"Greenbloom","given":"Maya","non-dropping-particle":"","parse-names":false,"suffix":""},{"dropping-particle":"","family":"Kaidanovich-Beilin","given":"Oksana","non-dropping-particle":"","parse-names":false,"suffix":""},{"dropping-particle":"","family":"Yeo","given":"Khung Keong","non-dropping-particle":"","parse-names":false,"suffix":""},{"dropping-particle":"","family":"Bee","given":"Yong Mong","non-dropping-particle":"","parse-names":false,"suffix":""},{"dropping-particle":"","family":"Khoo","given":"Joan","non-dropping-particle":"","parse-names":false,"suffix":""},{"dropping-particle":"","family":"Koong","given":"Agnes","non-dropping-particle":"","parse-names":false,"suffix":""},{"dropping-particle":"","family":"Lau","given":"Yee How","non-dropping-particle":"","parse-names":false,"suffix":""},{"dropping-particle":"","family":"Gao","given":"Fei","non-dropping-particle":"","parse-names":false,"suffix":""},{"dropping-particle":"","family":"Tan","given":"Wee Boon","non-dropping-particle":"","parse-names":false,"suffix":""},{"dropping-particle":"","family":"Kadir","given":"Hanis Abdul","non-dropping-particle":"","parse-names":false,"suffix":""},{"dropping-particle":"","family":"Ha","given":"Kyoung Hwa","non-dropping-particle":"","parse-names":false,"suffix":""},{"dropping-particle":"","family":"Lee","given":"Jinhee","non-dropping-particle":"","parse-names":false,"suffix":""},{"dropping-particle":"","family":"Chodick","given":"Gabriel","non-dropping-particle":"","parse-names":false,"suffix":""},{"dropping-particle":"","family":"Melzer Cohen","given":"Cheli","non-dropping-particle":"","parse-names":false,"suffix":""},{"dropping-particle":"","family":"Whitlock","given":"Reid","non-dropping-particle":"","parse-names":false,"suffix":""},{"dropping-particle":"","family":"Cea Soriano","given":"Lucia","non-dropping-particle":"","parse-names":false,"suffix":""},{"dropping-particle":"","family":"Fernándex Cantero","given":"Oscar","non-dropping-particle":"","parse-names":false,"suffix":""},{"dropping-particle":"","family":"Riehle","given":"Ellen","non-dropping-particle":"","parse-names":false,"suffix":""},{"dropping-particle":"","family":"Ilomaki","given":"Jennie","non-dropping-particle":"","parse-names":false,"suffix":""},{"dropping-particle":"","family":"Magliano","given":"Dianna","non-dropping-particle":"","parse-names":false,"suffix":""}],"container-title":"Journal of the American College of Cardiology","id":"ITEM-1","issue":"23","issued":{"date-parts":[["2018","6"]]},"page":"2628-2639","title":"Cardiovascular Events Associated With SGLT-2 Inhibitors Versus Other Glucose-Lowering Drugs","type":"article-journal","volume":"71"},"uris":["http://www.mendeley.com/documents/?uuid=1f603d03-11eb-4266-8096-5d0553d8e1d6"]}],"mendeley":{"formattedCitation":"(28)","plainTextFormattedCitation":"(28)","previouslyFormattedCitation":"(28)"},"properties":{"noteIndex":0},"schema":"https://github.com/citation-style-language/schema/raw/master/csl-citation.json"}</w:instrText>
      </w:r>
      <w:r w:rsidR="005B2E87" w:rsidRPr="006F0C8B">
        <w:fldChar w:fldCharType="separate"/>
      </w:r>
      <w:r w:rsidR="002622F3" w:rsidRPr="002622F3">
        <w:rPr>
          <w:noProof/>
        </w:rPr>
        <w:t>(28)</w:t>
      </w:r>
      <w:r w:rsidR="005B2E87" w:rsidRPr="006F0C8B">
        <w:fldChar w:fldCharType="end"/>
      </w:r>
      <w:r w:rsidR="00D27C5D" w:rsidRPr="006F0C8B">
        <w:t xml:space="preserve"> However</w:t>
      </w:r>
      <w:r w:rsidR="008258F2" w:rsidRPr="006F0C8B">
        <w:t>,</w:t>
      </w:r>
      <w:r w:rsidR="001E7432" w:rsidRPr="006F0C8B">
        <w:t xml:space="preserve"> this work</w:t>
      </w:r>
      <w:r w:rsidR="00DA5288" w:rsidRPr="006F0C8B">
        <w:t xml:space="preserve"> </w:t>
      </w:r>
      <w:r w:rsidR="00094FEB" w:rsidRPr="006F0C8B">
        <w:t xml:space="preserve">did not </w:t>
      </w:r>
      <w:r w:rsidR="002A1DCB" w:rsidRPr="006F0C8B">
        <w:t xml:space="preserve">report primary prevention </w:t>
      </w:r>
      <w:r w:rsidR="00E53945" w:rsidRPr="006F0C8B">
        <w:t>data</w:t>
      </w:r>
      <w:r w:rsidR="004E77FE" w:rsidRPr="006F0C8B">
        <w:t>,</w:t>
      </w:r>
      <w:r w:rsidR="001E7432" w:rsidRPr="006F0C8B">
        <w:t xml:space="preserve"> </w:t>
      </w:r>
      <w:r w:rsidR="006D5239" w:rsidRPr="006F0C8B">
        <w:t>the prop</w:t>
      </w:r>
      <w:r w:rsidR="00FD5B7B" w:rsidRPr="006F0C8B">
        <w:t>ensity score used did not account</w:t>
      </w:r>
      <w:r w:rsidR="008D1E88" w:rsidRPr="006F0C8B">
        <w:t xml:space="preserve"> for</w:t>
      </w:r>
      <w:r w:rsidR="006D5239" w:rsidRPr="006F0C8B">
        <w:t xml:space="preserve"> </w:t>
      </w:r>
      <w:r w:rsidR="008258F2" w:rsidRPr="006F0C8B">
        <w:t xml:space="preserve">important </w:t>
      </w:r>
      <w:r w:rsidR="00423D96" w:rsidRPr="006F0C8B">
        <w:t xml:space="preserve">confounders </w:t>
      </w:r>
      <w:r w:rsidR="004E77FE" w:rsidRPr="006F0C8B">
        <w:t>and follow-up was only 1 year</w:t>
      </w:r>
      <w:r w:rsidR="00FD5B7B" w:rsidRPr="006F0C8B">
        <w:t>.</w:t>
      </w:r>
      <w:r w:rsidR="005B2E87" w:rsidRPr="006F0C8B">
        <w:fldChar w:fldCharType="begin" w:fldLock="1"/>
      </w:r>
      <w:r w:rsidR="002622F3">
        <w:instrText>ADDIN CSL_CITATION {"citationItems":[{"id":"ITEM-1","itemData":{"DOI":"10.1016/j.jacc.2018.03.009","ISSN":"07351097","author":[{"dropping-particle":"","family":"Kosiborod","given":"Mikhail","non-dropping-particle":"","parse-names":false,"suffix":""},{"dropping-particle":"","family":"Lam","given":"Carolyn S.P.","non-dropping-particle":"","parse-names":false,"suffix":""},{"dropping-particle":"","family":"Kohsaka","given":"Shun","non-dropping-particle":"","parse-names":false,"suffix":""},{"dropping-particle":"","family":"Kim","given":"Dae Jung","non-dropping-particle":"","parse-names":false,"suffix":""},{"dropping-particle":"","family":"Karasik","given":"Avraham","non-dropping-particle":"","parse-names":false,"suffix":""},{"dropping-particle":"","family":"Shaw","given":"Jonathan","non-dropping-particle":"","parse-names":false,"suffix":""},{"dropping-particle":"","family":"Tangri","given":"Navdeep","non-dropping-particle":"","parse-names":false,"suffix":""},{"dropping-particle":"","family":"Goh","given":"Su-Yen","non-dropping-particle":"","parse-names":false,"suffix":""},{"dropping-particle":"","family":"Thuresson","given":"Marcus","non-dropping-particle":"","parse-names":false,"suffix":""},{"dropping-particle":"","family":"Chen","given":"Hungta","non-dropping-particle":"","parse-names":false,"suffix":""},{"dropping-particle":"","family":"Surmont","given":"Filip","non-dropping-particle":"","parse-names":false,"suffix":""},{"dropping-particle":"","family":"Hammar","given":"Niklas","non-dropping-particle":"","parse-names":false,"suffix":""},{"dropping-particle":"","family":"Fenici","given":"Peter","non-dropping-particle":"","parse-names":false,"suffix":""},{"dropping-particle":"","family":"Kosiborod","given":"Mikhail","non-dropping-particle":"","parse-names":false,"suffix":""},{"dropping-particle":"","family":"Cavender","given":"Matthew A.","non-dropping-particle":"","parse-names":false,"suffix":""},{"dropping-particle":"","family":"Fu","given":"Alex Z.","non-dropping-particle":"","parse-names":false,"suffix":""},{"dropping-particle":"","family":"Wilding","given":"John P.","non-dropping-particle":"","parse-names":false,"suffix":""},{"dropping-particle":"","family":"Khunti","given":"Kamlesh","non-dropping-particle":"","parse-names":false,"suffix":""},{"dropping-particle":"","family":"Norhammar","given":"Anna","non-dropping-particle":"","parse-names":false,"suffix":""},{"dropping-particle":"","family":"Birkeland","given":"Kåre","non-dropping-particle":"","parse-names":false,"suffix":""},{"dropping-particle":"","family":"Jørgensen","given":"Marit Eika","non-dropping-particle":"","parse-names":false,"suffix":""},{"dropping-particle":"","family":"Holl","given":"Reinhard W.","non-dropping-particle":"","parse-names":false,"suffix":""},{"dropping-particle":"","family":"Lam","given":"Carolyn SP","non-dropping-particle":"","parse-names":false,"suffix":""},{"dropping-particle":"","family":"Gulseth","given":"Hanne Løvdal","non-dropping-particle":"","parse-names":false,"suffix":""},{"dropping-particle":"","family":"Carstensen","given":"Bendix","non-dropping-particle":"","parse-names":false,"suffix":""},{"dropping-particle":"","family":"Bollow","given":"Esther","non-dropping-particle":"","parse-names":false,"suffix":""},{"dropping-particle":"","family":"Franch-Nadal","given":"Josep","non-dropping-particle":"","parse-names":false,"suffix":""},{"dropping-particle":"","family":"García Rodríguez","given":"Luis Alberto","non-dropping-particle":"","parse-names":false,"suffix":""},{"dropping-particle":"","family":"Karasik","given":"Avraham","non-dropping-particle":"","parse-names":false,"suffix":""},{"dropping-particle":"","family":"Tangri","given":"Navdeep","non-dropping-particle":"","parse-names":false,"suffix":""},{"dropping-particle":"","family":"Kohsaka","given":"Shun","non-dropping-particle":"","parse-names":false,"suffix":""},{"dropping-particle":"","family":"Kim","given":"Dae Jung","non-dropping-particle":"","parse-names":false,"suffix":""},{"dropping-particle":"","family":"Shaw","given":"Jonathan","non-dropping-particle":"","parse-names":false,"suffix":""},{"dropping-particle":"","family":"Arnold","given":"Suzanne","non-dropping-particle":"","parse-names":false,"suffix":""},{"dropping-particle":"","family":"Goh","given":"Su-Yen","non-dropping-particle":"","parse-names":false,"suffix":""},{"dropping-particle":"","family":"Hammar","given":"Niklas","non-dropping-particle":"","parse-names":false,"suffix":""},{"dropping-particle":"","family":"Fenici","given":"Peter","non-dropping-particle":"","parse-names":false,"suffix":""},{"dropping-particle":"","family":"Bodegård","given":"Johan","non-dropping-particle":"","parse-names":false,"suffix":""},{"dropping-particle":"","family":"Chen","given":"Hungta","non-dropping-particle":"","parse-names":false,"suffix":""},{"dropping-particle":"","family":"Surmont","given":"Filip","non-dropping-particle":"","parse-names":false,"suffix":""},{"dropping-particle":"","family":"Nahrebne","given":"Kyle","non-dropping-particle":"","parse-names":false,"suffix":""},{"dropping-particle":"","family":"Blak","given":"Betina T.","non-dropping-particle":"","parse-names":false,"suffix":""},{"dropping-particle":"","family":"Wittbrodt","given":"Eric T.","non-dropping-particle":"","parse-names":false,"suffix":""},{"dropping-particle":"","family":"Saathoff","given":"Matthias","non-dropping-particle":"","parse-names":false,"suffix":""},{"dropping-particle":"","family":"Noguchi","given":"Yusuke","non-dropping-particle":"","parse-names":false,"suffix":""},{"dropping-particle":"","family":"Tan","given":"Donna","non-dropping-particle":"","parse-names":false,"suffix":""},{"dropping-particle":"","family":"Williams","given":"Maro","non-dropping-particle":"","parse-names":false,"suffix":""},{"dropping-particle":"","family":"Lee","given":"Hye Won","non-dropping-particle":"","parse-names":false,"suffix":""},{"dropping-particle":"","family":"Greenbloom","given":"Maya","non-dropping-particle":"","parse-names":false,"suffix":""},{"dropping-particle":"","family":"Kaidanovich-Beilin","given":"Oksana","non-dropping-particle":"","parse-names":false,"suffix":""},{"dropping-particle":"","family":"Yeo","given":"Khung Keong","non-dropping-particle":"","parse-names":false,"suffix":""},{"dropping-particle":"","family":"Bee","given":"Yong Mong","non-dropping-particle":"","parse-names":false,"suffix":""},{"dropping-particle":"","family":"Khoo","given":"Joan","non-dropping-particle":"","parse-names":false,"suffix":""},{"dropping-particle":"","family":"Koong","given":"Agnes","non-dropping-particle":"","parse-names":false,"suffix":""},{"dropping-particle":"","family":"Lau","given":"Yee How","non-dropping-particle":"","parse-names":false,"suffix":""},{"dropping-particle":"","family":"Gao","given":"Fei","non-dropping-particle":"","parse-names":false,"suffix":""},{"dropping-particle":"","family":"Tan","given":"Wee Boon","non-dropping-particle":"","parse-names":false,"suffix":""},{"dropping-particle":"","family":"Kadir","given":"Hanis Abdul","non-dropping-particle":"","parse-names":false,"suffix":""},{"dropping-particle":"","family":"Ha","given":"Kyoung Hwa","non-dropping-particle":"","parse-names":false,"suffix":""},{"dropping-particle":"","family":"Lee","given":"Jinhee","non-dropping-particle":"","parse-names":false,"suffix":""},{"dropping-particle":"","family":"Chodick","given":"Gabriel","non-dropping-particle":"","parse-names":false,"suffix":""},{"dropping-particle":"","family":"Melzer Cohen","given":"Cheli","non-dropping-particle":"","parse-names":false,"suffix":""},{"dropping-particle":"","family":"Whitlock","given":"Reid","non-dropping-particle":"","parse-names":false,"suffix":""},{"dropping-particle":"","family":"Cea Soriano","given":"Lucia","non-dropping-particle":"","parse-names":false,"suffix":""},{"dropping-particle":"","family":"Fernándex Cantero","given":"Oscar","non-dropping-particle":"","parse-names":false,"suffix":""},{"dropping-particle":"","family":"Riehle","given":"Ellen","non-dropping-particle":"","parse-names":false,"suffix":""},{"dropping-particle":"","family":"Ilomaki","given":"Jennie","non-dropping-particle":"","parse-names":false,"suffix":""},{"dropping-particle":"","family":"Magliano","given":"Dianna","non-dropping-particle":"","parse-names":false,"suffix":""}],"container-title":"Journal of the American College of Cardiology","id":"ITEM-1","issue":"23","issued":{"date-parts":[["2018","6"]]},"page":"2628-2639","title":"Cardiovascular Events Associated With SGLT-2 Inhibitors Versus Other Glucose-Lowering Drugs","type":"article-journal","volume":"71"},"uris":["http://www.mendeley.com/documents/?uuid=1f603d03-11eb-4266-8096-5d0553d8e1d6"]}],"mendeley":{"formattedCitation":"(28)","plainTextFormattedCitation":"(28)","previouslyFormattedCitation":"(28)"},"properties":{"noteIndex":0},"schema":"https://github.com/citation-style-language/schema/raw/master/csl-citation.json"}</w:instrText>
      </w:r>
      <w:r w:rsidR="005B2E87" w:rsidRPr="006F0C8B">
        <w:fldChar w:fldCharType="separate"/>
      </w:r>
      <w:r w:rsidR="002622F3" w:rsidRPr="002622F3">
        <w:rPr>
          <w:noProof/>
        </w:rPr>
        <w:t>(28)</w:t>
      </w:r>
      <w:r w:rsidR="005B2E87" w:rsidRPr="006F0C8B">
        <w:fldChar w:fldCharType="end"/>
      </w:r>
      <w:r w:rsidR="00BC3282" w:rsidRPr="006F0C8B">
        <w:t xml:space="preserve"> </w:t>
      </w:r>
      <w:r w:rsidR="00392DDE">
        <w:t>In recent observational stud</w:t>
      </w:r>
      <w:r w:rsidR="00D21C33">
        <w:t>ies comparing SGLT2i with GLP-1RA</w:t>
      </w:r>
      <w:r w:rsidR="00392DDE">
        <w:t>, cardiovascular risks appeared similar</w:t>
      </w:r>
      <w:r w:rsidR="000E3103">
        <w:t xml:space="preserve"> </w:t>
      </w:r>
      <w:r w:rsidR="000E3103">
        <w:fldChar w:fldCharType="begin" w:fldLock="1"/>
      </w:r>
      <w:r w:rsidR="002622F3">
        <w:instrText>ADDIN CSL_CITATION {"citationItems":[{"id":"ITEM-1","itemData":{"DOI":"10.1186/s12933-021-01258-x","ISSN":"1475-2840","author":[{"dropping-particle":"","family":"Lugner","given":"Moa","non-dropping-particle":"","parse-names":false,"suffix":""},{"dropping-particle":"","family":"Sattar","given":"Naveed","non-dropping-particle":"","parse-names":false,"suffix":""},{"dropping-particle":"","family":"Miftaraj","given":"Mervete","non-dropping-particle":"","parse-names":false,"suffix":""},{"dropping-particle":"","family":"Ekelund","given":"Jan","non-dropping-particle":"","parse-names":false,"suffix":""},{"dropping-particle":"","family":"Franzén","given":"Stefan","non-dropping-particle":"","parse-names":false,"suffix":""},{"dropping-particle":"","family":"Svensson","given":"Ann-Marie","non-dropping-particle":"","parse-names":false,"suffix":""},{"dropping-particle":"","family":"Eliasson","given":"Björn","non-dropping-particle":"","parse-names":false,"suffix":""}],"container-title":"Cardiovascular Diabetology","id":"ITEM-1","issue":"1","issued":{"date-parts":[["2021","12","22"]]},"page":"67","title":"Cardiorenal and other diabetes related outcomes with SGLT-2 inhibitors compared to GLP-1 receptor agonists in type 2 diabetes: nationwide observational study","type":"article-journal","volume":"20"},"uris":["http://www.mendeley.com/documents/?uuid=ba5c2039-25ae-4ba0-a350-3f0d7af4a276"]},{"id":"ITEM-2","itemData":{"DOI":"10.2337/dc20-1464","ISSN":"0149-5992","author":[{"dropping-particle":"","family":"Patorno","given":"Elisabetta","non-dropping-particle":"","parse-names":false,"suffix":""},{"dropping-particle":"","family":"Pawar","given":"Ajinkya","non-dropping-particle":"","parse-names":false,"suffix":""},{"dropping-particle":"","family":"Bessette","given":"Lily G.","non-dropping-particle":"","parse-names":false,"suffix":""},{"dropping-particle":"","family":"Kim","given":"Dae H.","non-dropping-particle":"","parse-names":false,"suffix":""},{"dropping-particle":"","family":"Dave","given":"Chintan","non-dropping-particle":"","parse-names":false,"suffix":""},{"dropping-particle":"","family":"Glynn","given":"Robert J.","non-dropping-particle":"","parse-names":false,"suffix":""},{"dropping-particle":"","family":"Munshi","given":"Medha N.","non-dropping-particle":"","parse-names":false,"suffix":""},{"dropping-particle":"","family":"Schneeweiss","given":"Sebastian","non-dropping-particle":"","parse-names":false,"suffix":""},{"dropping-particle":"","family":"Wexler","given":"Deborah J.","non-dropping-particle":"","parse-names":false,"suffix":""},{"dropping-particle":"","family":"Kim","given":"Seoyoung C.","non-dropping-particle":"","parse-names":false,"suffix":""}],"container-title":"Diabetes Care","id":"ITEM-2","issue":"3","issued":{"date-parts":[["2021","3"]]},"page":"826-835","title":"Comparative Effectiveness and Safety of Sodium–Glucose Cotransporter 2 Inhibitors Versus Glucagon-Like Peptide 1 Receptor Agonists in Older Adults","type":"article-journal","volume":"44"},"uris":["http://www.mendeley.com/documents/?uuid=97bc13b2-0e1d-4a25-bc5a-78e1852222f3"]},{"id":"ITEM-3","itemData":{"DOI":"10.1016/j.jdiacomp.2021.107972","ISSN":"10568727","author":[{"dropping-particle":"","family":"DeRemer","given":"Christina E.","non-dropping-particle":"","parse-names":false,"suffix":""},{"dropping-particle":"","family":"Vouri","given":"Scott M.","non-dropping-particle":"","parse-names":false,"suffix":""},{"dropping-particle":"","family":"Guo","given":"Jingchuan","non-dropping-particle":"","parse-names":false,"suffix":""},{"dropping-particle":"","family":"Donahoo","given":"William T.","non-dropping-particle":"","parse-names":false,"suffix":""},{"dropping-particle":"","family":"Winterstein","given":"Almut G.","non-dropping-particle":"","parse-names":false,"suffix":""},{"dropping-particle":"","family":"Shao","given":"Hui","non-dropping-particle":"","parse-names":false,"suffix":""}],"container-title":"Journal of Diabetes and its Complications","id":"ITEM-3","issue":"9","issued":{"date-parts":[["2021","9"]]},"title":"Comparing cardiovascular benefits between GLP-1 receptor agonists and SGLT2 inhibitors as an add-on to metformin among patients with type 2 diabetes: A retrospective cohort study","type":"article-journal","volume":"35"},"uris":["http://www.mendeley.com/documents/?uuid=f5913c47-88e2-447c-90d5-9d8fe3812949"]}],"mendeley":{"formattedCitation":"(26,29,30)","plainTextFormattedCitation":"(26,29,30)","previouslyFormattedCitation":"(26,29,30)"},"properties":{"noteIndex":0},"schema":"https://github.com/citation-style-language/schema/raw/master/csl-citation.json"}</w:instrText>
      </w:r>
      <w:r w:rsidR="000E3103">
        <w:fldChar w:fldCharType="separate"/>
      </w:r>
      <w:r w:rsidR="002622F3" w:rsidRPr="002622F3">
        <w:rPr>
          <w:noProof/>
        </w:rPr>
        <w:t>(26,29,30)</w:t>
      </w:r>
      <w:r w:rsidR="000E3103">
        <w:fldChar w:fldCharType="end"/>
      </w:r>
      <w:r w:rsidR="00392DDE" w:rsidRPr="00392DDE">
        <w:t xml:space="preserve"> </w:t>
      </w:r>
      <w:r w:rsidR="000E3103">
        <w:t>with cardioprotective benefits observed in secondary prevention.</w:t>
      </w:r>
      <w:r w:rsidR="000E3103">
        <w:fldChar w:fldCharType="begin" w:fldLock="1"/>
      </w:r>
      <w:r w:rsidR="002622F3">
        <w:instrText>ADDIN CSL_CITATION {"citationItems":[{"id":"ITEM-1","itemData":{"DOI":"10.1016/j.jdiacomp.2021.107972","ISSN":"10568727","author":[{"dropping-particle":"","family":"DeRemer","given":"Christina E.","non-dropping-particle":"","parse-names":false,"suffix":""},{"dropping-particle":"","family":"Vouri","given":"Scott M.","non-dropping-particle":"","parse-names":false,"suffix":""},{"dropping-particle":"","family":"Guo","given":"Jingchuan","non-dropping-particle":"","parse-names":false,"suffix":""},{"dropping-particle":"","family":"Donahoo","given":"William T.","non-dropping-particle":"","parse-names":false,"suffix":""},{"dropping-particle":"","family":"Winterstein","given":"Almut G.","non-dropping-particle":"","parse-names":false,"suffix":""},{"dropping-particle":"","family":"Shao","given":"Hui","non-dropping-particle":"","parse-names":false,"suffix":""}],"container-title":"Journal of Diabetes and its Complications","id":"ITEM-1","issue":"9","issued":{"date-parts":[["2021","9"]]},"title":"Comparing cardiovascular benefits between GLP-1 receptor agonists and SGLT2 inhibitors as an add-on to metformin among patients with type 2 diabetes: A retrospective cohort study","type":"article-journal","volume":"35"},"uris":["http://www.mendeley.com/documents/?uuid=f5913c47-88e2-447c-90d5-9d8fe3812949"]}],"mendeley":{"formattedCitation":"(26)","plainTextFormattedCitation":"(26)","previouslyFormattedCitation":"(26)"},"properties":{"noteIndex":0},"schema":"https://github.com/citation-style-language/schema/raw/master/csl-citation.json"}</w:instrText>
      </w:r>
      <w:r w:rsidR="000E3103">
        <w:fldChar w:fldCharType="separate"/>
      </w:r>
      <w:r w:rsidR="002622F3" w:rsidRPr="002622F3">
        <w:rPr>
          <w:noProof/>
        </w:rPr>
        <w:t>(26)</w:t>
      </w:r>
      <w:r w:rsidR="000E3103">
        <w:fldChar w:fldCharType="end"/>
      </w:r>
      <w:r w:rsidR="000E3103">
        <w:t xml:space="preserve"> </w:t>
      </w:r>
      <w:r w:rsidR="004501B1">
        <w:t>Compared with DPP-4 inhibitors</w:t>
      </w:r>
      <w:r w:rsidR="00C11E72">
        <w:t xml:space="preserve"> and </w:t>
      </w:r>
      <w:r w:rsidR="004501B1">
        <w:t>sulphonylureas</w:t>
      </w:r>
      <w:r w:rsidR="002D389F">
        <w:t xml:space="preserve"> (</w:t>
      </w:r>
      <w:r w:rsidR="004501B1">
        <w:t>the first</w:t>
      </w:r>
      <w:r w:rsidR="002D389F">
        <w:t>-</w:t>
      </w:r>
      <w:r w:rsidR="004501B1">
        <w:t>choice drugs for treatment intensification after metformin</w:t>
      </w:r>
      <w:r w:rsidR="002D389F">
        <w:t>)</w:t>
      </w:r>
      <w:r w:rsidR="00C11E72">
        <w:t xml:space="preserve"> or placebo</w:t>
      </w:r>
      <w:r w:rsidR="004501B1">
        <w:t>, short term use of SGLT2i was associated with reduced risks of MACCE (specifically myocardial infarction and cardiovascular death), heart failure and all-</w:t>
      </w:r>
      <w:r w:rsidR="004501B1">
        <w:lastRenderedPageBreak/>
        <w:t>cause mortality</w:t>
      </w:r>
      <w:r w:rsidR="00C11E72">
        <w:t xml:space="preserve"> with modest </w:t>
      </w:r>
      <w:r w:rsidR="006E0676">
        <w:t>or neutral effects</w:t>
      </w:r>
      <w:r w:rsidR="00C11E72">
        <w:t xml:space="preserve"> </w:t>
      </w:r>
      <w:r w:rsidR="006E0676">
        <w:t>on</w:t>
      </w:r>
      <w:r w:rsidR="00C11E72">
        <w:t xml:space="preserve"> stroke</w:t>
      </w:r>
      <w:r w:rsidR="004501B1">
        <w:t>.</w:t>
      </w:r>
      <w:r w:rsidR="003826E1">
        <w:fldChar w:fldCharType="begin" w:fldLock="1"/>
      </w:r>
      <w:r w:rsidR="002622F3">
        <w:instrText>ADDIN CSL_CITATION {"citationItems":[{"id":"ITEM-1","itemData":{"DOI":"10.1136/bmj.m3342","ISSN":"1756-1833","author":[{"dropping-particle":"","family":"Filion","given":"Kristian B","non-dropping-particle":"","parse-names":false,"suffix":""},{"dropping-particle":"","family":"Lix","given":"Lisa M","non-dropping-particle":"","parse-names":false,"suffix":""},{"dropping-particle":"","family":"Yu","given":"Oriana HY","non-dropping-particle":"","parse-names":false,"suffix":""},{"dropping-particle":"","family":"Dell’Aniello","given":"Sophie","non-dropping-particle":"","parse-names":false,"suffix":""},{"dropping-particle":"","family":"Douros","given":"Antonios","non-dropping-particle":"","parse-names":false,"suffix":""},{"dropping-particle":"","family":"Shah","given":"Baiju R","non-dropping-particle":"","parse-names":false,"suffix":""},{"dropping-particle":"","family":"St-Jean","given":"Audray","non-dropping-particle":"","parse-names":false,"suffix":""},{"dropping-particle":"","family":"Fisher","given":"Anat","non-dropping-particle":"","parse-names":false,"suffix":""},{"dropping-particle":"","family":"Tremblay","given":"Eric","non-dropping-particle":"","parse-names":false,"suffix":""},{"dropping-particle":"","family":"Bugden","given":"Shawn C","non-dropping-particle":"","parse-names":false,"suffix":""},{"dropping-particle":"","family":"Alessi-Severini","given":"Silvia","non-dropping-particle":"","parse-names":false,"suffix":""},{"dropping-particle":"","family":"Ronksley","given":"Paul E","non-dropping-particle":"","parse-names":false,"suffix":""},{"dropping-particle":"","family":"Hu","given":"Nianping","non-dropping-particle":"","parse-names":false,"suffix":""},{"dropping-particle":"","family":"Dormuth","given":"Colin R","non-dropping-particle":"","parse-names":false,"suffix":""},{"dropping-particle":"","family":"Ernst","given":"Pierre","non-dropping-particle":"","parse-names":false,"suffix":""},{"dropping-particle":"","family":"Suissa","given":"Samy","non-dropping-particle":"","parse-names":false,"suffix":""}],"container-title":"BMJ","id":"ITEM-1","issued":{"date-parts":[["2020","9","23"]]},"page":"m3342","title":"Sodium glucose cotransporter 2 inhibitors and risk of major adverse cardiovascular events: multi-database retrospective cohort study","type":"article-journal","volume":"370"},"uris":["http://www.mendeley.com/documents/?uuid=d8c613ba-f173-4532-bcd6-99f4814b101e"]},{"id":"ITEM-2","itemData":{"DOI":"10.1001/jamainternmed.2021.2488","ISSN":"2168-6106","author":[{"dropping-particle":"","family":"Xie","given":"Yan","non-dropping-particle":"","parse-names":false,"suffix":""},{"dropping-particle":"","family":"Bowe","given":"Benjamin","non-dropping-particle":"","parse-names":false,"suffix":""},{"dropping-particle":"","family":"Gibson","given":"Andrew K.","non-dropping-particle":"","parse-names":false,"suffix":""},{"dropping-particle":"","family":"McGill","given":"Janet B.","non-dropping-particle":"","parse-names":false,"suffix":""},{"dropping-particle":"","family":"Maddukuri","given":"Geetha","non-dropping-particle":"","parse-names":false,"suffix":""},{"dropping-particle":"","family":"Al-Aly","given":"Ziyad","non-dropping-particle":"","parse-names":false,"suffix":""}],"container-title":"JAMA Internal Medicine","id":"ITEM-2","issue":"8","issued":{"date-parts":[["2021","8","1"]]},"page":"1043-1053","title":"Comparative Effectiveness of Sodium-Glucose Cotransporter 2 Inhibitors vs Sulfonylureas in Patients With Type 2 Diabetes","type":"article-journal","volume":"181"},"uris":["http://www.mendeley.com/documents/?uuid=53a2a813-503d-4bb1-bd9b-cecd0fe1ebc7"]},{"id":"ITEM-3","itemData":{"DOI":"10.1097/MD.0000000000025121","ISSN":"0025-7974","author":[{"dropping-particle":"","family":"Qiu","given":"Mei","non-dropping-particle":"","parse-names":false,"suffix":""},{"dropping-particle":"","family":"Ding","given":"Liangliang","non-dropping-particle":"","parse-names":false,"suffix":""},{"dropping-particle":"","family":"Zhou","given":"Hairong","non-dropping-particle":"","parse-names":false,"suffix":""}],"container-title":"Medicine","id":"ITEM-3","issue":"10","issued":{"date-parts":[["2021","3","12"]]},"page":"e25121","title":"Effects of SGLT2 inhibitors on cardiovascular and renal outcomes in type 2 diabetes","type":"article-journal","volume":"100"},"uris":["http://www.mendeley.com/documents/?uuid=16daff9f-73f8-43a8-a0b0-1cc7cbcdd21b"]}],"mendeley":{"formattedCitation":"(31–33)","plainTextFormattedCitation":"(31–33)","previouslyFormattedCitation":"(31–33)"},"properties":{"noteIndex":0},"schema":"https://github.com/citation-style-language/schema/raw/master/csl-citation.json"}</w:instrText>
      </w:r>
      <w:r w:rsidR="003826E1">
        <w:fldChar w:fldCharType="separate"/>
      </w:r>
      <w:r w:rsidR="002622F3" w:rsidRPr="002622F3">
        <w:rPr>
          <w:noProof/>
        </w:rPr>
        <w:t>(31–33)</w:t>
      </w:r>
      <w:r w:rsidR="003826E1">
        <w:fldChar w:fldCharType="end"/>
      </w:r>
      <w:r w:rsidR="004501B1">
        <w:t xml:space="preserve"> </w:t>
      </w:r>
      <w:r w:rsidR="00094FEB" w:rsidRPr="006F0C8B">
        <w:t>Here</w:t>
      </w:r>
      <w:r w:rsidR="005B667B" w:rsidRPr="006F0C8B">
        <w:t xml:space="preserve"> </w:t>
      </w:r>
      <w:r w:rsidR="003432F9" w:rsidRPr="006F0C8B">
        <w:t xml:space="preserve">we </w:t>
      </w:r>
      <w:r w:rsidR="005B667B" w:rsidRPr="006F0C8B">
        <w:t>advance the field</w:t>
      </w:r>
      <w:r w:rsidR="00D21C33">
        <w:t>, with over 3-years of follow-up</w:t>
      </w:r>
      <w:r w:rsidR="00BD7F35">
        <w:t>,</w:t>
      </w:r>
      <w:r w:rsidR="00D21C33">
        <w:t xml:space="preserve"> </w:t>
      </w:r>
      <w:r w:rsidR="00282E05">
        <w:t>we</w:t>
      </w:r>
      <w:r w:rsidR="00282E05" w:rsidRPr="006F0C8B">
        <w:t xml:space="preserve"> </w:t>
      </w:r>
      <w:r w:rsidR="00094FEB" w:rsidRPr="006F0C8B">
        <w:t>report</w:t>
      </w:r>
      <w:r w:rsidR="00282E05">
        <w:t xml:space="preserve"> </w:t>
      </w:r>
      <w:r w:rsidR="0038482B" w:rsidRPr="006F0C8B">
        <w:t xml:space="preserve">a </w:t>
      </w:r>
      <w:r w:rsidR="00971F98">
        <w:t>18</w:t>
      </w:r>
      <w:r w:rsidR="0038482B" w:rsidRPr="006F0C8B">
        <w:t>%</w:t>
      </w:r>
      <w:r w:rsidR="003205E2">
        <w:t xml:space="preserve"> (</w:t>
      </w:r>
      <w:r w:rsidR="0043555F">
        <w:t>OR</w:t>
      </w:r>
      <w:r w:rsidR="000B431D">
        <w:t xml:space="preserve"> </w:t>
      </w:r>
      <w:r w:rsidR="003205E2">
        <w:t>0.</w:t>
      </w:r>
      <w:r w:rsidR="00971F98">
        <w:t>82</w:t>
      </w:r>
      <w:r w:rsidR="003205E2">
        <w:t>; 95% CI 0.</w:t>
      </w:r>
      <w:r w:rsidR="00971F98">
        <w:t>73</w:t>
      </w:r>
      <w:r w:rsidR="003205E2">
        <w:t>-0.</w:t>
      </w:r>
      <w:r w:rsidR="00971F98">
        <w:t>92</w:t>
      </w:r>
      <w:r w:rsidR="003205E2">
        <w:t xml:space="preserve">) </w:t>
      </w:r>
      <w:r w:rsidR="0038482B" w:rsidRPr="006F0C8B">
        <w:t>reduction</w:t>
      </w:r>
      <w:r w:rsidR="008258F2" w:rsidRPr="006F0C8B">
        <w:t xml:space="preserve"> in the adjusted risk for</w:t>
      </w:r>
      <w:r w:rsidR="00094FEB" w:rsidRPr="006F0C8B">
        <w:t xml:space="preserve"> </w:t>
      </w:r>
      <w:r w:rsidR="00FA6376" w:rsidRPr="006F0C8B">
        <w:t>MACCE</w:t>
      </w:r>
      <w:r w:rsidR="00094FEB" w:rsidRPr="006F0C8B">
        <w:t xml:space="preserve"> with SGLT2i therapy</w:t>
      </w:r>
      <w:r w:rsidR="008258F2" w:rsidRPr="006F0C8B">
        <w:t xml:space="preserve"> </w:t>
      </w:r>
      <w:r w:rsidR="00094FEB" w:rsidRPr="006F0C8B">
        <w:t>compared to other</w:t>
      </w:r>
      <w:r w:rsidR="0038482B" w:rsidRPr="006F0C8B">
        <w:t xml:space="preserve"> </w:t>
      </w:r>
      <w:r w:rsidR="008258F2" w:rsidRPr="006F0C8B">
        <w:t>ADMs</w:t>
      </w:r>
      <w:r w:rsidR="009D2CE0" w:rsidRPr="006F0C8B">
        <w:t>.</w:t>
      </w:r>
      <w:r w:rsidR="006F0C8B" w:rsidRPr="006F0C8B">
        <w:t xml:space="preserve"> </w:t>
      </w:r>
      <w:r w:rsidR="005958E6">
        <w:t>The</w:t>
      </w:r>
      <w:r w:rsidR="003205E2">
        <w:t xml:space="preserve"> </w:t>
      </w:r>
      <w:r w:rsidR="005958E6">
        <w:t xml:space="preserve">apparent </w:t>
      </w:r>
      <w:r w:rsidR="003205E2">
        <w:t xml:space="preserve">benefits of SGLT2i </w:t>
      </w:r>
      <w:r w:rsidR="005958E6">
        <w:t>that we demonstrate</w:t>
      </w:r>
      <w:r w:rsidR="00993671">
        <w:t xml:space="preserve"> in</w:t>
      </w:r>
      <w:r w:rsidR="00C7173B">
        <w:t xml:space="preserve"> the primary prevention setting </w:t>
      </w:r>
      <w:r w:rsidR="005958E6">
        <w:t>appear to be similar to those</w:t>
      </w:r>
      <w:r w:rsidR="00C7173B">
        <w:t xml:space="preserve"> </w:t>
      </w:r>
      <w:r w:rsidR="003205E2">
        <w:t xml:space="preserve">reported </w:t>
      </w:r>
      <w:r w:rsidR="00C7173B">
        <w:t>from</w:t>
      </w:r>
      <w:r w:rsidR="003205E2">
        <w:t xml:space="preserve"> RCTs </w:t>
      </w:r>
      <w:r w:rsidR="00C7173B">
        <w:t xml:space="preserve">in </w:t>
      </w:r>
      <w:r w:rsidR="00FF3238">
        <w:t xml:space="preserve">the </w:t>
      </w:r>
      <w:r w:rsidR="00C7173B">
        <w:t>secondary prevention</w:t>
      </w:r>
      <w:r w:rsidR="005958E6">
        <w:t xml:space="preserve"> setting</w:t>
      </w:r>
      <w:r w:rsidR="00C7173B">
        <w:t xml:space="preserve"> (</w:t>
      </w:r>
      <w:r w:rsidR="005958E6">
        <w:t xml:space="preserve">HR </w:t>
      </w:r>
      <w:r w:rsidR="006F0C8B" w:rsidRPr="006F0C8B">
        <w:t>0.86; 95% CI, 0.80–0.93)</w:t>
      </w:r>
      <w:r w:rsidR="00FF3238">
        <w:t>,</w:t>
      </w:r>
      <w:r w:rsidR="008935A8">
        <w:fldChar w:fldCharType="begin" w:fldLock="1"/>
      </w:r>
      <w:r w:rsidR="00620A8C">
        <w:instrText>ADDIN CSL_CITATION {"citationItems":[{"id":"ITEM-1","itemData":{"DOI":"10.1161/CIRCULATIONAHA.118.038868","ISSN":"0009-7322","author":[{"dropping-particle":"","family":"Zelniker","given":"Thomas A.","non-dropping-particle":"","parse-names":false,"suffix":""},{"dropping-particle":"","family":"Wiviott","given":"Stephen D.","non-dropping-particle":"","parse-names":false,"suffix":""},{"dropping-particle":"","family":"Raz","given":"Itamar","non-dropping-particle":"","parse-names":false,"suffix":""},{"dropping-particle":"","family":"Im","given":"KyungAh","non-dropping-particle":"","parse-names":false,"suffix":""},{"dropping-particle":"","family":"Goodrich","given":"Erica L.","non-dropping-particle":"","parse-names":false,"suffix":""},{"dropping-particle":"","family":"Furtado","given":"Remo H.M.","non-dropping-particle":"","parse-names":false,"suffix":""},{"dropping-particle":"","family":"Bonaca","given":"Marc P.","non-dropping-particle":"","parse-names":false,"suffix":""},{"dropping-particle":"","family":"Mosenzon","given":"Ofri","non-dropping-particle":"","parse-names":false,"suffix":""},{"dropping-particle":"","family":"Kato","given":"Eri T.","non-dropping-particle":"","parse-names":false,"suffix":""},{"dropping-particle":"","family":"Cahn","given":"Avivit","non-dropping-particle":"","parse-names":false,"suffix":""},{"dropping-particle":"","family":"Bhatt","given":"Deepak L.","non-dropping-particle":"","parse-names":false,"suffix":""},{"dropping-particle":"","family":"Leiter","given":"Lawrence A.","non-dropping-particle":"","parse-names":false,"suffix":""},{"dropping-particle":"","family":"McGuire","given":"Darren K.","non-dropping-particle":"","parse-names":false,"suffix":""},{"dropping-particle":"","family":"Wilding","given":"John P.H.","non-dropping-particle":"","parse-names":false,"suffix":""},{"dropping-particle":"","family":"Sabatine","given":"Marc S.","non-dropping-particle":"","parse-names":false,"suffix":""}],"container-title":"Circulation","id":"ITEM-1","issue":"17","issued":{"date-parts":[["2019","4","23"]]},"page":"2022-2031","title":"Comparison of the Effects of Glucagon-Like Peptide Receptor Agonists and Sodium-Glucose Cotransporter 2 Inhibitors for Prevention of Major Adverse Cardiovascular and Renal Outcomes in Type 2 Diabetes Mellitus","type":"article-journal","volume":"139"},"uris":["http://www.mendeley.com/documents/?uuid=1e77b180-2752-4e5e-ae30-ad7e18f8689f"]}],"mendeley":{"formattedCitation":"(1)","plainTextFormattedCitation":"(1)","previouslyFormattedCitation":"(1)"},"properties":{"noteIndex":0},"schema":"https://github.com/citation-style-language/schema/raw/master/csl-citation.json"}</w:instrText>
      </w:r>
      <w:r w:rsidR="008935A8">
        <w:fldChar w:fldCharType="separate"/>
      </w:r>
      <w:r w:rsidR="00201C04" w:rsidRPr="00201C04">
        <w:rPr>
          <w:noProof/>
        </w:rPr>
        <w:t>(1)</w:t>
      </w:r>
      <w:r w:rsidR="008935A8">
        <w:fldChar w:fldCharType="end"/>
      </w:r>
      <w:r w:rsidR="00FF3238">
        <w:t xml:space="preserve"> </w:t>
      </w:r>
      <w:r w:rsidR="003205E2">
        <w:t>with overlapping confidence intervals</w:t>
      </w:r>
      <w:r w:rsidR="00C7173B">
        <w:t xml:space="preserve"> and</w:t>
      </w:r>
      <w:r w:rsidR="003205E2">
        <w:t xml:space="preserve"> </w:t>
      </w:r>
      <w:r w:rsidR="00FF3238">
        <w:t xml:space="preserve">the </w:t>
      </w:r>
      <w:r w:rsidR="008935A8">
        <w:t xml:space="preserve">pooled </w:t>
      </w:r>
      <w:r w:rsidR="003205E2">
        <w:t xml:space="preserve">RCT effect estimate </w:t>
      </w:r>
      <w:r w:rsidR="00FF3238">
        <w:t xml:space="preserve">being </w:t>
      </w:r>
      <w:r w:rsidR="003205E2">
        <w:t>contained within our study’s confidence interval.</w:t>
      </w:r>
    </w:p>
    <w:p w14:paraId="69C899F8" w14:textId="77777777" w:rsidR="00837877" w:rsidRDefault="00837877" w:rsidP="00781897">
      <w:pPr>
        <w:spacing w:line="480" w:lineRule="auto"/>
        <w:contextualSpacing/>
        <w:rPr>
          <w:i/>
        </w:rPr>
      </w:pPr>
    </w:p>
    <w:p w14:paraId="4B314694" w14:textId="5B916AD4" w:rsidR="0038482B" w:rsidRPr="00EB3350" w:rsidRDefault="002E31BA" w:rsidP="005C11FD">
      <w:pPr>
        <w:pStyle w:val="Default"/>
        <w:spacing w:line="480" w:lineRule="auto"/>
        <w:rPr>
          <w:rFonts w:ascii="Times New Roman" w:hAnsi="Times New Roman" w:cs="Times New Roman"/>
        </w:rPr>
      </w:pPr>
      <w:r w:rsidRPr="00EB3350">
        <w:rPr>
          <w:rFonts w:ascii="Times New Roman" w:hAnsi="Times New Roman" w:cs="Times New Roman"/>
          <w:i/>
        </w:rPr>
        <w:t>GLP</w:t>
      </w:r>
      <w:r w:rsidR="00F17B02" w:rsidRPr="00EB3350">
        <w:rPr>
          <w:rFonts w:ascii="Times New Roman" w:hAnsi="Times New Roman" w:cs="Times New Roman"/>
          <w:i/>
        </w:rPr>
        <w:t>-1</w:t>
      </w:r>
      <w:r w:rsidRPr="00EB3350">
        <w:rPr>
          <w:rFonts w:ascii="Times New Roman" w:hAnsi="Times New Roman" w:cs="Times New Roman"/>
          <w:i/>
        </w:rPr>
        <w:t>RA</w:t>
      </w:r>
      <w:r w:rsidR="0038482B" w:rsidRPr="00EB3350">
        <w:rPr>
          <w:rFonts w:ascii="Times New Roman" w:hAnsi="Times New Roman" w:cs="Times New Roman"/>
          <w:b/>
        </w:rPr>
        <w:t xml:space="preserve">: </w:t>
      </w:r>
      <w:r w:rsidR="00A24238" w:rsidRPr="00EB3350">
        <w:rPr>
          <w:rFonts w:ascii="Times New Roman" w:hAnsi="Times New Roman" w:cs="Times New Roman"/>
          <w:bCs/>
        </w:rPr>
        <w:t>Except for the REWIND trial,</w:t>
      </w:r>
      <w:r w:rsidR="00A24238" w:rsidRPr="00EB3350">
        <w:rPr>
          <w:rFonts w:ascii="Times New Roman" w:hAnsi="Times New Roman" w:cs="Times New Roman"/>
          <w:b/>
        </w:rPr>
        <w:t xml:space="preserve"> </w:t>
      </w:r>
      <w:r w:rsidR="00A24238" w:rsidRPr="00EB3350">
        <w:rPr>
          <w:rFonts w:ascii="Times New Roman" w:hAnsi="Times New Roman" w:cs="Times New Roman"/>
        </w:rPr>
        <w:t>the proportion of participants in</w:t>
      </w:r>
      <w:r w:rsidR="00B8609A" w:rsidRPr="00EB3350">
        <w:rPr>
          <w:rFonts w:ascii="Times New Roman" w:hAnsi="Times New Roman" w:cs="Times New Roman"/>
        </w:rPr>
        <w:t xml:space="preserve"> primary prevention</w:t>
      </w:r>
      <w:r w:rsidR="00A24238" w:rsidRPr="00EB3350">
        <w:rPr>
          <w:rFonts w:ascii="Times New Roman" w:hAnsi="Times New Roman" w:cs="Times New Roman"/>
        </w:rPr>
        <w:t xml:space="preserve"> </w:t>
      </w:r>
      <w:r w:rsidR="004072AB" w:rsidRPr="00EB3350">
        <w:rPr>
          <w:rFonts w:ascii="Times New Roman" w:hAnsi="Times New Roman" w:cs="Times New Roman"/>
        </w:rPr>
        <w:t>GLP-1RA tria</w:t>
      </w:r>
      <w:r w:rsidR="00B520F2" w:rsidRPr="00EB3350">
        <w:rPr>
          <w:rFonts w:ascii="Times New Roman" w:hAnsi="Times New Roman" w:cs="Times New Roman"/>
        </w:rPr>
        <w:t>l</w:t>
      </w:r>
      <w:r w:rsidR="001F54A8" w:rsidRPr="00EB3350">
        <w:rPr>
          <w:rFonts w:ascii="Times New Roman" w:hAnsi="Times New Roman" w:cs="Times New Roman"/>
        </w:rPr>
        <w:t>s</w:t>
      </w:r>
      <w:r w:rsidR="00A24238" w:rsidRPr="00EB3350">
        <w:rPr>
          <w:rFonts w:ascii="Times New Roman" w:hAnsi="Times New Roman" w:cs="Times New Roman"/>
        </w:rPr>
        <w:t xml:space="preserve"> </w:t>
      </w:r>
      <w:r w:rsidR="00F738FF" w:rsidRPr="00EB3350">
        <w:rPr>
          <w:rFonts w:ascii="Times New Roman" w:hAnsi="Times New Roman" w:cs="Times New Roman"/>
        </w:rPr>
        <w:t>has been low</w:t>
      </w:r>
      <w:r w:rsidR="005C11FD">
        <w:rPr>
          <w:rFonts w:ascii="Times New Roman" w:hAnsi="Times New Roman" w:cs="Times New Roman"/>
        </w:rPr>
        <w:t xml:space="preserve"> </w:t>
      </w:r>
      <w:r w:rsidR="00FE1F45">
        <w:rPr>
          <w:rFonts w:ascii="Times New Roman" w:hAnsi="Times New Roman" w:cs="Times New Roman"/>
        </w:rPr>
        <w:t xml:space="preserve">to modest </w:t>
      </w:r>
      <w:r w:rsidR="005C11FD">
        <w:rPr>
          <w:rFonts w:ascii="Times New Roman" w:hAnsi="Times New Roman" w:cs="Times New Roman"/>
        </w:rPr>
        <w:t>and t</w:t>
      </w:r>
      <w:r w:rsidR="00112E4F" w:rsidRPr="00EB3350">
        <w:rPr>
          <w:rFonts w:ascii="Times New Roman" w:hAnsi="Times New Roman" w:cs="Times New Roman"/>
        </w:rPr>
        <w:t xml:space="preserve">he benefits of GLP-1RA on MACCE </w:t>
      </w:r>
      <w:r w:rsidR="0032363E">
        <w:rPr>
          <w:rFonts w:ascii="Times New Roman" w:hAnsi="Times New Roman" w:cs="Times New Roman"/>
        </w:rPr>
        <w:t xml:space="preserve">risk </w:t>
      </w:r>
      <w:r w:rsidR="00112E4F" w:rsidRPr="00EB3350">
        <w:rPr>
          <w:rFonts w:ascii="Times New Roman" w:hAnsi="Times New Roman" w:cs="Times New Roman"/>
        </w:rPr>
        <w:t>ha</w:t>
      </w:r>
      <w:r w:rsidR="00EB3350" w:rsidRPr="00EB3350">
        <w:rPr>
          <w:rFonts w:ascii="Times New Roman" w:hAnsi="Times New Roman" w:cs="Times New Roman"/>
        </w:rPr>
        <w:t>ve</w:t>
      </w:r>
      <w:r w:rsidR="00112E4F" w:rsidRPr="00EB3350">
        <w:rPr>
          <w:rFonts w:ascii="Times New Roman" w:hAnsi="Times New Roman" w:cs="Times New Roman"/>
        </w:rPr>
        <w:t xml:space="preserve"> been inconsistent; however, in the latest </w:t>
      </w:r>
      <w:r w:rsidR="00F738FF" w:rsidRPr="00EB3350">
        <w:rPr>
          <w:rFonts w:ascii="Times New Roman" w:hAnsi="Times New Roman" w:cs="Times New Roman"/>
        </w:rPr>
        <w:t>meta-analyses</w:t>
      </w:r>
      <w:r w:rsidR="008F4F91" w:rsidRPr="00EB3350">
        <w:rPr>
          <w:rFonts w:ascii="Times New Roman" w:hAnsi="Times New Roman" w:cs="Times New Roman"/>
        </w:rPr>
        <w:t xml:space="preserve"> </w:t>
      </w:r>
      <w:r w:rsidR="00112E4F" w:rsidRPr="00EB3350">
        <w:rPr>
          <w:rFonts w:ascii="Times New Roman" w:hAnsi="Times New Roman" w:cs="Times New Roman"/>
        </w:rPr>
        <w:t xml:space="preserve">which includes AMPLITUDE-O data, GLP-1RAs </w:t>
      </w:r>
      <w:r w:rsidR="003D4F99" w:rsidRPr="00EB3350">
        <w:rPr>
          <w:rFonts w:ascii="Times New Roman" w:hAnsi="Times New Roman" w:cs="Times New Roman"/>
        </w:rPr>
        <w:t>reduc</w:t>
      </w:r>
      <w:r w:rsidR="00112E4F" w:rsidRPr="00EB3350">
        <w:rPr>
          <w:rFonts w:ascii="Times New Roman" w:hAnsi="Times New Roman" w:cs="Times New Roman"/>
        </w:rPr>
        <w:t>e</w:t>
      </w:r>
      <w:r w:rsidR="00FE1F45">
        <w:rPr>
          <w:rFonts w:ascii="Times New Roman" w:hAnsi="Times New Roman" w:cs="Times New Roman"/>
        </w:rPr>
        <w:t>d</w:t>
      </w:r>
      <w:r w:rsidR="003D4F99" w:rsidRPr="00EB3350">
        <w:rPr>
          <w:rFonts w:ascii="Times New Roman" w:hAnsi="Times New Roman" w:cs="Times New Roman"/>
        </w:rPr>
        <w:t xml:space="preserve"> </w:t>
      </w:r>
      <w:r w:rsidR="00FA6376" w:rsidRPr="00EB3350">
        <w:rPr>
          <w:rFonts w:ascii="Times New Roman" w:hAnsi="Times New Roman" w:cs="Times New Roman"/>
        </w:rPr>
        <w:t>MACE</w:t>
      </w:r>
      <w:r w:rsidR="00F738FF" w:rsidRPr="00EB3350">
        <w:rPr>
          <w:rFonts w:ascii="Times New Roman" w:hAnsi="Times New Roman" w:cs="Times New Roman"/>
        </w:rPr>
        <w:t xml:space="preserve"> </w:t>
      </w:r>
      <w:r w:rsidR="00495DC2" w:rsidRPr="00EB3350">
        <w:rPr>
          <w:rFonts w:ascii="Times New Roman" w:hAnsi="Times New Roman" w:cs="Times New Roman"/>
        </w:rPr>
        <w:t>risk</w:t>
      </w:r>
      <w:r w:rsidR="00FE1F45">
        <w:rPr>
          <w:rFonts w:ascii="Times New Roman" w:hAnsi="Times New Roman" w:cs="Times New Roman"/>
        </w:rPr>
        <w:t xml:space="preserve"> by 14%</w:t>
      </w:r>
      <w:r w:rsidR="005C11FD">
        <w:rPr>
          <w:rFonts w:ascii="Times New Roman" w:hAnsi="Times New Roman" w:cs="Times New Roman"/>
        </w:rPr>
        <w:t xml:space="preserve"> (HR 0.86; 95% CI 0.80-0.93)</w:t>
      </w:r>
      <w:r w:rsidR="00FE1F45">
        <w:rPr>
          <w:rFonts w:ascii="Times New Roman" w:hAnsi="Times New Roman" w:cs="Times New Roman"/>
        </w:rPr>
        <w:t>,</w:t>
      </w:r>
      <w:r w:rsidR="00FE1F45" w:rsidRPr="00FE1F45">
        <w:rPr>
          <w:rFonts w:ascii="Times New Roman" w:hAnsi="Times New Roman" w:cs="Times New Roman"/>
        </w:rPr>
        <w:t xml:space="preserve"> </w:t>
      </w:r>
      <w:r w:rsidR="00FE1F45">
        <w:rPr>
          <w:rFonts w:ascii="Times New Roman" w:hAnsi="Times New Roman" w:cs="Times New Roman"/>
        </w:rPr>
        <w:t>with low heterogeneity with ELIXA excluded in sensitivity analyses.</w:t>
      </w:r>
      <w:r w:rsidR="005C11FD">
        <w:rPr>
          <w:rFonts w:ascii="Times New Roman" w:hAnsi="Times New Roman" w:cs="Times New Roman"/>
        </w:rPr>
        <w:fldChar w:fldCharType="begin" w:fldLock="1"/>
      </w:r>
      <w:r w:rsidR="00C456F8">
        <w:rPr>
          <w:rFonts w:ascii="Times New Roman" w:hAnsi="Times New Roman" w:cs="Times New Roman"/>
        </w:rPr>
        <w:instrText>ADDIN CSL_CITATION {"citationItems":[{"id":"ITEM-1","itemData":{"DOI":"10.1016/S2213-8587(21)00203-5","ISSN":"22138587","author":[{"dropping-particle":"","family":"Sattar","given":"Naveed","non-dropping-particle":"","parse-names":false,"suffix":""},{"dropping-particle":"","family":"Lee","given":"Matthew M Y","non-dropping-particle":"","parse-names":false,"suffix":""},{"dropping-particle":"","family":"Kristensen","given":"Søren L","non-dropping-particle":"","parse-names":false,"suffix":""},{"dropping-particle":"","family":"Branch","given":"Kelley R H","non-dropping-particle":"","parse-names":false,"suffix":""},{"dropping-particle":"","family":"Prato","given":"Stefano","non-dropping-particle":"Del","parse-names":false,"suffix":""},{"dropping-particle":"","family":"Khurmi","given":"Nardev S","non-dropping-particle":"","parse-names":false,"suffix":""},{"dropping-particle":"","family":"Lam","given":"Carolyn S P","non-dropping-particle":"","parse-names":false,"suffix":""},{"dropping-particle":"","family":"Lopes","given":"Renato D","non-dropping-particle":"","parse-names":false,"suffix":""},{"dropping-particle":"V","family":"McMurray","given":"John J","non-dropping-particle":"","parse-names":false,"suffix":""},{"dropping-particle":"","family":"Pratley","given":"Richard E","non-dropping-particle":"","parse-names":false,"suffix":""},{"dropping-particle":"","family":"Rosenstock","given":"Julio","non-dropping-particle":"","parse-names":false,"suffix":""},{"dropping-particle":"","family":"Gerstein","given":"Hertzel C","non-dropping-particle":"","parse-names":false,"suffix":""}],"container-title":"The Lancet Diabetes &amp; Endocrinology","id":"ITEM-1","issue":"10","issued":{"date-parts":[["2021","10"]]},"page":"653-662","title":"Cardiovascular, mortality, and kidney outcomes with GLP-1 receptor agonists in patients with type 2 diabetes: a systematic review and meta-analysis of randomised trials","type":"article-journal","volume":"9"},"uris":["http://www.mendeley.com/documents/?uuid=068cb5e8-ee99-40b7-b510-a9846e71e73e"]}],"mendeley":{"formattedCitation":"(3)","plainTextFormattedCitation":"(3)","previouslyFormattedCitation":"(3)"},"properties":{"noteIndex":0},"schema":"https://github.com/citation-style-language/schema/raw/master/csl-citation.json"}</w:instrText>
      </w:r>
      <w:r w:rsidR="005C11FD">
        <w:rPr>
          <w:rFonts w:ascii="Times New Roman" w:hAnsi="Times New Roman" w:cs="Times New Roman"/>
        </w:rPr>
        <w:fldChar w:fldCharType="separate"/>
      </w:r>
      <w:r w:rsidR="005C11FD" w:rsidRPr="005C11FD">
        <w:rPr>
          <w:rFonts w:ascii="Times New Roman" w:hAnsi="Times New Roman" w:cs="Times New Roman"/>
          <w:noProof/>
        </w:rPr>
        <w:t>(3)</w:t>
      </w:r>
      <w:r w:rsidR="005C11FD">
        <w:rPr>
          <w:rFonts w:ascii="Times New Roman" w:hAnsi="Times New Roman" w:cs="Times New Roman"/>
        </w:rPr>
        <w:fldChar w:fldCharType="end"/>
      </w:r>
      <w:r w:rsidR="00112E4F" w:rsidRPr="00EB3350">
        <w:rPr>
          <w:rFonts w:ascii="Times New Roman" w:hAnsi="Times New Roman" w:cs="Times New Roman"/>
        </w:rPr>
        <w:t xml:space="preserve"> </w:t>
      </w:r>
      <w:r w:rsidR="00FE1F45">
        <w:rPr>
          <w:rFonts w:ascii="Times New Roman" w:hAnsi="Times New Roman" w:cs="Times New Roman"/>
        </w:rPr>
        <w:t xml:space="preserve">This MACE benefit appeared to be driven by 15% risk reduction in people with established CVD. </w:t>
      </w:r>
      <w:r w:rsidR="00097AF6" w:rsidRPr="00EB3350">
        <w:rPr>
          <w:rFonts w:ascii="Times New Roman" w:hAnsi="Times New Roman" w:cs="Times New Roman"/>
        </w:rPr>
        <w:t xml:space="preserve">Observational studies assessing </w:t>
      </w:r>
      <w:r w:rsidR="00FA6376" w:rsidRPr="00EB3350">
        <w:rPr>
          <w:rFonts w:ascii="Times New Roman" w:hAnsi="Times New Roman" w:cs="Times New Roman"/>
        </w:rPr>
        <w:t>MACCE</w:t>
      </w:r>
      <w:r w:rsidR="00097AF6" w:rsidRPr="00EB3350">
        <w:rPr>
          <w:rFonts w:ascii="Times New Roman" w:hAnsi="Times New Roman" w:cs="Times New Roman"/>
        </w:rPr>
        <w:t xml:space="preserve"> risks associated with individual </w:t>
      </w:r>
      <w:r w:rsidR="00F17B02" w:rsidRPr="00EB3350">
        <w:rPr>
          <w:rFonts w:ascii="Times New Roman" w:hAnsi="Times New Roman" w:cs="Times New Roman"/>
        </w:rPr>
        <w:t>GLP-1RA</w:t>
      </w:r>
      <w:r w:rsidR="00097AF6" w:rsidRPr="00EB3350">
        <w:rPr>
          <w:rFonts w:ascii="Times New Roman" w:hAnsi="Times New Roman" w:cs="Times New Roman"/>
        </w:rPr>
        <w:t>s have been underpo</w:t>
      </w:r>
      <w:r w:rsidR="001A6D95" w:rsidRPr="00EB3350">
        <w:rPr>
          <w:rFonts w:ascii="Times New Roman" w:hAnsi="Times New Roman" w:cs="Times New Roman"/>
        </w:rPr>
        <w:t>wered and</w:t>
      </w:r>
      <w:r w:rsidR="00097AF6" w:rsidRPr="00EB3350">
        <w:rPr>
          <w:rFonts w:ascii="Times New Roman" w:hAnsi="Times New Roman" w:cs="Times New Roman"/>
        </w:rPr>
        <w:t xml:space="preserve"> inconclusive</w:t>
      </w:r>
      <w:r w:rsidR="00134E47" w:rsidRPr="00EB3350">
        <w:rPr>
          <w:rFonts w:ascii="Times New Roman" w:hAnsi="Times New Roman" w:cs="Times New Roman"/>
        </w:rPr>
        <w:t>.</w:t>
      </w:r>
      <w:r w:rsidR="00D56D1A" w:rsidRPr="00EB3350">
        <w:rPr>
          <w:rFonts w:ascii="Times New Roman" w:hAnsi="Times New Roman" w:cs="Times New Roman"/>
        </w:rPr>
        <w:fldChar w:fldCharType="begin" w:fldLock="1"/>
      </w:r>
      <w:r w:rsidR="002622F3">
        <w:rPr>
          <w:rFonts w:ascii="Times New Roman" w:hAnsi="Times New Roman" w:cs="Times New Roman"/>
        </w:rPr>
        <w:instrText>ADDIN CSL_CITATION {"citationItems":[{"id":"ITEM-1","itemData":{"DOI":"10.1016/S2213-8587(18)30320-6","ISSN":"22138587","author":[{"dropping-particle":"","family":"Svanström","given":"Henrik","non-dropping-particle":"","parse-names":false,"suffix":""},{"dropping-particle":"","family":"Ueda","given":"Peter","non-dropping-particle":"","parse-names":false,"suffix":""},{"dropping-particle":"","family":"Melbye","given":"Mads","non-dropping-particle":"","parse-names":false,"suffix":""},{"dropping-particle":"","family":"Eliasson","given":"Björn","non-dropping-particle":"","parse-names":false,"suffix":""},{"dropping-particle":"","family":"Svensson","given":"Ann-Marie","non-dropping-particle":"","parse-names":false,"suffix":""},{"dropping-particle":"","family":"Franzén","given":"Stefan","non-dropping-particle":"","parse-names":false,"suffix":""},{"dropping-particle":"","family":"Gudbjörnsdottir","given":"Soffia","non-dropping-particle":"","parse-names":false,"suffix":""},{"dropping-particle":"","family":"Hveem","given":"Kristian","non-dropping-particle":"","parse-names":false,"suffix":""},{"dropping-particle":"","family":"Jonasson","given":"Christian","non-dropping-particle":"","parse-names":false,"suffix":""},{"dropping-particle":"","family":"Pasternak","given":"Björn","non-dropping-particle":"","parse-names":false,"suffix":""}],"container-title":"The Lancet Diabetes &amp; Endocrinology","id":"ITEM-1","issue":"2","issued":{"date-parts":[["2019","2"]]},"page":"106-114","title":"Use of liraglutide and risk of major cardiovascular events: a register-based cohort study in Denmark and Sweden","type":"article-journal","volume":"7"},"uris":["http://www.mendeley.com/documents/?uuid=8c9aaa8a-5472-44db-b2da-993fc128a68d"]},{"id":"ITEM-2","itemData":{"DOI":"10.1111/dom.12969","ISSN":"14628902","author":[{"dropping-particle":"","family":"Zimmerman","given":"Robert S.","non-dropping-particle":"","parse-names":false,"suffix":""},{"dropping-particle":"","family":"Hobbs","given":"Todd M.","non-dropping-particle":"","parse-names":false,"suffix":""},{"dropping-particle":"","family":"Wells","given":"Brian J.","non-dropping-particle":"","parse-names":false,"suffix":""},{"dropping-particle":"","family":"Kong","given":"Sheldon X.","non-dropping-particle":"","parse-names":false,"suffix":""},{"dropping-particle":"","family":"Kattan","given":"Michael W.","non-dropping-particle":"","parse-names":false,"suffix":""},{"dropping-particle":"","family":"Bouchard","given":"Jon","non-dropping-particle":"","parse-names":false,"suffix":""},{"dropping-particle":"","family":"Chagin","given":"Kevin M.","non-dropping-particle":"","parse-names":false,"suffix":""},{"dropping-particle":"","family":"Yu","given":"Changhong","non-dropping-particle":"","parse-names":false,"suffix":""},{"dropping-particle":"","family":"Sakurada","given":"Brian","non-dropping-particle":"","parse-names":false,"suffix":""},{"dropping-particle":"","family":"Milinovich","given":"Alex","non-dropping-particle":"","parse-names":false,"suffix":""},{"dropping-particle":"","family":"Weng","given":"Wayne","non-dropping-particle":"","parse-names":false,"suffix":""},{"dropping-particle":"","family":"Bauman","given":"Janine M.","non-dropping-particle":"","parse-names":false,"suffix":""},{"dropping-particle":"","family":"Pantalone","given":"Kevin M.","non-dropping-particle":"","parse-names":false,"suffix":""}],"container-title":"Diabetes, Obesity and Metabolism","id":"ITEM-2","issue":"11","issued":{"date-parts":[["2017","11"]]},"page":"1555-1561","title":"Association of glucagon-like peptide-1 receptor agonist use and rates of acute myocardial infarction, stroke and overall mortality in patients with type 2 diabetes mellitus in a large integrated health system","type":"article-journal","volume":"19"},"uris":["http://www.mendeley.com/documents/?uuid=bd6f47d2-edfc-441a-bbc6-bfa657bf132e"]}],"mendeley":{"formattedCitation":"(34,35)","plainTextFormattedCitation":"(34,35)","previouslyFormattedCitation":"(34,35)"},"properties":{"noteIndex":0},"schema":"https://github.com/citation-style-language/schema/raw/master/csl-citation.json"}</w:instrText>
      </w:r>
      <w:r w:rsidR="00D56D1A" w:rsidRPr="00EB3350">
        <w:rPr>
          <w:rFonts w:ascii="Times New Roman" w:hAnsi="Times New Roman" w:cs="Times New Roman"/>
        </w:rPr>
        <w:fldChar w:fldCharType="separate"/>
      </w:r>
      <w:r w:rsidR="002622F3" w:rsidRPr="002622F3">
        <w:rPr>
          <w:rFonts w:ascii="Times New Roman" w:hAnsi="Times New Roman" w:cs="Times New Roman"/>
          <w:noProof/>
        </w:rPr>
        <w:t>(34,35)</w:t>
      </w:r>
      <w:r w:rsidR="00D56D1A" w:rsidRPr="00EB3350">
        <w:rPr>
          <w:rFonts w:ascii="Times New Roman" w:hAnsi="Times New Roman" w:cs="Times New Roman"/>
        </w:rPr>
        <w:fldChar w:fldCharType="end"/>
      </w:r>
      <w:r w:rsidR="0038482B" w:rsidRPr="00EB3350">
        <w:rPr>
          <w:rFonts w:ascii="Times New Roman" w:hAnsi="Times New Roman" w:cs="Times New Roman"/>
        </w:rPr>
        <w:t xml:space="preserve"> </w:t>
      </w:r>
      <w:r w:rsidR="00FE24F3" w:rsidRPr="00EB3350">
        <w:rPr>
          <w:rFonts w:ascii="Times New Roman" w:hAnsi="Times New Roman" w:cs="Times New Roman"/>
        </w:rPr>
        <w:t>We show</w:t>
      </w:r>
      <w:r w:rsidR="00F6232F" w:rsidRPr="00EB3350">
        <w:rPr>
          <w:rFonts w:ascii="Times New Roman" w:hAnsi="Times New Roman" w:cs="Times New Roman"/>
        </w:rPr>
        <w:t xml:space="preserve"> a </w:t>
      </w:r>
      <w:r w:rsidR="002F0E86" w:rsidRPr="00EB3350">
        <w:rPr>
          <w:rFonts w:ascii="Times New Roman" w:hAnsi="Times New Roman" w:cs="Times New Roman"/>
        </w:rPr>
        <w:t>numerically lower risk</w:t>
      </w:r>
      <w:r w:rsidR="00F6232F" w:rsidRPr="00EB3350">
        <w:rPr>
          <w:rFonts w:ascii="Times New Roman" w:hAnsi="Times New Roman" w:cs="Times New Roman"/>
        </w:rPr>
        <w:t xml:space="preserve"> of </w:t>
      </w:r>
      <w:r w:rsidR="00FA6376" w:rsidRPr="00EB3350">
        <w:rPr>
          <w:rFonts w:ascii="Times New Roman" w:hAnsi="Times New Roman" w:cs="Times New Roman"/>
        </w:rPr>
        <w:t>MACCE</w:t>
      </w:r>
      <w:r w:rsidR="00F6232F" w:rsidRPr="00EB3350">
        <w:rPr>
          <w:rFonts w:ascii="Times New Roman" w:hAnsi="Times New Roman" w:cs="Times New Roman"/>
        </w:rPr>
        <w:t xml:space="preserve"> associated with </w:t>
      </w:r>
      <w:r w:rsidR="00F17B02" w:rsidRPr="00EB3350">
        <w:rPr>
          <w:rFonts w:ascii="Times New Roman" w:hAnsi="Times New Roman" w:cs="Times New Roman"/>
        </w:rPr>
        <w:t>GLP-1RA</w:t>
      </w:r>
      <w:r w:rsidR="00F6232F" w:rsidRPr="00EB3350">
        <w:rPr>
          <w:rFonts w:ascii="Times New Roman" w:hAnsi="Times New Roman" w:cs="Times New Roman"/>
        </w:rPr>
        <w:t xml:space="preserve"> </w:t>
      </w:r>
      <w:r w:rsidR="00222CCC" w:rsidRPr="00EB3350">
        <w:rPr>
          <w:rFonts w:ascii="Times New Roman" w:hAnsi="Times New Roman" w:cs="Times New Roman"/>
        </w:rPr>
        <w:t>therapy</w:t>
      </w:r>
      <w:r w:rsidR="00F6232F" w:rsidRPr="00EB3350">
        <w:rPr>
          <w:rFonts w:ascii="Times New Roman" w:hAnsi="Times New Roman" w:cs="Times New Roman"/>
        </w:rPr>
        <w:t xml:space="preserve"> in primary prevention</w:t>
      </w:r>
      <w:r w:rsidR="002F0E86" w:rsidRPr="00EB3350">
        <w:rPr>
          <w:rFonts w:ascii="Times New Roman" w:hAnsi="Times New Roman" w:cs="Times New Roman"/>
        </w:rPr>
        <w:t xml:space="preserve"> (OR 0.</w:t>
      </w:r>
      <w:r w:rsidR="00FF567D">
        <w:rPr>
          <w:rFonts w:ascii="Times New Roman" w:hAnsi="Times New Roman" w:cs="Times New Roman"/>
        </w:rPr>
        <w:t>93</w:t>
      </w:r>
      <w:r w:rsidR="002F0E86" w:rsidRPr="00EB3350">
        <w:rPr>
          <w:rFonts w:ascii="Times New Roman" w:hAnsi="Times New Roman" w:cs="Times New Roman"/>
        </w:rPr>
        <w:t>; 95% CI 0.</w:t>
      </w:r>
      <w:r w:rsidR="00FF567D">
        <w:rPr>
          <w:rFonts w:ascii="Times New Roman" w:hAnsi="Times New Roman" w:cs="Times New Roman"/>
        </w:rPr>
        <w:t>81</w:t>
      </w:r>
      <w:r w:rsidR="002F0E86" w:rsidRPr="00EB3350">
        <w:rPr>
          <w:rFonts w:ascii="Times New Roman" w:hAnsi="Times New Roman" w:cs="Times New Roman"/>
        </w:rPr>
        <w:t>-1.</w:t>
      </w:r>
      <w:r w:rsidR="00FF567D">
        <w:rPr>
          <w:rFonts w:ascii="Times New Roman" w:hAnsi="Times New Roman" w:cs="Times New Roman"/>
        </w:rPr>
        <w:t>06</w:t>
      </w:r>
      <w:r w:rsidR="002F0E86" w:rsidRPr="00EB3350">
        <w:rPr>
          <w:rFonts w:ascii="Times New Roman" w:hAnsi="Times New Roman" w:cs="Times New Roman"/>
        </w:rPr>
        <w:t>)</w:t>
      </w:r>
      <w:r w:rsidR="00A170C9" w:rsidRPr="00EB3350">
        <w:rPr>
          <w:rFonts w:ascii="Times New Roman" w:hAnsi="Times New Roman" w:cs="Times New Roman"/>
        </w:rPr>
        <w:t xml:space="preserve">, which is similar to the result obtained </w:t>
      </w:r>
      <w:r w:rsidR="00B24F38" w:rsidRPr="00EB3350">
        <w:rPr>
          <w:rFonts w:ascii="Times New Roman" w:hAnsi="Times New Roman" w:cs="Times New Roman"/>
        </w:rPr>
        <w:t>in</w:t>
      </w:r>
      <w:r w:rsidR="00A170C9" w:rsidRPr="00EB3350">
        <w:rPr>
          <w:rFonts w:ascii="Times New Roman" w:hAnsi="Times New Roman" w:cs="Times New Roman"/>
        </w:rPr>
        <w:t xml:space="preserve"> </w:t>
      </w:r>
      <w:r w:rsidR="00B24F38" w:rsidRPr="00EB3350">
        <w:rPr>
          <w:rFonts w:ascii="Times New Roman" w:hAnsi="Times New Roman" w:cs="Times New Roman"/>
        </w:rPr>
        <w:t xml:space="preserve">the </w:t>
      </w:r>
      <w:r w:rsidR="00A170C9" w:rsidRPr="00EB3350">
        <w:rPr>
          <w:rFonts w:ascii="Times New Roman" w:hAnsi="Times New Roman" w:cs="Times New Roman"/>
        </w:rPr>
        <w:t>most recent meta-analysis of clinical trials.</w:t>
      </w:r>
      <w:r w:rsidR="00CE7AC3" w:rsidRPr="00EB3350">
        <w:rPr>
          <w:rFonts w:ascii="Times New Roman" w:hAnsi="Times New Roman" w:cs="Times New Roman"/>
        </w:rPr>
        <w:fldChar w:fldCharType="begin" w:fldLock="1"/>
      </w:r>
      <w:r w:rsidR="00363A8D" w:rsidRPr="00EB3350">
        <w:rPr>
          <w:rFonts w:ascii="Times New Roman" w:hAnsi="Times New Roman" w:cs="Times New Roman"/>
        </w:rPr>
        <w:instrText>ADDIN CSL_CITATION {"citationItems":[{"id":"ITEM-1","itemData":{"DOI":"10.1016/S2213-8587(21)00203-5","ISSN":"22138587","author":[{"dropping-particle":"","family":"Sattar","given":"Naveed","non-dropping-particle":"","parse-names":false,"suffix":""},{"dropping-particle":"","family":"Lee","given":"Matthew M Y","non-dropping-particle":"","parse-names":false,"suffix":""},{"dropping-particle":"","family":"Kristensen","given":"Søren L","non-dropping-particle":"","parse-names":false,"suffix":""},{"dropping-particle":"","family":"Branch","given":"Kelley R H","non-dropping-particle":"","parse-names":false,"suffix":""},{"dropping-particle":"","family":"Prato","given":"Stefano","non-dropping-particle":"Del","parse-names":false,"suffix":""},{"dropping-particle":"","family":"Khurmi","given":"Nardev S","non-dropping-particle":"","parse-names":false,"suffix":""},{"dropping-particle":"","family":"Lam","given":"Carolyn S P","non-dropping-particle":"","parse-names":false,"suffix":""},{"dropping-particle":"","family":"Lopes","given":"Renato D","non-dropping-particle":"","parse-names":false,"suffix":""},{"dropping-particle":"V","family":"McMurray","given":"John J","non-dropping-particle":"","parse-names":false,"suffix":""},{"dropping-particle":"","family":"Pratley","given":"Richard E","non-dropping-particle":"","parse-names":false,"suffix":""},{"dropping-particle":"","family":"Rosenstock","given":"Julio","non-dropping-particle":"","parse-names":false,"suffix":""},{"dropping-particle":"","family":"Gerstein","given":"Hertzel C","non-dropping-particle":"","parse-names":false,"suffix":""}],"container-title":"The Lancet Diabetes &amp; Endocrinology","id":"ITEM-1","issue":"10","issued":{"date-parts":[["2021","10"]]},"page":"653-662","title":"Cardiovascular, mortality, and kidney outcomes with GLP-1 receptor agonists in patients with type 2 diabetes: a systematic review and meta-analysis of randomised trials","type":"article-journal","volume":"9"},"uris":["http://www.mendeley.com/documents/?uuid=068cb5e8-ee99-40b7-b510-a9846e71e73e"]}],"mendeley":{"formattedCitation":"(3)","plainTextFormattedCitation":"(3)","previouslyFormattedCitation":"(3)"},"properties":{"noteIndex":0},"schema":"https://github.com/citation-style-language/schema/raw/master/csl-citation.json"}</w:instrText>
      </w:r>
      <w:r w:rsidR="00CE7AC3" w:rsidRPr="00EB3350">
        <w:rPr>
          <w:rFonts w:ascii="Times New Roman" w:hAnsi="Times New Roman" w:cs="Times New Roman"/>
        </w:rPr>
        <w:fldChar w:fldCharType="separate"/>
      </w:r>
      <w:r w:rsidR="00CE7AC3" w:rsidRPr="00EB3350">
        <w:rPr>
          <w:rFonts w:ascii="Times New Roman" w:hAnsi="Times New Roman" w:cs="Times New Roman"/>
          <w:noProof/>
        </w:rPr>
        <w:t>(3)</w:t>
      </w:r>
      <w:r w:rsidR="00CE7AC3" w:rsidRPr="00EB3350">
        <w:rPr>
          <w:rFonts w:ascii="Times New Roman" w:hAnsi="Times New Roman" w:cs="Times New Roman"/>
        </w:rPr>
        <w:fldChar w:fldCharType="end"/>
      </w:r>
      <w:r w:rsidR="00CE7AC3" w:rsidRPr="00EB3350" w:rsidDel="00CE7AC3">
        <w:rPr>
          <w:rFonts w:ascii="Times New Roman" w:hAnsi="Times New Roman" w:cs="Times New Roman"/>
        </w:rPr>
        <w:t xml:space="preserve"> </w:t>
      </w:r>
    </w:p>
    <w:p w14:paraId="3A9096DD" w14:textId="77777777" w:rsidR="000179EA" w:rsidRPr="00781897" w:rsidRDefault="000179EA" w:rsidP="00781897">
      <w:pPr>
        <w:spacing w:line="480" w:lineRule="auto"/>
        <w:rPr>
          <w:highlight w:val="yellow"/>
        </w:rPr>
      </w:pPr>
    </w:p>
    <w:p w14:paraId="272DA212" w14:textId="39986B92" w:rsidR="00D036BA" w:rsidRPr="00781897" w:rsidRDefault="00D036BA" w:rsidP="00781897">
      <w:pPr>
        <w:spacing w:line="480" w:lineRule="auto"/>
        <w:contextualSpacing/>
        <w:rPr>
          <w:b/>
          <w:bCs/>
        </w:rPr>
      </w:pPr>
      <w:r w:rsidRPr="00781897">
        <w:rPr>
          <w:b/>
          <w:bCs/>
        </w:rPr>
        <w:t>P</w:t>
      </w:r>
      <w:r w:rsidR="00672721" w:rsidRPr="00781897">
        <w:rPr>
          <w:b/>
          <w:bCs/>
        </w:rPr>
        <w:t>rimary prevention of heart failure</w:t>
      </w:r>
    </w:p>
    <w:p w14:paraId="518B8D2B" w14:textId="0CA21895" w:rsidR="00ED45C2" w:rsidRPr="00781897" w:rsidRDefault="00A170C9" w:rsidP="00781897">
      <w:pPr>
        <w:spacing w:line="480" w:lineRule="auto"/>
      </w:pPr>
      <w:r w:rsidRPr="00781897">
        <w:rPr>
          <w:i/>
          <w:lang w:val="en-US"/>
        </w:rPr>
        <w:t>SGLT2i</w:t>
      </w:r>
      <w:r w:rsidRPr="00781897">
        <w:rPr>
          <w:lang w:val="en-US"/>
        </w:rPr>
        <w:t xml:space="preserve">: </w:t>
      </w:r>
      <w:r w:rsidR="0021257C" w:rsidRPr="00781897">
        <w:t>C</w:t>
      </w:r>
      <w:r w:rsidR="00D10CD4" w:rsidRPr="00781897">
        <w:t>linical trials have shown clear benefits</w:t>
      </w:r>
      <w:r w:rsidR="008968B7" w:rsidRPr="00781897">
        <w:t xml:space="preserve"> of</w:t>
      </w:r>
      <w:r w:rsidR="00D10CD4" w:rsidRPr="00781897">
        <w:t xml:space="preserve"> SGLT2is</w:t>
      </w:r>
      <w:r w:rsidR="008968B7" w:rsidRPr="00781897">
        <w:t xml:space="preserve"> on heart failure risk</w:t>
      </w:r>
      <w:r w:rsidR="00D10CD4" w:rsidRPr="00781897">
        <w:t xml:space="preserve"> </w:t>
      </w:r>
      <w:r w:rsidR="008968B7" w:rsidRPr="00781897">
        <w:t>although</w:t>
      </w:r>
      <w:r w:rsidR="00D24B04" w:rsidRPr="00781897">
        <w:t xml:space="preserve"> </w:t>
      </w:r>
      <w:r w:rsidR="00AA16F7" w:rsidRPr="00781897">
        <w:t>data</w:t>
      </w:r>
      <w:r w:rsidR="006D2CFC" w:rsidRPr="00781897">
        <w:t xml:space="preserve"> </w:t>
      </w:r>
      <w:r w:rsidR="008968B7" w:rsidRPr="00781897">
        <w:t>i</w:t>
      </w:r>
      <w:r w:rsidR="00D10CD4" w:rsidRPr="00781897">
        <w:t xml:space="preserve">n people without </w:t>
      </w:r>
      <w:r w:rsidR="00AA16F7" w:rsidRPr="00781897">
        <w:t>prior</w:t>
      </w:r>
      <w:r w:rsidR="00D24B04" w:rsidRPr="00781897">
        <w:t xml:space="preserve"> hear</w:t>
      </w:r>
      <w:r w:rsidR="006D2CFC" w:rsidRPr="00781897">
        <w:t>t failure ha</w:t>
      </w:r>
      <w:r w:rsidR="00865876" w:rsidRPr="00781897">
        <w:t>ve</w:t>
      </w:r>
      <w:r w:rsidR="008968B7" w:rsidRPr="00781897">
        <w:t xml:space="preserve"> been </w:t>
      </w:r>
      <w:r w:rsidR="00AA16F7" w:rsidRPr="00781897">
        <w:t>inconsistently</w:t>
      </w:r>
      <w:r w:rsidR="00AA16F7" w:rsidRPr="00781897" w:rsidDel="00AA16F7">
        <w:t xml:space="preserve"> </w:t>
      </w:r>
      <w:r w:rsidR="008968B7" w:rsidRPr="00781897">
        <w:t>reported</w:t>
      </w:r>
      <w:r w:rsidR="00D24B04" w:rsidRPr="00781897">
        <w:t>.</w:t>
      </w:r>
      <w:r w:rsidR="00D56D1A" w:rsidRPr="00781897">
        <w:fldChar w:fldCharType="begin" w:fldLock="1"/>
      </w:r>
      <w:r w:rsidR="002622F3">
        <w:instrText>ADDIN CSL_CITATION {"citationItems":[{"id":"ITEM-1","itemData":{"DOI":"10.1161/CIRCULATIONAHA.118.038868","ISSN":"0009-7322","author":[{"dropping-particle":"","family":"Zelniker","given":"Thomas A.","non-dropping-particle":"","parse-names":false,"suffix":""},{"dropping-particle":"","family":"Wiviott","given":"Stephen D.","non-dropping-particle":"","parse-names":false,"suffix":""},{"dropping-particle":"","family":"Raz","given":"Itamar","non-dropping-particle":"","parse-names":false,"suffix":""},{"dropping-particle":"","family":"Im","given":"KyungAh","non-dropping-particle":"","parse-names":false,"suffix":""},{"dropping-particle":"","family":"Goodrich","given":"Erica L.","non-dropping-particle":"","parse-names":false,"suffix":""},{"dropping-particle":"","family":"Furtado","given":"Remo H.M.","non-dropping-particle":"","parse-names":false,"suffix":""},{"dropping-particle":"","family":"Bonaca","given":"Marc P.","non-dropping-particle":"","parse-names":false,"suffix":""},{"dropping-particle":"","family":"Mosenzon","given":"Ofri","non-dropping-particle":"","parse-names":false,"suffix":""},{"dropping-particle":"","family":"Kato","given":"Eri T.","non-dropping-particle":"","parse-names":false,"suffix":""},{"dropping-particle":"","family":"Cahn","given":"Avivit","non-dropping-particle":"","parse-names":false,"suffix":""},{"dropping-particle":"","family":"Bhatt","given":"Deepak L.","non-dropping-particle":"","parse-names":false,"suffix":""},{"dropping-particle":"","family":"Leiter","given":"Lawrence A.","non-dropping-particle":"","parse-names":false,"suffix":""},{"dropping-particle":"","family":"McGuire","given":"Darren K.","non-dropping-particle":"","parse-names":false,"suffix":""},{"dropping-particle":"","family":"Wilding","given":"John P.H.","non-dropping-particle":"","parse-names":false,"suffix":""},{"dropping-particle":"","family":"Sabatine","given":"Marc S.","non-dropping-particle":"","parse-names":false,"suffix":""}],"container-title":"Circulation","id":"ITEM-1","issue":"17","issued":{"date-parts":[["2019","4","23"]]},"page":"2022-2031","title":"Comparison of the Effects of Glucagon-Like Peptide Receptor Agonists and Sodium-Glucose Cotransporter 2 Inhibitors for Prevention of Major Adverse Cardiovascular and Renal Outcomes in Type 2 Diabetes Mellitus","type":"article-journal","volume":"139"},"uris":["http://www.mendeley.com/documents/?uuid=1e77b180-2752-4e5e-ae30-ad7e18f8689f"]},{"id":"ITEM-2","itemData":{"DOI":"10.1016/S0140-6736(18)32590-X","ISSN":"01406736","author":[{"dropping-particle":"","family":"Zelniker","given":"Thomas A","non-dropping-particle":"","parse-names":false,"suffix":""},{"dropping-particle":"","family":"Wiviott","given":"Stephen D","non-dropping-particle":"","parse-names":false,"suffix":""},{"dropping-particle":"","family":"Raz","given":"Itamar","non-dropping-particle":"","parse-names":false,"suffix":""},{"dropping-particle":"","family":"Im","given":"Kyungah","non-dropping-particle":"","parse-names":false,"suffix":""},{"dropping-particle":"","family":"Goodrich","given":"Erica L","non-dropping-particle":"","parse-names":false,"suffix":""},{"dropping-particle":"","family":"Bonaca","given":"Marc P","non-dropping-particle":"","parse-names":false,"suffix":""},{"dropping-particle":"","family":"Mosenzon","given":"Ofri","non-dropping-particle":"","parse-names":false,"suffix":""},{"dropping-particle":"","family":"Kato","given":"Eri T","non-dropping-particle":"","parse-names":false,"suffix":""},{"dropping-particle":"","family":"Cahn","given":"Avivit","non-dropping-particle":"","parse-names":false,"suffix":""},{"dropping-particle":"","family":"Furtado","given":"Remo H M","non-dropping-particle":"","parse-names":false,"suffix":""},{"dropping-particle":"","family":"Bhatt","given":"Deepak L","non-dropping-particle":"","parse-names":false,"suffix":""},{"dropping-particle":"","family":"Leiter","given":"Lawrence A","non-dropping-particle":"","parse-names":false,"suffix":""},{"dropping-particle":"","family":"McGuire","given":"Darren K","non-dropping-particle":"","parse-names":false,"suffix":""},{"dropping-particle":"","family":"Wilding","given":"John P H","non-dropping-particle":"","parse-names":false,"suffix":""},{"dropping-particle":"","family":"Sabatine","given":"Marc S","non-dropping-particle":"","parse-names":false,"suffix":""}],"container-title":"The Lancet","id":"ITEM-2","issue":"10166","issued":{"date-parts":[["2019"]]},"page":"31-39","title":"SGLT2 inhibitors for primary and secondary prevention of cardiovascular and renal outcomes in type 2 diabetes: a systematic review and meta-analysis of cardiovascular outcome trials","type":"article-journal","volume":"393"},"uris":["http://www.mendeley.com/documents/?uuid=27c8c88a-7c7e-42fb-9e35-8301ceb1f6f9"]}],"mendeley":{"formattedCitation":"(1,36)","plainTextFormattedCitation":"(1,36)","previouslyFormattedCitation":"(1,36)"},"properties":{"noteIndex":0},"schema":"https://github.com/citation-style-language/schema/raw/master/csl-citation.json"}</w:instrText>
      </w:r>
      <w:r w:rsidR="00D56D1A" w:rsidRPr="00781897">
        <w:fldChar w:fldCharType="separate"/>
      </w:r>
      <w:r w:rsidR="002622F3" w:rsidRPr="002622F3">
        <w:rPr>
          <w:noProof/>
        </w:rPr>
        <w:t>(1,36)</w:t>
      </w:r>
      <w:r w:rsidR="00D56D1A" w:rsidRPr="00781897">
        <w:fldChar w:fldCharType="end"/>
      </w:r>
      <w:r w:rsidR="00D24B04" w:rsidRPr="00781897">
        <w:t xml:space="preserve"> </w:t>
      </w:r>
      <w:r w:rsidR="00EB57E4" w:rsidRPr="00781897">
        <w:t>In people with multiple CVD risk factors,</w:t>
      </w:r>
      <w:r w:rsidR="008968B7" w:rsidRPr="00781897">
        <w:t xml:space="preserve"> </w:t>
      </w:r>
      <w:r w:rsidR="004D545D" w:rsidRPr="00781897">
        <w:t xml:space="preserve">a </w:t>
      </w:r>
      <w:r w:rsidR="00DE7652" w:rsidRPr="00781897">
        <w:t>meta-</w:t>
      </w:r>
      <w:r w:rsidR="007D21F7" w:rsidRPr="00781897">
        <w:t xml:space="preserve">analysis of </w:t>
      </w:r>
      <w:r w:rsidR="008968B7" w:rsidRPr="00781897">
        <w:t>SGLT2i</w:t>
      </w:r>
      <w:r w:rsidR="004D545D" w:rsidRPr="00781897">
        <w:t xml:space="preserve"> trials suggest</w:t>
      </w:r>
      <w:r w:rsidR="007F7EFA" w:rsidRPr="00781897">
        <w:t>ed</w:t>
      </w:r>
      <w:r w:rsidR="007D21F7" w:rsidRPr="00781897">
        <w:t xml:space="preserve"> that </w:t>
      </w:r>
      <w:r w:rsidR="008968B7" w:rsidRPr="00781897">
        <w:t>these agents</w:t>
      </w:r>
      <w:r w:rsidR="00843182" w:rsidRPr="00781897">
        <w:t xml:space="preserve"> </w:t>
      </w:r>
      <w:r w:rsidR="009E3F06" w:rsidRPr="00781897">
        <w:t xml:space="preserve">might </w:t>
      </w:r>
      <w:r w:rsidR="00843182" w:rsidRPr="00781897">
        <w:t>have</w:t>
      </w:r>
      <w:r w:rsidR="00DE7652" w:rsidRPr="00781897">
        <w:t xml:space="preserve"> </w:t>
      </w:r>
      <w:r w:rsidR="002329FE" w:rsidRPr="00781897">
        <w:t xml:space="preserve">clinical </w:t>
      </w:r>
      <w:r w:rsidR="00C4299C" w:rsidRPr="00781897">
        <w:t>benefits</w:t>
      </w:r>
      <w:r w:rsidR="00DE7652" w:rsidRPr="00781897">
        <w:t xml:space="preserve"> </w:t>
      </w:r>
      <w:r w:rsidR="009E3F06" w:rsidRPr="00781897">
        <w:t xml:space="preserve">although </w:t>
      </w:r>
      <w:r w:rsidR="00FE24F3" w:rsidRPr="00781897">
        <w:t>summary</w:t>
      </w:r>
      <w:r w:rsidR="009E3F06" w:rsidRPr="00781897">
        <w:t xml:space="preserve"> result</w:t>
      </w:r>
      <w:r w:rsidR="00143277" w:rsidRPr="00781897">
        <w:t>s</w:t>
      </w:r>
      <w:r w:rsidR="009E3F06" w:rsidRPr="00781897">
        <w:t xml:space="preserve"> </w:t>
      </w:r>
      <w:r w:rsidR="00AA16F7" w:rsidRPr="00781897">
        <w:t>were not significant</w:t>
      </w:r>
      <w:r w:rsidR="00E84CFB" w:rsidRPr="00781897">
        <w:t xml:space="preserve"> </w:t>
      </w:r>
      <w:r w:rsidR="00DE7652" w:rsidRPr="00781897">
        <w:t>(HR 0</w:t>
      </w:r>
      <w:r w:rsidR="00F10B84" w:rsidRPr="00781897">
        <w:t>.</w:t>
      </w:r>
      <w:r w:rsidR="00DE7652" w:rsidRPr="00781897">
        <w:t>84</w:t>
      </w:r>
      <w:r w:rsidR="00276E8A" w:rsidRPr="00781897">
        <w:t>;</w:t>
      </w:r>
      <w:r w:rsidR="00DE7652" w:rsidRPr="00781897">
        <w:t xml:space="preserve"> </w:t>
      </w:r>
      <w:r w:rsidR="00FD4A5F" w:rsidRPr="00781897">
        <w:t>95% CI</w:t>
      </w:r>
      <w:r w:rsidR="00DE7652" w:rsidRPr="00781897">
        <w:t xml:space="preserve"> 0</w:t>
      </w:r>
      <w:r w:rsidR="00F10B84" w:rsidRPr="00781897">
        <w:t>.</w:t>
      </w:r>
      <w:r w:rsidR="00DE7652" w:rsidRPr="00781897">
        <w:t>69</w:t>
      </w:r>
      <w:r w:rsidR="002B006D" w:rsidRPr="00781897">
        <w:t>-</w:t>
      </w:r>
      <w:r w:rsidR="00DE7652" w:rsidRPr="00781897">
        <w:t>1</w:t>
      </w:r>
      <w:r w:rsidR="00F10B84" w:rsidRPr="00781897">
        <w:t>.</w:t>
      </w:r>
      <w:r w:rsidR="00DE7652" w:rsidRPr="00781897">
        <w:t>01)</w:t>
      </w:r>
      <w:r w:rsidR="00964EA4" w:rsidRPr="00781897">
        <w:t>.</w:t>
      </w:r>
      <w:r w:rsidR="00276E8A" w:rsidRPr="00781897">
        <w:fldChar w:fldCharType="begin" w:fldLock="1"/>
      </w:r>
      <w:r w:rsidR="002622F3">
        <w:instrText>ADDIN CSL_CITATION {"citationItems":[{"id":"ITEM-1","itemData":{"DOI":"10.1016/S0140-6736(18)32590-X","ISSN":"01406736","author":[{"dropping-particle":"","family":"Zelniker","given":"Thomas A","non-dropping-particle":"","parse-names":false,"suffix":""},{"dropping-particle":"","family":"Wiviott","given":"Stephen D","non-dropping-particle":"","parse-names":false,"suffix":""},{"dropping-particle":"","family":"Raz","given":"Itamar","non-dropping-particle":"","parse-names":false,"suffix":""},{"dropping-particle":"","family":"Im","given":"Kyungah","non-dropping-particle":"","parse-names":false,"suffix":""},{"dropping-particle":"","family":"Goodrich","given":"Erica L","non-dropping-particle":"","parse-names":false,"suffix":""},{"dropping-particle":"","family":"Bonaca","given":"Marc P","non-dropping-particle":"","parse-names":false,"suffix":""},{"dropping-particle":"","family":"Mosenzon","given":"Ofri","non-dropping-particle":"","parse-names":false,"suffix":""},{"dropping-particle":"","family":"Kato","given":"Eri T","non-dropping-particle":"","parse-names":false,"suffix":""},{"dropping-particle":"","family":"Cahn","given":"Avivit","non-dropping-particle":"","parse-names":false,"suffix":""},{"dropping-particle":"","family":"Furtado","given":"Remo H M","non-dropping-particle":"","parse-names":false,"suffix":""},{"dropping-particle":"","family":"Bhatt","given":"Deepak L","non-dropping-particle":"","parse-names":false,"suffix":""},{"dropping-particle":"","family":"Leiter","given":"Lawrence A","non-dropping-particle":"","parse-names":false,"suffix":""},{"dropping-particle":"","family":"McGuire","given":"Darren K","non-dropping-particle":"","parse-names":false,"suffix":""},{"dropping-particle":"","family":"Wilding","given":"John P H","non-dropping-particle":"","parse-names":false,"suffix":""},{"dropping-particle":"","family":"Sabatine","given":"Marc S","non-dropping-particle":"","parse-names":false,"suffix":""}],"container-title":"The Lancet","id":"ITEM-1","issue":"10166","issued":{"date-parts":[["2019"]]},"page":"31-39","title":"SGLT2 inhibitors for primary and secondary prevention of cardiovascular and renal outcomes in type 2 diabetes: a systematic review and meta-analysis of cardiovascular outcome trials","type":"article-journal","volume":"393"},"uris":["http://www.mendeley.com/documents/?uuid=27c8c88a-7c7e-42fb-9e35-8301ceb1f6f9"]}],"mendeley":{"formattedCitation":"(36)","plainTextFormattedCitation":"(36)","previouslyFormattedCitation":"(36)"},"properties":{"noteIndex":0},"schema":"https://github.com/citation-style-language/schema/raw/master/csl-citation.json"}</w:instrText>
      </w:r>
      <w:r w:rsidR="00276E8A" w:rsidRPr="00781897">
        <w:fldChar w:fldCharType="separate"/>
      </w:r>
      <w:r w:rsidR="002622F3" w:rsidRPr="002622F3">
        <w:rPr>
          <w:noProof/>
        </w:rPr>
        <w:t>(36)</w:t>
      </w:r>
      <w:r w:rsidR="00276E8A" w:rsidRPr="00781897">
        <w:fldChar w:fldCharType="end"/>
      </w:r>
      <w:r w:rsidR="00D56D1A" w:rsidRPr="00781897">
        <w:t xml:space="preserve"> </w:t>
      </w:r>
      <w:r w:rsidR="00E95F62">
        <w:t>A recently reported meta-analysis of RCT</w:t>
      </w:r>
      <w:r w:rsidR="00993671">
        <w:t>s</w:t>
      </w:r>
      <w:r w:rsidR="00E95F62">
        <w:t xml:space="preserve"> </w:t>
      </w:r>
      <w:r w:rsidR="00EB49E6">
        <w:t>suggested</w:t>
      </w:r>
      <w:r w:rsidR="00E95F62">
        <w:t xml:space="preserve"> that in people with </w:t>
      </w:r>
      <w:r w:rsidR="00B608E7" w:rsidRPr="004849AB">
        <w:t xml:space="preserve">type </w:t>
      </w:r>
      <w:r w:rsidR="00B608E7" w:rsidRPr="004849AB">
        <w:lastRenderedPageBreak/>
        <w:t>2 diabetes</w:t>
      </w:r>
      <w:r w:rsidR="00B608E7" w:rsidDel="005A498B">
        <w:rPr>
          <w:rStyle w:val="Strong"/>
          <w:b w:val="0"/>
          <w:bCs w:val="0"/>
        </w:rPr>
        <w:t xml:space="preserve"> </w:t>
      </w:r>
      <w:r w:rsidR="00E95F62">
        <w:t xml:space="preserve">and no prior history of atherosclerotic CVD, </w:t>
      </w:r>
      <w:r w:rsidR="00E95F62" w:rsidRPr="00781897">
        <w:t xml:space="preserve">SGLT2i </w:t>
      </w:r>
      <w:r w:rsidR="00EB49E6">
        <w:t>reduced</w:t>
      </w:r>
      <w:r w:rsidR="00E95F62">
        <w:t xml:space="preserve"> the risk for heart failure</w:t>
      </w:r>
      <w:r w:rsidR="00EB49E6">
        <w:t xml:space="preserve"> (HR 0.63; 95% CI 0.50-0.80</w:t>
      </w:r>
      <w:r w:rsidR="00E95F62" w:rsidRPr="00781897">
        <w:t>)</w:t>
      </w:r>
      <w:r w:rsidR="00EB49E6">
        <w:t xml:space="preserve">, but </w:t>
      </w:r>
      <w:r w:rsidR="00AB6E31">
        <w:t>corresponding</w:t>
      </w:r>
      <w:r w:rsidR="00EB49E6">
        <w:t xml:space="preserve"> data in people without prior heart failure is lacking</w:t>
      </w:r>
      <w:r w:rsidR="00E95F62" w:rsidRPr="00781897">
        <w:t>.</w:t>
      </w:r>
      <w:r w:rsidR="00993671">
        <w:fldChar w:fldCharType="begin" w:fldLock="1"/>
      </w:r>
      <w:r w:rsidR="00CE7AC3">
        <w:instrText>ADDIN CSL_CITATION {"citationItems":[{"id":"ITEM-1","itemData":{"DOI":"10.1001/jamacardio.2020.4511","ISSN":"2380-6583","author":[{"dropping-particle":"","family":"McGuire","given":"Darren K.","non-dropping-particle":"","parse-names":false,"suffix":""},{"dropping-particle":"","family":"Shih","given":"Weichung J.","non-dropping-particle":"","parse-names":false,"suffix":""},{"dropping-particle":"","family":"Cosentino","given":"Francesco","non-dropping-particle":"","parse-names":false,"suffix":""},{"dropping-particle":"","family":"Charbonnel","given":"Bernard","non-dropping-particle":"","parse-names":false,"suffix":""},{"dropping-particle":"","family":"Cherney","given":"David Z. I.","non-dropping-particle":"","parse-names":false,"suffix":""},{"dropping-particle":"","family":"Dagogo-Jack","given":"Samuel","non-dropping-particle":"","parse-names":false,"suffix":""},{"dropping-particle":"","family":"Pratley","given":"Richard","non-dropping-particle":"","parse-names":false,"suffix":""},{"dropping-particle":"","family":"Greenberg","given":"Michelle","non-dropping-particle":"","parse-names":false,"suffix":""},{"dropping-particle":"","family":"Wang","given":"Shuai","non-dropping-particle":"","parse-names":false,"suffix":""},{"dropping-particle":"","family":"Huyck","given":"Susan","non-dropping-particle":"","parse-names":false,"suffix":""},{"dropping-particle":"","family":"Gantz","given":"Ira","non-dropping-particle":"","parse-names":false,"suffix":""},{"dropping-particle":"","family":"Terra","given":"Steven G.","non-dropping-particle":"","parse-names":false,"suffix":""},{"dropping-particle":"","family":"Masiukiewicz","given":"Urszula","non-dropping-particle":"","parse-names":false,"suffix":""},{"dropping-particle":"","family":"Cannon","given":"Christopher P.","non-dropping-particle":"","parse-names":false,"suffix":""}],"container-title":"JAMA Cardiology","id":"ITEM-1","issue":"2","issued":{"date-parts":[["2021","2","1"]]},"page":"148","title":"Association of SGLT2 Inhibitors With Cardiovascular and Kidney Outcomes in Patients With Type 2 Diabetes","type":"article-journal","volume":"6"},"uris":["http://www.mendeley.com/documents/?uuid=35cf0241-0dbe-427f-b5ae-6363c16c8de9"]}],"mendeley":{"formattedCitation":"(4)","plainTextFormattedCitation":"(4)","previouslyFormattedCitation":"(4)"},"properties":{"noteIndex":0},"schema":"https://github.com/citation-style-language/schema/raw/master/csl-citation.json"}</w:instrText>
      </w:r>
      <w:r w:rsidR="00993671">
        <w:fldChar w:fldCharType="separate"/>
      </w:r>
      <w:r w:rsidR="00CE7AC3" w:rsidRPr="00CE7AC3">
        <w:rPr>
          <w:noProof/>
        </w:rPr>
        <w:t>(4)</w:t>
      </w:r>
      <w:r w:rsidR="00993671">
        <w:fldChar w:fldCharType="end"/>
      </w:r>
      <w:r w:rsidR="00EB49E6">
        <w:t xml:space="preserve"> </w:t>
      </w:r>
      <w:r w:rsidR="00491496" w:rsidRPr="00781897">
        <w:t>Consistent with our dat</w:t>
      </w:r>
      <w:r w:rsidR="007C073C" w:rsidRPr="00781897">
        <w:t>a</w:t>
      </w:r>
      <w:r w:rsidR="00491496" w:rsidRPr="00781897">
        <w:t>, o</w:t>
      </w:r>
      <w:r w:rsidR="00EB57E4" w:rsidRPr="00781897">
        <w:t xml:space="preserve">bservational </w:t>
      </w:r>
      <w:r w:rsidR="004D545D" w:rsidRPr="00781897">
        <w:t>studies</w:t>
      </w:r>
      <w:r w:rsidR="00EB57E4" w:rsidRPr="00781897">
        <w:t xml:space="preserve"> </w:t>
      </w:r>
      <w:r w:rsidR="0021257C" w:rsidRPr="00781897">
        <w:t xml:space="preserve">have suggested </w:t>
      </w:r>
      <w:r w:rsidR="001E46E8" w:rsidRPr="00781897">
        <w:t>reductions</w:t>
      </w:r>
      <w:r w:rsidR="0021257C" w:rsidRPr="00781897">
        <w:t xml:space="preserve"> </w:t>
      </w:r>
      <w:r w:rsidR="00D4732F" w:rsidRPr="00781897">
        <w:t>in</w:t>
      </w:r>
      <w:r w:rsidR="00AB6E31">
        <w:t xml:space="preserve"> the risk</w:t>
      </w:r>
      <w:r w:rsidR="00D4732F" w:rsidRPr="00781897">
        <w:t xml:space="preserve"> </w:t>
      </w:r>
      <w:r w:rsidR="00D4637A">
        <w:t xml:space="preserve">for </w:t>
      </w:r>
      <w:r w:rsidR="0021257C" w:rsidRPr="00781897">
        <w:t>heart failure hospitalisation</w:t>
      </w:r>
      <w:r w:rsidR="00ED45C2" w:rsidRPr="00781897">
        <w:t>,</w:t>
      </w:r>
      <w:r w:rsidR="00986871">
        <w:fldChar w:fldCharType="begin" w:fldLock="1"/>
      </w:r>
      <w:r w:rsidR="002622F3">
        <w:instrText>ADDIN CSL_CITATION {"citationItems":[{"id":"ITEM-1","itemData":{"DOI":"10.1136/bmj.k119","ISSN":"0959-8138","author":[{"dropping-particle":"","family":"Patorno","given":"Elisabetta","non-dropping-particle":"","parse-names":false,"suffix":""},{"dropping-particle":"","family":"Goldfine","given":"Allison B","non-dropping-particle":"","parse-names":false,"suffix":""},{"dropping-particle":"","family":"Schneeweiss","given":"Sebastian","non-dropping-particle":"","parse-names":false,"suffix":""},{"dropping-particle":"","family":"Everett","given":"Brendan M","non-dropping-particle":"","parse-names":false,"suffix":""},{"dropping-particle":"","family":"Glynn","given":"Robert J","non-dropping-particle":"","parse-names":false,"suffix":""},{"dropping-particle":"","family":"Liu","given":"Jun","non-dropping-particle":"","parse-names":false,"suffix":""},{"dropping-particle":"","family":"Kim","given":"Seoyoung C","non-dropping-particle":"","parse-names":false,"suffix":""}],"container-title":"BMJ","id":"ITEM-1","issued":{"date-parts":[["2018","2","6"]]},"page":"k119","title":"Cardiovascular outcomes associated with canagliflozin versus other non-gliflozin antidiabetic drugs: population based cohort study","type":"article-journal","volume":"360"},"uris":["http://www.mendeley.com/documents/?uuid=d8ca3563-5bb9-4f2d-814a-8973ae27292f"]},{"id":"ITEM-2","itemData":{"DOI":"10.1186/s12933-021-01258-x","ISSN":"1475-2840","author":[{"dropping-particle":"","family":"Lugner","given":"Moa","non-dropping-particle":"","parse-names":false,"suffix":""},{"dropping-particle":"","family":"Sattar","given":"Naveed","non-dropping-particle":"","parse-names":false,"suffix":""},{"dropping-particle":"","family":"Miftaraj","given":"Mervete","non-dropping-particle":"","parse-names":false,"suffix":""},{"dropping-particle":"","family":"Ekelund","given":"Jan","non-dropping-particle":"","parse-names":false,"suffix":""},{"dropping-particle":"","family":"Franzén","given":"Stefan","non-dropping-particle":"","parse-names":false,"suffix":""},{"dropping-particle":"","family":"Svensson","given":"Ann-Marie","non-dropping-particle":"","parse-names":false,"suffix":""},{"dropping-particle":"","family":"Eliasson","given":"Björn","non-dropping-particle":"","parse-names":false,"suffix":""}],"container-title":"Cardiovascular Diabetology","id":"ITEM-2","issue":"1","issued":{"date-parts":[["2021","12","22"]]},"page":"67","title":"Cardiorenal and other diabetes related outcomes with SGLT-2 inhibitors compared to GLP-1 receptor agonists in type 2 diabetes: nationwide observational study","type":"article-journal","volume":"20"},"uris":["http://www.mendeley.com/documents/?uuid=ba5c2039-25ae-4ba0-a350-3f0d7af4a276"]},{"id":"ITEM-3","itemData":{"DOI":"10.2337/dc20-1464","ISSN":"0149-5992","author":[{"dropping-particle":"","family":"Patorno","given":"Elisabetta","non-dropping-particle":"","parse-names":false,"suffix":""},{"dropping-particle":"","family":"Pawar","given":"Ajinkya","non-dropping-particle":"","parse-names":false,"suffix":""},{"dropping-particle":"","family":"Bessette","given":"Lily G.","non-dropping-particle":"","parse-names":false,"suffix":""},{"dropping-particle":"","family":"Kim","given":"Dae H.","non-dropping-particle":"","parse-names":false,"suffix":""},{"dropping-particle":"","family":"Dave","given":"Chintan","non-dropping-particle":"","parse-names":false,"suffix":""},{"dropping-particle":"","family":"Glynn","given":"Robert J.","non-dropping-particle":"","parse-names":false,"suffix":""},{"dropping-particle":"","family":"Munshi","given":"Medha N.","non-dropping-particle":"","parse-names":false,"suffix":""},{"dropping-particle":"","family":"Schneeweiss","given":"Sebastian","non-dropping-particle":"","parse-names":false,"suffix":""},{"dropping-particle":"","family":"Wexler","given":"Deborah J.","non-dropping-particle":"","parse-names":false,"suffix":""},{"dropping-particle":"","family":"Kim","given":"Seoyoung C.","non-dropping-particle":"","parse-names":false,"suffix":""}],"container-title":"Diabetes Care","id":"ITEM-3","issue":"3","issued":{"date-parts":[["2021","3"]]},"page":"826-835","title":"Comparative Effectiveness and Safety of Sodium–Glucose Cotransporter 2 Inhibitors Versus Glucagon-Like Peptide 1 Receptor Agonists in Older Adults","type":"article-journal","volume":"44"},"uris":["http://www.mendeley.com/documents/?uuid=97bc13b2-0e1d-4a25-bc5a-78e1852222f3"]}],"mendeley":{"formattedCitation":"(25,29,30)","plainTextFormattedCitation":"(25,29,30)","previouslyFormattedCitation":"(25,29,30)"},"properties":{"noteIndex":0},"schema":"https://github.com/citation-style-language/schema/raw/master/csl-citation.json"}</w:instrText>
      </w:r>
      <w:r w:rsidR="00986871">
        <w:fldChar w:fldCharType="separate"/>
      </w:r>
      <w:r w:rsidR="002622F3" w:rsidRPr="002622F3">
        <w:rPr>
          <w:noProof/>
        </w:rPr>
        <w:t>(25,29,30)</w:t>
      </w:r>
      <w:r w:rsidR="00986871">
        <w:fldChar w:fldCharType="end"/>
      </w:r>
      <w:r w:rsidR="00ED45C2" w:rsidRPr="00781897">
        <w:t xml:space="preserve"> </w:t>
      </w:r>
      <w:r w:rsidR="00986871">
        <w:t xml:space="preserve">ranging from </w:t>
      </w:r>
      <w:r w:rsidR="00ED78FD">
        <w:t>17-</w:t>
      </w:r>
      <w:r w:rsidR="007F7EFA" w:rsidRPr="00781897">
        <w:t>40% lower</w:t>
      </w:r>
      <w:r w:rsidR="00586430" w:rsidRPr="00781897">
        <w:t xml:space="preserve"> risk</w:t>
      </w:r>
      <w:r w:rsidR="007F7EFA" w:rsidRPr="00781897">
        <w:t xml:space="preserve"> in </w:t>
      </w:r>
      <w:r w:rsidR="00563E07" w:rsidRPr="00781897">
        <w:t xml:space="preserve">SGLT2i </w:t>
      </w:r>
      <w:r w:rsidR="007F7EFA" w:rsidRPr="00781897">
        <w:t xml:space="preserve">users </w:t>
      </w:r>
      <w:r w:rsidR="00563E07" w:rsidRPr="00781897">
        <w:t xml:space="preserve">compared to </w:t>
      </w:r>
      <w:r w:rsidR="001E46E8" w:rsidRPr="00781897">
        <w:t xml:space="preserve">people using </w:t>
      </w:r>
      <w:r w:rsidR="00ED78FD">
        <w:t xml:space="preserve">GLP-1RA or </w:t>
      </w:r>
      <w:r w:rsidR="00563E07" w:rsidRPr="00781897">
        <w:t xml:space="preserve">other diabetes </w:t>
      </w:r>
      <w:r w:rsidR="007F7EFA" w:rsidRPr="00781897">
        <w:t>the</w:t>
      </w:r>
      <w:r w:rsidR="001E46E8" w:rsidRPr="00781897">
        <w:t>rapies</w:t>
      </w:r>
      <w:r w:rsidR="007C073C" w:rsidRPr="00781897">
        <w:t>,</w:t>
      </w:r>
      <w:r w:rsidR="00ED78FD">
        <w:fldChar w:fldCharType="begin" w:fldLock="1"/>
      </w:r>
      <w:r w:rsidR="002622F3">
        <w:instrText>ADDIN CSL_CITATION {"citationItems":[{"id":"ITEM-1","itemData":{"DOI":"10.1186/s12933-021-01258-x","ISSN":"1475-2840","author":[{"dropping-particle":"","family":"Lugner","given":"Moa","non-dropping-particle":"","parse-names":false,"suffix":""},{"dropping-particle":"","family":"Sattar","given":"Naveed","non-dropping-particle":"","parse-names":false,"suffix":""},{"dropping-particle":"","family":"Miftaraj","given":"Mervete","non-dropping-particle":"","parse-names":false,"suffix":""},{"dropping-particle":"","family":"Ekelund","given":"Jan","non-dropping-particle":"","parse-names":false,"suffix":""},{"dropping-particle":"","family":"Franzén","given":"Stefan","non-dropping-particle":"","parse-names":false,"suffix":""},{"dropping-particle":"","family":"Svensson","given":"Ann-Marie","non-dropping-particle":"","parse-names":false,"suffix":""},{"dropping-particle":"","family":"Eliasson","given":"Björn","non-dropping-particle":"","parse-names":false,"suffix":""}],"container-title":"Cardiovascular Diabetology","id":"ITEM-1","issue":"1","issued":{"date-parts":[["2021","12","22"]]},"page":"67","title":"Cardiorenal and other diabetes related outcomes with SGLT-2 inhibitors compared to GLP-1 receptor agonists in type 2 diabetes: nationwide observational study","type":"article-journal","volume":"20"},"uris":["http://www.mendeley.com/documents/?uuid=ba5c2039-25ae-4ba0-a350-3f0d7af4a276"]},{"id":"ITEM-2","itemData":{"DOI":"10.2337/dc20-1464","ISSN":"0149-5992","author":[{"dropping-particle":"","family":"Patorno","given":"Elisabetta","non-dropping-particle":"","parse-names":false,"suffix":""},{"dropping-particle":"","family":"Pawar","given":"Ajinkya","non-dropping-particle":"","parse-names":false,"suffix":""},{"dropping-particle":"","family":"Bessette","given":"Lily G.","non-dropping-particle":"","parse-names":false,"suffix":""},{"dropping-particle":"","family":"Kim","given":"Dae H.","non-dropping-particle":"","parse-names":false,"suffix":""},{"dropping-particle":"","family":"Dave","given":"Chintan","non-dropping-particle":"","parse-names":false,"suffix":""},{"dropping-particle":"","family":"Glynn","given":"Robert J.","non-dropping-particle":"","parse-names":false,"suffix":""},{"dropping-particle":"","family":"Munshi","given":"Medha N.","non-dropping-particle":"","parse-names":false,"suffix":""},{"dropping-particle":"","family":"Schneeweiss","given":"Sebastian","non-dropping-particle":"","parse-names":false,"suffix":""},{"dropping-particle":"","family":"Wexler","given":"Deborah J.","non-dropping-particle":"","parse-names":false,"suffix":""},{"dropping-particle":"","family":"Kim","given":"Seoyoung C.","non-dropping-particle":"","parse-names":false,"suffix":""}],"container-title":"Diabetes Care","id":"ITEM-2","issue":"3","issued":{"date-parts":[["2021","3"]]},"page":"826-835","title":"Comparative Effectiveness and Safety of Sodium–Glucose Cotransporter 2 Inhibitors Versus Glucagon-Like Peptide 1 Receptor Agonists in Older Adults","type":"article-journal","volume":"44"},"uris":["http://www.mendeley.com/documents/?uuid=97bc13b2-0e1d-4a25-bc5a-78e1852222f3"]}],"mendeley":{"formattedCitation":"(29,30)","plainTextFormattedCitation":"(29,30)","previouslyFormattedCitation":"(29,30)"},"properties":{"noteIndex":0},"schema":"https://github.com/citation-style-language/schema/raw/master/csl-citation.json"}</w:instrText>
      </w:r>
      <w:r w:rsidR="00ED78FD">
        <w:fldChar w:fldCharType="separate"/>
      </w:r>
      <w:r w:rsidR="002622F3" w:rsidRPr="002622F3">
        <w:rPr>
          <w:noProof/>
        </w:rPr>
        <w:t>(29,30)</w:t>
      </w:r>
      <w:r w:rsidR="00ED78FD">
        <w:fldChar w:fldCharType="end"/>
      </w:r>
      <w:r w:rsidR="00563E07" w:rsidRPr="00781897">
        <w:t xml:space="preserve"> </w:t>
      </w:r>
      <w:r w:rsidR="007F7EFA" w:rsidRPr="00781897">
        <w:t>with no</w:t>
      </w:r>
      <w:r w:rsidR="00563E07" w:rsidRPr="00781897">
        <w:t xml:space="preserve"> interaction by baseline CVD status.</w:t>
      </w:r>
      <w:r w:rsidR="007D3466" w:rsidRPr="00781897">
        <w:fldChar w:fldCharType="begin" w:fldLock="1"/>
      </w:r>
      <w:r w:rsidR="002622F3">
        <w:instrText>ADDIN CSL_CITATION {"citationItems":[{"id":"ITEM-1","itemData":{"DOI":"10.1016/j.jacc.2018.03.009","ISSN":"07351097","author":[{"dropping-particle":"","family":"Kosiborod","given":"Mikhail","non-dropping-particle":"","parse-names":false,"suffix":""},{"dropping-particle":"","family":"Lam","given":"Carolyn S.P.","non-dropping-particle":"","parse-names":false,"suffix":""},{"dropping-particle":"","family":"Kohsaka","given":"Shun","non-dropping-particle":"","parse-names":false,"suffix":""},{"dropping-particle":"","family":"Kim","given":"Dae Jung","non-dropping-particle":"","parse-names":false,"suffix":""},{"dropping-particle":"","family":"Karasik","given":"Avraham","non-dropping-particle":"","parse-names":false,"suffix":""},{"dropping-particle":"","family":"Shaw","given":"Jonathan","non-dropping-particle":"","parse-names":false,"suffix":""},{"dropping-particle":"","family":"Tangri","given":"Navdeep","non-dropping-particle":"","parse-names":false,"suffix":""},{"dropping-particle":"","family":"Goh","given":"Su-Yen","non-dropping-particle":"","parse-names":false,"suffix":""},{"dropping-particle":"","family":"Thuresson","given":"Marcus","non-dropping-particle":"","parse-names":false,"suffix":""},{"dropping-particle":"","family":"Chen","given":"Hungta","non-dropping-particle":"","parse-names":false,"suffix":""},{"dropping-particle":"","family":"Surmont","given":"Filip","non-dropping-particle":"","parse-names":false,"suffix":""},{"dropping-particle":"","family":"Hammar","given":"Niklas","non-dropping-particle":"","parse-names":false,"suffix":""},{"dropping-particle":"","family":"Fenici","given":"Peter","non-dropping-particle":"","parse-names":false,"suffix":""},{"dropping-particle":"","family":"Kosiborod","given":"Mikhail","non-dropping-particle":"","parse-names":false,"suffix":""},{"dropping-particle":"","family":"Cavender","given":"Matthew A.","non-dropping-particle":"","parse-names":false,"suffix":""},{"dropping-particle":"","family":"Fu","given":"Alex Z.","non-dropping-particle":"","parse-names":false,"suffix":""},{"dropping-particle":"","family":"Wilding","given":"John P.","non-dropping-particle":"","parse-names":false,"suffix":""},{"dropping-particle":"","family":"Khunti","given":"Kamlesh","non-dropping-particle":"","parse-names":false,"suffix":""},{"dropping-particle":"","family":"Norhammar","given":"Anna","non-dropping-particle":"","parse-names":false,"suffix":""},{"dropping-particle":"","family":"Birkeland","given":"Kåre","non-dropping-particle":"","parse-names":false,"suffix":""},{"dropping-particle":"","family":"Jørgensen","given":"Marit Eika","non-dropping-particle":"","parse-names":false,"suffix":""},{"dropping-particle":"","family":"Holl","given":"Reinhard W.","non-dropping-particle":"","parse-names":false,"suffix":""},{"dropping-particle":"","family":"Lam","given":"Carolyn SP","non-dropping-particle":"","parse-names":false,"suffix":""},{"dropping-particle":"","family":"Gulseth","given":"Hanne Løvdal","non-dropping-particle":"","parse-names":false,"suffix":""},{"dropping-particle":"","family":"Carstensen","given":"Bendix","non-dropping-particle":"","parse-names":false,"suffix":""},{"dropping-particle":"","family":"Bollow","given":"Esther","non-dropping-particle":"","parse-names":false,"suffix":""},{"dropping-particle":"","family":"Franch-Nadal","given":"Josep","non-dropping-particle":"","parse-names":false,"suffix":""},{"dropping-particle":"","family":"García Rodríguez","given":"Luis Alberto","non-dropping-particle":"","parse-names":false,"suffix":""},{"dropping-particle":"","family":"Karasik","given":"Avraham","non-dropping-particle":"","parse-names":false,"suffix":""},{"dropping-particle":"","family":"Tangri","given":"Navdeep","non-dropping-particle":"","parse-names":false,"suffix":""},{"dropping-particle":"","family":"Kohsaka","given":"Shun","non-dropping-particle":"","parse-names":false,"suffix":""},{"dropping-particle":"","family":"Kim","given":"Dae Jung","non-dropping-particle":"","parse-names":false,"suffix":""},{"dropping-particle":"","family":"Shaw","given":"Jonathan","non-dropping-particle":"","parse-names":false,"suffix":""},{"dropping-particle":"","family":"Arnold","given":"Suzanne","non-dropping-particle":"","parse-names":false,"suffix":""},{"dropping-particle":"","family":"Goh","given":"Su-Yen","non-dropping-particle":"","parse-names":false,"suffix":""},{"dropping-particle":"","family":"Hammar","given":"Niklas","non-dropping-particle":"","parse-names":false,"suffix":""},{"dropping-particle":"","family":"Fenici","given":"Peter","non-dropping-particle":"","parse-names":false,"suffix":""},{"dropping-particle":"","family":"Bodegård","given":"Johan","non-dropping-particle":"","parse-names":false,"suffix":""},{"dropping-particle":"","family":"Chen","given":"Hungta","non-dropping-particle":"","parse-names":false,"suffix":""},{"dropping-particle":"","family":"Surmont","given":"Filip","non-dropping-particle":"","parse-names":false,"suffix":""},{"dropping-particle":"","family":"Nahrebne","given":"Kyle","non-dropping-particle":"","parse-names":false,"suffix":""},{"dropping-particle":"","family":"Blak","given":"Betina T.","non-dropping-particle":"","parse-names":false,"suffix":""},{"dropping-particle":"","family":"Wittbrodt","given":"Eric T.","non-dropping-particle":"","parse-names":false,"suffix":""},{"dropping-particle":"","family":"Saathoff","given":"Matthias","non-dropping-particle":"","parse-names":false,"suffix":""},{"dropping-particle":"","family":"Noguchi","given":"Yusuke","non-dropping-particle":"","parse-names":false,"suffix":""},{"dropping-particle":"","family":"Tan","given":"Donna","non-dropping-particle":"","parse-names":false,"suffix":""},{"dropping-particle":"","family":"Williams","given":"Maro","non-dropping-particle":"","parse-names":false,"suffix":""},{"dropping-particle":"","family":"Lee","given":"Hye Won","non-dropping-particle":"","parse-names":false,"suffix":""},{"dropping-particle":"","family":"Greenbloom","given":"Maya","non-dropping-particle":"","parse-names":false,"suffix":""},{"dropping-particle":"","family":"Kaidanovich-Beilin","given":"Oksana","non-dropping-particle":"","parse-names":false,"suffix":""},{"dropping-particle":"","family":"Yeo","given":"Khung Keong","non-dropping-particle":"","parse-names":false,"suffix":""},{"dropping-particle":"","family":"Bee","given":"Yong Mong","non-dropping-particle":"","parse-names":false,"suffix":""},{"dropping-particle":"","family":"Khoo","given":"Joan","non-dropping-particle":"","parse-names":false,"suffix":""},{"dropping-particle":"","family":"Koong","given":"Agnes","non-dropping-particle":"","parse-names":false,"suffix":""},{"dropping-particle":"","family":"Lau","given":"Yee How","non-dropping-particle":"","parse-names":false,"suffix":""},{"dropping-particle":"","family":"Gao","given":"Fei","non-dropping-particle":"","parse-names":false,"suffix":""},{"dropping-particle":"","family":"Tan","given":"Wee Boon","non-dropping-particle":"","parse-names":false,"suffix":""},{"dropping-particle":"","family":"Kadir","given":"Hanis Abdul","non-dropping-particle":"","parse-names":false,"suffix":""},{"dropping-particle":"","family":"Ha","given":"Kyoung Hwa","non-dropping-particle":"","parse-names":false,"suffix":""},{"dropping-particle":"","family":"Lee","given":"Jinhee","non-dropping-particle":"","parse-names":false,"suffix":""},{"dropping-particle":"","family":"Chodick","given":"Gabriel","non-dropping-particle":"","parse-names":false,"suffix":""},{"dropping-particle":"","family":"Melzer Cohen","given":"Cheli","non-dropping-particle":"","parse-names":false,"suffix":""},{"dropping-particle":"","family":"Whitlock","given":"Reid","non-dropping-particle":"","parse-names":false,"suffix":""},{"dropping-particle":"","family":"Cea Soriano","given":"Lucia","non-dropping-particle":"","parse-names":false,"suffix":""},{"dropping-particle":"","family":"Fernándex Cantero","given":"Oscar","non-dropping-particle":"","parse-names":false,"suffix":""},{"dropping-particle":"","family":"Riehle","given":"Ellen","non-dropping-particle":"","parse-names":false,"suffix":""},{"dropping-particle":"","family":"Ilomaki","given":"Jennie","non-dropping-particle":"","parse-names":false,"suffix":""},{"dropping-particle":"","family":"Magliano","given":"Dianna","non-dropping-particle":"","parse-names":false,"suffix":""}],"container-title":"Journal of the American College of Cardiology","id":"ITEM-1","issue":"23","issued":{"date-parts":[["2018","6"]]},"page":"2628-2639","title":"Cardiovascular Events Associated With SGLT-2 Inhibitors Versus Other Glucose-Lowering Drugs","type":"article-journal","volume":"71"},"uris":["http://www.mendeley.com/documents/?uuid=1f603d03-11eb-4266-8096-5d0553d8e1d6"]}],"mendeley":{"formattedCitation":"(28)","plainTextFormattedCitation":"(28)","previouslyFormattedCitation":"(28)"},"properties":{"noteIndex":0},"schema":"https://github.com/citation-style-language/schema/raw/master/csl-citation.json"}</w:instrText>
      </w:r>
      <w:r w:rsidR="007D3466" w:rsidRPr="00781897">
        <w:fldChar w:fldCharType="separate"/>
      </w:r>
      <w:r w:rsidR="002622F3" w:rsidRPr="002622F3">
        <w:rPr>
          <w:noProof/>
        </w:rPr>
        <w:t>(28)</w:t>
      </w:r>
      <w:r w:rsidR="007D3466" w:rsidRPr="00781897">
        <w:fldChar w:fldCharType="end"/>
      </w:r>
      <w:r w:rsidR="00563E07" w:rsidRPr="00781897">
        <w:t xml:space="preserve"> </w:t>
      </w:r>
    </w:p>
    <w:p w14:paraId="2CBC98F8" w14:textId="77777777" w:rsidR="00986871" w:rsidRPr="00781897" w:rsidRDefault="00986871" w:rsidP="00ED78FD"/>
    <w:p w14:paraId="77988E84" w14:textId="238A8B62" w:rsidR="00303C5C" w:rsidRPr="004B3EC3" w:rsidRDefault="00F17B02" w:rsidP="00ED297A">
      <w:pPr>
        <w:spacing w:line="480" w:lineRule="auto"/>
      </w:pPr>
      <w:r w:rsidRPr="004D30C7">
        <w:rPr>
          <w:i/>
          <w:lang w:val="en-US"/>
        </w:rPr>
        <w:t>GLP-1RA</w:t>
      </w:r>
      <w:r w:rsidR="00F26A5D" w:rsidRPr="004D30C7">
        <w:t xml:space="preserve">. </w:t>
      </w:r>
      <w:r w:rsidR="00ED564B" w:rsidRPr="004D30C7">
        <w:t xml:space="preserve">Whilst there is consistent data for SGLT2i reducing MACCE and HF risk, the consensus on GLP-1RA </w:t>
      </w:r>
      <w:r w:rsidR="0002666C">
        <w:t>has been</w:t>
      </w:r>
      <w:r w:rsidR="00ED564B" w:rsidRPr="004D30C7">
        <w:t xml:space="preserve"> less clear. </w:t>
      </w:r>
      <w:r w:rsidR="00363A8D">
        <w:t>New data from the AMPLITUDE-O trial showed significant reductions in</w:t>
      </w:r>
      <w:r w:rsidR="003A4886" w:rsidRPr="004D30C7">
        <w:t xml:space="preserve"> heart failure</w:t>
      </w:r>
      <w:r w:rsidR="00ED297A" w:rsidRPr="004D30C7">
        <w:t xml:space="preserve"> </w:t>
      </w:r>
      <w:r w:rsidR="001F4D1B">
        <w:t>risk</w:t>
      </w:r>
      <w:r w:rsidR="005D28B6" w:rsidRPr="004D30C7">
        <w:t xml:space="preserve"> </w:t>
      </w:r>
      <w:r w:rsidR="003A4886" w:rsidRPr="004D30C7">
        <w:t xml:space="preserve">with </w:t>
      </w:r>
      <w:r w:rsidR="0002666C">
        <w:t xml:space="preserve">exendin-4 based </w:t>
      </w:r>
      <w:r w:rsidR="003A4886" w:rsidRPr="004D30C7">
        <w:t>GLP-1RA</w:t>
      </w:r>
      <w:r w:rsidR="0002666C">
        <w:t xml:space="preserve">, </w:t>
      </w:r>
      <w:proofErr w:type="spellStart"/>
      <w:r w:rsidR="0002666C">
        <w:t>efpeglenatide</w:t>
      </w:r>
      <w:proofErr w:type="spellEnd"/>
      <w:r w:rsidR="0032103F" w:rsidRPr="004D30C7">
        <w:t xml:space="preserve"> </w:t>
      </w:r>
      <w:r w:rsidR="001F4D1B">
        <w:t>(</w:t>
      </w:r>
      <w:r w:rsidR="00721229">
        <w:t>H</w:t>
      </w:r>
      <w:r w:rsidR="001F4D1B">
        <w:t>R 0.</w:t>
      </w:r>
      <w:r w:rsidR="00363A8D">
        <w:t>61</w:t>
      </w:r>
      <w:r w:rsidR="0002666C">
        <w:t>;</w:t>
      </w:r>
      <w:r w:rsidR="001F4D1B">
        <w:t xml:space="preserve"> </w:t>
      </w:r>
      <w:r w:rsidR="0002666C">
        <w:t xml:space="preserve">95% CI </w:t>
      </w:r>
      <w:r w:rsidR="001F4D1B">
        <w:t>0.</w:t>
      </w:r>
      <w:r w:rsidR="00363A8D">
        <w:t>38</w:t>
      </w:r>
      <w:r w:rsidR="001F4D1B">
        <w:t>-</w:t>
      </w:r>
      <w:r w:rsidR="00363A8D">
        <w:t>0.98</w:t>
      </w:r>
      <w:r w:rsidR="001F4D1B">
        <w:t>)</w:t>
      </w:r>
      <w:r w:rsidR="00363A8D">
        <w:t>.</w:t>
      </w:r>
      <w:r w:rsidR="00363A8D">
        <w:fldChar w:fldCharType="begin" w:fldLock="1"/>
      </w:r>
      <w:r w:rsidR="002622F3">
        <w:instrText>ADDIN CSL_CITATION {"citationItems":[{"id":"ITEM-1","itemData":{"DOI":"10.1056/NEJMoa2108269","ISSN":"0028-4793","author":[{"dropping-particle":"","family":"Gerstein","given":"Hertzel C.","non-dropping-particle":"","parse-names":false,"suffix":""},{"dropping-particle":"","family":"Sattar","given":"Naveed","non-dropping-particle":"","parse-names":false,"suffix":""},{"dropping-particle":"","family":"Rosenstock","given":"Julio","non-dropping-particle":"","parse-names":false,"suffix":""},{"dropping-particle":"","family":"Ramasundarahettige","given":"Chinthanie","non-dropping-particle":"","parse-names":false,"suffix":""},{"dropping-particle":"","family":"Pratley","given":"Richard","non-dropping-particle":"","parse-names":false,"suffix":""},{"dropping-particle":"","family":"Lopes","given":"Renato D.","non-dropping-particle":"","parse-names":false,"suffix":""},{"dropping-particle":"","family":"Lam","given":"Carolyn S.P.","non-dropping-particle":"","parse-names":false,"suffix":""},{"dropping-particle":"","family":"Khurmi","given":"Nardev S.","non-dropping-particle":"","parse-names":false,"suffix":""},{"dropping-particle":"","family":"Heenan","given":"Laura","non-dropping-particle":"","parse-names":false,"suffix":""},{"dropping-particle":"","family":"Prato","given":"Stefano","non-dropping-particle":"Del","parse-names":false,"suffix":""},{"dropping-particle":"","family":"Dyal","given":"Leanne","non-dropping-particle":"","parse-names":false,"suffix":""},{"dropping-particle":"","family":"Branch","given":"Kelley","non-dropping-particle":"","parse-names":false,"suffix":""}],"container-title":"New England Journal of Medicine","id":"ITEM-1","issue":"10","issued":{"date-parts":[["2021","9","2"]]},"page":"896-907","title":"Cardiovascular and Renal Outcomes with Efpeglenatide in Type 2 Diabetes","type":"article-journal","volume":"385"},"uris":["http://www.mendeley.com/documents/?uuid=5a903809-ba28-4364-bea4-1c6d0875eb08"]}],"mendeley":{"formattedCitation":"(37)","plainTextFormattedCitation":"(37)","previouslyFormattedCitation":"(37)"},"properties":{"noteIndex":0},"schema":"https://github.com/citation-style-language/schema/raw/master/csl-citation.json"}</w:instrText>
      </w:r>
      <w:r w:rsidR="00363A8D">
        <w:fldChar w:fldCharType="separate"/>
      </w:r>
      <w:r w:rsidR="002622F3" w:rsidRPr="002622F3">
        <w:rPr>
          <w:noProof/>
        </w:rPr>
        <w:t>(37)</w:t>
      </w:r>
      <w:r w:rsidR="00363A8D">
        <w:fldChar w:fldCharType="end"/>
      </w:r>
      <w:r w:rsidR="00363A8D">
        <w:t xml:space="preserve"> </w:t>
      </w:r>
      <w:r w:rsidR="0002666C">
        <w:t>Consequently, i</w:t>
      </w:r>
      <w:r w:rsidR="0032103F" w:rsidRPr="004D30C7">
        <w:rPr>
          <w:color w:val="000000"/>
        </w:rPr>
        <w:t xml:space="preserve">n </w:t>
      </w:r>
      <w:r w:rsidR="00CE7AC3">
        <w:rPr>
          <w:color w:val="000000"/>
        </w:rPr>
        <w:t>the latest</w:t>
      </w:r>
      <w:r w:rsidR="0032103F" w:rsidRPr="004D30C7">
        <w:rPr>
          <w:color w:val="000000"/>
        </w:rPr>
        <w:t xml:space="preserve"> meta-analysis of RCTs</w:t>
      </w:r>
      <w:r w:rsidR="00CE7AC3">
        <w:rPr>
          <w:color w:val="000000"/>
        </w:rPr>
        <w:t>,</w:t>
      </w:r>
      <w:r w:rsidR="0032103F" w:rsidRPr="004D30C7">
        <w:rPr>
          <w:color w:val="000000"/>
        </w:rPr>
        <w:t xml:space="preserve"> </w:t>
      </w:r>
      <w:r w:rsidR="00CE7AC3">
        <w:rPr>
          <w:color w:val="000000"/>
        </w:rPr>
        <w:t>Sattar</w:t>
      </w:r>
      <w:r w:rsidR="00CE7AC3" w:rsidRPr="004D30C7">
        <w:rPr>
          <w:color w:val="000000"/>
        </w:rPr>
        <w:t xml:space="preserve"> </w:t>
      </w:r>
      <w:r w:rsidR="0032103F" w:rsidRPr="004D30C7">
        <w:rPr>
          <w:color w:val="000000"/>
        </w:rPr>
        <w:t xml:space="preserve">et al. </w:t>
      </w:r>
      <w:r w:rsidR="0002666C">
        <w:rPr>
          <w:color w:val="000000"/>
        </w:rPr>
        <w:t>reported</w:t>
      </w:r>
      <w:r w:rsidR="0002666C" w:rsidRPr="004D30C7">
        <w:rPr>
          <w:color w:val="000000"/>
        </w:rPr>
        <w:t xml:space="preserve"> </w:t>
      </w:r>
      <w:r w:rsidR="0032103F" w:rsidRPr="004D30C7">
        <w:rPr>
          <w:color w:val="000000"/>
        </w:rPr>
        <w:t xml:space="preserve">a statistically significant </w:t>
      </w:r>
      <w:r w:rsidR="00CE7AC3">
        <w:rPr>
          <w:color w:val="000000"/>
        </w:rPr>
        <w:t>11</w:t>
      </w:r>
      <w:r w:rsidR="0032103F" w:rsidRPr="004D30C7">
        <w:rPr>
          <w:color w:val="000000"/>
        </w:rPr>
        <w:t xml:space="preserve">% reduction </w:t>
      </w:r>
      <w:r w:rsidR="0002666C">
        <w:rPr>
          <w:color w:val="000000"/>
        </w:rPr>
        <w:t xml:space="preserve">(HR 0.89; 95% CI 0.82-0.98) </w:t>
      </w:r>
      <w:r w:rsidR="0032103F" w:rsidRPr="004D30C7">
        <w:rPr>
          <w:color w:val="000000"/>
        </w:rPr>
        <w:t>in the risk for heart failure hospitalisation with GLP-1RAs</w:t>
      </w:r>
      <w:r w:rsidR="00363A8D">
        <w:rPr>
          <w:color w:val="000000"/>
        </w:rPr>
        <w:t xml:space="preserve">, </w:t>
      </w:r>
      <w:r w:rsidR="00363A8D">
        <w:t xml:space="preserve">which is </w:t>
      </w:r>
      <w:r w:rsidR="0002666C">
        <w:t>not dis</w:t>
      </w:r>
      <w:r w:rsidR="00363A8D">
        <w:t>similar to our reported estimate (OR 0.</w:t>
      </w:r>
      <w:r w:rsidR="00DD0061">
        <w:t>82</w:t>
      </w:r>
      <w:r w:rsidR="0002666C">
        <w:t xml:space="preserve">; 95% CI </w:t>
      </w:r>
      <w:r w:rsidR="00363A8D">
        <w:t>0.</w:t>
      </w:r>
      <w:r w:rsidR="00DD0061">
        <w:t>71</w:t>
      </w:r>
      <w:r w:rsidR="00363A8D">
        <w:t>-0.</w:t>
      </w:r>
      <w:r w:rsidR="00DD0061">
        <w:t>95</w:t>
      </w:r>
      <w:r w:rsidR="00363A8D">
        <w:t>)</w:t>
      </w:r>
      <w:r w:rsidR="0096288B" w:rsidRPr="004D30C7">
        <w:t>.</w:t>
      </w:r>
      <w:r w:rsidR="00CE7AC3">
        <w:fldChar w:fldCharType="begin" w:fldLock="1"/>
      </w:r>
      <w:r w:rsidR="00CE7AC3">
        <w:instrText>ADDIN CSL_CITATION {"citationItems":[{"id":"ITEM-1","itemData":{"DOI":"10.1016/S2213-8587(21)00203-5","ISSN":"22138587","author":[{"dropping-particle":"","family":"Sattar","given":"Naveed","non-dropping-particle":"","parse-names":false,"suffix":""},{"dropping-particle":"","family":"Lee","given":"Matthew M Y","non-dropping-particle":"","parse-names":false,"suffix":""},{"dropping-particle":"","family":"Kristensen","given":"Søren L","non-dropping-particle":"","parse-names":false,"suffix":""},{"dropping-particle":"","family":"Branch","given":"Kelley R H","non-dropping-particle":"","parse-names":false,"suffix":""},{"dropping-particle":"","family":"Prato","given":"Stefano","non-dropping-particle":"Del","parse-names":false,"suffix":""},{"dropping-particle":"","family":"Khurmi","given":"Nardev S","non-dropping-particle":"","parse-names":false,"suffix":""},{"dropping-particle":"","family":"Lam","given":"Carolyn S P","non-dropping-particle":"","parse-names":false,"suffix":""},{"dropping-particle":"","family":"Lopes","given":"Renato D","non-dropping-particle":"","parse-names":false,"suffix":""},{"dropping-particle":"V","family":"McMurray","given":"John J","non-dropping-particle":"","parse-names":false,"suffix":""},{"dropping-particle":"","family":"Pratley","given":"Richard E","non-dropping-particle":"","parse-names":false,"suffix":""},{"dropping-particle":"","family":"Rosenstock","given":"Julio","non-dropping-particle":"","parse-names":false,"suffix":""},{"dropping-particle":"","family":"Gerstein","given":"Hertzel C","non-dropping-particle":"","parse-names":false,"suffix":""}],"container-title":"The Lancet Diabetes &amp; Endocrinology","id":"ITEM-1","issue":"10","issued":{"date-parts":[["2021","10"]]},"page":"653-662","title":"Cardiovascular, mortality, and kidney outcomes with GLP-1 receptor agonists in patients with type 2 diabetes: a systematic review and meta-analysis of randomised trials","type":"article-journal","volume":"9"},"uris":["http://www.mendeley.com/documents/?uuid=068cb5e8-ee99-40b7-b510-a9846e71e73e"]}],"mendeley":{"formattedCitation":"(3)","plainTextFormattedCitation":"(3)","previouslyFormattedCitation":"(3)"},"properties":{"noteIndex":0},"schema":"https://github.com/citation-style-language/schema/raw/master/csl-citation.json"}</w:instrText>
      </w:r>
      <w:r w:rsidR="00CE7AC3">
        <w:fldChar w:fldCharType="separate"/>
      </w:r>
      <w:r w:rsidR="00CE7AC3" w:rsidRPr="00CE7AC3">
        <w:rPr>
          <w:noProof/>
        </w:rPr>
        <w:t>(3)</w:t>
      </w:r>
      <w:r w:rsidR="00CE7AC3">
        <w:fldChar w:fldCharType="end"/>
      </w:r>
      <w:r w:rsidR="0096288B" w:rsidRPr="004D30C7">
        <w:t xml:space="preserve"> This benefit was </w:t>
      </w:r>
      <w:r w:rsidR="002166C9">
        <w:t xml:space="preserve">largely </w:t>
      </w:r>
      <w:r w:rsidR="0096288B" w:rsidRPr="004D30C7">
        <w:t xml:space="preserve">driven by </w:t>
      </w:r>
      <w:r w:rsidR="002166C9">
        <w:t>the</w:t>
      </w:r>
      <w:r w:rsidR="0096288B" w:rsidRPr="004D30C7">
        <w:t xml:space="preserve"> risk reduction in people with establis</w:t>
      </w:r>
      <w:r w:rsidR="00EB1A1B" w:rsidRPr="004D30C7">
        <w:t>hed CVD; no significant benefit was observed in those</w:t>
      </w:r>
      <w:r w:rsidR="0096288B" w:rsidRPr="004D30C7">
        <w:t xml:space="preserve"> without CVD. </w:t>
      </w:r>
      <w:r w:rsidR="00AE3E00" w:rsidRPr="004D30C7">
        <w:t xml:space="preserve">In the only positive observational study, </w:t>
      </w:r>
      <w:r w:rsidR="000B57AA" w:rsidRPr="004D30C7">
        <w:t xml:space="preserve">Velez </w:t>
      </w:r>
      <w:r w:rsidR="00881DA4" w:rsidRPr="004D30C7">
        <w:t xml:space="preserve">et al. </w:t>
      </w:r>
      <w:r w:rsidR="000B57AA" w:rsidRPr="004D30C7">
        <w:t xml:space="preserve">showed that </w:t>
      </w:r>
      <w:r w:rsidRPr="004D30C7">
        <w:t>GLP-1RA</w:t>
      </w:r>
      <w:r w:rsidR="00E02271" w:rsidRPr="004D30C7">
        <w:t xml:space="preserve"> prescribing was associated </w:t>
      </w:r>
      <w:r w:rsidR="005D6058" w:rsidRPr="004D30C7">
        <w:t xml:space="preserve">with </w:t>
      </w:r>
      <w:r w:rsidR="000B57AA" w:rsidRPr="004D30C7">
        <w:t>a</w:t>
      </w:r>
      <w:r w:rsidR="00AE3E00" w:rsidRPr="004D30C7">
        <w:t xml:space="preserve"> 49%</w:t>
      </w:r>
      <w:r w:rsidR="000B57AA" w:rsidRPr="004D30C7">
        <w:t xml:space="preserve"> lower risk of heart failure</w:t>
      </w:r>
      <w:r w:rsidR="009E7EED" w:rsidRPr="004D30C7">
        <w:t xml:space="preserve"> hospitalisation</w:t>
      </w:r>
      <w:r w:rsidR="00881DA4" w:rsidRPr="004D30C7">
        <w:t>.</w:t>
      </w:r>
      <w:r w:rsidR="00881DA4" w:rsidRPr="004D30C7">
        <w:fldChar w:fldCharType="begin" w:fldLock="1"/>
      </w:r>
      <w:r w:rsidR="002622F3">
        <w:instrText>ADDIN CSL_CITATION {"citationItems":[{"id":"ITEM-1","itemData":{"DOI":"10.1016/j.cardfail.2014.10.012","ISSN":"10719164","author":[{"dropping-particle":"","family":"Velez","given":"Mauricio","non-dropping-particle":"","parse-names":false,"suffix":""},{"dropping-particle":"","family":"Peterson","given":"Edward L.","non-dropping-particle":"","parse-names":false,"suffix":""},{"dropping-particle":"","family":"Wells","given":"Karen","non-dropping-particle":"","parse-names":false,"suffix":""},{"dropping-particle":"","family":"Swadia","given":"Tanmay","non-dropping-particle":"","parse-names":false,"suffix":""},{"dropping-particle":"","family":"Sabbah","given":"Hani N.","non-dropping-particle":"","parse-names":false,"suffix":""},{"dropping-particle":"","family":"Williams","given":"L. Keoki","non-dropping-particle":"","parse-names":false,"suffix":""},{"dropping-particle":"","family":"Lanfear","given":"David E.","non-dropping-particle":"","parse-names":false,"suffix":""}],"container-title":"Journal of Cardiac Failure","id":"ITEM-1","issue":"1","issued":{"date-parts":[["2015","1"]]},"page":"2-8","title":"Association of Antidiabetic Medications Targeting the Glucagon-Like Peptide 1 Pathway and Heart Failure Events in Patients With Diabetes","type":"article-journal","volume":"21"},"uris":["http://www.mendeley.com/documents/?uuid=4b96dfcf-c252-4a5c-a984-4e863f543046"]}],"mendeley":{"formattedCitation":"(38)","plainTextFormattedCitation":"(38)","previouslyFormattedCitation":"(38)"},"properties":{"noteIndex":0},"schema":"https://github.com/citation-style-language/schema/raw/master/csl-citation.json"}</w:instrText>
      </w:r>
      <w:r w:rsidR="00881DA4" w:rsidRPr="004D30C7">
        <w:fldChar w:fldCharType="separate"/>
      </w:r>
      <w:r w:rsidR="002622F3" w:rsidRPr="002622F3">
        <w:rPr>
          <w:noProof/>
        </w:rPr>
        <w:t>(38)</w:t>
      </w:r>
      <w:r w:rsidR="00881DA4" w:rsidRPr="004D30C7">
        <w:fldChar w:fldCharType="end"/>
      </w:r>
      <w:r w:rsidR="000B57AA" w:rsidRPr="004D30C7">
        <w:t xml:space="preserve"> </w:t>
      </w:r>
      <w:r w:rsidR="009E7EED" w:rsidRPr="004D30C7">
        <w:t>However, the analysis was</w:t>
      </w:r>
      <w:r w:rsidR="009E7EED" w:rsidRPr="004B3EC3">
        <w:t xml:space="preserve"> based on 128 events, follow-up </w:t>
      </w:r>
      <w:r w:rsidR="00C04FE9" w:rsidRPr="00AA4914">
        <w:t xml:space="preserve">was only 2 years </w:t>
      </w:r>
      <w:r w:rsidR="009E7EED" w:rsidRPr="00AA4914">
        <w:t xml:space="preserve">and the analysis </w:t>
      </w:r>
      <w:r w:rsidR="00F133EB" w:rsidRPr="00AA4914">
        <w:t>accounted</w:t>
      </w:r>
      <w:r w:rsidR="009E7EED" w:rsidRPr="00AA4914">
        <w:t xml:space="preserve"> for a limited number of covariates.</w:t>
      </w:r>
      <w:r w:rsidR="00915581" w:rsidRPr="00AA4914">
        <w:t xml:space="preserve"> </w:t>
      </w:r>
      <w:r w:rsidR="00737B25" w:rsidRPr="00AA4914">
        <w:rPr>
          <w:color w:val="000000" w:themeColor="text1"/>
        </w:rPr>
        <w:t>Here, w</w:t>
      </w:r>
      <w:r w:rsidR="00295713" w:rsidRPr="00AA4914">
        <w:rPr>
          <w:color w:val="000000" w:themeColor="text1"/>
        </w:rPr>
        <w:t>e</w:t>
      </w:r>
      <w:r w:rsidR="00C04FE9" w:rsidRPr="00AA4914">
        <w:rPr>
          <w:color w:val="000000" w:themeColor="text1"/>
        </w:rPr>
        <w:t xml:space="preserve"> s</w:t>
      </w:r>
      <w:r w:rsidR="00295713" w:rsidRPr="00AA4914">
        <w:rPr>
          <w:color w:val="000000" w:themeColor="text1"/>
        </w:rPr>
        <w:t>how</w:t>
      </w:r>
      <w:r w:rsidR="00CA40C6" w:rsidRPr="00AA4914">
        <w:rPr>
          <w:color w:val="000000" w:themeColor="text1"/>
        </w:rPr>
        <w:t xml:space="preserve"> a </w:t>
      </w:r>
      <w:r w:rsidR="00177C37">
        <w:rPr>
          <w:color w:val="000000" w:themeColor="text1"/>
        </w:rPr>
        <w:t>18</w:t>
      </w:r>
      <w:r w:rsidR="00CA40C6" w:rsidRPr="00AA4914">
        <w:rPr>
          <w:color w:val="000000" w:themeColor="text1"/>
        </w:rPr>
        <w:t xml:space="preserve">% lower risk of first heart failure episodes with </w:t>
      </w:r>
      <w:r w:rsidRPr="00AA4914">
        <w:rPr>
          <w:color w:val="000000" w:themeColor="text1"/>
        </w:rPr>
        <w:t>GLP-1RA</w:t>
      </w:r>
      <w:r w:rsidR="00CA40C6" w:rsidRPr="00AA4914">
        <w:rPr>
          <w:color w:val="000000" w:themeColor="text1"/>
        </w:rPr>
        <w:t xml:space="preserve"> users</w:t>
      </w:r>
      <w:r w:rsidR="002E0F27" w:rsidRPr="00AA4914">
        <w:rPr>
          <w:color w:val="000000" w:themeColor="text1"/>
        </w:rPr>
        <w:t xml:space="preserve"> over ~4 years (mean) of follow-up</w:t>
      </w:r>
      <w:r w:rsidR="0077766D" w:rsidRPr="00AA4914">
        <w:rPr>
          <w:color w:val="000000" w:themeColor="text1"/>
        </w:rPr>
        <w:t xml:space="preserve"> after adjusting for many more potential confounders</w:t>
      </w:r>
      <w:r w:rsidR="00CA40C6" w:rsidRPr="00AA4914">
        <w:rPr>
          <w:color w:val="000000" w:themeColor="text1"/>
        </w:rPr>
        <w:t>.</w:t>
      </w:r>
      <w:r w:rsidR="003A4886" w:rsidRPr="00AA4914">
        <w:rPr>
          <w:color w:val="000000" w:themeColor="text1"/>
        </w:rPr>
        <w:t xml:space="preserve"> </w:t>
      </w:r>
      <w:r w:rsidR="00643E15" w:rsidRPr="00951464">
        <w:rPr>
          <w:color w:val="000000" w:themeColor="text1"/>
        </w:rPr>
        <w:t xml:space="preserve">At this time, expert consensus is that </w:t>
      </w:r>
      <w:r w:rsidR="00643E15" w:rsidRPr="00951464">
        <w:t xml:space="preserve">GLP-1RAs may be appropriate in patients at risk for HF but due to potential safety concerns from small clinical trials they </w:t>
      </w:r>
      <w:r w:rsidR="00FE2B17">
        <w:t>may be</w:t>
      </w:r>
      <w:r w:rsidR="00643E15" w:rsidRPr="00951464">
        <w:t xml:space="preserve"> better avoided in people with HF with reduced ejection fraction until robust evidence of benefit is generated in this group</w:t>
      </w:r>
      <w:r w:rsidR="00303C5C" w:rsidRPr="00AA4914">
        <w:t>.</w:t>
      </w:r>
      <w:r w:rsidR="001F4D1B">
        <w:fldChar w:fldCharType="begin" w:fldLock="1"/>
      </w:r>
      <w:r w:rsidR="002622F3">
        <w:instrText>ADDIN CSL_CITATION {"citationItems":[{"id":"ITEM-1","itemData":{"DOI":"10.1161/CIRCULATIONAHA.120.045888","ISSN":"0009-7322","author":[{"dropping-particle":"","family":"Khan","given":"Muhammad Shahzeb","non-dropping-particle":"","parse-names":false,"suffix":""},{"dropping-particle":"","family":"Fonarow","given":"Gregg C.","non-dropping-particle":"","parse-names":false,"suffix":""},{"dropping-particle":"","family":"McGuire","given":"Darren K.","non-dropping-particle":"","parse-names":false,"suffix":""},{"dropping-particle":"","family":"Hernandez","given":"Adrian F.","non-dropping-particle":"","parse-names":false,"suffix":""},{"dropping-particle":"","family":"Vaduganathan","given":"Muthiah","non-dropping-particle":"","parse-names":false,"suffix":""},{"dropping-particle":"","family":"Rosenstock","given":"Julio","non-dropping-particle":"","parse-names":false,"suffix":""},{"dropping-particle":"","family":"Handelsman","given":"Yehuda","non-dropping-particle":"","parse-names":false,"suffix":""},{"dropping-particle":"","family":"Verma","given":"Subodh","non-dropping-particle":"","parse-names":false,"suffix":""},{"dropping-particle":"","family":"Anker","given":"Stefan D.","non-dropping-particle":"","parse-names":false,"suffix":""},{"dropping-particle":"","family":"McMurray","given":"John J.V.","non-dropping-particle":"","parse-names":false,"suffix":""},{"dropping-particle":"","family":"Kosiborod","given":"Mikhail N.","non-dropping-particle":"","parse-names":false,"suffix":""},{"dropping-particle":"","family":"Butler","given":"Javed","non-dropping-particle":"","parse-names":false,"suffix":""}],"container-title":"Circulation","id":"ITEM-1","issue":"12","issued":{"date-parts":[["2020","9","22"]]},"page":"1205-1218","title":"Glucagon-Like Peptide 1 Receptor Agonists and Heart Failure. The Need for Further Evidence Generation and Practice Guidelines Optimization","type":"article-journal","volume":"142"},"uris":["http://www.mendeley.com/documents/?uuid=5867ac88-09af-41ae-a40f-5a7fa6c28848"]},{"id":"ITEM-2","itemData":{"DOI":"10.1002/ejhf.657","ISSN":"1388-9842","author":[{"dropping-particle":"","family":"Jorsal","given":"Anders","non-dropping-particle":"","parse-names":false,"suffix":""},{"dropping-particle":"","family":"Kistorp","given":"Caroline","non-dropping-particle":"","parse-names":false,"suffix":""},{"dropping-particle":"","family":"Holmager","given":"Pernille","non-dropping-particle":"","parse-names":false,"suffix":""},{"dropping-particle":"","family":"Tougaard","given":"Rasmus Stilling","non-dropping-particle":"","parse-names":false,"suffix":""},{"dropping-particle":"","family":"Nielsen","given":"Roni","non-dropping-particle":"","parse-names":false,"suffix":""},{"dropping-particle":"","family":"Hänselmann","given":"Anja","non-dropping-particle":"","parse-names":false,"suffix":""},{"dropping-particle":"","family":"Nilsson","given":"Brian","non-dropping-particle":"","parse-names":false,"suffix":""},{"dropping-particle":"","family":"Møller","given":"Jacob Eifer","non-dropping-particle":"","parse-names":false,"suffix":""},{"dropping-particle":"","family":"Hjort","given":"Jakob","non-dropping-particle":"","parse-names":false,"suffix":""},{"dropping-particle":"","family":"Rasmussen","given":"Jon","non-dropping-particle":"","parse-names":false,"suffix":""},{"dropping-particle":"","family":"Boesgaard","given":"Trine Welløv","non-dropping-particle":"","parse-names":false,"suffix":""},{"dropping-particle":"","family":"Schou","given":"Morten","non-dropping-particle":"","parse-names":false,"suffix":""},{"dropping-particle":"","family":"Videbæk","given":"Lars","non-dropping-particle":"","parse-names":false,"suffix":""},{"dropping-particle":"","family":"Gustafsson","given":"Ida","non-dropping-particle":"","parse-names":false,"suffix":""},{"dropping-particle":"","family":"Flyvbjerg","given":"Allan","non-dropping-particle":"","parse-names":false,"suffix":""},{"dropping-particle":"","family":"Wiggers","given":"Henrik","non-dropping-particle":"","parse-names":false,"suffix":""},{"dropping-particle":"","family":"Tarnow","given":"Lise","non-dropping-particle":"","parse-names":false,"suffix":""}],"container-title":"European Journal of Heart Failure","id":"ITEM-2","issue":"1","issued":{"date-parts":[["2017","1","28"]]},"page":"69-77","title":"Effect of liraglutide, a glucagon‐like peptide‐1 analogue, on left ventricular function in stable chronic heart failure patients with and without diabetes ( &lt;scp&gt;LIVE&lt;/scp&gt; )—a multicentre, double‐blind, randomised, placebo‐controlled trial","type":"article-journal","volume":"19"},"uris":["http://www.mendeley.com/documents/?uuid=082c2320-c3f4-4131-820d-ccdfa466d687"]},{"id":"ITEM-3","itemData":{"DOI":"10.1001/jama.2016.10260","ISSN":"0098-7484","author":[{"dropping-particle":"","family":"Margulies","given":"Kenneth B.","non-dropping-particle":"","parse-names":false,"suffix":""},{"dropping-particle":"","family":"Hernandez","given":"Adrian F.","non-dropping-particle":"","parse-names":false,"suffix":""},{"dropping-particle":"","family":"Redfield","given":"Margaret M.","non-dropping-particle":"","parse-names":false,"suffix":""},{"dropping-particle":"","family":"Givertz","given":"Michael M.","non-dropping-particle":"","parse-names":false,"suffix":""},{"dropping-particle":"","family":"Oliveira","given":"Guilherme H.","non-dropping-particle":"","parse-names":false,"suffix":""},{"dropping-particle":"","family":"Cole","given":"Robert","non-dropping-particle":"","parse-names":false,"suffix":""},{"dropping-particle":"","family":"Mann","given":"Douglas L.","non-dropping-particle":"","parse-names":false,"suffix":""},{"dropping-particle":"","family":"Whellan","given":"David J.","non-dropping-particle":"","parse-names":false,"suffix":""},{"dropping-particle":"","family":"Kiernan","given":"Michael S.","non-dropping-particle":"","parse-names":false,"suffix":""},{"dropping-particle":"","family":"Felker","given":"G. Michael","non-dropping-particle":"","parse-names":false,"suffix":""},{"dropping-particle":"","family":"McNulty","given":"Steven E.","non-dropping-particle":"","parse-names":false,"suffix":""},{"dropping-particle":"","family":"Anstrom","given":"Kevin J.","non-dropping-particle":"","parse-names":false,"suffix":""},{"dropping-particle":"","family":"Shah","given":"Monica R.","non-dropping-particle":"","parse-names":false,"suffix":""},{"dropping-particle":"","family":"Braunwald","given":"Eugene","non-dropping-particle":"","parse-names":false,"suffix":""},{"dropping-particle":"","family":"Cappola","given":"Thomas P.","non-dropping-particle":"","parse-names":false,"suffix":""}],"container-title":"JAMA","id":"ITEM-3","issue":"5","issued":{"date-parts":[["2016","8","2"]]},"page":"500","title":"Effects of Liraglutide on Clinical Stability Among Patients With Advanced Heart Failure and Reduced Ejection Fraction","type":"article-journal","volume":"316"},"uris":["http://www.mendeley.com/documents/?uuid=abe35cc2-b3a0-438a-b2e0-39a7db18c245"]}],"mendeley":{"formattedCitation":"(39–41)","plainTextFormattedCitation":"(39–41)","previouslyFormattedCitation":"(39–41)"},"properties":{"noteIndex":0},"schema":"https://github.com/citation-style-language/schema/raw/master/csl-citation.json"}</w:instrText>
      </w:r>
      <w:r w:rsidR="001F4D1B">
        <w:fldChar w:fldCharType="separate"/>
      </w:r>
      <w:r w:rsidR="002622F3" w:rsidRPr="002622F3">
        <w:rPr>
          <w:noProof/>
        </w:rPr>
        <w:t>(39–41)</w:t>
      </w:r>
      <w:r w:rsidR="001F4D1B">
        <w:fldChar w:fldCharType="end"/>
      </w:r>
    </w:p>
    <w:p w14:paraId="3E8B26AA" w14:textId="77777777" w:rsidR="003113B4" w:rsidRPr="00AA4914" w:rsidRDefault="003113B4" w:rsidP="00781897">
      <w:pPr>
        <w:spacing w:line="480" w:lineRule="auto"/>
      </w:pPr>
    </w:p>
    <w:p w14:paraId="34DAF554" w14:textId="066308A3" w:rsidR="00485C87" w:rsidRPr="00781897" w:rsidRDefault="005D6058" w:rsidP="00781897">
      <w:pPr>
        <w:spacing w:line="480" w:lineRule="auto"/>
      </w:pPr>
      <w:r w:rsidRPr="00AA4914">
        <w:lastRenderedPageBreak/>
        <w:t xml:space="preserve">Whilst some trial and observational data and the </w:t>
      </w:r>
      <w:r w:rsidR="00D957ED" w:rsidRPr="00AA4914">
        <w:t>American Diabetes Association (ADA)/European Association</w:t>
      </w:r>
      <w:r w:rsidR="00D957ED" w:rsidRPr="00781897">
        <w:t xml:space="preserve"> for the Study of Diabetes (EASD) </w:t>
      </w:r>
      <w:r w:rsidRPr="00781897">
        <w:t>consensus report have indicated GLP-1RAs as the preferred drugs to prevent atherosclerotic events rather than heart failure in the secondary prevention setting,</w:t>
      </w:r>
      <w:r w:rsidRPr="00781897">
        <w:fldChar w:fldCharType="begin" w:fldLock="1"/>
      </w:r>
      <w:r w:rsidR="002622F3">
        <w:instrText>ADDIN CSL_CITATION {"citationItems":[{"id":"ITEM-1","itemData":{"DOI":"10.1161/CIRCULATIONAHA.118.038868","ISSN":"0009-7322","author":[{"dropping-particle":"","family":"Zelniker","given":"Thomas A.","non-dropping-particle":"","parse-names":false,"suffix":""},{"dropping-particle":"","family":"Wiviott","given":"Stephen D.","non-dropping-particle":"","parse-names":false,"suffix":""},{"dropping-particle":"","family":"Raz","given":"Itamar","non-dropping-particle":"","parse-names":false,"suffix":""},{"dropping-particle":"","family":"Im","given":"KyungAh","non-dropping-particle":"","parse-names":false,"suffix":""},{"dropping-particle":"","family":"Goodrich","given":"Erica L.","non-dropping-particle":"","parse-names":false,"suffix":""},{"dropping-particle":"","family":"Furtado","given":"Remo H.M.","non-dropping-particle":"","parse-names":false,"suffix":""},{"dropping-particle":"","family":"Bonaca","given":"Marc P.","non-dropping-particle":"","parse-names":false,"suffix":""},{"dropping-particle":"","family":"Mosenzon","given":"Ofri","non-dropping-particle":"","parse-names":false,"suffix":""},{"dropping-particle":"","family":"Kato","given":"Eri T.","non-dropping-particle":"","parse-names":false,"suffix":""},{"dropping-particle":"","family":"Cahn","given":"Avivit","non-dropping-particle":"","parse-names":false,"suffix":""},{"dropping-particle":"","family":"Bhatt","given":"Deepak L.","non-dropping-particle":"","parse-names":false,"suffix":""},{"dropping-particle":"","family":"Leiter","given":"Lawrence A.","non-dropping-particle":"","parse-names":false,"suffix":""},{"dropping-particle":"","family":"McGuire","given":"Darren K.","non-dropping-particle":"","parse-names":false,"suffix":""},{"dropping-particle":"","family":"Wilding","given":"John P.H.","non-dropping-particle":"","parse-names":false,"suffix":""},{"dropping-particle":"","family":"Sabatine","given":"Marc S.","non-dropping-particle":"","parse-names":false,"suffix":""}],"container-title":"Circulation","id":"ITEM-1","issue":"17","issued":{"date-parts":[["2019","4","23"]]},"page":"2022-2031","title":"Comparison of the Effects of Glucagon-Like Peptide Receptor Agonists and Sodium-Glucose Cotransporter 2 Inhibitors for Prevention of Major Adverse Cardiovascular and Renal Outcomes in Type 2 Diabetes Mellitus","type":"article-journal","volume":"139"},"uris":["http://www.mendeley.com/documents/?uuid=1e77b180-2752-4e5e-ae30-ad7e18f8689f"]},{"id":"ITEM-2","itemData":{"DOI":"10.1111/dom.13888","ISSN":"1462-8902","author":[{"dropping-particle":"","family":"Mannucci","given":"Edoardo","non-dropping-particle":"","parse-names":false,"suffix":""},{"dropping-particle":"","family":"Dicembrini","given":"Ilaria","non-dropping-particle":"","parse-names":false,"suffix":""},{"dropping-particle":"","family":"Nreu","given":"Besmir","non-dropping-particle":"","parse-names":false,"suffix":""},{"dropping-particle":"","family":"Monami","given":"Matteo","non-dropping-particle":"","parse-names":false,"suffix":""}],"container-title":"Diabetes, Obesity and Metabolism","id":"ITEM-2","issue":"2","issued":{"date-parts":[["2020","2","24"]]},"page":"203-211","title":"Glucagon‐like peptide‐1 receptor agonists and cardiovascular outcomes in patients with and without prior cardiovascular events: An updated meta‐analysis and subgroup analysis of randomized controlled trials","type":"article-journal","volume":"22"},"uris":["http://www.mendeley.com/documents/?uuid=6aa317f8-d0a2-4444-bcd3-8f00b80fc01b"]},{"id":"ITEM-3","itemData":{"DOI":"10.1186/s12872-016-0260-0","ISSN":"1471-2261","author":[{"dropping-particle":"","family":"Li","given":"Ling","non-dropping-particle":"","parse-names":false,"suffix":""},{"dropping-particle":"","family":"Li","given":"Sheyu","non-dropping-particle":"","parse-names":false,"suffix":""},{"dropping-particle":"","family":"Liu","given":"Jiali","non-dropping-particle":"","parse-names":false,"suffix":""},{"dropping-particle":"","family":"Deng","given":"Ke","non-dropping-particle":"","parse-names":false,"suffix":""},{"dropping-particle":"","family":"Busse","given":"Jason W.","non-dropping-particle":"","parse-names":false,"suffix":""},{"dropping-particle":"","family":"Vandvik","given":"Per Olav","non-dropping-particle":"","parse-names":false,"suffix":""},{"dropping-particle":"","family":"Wong","given":"Evelyn","non-dropping-particle":"","parse-names":false,"suffix":""},{"dropping-particle":"","family":"Sohani","given":"Zahra N.","non-dropping-particle":"","parse-names":false,"suffix":""},{"dropping-particle":"","family":"Bala","given":"Malgorzata M.","non-dropping-particle":"","parse-names":false,"suffix":""},{"dropping-particle":"","family":"Rios","given":"Lorena P.","non-dropping-particle":"","parse-names":false,"suffix":""},{"dropping-particle":"","family":"Malaga","given":"German","non-dropping-particle":"","parse-names":false,"suffix":""},{"dropping-particle":"","family":"Ebrahim","given":"Shanil","non-dropping-particle":"","parse-names":false,"suffix":""},{"dropping-particle":"","family":"Shen","given":"Jiantong","non-dropping-particle":"","parse-names":false,"suffix":""},{"dropping-particle":"","family":"Zhang","given":"Longhao","non-dropping-particle":"","parse-names":false,"suffix":""},{"dropping-particle":"","family":"Zhao","given":"Pujing","non-dropping-particle":"","parse-names":false,"suffix":""},{"dropping-particle":"","family":"Chen","given":"Qunfei","non-dropping-particle":"","parse-names":false,"suffix":""},{"dropping-particle":"","family":"Wang","given":"Yingqiang","non-dropping-particle":"","parse-names":false,"suffix":""},{"dropping-particle":"","family":"Guyatt","given":"Gordon H.","non-dropping-particle":"","parse-names":false,"suffix":""},{"dropping-particle":"","family":"Sun","given":"Xin","non-dropping-particle":"","parse-names":false,"suffix":""}],"container-title":"BMC Cardiovascular Disorders","id":"ITEM-3","issue":"1","issued":{"date-parts":[["2016","12","11"]]},"page":"91","title":"Glucagon-like peptide-1 receptor agonists and heart failure in type 2 diabetes: systematic review and meta-analysis of randomized and observational studies","type":"article-journal","volume":"16"},"uris":["http://www.mendeley.com/documents/?uuid=f0a24fd0-93b9-499e-90bc-987a94c4eccb"]},{"id":"ITEM-4","itemData":{"DOI":"10.2337/dci19-0066","ISSN":"0149-5992","author":[{"dropping-particle":"","family":"Buse","given":"John B.","non-dropping-particle":"","parse-names":false,"suffix":""},{"dropping-particle":"","family":"Wexler","given":"Deborah J.","non-dropping-particle":"","parse-names":false,"suffix":""},{"dropping-particle":"","family":"Tsapas","given":"Apostolos","non-dropping-particle":"","parse-names":false,"suffix":""},{"dropping-particle":"","family":"Rossing","given":"Peter","non-dropping-particle":"","parse-names":false,"suffix":""},{"dropping-particle":"","family":"Mingrone","given":"Geltrude","non-dropping-particle":"","parse-names":false,"suffix":""},{"dropping-particle":"","family":"Mathieu","given":"Chantal","non-dropping-particle":"","parse-names":false,"suffix":""},{"dropping-particle":"","family":"D’Alessio","given":"David A.","non-dropping-particle":"","parse-names":false,"suffix":""},{"dropping-particle":"","family":"Davies","given":"Melanie J.","non-dropping-particle":"","parse-names":false,"suffix":""}],"container-title":"Diabetes Care","id":"ITEM-4","issue":"2","issued":{"date-parts":[["2020","2"]]},"page":"487-493","title":"2019 Update to: Management of Hyperglycemia in Type 2 Diabetes, 2018. A Consensus Report by the American Diabetes Association (ADA) and the European Association for the Study of Diabetes (EASD)","type":"article-journal","volume":"43"},"uris":["http://www.mendeley.com/documents/?uuid=757b7318-f6aa-4bb0-b933-e03b2bca366f"]}],"mendeley":{"formattedCitation":"(1,42–44)","plainTextFormattedCitation":"(1,42–44)","previouslyFormattedCitation":"(1,42–44)"},"properties":{"noteIndex":0},"schema":"https://github.com/citation-style-language/schema/raw/master/csl-citation.json"}</w:instrText>
      </w:r>
      <w:r w:rsidRPr="00781897">
        <w:fldChar w:fldCharType="separate"/>
      </w:r>
      <w:r w:rsidR="002622F3" w:rsidRPr="002622F3">
        <w:rPr>
          <w:noProof/>
        </w:rPr>
        <w:t>(1,42–44)</w:t>
      </w:r>
      <w:r w:rsidRPr="00781897">
        <w:fldChar w:fldCharType="end"/>
      </w:r>
      <w:r w:rsidRPr="00781897">
        <w:t xml:space="preserve"> the heart failure benefits we showed in the primary prevention setting may relate to </w:t>
      </w:r>
      <w:r w:rsidR="00686E4A" w:rsidRPr="00781897">
        <w:t>metabolic</w:t>
      </w:r>
      <w:r w:rsidR="00C15CE2" w:rsidRPr="00781897">
        <w:t xml:space="preserve"> changes.</w:t>
      </w:r>
      <w:r w:rsidR="00686E4A" w:rsidRPr="00781897">
        <w:t xml:space="preserve"> </w:t>
      </w:r>
      <w:r w:rsidR="00445D7C" w:rsidRPr="00781897">
        <w:t>There is growing evidence that m</w:t>
      </w:r>
      <w:r w:rsidR="00C15CE2" w:rsidRPr="00781897">
        <w:t xml:space="preserve">yocardial metabolic </w:t>
      </w:r>
      <w:r w:rsidR="00686E4A" w:rsidRPr="00781897">
        <w:t>abnormalities, including impaired fatty acid</w:t>
      </w:r>
      <w:r w:rsidR="00C15CE2" w:rsidRPr="00781897">
        <w:t>,</w:t>
      </w:r>
      <w:r w:rsidR="00686E4A" w:rsidRPr="00781897">
        <w:t xml:space="preserve"> glucose metabolism and myocardial insulin resistance, contribute to heart failure with reduced ejection fraction</w:t>
      </w:r>
      <w:r w:rsidR="006A73A9" w:rsidRPr="00781897">
        <w:t xml:space="preserve"> (left ventricular ejection fraction</w:t>
      </w:r>
      <w:r w:rsidR="00445D7C" w:rsidRPr="00781897">
        <w:t xml:space="preserve"> [LVEF]</w:t>
      </w:r>
      <w:r w:rsidR="003113B4" w:rsidRPr="00781897">
        <w:t>≤</w:t>
      </w:r>
      <w:r w:rsidR="006A73A9" w:rsidRPr="00781897">
        <w:t>40%)</w:t>
      </w:r>
      <w:r w:rsidR="00686E4A" w:rsidRPr="00781897">
        <w:t>.</w:t>
      </w:r>
      <w:r w:rsidR="00215A57" w:rsidRPr="00781897">
        <w:fldChar w:fldCharType="begin" w:fldLock="1"/>
      </w:r>
      <w:r w:rsidR="002622F3">
        <w:instrText>ADDIN CSL_CITATION {"citationItems":[{"id":"ITEM-1","itemData":{"DOI":"10.1161/CIRCHEARTFAILURE.114.000346","ISSN":"1941-3289","author":[{"dropping-particle":"","family":"Margulies","given":"Kenneth B.","non-dropping-particle":"","parse-names":false,"suffix":""},{"dropping-particle":"","family":"Anstrom","given":"Kevin J.","non-dropping-particle":"","parse-names":false,"suffix":""},{"dropping-particle":"","family":"Hernandez","given":"Adrian F.","non-dropping-particle":"","parse-names":false,"suffix":""},{"dropping-particle":"","family":"Redfield","given":"Margaret M.","non-dropping-particle":"","parse-names":false,"suffix":""},{"dropping-particle":"","family":"Shah","given":"Monica R.","non-dropping-particle":"","parse-names":false,"suffix":""},{"dropping-particle":"","family":"Braunwald","given":"Eugene","non-dropping-particle":"","parse-names":false,"suffix":""},{"dropping-particle":"","family":"Cappola","given":"Thomas P.","non-dropping-particle":"","parse-names":false,"suffix":""}],"container-title":"Circulation: Heart Failure","id":"ITEM-1","issue":"4","issued":{"date-parts":[["2014","7"]]},"page":"673-679","title":"GLP-1 Agonist Therapy for Advanced Heart Failure With Reduced Ejection Fraction","type":"article-journal","volume":"7"},"uris":["http://www.mendeley.com/documents/?uuid=ffc15e6a-b4de-436b-bfe9-539a3b18e398"]}],"mendeley":{"formattedCitation":"(45)","plainTextFormattedCitation":"(45)","previouslyFormattedCitation":"(45)"},"properties":{"noteIndex":0},"schema":"https://github.com/citation-style-language/schema/raw/master/csl-citation.json"}</w:instrText>
      </w:r>
      <w:r w:rsidR="00215A57" w:rsidRPr="00781897">
        <w:fldChar w:fldCharType="separate"/>
      </w:r>
      <w:r w:rsidR="002622F3" w:rsidRPr="002622F3">
        <w:rPr>
          <w:noProof/>
        </w:rPr>
        <w:t>(45)</w:t>
      </w:r>
      <w:r w:rsidR="00215A57" w:rsidRPr="00781897">
        <w:fldChar w:fldCharType="end"/>
      </w:r>
      <w:r w:rsidR="00686E4A" w:rsidRPr="00781897">
        <w:t xml:space="preserve"> </w:t>
      </w:r>
      <w:r w:rsidR="00A5661D" w:rsidRPr="00781897">
        <w:t xml:space="preserve">The </w:t>
      </w:r>
      <w:r w:rsidR="00686E4A" w:rsidRPr="00781897">
        <w:t>GLP-1</w:t>
      </w:r>
      <w:r w:rsidR="006A73A9" w:rsidRPr="00781897">
        <w:t xml:space="preserve"> hormone stimulates insulin secretion, increases insulin sensitivity and enhances glucose uptake and thus GLP-1RA agents could be a potential modulator to enhance myocardial glucose metabolism</w:t>
      </w:r>
      <w:r w:rsidR="00A5661D" w:rsidRPr="00781897">
        <w:t>.</w:t>
      </w:r>
      <w:r w:rsidR="00215A57" w:rsidRPr="00781897">
        <w:fldChar w:fldCharType="begin" w:fldLock="1"/>
      </w:r>
      <w:r w:rsidR="002622F3">
        <w:instrText>ADDIN CSL_CITATION {"citationItems":[{"id":"ITEM-1","itemData":{"DOI":"10.1161/CIRCHEARTFAILURE.114.000346","ISSN":"1941-3289","author":[{"dropping-particle":"","family":"Margulies","given":"Kenneth B.","non-dropping-particle":"","parse-names":false,"suffix":""},{"dropping-particle":"","family":"Anstrom","given":"Kevin J.","non-dropping-particle":"","parse-names":false,"suffix":""},{"dropping-particle":"","family":"Hernandez","given":"Adrian F.","non-dropping-particle":"","parse-names":false,"suffix":""},{"dropping-particle":"","family":"Redfield","given":"Margaret M.","non-dropping-particle":"","parse-names":false,"suffix":""},{"dropping-particle":"","family":"Shah","given":"Monica R.","non-dropping-particle":"","parse-names":false,"suffix":""},{"dropping-particle":"","family":"Braunwald","given":"Eugene","non-dropping-particle":"","parse-names":false,"suffix":""},{"dropping-particle":"","family":"Cappola","given":"Thomas P.","non-dropping-particle":"","parse-names":false,"suffix":""}],"container-title":"Circulation: Heart Failure","id":"ITEM-1","issue":"4","issued":{"date-parts":[["2014","7"]]},"page":"673-679","title":"GLP-1 Agonist Therapy for Advanced Heart Failure With Reduced Ejection Fraction","type":"article-journal","volume":"7"},"uris":["http://www.mendeley.com/documents/?uuid=ffc15e6a-b4de-436b-bfe9-539a3b18e398"]}],"mendeley":{"formattedCitation":"(45)","plainTextFormattedCitation":"(45)","previouslyFormattedCitation":"(45)"},"properties":{"noteIndex":0},"schema":"https://github.com/citation-style-language/schema/raw/master/csl-citation.json"}</w:instrText>
      </w:r>
      <w:r w:rsidR="00215A57" w:rsidRPr="00781897">
        <w:fldChar w:fldCharType="separate"/>
      </w:r>
      <w:r w:rsidR="002622F3" w:rsidRPr="002622F3">
        <w:rPr>
          <w:noProof/>
        </w:rPr>
        <w:t>(45)</w:t>
      </w:r>
      <w:r w:rsidR="00215A57" w:rsidRPr="00781897">
        <w:fldChar w:fldCharType="end"/>
      </w:r>
      <w:r w:rsidR="00A5661D" w:rsidRPr="00781897">
        <w:t xml:space="preserve"> Additionally, </w:t>
      </w:r>
      <w:r w:rsidR="006A73A9" w:rsidRPr="00781897">
        <w:t xml:space="preserve">GLP-1RA therapy </w:t>
      </w:r>
      <w:r w:rsidR="00A5661D" w:rsidRPr="00781897">
        <w:t xml:space="preserve">has been shown to </w:t>
      </w:r>
      <w:r w:rsidR="006A73A9" w:rsidRPr="00781897">
        <w:t>significantly improve LVEF</w:t>
      </w:r>
      <w:r w:rsidR="00A5661D" w:rsidRPr="00781897">
        <w:t>.</w:t>
      </w:r>
      <w:r w:rsidR="00215A57" w:rsidRPr="00781897">
        <w:fldChar w:fldCharType="begin" w:fldLock="1"/>
      </w:r>
      <w:r w:rsidR="002622F3">
        <w:instrText>ADDIN CSL_CITATION {"citationItems":[{"id":"ITEM-1","itemData":{"DOI":"10.1161/CIRCHEARTFAILURE.114.000346","ISSN":"1941-3289","author":[{"dropping-particle":"","family":"Margulies","given":"Kenneth B.","non-dropping-particle":"","parse-names":false,"suffix":""},{"dropping-particle":"","family":"Anstrom","given":"Kevin J.","non-dropping-particle":"","parse-names":false,"suffix":""},{"dropping-particle":"","family":"Hernandez","given":"Adrian F.","non-dropping-particle":"","parse-names":false,"suffix":""},{"dropping-particle":"","family":"Redfield","given":"Margaret M.","non-dropping-particle":"","parse-names":false,"suffix":""},{"dropping-particle":"","family":"Shah","given":"Monica R.","non-dropping-particle":"","parse-names":false,"suffix":""},{"dropping-particle":"","family":"Braunwald","given":"Eugene","non-dropping-particle":"","parse-names":false,"suffix":""},{"dropping-particle":"","family":"Cappola","given":"Thomas P.","non-dropping-particle":"","parse-names":false,"suffix":""}],"container-title":"Circulation: Heart Failure","id":"ITEM-1","issue":"4","issued":{"date-parts":[["2014","7"]]},"page":"673-679","title":"GLP-1 Agonist Therapy for Advanced Heart Failure With Reduced Ejection Fraction","type":"article-journal","volume":"7"},"uris":["http://www.mendeley.com/documents/?uuid=ffc15e6a-b4de-436b-bfe9-539a3b18e398"]}],"mendeley":{"formattedCitation":"(45)","plainTextFormattedCitation":"(45)","previouslyFormattedCitation":"(45)"},"properties":{"noteIndex":0},"schema":"https://github.com/citation-style-language/schema/raw/master/csl-citation.json"}</w:instrText>
      </w:r>
      <w:r w:rsidR="00215A57" w:rsidRPr="00781897">
        <w:fldChar w:fldCharType="separate"/>
      </w:r>
      <w:r w:rsidR="002622F3" w:rsidRPr="002622F3">
        <w:rPr>
          <w:noProof/>
        </w:rPr>
        <w:t>(45)</w:t>
      </w:r>
      <w:r w:rsidR="00215A57" w:rsidRPr="00781897">
        <w:fldChar w:fldCharType="end"/>
      </w:r>
      <w:r w:rsidR="00A5661D" w:rsidRPr="00781897">
        <w:t xml:space="preserve"> Therefore GLP-1RA agents could be important in heart failure</w:t>
      </w:r>
      <w:r w:rsidR="00215A57" w:rsidRPr="00781897">
        <w:t>, particularly primary prevention</w:t>
      </w:r>
      <w:r w:rsidR="00A5661D" w:rsidRPr="00781897">
        <w:t>.</w:t>
      </w:r>
    </w:p>
    <w:p w14:paraId="678B6E5A" w14:textId="77777777" w:rsidR="00485C87" w:rsidRPr="00781897" w:rsidRDefault="00485C87" w:rsidP="00781897">
      <w:pPr>
        <w:spacing w:line="480" w:lineRule="auto"/>
        <w:contextualSpacing/>
      </w:pPr>
    </w:p>
    <w:p w14:paraId="3150ED10" w14:textId="3CFCA228" w:rsidR="00DB5B21" w:rsidRPr="00781897" w:rsidRDefault="00D036BA" w:rsidP="00781897">
      <w:pPr>
        <w:spacing w:line="480" w:lineRule="auto"/>
        <w:contextualSpacing/>
      </w:pPr>
      <w:r w:rsidRPr="00781897">
        <w:rPr>
          <w:b/>
        </w:rPr>
        <w:t>M</w:t>
      </w:r>
      <w:r w:rsidR="00672721" w:rsidRPr="00781897">
        <w:rPr>
          <w:b/>
        </w:rPr>
        <w:t xml:space="preserve">echanisms of benefit with </w:t>
      </w:r>
      <w:r w:rsidR="00D11C72" w:rsidRPr="00781897">
        <w:rPr>
          <w:b/>
          <w:bCs/>
        </w:rPr>
        <w:t xml:space="preserve">SGLT2i </w:t>
      </w:r>
      <w:r w:rsidR="00672721" w:rsidRPr="00781897">
        <w:rPr>
          <w:b/>
          <w:bCs/>
        </w:rPr>
        <w:t xml:space="preserve">and </w:t>
      </w:r>
      <w:r w:rsidR="00D11C72" w:rsidRPr="00781897">
        <w:rPr>
          <w:b/>
          <w:bCs/>
        </w:rPr>
        <w:t>GLP-1RA</w:t>
      </w:r>
      <w:r w:rsidR="00F539D0" w:rsidRPr="00781897">
        <w:rPr>
          <w:b/>
          <w:bCs/>
        </w:rPr>
        <w:t xml:space="preserve"> </w:t>
      </w:r>
    </w:p>
    <w:p w14:paraId="5EBB67F0" w14:textId="39D65FB4" w:rsidR="00481D90" w:rsidRPr="00781897" w:rsidRDefault="007803EF" w:rsidP="00781897">
      <w:pPr>
        <w:spacing w:line="480" w:lineRule="auto"/>
      </w:pPr>
      <w:r w:rsidRPr="00781897">
        <w:t xml:space="preserve">SGLT2i and </w:t>
      </w:r>
      <w:r w:rsidR="00F17B02" w:rsidRPr="00781897">
        <w:t>GLP-1RA</w:t>
      </w:r>
      <w:r w:rsidRPr="00781897">
        <w:t>s</w:t>
      </w:r>
      <w:r w:rsidR="00AA0B96" w:rsidRPr="00781897">
        <w:t xml:space="preserve"> </w:t>
      </w:r>
      <w:r w:rsidRPr="00781897">
        <w:t>have well documented</w:t>
      </w:r>
      <w:r w:rsidR="00737B25" w:rsidRPr="00781897">
        <w:t xml:space="preserve"> </w:t>
      </w:r>
      <w:r w:rsidRPr="00781897">
        <w:t>overlapping and distinct</w:t>
      </w:r>
      <w:r w:rsidR="00737B25" w:rsidRPr="00781897">
        <w:t xml:space="preserve"> mechanisms of action</w:t>
      </w:r>
      <w:r w:rsidR="00481D90" w:rsidRPr="00781897">
        <w:t>, as summarised recently,</w:t>
      </w:r>
      <w:r w:rsidR="00DC468C" w:rsidRPr="00781897">
        <w:fldChar w:fldCharType="begin" w:fldLock="1"/>
      </w:r>
      <w:r w:rsidR="002622F3">
        <w:instrText>ADDIN CSL_CITATION {"citationItems":[{"id":"ITEM-1","itemData":{"DOI":"10.1016/j.jcjd.2019.09.003","ISSN":"14992671","author":[{"dropping-particle":"","family":"Sharma","given":"Abhinav","non-dropping-particle":"","parse-names":false,"suffix":""},{"dropping-particle":"","family":"Verma","given":"Subodh","non-dropping-particle":"","parse-names":false,"suffix":""}],"container-title":"Canadian Journal of Diabetes","id":"ITEM-1","issue":"1","issued":{"date-parts":[["2020","2"]]},"page":"93-102","title":"Mechanisms by Which Glucagon-Like-Peptide-1 Receptor Agonists and Sodium-Glucose Cotransporter-2 Inhibitors Reduce Cardiovascular Risk in Adults With Type 2 Diabetes Mellitus","type":"article-journal","volume":"44"},"uris":["http://www.mendeley.com/documents/?uuid=3f9f4029-d2ce-462b-9d11-1cc30ac74296"]}],"mendeley":{"formattedCitation":"(46)","plainTextFormattedCitation":"(46)","previouslyFormattedCitation":"(46)"},"properties":{"noteIndex":0},"schema":"https://github.com/citation-style-language/schema/raw/master/csl-citation.json"}</w:instrText>
      </w:r>
      <w:r w:rsidR="00DC468C" w:rsidRPr="00781897">
        <w:fldChar w:fldCharType="separate"/>
      </w:r>
      <w:r w:rsidR="002622F3" w:rsidRPr="002622F3">
        <w:rPr>
          <w:noProof/>
        </w:rPr>
        <w:t>(46)</w:t>
      </w:r>
      <w:r w:rsidR="00DC468C" w:rsidRPr="00781897">
        <w:fldChar w:fldCharType="end"/>
      </w:r>
      <w:r w:rsidRPr="00781897">
        <w:t xml:space="preserve"> that </w:t>
      </w:r>
      <w:r w:rsidR="00E07A2F" w:rsidRPr="00781897">
        <w:t>could</w:t>
      </w:r>
      <w:r w:rsidR="00AA0B96" w:rsidRPr="00781897">
        <w:t xml:space="preserve"> </w:t>
      </w:r>
      <w:r w:rsidRPr="00781897">
        <w:t xml:space="preserve">explain their beneficial effects on </w:t>
      </w:r>
      <w:r w:rsidR="00FA6376" w:rsidRPr="00781897">
        <w:t>MACCE</w:t>
      </w:r>
      <w:r w:rsidRPr="00781897">
        <w:t xml:space="preserve"> and heart failure risk </w:t>
      </w:r>
      <w:r w:rsidR="00481D90" w:rsidRPr="00781897">
        <w:t xml:space="preserve">as well as </w:t>
      </w:r>
      <w:r w:rsidR="00A5219A" w:rsidRPr="00781897">
        <w:t xml:space="preserve">the combination </w:t>
      </w:r>
      <w:r w:rsidR="00481D90" w:rsidRPr="00781897">
        <w:t xml:space="preserve">having </w:t>
      </w:r>
      <w:r w:rsidR="00A5219A" w:rsidRPr="00781897">
        <w:t xml:space="preserve">potential </w:t>
      </w:r>
      <w:r w:rsidR="00481D90" w:rsidRPr="00781897">
        <w:t>additive benefits.</w:t>
      </w:r>
    </w:p>
    <w:p w14:paraId="6C58F67E" w14:textId="77777777" w:rsidR="00481D90" w:rsidRPr="00781897" w:rsidRDefault="00481D90" w:rsidP="00781897">
      <w:pPr>
        <w:spacing w:line="480" w:lineRule="auto"/>
        <w:rPr>
          <w:b/>
          <w:bCs/>
        </w:rPr>
      </w:pPr>
    </w:p>
    <w:p w14:paraId="625FAC33" w14:textId="52E1DCDB" w:rsidR="00DB1EA5" w:rsidRPr="00ED564B" w:rsidRDefault="00CB28CE" w:rsidP="000106F3">
      <w:pPr>
        <w:spacing w:line="480" w:lineRule="auto"/>
      </w:pPr>
      <w:r w:rsidRPr="000106F3">
        <w:t>The c</w:t>
      </w:r>
      <w:r w:rsidR="00B2161C" w:rsidRPr="000106F3">
        <w:t>ombined u</w:t>
      </w:r>
      <w:r w:rsidR="00E71349" w:rsidRPr="000106F3">
        <w:t xml:space="preserve">se of these agents is of significant interest </w:t>
      </w:r>
      <w:r w:rsidRPr="000106F3">
        <w:t xml:space="preserve">because </w:t>
      </w:r>
      <w:r w:rsidR="008842F4" w:rsidRPr="000106F3">
        <w:t>we are not aware of</w:t>
      </w:r>
      <w:r w:rsidR="00444788" w:rsidRPr="000106F3">
        <w:t xml:space="preserve"> </w:t>
      </w:r>
      <w:r w:rsidR="008842F4" w:rsidRPr="000106F3">
        <w:t>any</w:t>
      </w:r>
      <w:r w:rsidR="00192CE3" w:rsidRPr="000106F3">
        <w:t xml:space="preserve"> </w:t>
      </w:r>
      <w:r w:rsidR="00E71349" w:rsidRPr="000106F3">
        <w:t>trials investigat</w:t>
      </w:r>
      <w:r w:rsidR="00192CE3" w:rsidRPr="000106F3">
        <w:t>ing</w:t>
      </w:r>
      <w:r w:rsidR="00E71349" w:rsidRPr="000106F3">
        <w:t xml:space="preserve"> the</w:t>
      </w:r>
      <w:r w:rsidR="00275C30" w:rsidRPr="000106F3">
        <w:t>ir</w:t>
      </w:r>
      <w:r w:rsidRPr="000106F3">
        <w:t xml:space="preserve"> effectiveness</w:t>
      </w:r>
      <w:r w:rsidR="00E71349" w:rsidRPr="000106F3">
        <w:t>.</w:t>
      </w:r>
      <w:r w:rsidR="00D53370" w:rsidRPr="000106F3">
        <w:t xml:space="preserve"> </w:t>
      </w:r>
      <w:r w:rsidR="00192CE3" w:rsidRPr="000106F3">
        <w:t>Th</w:t>
      </w:r>
      <w:r w:rsidR="006453F3" w:rsidRPr="000106F3">
        <w:t>e combination</w:t>
      </w:r>
      <w:r w:rsidR="00540769" w:rsidRPr="000106F3">
        <w:t xml:space="preserve"> </w:t>
      </w:r>
      <w:r w:rsidR="00192CE3" w:rsidRPr="000106F3">
        <w:t xml:space="preserve">has </w:t>
      </w:r>
      <w:r w:rsidR="004E6896" w:rsidRPr="000106F3">
        <w:t xml:space="preserve">demonstrated </w:t>
      </w:r>
      <w:r w:rsidR="006453F3" w:rsidRPr="000106F3">
        <w:t xml:space="preserve">superior reductions in HbA1c, weight and systolic blood pressure compared to </w:t>
      </w:r>
      <w:r w:rsidR="00D11C72" w:rsidRPr="000106F3">
        <w:t>using</w:t>
      </w:r>
      <w:r w:rsidR="006453F3" w:rsidRPr="000106F3">
        <w:t xml:space="preserve"> either medication </w:t>
      </w:r>
      <w:r w:rsidR="00D11C72" w:rsidRPr="000106F3">
        <w:t>alone</w:t>
      </w:r>
      <w:r w:rsidR="006453F3" w:rsidRPr="000106F3">
        <w:t>.</w:t>
      </w:r>
      <w:r w:rsidR="00BB4C7B" w:rsidRPr="000106F3">
        <w:fldChar w:fldCharType="begin" w:fldLock="1"/>
      </w:r>
      <w:r w:rsidR="00CE7AC3">
        <w:instrText>ADDIN CSL_CITATION {"citationItems":[{"id":"ITEM-1","itemData":{"DOI":"10.4158/EP15877.OR","ISSN":"1530-891X","author":[{"dropping-particle":"","family":"Saroka","given":"Rachel M.","non-dropping-particle":"","parse-names":false,"suffix":""},{"dropping-particle":"","family":"Kane","given":"Michael P.","non-dropping-particle":"","parse-names":false,"suffix":""},{"dropping-particle":"","family":"Busch","given":"Robert S.","non-dropping-particle":"","parse-names":false,"suffix":""},{"dropping-particle":"","family":"Watsky","given":"Jay","non-dropping-particle":"","parse-names":false,"suffix":""},{"dropping-particle":"","family":"Hamilton","given":"Robert A.","non-dropping-particle":"","parse-names":false,"suffix":""}],"container-title":"Endocrine Practice","id":"ITEM-1","issue":"12","issued":{"date-parts":[["2015","12"]]},"page":"1315-1322","title":"SGLT-2 inhibitor therapy added to GLP-1 agonist therapy in the management of T2DM","type":"article-journal","volume":"21"},"uris":["http://www.mendeley.com/documents/?uuid=24fddd1e-c31b-4405-9748-7ba5f8763d41"]},{"id":"ITEM-2","itemData":{"DOI":"10.1111/dom.12897","ISSN":"14628902","author":[{"dropping-particle":"","family":"Goncalves","given":"Edison","non-dropping-particle":"","parse-names":false,"suffix":""},{"dropping-particle":"","family":"Bell","given":"David S. H.","non-dropping-particle":"","parse-names":false,"suffix":""}],"container-title":"Diabetes, Obesity and Metabolism","id":"ITEM-2","issue":"6","issued":{"date-parts":[["2017","6"]]},"page":"909-911","title":"Glucagon-like peptide-1 receptor agonists and sodium-glucose co-transporter-2 inhibitors: Sequential or simultaneous start?","type":"article-journal","volume":"19"},"uris":["http://www.mendeley.com/documents/?uuid=337435a0-b757-4348-8369-5a5dc7300485"]}],"mendeley":{"formattedCitation":"(5,6)","plainTextFormattedCitation":"(5,6)","previouslyFormattedCitation":"(5,6)"},"properties":{"noteIndex":0},"schema":"https://github.com/citation-style-language/schema/raw/master/csl-citation.json"}</w:instrText>
      </w:r>
      <w:r w:rsidR="00BB4C7B" w:rsidRPr="000106F3">
        <w:fldChar w:fldCharType="separate"/>
      </w:r>
      <w:r w:rsidR="00CE7AC3" w:rsidRPr="00CE7AC3">
        <w:rPr>
          <w:noProof/>
        </w:rPr>
        <w:t>(5,6)</w:t>
      </w:r>
      <w:r w:rsidR="00BB4C7B" w:rsidRPr="000106F3">
        <w:fldChar w:fldCharType="end"/>
      </w:r>
      <w:r w:rsidR="00BF3FC5" w:rsidRPr="000106F3">
        <w:t xml:space="preserve"> </w:t>
      </w:r>
      <w:r w:rsidR="003E63AA" w:rsidRPr="000106F3">
        <w:t>HbA1c reduc</w:t>
      </w:r>
      <w:r w:rsidR="00DD300B">
        <w:t>tions of u</w:t>
      </w:r>
      <w:r w:rsidR="003E63AA" w:rsidRPr="000106F3">
        <w:t>p to 2%</w:t>
      </w:r>
      <w:r w:rsidR="00DD300B">
        <w:t xml:space="preserve"> DCCT units ac</w:t>
      </w:r>
      <w:r w:rsidR="003E63AA" w:rsidRPr="000106F3">
        <w:t>companied by over 3kg of weight loss and 4</w:t>
      </w:r>
      <w:r w:rsidR="006E310B">
        <w:t xml:space="preserve"> </w:t>
      </w:r>
      <w:r w:rsidR="003E63AA" w:rsidRPr="000106F3">
        <w:t>mm</w:t>
      </w:r>
      <w:r w:rsidR="00AE681A" w:rsidRPr="000106F3">
        <w:t>H</w:t>
      </w:r>
      <w:r w:rsidR="003E63AA" w:rsidRPr="000106F3">
        <w:t>g</w:t>
      </w:r>
      <w:r w:rsidR="00DD300B">
        <w:t xml:space="preserve"> reductions in</w:t>
      </w:r>
      <w:r w:rsidR="003E63AA" w:rsidRPr="000106F3">
        <w:t xml:space="preserve"> systolic blood pressure</w:t>
      </w:r>
      <w:r w:rsidR="00DD300B">
        <w:t xml:space="preserve"> have been observed with combination therapy,</w:t>
      </w:r>
      <w:r w:rsidR="006E310B">
        <w:t xml:space="preserve"> </w:t>
      </w:r>
      <w:r w:rsidR="001A465F" w:rsidRPr="000106F3">
        <w:fldChar w:fldCharType="begin" w:fldLock="1"/>
      </w:r>
      <w:r w:rsidR="002622F3">
        <w:instrText>ADDIN CSL_CITATION {"citationItems":[{"id":"ITEM-1","itemData":{"DOI":"10.4158/EP15877.OR","ISSN":"1530-891X","author":[{"dropping-particle":"","family":"Saroka","given":"Rachel M.","non-dropping-particle":"","parse-names":false,"suffix":""},{"dropping-particle":"","family":"Kane","given":"Michael P.","non-dropping-particle":"","parse-names":false,"suffix":""},{"dropping-particle":"","family":"Busch","given":"Robert S.","non-dropping-particle":"","parse-names":false,"suffix":""},{"dropping-particle":"","family":"Watsky","given":"Jay","non-dropping-particle":"","parse-names":false,"suffix":""},{"dropping-particle":"","family":"Hamilton","given":"Robert A.","non-dropping-particle":"","parse-names":false,"suffix":""}],"container-title":"Endocrine Practice","id":"ITEM-1","issue":"12","issued":{"date-parts":[["2015","12"]]},"page":"1315-1322","title":"SGLT-2 inhibitor therapy added to GLP-1 agonist therapy in the management of T2DM","type":"article-journal","volume":"21"},"uris":["http://www.mendeley.com/documents/?uuid=24fddd1e-c31b-4405-9748-7ba5f8763d41"]},{"id":"ITEM-2","itemData":{"DOI":"10.1111/dom.12897","ISSN":"14628902","author":[{"dropping-particle":"","family":"Goncalves","given":"Edison","non-dropping-particle":"","parse-names":false,"suffix":""},{"dropping-particle":"","family":"Bell","given":"David S. H.","non-dropping-particle":"","parse-names":false,"suffix":""}],"container-title":"Diabetes, Obesity and Metabolism","id":"ITEM-2","issue":"6","issued":{"date-parts":[["2017","6"]]},"page":"909-911","title":"Glucagon-like peptide-1 receptor agonists and sodium-glucose co-transporter-2 inhibitors: Sequential or simultaneous start?","type":"article-journal","volume":"19"},"uris":["http://www.mendeley.com/documents/?uuid=337435a0-b757-4348-8369-5a5dc7300485"]},{"id":"ITEM-3","itemData":{"DOI":"10.1007/s13300-018-0420-6","ISSN":"1869-6953","author":[{"dropping-particle":"","family":"Goncalves","given":"Edison","non-dropping-particle":"","parse-names":false,"suffix":""},{"dropping-particle":"","family":"Bell","given":"David S. H.","non-dropping-particle":"","parse-names":false,"suffix":""}],"container-title":"Diabetes Therapy","id":"ITEM-3","issue":"3","issued":{"date-parts":[["2018","6","5"]]},"page":"919-926","title":"Combination Treatment of SGLT2 Inhibitors and GLP-1 Receptor Agonists: Symbiotic Effects on Metabolism and Cardiorenal Risk","type":"article-journal","volume":"9"},"uris":["http://www.mendeley.com/documents/?uuid=c01595fa-dba7-4d21-aa16-3ab7fb779461"]}],"mendeley":{"formattedCitation":"(5,6,47)","plainTextFormattedCitation":"(5,6,47)","previouslyFormattedCitation":"(5,6,47)"},"properties":{"noteIndex":0},"schema":"https://github.com/citation-style-language/schema/raw/master/csl-citation.json"}</w:instrText>
      </w:r>
      <w:r w:rsidR="001A465F" w:rsidRPr="000106F3">
        <w:fldChar w:fldCharType="separate"/>
      </w:r>
      <w:r w:rsidR="002622F3" w:rsidRPr="002622F3">
        <w:rPr>
          <w:noProof/>
        </w:rPr>
        <w:t>(5,6,47)</w:t>
      </w:r>
      <w:r w:rsidR="001A465F" w:rsidRPr="000106F3">
        <w:fldChar w:fldCharType="end"/>
      </w:r>
      <w:r w:rsidR="006E310B">
        <w:t xml:space="preserve"> </w:t>
      </w:r>
      <w:r w:rsidR="00DD300B">
        <w:t>with</w:t>
      </w:r>
      <w:r w:rsidR="006E310B">
        <w:t xml:space="preserve"> </w:t>
      </w:r>
      <w:r w:rsidR="00530253">
        <w:t>safety profile</w:t>
      </w:r>
      <w:r w:rsidR="00DD300B">
        <w:t>s</w:t>
      </w:r>
      <w:r w:rsidR="00530253">
        <w:t xml:space="preserve"> consistent with those of individual classes.</w:t>
      </w:r>
      <w:r w:rsidR="00530253">
        <w:fldChar w:fldCharType="begin" w:fldLock="1"/>
      </w:r>
      <w:r w:rsidR="002622F3">
        <w:instrText>ADDIN CSL_CITATION {"citationItems":[{"id":"ITEM-1","itemData":{"DOI":"10.2337/ds19-0031","ISSN":"1040-9165","author":[{"dropping-particle":"","family":"Anderson","given":"John E.","non-dropping-particle":"","parse-names":false,"suffix":""}],"container-title":"Diabetes Spectrum","id":"ITEM-1","issue":"2","issued":{"date-parts":[["2020","5"]]},"page":"165-174","title":"Combining Glucagon-Like Peptide 1 Receptor Agonists and Sodium–Glucose Cotransporter 2 Inhibitors to Target Multiple Organ Defects in Type 2 Diabetes","type":"article-journal","volume":"33"},"uris":["http://www.mendeley.com/documents/?uuid=1ce3317f-30a0-4b76-8517-3b484f519da9"]}],"mendeley":{"formattedCitation":"(48)","plainTextFormattedCitation":"(48)","previouslyFormattedCitation":"(48)"},"properties":{"noteIndex":0},"schema":"https://github.com/citation-style-language/schema/raw/master/csl-citation.json"}</w:instrText>
      </w:r>
      <w:r w:rsidR="00530253">
        <w:fldChar w:fldCharType="separate"/>
      </w:r>
      <w:r w:rsidR="002622F3" w:rsidRPr="002622F3">
        <w:rPr>
          <w:noProof/>
        </w:rPr>
        <w:t>(48)</w:t>
      </w:r>
      <w:r w:rsidR="00530253">
        <w:fldChar w:fldCharType="end"/>
      </w:r>
      <w:r w:rsidR="00530253">
        <w:t xml:space="preserve"> </w:t>
      </w:r>
      <w:r w:rsidR="00644D26">
        <w:t xml:space="preserve">Clinical </w:t>
      </w:r>
      <w:r w:rsidR="00644D26">
        <w:lastRenderedPageBreak/>
        <w:t>studies have reported</w:t>
      </w:r>
      <w:r w:rsidR="00530253">
        <w:t xml:space="preserve"> low risk</w:t>
      </w:r>
      <w:r w:rsidR="00DD300B">
        <w:t>s</w:t>
      </w:r>
      <w:r w:rsidR="00530253">
        <w:t xml:space="preserve"> of hypoglycaemia,</w:t>
      </w:r>
      <w:r w:rsidR="00644D26">
        <w:t xml:space="preserve"> pancreatitis, acute renal failure, amputations, diabetic ketoacidosis, and medullary thyroid cancer</w:t>
      </w:r>
      <w:r w:rsidR="00530253">
        <w:t>.</w:t>
      </w:r>
      <w:r w:rsidR="00530253">
        <w:fldChar w:fldCharType="begin" w:fldLock="1"/>
      </w:r>
      <w:r w:rsidR="002622F3">
        <w:instrText>ADDIN CSL_CITATION {"citationItems":[{"id":"ITEM-1","itemData":{"DOI":"10.2337/ds19-0031","ISSN":"1040-9165","author":[{"dropping-particle":"","family":"Anderson","given":"John E.","non-dropping-particle":"","parse-names":false,"suffix":""}],"container-title":"Diabetes Spectrum","id":"ITEM-1","issue":"2","issued":{"date-parts":[["2020","5"]]},"page":"165-174","title":"Combining Glucagon-Like Peptide 1 Receptor Agonists and Sodium–Glucose Cotransporter 2 Inhibitors to Target Multiple Organ Defects in Type 2 Diabetes","type":"article-journal","volume":"33"},"uris":["http://www.mendeley.com/documents/?uuid=1ce3317f-30a0-4b76-8517-3b484f519da9"]},{"id":"ITEM-2","itemData":{"DOI":"10.1007/s13300-018-0420-6","ISSN":"1869-6953","author":[{"dropping-particle":"","family":"Goncalves","given":"Edison","non-dropping-particle":"","parse-names":false,"suffix":""},{"dropping-particle":"","family":"Bell","given":"David S. H.","non-dropping-particle":"","parse-names":false,"suffix":""}],"container-title":"Diabetes Therapy","id":"ITEM-2","issue":"3","issued":{"date-parts":[["2018","6","5"]]},"page":"919-926","title":"Combination Treatment of SGLT2 Inhibitors and GLP-1 Receptor Agonists: Symbiotic Effects on Metabolism and Cardiorenal Risk","type":"article-journal","volume":"9"},"uris":["http://www.mendeley.com/documents/?uuid=dfbeadef-fa0e-4889-8a03-d6a7e95162ab"]}],"mendeley":{"formattedCitation":"(47,48)","plainTextFormattedCitation":"(47,48)","previouslyFormattedCitation":"(47,48)"},"properties":{"noteIndex":0},"schema":"https://github.com/citation-style-language/schema/raw/master/csl-citation.json"}</w:instrText>
      </w:r>
      <w:r w:rsidR="00530253">
        <w:fldChar w:fldCharType="separate"/>
      </w:r>
      <w:r w:rsidR="002622F3" w:rsidRPr="002622F3">
        <w:rPr>
          <w:noProof/>
        </w:rPr>
        <w:t>(47,48)</w:t>
      </w:r>
      <w:r w:rsidR="00530253">
        <w:fldChar w:fldCharType="end"/>
      </w:r>
      <w:r w:rsidR="00530253">
        <w:t xml:space="preserve"> </w:t>
      </w:r>
      <w:r w:rsidR="004800B2">
        <w:t xml:space="preserve">The potential adverse effect of GLP-1RAs promoting adipose tissue inflammation </w:t>
      </w:r>
      <w:r w:rsidR="008D4275">
        <w:t>is</w:t>
      </w:r>
      <w:r w:rsidR="00DD300B">
        <w:t xml:space="preserve"> attenuated by</w:t>
      </w:r>
      <w:r w:rsidR="008D4275">
        <w:t xml:space="preserve"> SGLT2 inhibitors</w:t>
      </w:r>
      <w:r w:rsidR="00DD300B">
        <w:t>,</w:t>
      </w:r>
      <w:r w:rsidR="00DD300B">
        <w:fldChar w:fldCharType="begin" w:fldLock="1"/>
      </w:r>
      <w:r w:rsidR="002622F3">
        <w:instrText>ADDIN CSL_CITATION {"citationItems":[{"id":"ITEM-1","itemData":{"DOI":"10.3390/ijms22137170","ISSN":"1422-0067","author":[{"dropping-particle":"","family":"Wu","given":"Victor Chien-Chia","non-dropping-particle":"","parse-names":false,"suffix":""},{"dropping-particle":"","family":"Li","given":"Yan-Rong","non-dropping-particle":"","parse-names":false,"suffix":""},{"dropping-particle":"","family":"Wang","given":"Chao-Yung","non-dropping-particle":"","parse-names":false,"suffix":""}],"container-title":"International Journal of Molecular Sciences","id":"ITEM-1","issue":"13","issued":{"date-parts":[["2021","7","2"]]},"page":"7170","title":"Impact of Sodium–Glucose Co-Transporter 2 Inhibitors on Cardiac Protection","type":"article-journal","volume":"22"},"uris":["http://www.mendeley.com/documents/?uuid=34ae1e76-99d1-4e6e-8548-75e3633d5670"]},{"id":"ITEM-2","itemData":{"DOI":"10.1007/s40265-019-1057-0","ISSN":"0012-6667","author":[{"dropping-particle":"","family":"Pereira","given":"Maria J.","non-dropping-particle":"","parse-names":false,"suffix":""},{"dropping-particle":"","family":"Eriksson","given":"Jan W.","non-dropping-particle":"","parse-names":false,"suffix":""}],"container-title":"Drugs","id":"ITEM-2","issue":"3","issued":{"date-parts":[["2019","2"]]},"page":"219-230","title":"Emerging Role of SGLT-2 Inhibitors for the Treatment of Obesity","type":"article-journal","volume":"79"},"uris":["http://www.mendeley.com/documents/?uuid=28f6206a-a952-46bb-b90a-7d7a3bdabdee"]},{"id":"ITEM-3","itemData":{"DOI":"10.1016/j.amjmed.2017.11.052","ISSN":"00029343","author":[{"dropping-particle":"","family":"Packer","given":"Milton","non-dropping-particle":"","parse-names":false,"suffix":""}],"container-title":"The American Journal of Medicine","id":"ITEM-3","issue":"5","issued":{"date-parts":[["2018","5"]]},"page":"461-463","title":"Should We Be Combining GLP-1 Receptor Agonists and SGLT2 Inhibitors in Treating Diabetes?","type":"article-journal","volume":"131"},"uris":["http://www.mendeley.com/documents/?uuid=481523fd-7a6a-472c-8e1b-181ef47c7368"]},{"id":"ITEM-4","itemData":{"DOI":"10.1042/CS20160803","ISSN":"0143-5221","author":[{"dropping-particle":"","family":"Pastel","given":"Emilie","non-dropping-particle":"","parse-names":false,"suffix":""},{"dropping-particle":"","family":"McCulloch","given":"Laura J.","non-dropping-particle":"","parse-names":false,"suffix":""},{"dropping-particle":"","family":"Ward","given":"Rebecca","non-dropping-particle":"","parse-names":false,"suffix":""},{"dropping-particle":"","family":"Joshi","given":"Shivam","non-dropping-particle":"","parse-names":false,"suffix":""},{"dropping-particle":"","family":"Gooding","given":"Kim M.","non-dropping-particle":"","parse-names":false,"suffix":""},{"dropping-particle":"","family":"Shore","given":"Angela C.","non-dropping-particle":"","parse-names":false,"suffix":""},{"dropping-particle":"","family":"Kos","given":"Katarina","non-dropping-particle":"","parse-names":false,"suffix":""}],"container-title":"Clinical Science","id":"ITEM-4","issue":"5","issued":{"date-parts":[["2017","3","1"]]},"page":"343-353","title":"GLP-1 analogue-induced weight loss does not improve obesity-induced AT dysfunction","type":"article-journal","volume":"131"},"uris":["http://www.mendeley.com/documents/?uuid=d4be4fa4-3d70-4068-a6ea-405df6eabcae"]}],"mendeley":{"formattedCitation":"(49–52)","plainTextFormattedCitation":"(49–52)","previouslyFormattedCitation":"(49–52)"},"properties":{"noteIndex":0},"schema":"https://github.com/citation-style-language/schema/raw/master/csl-citation.json"}</w:instrText>
      </w:r>
      <w:r w:rsidR="00DD300B">
        <w:fldChar w:fldCharType="separate"/>
      </w:r>
      <w:r w:rsidR="002622F3" w:rsidRPr="002622F3">
        <w:rPr>
          <w:noProof/>
        </w:rPr>
        <w:t>(49–52)</w:t>
      </w:r>
      <w:r w:rsidR="00DD300B">
        <w:fldChar w:fldCharType="end"/>
      </w:r>
      <w:r w:rsidR="004800B2">
        <w:t xml:space="preserve"> </w:t>
      </w:r>
      <w:r w:rsidR="00DD300B">
        <w:t>and t</w:t>
      </w:r>
      <w:r w:rsidR="006547A5">
        <w:t>herefore</w:t>
      </w:r>
      <w:r w:rsidR="00DD300B">
        <w:t xml:space="preserve"> combination therapy could</w:t>
      </w:r>
      <w:r w:rsidR="006547A5">
        <w:t xml:space="preserve"> </w:t>
      </w:r>
      <w:r w:rsidR="008D5565">
        <w:t>negate</w:t>
      </w:r>
      <w:r w:rsidR="006547A5">
        <w:t xml:space="preserve"> </w:t>
      </w:r>
      <w:r w:rsidR="00DD300B">
        <w:t>this</w:t>
      </w:r>
      <w:r w:rsidR="006547A5">
        <w:t xml:space="preserve"> adverse effec</w:t>
      </w:r>
      <w:r w:rsidR="00DD300B">
        <w:t>t</w:t>
      </w:r>
      <w:r w:rsidR="006547A5">
        <w:t>.</w:t>
      </w:r>
      <w:r w:rsidR="006547A5">
        <w:fldChar w:fldCharType="begin" w:fldLock="1"/>
      </w:r>
      <w:r w:rsidR="002622F3">
        <w:instrText>ADDIN CSL_CITATION {"citationItems":[{"id":"ITEM-1","itemData":{"DOI":"10.1016/j.amjmed.2017.11.052","ISSN":"00029343","author":[{"dropping-particle":"","family":"Packer","given":"Milton","non-dropping-particle":"","parse-names":false,"suffix":""}],"container-title":"The American Journal of Medicine","id":"ITEM-1","issue":"5","issued":{"date-parts":[["2018","5"]]},"page":"461-463","title":"Should We Be Combining GLP-1 Receptor Agonists and SGLT2 Inhibitors in Treating Diabetes?","type":"article-journal","volume":"131"},"uris":["http://www.mendeley.com/documents/?uuid=481523fd-7a6a-472c-8e1b-181ef47c7368"]}],"mendeley":{"formattedCitation":"(51)","plainTextFormattedCitation":"(51)","previouslyFormattedCitation":"(51)"},"properties":{"noteIndex":0},"schema":"https://github.com/citation-style-language/schema/raw/master/csl-citation.json"}</w:instrText>
      </w:r>
      <w:r w:rsidR="006547A5">
        <w:fldChar w:fldCharType="separate"/>
      </w:r>
      <w:r w:rsidR="002622F3" w:rsidRPr="002622F3">
        <w:rPr>
          <w:noProof/>
        </w:rPr>
        <w:t>(51)</w:t>
      </w:r>
      <w:r w:rsidR="006547A5">
        <w:fldChar w:fldCharType="end"/>
      </w:r>
      <w:r w:rsidR="006547A5">
        <w:t xml:space="preserve"> </w:t>
      </w:r>
      <w:r w:rsidR="007D386A" w:rsidRPr="000106F3">
        <w:t>W</w:t>
      </w:r>
      <w:r w:rsidR="00132BE4" w:rsidRPr="000106F3">
        <w:t xml:space="preserve">e showed that </w:t>
      </w:r>
      <w:r w:rsidR="00AE6183" w:rsidRPr="000106F3">
        <w:t xml:space="preserve">the </w:t>
      </w:r>
      <w:r w:rsidR="006F7ECF" w:rsidRPr="000106F3">
        <w:t>SGLT2i/GLP-1RA combination appeared to be</w:t>
      </w:r>
      <w:r w:rsidR="006F7ECF" w:rsidRPr="00781897">
        <w:t xml:space="preserve"> associated with lower</w:t>
      </w:r>
      <w:r w:rsidR="00192CE3" w:rsidRPr="00781897">
        <w:t xml:space="preserve"> </w:t>
      </w:r>
      <w:r w:rsidR="00FA3F1C" w:rsidRPr="00781897">
        <w:t>rates</w:t>
      </w:r>
      <w:r w:rsidR="00495DC2" w:rsidRPr="00781897">
        <w:t xml:space="preserve"> of</w:t>
      </w:r>
      <w:r w:rsidR="006F7ECF" w:rsidRPr="00781897">
        <w:t xml:space="preserve"> </w:t>
      </w:r>
      <w:r w:rsidR="00FA6376" w:rsidRPr="00781897">
        <w:t>MACCE</w:t>
      </w:r>
      <w:r w:rsidR="006F7ECF" w:rsidRPr="00781897">
        <w:t xml:space="preserve"> </w:t>
      </w:r>
      <w:r w:rsidR="00275C30" w:rsidRPr="00781897">
        <w:t xml:space="preserve">and heart failure when compared to </w:t>
      </w:r>
      <w:r w:rsidR="006F7ECF" w:rsidRPr="00781897">
        <w:t>SGLT2i and GLP-1RA regimens alone, although with overlapping confidence intervals</w:t>
      </w:r>
      <w:r w:rsidR="00AE6183" w:rsidRPr="00781897">
        <w:t xml:space="preserve">. </w:t>
      </w:r>
      <w:r w:rsidR="00901441" w:rsidRPr="00781897">
        <w:t xml:space="preserve">However, with a limited sample size </w:t>
      </w:r>
      <w:r w:rsidR="00DD300B">
        <w:t>receiving</w:t>
      </w:r>
      <w:r w:rsidR="00901441" w:rsidRPr="00781897">
        <w:t xml:space="preserve"> combined therapy, caution </w:t>
      </w:r>
      <w:r w:rsidR="00626C7B">
        <w:t xml:space="preserve">in interpretation </w:t>
      </w:r>
      <w:r w:rsidR="00901441" w:rsidRPr="00781897">
        <w:t xml:space="preserve">must be applied. </w:t>
      </w:r>
      <w:r w:rsidR="00713172" w:rsidRPr="00781897">
        <w:t xml:space="preserve">RCTs are needed to </w:t>
      </w:r>
      <w:r w:rsidR="003F7504" w:rsidRPr="00781897">
        <w:t xml:space="preserve">assess the efficacy of the combined treatment and to </w:t>
      </w:r>
      <w:r w:rsidR="00713172" w:rsidRPr="00781897">
        <w:t>confirm these findings.</w:t>
      </w:r>
    </w:p>
    <w:p w14:paraId="704C092B" w14:textId="77777777" w:rsidR="00D60117" w:rsidRPr="00781897" w:rsidRDefault="00D60117" w:rsidP="00781897">
      <w:pPr>
        <w:spacing w:line="480" w:lineRule="auto"/>
        <w:contextualSpacing/>
        <w:rPr>
          <w:b/>
          <w:bCs/>
        </w:rPr>
      </w:pPr>
    </w:p>
    <w:p w14:paraId="45E13884" w14:textId="7012B01D" w:rsidR="00D2150A" w:rsidRPr="00781897" w:rsidRDefault="00D2150A" w:rsidP="00781897">
      <w:pPr>
        <w:spacing w:line="480" w:lineRule="auto"/>
        <w:contextualSpacing/>
        <w:rPr>
          <w:b/>
          <w:bCs/>
        </w:rPr>
      </w:pPr>
      <w:r w:rsidRPr="00781897">
        <w:rPr>
          <w:b/>
          <w:bCs/>
        </w:rPr>
        <w:t>S</w:t>
      </w:r>
      <w:r w:rsidR="00672721" w:rsidRPr="00781897">
        <w:rPr>
          <w:b/>
          <w:bCs/>
        </w:rPr>
        <w:t>trengths and limitations</w:t>
      </w:r>
    </w:p>
    <w:p w14:paraId="6C41EB67" w14:textId="3000EC9F" w:rsidR="00D2150A" w:rsidRPr="00781897" w:rsidRDefault="007F6313" w:rsidP="00781897">
      <w:pPr>
        <w:spacing w:line="480" w:lineRule="auto"/>
        <w:contextualSpacing/>
      </w:pPr>
      <w:r w:rsidRPr="00781897">
        <w:t xml:space="preserve">Strengths include: a) </w:t>
      </w:r>
      <w:r w:rsidR="00D76C79" w:rsidRPr="00781897">
        <w:t xml:space="preserve">maximising statistical power by </w:t>
      </w:r>
      <w:r w:rsidR="00D2150A" w:rsidRPr="00781897">
        <w:t>acquir</w:t>
      </w:r>
      <w:r w:rsidRPr="00781897">
        <w:t>ing</w:t>
      </w:r>
      <w:r w:rsidR="00D2150A" w:rsidRPr="00781897">
        <w:t xml:space="preserve"> data from three sources</w:t>
      </w:r>
      <w:r w:rsidR="00E769BB" w:rsidRPr="00781897">
        <w:t xml:space="preserve"> on 440,089 people</w:t>
      </w:r>
      <w:r w:rsidR="00C14501" w:rsidRPr="00781897">
        <w:t xml:space="preserve">, </w:t>
      </w:r>
      <w:r w:rsidRPr="00781897">
        <w:t>analysed as</w:t>
      </w:r>
      <w:r w:rsidR="00AE158F" w:rsidRPr="00781897">
        <w:t xml:space="preserve"> separate nested-case control </w:t>
      </w:r>
      <w:r w:rsidRPr="00781897">
        <w:t xml:space="preserve">studies; b) </w:t>
      </w:r>
      <w:r w:rsidR="007C073C" w:rsidRPr="00781897">
        <w:t>l</w:t>
      </w:r>
      <w:r w:rsidR="00D2150A" w:rsidRPr="00781897">
        <w:t>ink</w:t>
      </w:r>
      <w:r w:rsidRPr="00781897">
        <w:t>ing</w:t>
      </w:r>
      <w:r w:rsidR="00D2150A" w:rsidRPr="00781897">
        <w:t xml:space="preserve"> to hospital and mortality records, providing greater capture of </w:t>
      </w:r>
      <w:r w:rsidR="00E3030C" w:rsidRPr="00781897">
        <w:t>outcomes and</w:t>
      </w:r>
      <w:r w:rsidR="00D2150A" w:rsidRPr="00781897">
        <w:t xml:space="preserve"> covariates</w:t>
      </w:r>
      <w:r w:rsidRPr="00781897">
        <w:t xml:space="preserve">; </w:t>
      </w:r>
      <w:r w:rsidR="009D633E">
        <w:t xml:space="preserve">c) using the nested case-control design </w:t>
      </w:r>
      <w:r w:rsidR="006E7133">
        <w:t xml:space="preserve">which minimises </w:t>
      </w:r>
      <w:r w:rsidR="0091721C">
        <w:t xml:space="preserve">the </w:t>
      </w:r>
      <w:r w:rsidR="006E7133">
        <w:t xml:space="preserve">potential lack of comparability of </w:t>
      </w:r>
      <w:r w:rsidR="0091721C">
        <w:t xml:space="preserve">the </w:t>
      </w:r>
      <w:r w:rsidR="006E7133">
        <w:t xml:space="preserve">cases and controls and </w:t>
      </w:r>
      <w:r w:rsidR="004619EC">
        <w:t>as a practical approach to assess associations with these drugs of interest, especially combined SGLT2i and GLP-1RA, which would not have been feasible in a cohort design due to low prevalence of these exposure groups and more limited follow-up</w:t>
      </w:r>
      <w:r w:rsidR="00722651">
        <w:t xml:space="preserve"> to observe outcomes</w:t>
      </w:r>
      <w:r w:rsidR="009D633E">
        <w:t xml:space="preserve">; </w:t>
      </w:r>
      <w:r w:rsidR="004619EC">
        <w:t>d</w:t>
      </w:r>
      <w:r w:rsidRPr="00781897">
        <w:t>)</w:t>
      </w:r>
      <w:r w:rsidR="002A5BAC" w:rsidRPr="00781897">
        <w:t xml:space="preserve"> using</w:t>
      </w:r>
      <w:r w:rsidR="00FB5F9E" w:rsidRPr="00781897">
        <w:t xml:space="preserve"> </w:t>
      </w:r>
      <w:r w:rsidR="007C073C" w:rsidRPr="00781897">
        <w:t xml:space="preserve">a </w:t>
      </w:r>
      <w:r w:rsidR="00D76C79" w:rsidRPr="00781897">
        <w:t>relevant comparator group to reduce</w:t>
      </w:r>
      <w:r w:rsidR="002A5BAC" w:rsidRPr="00781897">
        <w:t xml:space="preserve"> </w:t>
      </w:r>
      <w:r w:rsidR="00D76C79" w:rsidRPr="00781897">
        <w:t>confounding by</w:t>
      </w:r>
      <w:r w:rsidR="002A5BAC" w:rsidRPr="00781897">
        <w:t xml:space="preserve"> </w:t>
      </w:r>
      <w:r w:rsidR="00D76C79" w:rsidRPr="00781897">
        <w:t>indication</w:t>
      </w:r>
      <w:r w:rsidR="003952D3" w:rsidRPr="00781897">
        <w:t xml:space="preserve">. </w:t>
      </w:r>
      <w:r w:rsidR="00626C7B">
        <w:t>As suggested by</w:t>
      </w:r>
      <w:r w:rsidR="003952D3" w:rsidRPr="00781897">
        <w:t xml:space="preserve"> clinical guidelines, people diagnosed with </w:t>
      </w:r>
      <w:r w:rsidR="00B608E7" w:rsidRPr="004849AB">
        <w:t>type 2 diabetes</w:t>
      </w:r>
      <w:r w:rsidR="00B608E7" w:rsidDel="005A498B">
        <w:rPr>
          <w:rStyle w:val="Strong"/>
          <w:b w:val="0"/>
          <w:bCs w:val="0"/>
        </w:rPr>
        <w:t xml:space="preserve"> </w:t>
      </w:r>
      <w:r w:rsidR="003952D3" w:rsidRPr="00781897">
        <w:t>generally initiate treatment with metformin</w:t>
      </w:r>
      <w:r w:rsidR="004E32DA" w:rsidRPr="00781897">
        <w:t xml:space="preserve">, </w:t>
      </w:r>
      <w:r w:rsidR="003952D3" w:rsidRPr="00781897">
        <w:t xml:space="preserve">switching </w:t>
      </w:r>
      <w:r w:rsidR="004E32DA" w:rsidRPr="00781897">
        <w:t>or</w:t>
      </w:r>
      <w:r w:rsidR="003952D3" w:rsidRPr="00781897">
        <w:t xml:space="preserve"> </w:t>
      </w:r>
      <w:r w:rsidR="001B7E90" w:rsidRPr="00781897">
        <w:t>adding</w:t>
      </w:r>
      <w:r w:rsidR="003952D3" w:rsidRPr="00781897">
        <w:t xml:space="preserve"> agents if this </w:t>
      </w:r>
      <w:r w:rsidR="00227F4C">
        <w:t>monotherapy</w:t>
      </w:r>
      <w:r w:rsidR="00626C7B">
        <w:t xml:space="preserve"> </w:t>
      </w:r>
      <w:r w:rsidR="003952D3" w:rsidRPr="00781897">
        <w:t>fails to control blood glucose levels.</w:t>
      </w:r>
      <w:r w:rsidR="00FE302D" w:rsidRPr="00781897">
        <w:fldChar w:fldCharType="begin" w:fldLock="1"/>
      </w:r>
      <w:r w:rsidR="002622F3">
        <w:instrText>ADDIN CSL_CITATION {"citationItems":[{"id":"ITEM-1","itemData":{"DOI":"10.2337/dci19-0066","ISSN":"0149-5992","author":[{"dropping-particle":"","family":"Buse","given":"John B.","non-dropping-particle":"","parse-names":false,"suffix":""},{"dropping-particle":"","family":"Wexler","given":"Deborah J.","non-dropping-particle":"","parse-names":false,"suffix":""},{"dropping-particle":"","family":"Tsapas","given":"Apostolos","non-dropping-particle":"","parse-names":false,"suffix":""},{"dropping-particle":"","family":"Rossing","given":"Peter","non-dropping-particle":"","parse-names":false,"suffix":""},{"dropping-particle":"","family":"Mingrone","given":"Geltrude","non-dropping-particle":"","parse-names":false,"suffix":""},{"dropping-particle":"","family":"Mathieu","given":"Chantal","non-dropping-particle":"","parse-names":false,"suffix":""},{"dropping-particle":"","family":"D’Alessio","given":"David A.","non-dropping-particle":"","parse-names":false,"suffix":""},{"dropping-particle":"","family":"Davies","given":"Melanie J.","non-dropping-particle":"","parse-names":false,"suffix":""}],"container-title":"Diabetes Care","id":"ITEM-1","issue":"2","issued":{"date-parts":[["2020","2"]]},"page":"487-493","title":"2019 Update to: Management of Hyperglycemia in Type 2 Diabetes, 2018. A Consensus Report by the American Diabetes Association (ADA) and the European Association for the Study of Diabetes (EASD)","type":"article-journal","volume":"43"},"uris":["http://www.mendeley.com/documents/?uuid=757b7318-f6aa-4bb0-b933-e03b2bca366f"]},{"id":"ITEM-2","itemData":{"URL":"https://www.nice.org.uk/guidance/ng28","accessed":{"date-parts":[["2020","11","27"]]},"author":[{"dropping-particle":"","family":"The National Institute for Health and Care Excellence (NICE)","given":"","non-dropping-particle":"","parse-names":false,"suffix":""}],"container-title":"NICE","id":"ITEM-2","issued":{"date-parts":[["2015"]]},"page":"(last updated 2019)","title":"Type 2 diabetes in adults: management. NICE guideline NG28","type":"webpage"},"uris":["http://www.mendeley.com/documents/?uuid=c6edad53-f28d-4660-beda-e66814fa19fc"]}],"mendeley":{"formattedCitation":"(44,53)","plainTextFormattedCitation":"(44,53)","previouslyFormattedCitation":"(44,53)"},"properties":{"noteIndex":0},"schema":"https://github.com/citation-style-language/schema/raw/master/csl-citation.json"}</w:instrText>
      </w:r>
      <w:r w:rsidR="00FE302D" w:rsidRPr="00781897">
        <w:fldChar w:fldCharType="separate"/>
      </w:r>
      <w:r w:rsidR="002622F3" w:rsidRPr="002622F3">
        <w:rPr>
          <w:noProof/>
        </w:rPr>
        <w:t>(44,53)</w:t>
      </w:r>
      <w:r w:rsidR="00FE302D" w:rsidRPr="00781897">
        <w:fldChar w:fldCharType="end"/>
      </w:r>
      <w:r w:rsidR="003952D3" w:rsidRPr="00781897">
        <w:t xml:space="preserve"> GLP-1RA and SGLT2i are generally regarded as second- and third-line therapies as are combination regimens.</w:t>
      </w:r>
      <w:r w:rsidR="00FE302D" w:rsidRPr="00781897">
        <w:fldChar w:fldCharType="begin" w:fldLock="1"/>
      </w:r>
      <w:r w:rsidR="002622F3">
        <w:instrText>ADDIN CSL_CITATION {"citationItems":[{"id":"ITEM-1","itemData":{"DOI":"10.2337/dci19-0066","ISSN":"0149-5992","author":[{"dropping-particle":"","family":"Buse","given":"John B.","non-dropping-particle":"","parse-names":false,"suffix":""},{"dropping-particle":"","family":"Wexler","given":"Deborah J.","non-dropping-particle":"","parse-names":false,"suffix":""},{"dropping-particle":"","family":"Tsapas","given":"Apostolos","non-dropping-particle":"","parse-names":false,"suffix":""},{"dropping-particle":"","family":"Rossing","given":"Peter","non-dropping-particle":"","parse-names":false,"suffix":""},{"dropping-particle":"","family":"Mingrone","given":"Geltrude","non-dropping-particle":"","parse-names":false,"suffix":""},{"dropping-particle":"","family":"Mathieu","given":"Chantal","non-dropping-particle":"","parse-names":false,"suffix":""},{"dropping-particle":"","family":"D’Alessio","given":"David A.","non-dropping-particle":"","parse-names":false,"suffix":""},{"dropping-particle":"","family":"Davies","given":"Melanie J.","non-dropping-particle":"","parse-names":false,"suffix":""}],"container-title":"Diabetes Care","id":"ITEM-1","issue":"2","issued":{"date-parts":[["2020","2"]]},"page":"487-493","title":"2019 Update to: Management of Hyperglycemia in Type 2 Diabetes, 2018. A Consensus Report by the American Diabetes Association (ADA) and the European Association for the Study of Diabetes (EASD)","type":"article-journal","volume":"43"},"uris":["http://www.mendeley.com/documents/?uuid=757b7318-f6aa-4bb0-b933-e03b2bca366f"]},{"id":"ITEM-2","itemData":{"URL":"https://www.nice.org.uk/guidance/ng28","accessed":{"date-parts":[["2020","11","27"]]},"author":[{"dropping-particle":"","family":"The National Institute for Health and Care Excellence (NICE)","given":"","non-dropping-particle":"","parse-names":false,"suffix":""}],"container-title":"NICE","id":"ITEM-2","issued":{"date-parts":[["2015"]]},"page":"(last updated 2019)","title":"Type 2 diabetes in adults: management. NICE guideline NG28","type":"webpage"},"uris":["http://www.mendeley.com/documents/?uuid=c6edad53-f28d-4660-beda-e66814fa19fc"]}],"mendeley":{"formattedCitation":"(44,53)","plainTextFormattedCitation":"(44,53)","previouslyFormattedCitation":"(44,53)"},"properties":{"noteIndex":0},"schema":"https://github.com/citation-style-language/schema/raw/master/csl-citation.json"}</w:instrText>
      </w:r>
      <w:r w:rsidR="00FE302D" w:rsidRPr="00781897">
        <w:fldChar w:fldCharType="separate"/>
      </w:r>
      <w:r w:rsidR="002622F3" w:rsidRPr="002622F3">
        <w:rPr>
          <w:noProof/>
        </w:rPr>
        <w:t>(44,53)</w:t>
      </w:r>
      <w:r w:rsidR="00FE302D" w:rsidRPr="00781897">
        <w:fldChar w:fldCharType="end"/>
      </w:r>
      <w:r w:rsidR="003952D3" w:rsidRPr="00781897">
        <w:t xml:space="preserve"> Therefore our primary reference group, patients receiving other antidiabetic combination regimens (excluding GLP-1RA and SGLT2i), is a clinically relevant treatment comparison</w:t>
      </w:r>
      <w:r w:rsidR="002A5BAC" w:rsidRPr="00781897">
        <w:t xml:space="preserve">; </w:t>
      </w:r>
      <w:r w:rsidR="004619EC">
        <w:t>e</w:t>
      </w:r>
      <w:r w:rsidR="002A5BAC" w:rsidRPr="00781897">
        <w:t xml:space="preserve">) </w:t>
      </w:r>
      <w:r w:rsidR="00542367" w:rsidRPr="00781897">
        <w:t>perform</w:t>
      </w:r>
      <w:r w:rsidR="002A5BAC" w:rsidRPr="00781897">
        <w:t>ing</w:t>
      </w:r>
      <w:r w:rsidR="00542367" w:rsidRPr="00781897">
        <w:t xml:space="preserve"> several sensitivity </w:t>
      </w:r>
      <w:r w:rsidR="00542367" w:rsidRPr="00781897">
        <w:lastRenderedPageBreak/>
        <w:t xml:space="preserve">analyses to </w:t>
      </w:r>
      <w:r w:rsidR="006A2462" w:rsidRPr="00781897">
        <w:t>assess the robustness of our findings</w:t>
      </w:r>
      <w:r w:rsidR="001B7E90" w:rsidRPr="00781897">
        <w:t xml:space="preserve"> including a propensity-matched cohort analysis (estimating the probability of treatment with each antidiabetic regimen and matching those treated with SGLT2i or GLP-1RA regimens to those on other combination regimens)</w:t>
      </w:r>
      <w:r w:rsidR="002A5BAC" w:rsidRPr="00781897">
        <w:t>.</w:t>
      </w:r>
    </w:p>
    <w:p w14:paraId="37F0CB40" w14:textId="77777777" w:rsidR="00D2150A" w:rsidRPr="00781897" w:rsidRDefault="00D2150A" w:rsidP="00781897">
      <w:pPr>
        <w:spacing w:line="480" w:lineRule="auto"/>
        <w:contextualSpacing/>
      </w:pPr>
    </w:p>
    <w:p w14:paraId="14F44659" w14:textId="1511F590" w:rsidR="00D2150A" w:rsidRPr="00781897" w:rsidRDefault="008E5FB0" w:rsidP="00781897">
      <w:pPr>
        <w:spacing w:line="480" w:lineRule="auto"/>
        <w:contextualSpacing/>
      </w:pPr>
      <w:r w:rsidRPr="00781897">
        <w:t>L</w:t>
      </w:r>
      <w:r w:rsidR="00D2150A" w:rsidRPr="00781897">
        <w:t>imitations</w:t>
      </w:r>
      <w:r w:rsidRPr="00781897">
        <w:t xml:space="preserve"> include</w:t>
      </w:r>
      <w:r w:rsidR="00D2150A" w:rsidRPr="00781897">
        <w:t xml:space="preserve">: </w:t>
      </w:r>
      <w:r w:rsidRPr="00781897">
        <w:t xml:space="preserve">a) </w:t>
      </w:r>
      <w:r w:rsidR="009957F4" w:rsidRPr="00781897">
        <w:t>assess</w:t>
      </w:r>
      <w:r w:rsidRPr="00781897">
        <w:t>ing</w:t>
      </w:r>
      <w:r w:rsidR="009957F4" w:rsidRPr="00781897">
        <w:t xml:space="preserve"> associations </w:t>
      </w:r>
      <w:r w:rsidRPr="00781897">
        <w:t xml:space="preserve">with </w:t>
      </w:r>
      <w:r w:rsidR="009957F4" w:rsidRPr="00781897">
        <w:t xml:space="preserve">drug classes rather than individual </w:t>
      </w:r>
      <w:r w:rsidR="000D061B" w:rsidRPr="00781897">
        <w:t>SGLT2</w:t>
      </w:r>
      <w:r w:rsidR="00481D90" w:rsidRPr="00781897">
        <w:t>is</w:t>
      </w:r>
      <w:r w:rsidR="009957F4" w:rsidRPr="00781897">
        <w:t xml:space="preserve"> and GLP-1RAs</w:t>
      </w:r>
      <w:r w:rsidRPr="00781897">
        <w:t xml:space="preserve">; b) </w:t>
      </w:r>
      <w:r w:rsidR="001723F4">
        <w:t xml:space="preserve">antidiabetic regimens </w:t>
      </w:r>
      <w:r w:rsidR="00D957ED" w:rsidRPr="00781897">
        <w:t xml:space="preserve">potentially </w:t>
      </w:r>
      <w:r w:rsidR="001723F4" w:rsidRPr="00781897">
        <w:t>includ</w:t>
      </w:r>
      <w:r w:rsidR="001723F4">
        <w:t>ed</w:t>
      </w:r>
      <w:r w:rsidR="001723F4" w:rsidRPr="00781897">
        <w:t xml:space="preserve"> </w:t>
      </w:r>
      <w:r w:rsidR="001723F4">
        <w:t>agents</w:t>
      </w:r>
      <w:r w:rsidR="001723F4" w:rsidRPr="00781897">
        <w:t xml:space="preserve"> </w:t>
      </w:r>
      <w:r w:rsidR="004248CD" w:rsidRPr="00781897">
        <w:t>that have</w:t>
      </w:r>
      <w:r w:rsidRPr="00781897">
        <w:t>, in some studies,</w:t>
      </w:r>
      <w:r w:rsidR="004248CD" w:rsidRPr="00781897">
        <w:t xml:space="preserve"> been </w:t>
      </w:r>
      <w:r w:rsidR="00417017" w:rsidRPr="00781897">
        <w:t xml:space="preserve">associated with elevated heart failure </w:t>
      </w:r>
      <w:r w:rsidR="00D2150A" w:rsidRPr="00781897">
        <w:t>risk</w:t>
      </w:r>
      <w:r w:rsidR="00417017" w:rsidRPr="00781897">
        <w:t>s</w:t>
      </w:r>
      <w:r w:rsidR="009A47E9" w:rsidRPr="00781897">
        <w:t xml:space="preserve">, </w:t>
      </w:r>
      <w:r w:rsidR="006D3079" w:rsidRPr="00781897">
        <w:t>which could explain</w:t>
      </w:r>
      <w:r w:rsidR="004C5C7B" w:rsidRPr="00781897">
        <w:t xml:space="preserve"> </w:t>
      </w:r>
      <w:r w:rsidR="006D3079" w:rsidRPr="00781897">
        <w:t>differences</w:t>
      </w:r>
      <w:r w:rsidR="004C5C7B" w:rsidRPr="00781897">
        <w:t xml:space="preserve"> in findings </w:t>
      </w:r>
      <w:r w:rsidRPr="00781897">
        <w:t>compared</w:t>
      </w:r>
      <w:r w:rsidR="004C5C7B" w:rsidRPr="00781897">
        <w:t xml:space="preserve"> </w:t>
      </w:r>
      <w:r w:rsidR="006D3079" w:rsidRPr="00781897">
        <w:t>to placebo-controlled</w:t>
      </w:r>
      <w:r w:rsidR="00C936F4" w:rsidRPr="00781897">
        <w:t xml:space="preserve"> </w:t>
      </w:r>
      <w:r w:rsidR="004C5C7B" w:rsidRPr="00781897">
        <w:t>RCTs</w:t>
      </w:r>
      <w:r w:rsidR="00E2540B">
        <w:t>.</w:t>
      </w:r>
      <w:r w:rsidR="00D2150A" w:rsidRPr="00781897">
        <w:fldChar w:fldCharType="begin" w:fldLock="1"/>
      </w:r>
      <w:r w:rsidR="002622F3">
        <w:instrText>ADDIN CSL_CITATION {"citationItems":[{"id":"ITEM-1","itemData":{"DOI":"10.1093/ehjcvp/pvv035","ISSN":"2055-6837","author":[{"dropping-particle":"","family":"Kumar","given":"R.","non-dropping-particle":"","parse-names":false,"suffix":""},{"dropping-particle":"","family":"Kerins","given":"D. M.","non-dropping-particle":"","parse-names":false,"suffix":""},{"dropping-particle":"","family":"Walther","given":"T.","non-dropping-particle":"","parse-names":false,"suffix":""}],"container-title":"European Heart Journal - Cardiovascular Pharmacotherapy","id":"ITEM-1","issue":"1","issued":{"date-parts":[["2016","1"]]},"page":"32-43","title":"Cardiovascular safety of anti-diabetic drugs","type":"article-journal","volume":"2"},"uris":["http://www.mendeley.com/documents/?uuid=138fc2fa-b478-48f0-9ada-24db6dca9d64"]},{"id":"ITEM-2","itemData":{"DOI":"10.1016/j.pcad.2017.09.001","ISSN":"00330620","author":[{"dropping-particle":"","family":"Herman","given":"Mary E.","non-dropping-particle":"","parse-names":false,"suffix":""},{"dropping-particle":"","family":"O'Keefe","given":"James H.","non-dropping-particle":"","parse-names":false,"suffix":""},{"dropping-particle":"","family":"Bell","given":"David S.H.","non-dropping-particle":"","parse-names":false,"suffix":""},{"dropping-particle":"","family":"Schwartz","given":"Stanley S.","non-dropping-particle":"","parse-names":false,"suffix":""}],"container-title":"Progress in Cardiovascular Diseases","id":"ITEM-2","issue":"3","issued":{"date-parts":[["2017","11"]]},"page":"422-434","title":"Insulin Therapy Increases Cardiovascular Risk in Type 2 Diabetes","type":"article-journal","volume":"60"},"uris":["http://www.mendeley.com/documents/?uuid=9da1cacf-4235-4237-91cd-b58f968e4c09"]}],"mendeley":{"formattedCitation":"(54,55)","plainTextFormattedCitation":"(54,55)","previouslyFormattedCitation":"(54,55)"},"properties":{"noteIndex":0},"schema":"https://github.com/citation-style-language/schema/raw/master/csl-citation.json"}</w:instrText>
      </w:r>
      <w:r w:rsidR="00D2150A" w:rsidRPr="00781897">
        <w:fldChar w:fldCharType="separate"/>
      </w:r>
      <w:r w:rsidR="002622F3" w:rsidRPr="002622F3">
        <w:rPr>
          <w:noProof/>
        </w:rPr>
        <w:t>(54,55)</w:t>
      </w:r>
      <w:r w:rsidR="00D2150A" w:rsidRPr="00781897">
        <w:fldChar w:fldCharType="end"/>
      </w:r>
      <w:r w:rsidR="000805E4" w:rsidRPr="000805E4">
        <w:t xml:space="preserve"> </w:t>
      </w:r>
      <w:r w:rsidR="00E2540B">
        <w:t xml:space="preserve">However, in </w:t>
      </w:r>
      <w:r w:rsidR="004619EC">
        <w:t xml:space="preserve">several </w:t>
      </w:r>
      <w:r w:rsidR="00E2540B">
        <w:t xml:space="preserve">sensitivity </w:t>
      </w:r>
      <w:r w:rsidR="00550AE3">
        <w:t xml:space="preserve">analyses </w:t>
      </w:r>
      <w:r w:rsidR="001723F4">
        <w:t>we</w:t>
      </w:r>
      <w:r w:rsidR="00E2540B">
        <w:t xml:space="preserve"> exclud</w:t>
      </w:r>
      <w:r w:rsidR="001723F4">
        <w:t>ed</w:t>
      </w:r>
      <w:r w:rsidR="00E2540B">
        <w:t xml:space="preserve"> </w:t>
      </w:r>
      <w:r w:rsidR="001723F4">
        <w:t>cases and controls</w:t>
      </w:r>
      <w:r w:rsidR="00E2540B">
        <w:t xml:space="preserve"> </w:t>
      </w:r>
      <w:r w:rsidR="001723F4">
        <w:t>whose</w:t>
      </w:r>
      <w:r w:rsidR="00E2540B">
        <w:t xml:space="preserve"> regimen contain</w:t>
      </w:r>
      <w:r w:rsidR="00762553">
        <w:t>ed</w:t>
      </w:r>
      <w:r w:rsidR="00E2540B">
        <w:t xml:space="preserve"> </w:t>
      </w:r>
      <w:r w:rsidR="004619EC">
        <w:t xml:space="preserve">sulphonylureas, TZDs or </w:t>
      </w:r>
      <w:r w:rsidR="00E2540B">
        <w:t>DPP-4 inhibitors,</w:t>
      </w:r>
      <w:r w:rsidR="001723F4">
        <w:t xml:space="preserve"> </w:t>
      </w:r>
      <w:r w:rsidR="00762553">
        <w:t xml:space="preserve">these </w:t>
      </w:r>
      <w:r w:rsidR="001723F4">
        <w:t>results were consistent with those of our primary analysis</w:t>
      </w:r>
      <w:r w:rsidR="000805E4">
        <w:rPr>
          <w:color w:val="000000" w:themeColor="text1"/>
        </w:rPr>
        <w:t>;</w:t>
      </w:r>
      <w:r w:rsidR="00762553">
        <w:rPr>
          <w:color w:val="000000" w:themeColor="text1"/>
        </w:rPr>
        <w:t xml:space="preserve"> </w:t>
      </w:r>
      <w:r w:rsidR="00361826">
        <w:rPr>
          <w:color w:val="000000" w:themeColor="text1"/>
        </w:rPr>
        <w:t xml:space="preserve">c) </w:t>
      </w:r>
      <w:r w:rsidR="00936EBB" w:rsidRPr="00936EBB">
        <w:rPr>
          <w:color w:val="000000"/>
        </w:rPr>
        <w:t>h</w:t>
      </w:r>
      <w:r w:rsidR="00936EBB" w:rsidRPr="00936EBB">
        <w:t xml:space="preserve">aving a 90-day grace period could fail to capture a minority of people switching between GLP-1RA and SGLT2i agents leading to some misclassification of the exposure; however, </w:t>
      </w:r>
      <w:r w:rsidR="00812DFD">
        <w:t xml:space="preserve">to minimise misclassification </w:t>
      </w:r>
      <w:r w:rsidR="00585F71">
        <w:t xml:space="preserve">of current drug exposure, </w:t>
      </w:r>
      <w:r w:rsidR="00812DFD">
        <w:t>we required individuals to have 2 consecutive prescriptions for the antidiabetic class</w:t>
      </w:r>
      <w:r w:rsidR="00A70658">
        <w:t>. W</w:t>
      </w:r>
      <w:r w:rsidR="002D058A">
        <w:t>e observed a similar trend in risk estimates associated with the exposure groups when grace periods were defined as 30 days and 60 days in sensitivity analyses</w:t>
      </w:r>
      <w:r w:rsidR="00893CC7" w:rsidRPr="00893CC7">
        <w:t xml:space="preserve"> (Supplemental Figures 12-13)</w:t>
      </w:r>
      <w:r w:rsidR="00361826" w:rsidRPr="00936EBB">
        <w:rPr>
          <w:color w:val="000000" w:themeColor="text1"/>
        </w:rPr>
        <w:t xml:space="preserve">; </w:t>
      </w:r>
      <w:r w:rsidR="00361826">
        <w:t>d</w:t>
      </w:r>
      <w:r w:rsidR="004C5C7B" w:rsidRPr="00781897">
        <w:t xml:space="preserve">) making </w:t>
      </w:r>
      <w:r w:rsidR="00D2150A" w:rsidRPr="00781897">
        <w:t xml:space="preserve">comparisons </w:t>
      </w:r>
      <w:r w:rsidR="001E3FE9" w:rsidRPr="00781897">
        <w:t>between</w:t>
      </w:r>
      <w:r w:rsidR="00D2150A" w:rsidRPr="00781897">
        <w:t xml:space="preserve"> second- and third-line therapie</w:t>
      </w:r>
      <w:r w:rsidR="006D3079" w:rsidRPr="00781897">
        <w:t>s could theoretically</w:t>
      </w:r>
      <w:r w:rsidR="00513537" w:rsidRPr="00781897">
        <w:t xml:space="preserve"> introduce time-lag bias</w:t>
      </w:r>
      <w:r w:rsidR="006D3079" w:rsidRPr="00781897">
        <w:t>es</w:t>
      </w:r>
      <w:r w:rsidR="00513537" w:rsidRPr="00781897">
        <w:t xml:space="preserve"> due to</w:t>
      </w:r>
      <w:r w:rsidR="00D2150A" w:rsidRPr="00781897">
        <w:t xml:space="preserve"> patients </w:t>
      </w:r>
      <w:r w:rsidR="00513537" w:rsidRPr="00781897">
        <w:t>being</w:t>
      </w:r>
      <w:r w:rsidR="00D2150A" w:rsidRPr="00781897">
        <w:t xml:space="preserve"> at different </w:t>
      </w:r>
      <w:r w:rsidR="001E3FE9" w:rsidRPr="00781897">
        <w:t xml:space="preserve">disease </w:t>
      </w:r>
      <w:r w:rsidR="00D2150A" w:rsidRPr="00781897">
        <w:t>stages</w:t>
      </w:r>
      <w:r w:rsidR="00513537" w:rsidRPr="00781897">
        <w:t xml:space="preserve">, but </w:t>
      </w:r>
      <w:r w:rsidR="00D2150A" w:rsidRPr="00781897">
        <w:t xml:space="preserve">we </w:t>
      </w:r>
      <w:r w:rsidR="00513537" w:rsidRPr="00781897">
        <w:t>reduced the</w:t>
      </w:r>
      <w:r w:rsidR="001E3FE9" w:rsidRPr="00781897">
        <w:t>se</w:t>
      </w:r>
      <w:r w:rsidR="00513537" w:rsidRPr="00781897">
        <w:t xml:space="preserve"> impact</w:t>
      </w:r>
      <w:r w:rsidR="001E3FE9" w:rsidRPr="00781897">
        <w:t>s</w:t>
      </w:r>
      <w:r w:rsidR="00513537" w:rsidRPr="00781897">
        <w:t xml:space="preserve"> </w:t>
      </w:r>
      <w:r w:rsidR="006D3079" w:rsidRPr="00781897">
        <w:t>by matching</w:t>
      </w:r>
      <w:r w:rsidR="00D2150A" w:rsidRPr="00781897">
        <w:t xml:space="preserve"> cases and controls on </w:t>
      </w:r>
      <w:r w:rsidR="001E3FE9" w:rsidRPr="00781897">
        <w:t xml:space="preserve">diabetes </w:t>
      </w:r>
      <w:r w:rsidR="00D2150A" w:rsidRPr="00781897">
        <w:t>duration</w:t>
      </w:r>
      <w:r w:rsidR="003B15BB" w:rsidRPr="00781897">
        <w:t xml:space="preserve"> and accounting for comorbidities and other drug treatments</w:t>
      </w:r>
      <w:r w:rsidR="001E3FE9" w:rsidRPr="00781897">
        <w:t xml:space="preserve">; </w:t>
      </w:r>
      <w:r w:rsidR="00361826">
        <w:t>e</w:t>
      </w:r>
      <w:r w:rsidR="00356794" w:rsidRPr="00781897">
        <w:t xml:space="preserve">) </w:t>
      </w:r>
      <w:r w:rsidR="00160F62" w:rsidRPr="00781897">
        <w:t xml:space="preserve">the potential beneficial effects of </w:t>
      </w:r>
      <w:r w:rsidR="00EF1F00" w:rsidRPr="00781897">
        <w:t>GLP-1RA</w:t>
      </w:r>
      <w:r w:rsidR="00160F62" w:rsidRPr="00781897">
        <w:t xml:space="preserve"> may be underestimated</w:t>
      </w:r>
      <w:r w:rsidR="004E32DA" w:rsidRPr="00781897">
        <w:t xml:space="preserve"> due to </w:t>
      </w:r>
      <w:r w:rsidR="00EF1F00" w:rsidRPr="00781897">
        <w:t>the drug latency period and the length of time patients were exposed to</w:t>
      </w:r>
      <w:r w:rsidR="004E32DA" w:rsidRPr="00781897">
        <w:t xml:space="preserve"> these regimens</w:t>
      </w:r>
      <w:r w:rsidR="00EF1F00" w:rsidRPr="00781897">
        <w:t xml:space="preserve"> in </w:t>
      </w:r>
      <w:r w:rsidR="00140385">
        <w:t>our</w:t>
      </w:r>
      <w:r w:rsidR="00EF1F00" w:rsidRPr="00781897">
        <w:t xml:space="preserve"> study. In clinical trials, </w:t>
      </w:r>
      <w:r w:rsidR="00140385">
        <w:t>clinical benefits were</w:t>
      </w:r>
      <w:r w:rsidR="005C705F" w:rsidRPr="00781897">
        <w:t xml:space="preserve"> generally more</w:t>
      </w:r>
      <w:r w:rsidR="00EF1F00" w:rsidRPr="00781897">
        <w:t xml:space="preserve"> evident with longer-term GLP-1RA treatment</w:t>
      </w:r>
      <w:r w:rsidR="00EF1F00" w:rsidRPr="00781897">
        <w:fldChar w:fldCharType="begin" w:fldLock="1"/>
      </w:r>
      <w:r w:rsidR="002622F3">
        <w:instrText>ADDIN CSL_CITATION {"citationItems":[{"id":"ITEM-1","itemData":{"DOI":"10.1136/postgradmedj-2019-137186","ISSN":"0032-5473","author":[{"dropping-particle":"","family":"Sheahan","given":"Kelsey H","non-dropping-particle":"","parse-names":false,"suffix":""},{"dropping-particle":"","family":"Wahlberg","given":"Elizabeth A","non-dropping-particle":"","parse-names":false,"suffix":""},{"dropping-particle":"","family":"Gilbert","given":"Matthew P","non-dropping-particle":"","parse-names":false,"suffix":""}],"container-title":"Postgraduate Medical Journal","id":"ITEM-1","issue":"1133","issued":{"date-parts":[["2020","3"]]},"page":"156-161","title":"An overview of GLP-1 agonists and recent cardiovascular outcomes trials","type":"article-journal","volume":"96"},"uris":["http://www.mendeley.com/documents/?uuid=4885f13e-fcf8-481e-8fa3-b9a80db6c7a0"]}],"mendeley":{"formattedCitation":"(56)","plainTextFormattedCitation":"(56)","previouslyFormattedCitation":"(56)"},"properties":{"noteIndex":0},"schema":"https://github.com/citation-style-language/schema/raw/master/csl-citation.json"}</w:instrText>
      </w:r>
      <w:r w:rsidR="00EF1F00" w:rsidRPr="00781897">
        <w:fldChar w:fldCharType="separate"/>
      </w:r>
      <w:r w:rsidR="002622F3" w:rsidRPr="002622F3">
        <w:rPr>
          <w:noProof/>
        </w:rPr>
        <w:t>(56)</w:t>
      </w:r>
      <w:r w:rsidR="00EF1F00" w:rsidRPr="00781897">
        <w:fldChar w:fldCharType="end"/>
      </w:r>
      <w:r w:rsidR="00356794" w:rsidRPr="00781897">
        <w:t xml:space="preserve">; </w:t>
      </w:r>
      <w:r w:rsidR="00361826">
        <w:t>f</w:t>
      </w:r>
      <w:r w:rsidR="004A0B1F" w:rsidRPr="00781897">
        <w:t xml:space="preserve">) the </w:t>
      </w:r>
      <w:r w:rsidR="001E3FE9" w:rsidRPr="00781897">
        <w:t xml:space="preserve">potential for </w:t>
      </w:r>
      <w:r w:rsidR="009E46AE" w:rsidRPr="00781897">
        <w:t>prescriber bias and clinical inertia</w:t>
      </w:r>
      <w:r w:rsidR="001E3FE9" w:rsidRPr="00781897">
        <w:t xml:space="preserve"> </w:t>
      </w:r>
      <w:r w:rsidR="009E46AE" w:rsidRPr="00781897">
        <w:t>affect</w:t>
      </w:r>
      <w:r w:rsidR="001E3FE9" w:rsidRPr="00781897">
        <w:t>ing</w:t>
      </w:r>
      <w:r w:rsidR="009E46AE" w:rsidRPr="00781897">
        <w:t xml:space="preserve"> drug-type initiation</w:t>
      </w:r>
      <w:r w:rsidR="00402B0A" w:rsidRPr="00781897">
        <w:t xml:space="preserve"> and</w:t>
      </w:r>
      <w:r w:rsidR="009E46AE" w:rsidRPr="00781897">
        <w:t xml:space="preserve"> exposure time; however, we mitigate</w:t>
      </w:r>
      <w:r w:rsidR="001E3FE9" w:rsidRPr="00781897">
        <w:t>d</w:t>
      </w:r>
      <w:r w:rsidR="009E46AE" w:rsidRPr="00781897">
        <w:t xml:space="preserve"> </w:t>
      </w:r>
      <w:r w:rsidR="00402B0A" w:rsidRPr="00781897">
        <w:t xml:space="preserve">some </w:t>
      </w:r>
      <w:r w:rsidR="009F61EF" w:rsidRPr="00781897">
        <w:t xml:space="preserve">of </w:t>
      </w:r>
      <w:r w:rsidR="009E46AE" w:rsidRPr="00781897">
        <w:t>these effects through</w:t>
      </w:r>
      <w:r w:rsidR="009F61EF" w:rsidRPr="00781897">
        <w:t xml:space="preserve"> the</w:t>
      </w:r>
      <w:r w:rsidR="009E46AE" w:rsidRPr="00781897">
        <w:t xml:space="preserve"> study design</w:t>
      </w:r>
      <w:r w:rsidR="009322F5" w:rsidRPr="00781897">
        <w:t xml:space="preserve"> including matching patients from within the same general practice</w:t>
      </w:r>
      <w:r w:rsidR="009E46AE" w:rsidRPr="00781897">
        <w:t xml:space="preserve"> and </w:t>
      </w:r>
      <w:r w:rsidR="006978C3" w:rsidRPr="00781897">
        <w:t>adjusting</w:t>
      </w:r>
      <w:r w:rsidR="009E46AE" w:rsidRPr="00781897">
        <w:t xml:space="preserve"> for </w:t>
      </w:r>
      <w:r w:rsidR="009E46AE" w:rsidRPr="00781897">
        <w:lastRenderedPageBreak/>
        <w:t>patient demographics and clinical characteristics</w:t>
      </w:r>
      <w:r w:rsidR="00FD16AF" w:rsidRPr="00781897">
        <w:t xml:space="preserve">; </w:t>
      </w:r>
      <w:r w:rsidR="00361826">
        <w:t>g</w:t>
      </w:r>
      <w:r w:rsidR="00D97780">
        <w:t xml:space="preserve">) </w:t>
      </w:r>
      <w:r w:rsidR="000A7ED7">
        <w:t xml:space="preserve">it was not feasible to </w:t>
      </w:r>
      <w:r w:rsidR="00D97780">
        <w:t xml:space="preserve">stratify by </w:t>
      </w:r>
      <w:r w:rsidR="00D97780" w:rsidRPr="000A7ED7">
        <w:t>duration of exposure to current regimens</w:t>
      </w:r>
      <w:r w:rsidR="000A7ED7" w:rsidRPr="000A7ED7">
        <w:t xml:space="preserve"> due to </w:t>
      </w:r>
      <w:r w:rsidR="000A7ED7" w:rsidRPr="000A7ED7">
        <w:rPr>
          <w:color w:val="000000"/>
        </w:rPr>
        <w:t>the large number of strata from covariate adjustment and small sample sizes within strata</w:t>
      </w:r>
      <w:r w:rsidR="00D97780" w:rsidRPr="000A7ED7">
        <w:t xml:space="preserve">; </w:t>
      </w:r>
      <w:r w:rsidR="00361826">
        <w:t>h</w:t>
      </w:r>
      <w:r w:rsidR="00D60E63" w:rsidRPr="000A7ED7">
        <w:t>)</w:t>
      </w:r>
      <w:r w:rsidR="00D60E63" w:rsidRPr="00781897">
        <w:t xml:space="preserve"> </w:t>
      </w:r>
      <w:r w:rsidR="00BF7C0A">
        <w:t xml:space="preserve">interpretation of </w:t>
      </w:r>
      <w:r w:rsidR="00F4776C">
        <w:t xml:space="preserve">treatment effects on </w:t>
      </w:r>
      <w:r w:rsidR="00F4776C" w:rsidRPr="00781897">
        <w:t xml:space="preserve">individual </w:t>
      </w:r>
      <w:r w:rsidR="00F4776C">
        <w:t>MACCE</w:t>
      </w:r>
      <w:r w:rsidR="00F4776C" w:rsidRPr="00781897">
        <w:t xml:space="preserve"> component</w:t>
      </w:r>
      <w:r w:rsidR="00F4776C">
        <w:t xml:space="preserve">s </w:t>
      </w:r>
      <w:r w:rsidR="00BF7C0A">
        <w:t xml:space="preserve">is cautioned due to </w:t>
      </w:r>
      <w:r w:rsidR="00140385">
        <w:t>having limited statistical</w:t>
      </w:r>
      <w:r w:rsidR="00D60E63" w:rsidRPr="00781897">
        <w:t xml:space="preserve"> power</w:t>
      </w:r>
      <w:r w:rsidR="00094831">
        <w:t>.</w:t>
      </w:r>
    </w:p>
    <w:p w14:paraId="7251BEEF" w14:textId="77777777" w:rsidR="00D2150A" w:rsidRPr="00781897" w:rsidRDefault="00D2150A" w:rsidP="00781897">
      <w:pPr>
        <w:spacing w:line="480" w:lineRule="auto"/>
        <w:contextualSpacing/>
        <w:rPr>
          <w:b/>
          <w:bCs/>
        </w:rPr>
      </w:pPr>
    </w:p>
    <w:p w14:paraId="30EA8C48" w14:textId="429EAF93" w:rsidR="006A3800" w:rsidRPr="00781897" w:rsidRDefault="006A3800" w:rsidP="00781897">
      <w:pPr>
        <w:spacing w:line="480" w:lineRule="auto"/>
        <w:contextualSpacing/>
        <w:rPr>
          <w:b/>
          <w:bCs/>
        </w:rPr>
      </w:pPr>
      <w:r w:rsidRPr="00781897">
        <w:rPr>
          <w:b/>
          <w:bCs/>
        </w:rPr>
        <w:t>C</w:t>
      </w:r>
      <w:r w:rsidR="00672721" w:rsidRPr="00781897">
        <w:rPr>
          <w:b/>
          <w:bCs/>
        </w:rPr>
        <w:t xml:space="preserve">linical implication on prescribing guidelines </w:t>
      </w:r>
    </w:p>
    <w:p w14:paraId="5F3C4B2C" w14:textId="39E63181" w:rsidR="00783C7C" w:rsidRPr="00783C7C" w:rsidRDefault="00C9639A" w:rsidP="00783C7C">
      <w:pPr>
        <w:spacing w:line="480" w:lineRule="auto"/>
      </w:pPr>
      <w:r w:rsidRPr="00781897">
        <w:t xml:space="preserve">ADA and EASD </w:t>
      </w:r>
      <w:r w:rsidR="008E6023" w:rsidRPr="00781897">
        <w:t>guidelines</w:t>
      </w:r>
      <w:r w:rsidR="00151912" w:rsidRPr="00781897">
        <w:t xml:space="preserve"> were </w:t>
      </w:r>
      <w:r w:rsidR="002E2334" w:rsidRPr="00781897">
        <w:t xml:space="preserve">recently </w:t>
      </w:r>
      <w:r w:rsidR="00151912" w:rsidRPr="00781897">
        <w:t>updated reflect</w:t>
      </w:r>
      <w:r w:rsidR="001E3FE9" w:rsidRPr="00781897">
        <w:t>ing</w:t>
      </w:r>
      <w:r w:rsidR="00151912" w:rsidRPr="00781897">
        <w:t xml:space="preserve"> </w:t>
      </w:r>
      <w:r w:rsidR="00F54249" w:rsidRPr="00781897">
        <w:t xml:space="preserve">current </w:t>
      </w:r>
      <w:r w:rsidR="00151912" w:rsidRPr="00781897">
        <w:t xml:space="preserve">evidence, with a </w:t>
      </w:r>
      <w:r w:rsidR="00F54249" w:rsidRPr="00781897">
        <w:t xml:space="preserve">new </w:t>
      </w:r>
      <w:r w:rsidR="00151912" w:rsidRPr="00781897">
        <w:t xml:space="preserve">recommendation </w:t>
      </w:r>
      <w:r w:rsidR="00D95EB1" w:rsidRPr="00781897">
        <w:t xml:space="preserve">to </w:t>
      </w:r>
      <w:r w:rsidR="00482C7C" w:rsidRPr="00781897">
        <w:t>use</w:t>
      </w:r>
      <w:r w:rsidR="00D95EB1" w:rsidRPr="00781897">
        <w:t xml:space="preserve"> these agents in </w:t>
      </w:r>
      <w:r w:rsidR="00482C7C" w:rsidRPr="00781897">
        <w:t>high</w:t>
      </w:r>
      <w:r w:rsidR="002E2334" w:rsidRPr="00781897">
        <w:t>-</w:t>
      </w:r>
      <w:r w:rsidR="00495DC2" w:rsidRPr="00781897">
        <w:t>risk</w:t>
      </w:r>
      <w:r w:rsidR="001E3FE9" w:rsidRPr="00781897">
        <w:t xml:space="preserve"> patients</w:t>
      </w:r>
      <w:r w:rsidR="00151912" w:rsidRPr="00781897">
        <w:t>.</w:t>
      </w:r>
      <w:r w:rsidR="00FE6735" w:rsidRPr="00781897">
        <w:fldChar w:fldCharType="begin" w:fldLock="1"/>
      </w:r>
      <w:r w:rsidR="002622F3">
        <w:instrText>ADDIN CSL_CITATION {"citationItems":[{"id":"ITEM-1","itemData":{"DOI":"10.2337/dci19-0066","ISSN":"0149-5992","author":[{"dropping-particle":"","family":"Buse","given":"John B.","non-dropping-particle":"","parse-names":false,"suffix":""},{"dropping-particle":"","family":"Wexler","given":"Deborah J.","non-dropping-particle":"","parse-names":false,"suffix":""},{"dropping-particle":"","family":"Tsapas","given":"Apostolos","non-dropping-particle":"","parse-names":false,"suffix":""},{"dropping-particle":"","family":"Rossing","given":"Peter","non-dropping-particle":"","parse-names":false,"suffix":""},{"dropping-particle":"","family":"Mingrone","given":"Geltrude","non-dropping-particle":"","parse-names":false,"suffix":""},{"dropping-particle":"","family":"Mathieu","given":"Chantal","non-dropping-particle":"","parse-names":false,"suffix":""},{"dropping-particle":"","family":"D’Alessio","given":"David A.","non-dropping-particle":"","parse-names":false,"suffix":""},{"dropping-particle":"","family":"Davies","given":"Melanie J.","non-dropping-particle":"","parse-names":false,"suffix":""}],"container-title":"Diabetes Care","id":"ITEM-1","issue":"2","issued":{"date-parts":[["2020","2"]]},"page":"487-493","title":"2019 Update to: Management of Hyperglycemia in Type 2 Diabetes, 2018. A Consensus Report by the American Diabetes Association (ADA) and the European Association for the Study of Diabetes (EASD)","type":"article-journal","volume":"43"},"uris":["http://www.mendeley.com/documents/?uuid=757b7318-f6aa-4bb0-b933-e03b2bca366f"]}],"mendeley":{"formattedCitation":"(44)","plainTextFormattedCitation":"(44)","previouslyFormattedCitation":"(44)"},"properties":{"noteIndex":0},"schema":"https://github.com/citation-style-language/schema/raw/master/csl-citation.json"}</w:instrText>
      </w:r>
      <w:r w:rsidR="00FE6735" w:rsidRPr="00781897">
        <w:fldChar w:fldCharType="separate"/>
      </w:r>
      <w:r w:rsidR="002622F3" w:rsidRPr="002622F3">
        <w:rPr>
          <w:noProof/>
        </w:rPr>
        <w:t>(44)</w:t>
      </w:r>
      <w:r w:rsidR="00FE6735" w:rsidRPr="00781897">
        <w:fldChar w:fldCharType="end"/>
      </w:r>
      <w:r w:rsidR="00AE158F" w:rsidRPr="00781897">
        <w:t xml:space="preserve"> </w:t>
      </w:r>
      <w:r w:rsidR="00F54249" w:rsidRPr="00781897">
        <w:t>The guideline</w:t>
      </w:r>
      <w:r w:rsidR="002E2334" w:rsidRPr="00781897">
        <w:t>s</w:t>
      </w:r>
      <w:r w:rsidR="00F54249" w:rsidRPr="00781897">
        <w:t xml:space="preserve"> highlight</w:t>
      </w:r>
      <w:r w:rsidR="00D67406" w:rsidRPr="00781897">
        <w:t xml:space="preserve"> that </w:t>
      </w:r>
      <w:r w:rsidR="002E2334" w:rsidRPr="00781897">
        <w:t>no studies have assessed CVD or renal benefits in</w:t>
      </w:r>
      <w:r w:rsidR="00D67406" w:rsidRPr="00781897">
        <w:t xml:space="preserve"> </w:t>
      </w:r>
      <w:r w:rsidR="002E2334" w:rsidRPr="00781897">
        <w:t xml:space="preserve">low-risk </w:t>
      </w:r>
      <w:r w:rsidR="00B608E7" w:rsidRPr="004849AB">
        <w:t>type 2 diabetes</w:t>
      </w:r>
      <w:r w:rsidR="00B608E7" w:rsidDel="005A498B">
        <w:rPr>
          <w:rStyle w:val="Strong"/>
          <w:b w:val="0"/>
          <w:bCs w:val="0"/>
        </w:rPr>
        <w:t xml:space="preserve"> </w:t>
      </w:r>
      <w:r w:rsidR="00D67406" w:rsidRPr="00781897">
        <w:t xml:space="preserve">patients. </w:t>
      </w:r>
      <w:r w:rsidR="006D7690" w:rsidRPr="00781897">
        <w:t>We</w:t>
      </w:r>
      <w:r w:rsidR="00D67406" w:rsidRPr="00781897">
        <w:t xml:space="preserve"> show that </w:t>
      </w:r>
      <w:r w:rsidR="008E6023" w:rsidRPr="00781897">
        <w:t>in primary prevention</w:t>
      </w:r>
      <w:r w:rsidR="00D67406" w:rsidRPr="00781897">
        <w:t xml:space="preserve">, </w:t>
      </w:r>
      <w:r w:rsidR="00C46F79" w:rsidRPr="00781897">
        <w:t xml:space="preserve">use of </w:t>
      </w:r>
      <w:r w:rsidR="00D67406" w:rsidRPr="00781897">
        <w:t>these agents</w:t>
      </w:r>
      <w:r w:rsidR="008E6023" w:rsidRPr="00781897">
        <w:t xml:space="preserve"> </w:t>
      </w:r>
      <w:r w:rsidR="00C46F79" w:rsidRPr="00781897">
        <w:t xml:space="preserve">is associated with lower </w:t>
      </w:r>
      <w:r w:rsidR="0024551A" w:rsidRPr="00781897">
        <w:t>odds</w:t>
      </w:r>
      <w:r w:rsidR="00495DC2" w:rsidRPr="00781897">
        <w:t xml:space="preserve"> of</w:t>
      </w:r>
      <w:r w:rsidR="00C46F79" w:rsidRPr="00781897">
        <w:t xml:space="preserve"> </w:t>
      </w:r>
      <w:r w:rsidR="00FA6376" w:rsidRPr="00781897">
        <w:t>MACCE</w:t>
      </w:r>
      <w:r w:rsidR="00C46F79" w:rsidRPr="00781897">
        <w:t xml:space="preserve"> (SGLT2i) and heart failure (SGLT2i and GLP-1RA) and that combina</w:t>
      </w:r>
      <w:r w:rsidR="008E6023" w:rsidRPr="00781897">
        <w:t>tion therapy could be</w:t>
      </w:r>
      <w:r w:rsidR="00C46F79" w:rsidRPr="00781897">
        <w:t xml:space="preserve"> </w:t>
      </w:r>
      <w:r w:rsidR="00C31127">
        <w:t xml:space="preserve">especially </w:t>
      </w:r>
      <w:r w:rsidR="00C46F79" w:rsidRPr="00781897">
        <w:t xml:space="preserve">useful to prevent </w:t>
      </w:r>
      <w:r w:rsidR="00FA6376" w:rsidRPr="00781897">
        <w:t>MACCE</w:t>
      </w:r>
      <w:r w:rsidR="00C46F79" w:rsidRPr="00781897">
        <w:t>.</w:t>
      </w:r>
      <w:r w:rsidR="00A25080" w:rsidRPr="00781897">
        <w:t xml:space="preserve"> </w:t>
      </w:r>
      <w:r w:rsidR="00FE2B17">
        <w:t>Ideally, c</w:t>
      </w:r>
      <w:r w:rsidR="00400605" w:rsidRPr="00783C7C">
        <w:t xml:space="preserve">onfirmation of </w:t>
      </w:r>
      <w:r w:rsidR="00381793">
        <w:t>these</w:t>
      </w:r>
      <w:r w:rsidR="00400605" w:rsidRPr="00783C7C">
        <w:t xml:space="preserve"> results </w:t>
      </w:r>
      <w:r w:rsidR="00FE2B17">
        <w:t>is</w:t>
      </w:r>
      <w:r w:rsidR="00400605" w:rsidRPr="00783C7C">
        <w:t xml:space="preserve"> needed before they can be incorporated into clinical decision-making</w:t>
      </w:r>
      <w:r w:rsidR="00400605">
        <w:t xml:space="preserve"> frameworks. </w:t>
      </w:r>
      <w:r w:rsidR="00646E1F" w:rsidRPr="00781897">
        <w:t xml:space="preserve">These data call for </w:t>
      </w:r>
      <w:r w:rsidR="00A25080" w:rsidRPr="00781897">
        <w:t>trials evaluat</w:t>
      </w:r>
      <w:r w:rsidR="006D7690" w:rsidRPr="00781897">
        <w:t>ing</w:t>
      </w:r>
      <w:r w:rsidR="00A25080" w:rsidRPr="00781897">
        <w:t xml:space="preserve"> </w:t>
      </w:r>
      <w:r w:rsidR="00FD16D8" w:rsidRPr="00781897">
        <w:t>efficacy and cost-effectiveness</w:t>
      </w:r>
      <w:r w:rsidR="00FD16D8">
        <w:t xml:space="preserve"> </w:t>
      </w:r>
      <w:r w:rsidR="00A25080" w:rsidRPr="00781897">
        <w:t xml:space="preserve">of these interventions </w:t>
      </w:r>
      <w:r w:rsidR="00FD16D8" w:rsidRPr="00781897">
        <w:t>and their combination</w:t>
      </w:r>
      <w:r w:rsidR="00367308">
        <w:t xml:space="preserve"> </w:t>
      </w:r>
      <w:r w:rsidR="00367308" w:rsidRPr="00781897">
        <w:t xml:space="preserve">in </w:t>
      </w:r>
      <w:r w:rsidR="00367308">
        <w:t>the primary prevention setting</w:t>
      </w:r>
      <w:r w:rsidR="00A25080" w:rsidRPr="00781897">
        <w:t>.</w:t>
      </w:r>
      <w:r w:rsidR="0012656D" w:rsidRPr="00781897">
        <w:t xml:space="preserve"> </w:t>
      </w:r>
      <w:r w:rsidR="00C47E62">
        <w:t xml:space="preserve">In view of the practical and economic issues associated with traditional trial designs, </w:t>
      </w:r>
      <w:r w:rsidR="00400605">
        <w:t xml:space="preserve">performing </w:t>
      </w:r>
      <w:r w:rsidR="00C47E62">
        <w:t>adequately powered p</w:t>
      </w:r>
      <w:r w:rsidR="00B92094" w:rsidRPr="00781897">
        <w:t>ragmatic</w:t>
      </w:r>
      <w:r w:rsidR="00B92094">
        <w:t xml:space="preserve"> trial</w:t>
      </w:r>
      <w:r w:rsidR="00C47E62">
        <w:t>s</w:t>
      </w:r>
      <w:r w:rsidR="00B92094">
        <w:t xml:space="preserve"> </w:t>
      </w:r>
      <w:r w:rsidR="00B92094" w:rsidRPr="00B92094">
        <w:t>embedded within health care systems</w:t>
      </w:r>
      <w:r w:rsidR="00B92094">
        <w:t xml:space="preserve"> </w:t>
      </w:r>
      <w:r w:rsidR="00C47E62">
        <w:t xml:space="preserve">would be </w:t>
      </w:r>
      <w:r w:rsidR="00400605">
        <w:t xml:space="preserve">an </w:t>
      </w:r>
      <w:r w:rsidR="00C47E62">
        <w:t>attractive</w:t>
      </w:r>
      <w:r w:rsidR="00400605">
        <w:t xml:space="preserve"> option</w:t>
      </w:r>
      <w:r w:rsidR="00C47E62">
        <w:t xml:space="preserve">. </w:t>
      </w:r>
      <w:r w:rsidR="00C35688" w:rsidRPr="00781897">
        <w:t xml:space="preserve">Whilst </w:t>
      </w:r>
      <w:r w:rsidR="005754BF" w:rsidRPr="00781897">
        <w:t>GLP-1</w:t>
      </w:r>
      <w:r w:rsidR="00CB2BBD" w:rsidRPr="00781897">
        <w:t>RA</w:t>
      </w:r>
      <w:r w:rsidR="00C35688" w:rsidRPr="00781897">
        <w:t xml:space="preserve"> </w:t>
      </w:r>
      <w:r w:rsidR="000A1171" w:rsidRPr="00781897">
        <w:t xml:space="preserve">and SGLT2i </w:t>
      </w:r>
      <w:r w:rsidR="00C35688" w:rsidRPr="00781897">
        <w:t xml:space="preserve">are </w:t>
      </w:r>
      <w:r w:rsidR="000F44FB" w:rsidRPr="00781897">
        <w:t>expensive</w:t>
      </w:r>
      <w:r w:rsidR="008E6023" w:rsidRPr="00781897">
        <w:t>,</w:t>
      </w:r>
      <w:r w:rsidR="00C35688" w:rsidRPr="00781897">
        <w:t xml:space="preserve"> </w:t>
      </w:r>
      <w:r w:rsidR="008E6023" w:rsidRPr="00781897">
        <w:t xml:space="preserve">the </w:t>
      </w:r>
      <w:r w:rsidR="00C616D8" w:rsidRPr="00781897">
        <w:t>cost-effective</w:t>
      </w:r>
      <w:r w:rsidR="008E6023" w:rsidRPr="00781897">
        <w:t xml:space="preserve">ness of </w:t>
      </w:r>
      <w:r w:rsidR="00B64BE2" w:rsidRPr="00781897">
        <w:t>such</w:t>
      </w:r>
      <w:r w:rsidR="00C616D8" w:rsidRPr="00781897">
        <w:t xml:space="preserve"> treatment option</w:t>
      </w:r>
      <w:r w:rsidR="008E6023" w:rsidRPr="00781897">
        <w:t>s</w:t>
      </w:r>
      <w:r w:rsidR="00B64BE2" w:rsidRPr="00781897">
        <w:t xml:space="preserve"> </w:t>
      </w:r>
      <w:r w:rsidR="00D70FAF" w:rsidRPr="00781897">
        <w:t xml:space="preserve">in the primary prevention setting </w:t>
      </w:r>
      <w:r w:rsidR="00B64BE2" w:rsidRPr="00781897">
        <w:t>will need</w:t>
      </w:r>
      <w:r w:rsidR="008E6023" w:rsidRPr="00781897">
        <w:t xml:space="preserve"> to be </w:t>
      </w:r>
      <w:r w:rsidR="00067DDA" w:rsidRPr="00781897">
        <w:t xml:space="preserve">examined </w:t>
      </w:r>
      <w:r w:rsidR="0012656D" w:rsidRPr="00781897">
        <w:t>as 80</w:t>
      </w:r>
      <w:r w:rsidR="00962F39" w:rsidRPr="00781897">
        <w:t xml:space="preserve">% </w:t>
      </w:r>
      <w:r w:rsidR="00C15BA7" w:rsidRPr="00781897">
        <w:t>of</w:t>
      </w:r>
      <w:r w:rsidR="0012656D" w:rsidRPr="00781897">
        <w:t xml:space="preserve"> diabetes care</w:t>
      </w:r>
      <w:r w:rsidR="00C64C45" w:rsidRPr="00781897">
        <w:t xml:space="preserve"> costs cover</w:t>
      </w:r>
      <w:r w:rsidR="0012656D" w:rsidRPr="00781897">
        <w:t xml:space="preserve"> managing complications, mostly CVD.</w:t>
      </w:r>
      <w:r w:rsidR="00D73D66" w:rsidRPr="00781897">
        <w:fldChar w:fldCharType="begin" w:fldLock="1"/>
      </w:r>
      <w:r w:rsidR="002622F3">
        <w:instrText>ADDIN CSL_CITATION {"citationItems":[{"id":"ITEM-1","itemData":{"author":[{"dropping-particle":"","family":"Diabetes UK","given":"","non-dropping-particle":"","parse-names":false,"suffix":""}],"id":"ITEM-1","issued":{"date-parts":[["2014"]]},"title":"The Cost of Diabetes Report","type":"report"},"uris":["http://www.mendeley.com/documents/?uuid=0285b949-322b-452a-9d1f-2b2941226123"]}],"mendeley":{"formattedCitation":"(57)","plainTextFormattedCitation":"(57)","previouslyFormattedCitation":"(57)"},"properties":{"noteIndex":0},"schema":"https://github.com/citation-style-language/schema/raw/master/csl-citation.json"}</w:instrText>
      </w:r>
      <w:r w:rsidR="00D73D66" w:rsidRPr="00781897">
        <w:fldChar w:fldCharType="separate"/>
      </w:r>
      <w:r w:rsidR="002622F3" w:rsidRPr="002622F3">
        <w:rPr>
          <w:noProof/>
        </w:rPr>
        <w:t>(57)</w:t>
      </w:r>
      <w:r w:rsidR="00D73D66" w:rsidRPr="00781897">
        <w:fldChar w:fldCharType="end"/>
      </w:r>
      <w:r w:rsidR="00783C7C" w:rsidRPr="00783C7C">
        <w:t xml:space="preserve"> </w:t>
      </w:r>
    </w:p>
    <w:p w14:paraId="7B10D33F" w14:textId="77777777" w:rsidR="008E6023" w:rsidRPr="00781897" w:rsidRDefault="008E6023" w:rsidP="00781897">
      <w:pPr>
        <w:spacing w:line="480" w:lineRule="auto"/>
        <w:contextualSpacing/>
      </w:pPr>
    </w:p>
    <w:p w14:paraId="1C107DD3" w14:textId="27749E3F" w:rsidR="006A3800" w:rsidRPr="00781897" w:rsidRDefault="00474312" w:rsidP="00781897">
      <w:pPr>
        <w:spacing w:line="480" w:lineRule="auto"/>
        <w:contextualSpacing/>
        <w:rPr>
          <w:b/>
        </w:rPr>
      </w:pPr>
      <w:r>
        <w:rPr>
          <w:b/>
        </w:rPr>
        <w:t>Summary</w:t>
      </w:r>
    </w:p>
    <w:p w14:paraId="47CF6775" w14:textId="34AB4F16" w:rsidR="00B811B0" w:rsidRDefault="001D1AA2" w:rsidP="002E5F0A">
      <w:pPr>
        <w:spacing w:line="480" w:lineRule="auto"/>
        <w:rPr>
          <w:b/>
        </w:rPr>
      </w:pPr>
      <w:r w:rsidRPr="00781897">
        <w:t xml:space="preserve">This study of </w:t>
      </w:r>
      <w:r w:rsidR="00110FA4" w:rsidRPr="00781897">
        <w:t>real-world data fro</w:t>
      </w:r>
      <w:r w:rsidR="00AA132D" w:rsidRPr="00781897">
        <w:t>m</w:t>
      </w:r>
      <w:r w:rsidR="00110FA4" w:rsidRPr="00781897">
        <w:t xml:space="preserve"> clinical practice</w:t>
      </w:r>
      <w:r w:rsidR="007F3EA3" w:rsidRPr="00781897">
        <w:t xml:space="preserve"> in </w:t>
      </w:r>
      <w:r w:rsidR="00C15BA7" w:rsidRPr="00781897">
        <w:t>type 2 diabetes</w:t>
      </w:r>
      <w:r w:rsidR="00110FA4" w:rsidRPr="00781897">
        <w:t xml:space="preserve">, </w:t>
      </w:r>
      <w:r w:rsidRPr="00781897">
        <w:t>suggests</w:t>
      </w:r>
      <w:r w:rsidR="00AA132D" w:rsidRPr="00781897">
        <w:t xml:space="preserve"> that in primary prevention, </w:t>
      </w:r>
      <w:r w:rsidR="001C71F1" w:rsidRPr="00781897">
        <w:t xml:space="preserve">current use of </w:t>
      </w:r>
      <w:r w:rsidR="00AA132D" w:rsidRPr="00781897">
        <w:t xml:space="preserve">SGLT2i was </w:t>
      </w:r>
      <w:r w:rsidR="00CD2CBD" w:rsidRPr="00781897">
        <w:t xml:space="preserve">associated with </w:t>
      </w:r>
      <w:r w:rsidR="002440E1">
        <w:t>18</w:t>
      </w:r>
      <w:r w:rsidR="00CD2CBD" w:rsidRPr="00781897">
        <w:t>%</w:t>
      </w:r>
      <w:r w:rsidR="00110FA4" w:rsidRPr="00781897">
        <w:t xml:space="preserve"> </w:t>
      </w:r>
      <w:r w:rsidR="00AA132D" w:rsidRPr="00781897">
        <w:t>lo</w:t>
      </w:r>
      <w:r w:rsidR="00B14CC9" w:rsidRPr="00781897">
        <w:t xml:space="preserve">wer </w:t>
      </w:r>
      <w:r w:rsidR="0024551A" w:rsidRPr="00781897">
        <w:t>odds</w:t>
      </w:r>
      <w:r w:rsidR="00495DC2" w:rsidRPr="00781897">
        <w:t xml:space="preserve"> of</w:t>
      </w:r>
      <w:r w:rsidR="00CD2CBD" w:rsidRPr="00781897">
        <w:t xml:space="preserve"> </w:t>
      </w:r>
      <w:r w:rsidR="00FA6376" w:rsidRPr="00781897">
        <w:t>MACCE</w:t>
      </w:r>
      <w:r w:rsidR="00CD2CBD" w:rsidRPr="00781897">
        <w:t>,</w:t>
      </w:r>
      <w:r w:rsidR="00AA132D" w:rsidRPr="00781897">
        <w:t xml:space="preserve"> </w:t>
      </w:r>
      <w:r w:rsidR="007F3EA3" w:rsidRPr="00781897">
        <w:t xml:space="preserve">and </w:t>
      </w:r>
      <w:r w:rsidR="005A7A09" w:rsidRPr="00781897">
        <w:t xml:space="preserve">the </w:t>
      </w:r>
      <w:r w:rsidR="0024551A" w:rsidRPr="00781897">
        <w:t>odds</w:t>
      </w:r>
      <w:r w:rsidR="00495DC2" w:rsidRPr="00781897">
        <w:t xml:space="preserve"> of</w:t>
      </w:r>
      <w:r w:rsidR="007F3EA3" w:rsidRPr="00781897">
        <w:t xml:space="preserve"> </w:t>
      </w:r>
      <w:r w:rsidR="00CD2CBD" w:rsidRPr="00781897">
        <w:t xml:space="preserve">heart failure </w:t>
      </w:r>
      <w:r w:rsidR="00C15BA7" w:rsidRPr="00781897">
        <w:t>were</w:t>
      </w:r>
      <w:r w:rsidR="00CD2CBD" w:rsidRPr="00781897">
        <w:t xml:space="preserve"> </w:t>
      </w:r>
      <w:r w:rsidR="002440E1">
        <w:t>51</w:t>
      </w:r>
      <w:r w:rsidR="00CD2CBD" w:rsidRPr="00781897">
        <w:t>% lower with</w:t>
      </w:r>
      <w:r w:rsidR="00AA132D" w:rsidRPr="00781897">
        <w:t xml:space="preserve"> </w:t>
      </w:r>
      <w:r w:rsidR="001C71F1" w:rsidRPr="00781897">
        <w:t xml:space="preserve">current use of </w:t>
      </w:r>
      <w:r w:rsidR="00AA132D" w:rsidRPr="00781897">
        <w:t xml:space="preserve">SGLT2i and </w:t>
      </w:r>
      <w:r w:rsidR="002440E1">
        <w:t>18</w:t>
      </w:r>
      <w:r w:rsidR="00CD2CBD" w:rsidRPr="00781897">
        <w:t xml:space="preserve">% lower </w:t>
      </w:r>
      <w:r w:rsidR="00CD2CBD" w:rsidRPr="00781897">
        <w:lastRenderedPageBreak/>
        <w:t xml:space="preserve">with </w:t>
      </w:r>
      <w:r w:rsidR="001C71F1" w:rsidRPr="00781897">
        <w:t xml:space="preserve">current use of </w:t>
      </w:r>
      <w:r w:rsidR="00CD2CBD" w:rsidRPr="00781897">
        <w:t>GLP-1RA therapy</w:t>
      </w:r>
      <w:r w:rsidR="00B14CC9" w:rsidRPr="00781897">
        <w:t>.</w:t>
      </w:r>
      <w:r w:rsidR="00AD45BA" w:rsidRPr="00781897">
        <w:t xml:space="preserve"> </w:t>
      </w:r>
      <w:r w:rsidR="00B14CC9" w:rsidRPr="00781897">
        <w:t>Clinical trials</w:t>
      </w:r>
      <w:r w:rsidR="0048430D" w:rsidRPr="00781897">
        <w:t xml:space="preserve"> of these agents and their combination are called for in </w:t>
      </w:r>
      <w:r w:rsidR="00FD16D8">
        <w:t xml:space="preserve">the primary prevention setting </w:t>
      </w:r>
      <w:r w:rsidR="0048430D" w:rsidRPr="00781897">
        <w:t>to evaluate efficacy and cost-effectiveness</w:t>
      </w:r>
      <w:r w:rsidR="001A2EAB">
        <w:t>.</w:t>
      </w:r>
    </w:p>
    <w:p w14:paraId="4F3F7569" w14:textId="77777777" w:rsidR="00B811B0" w:rsidRDefault="00B811B0" w:rsidP="002E5F0A">
      <w:pPr>
        <w:spacing w:line="480" w:lineRule="auto"/>
        <w:rPr>
          <w:b/>
        </w:rPr>
      </w:pPr>
    </w:p>
    <w:p w14:paraId="11340438" w14:textId="68DE6E59" w:rsidR="00B811B0" w:rsidRDefault="00774AE4" w:rsidP="002E5F0A">
      <w:pPr>
        <w:spacing w:line="480" w:lineRule="auto"/>
        <w:rPr>
          <w:b/>
        </w:rPr>
      </w:pPr>
      <w:r>
        <w:rPr>
          <w:b/>
        </w:rPr>
        <w:t>ACKNOWLEDGMENTS</w:t>
      </w:r>
    </w:p>
    <w:p w14:paraId="22BF7F96" w14:textId="7C8978E7" w:rsidR="001A2EAB" w:rsidRPr="002E5F0A" w:rsidRDefault="004C3DBD" w:rsidP="002E5F0A">
      <w:pPr>
        <w:spacing w:line="480" w:lineRule="auto"/>
      </w:pPr>
      <w:r w:rsidRPr="00BC6E0E">
        <w:rPr>
          <w:b/>
        </w:rPr>
        <w:t>Author Contributions:</w:t>
      </w:r>
      <w:r w:rsidR="00BC6E0E" w:rsidRPr="00BC6E0E">
        <w:rPr>
          <w:b/>
        </w:rPr>
        <w:t xml:space="preserve"> </w:t>
      </w:r>
      <w:r w:rsidR="00BC6E0E" w:rsidRPr="00BC6E0E">
        <w:t xml:space="preserve">MKR conceptualised the research question. MKR, DMA, AKW and MJC contributed to the development of the idea, study design and statistical analysis. EK, LL, HT, RE, IB, MAM, TVS and NS advised on the study design and statistical analysis plan. AKW drafted the study protocol; MKR, DMA, EK, RE, IB, MM, TVS and NS contributed </w:t>
      </w:r>
      <w:r w:rsidR="00BC6E0E" w:rsidRPr="002E5F0A">
        <w:t>to the study protocol. AKW extracted the data, AKW and MJC performed the statistical analysis. AKW had access to, and verified, the underlying data. AKW and MKR drafted the manuscript. All authors interpreted the data, reviewed and revised the manuscript and approved the final version to be published.</w:t>
      </w:r>
      <w:r w:rsidR="002E5F0A" w:rsidRPr="002E5F0A">
        <w:t xml:space="preserve"> The guarantor, AKW, affirms that the manuscript is an honest, accurate, and transparent account of the study being reported; that no important aspects of the study have been omitted; and that any discrepancies from the study as planned have been explained.</w:t>
      </w:r>
    </w:p>
    <w:p w14:paraId="68C576C9" w14:textId="77777777" w:rsidR="004C3DBD" w:rsidRDefault="004C3DBD" w:rsidP="00781897">
      <w:pPr>
        <w:tabs>
          <w:tab w:val="left" w:pos="5032"/>
        </w:tabs>
        <w:spacing w:line="480" w:lineRule="auto"/>
        <w:contextualSpacing/>
        <w:rPr>
          <w:b/>
        </w:rPr>
      </w:pPr>
    </w:p>
    <w:p w14:paraId="77982FCD" w14:textId="734B7100" w:rsidR="00FD1A57" w:rsidRPr="00241D3C" w:rsidRDefault="005A359E" w:rsidP="00241D3C">
      <w:pPr>
        <w:tabs>
          <w:tab w:val="left" w:pos="5032"/>
        </w:tabs>
        <w:spacing w:line="480" w:lineRule="auto"/>
        <w:contextualSpacing/>
      </w:pPr>
      <w:r w:rsidRPr="00781897">
        <w:rPr>
          <w:b/>
        </w:rPr>
        <w:t xml:space="preserve">Sources of </w:t>
      </w:r>
      <w:r w:rsidR="00FD1A57" w:rsidRPr="00781897">
        <w:rPr>
          <w:b/>
        </w:rPr>
        <w:t>Funding</w:t>
      </w:r>
      <w:r w:rsidR="00FD1A57" w:rsidRPr="00781897">
        <w:t xml:space="preserve">: This study was funded by Diabetes UK (BDA: 14/0004971). </w:t>
      </w:r>
      <w:r w:rsidR="00FD1A57" w:rsidRPr="00781897">
        <w:rPr>
          <w:color w:val="000000" w:themeColor="text1"/>
        </w:rPr>
        <w:t xml:space="preserve">We </w:t>
      </w:r>
      <w:r w:rsidR="00241D3C">
        <w:rPr>
          <w:color w:val="000000" w:themeColor="text1"/>
        </w:rPr>
        <w:t xml:space="preserve">also </w:t>
      </w:r>
      <w:r w:rsidR="00FD1A57" w:rsidRPr="00781897">
        <w:rPr>
          <w:color w:val="000000" w:themeColor="text1"/>
        </w:rPr>
        <w:t xml:space="preserve">acknowledge financial support from Medical Research Council </w:t>
      </w:r>
      <w:r w:rsidR="00241D3C">
        <w:rPr>
          <w:color w:val="000000" w:themeColor="text1"/>
        </w:rPr>
        <w:t xml:space="preserve">(MRC) </w:t>
      </w:r>
      <w:r w:rsidR="00FD1A57" w:rsidRPr="00781897">
        <w:rPr>
          <w:color w:val="000000" w:themeColor="text1"/>
        </w:rPr>
        <w:t xml:space="preserve">Health </w:t>
      </w:r>
      <w:proofErr w:type="spellStart"/>
      <w:r w:rsidR="00FD1A57" w:rsidRPr="00781897">
        <w:rPr>
          <w:color w:val="000000" w:themeColor="text1"/>
        </w:rPr>
        <w:t>eResearch</w:t>
      </w:r>
      <w:proofErr w:type="spellEnd"/>
      <w:r w:rsidR="00FD1A57" w:rsidRPr="00781897">
        <w:rPr>
          <w:color w:val="000000" w:themeColor="text1"/>
        </w:rPr>
        <w:t xml:space="preserve"> Centre Grant </w:t>
      </w:r>
      <w:r w:rsidR="00FD1A57" w:rsidRPr="00781897">
        <w:rPr>
          <w:color w:val="000000"/>
        </w:rPr>
        <w:t xml:space="preserve">MR/K006665/1 </w:t>
      </w:r>
      <w:r w:rsidR="00FD1A57" w:rsidRPr="00781897">
        <w:rPr>
          <w:color w:val="000000" w:themeColor="text1"/>
        </w:rPr>
        <w:t>and Methodology award MR/T025085/1.</w:t>
      </w:r>
      <w:r w:rsidR="00241D3C">
        <w:rPr>
          <w:color w:val="000000" w:themeColor="text1"/>
        </w:rPr>
        <w:t xml:space="preserve"> MJC and DMA are funded by the National Institute for Health Research (NIHR) Greater Manchester Patient Safety Translational Research Centre (award number: </w:t>
      </w:r>
      <w:r w:rsidR="00241D3C" w:rsidRPr="00241D3C">
        <w:rPr>
          <w:color w:val="000000" w:themeColor="text1"/>
        </w:rPr>
        <w:t>PSTRC-2016-003).</w:t>
      </w:r>
      <w:r w:rsidR="00FD1A57" w:rsidRPr="00781897">
        <w:rPr>
          <w:color w:val="000000" w:themeColor="text1"/>
        </w:rPr>
        <w:t xml:space="preserve"> </w:t>
      </w:r>
      <w:r w:rsidR="00FD1A57" w:rsidRPr="00781897">
        <w:t>The views expressed are those of the authors and not necessarily those of Diabetes UK</w:t>
      </w:r>
      <w:r w:rsidR="00241D3C">
        <w:t>, MRC, NIHR or the Department of Health and Social Care</w:t>
      </w:r>
      <w:r w:rsidR="00FD1A57" w:rsidRPr="00781897">
        <w:t>. The funders had no role in the design and conduct of the study; collection, management, analysis, and interpretation of the data; preparation, review, or approval of the manuscript and decision to submit the manuscript for publication.</w:t>
      </w:r>
    </w:p>
    <w:p w14:paraId="43825239" w14:textId="53D32BD9" w:rsidR="006B630A" w:rsidRPr="00781897" w:rsidRDefault="006B630A" w:rsidP="00781897">
      <w:pPr>
        <w:tabs>
          <w:tab w:val="left" w:pos="5032"/>
        </w:tabs>
        <w:spacing w:line="480" w:lineRule="auto"/>
        <w:contextualSpacing/>
        <w:rPr>
          <w:b/>
        </w:rPr>
      </w:pPr>
    </w:p>
    <w:p w14:paraId="7C3A9C59" w14:textId="51579CDC" w:rsidR="0080063C" w:rsidRPr="00781897" w:rsidRDefault="004C3DBD" w:rsidP="00781897">
      <w:pPr>
        <w:spacing w:line="480" w:lineRule="auto"/>
      </w:pPr>
      <w:r>
        <w:rPr>
          <w:b/>
          <w:bCs/>
        </w:rPr>
        <w:t>Conflict of interest</w:t>
      </w:r>
      <w:r w:rsidR="000C40D5" w:rsidRPr="00781897">
        <w:rPr>
          <w:b/>
          <w:bCs/>
        </w:rPr>
        <w:t xml:space="preserve">: </w:t>
      </w:r>
      <w:r w:rsidR="007D5B1E" w:rsidRPr="00781897">
        <w:t xml:space="preserve">All authors have completed the ICMJE uniform disclosure </w:t>
      </w:r>
      <w:r w:rsidR="007D5B1E" w:rsidRPr="00781897">
        <w:rPr>
          <w:color w:val="000000" w:themeColor="text1"/>
        </w:rPr>
        <w:t xml:space="preserve">form at </w:t>
      </w:r>
      <w:hyperlink r:id="rId12" w:history="1">
        <w:r w:rsidR="007D5B1E" w:rsidRPr="00781897">
          <w:rPr>
            <w:rStyle w:val="Hyperlink"/>
            <w:color w:val="000000" w:themeColor="text1"/>
          </w:rPr>
          <w:t>www.icmje.org/coi_disclosure.pdf</w:t>
        </w:r>
      </w:hyperlink>
      <w:r w:rsidR="002A6F1A" w:rsidRPr="00781897">
        <w:rPr>
          <w:color w:val="000000" w:themeColor="text1"/>
        </w:rPr>
        <w:t xml:space="preserve">. </w:t>
      </w:r>
      <w:r w:rsidR="007D5B1E" w:rsidRPr="00781897">
        <w:t xml:space="preserve">DMA reports research funding from AbbVie, </w:t>
      </w:r>
      <w:proofErr w:type="spellStart"/>
      <w:r w:rsidR="007D5B1E" w:rsidRPr="00781897">
        <w:t>Almirall</w:t>
      </w:r>
      <w:proofErr w:type="spellEnd"/>
      <w:r w:rsidR="007D5B1E" w:rsidRPr="00781897">
        <w:t>, Celgene, Eli Lilly,</w:t>
      </w:r>
      <w:r w:rsidR="00E12CC5">
        <w:t xml:space="preserve"> Janssen,</w:t>
      </w:r>
      <w:r w:rsidR="007D5B1E" w:rsidRPr="00781897">
        <w:t xml:space="preserve"> Novartis, UCB and the Leo Foundation outside the submitted work. MKR has received non-promotional </w:t>
      </w:r>
      <w:r w:rsidR="00AB332F" w:rsidRPr="00781897">
        <w:t>speaker</w:t>
      </w:r>
      <w:r w:rsidR="007D5B1E" w:rsidRPr="00781897">
        <w:t xml:space="preserve"> fees from Novo Nordisk</w:t>
      </w:r>
      <w:r w:rsidR="00AB332F" w:rsidRPr="00781897">
        <w:t xml:space="preserve">, </w:t>
      </w:r>
      <w:r w:rsidR="007D5B1E" w:rsidRPr="00781897">
        <w:t xml:space="preserve">consultancy fees from </w:t>
      </w:r>
      <w:r w:rsidR="00AB332F" w:rsidRPr="00781897">
        <w:t>Cell Catapult</w:t>
      </w:r>
      <w:r w:rsidR="007D5B1E" w:rsidRPr="00781897">
        <w:t xml:space="preserve"> and Roche Diabetes Care, and modest owning of shares in GlaxoSmithKline</w:t>
      </w:r>
      <w:r w:rsidR="00AB332F" w:rsidRPr="00781897">
        <w:t>, outside the submitted work</w:t>
      </w:r>
      <w:r w:rsidR="007D5B1E" w:rsidRPr="00781897">
        <w:t xml:space="preserve">. </w:t>
      </w:r>
      <w:r w:rsidR="00682BE3" w:rsidRPr="00781897">
        <w:rPr>
          <w:rStyle w:val="Emphasis"/>
          <w:i w:val="0"/>
        </w:rPr>
        <w:t xml:space="preserve">IB reports </w:t>
      </w:r>
      <w:r w:rsidR="00AB332F" w:rsidRPr="00781897">
        <w:rPr>
          <w:rStyle w:val="Emphasis"/>
          <w:i w:val="0"/>
        </w:rPr>
        <w:t>grants from the National Institute for Health Research during the conduct of the study and personal fees from AstraZeneca</w:t>
      </w:r>
      <w:r w:rsidR="00243A88" w:rsidRPr="00781897">
        <w:rPr>
          <w:rStyle w:val="Emphasis"/>
          <w:i w:val="0"/>
        </w:rPr>
        <w:t xml:space="preserve"> (chief data scientist advisor)</w:t>
      </w:r>
      <w:r w:rsidR="00682BE3" w:rsidRPr="00781897">
        <w:t xml:space="preserve"> outside the submitted work</w:t>
      </w:r>
      <w:r w:rsidR="00682BE3" w:rsidRPr="00781897">
        <w:rPr>
          <w:rStyle w:val="Emphasis"/>
          <w:i w:val="0"/>
        </w:rPr>
        <w:t>. NS reports grants and personal fees from Boehringer Ingelheim and personal fees from Amgen</w:t>
      </w:r>
      <w:r w:rsidR="002A6F1A" w:rsidRPr="00781897">
        <w:rPr>
          <w:rStyle w:val="Emphasis"/>
          <w:i w:val="0"/>
        </w:rPr>
        <w:t xml:space="preserve"> (advisory board and speaker honoraria)</w:t>
      </w:r>
      <w:r w:rsidR="00682BE3" w:rsidRPr="00781897">
        <w:rPr>
          <w:rStyle w:val="Emphasis"/>
          <w:i w:val="0"/>
        </w:rPr>
        <w:t>, AstraZeneca</w:t>
      </w:r>
      <w:r w:rsidR="002A6F1A" w:rsidRPr="00781897">
        <w:rPr>
          <w:rStyle w:val="Emphasis"/>
          <w:i w:val="0"/>
        </w:rPr>
        <w:t xml:space="preserve"> (advisory board and speaker honoraria)</w:t>
      </w:r>
      <w:r w:rsidR="00682BE3" w:rsidRPr="00781897">
        <w:rPr>
          <w:rStyle w:val="Emphasis"/>
          <w:i w:val="0"/>
        </w:rPr>
        <w:t>, Eli Lilly</w:t>
      </w:r>
      <w:r w:rsidR="002A6F1A" w:rsidRPr="00781897">
        <w:rPr>
          <w:rStyle w:val="Emphasis"/>
          <w:i w:val="0"/>
        </w:rPr>
        <w:t xml:space="preserve"> (advisory board and speaker honoraria)</w:t>
      </w:r>
      <w:r w:rsidR="00682BE3" w:rsidRPr="00781897">
        <w:rPr>
          <w:rStyle w:val="Emphasis"/>
          <w:i w:val="0"/>
        </w:rPr>
        <w:t>,</w:t>
      </w:r>
      <w:r w:rsidR="002A6F1A" w:rsidRPr="00781897">
        <w:rPr>
          <w:rStyle w:val="Emphasis"/>
          <w:i w:val="0"/>
        </w:rPr>
        <w:t xml:space="preserve"> Merck Sharp &amp; Dohme (advisory board), Novartis (advisory board)</w:t>
      </w:r>
      <w:r w:rsidR="00682BE3" w:rsidRPr="00781897">
        <w:rPr>
          <w:rStyle w:val="Emphasis"/>
          <w:i w:val="0"/>
        </w:rPr>
        <w:t>, Novo Nordisk</w:t>
      </w:r>
      <w:r w:rsidR="002A6F1A" w:rsidRPr="00781897">
        <w:rPr>
          <w:rStyle w:val="Emphasis"/>
          <w:i w:val="0"/>
        </w:rPr>
        <w:t xml:space="preserve"> (advisory board and speaker honoraria), Pfizer</w:t>
      </w:r>
      <w:r w:rsidR="00682BE3" w:rsidRPr="00781897">
        <w:rPr>
          <w:rStyle w:val="Emphasis"/>
          <w:i w:val="0"/>
        </w:rPr>
        <w:t xml:space="preserve"> </w:t>
      </w:r>
      <w:r w:rsidR="002A6F1A" w:rsidRPr="00781897">
        <w:rPr>
          <w:rStyle w:val="Emphasis"/>
          <w:i w:val="0"/>
        </w:rPr>
        <w:t xml:space="preserve">(advisory board) </w:t>
      </w:r>
      <w:r w:rsidR="00682BE3" w:rsidRPr="00781897">
        <w:rPr>
          <w:rStyle w:val="Emphasis"/>
          <w:i w:val="0"/>
        </w:rPr>
        <w:t>and Sanofi</w:t>
      </w:r>
      <w:r w:rsidR="002A6F1A" w:rsidRPr="00781897">
        <w:rPr>
          <w:rStyle w:val="Emphasis"/>
          <w:i w:val="0"/>
        </w:rPr>
        <w:t xml:space="preserve"> (advisory board and speaker honoraria)</w:t>
      </w:r>
      <w:r w:rsidR="00682BE3" w:rsidRPr="00781897">
        <w:rPr>
          <w:rStyle w:val="Emphasis"/>
          <w:i w:val="0"/>
        </w:rPr>
        <w:t xml:space="preserve">, outside the submitted work. </w:t>
      </w:r>
      <w:r w:rsidR="007D5B1E" w:rsidRPr="00781897">
        <w:t>All other authors declare no competing interests. There are no other relationships or activities that could appear to have influenced the submitted work.</w:t>
      </w:r>
    </w:p>
    <w:p w14:paraId="561DDE4E" w14:textId="77777777" w:rsidR="0080063C" w:rsidRPr="00781897" w:rsidRDefault="0080063C" w:rsidP="00781897">
      <w:pPr>
        <w:spacing w:line="480" w:lineRule="auto"/>
      </w:pPr>
    </w:p>
    <w:p w14:paraId="45045B26" w14:textId="299CB78E" w:rsidR="009B7906" w:rsidRPr="00781897" w:rsidRDefault="009B7906" w:rsidP="00781897">
      <w:pPr>
        <w:spacing w:line="480" w:lineRule="auto"/>
        <w:contextualSpacing/>
        <w:rPr>
          <w:u w:val="single"/>
        </w:rPr>
      </w:pPr>
      <w:r w:rsidRPr="00781897">
        <w:rPr>
          <w:b/>
        </w:rPr>
        <w:t>Data Sharing</w:t>
      </w:r>
      <w:r w:rsidRPr="00781897">
        <w:t xml:space="preserve">: Read and ICD codes used are publicly available at The </w:t>
      </w:r>
      <w:proofErr w:type="spellStart"/>
      <w:r w:rsidRPr="00781897">
        <w:t>ClinicalCodes</w:t>
      </w:r>
      <w:proofErr w:type="spellEnd"/>
      <w:r w:rsidRPr="00781897">
        <w:t xml:space="preserve"> repository and can be accessed at  </w:t>
      </w:r>
      <w:hyperlink r:id="rId13" w:history="1">
        <w:r w:rsidRPr="00781897">
          <w:rPr>
            <w:rStyle w:val="Hyperlink"/>
            <w:color w:val="auto"/>
          </w:rPr>
          <w:t>https://clinicalcodes.rss.mhs.man.ac.uk/</w:t>
        </w:r>
      </w:hyperlink>
      <w:r w:rsidRPr="00781897">
        <w:t>. Electronic health records are, by definition, considered “sensitive” data in the UK by the Data Protection Act and cannot be shared via public deposition because of information governance restriction in place to protect patient confidentiality. Access to data is available only once approval has been obtained through the individual constituent entities controlling access to the data. The primary care data can be requested via application to the Clinical Practice Research Datalink (</w:t>
      </w:r>
      <w:hyperlink r:id="rId14" w:history="1">
        <w:r w:rsidRPr="00781897">
          <w:rPr>
            <w:rStyle w:val="Hyperlink"/>
            <w:color w:val="auto"/>
          </w:rPr>
          <w:t>https://www.cprd.com</w:t>
        </w:r>
      </w:hyperlink>
      <w:r w:rsidRPr="00781897">
        <w:t xml:space="preserve">); secondary care data can be requested via application to the </w:t>
      </w:r>
      <w:r w:rsidRPr="00781897">
        <w:rPr>
          <w:color w:val="000000" w:themeColor="text1"/>
        </w:rPr>
        <w:t xml:space="preserve">hospital </w:t>
      </w:r>
      <w:r w:rsidRPr="00781897">
        <w:rPr>
          <w:color w:val="000000" w:themeColor="text1"/>
        </w:rPr>
        <w:lastRenderedPageBreak/>
        <w:t>episode statistics from the UK Health and Social Care Information Centre (</w:t>
      </w:r>
      <w:hyperlink r:id="rId15" w:history="1">
        <w:r w:rsidR="00886042" w:rsidRPr="00781897">
          <w:rPr>
            <w:rStyle w:val="Hyperlink"/>
            <w:color w:val="000000" w:themeColor="text1"/>
          </w:rPr>
          <w:t>www.hscic.gov.uk/hesdata</w:t>
        </w:r>
      </w:hyperlink>
      <w:r w:rsidR="00886042" w:rsidRPr="00781897">
        <w:rPr>
          <w:color w:val="000000" w:themeColor="text1"/>
        </w:rPr>
        <w:t>)</w:t>
      </w:r>
      <w:r w:rsidRPr="00781897">
        <w:rPr>
          <w:color w:val="000000" w:themeColor="text1"/>
        </w:rPr>
        <w:t>; and mortality data are available by application to the UK Office for National Statistics (</w:t>
      </w:r>
      <w:hyperlink r:id="rId16" w:history="1">
        <w:r w:rsidR="00886042" w:rsidRPr="00781897">
          <w:rPr>
            <w:rStyle w:val="Hyperlink"/>
            <w:color w:val="000000" w:themeColor="text1"/>
          </w:rPr>
          <w:t>www.ons.gov.uk/ons/index.html</w:t>
        </w:r>
      </w:hyperlink>
      <w:r w:rsidR="00886042" w:rsidRPr="00781897">
        <w:rPr>
          <w:color w:val="000000" w:themeColor="text1"/>
        </w:rPr>
        <w:t>).</w:t>
      </w:r>
    </w:p>
    <w:p w14:paraId="5329A9EE" w14:textId="77777777" w:rsidR="009B7906" w:rsidRPr="00781897" w:rsidRDefault="009B7906" w:rsidP="00781897">
      <w:pPr>
        <w:spacing w:line="480" w:lineRule="auto"/>
        <w:contextualSpacing/>
      </w:pPr>
    </w:p>
    <w:p w14:paraId="0068E33C" w14:textId="1650B91E" w:rsidR="009B7906" w:rsidRPr="00781897" w:rsidRDefault="009B7906" w:rsidP="00781897">
      <w:pPr>
        <w:spacing w:line="480" w:lineRule="auto"/>
        <w:contextualSpacing/>
        <w:rPr>
          <w:b/>
          <w:u w:val="single"/>
        </w:rPr>
      </w:pPr>
      <w:r w:rsidRPr="00781897">
        <w:rPr>
          <w:b/>
        </w:rPr>
        <w:t xml:space="preserve">Ethical Approval: </w:t>
      </w:r>
      <w:r w:rsidRPr="00781897">
        <w:t>This study is based in part on data from the Clinical Practice Research Datalink obtained under licence from the UK Medicines and Healthcare products Regulatory Agency. The data is provided by patients and collected by the NHS as part of their care and support. ONS and HES data is subject to Crown copyright (2018) protection, re-used with the permission of The Health, &amp; Social Care Information Centre, all rights reserved. The OPCS Classification of Interventions and Procedures, codes, terms and text is Crown copyright (201</w:t>
      </w:r>
      <w:r w:rsidR="00A53B70" w:rsidRPr="00781897">
        <w:t>8</w:t>
      </w:r>
      <w:r w:rsidRPr="00781897">
        <w:t xml:space="preserve">) </w:t>
      </w:r>
      <w:r w:rsidRPr="00781897">
        <w:rPr>
          <w:color w:val="000000" w:themeColor="text1"/>
        </w:rPr>
        <w:t xml:space="preserve">published by Health and Social Care Information Centre, also known as NHS Digital and licensed under the Open Government Licence available at </w:t>
      </w:r>
      <w:hyperlink r:id="rId17" w:history="1">
        <w:r w:rsidRPr="00781897">
          <w:rPr>
            <w:rStyle w:val="Hyperlink"/>
            <w:color w:val="000000" w:themeColor="text1"/>
          </w:rPr>
          <w:t>www.nationalarchives.gov.uk/doc/open-government-licence/open-government-licence.htm</w:t>
        </w:r>
      </w:hyperlink>
      <w:r w:rsidRPr="00781897">
        <w:rPr>
          <w:color w:val="000000" w:themeColor="text1"/>
        </w:rPr>
        <w:t xml:space="preserve">. The interpretation and conclusions contained in this study are those of the authors alone. </w:t>
      </w:r>
      <w:r w:rsidRPr="00781897">
        <w:t>The study</w:t>
      </w:r>
      <w:r w:rsidR="003B01FF" w:rsidRPr="00781897">
        <w:t xml:space="preserve"> and use of CPRD data</w:t>
      </w:r>
      <w:r w:rsidRPr="00781897">
        <w:t xml:space="preserve"> was approved by the Independent Scientific Advisory Committee (ISAC) for CPRD research, ref. 19_024A. </w:t>
      </w:r>
      <w:r w:rsidR="003B01FF" w:rsidRPr="00781897">
        <w:t>Approval for SAIL Databank access was granted from the Information Governance Review Panel (project approval number 0907), an independent body overseeing study approvals in line with permissions already granted for conducting data analysis in the SAIL Databank.</w:t>
      </w:r>
      <w:r w:rsidR="00757988" w:rsidRPr="00781897" w:rsidDel="00757988">
        <w:t xml:space="preserve"> </w:t>
      </w:r>
    </w:p>
    <w:p w14:paraId="031FB478" w14:textId="536BA5BF" w:rsidR="00182DD7" w:rsidRPr="00781897" w:rsidRDefault="00182DD7" w:rsidP="00781897">
      <w:pPr>
        <w:spacing w:line="480" w:lineRule="auto"/>
        <w:contextualSpacing/>
        <w:rPr>
          <w:b/>
          <w:bCs/>
        </w:rPr>
        <w:sectPr w:rsidR="00182DD7" w:rsidRPr="00781897">
          <w:pgSz w:w="11906" w:h="16838"/>
          <w:pgMar w:top="1440" w:right="1440" w:bottom="1440" w:left="1440" w:header="708" w:footer="708" w:gutter="0"/>
          <w:cols w:space="708"/>
          <w:docGrid w:linePitch="360"/>
        </w:sectPr>
      </w:pPr>
    </w:p>
    <w:p w14:paraId="359ABCE0" w14:textId="32124CF9" w:rsidR="00A767BC" w:rsidRPr="00781897" w:rsidRDefault="00A767BC" w:rsidP="00781897">
      <w:pPr>
        <w:spacing w:line="480" w:lineRule="auto"/>
        <w:contextualSpacing/>
        <w:rPr>
          <w:b/>
          <w:bCs/>
        </w:rPr>
      </w:pPr>
      <w:r w:rsidRPr="00781897">
        <w:rPr>
          <w:b/>
          <w:bCs/>
        </w:rPr>
        <w:lastRenderedPageBreak/>
        <w:t>REFERENCES</w:t>
      </w:r>
    </w:p>
    <w:p w14:paraId="5953F5FE" w14:textId="0908CAFF" w:rsidR="001701DE" w:rsidRPr="001701DE" w:rsidRDefault="00A767BC" w:rsidP="001701DE">
      <w:pPr>
        <w:widowControl w:val="0"/>
        <w:autoSpaceDE w:val="0"/>
        <w:autoSpaceDN w:val="0"/>
        <w:adjustRightInd w:val="0"/>
        <w:spacing w:line="480" w:lineRule="auto"/>
        <w:ind w:left="640" w:hanging="640"/>
        <w:rPr>
          <w:noProof/>
        </w:rPr>
      </w:pPr>
      <w:r w:rsidRPr="00781897">
        <w:fldChar w:fldCharType="begin" w:fldLock="1"/>
      </w:r>
      <w:r w:rsidRPr="00781897">
        <w:instrText xml:space="preserve">ADDIN Mendeley Bibliography CSL_BIBLIOGRAPHY </w:instrText>
      </w:r>
      <w:r w:rsidRPr="00781897">
        <w:fldChar w:fldCharType="separate"/>
      </w:r>
      <w:r w:rsidR="001701DE" w:rsidRPr="001701DE">
        <w:rPr>
          <w:noProof/>
        </w:rPr>
        <w:t xml:space="preserve">1. </w:t>
      </w:r>
      <w:r w:rsidR="001701DE" w:rsidRPr="001701DE">
        <w:rPr>
          <w:noProof/>
        </w:rPr>
        <w:tab/>
        <w:t xml:space="preserve">Zelniker TA, Wiviott SD, Raz I, Im K, Goodrich EL, Furtado RHM, et al. Comparison of the Effects of Glucagon-Like Peptide Receptor Agonists and Sodium-Glucose Cotransporter 2 Inhibitors for Prevention of Major Adverse Cardiovascular and Renal Outcomes in Type 2 Diabetes Mellitus. Circulation. 2019 Apr 23;139(17):2022–31. </w:t>
      </w:r>
    </w:p>
    <w:p w14:paraId="0510E559"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2. </w:t>
      </w:r>
      <w:r w:rsidRPr="001701DE">
        <w:rPr>
          <w:noProof/>
        </w:rPr>
        <w:tab/>
        <w:t xml:space="preserve">Palmer SC, Tendal B, Mustafa RA, Vandvik PO, Li S, Hao Q, et al. Sodium-glucose cotransporter protein-2 (SGLT-2) inhibitors and glucagon-like peptide-1 (GLP-1) receptor agonists for type 2 diabetes: systematic review and network meta-analysis of randomised controlled trials. BMJ. 2021 Jan 13;372:m4573. </w:t>
      </w:r>
    </w:p>
    <w:p w14:paraId="743B332A"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3. </w:t>
      </w:r>
      <w:r w:rsidRPr="001701DE">
        <w:rPr>
          <w:noProof/>
        </w:rPr>
        <w:tab/>
        <w:t xml:space="preserve">Sattar N, Lee MMY, Kristensen SL, Branch KRH, Del Prato S, Khurmi NS, et al. Cardiovascular, mortality, and kidney outcomes with GLP-1 receptor agonists in patients with type 2 diabetes: a systematic review and meta-analysis of randomised trials. Lancet Diabetes Endocrinol. 2021 Oct;9(10):653–62. </w:t>
      </w:r>
    </w:p>
    <w:p w14:paraId="1E26B611"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4. </w:t>
      </w:r>
      <w:r w:rsidRPr="001701DE">
        <w:rPr>
          <w:noProof/>
        </w:rPr>
        <w:tab/>
        <w:t xml:space="preserve">McGuire DK, Shih WJ, Cosentino F, Charbonnel B, Cherney DZI, Dagogo-Jack S, et al. Association of SGLT2 Inhibitors With Cardiovascular and Kidney Outcomes in Patients With Type 2 Diabetes. JAMA Cardiol. 2021 Feb 1;6(2):148. </w:t>
      </w:r>
    </w:p>
    <w:p w14:paraId="4E235B8E"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5. </w:t>
      </w:r>
      <w:r w:rsidRPr="001701DE">
        <w:rPr>
          <w:noProof/>
        </w:rPr>
        <w:tab/>
        <w:t xml:space="preserve">Saroka RM, Kane MP, Busch RS, Watsky J, Hamilton RA. SGLT-2 inhibitor therapy added to GLP-1 agonist therapy in the management of T2DM. Endocr Pract. 2015 Dec;21(12):1315–22. </w:t>
      </w:r>
    </w:p>
    <w:p w14:paraId="3D7C24F6"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6. </w:t>
      </w:r>
      <w:r w:rsidRPr="001701DE">
        <w:rPr>
          <w:noProof/>
        </w:rPr>
        <w:tab/>
        <w:t xml:space="preserve">Goncalves E, Bell DSH. Glucagon-like peptide-1 receptor agonists and sodium-glucose co-transporter-2 inhibitors: Sequential or simultaneous start? Diabetes, Obes Metab. 2017 Jun;19(6):909–11. </w:t>
      </w:r>
    </w:p>
    <w:p w14:paraId="5EA2CB0E"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7. </w:t>
      </w:r>
      <w:r w:rsidRPr="001701DE">
        <w:rPr>
          <w:noProof/>
        </w:rPr>
        <w:tab/>
        <w:t xml:space="preserve">Herrett E, Gallagher AM, Bhaskaran K, Forbes H, Mathur R, van Staa T, et al. Data Resource Profile: Clinical Practice Research Datalink (CPRD). Int J Epidemiol. 2015;44(3):827–36. </w:t>
      </w:r>
    </w:p>
    <w:p w14:paraId="2654C230"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lastRenderedPageBreak/>
        <w:t xml:space="preserve">8. </w:t>
      </w:r>
      <w:r w:rsidRPr="001701DE">
        <w:rPr>
          <w:noProof/>
        </w:rPr>
        <w:tab/>
        <w:t xml:space="preserve">Wolf A, Dedman D, Campbell J, Booth H, Lunn D, Chapman J, et al. Data resource profile: Clinical Practice Research Datalink (CPRD) Aurum. Int J Epidemiol. 2019 Dec 1;48(6):1740-1740g. </w:t>
      </w:r>
    </w:p>
    <w:p w14:paraId="1CAA66B5" w14:textId="0828DE25"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9. </w:t>
      </w:r>
      <w:r w:rsidRPr="001701DE">
        <w:rPr>
          <w:noProof/>
        </w:rPr>
        <w:tab/>
        <w:t>Jones K, Ford D, Lyons R. The SAIL Databank: 10 years of spearheading data privacy and research utility, 2007-2017. 2017. Available from: https://saildatabank.com/wp-content/uploads/SAIL_10_year_anniversary_brochure.pdf</w:t>
      </w:r>
    </w:p>
    <w:p w14:paraId="5032FB3B"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10. </w:t>
      </w:r>
      <w:r w:rsidRPr="001701DE">
        <w:rPr>
          <w:noProof/>
        </w:rPr>
        <w:tab/>
        <w:t xml:space="preserve">Suissa S. The Quasi-cohort Approach in Pharmacoepidemiology. Epidemiology. 2015 Mar;26(2):242–6. </w:t>
      </w:r>
    </w:p>
    <w:p w14:paraId="4EDCD93B"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11. </w:t>
      </w:r>
      <w:r w:rsidRPr="001701DE">
        <w:rPr>
          <w:noProof/>
        </w:rPr>
        <w:tab/>
        <w:t xml:space="preserve">Essebag V, Platt RW, Abrahamowicz M, Pilote L. Comparison of nested case-control and survival analysis methodologies for analysis of time-dependent exposure. BMC Med Res Methodol. 2005 Dec 25;5:5. </w:t>
      </w:r>
    </w:p>
    <w:p w14:paraId="09867B43"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12. </w:t>
      </w:r>
      <w:r w:rsidRPr="001701DE">
        <w:rPr>
          <w:noProof/>
        </w:rPr>
        <w:tab/>
        <w:t xml:space="preserve">Suissa S, Azoulay L. Metformin and the Risk of Cancer: Time-related biases in observational studies. Diabetes Care. 2012 Dec 1;35(12):2665–73. </w:t>
      </w:r>
    </w:p>
    <w:p w14:paraId="0733701E"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13. </w:t>
      </w:r>
      <w:r w:rsidRPr="001701DE">
        <w:rPr>
          <w:noProof/>
        </w:rPr>
        <w:tab/>
        <w:t xml:space="preserve">Filion KB, Azoulay L, Platt RW, Dahl M, Dormuth CR, Clemens KK, et al. A Multicenter Observational Study of Incretin-based Drugs and Heart Failure. N Engl J Med. 2016;374(12):1145–54. </w:t>
      </w:r>
    </w:p>
    <w:p w14:paraId="5B60D9E8"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14. </w:t>
      </w:r>
      <w:r w:rsidRPr="001701DE">
        <w:rPr>
          <w:noProof/>
        </w:rPr>
        <w:tab/>
        <w:t xml:space="preserve">Simard P, Presse N, Roy L, Dorais M, White-Guay B, Räkel A, et al. Persistence and adherence to oral antidiabetics: a population-based cohort study. Acta Diabetol. 2015 Jun 19;52(3):547–56. </w:t>
      </w:r>
    </w:p>
    <w:p w14:paraId="2D947D2A"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15. </w:t>
      </w:r>
      <w:r w:rsidRPr="001701DE">
        <w:rPr>
          <w:noProof/>
        </w:rPr>
        <w:tab/>
        <w:t xml:space="preserve">Moura CS, Rosenberg ZB, Abrahamowicz M, Bernatsky S, Behlouli H, Pilote L. Treatment Discontinuation and Clinical Events in Type 2 Diabetes Patients Treated with Dipeptidyl Peptidase-4 Inhibitors or NPH Insulin as Third-Line Therapy. J Diabetes Res. 2018;2018(4817178):1–7. </w:t>
      </w:r>
    </w:p>
    <w:p w14:paraId="34926C9B"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16. </w:t>
      </w:r>
      <w:r w:rsidRPr="001701DE">
        <w:rPr>
          <w:noProof/>
        </w:rPr>
        <w:tab/>
        <w:t xml:space="preserve">Moreno-Juste A, Poblador-Plou B, Aza-Pascual-Salcedo M, González-Rubio F, Malo S, Librero López J, et al. Initial Therapy, Regimen Change, and Persistence in a </w:t>
      </w:r>
      <w:r w:rsidRPr="001701DE">
        <w:rPr>
          <w:noProof/>
        </w:rPr>
        <w:lastRenderedPageBreak/>
        <w:t xml:space="preserve">Spanish Cohort of Newly Treated Type 2 Diabetes Patients: A Retrospective, Observational Study Using Real-World Data. Int J Environ Res Public Health. 2020 May 25;17(10):3742. </w:t>
      </w:r>
    </w:p>
    <w:p w14:paraId="705D408F"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17. </w:t>
      </w:r>
      <w:r w:rsidRPr="001701DE">
        <w:rPr>
          <w:noProof/>
        </w:rPr>
        <w:tab/>
        <w:t xml:space="preserve">Edelman S V., Polonsky WH. Type 2 Diabetes in the Real World: The Elusive Nature of Glycemic Control. Diabetes Care. 2017 Nov;40(11):1425–32. </w:t>
      </w:r>
    </w:p>
    <w:p w14:paraId="4482AE60"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18. </w:t>
      </w:r>
      <w:r w:rsidRPr="001701DE">
        <w:rPr>
          <w:noProof/>
        </w:rPr>
        <w:tab/>
        <w:t xml:space="preserve">Wright AK, Kontopantelis E, Emsley R, Buchan I, Sattar N, Rutter MK, et al. Life Expectancy and Cause-Specific Mortality in Type 2 Diabetes: A Population-Based Cohort Study Quantifying Relationships in Ethnic Subgroups. Diabetes Care. 2017;40(3):338–45. </w:t>
      </w:r>
    </w:p>
    <w:p w14:paraId="64687F9A"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19. </w:t>
      </w:r>
      <w:r w:rsidRPr="001701DE">
        <w:rPr>
          <w:noProof/>
        </w:rPr>
        <w:tab/>
        <w:t xml:space="preserve">Suissa S. Novel Approaches to Pharmacoepidemiology Study Design and Statistical Analysis. In: Strom BL, editor. Pharmacoepidemiology. Fouth. Wiley; 2005. p. 811–29. </w:t>
      </w:r>
    </w:p>
    <w:p w14:paraId="17F411E9"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20. </w:t>
      </w:r>
      <w:r w:rsidRPr="001701DE">
        <w:rPr>
          <w:noProof/>
        </w:rPr>
        <w:tab/>
        <w:t xml:space="preserve">Higgins JPT. Measuring inconsistency in meta-analyses. BMJ. 2003 Sep 6;327(7414):557–60. </w:t>
      </w:r>
    </w:p>
    <w:p w14:paraId="095FDEC1"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21. </w:t>
      </w:r>
      <w:r w:rsidRPr="001701DE">
        <w:rPr>
          <w:noProof/>
        </w:rPr>
        <w:tab/>
        <w:t xml:space="preserve">VanderWeele TJ, Ding P. Sensitivity Analysis in Observational Research: Introducing the E-Value. Ann Intern Med. 2017 Aug 15;167(4):268. </w:t>
      </w:r>
    </w:p>
    <w:p w14:paraId="3DF1540D"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22. </w:t>
      </w:r>
      <w:r w:rsidRPr="001701DE">
        <w:rPr>
          <w:noProof/>
        </w:rPr>
        <w:tab/>
        <w:t xml:space="preserve">Langan SM, Schmidt SA, Wing K, Ehrenstein V, Nicholls SG, Filion KB, et al. The reporting of studies conducted using observational routinely collected health data statement for pharmacoepidemiology (RECORD-PE). BMJ. 2018 Nov 14;363:k3532. </w:t>
      </w:r>
    </w:p>
    <w:p w14:paraId="6E324A91"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23. </w:t>
      </w:r>
      <w:r w:rsidRPr="001701DE">
        <w:rPr>
          <w:noProof/>
        </w:rPr>
        <w:tab/>
        <w:t xml:space="preserve">Mahaffey KW, Jardine MJ, Bompoint S, Cannon CP, Neal B, Heerspink HJL, et al. Canagliflozin and Cardiovascular and Renal Outcomes in Type 2 Diabetes Mellitus and Chronic Kidney Disease in Primary and Secondary Cardiovascular Prevention Groups. Circulation. 2019 Aug 27;140(9):739–50. </w:t>
      </w:r>
    </w:p>
    <w:p w14:paraId="1A638055"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24. </w:t>
      </w:r>
      <w:r w:rsidRPr="001701DE">
        <w:rPr>
          <w:noProof/>
        </w:rPr>
        <w:tab/>
        <w:t xml:space="preserve">Toulis KA, Willis BH, Marshall T, Kumarendran B, Gokhale K, Ghosh S, et al. All-Cause Mortality in Patients With Diabetes Under Treatment With Dapagliflozin: A </w:t>
      </w:r>
      <w:r w:rsidRPr="001701DE">
        <w:rPr>
          <w:noProof/>
        </w:rPr>
        <w:lastRenderedPageBreak/>
        <w:t xml:space="preserve">Population-Based, Open-Cohort Study in The Health Improvement Network Database. J Clin Endocrinol Metab. 2017 May 1;102(5):1719–25. </w:t>
      </w:r>
    </w:p>
    <w:p w14:paraId="763F06D5"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25. </w:t>
      </w:r>
      <w:r w:rsidRPr="001701DE">
        <w:rPr>
          <w:noProof/>
        </w:rPr>
        <w:tab/>
        <w:t xml:space="preserve">Patorno E, Goldfine AB, Schneeweiss S, Everett BM, Glynn RJ, Liu J, et al. Cardiovascular outcomes associated with canagliflozin versus other non-gliflozin antidiabetic drugs: population based cohort study. BMJ. 2018 Feb 6;360:k119. </w:t>
      </w:r>
    </w:p>
    <w:p w14:paraId="6AF5FDEE"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26. </w:t>
      </w:r>
      <w:r w:rsidRPr="001701DE">
        <w:rPr>
          <w:noProof/>
        </w:rPr>
        <w:tab/>
        <w:t xml:space="preserve">DeRemer CE, Vouri SM, Guo J, Donahoo WT, Winterstein AG, Shao H. Comparing cardiovascular benefits between GLP-1 receptor agonists and SGLT2 inhibitors as an add-on to metformin among patients with type 2 diabetes: A retrospective cohort study. J Diabetes Complications. 2021 Sep;35(9). </w:t>
      </w:r>
    </w:p>
    <w:p w14:paraId="7A1B8AAB"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27. </w:t>
      </w:r>
      <w:r w:rsidRPr="001701DE">
        <w:rPr>
          <w:noProof/>
        </w:rPr>
        <w:tab/>
        <w:t xml:space="preserve">Fralick M, Schneeweiss S, Redelmeier DA, Razak F, Gomes T, Patorno E. Comparative effectiveness and safety of sodium‐glucose cotransporter‐2 inhibitors versus metformin in patients with type 2 diabetes: An observational study using data from routine care. Diabetes, Obes Metab. 2021 Oct 13;23(10):2320–8. </w:t>
      </w:r>
    </w:p>
    <w:p w14:paraId="0DA3C207"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28. </w:t>
      </w:r>
      <w:r w:rsidRPr="001701DE">
        <w:rPr>
          <w:noProof/>
        </w:rPr>
        <w:tab/>
        <w:t xml:space="preserve">Kosiborod M, Lam CSP, Kohsaka S, Kim DJ, Karasik A, Shaw J, et al. Cardiovascular Events Associated With SGLT-2 Inhibitors Versus Other Glucose-Lowering Drugs. J Am Coll Cardiol. 2018 Jun;71(23):2628–39. </w:t>
      </w:r>
    </w:p>
    <w:p w14:paraId="5E573C6A"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29. </w:t>
      </w:r>
      <w:r w:rsidRPr="001701DE">
        <w:rPr>
          <w:noProof/>
        </w:rPr>
        <w:tab/>
        <w:t xml:space="preserve">Lugner M, Sattar N, Miftaraj M, Ekelund J, Franzén S, Svensson A-M, et al. Cardiorenal and other diabetes related outcomes with SGLT-2 inhibitors compared to GLP-1 receptor agonists in type 2 diabetes: nationwide observational study. Cardiovasc Diabetol. 2021 Dec 22;20(1):67. </w:t>
      </w:r>
    </w:p>
    <w:p w14:paraId="53B59F59"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30. </w:t>
      </w:r>
      <w:r w:rsidRPr="001701DE">
        <w:rPr>
          <w:noProof/>
        </w:rPr>
        <w:tab/>
        <w:t xml:space="preserve">Patorno E, Pawar A, Bessette LG, Kim DH, Dave C, Glynn RJ, et al. Comparative Effectiveness and Safety of Sodium–Glucose Cotransporter 2 Inhibitors Versus Glucagon-Like Peptide 1 Receptor Agonists in Older Adults. Diabetes Care. 2021 Mar;44(3):826–35. </w:t>
      </w:r>
    </w:p>
    <w:p w14:paraId="79AF084C"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31. </w:t>
      </w:r>
      <w:r w:rsidRPr="001701DE">
        <w:rPr>
          <w:noProof/>
        </w:rPr>
        <w:tab/>
        <w:t xml:space="preserve">Filion KB, Lix LM, Yu OH, Dell’Aniello S, Douros A, Shah BR, et al. Sodium </w:t>
      </w:r>
      <w:r w:rsidRPr="001701DE">
        <w:rPr>
          <w:noProof/>
        </w:rPr>
        <w:lastRenderedPageBreak/>
        <w:t xml:space="preserve">glucose cotransporter 2 inhibitors and risk of major adverse cardiovascular events: multi-database retrospective cohort study. BMJ. 2020 Sep 23;370:m3342. </w:t>
      </w:r>
    </w:p>
    <w:p w14:paraId="4ADE4C30"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32. </w:t>
      </w:r>
      <w:r w:rsidRPr="001701DE">
        <w:rPr>
          <w:noProof/>
        </w:rPr>
        <w:tab/>
        <w:t xml:space="preserve">Xie Y, Bowe B, Gibson AK, McGill JB, Maddukuri G, Al-Aly Z. Comparative Effectiveness of Sodium-Glucose Cotransporter 2 Inhibitors vs Sulfonylureas in Patients With Type 2 Diabetes. JAMA Intern Med. 2021 Aug 1;181(8):1043–53. </w:t>
      </w:r>
    </w:p>
    <w:p w14:paraId="4D1D9B96"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33. </w:t>
      </w:r>
      <w:r w:rsidRPr="001701DE">
        <w:rPr>
          <w:noProof/>
        </w:rPr>
        <w:tab/>
        <w:t xml:space="preserve">Qiu M, Ding L, Zhou H. Effects of SGLT2 inhibitors on cardiovascular and renal outcomes in type 2 diabetes. Medicine (Baltimore). 2021 Mar 12;100(10):e25121. </w:t>
      </w:r>
    </w:p>
    <w:p w14:paraId="03E6B4A5"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34. </w:t>
      </w:r>
      <w:r w:rsidRPr="001701DE">
        <w:rPr>
          <w:noProof/>
        </w:rPr>
        <w:tab/>
        <w:t xml:space="preserve">Svanström H, Ueda P, Melbye M, Eliasson B, Svensson A-M, Franzén S, et al. Use of liraglutide and risk of major cardiovascular events: a register-based cohort study in Denmark and Sweden. Lancet Diabetes Endocrinol. 2019 Feb;7(2):106–14. </w:t>
      </w:r>
    </w:p>
    <w:p w14:paraId="44ACC7AD"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35. </w:t>
      </w:r>
      <w:r w:rsidRPr="001701DE">
        <w:rPr>
          <w:noProof/>
        </w:rPr>
        <w:tab/>
        <w:t xml:space="preserve">Zimmerman RS, Hobbs TM, Wells BJ, Kong SX, Kattan MW, Bouchard J, et al. Association of glucagon-like peptide-1 receptor agonist use and rates of acute myocardial infarction, stroke and overall mortality in patients with type 2 diabetes mellitus in a large integrated health system. Diabetes, Obes Metab. 2017 Nov;19(11):1555–61. </w:t>
      </w:r>
    </w:p>
    <w:p w14:paraId="3375185B"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36. </w:t>
      </w:r>
      <w:r w:rsidRPr="001701DE">
        <w:rPr>
          <w:noProof/>
        </w:rPr>
        <w:tab/>
        <w:t xml:space="preserve">Zelniker TA, Wiviott SD, Raz I, Im K, Goodrich EL, Bonaca MP, et al. SGLT2 inhibitors for primary and secondary prevention of cardiovascular and renal outcomes in type 2 diabetes: a systematic review and meta-analysis of cardiovascular outcome trials. Lancet. 2019;393(10166):31–9. </w:t>
      </w:r>
    </w:p>
    <w:p w14:paraId="2E34331A"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37. </w:t>
      </w:r>
      <w:r w:rsidRPr="001701DE">
        <w:rPr>
          <w:noProof/>
        </w:rPr>
        <w:tab/>
        <w:t xml:space="preserve">Gerstein HC, Sattar N, Rosenstock J, Ramasundarahettige C, Pratley R, Lopes RD, et al. Cardiovascular and Renal Outcomes with Efpeglenatide in Type 2 Diabetes. N Engl J Med. 2021 Sep 2;385(10):896–907. </w:t>
      </w:r>
    </w:p>
    <w:p w14:paraId="23993055"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38. </w:t>
      </w:r>
      <w:r w:rsidRPr="001701DE">
        <w:rPr>
          <w:noProof/>
        </w:rPr>
        <w:tab/>
        <w:t xml:space="preserve">Velez M, Peterson EL, Wells K, Swadia T, Sabbah HN, Williams LK, et al. Association of Antidiabetic Medications Targeting the Glucagon-Like Peptide 1 Pathway and Heart Failure Events in Patients With Diabetes. J Card Fail. 2015 </w:t>
      </w:r>
      <w:r w:rsidRPr="001701DE">
        <w:rPr>
          <w:noProof/>
        </w:rPr>
        <w:lastRenderedPageBreak/>
        <w:t xml:space="preserve">Jan;21(1):2–8. </w:t>
      </w:r>
    </w:p>
    <w:p w14:paraId="46DFF615"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39. </w:t>
      </w:r>
      <w:r w:rsidRPr="001701DE">
        <w:rPr>
          <w:noProof/>
        </w:rPr>
        <w:tab/>
        <w:t xml:space="preserve">Khan MS, Fonarow GC, McGuire DK, Hernandez AF, Vaduganathan M, Rosenstock J, et al. Glucagon-Like Peptide 1 Receptor Agonists and Heart Failure. The Need for Further Evidence Generation and Practice Guidelines Optimization. Circulation. 2020 Sep 22;142(12):1205–18. </w:t>
      </w:r>
    </w:p>
    <w:p w14:paraId="18F06F3B"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40. </w:t>
      </w:r>
      <w:r w:rsidRPr="001701DE">
        <w:rPr>
          <w:noProof/>
        </w:rPr>
        <w:tab/>
        <w:t xml:space="preserve">Jorsal A, Kistorp C, Holmager P, Tougaard RS, Nielsen R, Hänselmann A, et al. Effect of liraglutide, a glucagon‐like peptide‐1 analogue, on left ventricular function in stable chronic heart failure patients with and without diabetes ( &lt;scp&gt;LIVE&lt;/scp&gt; )—a multicentre, double‐blind, randomised, placebo‐controlled trial. Eur J Heart Fail. 2017 Jan 28;19(1):69–77. </w:t>
      </w:r>
    </w:p>
    <w:p w14:paraId="5AE7D79D"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41. </w:t>
      </w:r>
      <w:r w:rsidRPr="001701DE">
        <w:rPr>
          <w:noProof/>
        </w:rPr>
        <w:tab/>
        <w:t xml:space="preserve">Margulies KB, Hernandez AF, Redfield MM, Givertz MM, Oliveira GH, Cole R, et al. Effects of Liraglutide on Clinical Stability Among Patients With Advanced Heart Failure and Reduced Ejection Fraction. JAMA. 2016 Aug 2;316(5):500. </w:t>
      </w:r>
    </w:p>
    <w:p w14:paraId="0B47902F"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42. </w:t>
      </w:r>
      <w:r w:rsidRPr="001701DE">
        <w:rPr>
          <w:noProof/>
        </w:rPr>
        <w:tab/>
        <w:t xml:space="preserve">Mannucci E, Dicembrini I, Nreu B, Monami M. Glucagon‐like peptide‐1 receptor agonists and cardiovascular outcomes in patients with and without prior cardiovascular events: An updated meta‐analysis and subgroup analysis of randomized controlled trials. Diabetes, Obes Metab. 2020 Feb 24;22(2):203–11. </w:t>
      </w:r>
    </w:p>
    <w:p w14:paraId="53730F00"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43. </w:t>
      </w:r>
      <w:r w:rsidRPr="001701DE">
        <w:rPr>
          <w:noProof/>
        </w:rPr>
        <w:tab/>
        <w:t xml:space="preserve">Li L, Li S, Liu J, Deng K, Busse JW, Vandvik PO, et al. Glucagon-like peptide-1 receptor agonists and heart failure in type 2 diabetes: systematic review and meta-analysis of randomized and observational studies. BMC Cardiovasc Disord. 2016 Dec 11;16(1):91. </w:t>
      </w:r>
    </w:p>
    <w:p w14:paraId="0013481F"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44. </w:t>
      </w:r>
      <w:r w:rsidRPr="001701DE">
        <w:rPr>
          <w:noProof/>
        </w:rPr>
        <w:tab/>
        <w:t xml:space="preserve">Buse JB, Wexler DJ, Tsapas A, Rossing P, Mingrone G, Mathieu C, et al. 2019 Update to: Management of Hyperglycemia in Type 2 Diabetes, 2018. A Consensus Report by the American Diabetes Association (ADA) and the European Association for the Study of Diabetes (EASD). Diabetes Care. 2020 Feb;43(2):487–93. </w:t>
      </w:r>
    </w:p>
    <w:p w14:paraId="7EC28DEC"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lastRenderedPageBreak/>
        <w:t xml:space="preserve">45. </w:t>
      </w:r>
      <w:r w:rsidRPr="001701DE">
        <w:rPr>
          <w:noProof/>
        </w:rPr>
        <w:tab/>
        <w:t xml:space="preserve">Margulies KB, Anstrom KJ, Hernandez AF, Redfield MM, Shah MR, Braunwald E, et al. GLP-1 Agonist Therapy for Advanced Heart Failure With Reduced Ejection Fraction. Circ Hear Fail. 2014 Jul;7(4):673–9. </w:t>
      </w:r>
    </w:p>
    <w:p w14:paraId="08CB8D93"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46. </w:t>
      </w:r>
      <w:r w:rsidRPr="001701DE">
        <w:rPr>
          <w:noProof/>
        </w:rPr>
        <w:tab/>
        <w:t xml:space="preserve">Sharma A, Verma S. Mechanisms by Which Glucagon-Like-Peptide-1 Receptor Agonists and Sodium-Glucose Cotransporter-2 Inhibitors Reduce Cardiovascular Risk in Adults With Type 2 Diabetes Mellitus. Can J Diabetes. 2020 Feb;44(1):93–102. </w:t>
      </w:r>
    </w:p>
    <w:p w14:paraId="040304D1"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47. </w:t>
      </w:r>
      <w:r w:rsidRPr="001701DE">
        <w:rPr>
          <w:noProof/>
        </w:rPr>
        <w:tab/>
        <w:t xml:space="preserve">Goncalves E, Bell DSH. Combination Treatment of SGLT2 Inhibitors and GLP-1 Receptor Agonists: Symbiotic Effects on Metabolism and Cardiorenal Risk. Diabetes Ther. 2018 Jun 5;9(3):919–26. </w:t>
      </w:r>
    </w:p>
    <w:p w14:paraId="02DC7330"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48. </w:t>
      </w:r>
      <w:r w:rsidRPr="001701DE">
        <w:rPr>
          <w:noProof/>
        </w:rPr>
        <w:tab/>
        <w:t xml:space="preserve">Anderson JE. Combining Glucagon-Like Peptide 1 Receptor Agonists and Sodium–Glucose Cotransporter 2 Inhibitors to Target Multiple Organ Defects in Type 2 Diabetes. Diabetes Spectr. 2020 May;33(2):165–74. </w:t>
      </w:r>
    </w:p>
    <w:p w14:paraId="5E3BA0D3"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49. </w:t>
      </w:r>
      <w:r w:rsidRPr="001701DE">
        <w:rPr>
          <w:noProof/>
        </w:rPr>
        <w:tab/>
        <w:t xml:space="preserve">Wu VC-C, Li Y-R, Wang C-Y. Impact of Sodium–Glucose Co-Transporter 2 Inhibitors on Cardiac Protection. Int J Mol Sci. 2021 Jul 2;22(13):7170. </w:t>
      </w:r>
    </w:p>
    <w:p w14:paraId="309594D3"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50. </w:t>
      </w:r>
      <w:r w:rsidRPr="001701DE">
        <w:rPr>
          <w:noProof/>
        </w:rPr>
        <w:tab/>
        <w:t xml:space="preserve">Pereira MJ, Eriksson JW. Emerging Role of SGLT-2 Inhibitors for the Treatment of Obesity. Drugs. 2019 Feb;79(3):219–30. </w:t>
      </w:r>
    </w:p>
    <w:p w14:paraId="757B28C8"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51. </w:t>
      </w:r>
      <w:r w:rsidRPr="001701DE">
        <w:rPr>
          <w:noProof/>
        </w:rPr>
        <w:tab/>
        <w:t xml:space="preserve">Packer M. Should We Be Combining GLP-1 Receptor Agonists and SGLT2 Inhibitors in Treating Diabetes? Am J Med. 2018 May;131(5):461–3. </w:t>
      </w:r>
    </w:p>
    <w:p w14:paraId="10D88176"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52. </w:t>
      </w:r>
      <w:r w:rsidRPr="001701DE">
        <w:rPr>
          <w:noProof/>
        </w:rPr>
        <w:tab/>
        <w:t xml:space="preserve">Pastel E, McCulloch LJ, Ward R, Joshi S, Gooding KM, Shore AC, et al. GLP-1 analogue-induced weight loss does not improve obesity-induced AT dysfunction. Clin Sci. 2017 Mar 1;131(5):343–53. </w:t>
      </w:r>
    </w:p>
    <w:p w14:paraId="5CEB48A2" w14:textId="3B69381D"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53. </w:t>
      </w:r>
      <w:r w:rsidRPr="001701DE">
        <w:rPr>
          <w:noProof/>
        </w:rPr>
        <w:tab/>
        <w:t>The National Institute for Health and Care Excellence (NICE). Type 2 diabetes in adults: management. NICE guideline NG28 . NICE. 2015 [cited 2020 Nov 27]. p. (last updated 2019). Available from: https://www.nice.org.uk/guidance/ng28</w:t>
      </w:r>
    </w:p>
    <w:p w14:paraId="494E549B"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54. </w:t>
      </w:r>
      <w:r w:rsidRPr="001701DE">
        <w:rPr>
          <w:noProof/>
        </w:rPr>
        <w:tab/>
        <w:t xml:space="preserve">Kumar R, Kerins DM, Walther T. Cardiovascular safety of anti-diabetic drugs. Eur </w:t>
      </w:r>
      <w:r w:rsidRPr="001701DE">
        <w:rPr>
          <w:noProof/>
        </w:rPr>
        <w:lastRenderedPageBreak/>
        <w:t xml:space="preserve">Hear J - Cardiovasc Pharmacother. 2016 Jan;2(1):32–43. </w:t>
      </w:r>
    </w:p>
    <w:p w14:paraId="5D108B69"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55. </w:t>
      </w:r>
      <w:r w:rsidRPr="001701DE">
        <w:rPr>
          <w:noProof/>
        </w:rPr>
        <w:tab/>
        <w:t xml:space="preserve">Herman ME, O’Keefe JH, Bell DSH, Schwartz SS. Insulin Therapy Increases Cardiovascular Risk in Type 2 Diabetes. Prog Cardiovasc Dis. 2017 Nov;60(3):422–34. </w:t>
      </w:r>
    </w:p>
    <w:p w14:paraId="5EC11176" w14:textId="77777777"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56. </w:t>
      </w:r>
      <w:r w:rsidRPr="001701DE">
        <w:rPr>
          <w:noProof/>
        </w:rPr>
        <w:tab/>
        <w:t xml:space="preserve">Sheahan KH, Wahlberg EA, Gilbert MP. An overview of GLP-1 agonists and recent cardiovascular outcomes trials. Postgrad Med J. 2020 Mar;96(1133):156–61. </w:t>
      </w:r>
    </w:p>
    <w:p w14:paraId="2FC7BF4C" w14:textId="246F4D05" w:rsidR="001701DE" w:rsidRPr="001701DE" w:rsidRDefault="001701DE" w:rsidP="001701DE">
      <w:pPr>
        <w:widowControl w:val="0"/>
        <w:autoSpaceDE w:val="0"/>
        <w:autoSpaceDN w:val="0"/>
        <w:adjustRightInd w:val="0"/>
        <w:spacing w:line="480" w:lineRule="auto"/>
        <w:ind w:left="640" w:hanging="640"/>
        <w:rPr>
          <w:noProof/>
        </w:rPr>
      </w:pPr>
      <w:r w:rsidRPr="001701DE">
        <w:rPr>
          <w:noProof/>
        </w:rPr>
        <w:t xml:space="preserve">57. </w:t>
      </w:r>
      <w:r w:rsidRPr="001701DE">
        <w:rPr>
          <w:noProof/>
        </w:rPr>
        <w:tab/>
        <w:t>Diabetes UK. The Cost of Diabetes Report. 2014. Available from: https://www.diabetes.org.uk/resources-s3/2017-11/diabetes uk cost of diabetes report.pdf</w:t>
      </w:r>
    </w:p>
    <w:p w14:paraId="0F72355C" w14:textId="1D02A1E0" w:rsidR="005F326A" w:rsidRPr="00781897" w:rsidRDefault="00A767BC" w:rsidP="001701DE">
      <w:pPr>
        <w:widowControl w:val="0"/>
        <w:autoSpaceDE w:val="0"/>
        <w:autoSpaceDN w:val="0"/>
        <w:adjustRightInd w:val="0"/>
        <w:spacing w:line="480" w:lineRule="auto"/>
        <w:ind w:left="640" w:hanging="640"/>
      </w:pPr>
      <w:r w:rsidRPr="00781897">
        <w:fldChar w:fldCharType="end"/>
      </w:r>
    </w:p>
    <w:p w14:paraId="0EB6CD48" w14:textId="4A1DD7A3" w:rsidR="005F326A" w:rsidRPr="00781897" w:rsidRDefault="005F326A" w:rsidP="00781897">
      <w:pPr>
        <w:tabs>
          <w:tab w:val="left" w:pos="2009"/>
        </w:tabs>
        <w:spacing w:line="480" w:lineRule="auto"/>
        <w:sectPr w:rsidR="005F326A" w:rsidRPr="00781897">
          <w:pgSz w:w="11906" w:h="16838"/>
          <w:pgMar w:top="1440" w:right="1440" w:bottom="1440" w:left="1440" w:header="708" w:footer="708" w:gutter="0"/>
          <w:cols w:space="708"/>
          <w:docGrid w:linePitch="360"/>
        </w:sectPr>
      </w:pPr>
    </w:p>
    <w:p w14:paraId="15B9B570" w14:textId="08D18622" w:rsidR="00672DCC" w:rsidRPr="00F25F7B" w:rsidRDefault="00672DCC" w:rsidP="004F3346">
      <w:pPr>
        <w:rPr>
          <w:b/>
        </w:rPr>
      </w:pPr>
      <w:r w:rsidRPr="00F25F7B">
        <w:rPr>
          <w:b/>
        </w:rPr>
        <w:lastRenderedPageBreak/>
        <w:t xml:space="preserve">Table </w:t>
      </w:r>
      <w:r w:rsidR="00B10955">
        <w:rPr>
          <w:b/>
        </w:rPr>
        <w:t>1</w:t>
      </w:r>
      <w:r w:rsidRPr="00F25F7B">
        <w:rPr>
          <w:b/>
        </w:rPr>
        <w:t xml:space="preserve">. Odds ratio (95%CI) for MACCE associated with current treatment with SGLT2 inhibitor and/or GLP-1 receptor agonist regimens compared with other combination regimens </w:t>
      </w:r>
    </w:p>
    <w:p w14:paraId="3410CA57" w14:textId="77777777" w:rsidR="004F3346" w:rsidRDefault="004F3346" w:rsidP="004F3346">
      <w:pPr>
        <w:rPr>
          <w:rFonts w:ascii="Arial" w:hAnsi="Arial" w:cs="Arial"/>
          <w:b/>
        </w:rPr>
      </w:pPr>
    </w:p>
    <w:tbl>
      <w:tblPr>
        <w:tblStyle w:val="TableGrid"/>
        <w:tblW w:w="15536" w:type="dxa"/>
        <w:tblInd w:w="-737" w:type="dxa"/>
        <w:tblLayout w:type="fixed"/>
        <w:tblCellMar>
          <w:left w:w="57" w:type="dxa"/>
          <w:right w:w="57" w:type="dxa"/>
        </w:tblCellMar>
        <w:tblLook w:val="04A0" w:firstRow="1" w:lastRow="0" w:firstColumn="1" w:lastColumn="0" w:noHBand="0" w:noVBand="1"/>
      </w:tblPr>
      <w:tblGrid>
        <w:gridCol w:w="1833"/>
        <w:gridCol w:w="1115"/>
        <w:gridCol w:w="965"/>
        <w:gridCol w:w="1276"/>
        <w:gridCol w:w="1134"/>
        <w:gridCol w:w="992"/>
        <w:gridCol w:w="1134"/>
        <w:gridCol w:w="1276"/>
        <w:gridCol w:w="1134"/>
        <w:gridCol w:w="1134"/>
        <w:gridCol w:w="1080"/>
        <w:gridCol w:w="1276"/>
        <w:gridCol w:w="1187"/>
      </w:tblGrid>
      <w:tr w:rsidR="006114CF" w:rsidRPr="00BD0DDA" w14:paraId="4B1553B6" w14:textId="77777777" w:rsidTr="00680873">
        <w:tc>
          <w:tcPr>
            <w:tcW w:w="1833" w:type="dxa"/>
            <w:tcBorders>
              <w:bottom w:val="nil"/>
            </w:tcBorders>
          </w:tcPr>
          <w:p w14:paraId="42D7BFD6" w14:textId="77777777" w:rsidR="008A424E" w:rsidRPr="00BD0DDA" w:rsidRDefault="008A424E" w:rsidP="00241D3C">
            <w:pPr>
              <w:rPr>
                <w:b/>
                <w:bCs/>
                <w:sz w:val="22"/>
                <w:szCs w:val="22"/>
              </w:rPr>
            </w:pPr>
            <w:r w:rsidRPr="00BD0DDA">
              <w:rPr>
                <w:b/>
                <w:bCs/>
                <w:sz w:val="22"/>
                <w:szCs w:val="22"/>
              </w:rPr>
              <w:t>Treatment</w:t>
            </w:r>
          </w:p>
        </w:tc>
        <w:tc>
          <w:tcPr>
            <w:tcW w:w="1115" w:type="dxa"/>
            <w:tcBorders>
              <w:bottom w:val="single" w:sz="4" w:space="0" w:color="auto"/>
              <w:right w:val="nil"/>
            </w:tcBorders>
          </w:tcPr>
          <w:p w14:paraId="69E7407E" w14:textId="77777777" w:rsidR="008A424E" w:rsidRPr="00BD0DDA" w:rsidRDefault="008A424E" w:rsidP="00241D3C">
            <w:pPr>
              <w:rPr>
                <w:b/>
                <w:bCs/>
                <w:sz w:val="22"/>
                <w:szCs w:val="22"/>
              </w:rPr>
            </w:pPr>
          </w:p>
        </w:tc>
        <w:tc>
          <w:tcPr>
            <w:tcW w:w="965" w:type="dxa"/>
            <w:tcBorders>
              <w:left w:val="nil"/>
              <w:bottom w:val="single" w:sz="4" w:space="0" w:color="auto"/>
              <w:right w:val="nil"/>
            </w:tcBorders>
          </w:tcPr>
          <w:p w14:paraId="67A2141D" w14:textId="77777777" w:rsidR="008A424E" w:rsidRPr="00BD0DDA" w:rsidRDefault="008A424E" w:rsidP="00241D3C">
            <w:pPr>
              <w:jc w:val="right"/>
              <w:rPr>
                <w:b/>
                <w:bCs/>
                <w:sz w:val="22"/>
                <w:szCs w:val="22"/>
              </w:rPr>
            </w:pPr>
            <w:r>
              <w:rPr>
                <w:b/>
                <w:bCs/>
              </w:rPr>
              <w:t>CPRD</w:t>
            </w:r>
          </w:p>
        </w:tc>
        <w:tc>
          <w:tcPr>
            <w:tcW w:w="1276" w:type="dxa"/>
            <w:tcBorders>
              <w:left w:val="nil"/>
              <w:bottom w:val="single" w:sz="4" w:space="0" w:color="auto"/>
              <w:right w:val="nil"/>
            </w:tcBorders>
          </w:tcPr>
          <w:p w14:paraId="4FEA7D6B" w14:textId="77777777" w:rsidR="008A424E" w:rsidRPr="00BD0DDA" w:rsidRDefault="008A424E" w:rsidP="00241D3C">
            <w:pPr>
              <w:rPr>
                <w:b/>
                <w:bCs/>
                <w:sz w:val="22"/>
                <w:szCs w:val="22"/>
              </w:rPr>
            </w:pPr>
            <w:r>
              <w:rPr>
                <w:b/>
                <w:bCs/>
              </w:rPr>
              <w:t>GOLD</w:t>
            </w:r>
          </w:p>
        </w:tc>
        <w:tc>
          <w:tcPr>
            <w:tcW w:w="1134" w:type="dxa"/>
            <w:tcBorders>
              <w:left w:val="nil"/>
              <w:bottom w:val="single" w:sz="4" w:space="0" w:color="auto"/>
            </w:tcBorders>
          </w:tcPr>
          <w:p w14:paraId="71DA4663" w14:textId="77777777" w:rsidR="008A424E" w:rsidRPr="00BD0DDA" w:rsidRDefault="008A424E" w:rsidP="00241D3C">
            <w:pPr>
              <w:rPr>
                <w:b/>
                <w:bCs/>
                <w:sz w:val="22"/>
                <w:szCs w:val="22"/>
              </w:rPr>
            </w:pPr>
          </w:p>
        </w:tc>
        <w:tc>
          <w:tcPr>
            <w:tcW w:w="992" w:type="dxa"/>
            <w:tcBorders>
              <w:bottom w:val="single" w:sz="4" w:space="0" w:color="auto"/>
              <w:right w:val="nil"/>
            </w:tcBorders>
          </w:tcPr>
          <w:p w14:paraId="5DCB3FF8" w14:textId="77777777" w:rsidR="008A424E" w:rsidRPr="00BD0DDA" w:rsidRDefault="008A424E" w:rsidP="00241D3C">
            <w:pPr>
              <w:rPr>
                <w:b/>
                <w:bCs/>
                <w:sz w:val="22"/>
                <w:szCs w:val="22"/>
              </w:rPr>
            </w:pPr>
          </w:p>
        </w:tc>
        <w:tc>
          <w:tcPr>
            <w:tcW w:w="1134" w:type="dxa"/>
            <w:tcBorders>
              <w:left w:val="nil"/>
              <w:bottom w:val="single" w:sz="4" w:space="0" w:color="auto"/>
              <w:right w:val="nil"/>
            </w:tcBorders>
          </w:tcPr>
          <w:p w14:paraId="5961FE9C" w14:textId="77777777" w:rsidR="008A424E" w:rsidRPr="00BD0DDA" w:rsidRDefault="008A424E" w:rsidP="00241D3C">
            <w:pPr>
              <w:jc w:val="right"/>
              <w:rPr>
                <w:b/>
                <w:bCs/>
                <w:sz w:val="22"/>
                <w:szCs w:val="22"/>
              </w:rPr>
            </w:pPr>
            <w:r>
              <w:rPr>
                <w:b/>
                <w:bCs/>
              </w:rPr>
              <w:t>CPRD</w:t>
            </w:r>
          </w:p>
        </w:tc>
        <w:tc>
          <w:tcPr>
            <w:tcW w:w="1276" w:type="dxa"/>
            <w:tcBorders>
              <w:left w:val="nil"/>
              <w:bottom w:val="single" w:sz="4" w:space="0" w:color="auto"/>
              <w:right w:val="nil"/>
            </w:tcBorders>
          </w:tcPr>
          <w:p w14:paraId="1F7187A2" w14:textId="77777777" w:rsidR="008A424E" w:rsidRPr="00BD0DDA" w:rsidRDefault="008A424E" w:rsidP="00241D3C">
            <w:pPr>
              <w:rPr>
                <w:b/>
                <w:bCs/>
                <w:sz w:val="22"/>
                <w:szCs w:val="22"/>
              </w:rPr>
            </w:pPr>
            <w:r>
              <w:rPr>
                <w:b/>
                <w:bCs/>
              </w:rPr>
              <w:t>Aurum</w:t>
            </w:r>
          </w:p>
        </w:tc>
        <w:tc>
          <w:tcPr>
            <w:tcW w:w="1134" w:type="dxa"/>
            <w:tcBorders>
              <w:left w:val="nil"/>
              <w:bottom w:val="single" w:sz="4" w:space="0" w:color="auto"/>
            </w:tcBorders>
          </w:tcPr>
          <w:p w14:paraId="616D06F9" w14:textId="77777777" w:rsidR="008A424E" w:rsidRPr="00BD0DDA" w:rsidRDefault="008A424E" w:rsidP="00241D3C">
            <w:pPr>
              <w:rPr>
                <w:b/>
                <w:bCs/>
                <w:sz w:val="22"/>
                <w:szCs w:val="22"/>
              </w:rPr>
            </w:pPr>
          </w:p>
        </w:tc>
        <w:tc>
          <w:tcPr>
            <w:tcW w:w="1134" w:type="dxa"/>
            <w:tcBorders>
              <w:bottom w:val="single" w:sz="4" w:space="0" w:color="auto"/>
              <w:right w:val="nil"/>
            </w:tcBorders>
          </w:tcPr>
          <w:p w14:paraId="2EB17658" w14:textId="77777777" w:rsidR="008A424E" w:rsidRPr="00BD0DDA" w:rsidRDefault="008A424E" w:rsidP="00241D3C">
            <w:pPr>
              <w:rPr>
                <w:b/>
                <w:bCs/>
                <w:sz w:val="22"/>
                <w:szCs w:val="22"/>
              </w:rPr>
            </w:pPr>
          </w:p>
        </w:tc>
        <w:tc>
          <w:tcPr>
            <w:tcW w:w="1080" w:type="dxa"/>
            <w:tcBorders>
              <w:left w:val="nil"/>
              <w:bottom w:val="single" w:sz="4" w:space="0" w:color="auto"/>
              <w:right w:val="nil"/>
            </w:tcBorders>
          </w:tcPr>
          <w:p w14:paraId="6915D96B" w14:textId="77777777" w:rsidR="008A424E" w:rsidRPr="00BD0DDA" w:rsidRDefault="008A424E" w:rsidP="00241D3C">
            <w:pPr>
              <w:jc w:val="right"/>
              <w:rPr>
                <w:b/>
                <w:bCs/>
                <w:sz w:val="22"/>
                <w:szCs w:val="22"/>
              </w:rPr>
            </w:pPr>
            <w:r>
              <w:rPr>
                <w:b/>
                <w:bCs/>
              </w:rPr>
              <w:t>SAIL</w:t>
            </w:r>
          </w:p>
        </w:tc>
        <w:tc>
          <w:tcPr>
            <w:tcW w:w="1276" w:type="dxa"/>
            <w:tcBorders>
              <w:left w:val="nil"/>
              <w:bottom w:val="single" w:sz="4" w:space="0" w:color="auto"/>
              <w:right w:val="nil"/>
            </w:tcBorders>
          </w:tcPr>
          <w:p w14:paraId="0642DAB5" w14:textId="77777777" w:rsidR="008A424E" w:rsidRPr="00BD0DDA" w:rsidRDefault="008A424E" w:rsidP="00241D3C">
            <w:pPr>
              <w:rPr>
                <w:b/>
                <w:bCs/>
                <w:sz w:val="22"/>
                <w:szCs w:val="22"/>
              </w:rPr>
            </w:pPr>
            <w:r>
              <w:rPr>
                <w:b/>
                <w:bCs/>
              </w:rPr>
              <w:t>Databank</w:t>
            </w:r>
          </w:p>
        </w:tc>
        <w:tc>
          <w:tcPr>
            <w:tcW w:w="1187" w:type="dxa"/>
            <w:tcBorders>
              <w:left w:val="nil"/>
              <w:bottom w:val="single" w:sz="4" w:space="0" w:color="auto"/>
            </w:tcBorders>
          </w:tcPr>
          <w:p w14:paraId="4DCCF665" w14:textId="77777777" w:rsidR="008A424E" w:rsidRPr="00BD0DDA" w:rsidRDefault="008A424E" w:rsidP="00241D3C">
            <w:pPr>
              <w:rPr>
                <w:b/>
                <w:bCs/>
                <w:sz w:val="22"/>
                <w:szCs w:val="22"/>
              </w:rPr>
            </w:pPr>
          </w:p>
        </w:tc>
      </w:tr>
      <w:tr w:rsidR="006114CF" w:rsidRPr="00BD0DDA" w14:paraId="45C5110A" w14:textId="77777777" w:rsidTr="00680873">
        <w:tc>
          <w:tcPr>
            <w:tcW w:w="1833" w:type="dxa"/>
            <w:tcBorders>
              <w:top w:val="nil"/>
              <w:bottom w:val="nil"/>
            </w:tcBorders>
          </w:tcPr>
          <w:p w14:paraId="0C3950DA" w14:textId="77777777" w:rsidR="008A424E" w:rsidRPr="00BD0DDA" w:rsidRDefault="008A424E" w:rsidP="00241D3C">
            <w:pPr>
              <w:rPr>
                <w:b/>
                <w:bCs/>
                <w:sz w:val="22"/>
                <w:szCs w:val="22"/>
              </w:rPr>
            </w:pPr>
          </w:p>
        </w:tc>
        <w:tc>
          <w:tcPr>
            <w:tcW w:w="1115" w:type="dxa"/>
            <w:tcBorders>
              <w:bottom w:val="nil"/>
            </w:tcBorders>
          </w:tcPr>
          <w:p w14:paraId="0DDF659C" w14:textId="77777777" w:rsidR="008A424E" w:rsidRPr="00BD0DDA" w:rsidRDefault="008A424E" w:rsidP="00241D3C">
            <w:pPr>
              <w:jc w:val="center"/>
              <w:rPr>
                <w:b/>
                <w:bCs/>
                <w:sz w:val="22"/>
                <w:szCs w:val="22"/>
              </w:rPr>
            </w:pPr>
            <w:r w:rsidRPr="00BD0DDA">
              <w:rPr>
                <w:b/>
                <w:bCs/>
                <w:sz w:val="22"/>
                <w:szCs w:val="22"/>
              </w:rPr>
              <w:t>Cases</w:t>
            </w:r>
          </w:p>
        </w:tc>
        <w:tc>
          <w:tcPr>
            <w:tcW w:w="965" w:type="dxa"/>
            <w:tcBorders>
              <w:bottom w:val="nil"/>
            </w:tcBorders>
          </w:tcPr>
          <w:p w14:paraId="4E49BDCE" w14:textId="77777777" w:rsidR="008A424E" w:rsidRPr="00BD0DDA" w:rsidRDefault="008A424E" w:rsidP="00241D3C">
            <w:pPr>
              <w:jc w:val="center"/>
              <w:rPr>
                <w:b/>
                <w:bCs/>
                <w:sz w:val="22"/>
                <w:szCs w:val="22"/>
              </w:rPr>
            </w:pPr>
            <w:r w:rsidRPr="00BD0DDA">
              <w:rPr>
                <w:b/>
                <w:bCs/>
                <w:sz w:val="22"/>
                <w:szCs w:val="22"/>
              </w:rPr>
              <w:t>Controls</w:t>
            </w:r>
          </w:p>
        </w:tc>
        <w:tc>
          <w:tcPr>
            <w:tcW w:w="1276" w:type="dxa"/>
            <w:tcBorders>
              <w:bottom w:val="nil"/>
            </w:tcBorders>
          </w:tcPr>
          <w:p w14:paraId="7E036126" w14:textId="77777777" w:rsidR="008A424E" w:rsidRPr="00BD0DDA" w:rsidRDefault="008A424E" w:rsidP="00241D3C">
            <w:pPr>
              <w:jc w:val="center"/>
              <w:rPr>
                <w:b/>
                <w:bCs/>
                <w:sz w:val="22"/>
                <w:szCs w:val="22"/>
              </w:rPr>
            </w:pPr>
            <w:r w:rsidRPr="00BD0DDA">
              <w:rPr>
                <w:b/>
                <w:bCs/>
                <w:sz w:val="22"/>
                <w:szCs w:val="22"/>
              </w:rPr>
              <w:t>Unadjusted</w:t>
            </w:r>
          </w:p>
        </w:tc>
        <w:tc>
          <w:tcPr>
            <w:tcW w:w="1134" w:type="dxa"/>
            <w:tcBorders>
              <w:bottom w:val="nil"/>
            </w:tcBorders>
          </w:tcPr>
          <w:p w14:paraId="62B2DC6C" w14:textId="77777777" w:rsidR="008A424E" w:rsidRPr="00BD0DDA" w:rsidRDefault="008A424E" w:rsidP="00241D3C">
            <w:pPr>
              <w:jc w:val="center"/>
              <w:rPr>
                <w:b/>
                <w:bCs/>
                <w:sz w:val="22"/>
                <w:szCs w:val="22"/>
              </w:rPr>
            </w:pPr>
            <w:proofErr w:type="spellStart"/>
            <w:r w:rsidRPr="00BD0DDA">
              <w:rPr>
                <w:b/>
                <w:bCs/>
                <w:sz w:val="22"/>
                <w:szCs w:val="22"/>
              </w:rPr>
              <w:t>aOR</w:t>
            </w:r>
            <w:proofErr w:type="spellEnd"/>
            <w:r>
              <w:rPr>
                <w:b/>
                <w:sz w:val="22"/>
                <w:szCs w:val="22"/>
                <w:vertAlign w:val="superscript"/>
              </w:rPr>
              <w:t>*</w:t>
            </w:r>
          </w:p>
        </w:tc>
        <w:tc>
          <w:tcPr>
            <w:tcW w:w="992" w:type="dxa"/>
            <w:tcBorders>
              <w:bottom w:val="nil"/>
            </w:tcBorders>
          </w:tcPr>
          <w:p w14:paraId="02BF118D" w14:textId="77777777" w:rsidR="008A424E" w:rsidRPr="00BD0DDA" w:rsidRDefault="008A424E" w:rsidP="00241D3C">
            <w:pPr>
              <w:jc w:val="center"/>
              <w:rPr>
                <w:b/>
                <w:bCs/>
                <w:sz w:val="22"/>
                <w:szCs w:val="22"/>
              </w:rPr>
            </w:pPr>
            <w:r w:rsidRPr="00BD0DDA">
              <w:rPr>
                <w:b/>
                <w:bCs/>
                <w:sz w:val="22"/>
                <w:szCs w:val="22"/>
              </w:rPr>
              <w:t>Cases</w:t>
            </w:r>
          </w:p>
        </w:tc>
        <w:tc>
          <w:tcPr>
            <w:tcW w:w="1134" w:type="dxa"/>
            <w:tcBorders>
              <w:bottom w:val="nil"/>
            </w:tcBorders>
          </w:tcPr>
          <w:p w14:paraId="7710FA6D" w14:textId="77777777" w:rsidR="008A424E" w:rsidRPr="00BD0DDA" w:rsidRDefault="008A424E" w:rsidP="00241D3C">
            <w:pPr>
              <w:jc w:val="center"/>
              <w:rPr>
                <w:b/>
                <w:bCs/>
                <w:sz w:val="22"/>
                <w:szCs w:val="22"/>
              </w:rPr>
            </w:pPr>
            <w:r w:rsidRPr="00BD0DDA">
              <w:rPr>
                <w:b/>
                <w:bCs/>
                <w:sz w:val="22"/>
                <w:szCs w:val="22"/>
              </w:rPr>
              <w:t>Controls</w:t>
            </w:r>
          </w:p>
        </w:tc>
        <w:tc>
          <w:tcPr>
            <w:tcW w:w="1276" w:type="dxa"/>
            <w:tcBorders>
              <w:bottom w:val="nil"/>
            </w:tcBorders>
          </w:tcPr>
          <w:p w14:paraId="61642E3F" w14:textId="77777777" w:rsidR="008A424E" w:rsidRPr="00BD0DDA" w:rsidRDefault="008A424E" w:rsidP="00241D3C">
            <w:pPr>
              <w:jc w:val="center"/>
              <w:rPr>
                <w:b/>
                <w:bCs/>
                <w:sz w:val="22"/>
                <w:szCs w:val="22"/>
              </w:rPr>
            </w:pPr>
            <w:r w:rsidRPr="00BD0DDA">
              <w:rPr>
                <w:b/>
                <w:bCs/>
                <w:sz w:val="22"/>
                <w:szCs w:val="22"/>
              </w:rPr>
              <w:t>Unadjusted</w:t>
            </w:r>
          </w:p>
        </w:tc>
        <w:tc>
          <w:tcPr>
            <w:tcW w:w="1134" w:type="dxa"/>
            <w:tcBorders>
              <w:bottom w:val="nil"/>
            </w:tcBorders>
          </w:tcPr>
          <w:p w14:paraId="5B4F0106" w14:textId="77777777" w:rsidR="008A424E" w:rsidRPr="00BD0DDA" w:rsidRDefault="008A424E" w:rsidP="00241D3C">
            <w:pPr>
              <w:jc w:val="center"/>
              <w:rPr>
                <w:b/>
                <w:bCs/>
                <w:sz w:val="22"/>
                <w:szCs w:val="22"/>
              </w:rPr>
            </w:pPr>
            <w:proofErr w:type="spellStart"/>
            <w:r w:rsidRPr="00BD0DDA">
              <w:rPr>
                <w:b/>
                <w:bCs/>
                <w:sz w:val="22"/>
                <w:szCs w:val="22"/>
              </w:rPr>
              <w:t>aOR</w:t>
            </w:r>
            <w:proofErr w:type="spellEnd"/>
            <w:r>
              <w:rPr>
                <w:b/>
                <w:sz w:val="22"/>
                <w:szCs w:val="22"/>
                <w:vertAlign w:val="superscript"/>
              </w:rPr>
              <w:t>*</w:t>
            </w:r>
          </w:p>
        </w:tc>
        <w:tc>
          <w:tcPr>
            <w:tcW w:w="1134" w:type="dxa"/>
            <w:tcBorders>
              <w:bottom w:val="nil"/>
            </w:tcBorders>
          </w:tcPr>
          <w:p w14:paraId="00E730BB" w14:textId="77777777" w:rsidR="008A424E" w:rsidRPr="00BD0DDA" w:rsidRDefault="008A424E" w:rsidP="00241D3C">
            <w:pPr>
              <w:jc w:val="center"/>
              <w:rPr>
                <w:b/>
                <w:bCs/>
                <w:sz w:val="22"/>
                <w:szCs w:val="22"/>
              </w:rPr>
            </w:pPr>
            <w:r w:rsidRPr="00BD0DDA">
              <w:rPr>
                <w:b/>
                <w:bCs/>
                <w:sz w:val="22"/>
                <w:szCs w:val="22"/>
              </w:rPr>
              <w:t>Cases</w:t>
            </w:r>
          </w:p>
        </w:tc>
        <w:tc>
          <w:tcPr>
            <w:tcW w:w="1080" w:type="dxa"/>
            <w:tcBorders>
              <w:bottom w:val="nil"/>
            </w:tcBorders>
          </w:tcPr>
          <w:p w14:paraId="4045187A" w14:textId="77777777" w:rsidR="008A424E" w:rsidRPr="00BD0DDA" w:rsidRDefault="008A424E" w:rsidP="00241D3C">
            <w:pPr>
              <w:jc w:val="center"/>
              <w:rPr>
                <w:b/>
                <w:bCs/>
                <w:sz w:val="22"/>
                <w:szCs w:val="22"/>
              </w:rPr>
            </w:pPr>
            <w:r w:rsidRPr="00BD0DDA">
              <w:rPr>
                <w:b/>
                <w:bCs/>
                <w:sz w:val="22"/>
                <w:szCs w:val="22"/>
              </w:rPr>
              <w:t>Controls</w:t>
            </w:r>
          </w:p>
        </w:tc>
        <w:tc>
          <w:tcPr>
            <w:tcW w:w="1276" w:type="dxa"/>
            <w:tcBorders>
              <w:bottom w:val="nil"/>
            </w:tcBorders>
          </w:tcPr>
          <w:p w14:paraId="35C8D00C" w14:textId="77777777" w:rsidR="008A424E" w:rsidRPr="00BD0DDA" w:rsidRDefault="008A424E" w:rsidP="00241D3C">
            <w:pPr>
              <w:jc w:val="center"/>
              <w:rPr>
                <w:b/>
                <w:bCs/>
                <w:sz w:val="22"/>
                <w:szCs w:val="22"/>
              </w:rPr>
            </w:pPr>
            <w:r w:rsidRPr="00BD0DDA">
              <w:rPr>
                <w:b/>
                <w:bCs/>
                <w:sz w:val="22"/>
                <w:szCs w:val="22"/>
              </w:rPr>
              <w:t>Unadjusted</w:t>
            </w:r>
          </w:p>
        </w:tc>
        <w:tc>
          <w:tcPr>
            <w:tcW w:w="1187" w:type="dxa"/>
            <w:tcBorders>
              <w:bottom w:val="nil"/>
            </w:tcBorders>
          </w:tcPr>
          <w:p w14:paraId="73E2257D" w14:textId="77777777" w:rsidR="008A424E" w:rsidRPr="00BD0DDA" w:rsidRDefault="008A424E" w:rsidP="00241D3C">
            <w:pPr>
              <w:jc w:val="center"/>
              <w:rPr>
                <w:b/>
                <w:bCs/>
                <w:sz w:val="22"/>
                <w:szCs w:val="22"/>
              </w:rPr>
            </w:pPr>
            <w:proofErr w:type="spellStart"/>
            <w:r w:rsidRPr="00BD0DDA">
              <w:rPr>
                <w:b/>
                <w:bCs/>
                <w:sz w:val="22"/>
                <w:szCs w:val="22"/>
              </w:rPr>
              <w:t>aOR</w:t>
            </w:r>
            <w:proofErr w:type="spellEnd"/>
            <w:r>
              <w:rPr>
                <w:b/>
                <w:sz w:val="22"/>
                <w:szCs w:val="22"/>
                <w:vertAlign w:val="superscript"/>
              </w:rPr>
              <w:t>*</w:t>
            </w:r>
          </w:p>
        </w:tc>
      </w:tr>
      <w:tr w:rsidR="006114CF" w:rsidRPr="00BD0DDA" w14:paraId="2D91168D" w14:textId="77777777" w:rsidTr="00680873">
        <w:tc>
          <w:tcPr>
            <w:tcW w:w="1833" w:type="dxa"/>
            <w:tcBorders>
              <w:top w:val="nil"/>
              <w:bottom w:val="nil"/>
            </w:tcBorders>
          </w:tcPr>
          <w:p w14:paraId="342B8460" w14:textId="77777777" w:rsidR="008A424E" w:rsidRPr="00BD0DDA" w:rsidRDefault="008A424E" w:rsidP="00241D3C">
            <w:pPr>
              <w:rPr>
                <w:b/>
                <w:bCs/>
                <w:sz w:val="22"/>
                <w:szCs w:val="22"/>
              </w:rPr>
            </w:pPr>
          </w:p>
        </w:tc>
        <w:tc>
          <w:tcPr>
            <w:tcW w:w="1115" w:type="dxa"/>
            <w:tcBorders>
              <w:top w:val="nil"/>
              <w:bottom w:val="nil"/>
            </w:tcBorders>
          </w:tcPr>
          <w:p w14:paraId="04822541" w14:textId="77777777" w:rsidR="008A424E" w:rsidRPr="00BD0DDA" w:rsidRDefault="008A424E" w:rsidP="00241D3C">
            <w:pPr>
              <w:jc w:val="center"/>
              <w:rPr>
                <w:b/>
                <w:bCs/>
                <w:sz w:val="22"/>
                <w:szCs w:val="22"/>
              </w:rPr>
            </w:pPr>
          </w:p>
        </w:tc>
        <w:tc>
          <w:tcPr>
            <w:tcW w:w="965" w:type="dxa"/>
            <w:tcBorders>
              <w:top w:val="nil"/>
              <w:bottom w:val="nil"/>
            </w:tcBorders>
          </w:tcPr>
          <w:p w14:paraId="0FDBE1F1" w14:textId="77777777" w:rsidR="008A424E" w:rsidRPr="00BD0DDA" w:rsidRDefault="008A424E" w:rsidP="00241D3C">
            <w:pPr>
              <w:jc w:val="center"/>
              <w:rPr>
                <w:b/>
                <w:bCs/>
                <w:sz w:val="22"/>
                <w:szCs w:val="22"/>
              </w:rPr>
            </w:pPr>
          </w:p>
        </w:tc>
        <w:tc>
          <w:tcPr>
            <w:tcW w:w="1276" w:type="dxa"/>
            <w:tcBorders>
              <w:top w:val="nil"/>
              <w:bottom w:val="nil"/>
            </w:tcBorders>
          </w:tcPr>
          <w:p w14:paraId="01779E4A" w14:textId="77777777" w:rsidR="008A424E" w:rsidRPr="00BD0DDA" w:rsidRDefault="008A424E" w:rsidP="00241D3C">
            <w:pPr>
              <w:jc w:val="center"/>
              <w:rPr>
                <w:b/>
                <w:bCs/>
                <w:sz w:val="22"/>
                <w:szCs w:val="22"/>
              </w:rPr>
            </w:pPr>
            <w:r w:rsidRPr="00BD0DDA">
              <w:rPr>
                <w:b/>
                <w:bCs/>
                <w:sz w:val="22"/>
                <w:szCs w:val="22"/>
              </w:rPr>
              <w:t>OR</w:t>
            </w:r>
          </w:p>
        </w:tc>
        <w:tc>
          <w:tcPr>
            <w:tcW w:w="1134" w:type="dxa"/>
            <w:tcBorders>
              <w:top w:val="nil"/>
              <w:bottom w:val="nil"/>
            </w:tcBorders>
          </w:tcPr>
          <w:p w14:paraId="65003826" w14:textId="77777777" w:rsidR="008A424E" w:rsidRPr="00BD0DDA" w:rsidRDefault="008A424E" w:rsidP="00241D3C">
            <w:pPr>
              <w:jc w:val="center"/>
              <w:rPr>
                <w:b/>
                <w:bCs/>
                <w:sz w:val="22"/>
                <w:szCs w:val="22"/>
              </w:rPr>
            </w:pPr>
            <w:r w:rsidRPr="00BD0DDA">
              <w:rPr>
                <w:b/>
                <w:bCs/>
                <w:sz w:val="22"/>
                <w:szCs w:val="22"/>
              </w:rPr>
              <w:t>(95% CI)</w:t>
            </w:r>
          </w:p>
        </w:tc>
        <w:tc>
          <w:tcPr>
            <w:tcW w:w="992" w:type="dxa"/>
            <w:tcBorders>
              <w:top w:val="nil"/>
              <w:bottom w:val="nil"/>
            </w:tcBorders>
          </w:tcPr>
          <w:p w14:paraId="5476FDA5" w14:textId="77777777" w:rsidR="008A424E" w:rsidRPr="00BD0DDA" w:rsidRDefault="008A424E" w:rsidP="00241D3C">
            <w:pPr>
              <w:jc w:val="center"/>
              <w:rPr>
                <w:b/>
                <w:bCs/>
                <w:sz w:val="22"/>
                <w:szCs w:val="22"/>
              </w:rPr>
            </w:pPr>
          </w:p>
        </w:tc>
        <w:tc>
          <w:tcPr>
            <w:tcW w:w="1134" w:type="dxa"/>
            <w:tcBorders>
              <w:top w:val="nil"/>
              <w:bottom w:val="nil"/>
            </w:tcBorders>
          </w:tcPr>
          <w:p w14:paraId="73ED8133" w14:textId="77777777" w:rsidR="008A424E" w:rsidRPr="00BD0DDA" w:rsidRDefault="008A424E" w:rsidP="00241D3C">
            <w:pPr>
              <w:jc w:val="center"/>
              <w:rPr>
                <w:b/>
                <w:bCs/>
                <w:sz w:val="22"/>
                <w:szCs w:val="22"/>
              </w:rPr>
            </w:pPr>
          </w:p>
        </w:tc>
        <w:tc>
          <w:tcPr>
            <w:tcW w:w="1276" w:type="dxa"/>
            <w:tcBorders>
              <w:top w:val="nil"/>
              <w:bottom w:val="nil"/>
            </w:tcBorders>
          </w:tcPr>
          <w:p w14:paraId="79826EB2" w14:textId="77777777" w:rsidR="008A424E" w:rsidRPr="00BD0DDA" w:rsidRDefault="008A424E" w:rsidP="00241D3C">
            <w:pPr>
              <w:jc w:val="center"/>
              <w:rPr>
                <w:b/>
                <w:bCs/>
                <w:sz w:val="22"/>
                <w:szCs w:val="22"/>
              </w:rPr>
            </w:pPr>
            <w:r w:rsidRPr="00BD0DDA">
              <w:rPr>
                <w:b/>
                <w:bCs/>
                <w:sz w:val="22"/>
                <w:szCs w:val="22"/>
              </w:rPr>
              <w:t>OR</w:t>
            </w:r>
          </w:p>
        </w:tc>
        <w:tc>
          <w:tcPr>
            <w:tcW w:w="1134" w:type="dxa"/>
            <w:tcBorders>
              <w:top w:val="nil"/>
              <w:bottom w:val="nil"/>
            </w:tcBorders>
          </w:tcPr>
          <w:p w14:paraId="1BDD9588" w14:textId="77777777" w:rsidR="008A424E" w:rsidRPr="00BD0DDA" w:rsidRDefault="008A424E" w:rsidP="00241D3C">
            <w:pPr>
              <w:jc w:val="center"/>
              <w:rPr>
                <w:b/>
                <w:bCs/>
                <w:sz w:val="22"/>
                <w:szCs w:val="22"/>
              </w:rPr>
            </w:pPr>
            <w:r w:rsidRPr="00BD0DDA">
              <w:rPr>
                <w:b/>
                <w:bCs/>
                <w:sz w:val="22"/>
                <w:szCs w:val="22"/>
              </w:rPr>
              <w:t>(95% CI)</w:t>
            </w:r>
          </w:p>
        </w:tc>
        <w:tc>
          <w:tcPr>
            <w:tcW w:w="1134" w:type="dxa"/>
            <w:tcBorders>
              <w:top w:val="nil"/>
              <w:bottom w:val="nil"/>
            </w:tcBorders>
          </w:tcPr>
          <w:p w14:paraId="1EBE476B" w14:textId="77777777" w:rsidR="008A424E" w:rsidRPr="00BD0DDA" w:rsidRDefault="008A424E" w:rsidP="00241D3C">
            <w:pPr>
              <w:jc w:val="center"/>
              <w:rPr>
                <w:b/>
                <w:bCs/>
                <w:sz w:val="22"/>
                <w:szCs w:val="22"/>
              </w:rPr>
            </w:pPr>
          </w:p>
        </w:tc>
        <w:tc>
          <w:tcPr>
            <w:tcW w:w="1080" w:type="dxa"/>
            <w:tcBorders>
              <w:top w:val="nil"/>
              <w:bottom w:val="nil"/>
            </w:tcBorders>
          </w:tcPr>
          <w:p w14:paraId="04C69284" w14:textId="77777777" w:rsidR="008A424E" w:rsidRPr="00BD0DDA" w:rsidRDefault="008A424E" w:rsidP="00241D3C">
            <w:pPr>
              <w:jc w:val="center"/>
              <w:rPr>
                <w:b/>
                <w:bCs/>
                <w:sz w:val="22"/>
                <w:szCs w:val="22"/>
              </w:rPr>
            </w:pPr>
          </w:p>
        </w:tc>
        <w:tc>
          <w:tcPr>
            <w:tcW w:w="1276" w:type="dxa"/>
            <w:tcBorders>
              <w:top w:val="nil"/>
              <w:bottom w:val="nil"/>
            </w:tcBorders>
          </w:tcPr>
          <w:p w14:paraId="50EF7FBC" w14:textId="77777777" w:rsidR="008A424E" w:rsidRPr="00BD0DDA" w:rsidRDefault="008A424E" w:rsidP="00241D3C">
            <w:pPr>
              <w:jc w:val="center"/>
              <w:rPr>
                <w:b/>
                <w:bCs/>
                <w:sz w:val="22"/>
                <w:szCs w:val="22"/>
              </w:rPr>
            </w:pPr>
            <w:r w:rsidRPr="00BD0DDA">
              <w:rPr>
                <w:b/>
                <w:bCs/>
                <w:sz w:val="22"/>
                <w:szCs w:val="22"/>
              </w:rPr>
              <w:t>OR</w:t>
            </w:r>
          </w:p>
        </w:tc>
        <w:tc>
          <w:tcPr>
            <w:tcW w:w="1187" w:type="dxa"/>
            <w:tcBorders>
              <w:top w:val="nil"/>
              <w:bottom w:val="nil"/>
            </w:tcBorders>
          </w:tcPr>
          <w:p w14:paraId="0F042877" w14:textId="77777777" w:rsidR="008A424E" w:rsidRPr="00BD0DDA" w:rsidRDefault="008A424E" w:rsidP="00241D3C">
            <w:pPr>
              <w:jc w:val="center"/>
              <w:rPr>
                <w:b/>
                <w:bCs/>
                <w:sz w:val="22"/>
                <w:szCs w:val="22"/>
              </w:rPr>
            </w:pPr>
            <w:r w:rsidRPr="00BD0DDA">
              <w:rPr>
                <w:b/>
                <w:bCs/>
                <w:sz w:val="22"/>
                <w:szCs w:val="22"/>
              </w:rPr>
              <w:t>(95% CI)</w:t>
            </w:r>
          </w:p>
        </w:tc>
      </w:tr>
      <w:tr w:rsidR="006114CF" w:rsidRPr="00BD0DDA" w14:paraId="3686438D" w14:textId="77777777" w:rsidTr="00680873">
        <w:tc>
          <w:tcPr>
            <w:tcW w:w="1833" w:type="dxa"/>
            <w:tcBorders>
              <w:top w:val="nil"/>
            </w:tcBorders>
          </w:tcPr>
          <w:p w14:paraId="321AF757" w14:textId="77777777" w:rsidR="008A424E" w:rsidRPr="00BD0DDA" w:rsidRDefault="008A424E" w:rsidP="00241D3C">
            <w:pPr>
              <w:rPr>
                <w:b/>
                <w:bCs/>
                <w:sz w:val="22"/>
                <w:szCs w:val="22"/>
              </w:rPr>
            </w:pPr>
          </w:p>
        </w:tc>
        <w:tc>
          <w:tcPr>
            <w:tcW w:w="1115" w:type="dxa"/>
            <w:tcBorders>
              <w:top w:val="nil"/>
            </w:tcBorders>
          </w:tcPr>
          <w:p w14:paraId="4F8F8F75" w14:textId="77777777" w:rsidR="008A424E" w:rsidRPr="00BD0DDA" w:rsidRDefault="008A424E" w:rsidP="00241D3C">
            <w:pPr>
              <w:jc w:val="center"/>
              <w:rPr>
                <w:b/>
                <w:bCs/>
                <w:sz w:val="22"/>
                <w:szCs w:val="22"/>
              </w:rPr>
            </w:pPr>
          </w:p>
        </w:tc>
        <w:tc>
          <w:tcPr>
            <w:tcW w:w="965" w:type="dxa"/>
            <w:tcBorders>
              <w:top w:val="nil"/>
            </w:tcBorders>
          </w:tcPr>
          <w:p w14:paraId="517F66F3" w14:textId="77777777" w:rsidR="008A424E" w:rsidRPr="00BD0DDA" w:rsidRDefault="008A424E" w:rsidP="00241D3C">
            <w:pPr>
              <w:jc w:val="center"/>
              <w:rPr>
                <w:b/>
                <w:bCs/>
                <w:sz w:val="22"/>
                <w:szCs w:val="22"/>
              </w:rPr>
            </w:pPr>
          </w:p>
        </w:tc>
        <w:tc>
          <w:tcPr>
            <w:tcW w:w="1276" w:type="dxa"/>
            <w:tcBorders>
              <w:top w:val="nil"/>
            </w:tcBorders>
          </w:tcPr>
          <w:p w14:paraId="1F9D6440" w14:textId="77777777" w:rsidR="008A424E" w:rsidRPr="00BD0DDA" w:rsidRDefault="008A424E" w:rsidP="00241D3C">
            <w:pPr>
              <w:jc w:val="center"/>
              <w:rPr>
                <w:b/>
                <w:bCs/>
                <w:sz w:val="22"/>
                <w:szCs w:val="22"/>
              </w:rPr>
            </w:pPr>
            <w:r w:rsidRPr="00BD0DDA">
              <w:rPr>
                <w:b/>
                <w:bCs/>
                <w:sz w:val="22"/>
                <w:szCs w:val="22"/>
              </w:rPr>
              <w:t>(95% CI)</w:t>
            </w:r>
          </w:p>
        </w:tc>
        <w:tc>
          <w:tcPr>
            <w:tcW w:w="1134" w:type="dxa"/>
            <w:tcBorders>
              <w:top w:val="nil"/>
            </w:tcBorders>
          </w:tcPr>
          <w:p w14:paraId="741BBB45" w14:textId="77777777" w:rsidR="008A424E" w:rsidRPr="00BD0DDA" w:rsidRDefault="008A424E" w:rsidP="00241D3C">
            <w:pPr>
              <w:jc w:val="center"/>
              <w:rPr>
                <w:b/>
                <w:bCs/>
                <w:sz w:val="22"/>
                <w:szCs w:val="22"/>
              </w:rPr>
            </w:pPr>
          </w:p>
        </w:tc>
        <w:tc>
          <w:tcPr>
            <w:tcW w:w="992" w:type="dxa"/>
            <w:tcBorders>
              <w:top w:val="nil"/>
            </w:tcBorders>
          </w:tcPr>
          <w:p w14:paraId="66EC45F8" w14:textId="77777777" w:rsidR="008A424E" w:rsidRPr="00BD0DDA" w:rsidRDefault="008A424E" w:rsidP="00241D3C">
            <w:pPr>
              <w:jc w:val="center"/>
              <w:rPr>
                <w:b/>
                <w:bCs/>
                <w:sz w:val="22"/>
                <w:szCs w:val="22"/>
              </w:rPr>
            </w:pPr>
          </w:p>
        </w:tc>
        <w:tc>
          <w:tcPr>
            <w:tcW w:w="1134" w:type="dxa"/>
            <w:tcBorders>
              <w:top w:val="nil"/>
            </w:tcBorders>
          </w:tcPr>
          <w:p w14:paraId="11451755" w14:textId="77777777" w:rsidR="008A424E" w:rsidRPr="00BD0DDA" w:rsidRDefault="008A424E" w:rsidP="00241D3C">
            <w:pPr>
              <w:jc w:val="center"/>
              <w:rPr>
                <w:b/>
                <w:bCs/>
                <w:sz w:val="22"/>
                <w:szCs w:val="22"/>
              </w:rPr>
            </w:pPr>
          </w:p>
        </w:tc>
        <w:tc>
          <w:tcPr>
            <w:tcW w:w="1276" w:type="dxa"/>
            <w:tcBorders>
              <w:top w:val="nil"/>
            </w:tcBorders>
          </w:tcPr>
          <w:p w14:paraId="229CE25C" w14:textId="77777777" w:rsidR="008A424E" w:rsidRPr="00BD0DDA" w:rsidRDefault="008A424E" w:rsidP="00241D3C">
            <w:pPr>
              <w:jc w:val="center"/>
              <w:rPr>
                <w:b/>
                <w:bCs/>
                <w:sz w:val="22"/>
                <w:szCs w:val="22"/>
              </w:rPr>
            </w:pPr>
            <w:r w:rsidRPr="00BD0DDA">
              <w:rPr>
                <w:b/>
                <w:bCs/>
                <w:sz w:val="22"/>
                <w:szCs w:val="22"/>
              </w:rPr>
              <w:t>(95% CI)</w:t>
            </w:r>
          </w:p>
        </w:tc>
        <w:tc>
          <w:tcPr>
            <w:tcW w:w="1134" w:type="dxa"/>
            <w:tcBorders>
              <w:top w:val="nil"/>
            </w:tcBorders>
          </w:tcPr>
          <w:p w14:paraId="77A4AC06" w14:textId="77777777" w:rsidR="008A424E" w:rsidRPr="00BD0DDA" w:rsidRDefault="008A424E" w:rsidP="00241D3C">
            <w:pPr>
              <w:jc w:val="center"/>
              <w:rPr>
                <w:b/>
                <w:bCs/>
                <w:sz w:val="22"/>
                <w:szCs w:val="22"/>
              </w:rPr>
            </w:pPr>
          </w:p>
        </w:tc>
        <w:tc>
          <w:tcPr>
            <w:tcW w:w="1134" w:type="dxa"/>
            <w:tcBorders>
              <w:top w:val="nil"/>
            </w:tcBorders>
          </w:tcPr>
          <w:p w14:paraId="036862C3" w14:textId="77777777" w:rsidR="008A424E" w:rsidRPr="00BD0DDA" w:rsidRDefault="008A424E" w:rsidP="00241D3C">
            <w:pPr>
              <w:jc w:val="center"/>
              <w:rPr>
                <w:b/>
                <w:bCs/>
                <w:sz w:val="22"/>
                <w:szCs w:val="22"/>
              </w:rPr>
            </w:pPr>
          </w:p>
        </w:tc>
        <w:tc>
          <w:tcPr>
            <w:tcW w:w="1080" w:type="dxa"/>
            <w:tcBorders>
              <w:top w:val="nil"/>
            </w:tcBorders>
          </w:tcPr>
          <w:p w14:paraId="56A17AA0" w14:textId="77777777" w:rsidR="008A424E" w:rsidRPr="00BD0DDA" w:rsidRDefault="008A424E" w:rsidP="00241D3C">
            <w:pPr>
              <w:jc w:val="center"/>
              <w:rPr>
                <w:b/>
                <w:bCs/>
                <w:sz w:val="22"/>
                <w:szCs w:val="22"/>
              </w:rPr>
            </w:pPr>
          </w:p>
        </w:tc>
        <w:tc>
          <w:tcPr>
            <w:tcW w:w="1276" w:type="dxa"/>
            <w:tcBorders>
              <w:top w:val="nil"/>
            </w:tcBorders>
          </w:tcPr>
          <w:p w14:paraId="0BEA3747" w14:textId="77777777" w:rsidR="008A424E" w:rsidRPr="00BD0DDA" w:rsidRDefault="008A424E" w:rsidP="00241D3C">
            <w:pPr>
              <w:jc w:val="center"/>
              <w:rPr>
                <w:b/>
                <w:bCs/>
                <w:sz w:val="22"/>
                <w:szCs w:val="22"/>
              </w:rPr>
            </w:pPr>
            <w:r w:rsidRPr="00BD0DDA">
              <w:rPr>
                <w:b/>
                <w:bCs/>
                <w:sz w:val="22"/>
                <w:szCs w:val="22"/>
              </w:rPr>
              <w:t>(95% CI)</w:t>
            </w:r>
          </w:p>
        </w:tc>
        <w:tc>
          <w:tcPr>
            <w:tcW w:w="1187" w:type="dxa"/>
            <w:tcBorders>
              <w:top w:val="nil"/>
            </w:tcBorders>
          </w:tcPr>
          <w:p w14:paraId="33574887" w14:textId="77777777" w:rsidR="008A424E" w:rsidRPr="00BD0DDA" w:rsidRDefault="008A424E" w:rsidP="00241D3C">
            <w:pPr>
              <w:jc w:val="center"/>
              <w:rPr>
                <w:b/>
                <w:bCs/>
                <w:sz w:val="22"/>
                <w:szCs w:val="22"/>
              </w:rPr>
            </w:pPr>
          </w:p>
        </w:tc>
      </w:tr>
      <w:tr w:rsidR="006114CF" w:rsidRPr="00BD0DDA" w14:paraId="0A75282E" w14:textId="77777777" w:rsidTr="00680873">
        <w:tc>
          <w:tcPr>
            <w:tcW w:w="1833" w:type="dxa"/>
            <w:tcBorders>
              <w:bottom w:val="single" w:sz="4" w:space="0" w:color="auto"/>
            </w:tcBorders>
          </w:tcPr>
          <w:p w14:paraId="57DA5043" w14:textId="77777777" w:rsidR="008A424E" w:rsidRPr="007A3CE9" w:rsidRDefault="008A424E" w:rsidP="00241D3C">
            <w:pPr>
              <w:rPr>
                <w:b/>
                <w:bCs/>
                <w:sz w:val="22"/>
                <w:szCs w:val="22"/>
              </w:rPr>
            </w:pPr>
            <w:r w:rsidRPr="007A3CE9">
              <w:rPr>
                <w:b/>
                <w:bCs/>
              </w:rPr>
              <w:t>N</w:t>
            </w:r>
          </w:p>
        </w:tc>
        <w:tc>
          <w:tcPr>
            <w:tcW w:w="1115" w:type="dxa"/>
            <w:tcBorders>
              <w:bottom w:val="single" w:sz="4" w:space="0" w:color="auto"/>
            </w:tcBorders>
          </w:tcPr>
          <w:p w14:paraId="6D460496" w14:textId="77777777" w:rsidR="008A424E" w:rsidRPr="00BD0DDA" w:rsidRDefault="008A424E" w:rsidP="00241D3C">
            <w:pPr>
              <w:jc w:val="center"/>
              <w:rPr>
                <w:sz w:val="22"/>
                <w:szCs w:val="22"/>
              </w:rPr>
            </w:pPr>
            <w:r w:rsidRPr="00001EC1">
              <w:rPr>
                <w:sz w:val="22"/>
                <w:szCs w:val="22"/>
              </w:rPr>
              <w:t>1,690</w:t>
            </w:r>
          </w:p>
        </w:tc>
        <w:tc>
          <w:tcPr>
            <w:tcW w:w="965" w:type="dxa"/>
            <w:tcBorders>
              <w:bottom w:val="single" w:sz="4" w:space="0" w:color="auto"/>
            </w:tcBorders>
          </w:tcPr>
          <w:p w14:paraId="322ADE10" w14:textId="77777777" w:rsidR="008A424E" w:rsidRPr="00BD0DDA" w:rsidRDefault="008A424E" w:rsidP="00241D3C">
            <w:pPr>
              <w:jc w:val="center"/>
              <w:rPr>
                <w:sz w:val="22"/>
                <w:szCs w:val="22"/>
              </w:rPr>
            </w:pPr>
            <w:r w:rsidRPr="00001EC1">
              <w:rPr>
                <w:sz w:val="22"/>
                <w:szCs w:val="22"/>
              </w:rPr>
              <w:t>20,199</w:t>
            </w:r>
          </w:p>
        </w:tc>
        <w:tc>
          <w:tcPr>
            <w:tcW w:w="1276" w:type="dxa"/>
            <w:tcBorders>
              <w:bottom w:val="single" w:sz="4" w:space="0" w:color="auto"/>
            </w:tcBorders>
          </w:tcPr>
          <w:p w14:paraId="3195D11F" w14:textId="77777777" w:rsidR="008A424E" w:rsidRPr="00BD0DDA" w:rsidRDefault="008A424E" w:rsidP="00241D3C">
            <w:pPr>
              <w:jc w:val="center"/>
              <w:rPr>
                <w:sz w:val="22"/>
                <w:szCs w:val="22"/>
              </w:rPr>
            </w:pPr>
          </w:p>
        </w:tc>
        <w:tc>
          <w:tcPr>
            <w:tcW w:w="1134" w:type="dxa"/>
            <w:tcBorders>
              <w:bottom w:val="single" w:sz="4" w:space="0" w:color="auto"/>
            </w:tcBorders>
          </w:tcPr>
          <w:p w14:paraId="5B846CC6" w14:textId="77777777" w:rsidR="008A424E" w:rsidRPr="00BD0DDA" w:rsidRDefault="008A424E" w:rsidP="00241D3C">
            <w:pPr>
              <w:jc w:val="center"/>
              <w:rPr>
                <w:sz w:val="22"/>
                <w:szCs w:val="22"/>
              </w:rPr>
            </w:pPr>
          </w:p>
        </w:tc>
        <w:tc>
          <w:tcPr>
            <w:tcW w:w="992" w:type="dxa"/>
            <w:tcBorders>
              <w:bottom w:val="single" w:sz="4" w:space="0" w:color="auto"/>
            </w:tcBorders>
          </w:tcPr>
          <w:p w14:paraId="024DD1F5" w14:textId="77777777" w:rsidR="008A424E" w:rsidRPr="00BD0DDA" w:rsidRDefault="008A424E" w:rsidP="00241D3C">
            <w:pPr>
              <w:jc w:val="center"/>
              <w:rPr>
                <w:sz w:val="22"/>
                <w:szCs w:val="22"/>
              </w:rPr>
            </w:pPr>
            <w:r w:rsidRPr="00001EC1">
              <w:rPr>
                <w:sz w:val="22"/>
                <w:szCs w:val="22"/>
              </w:rPr>
              <w:t>11,887</w:t>
            </w:r>
          </w:p>
        </w:tc>
        <w:tc>
          <w:tcPr>
            <w:tcW w:w="1134" w:type="dxa"/>
            <w:tcBorders>
              <w:bottom w:val="single" w:sz="4" w:space="0" w:color="auto"/>
            </w:tcBorders>
          </w:tcPr>
          <w:p w14:paraId="7E7C584D" w14:textId="77777777" w:rsidR="008A424E" w:rsidRPr="00BD0DDA" w:rsidRDefault="008A424E" w:rsidP="00241D3C">
            <w:pPr>
              <w:jc w:val="center"/>
              <w:rPr>
                <w:sz w:val="22"/>
                <w:szCs w:val="22"/>
              </w:rPr>
            </w:pPr>
            <w:r w:rsidRPr="00001EC1">
              <w:rPr>
                <w:sz w:val="22"/>
                <w:szCs w:val="22"/>
              </w:rPr>
              <w:t>213,329</w:t>
            </w:r>
          </w:p>
        </w:tc>
        <w:tc>
          <w:tcPr>
            <w:tcW w:w="1276" w:type="dxa"/>
            <w:tcBorders>
              <w:bottom w:val="single" w:sz="4" w:space="0" w:color="auto"/>
            </w:tcBorders>
          </w:tcPr>
          <w:p w14:paraId="035479F0" w14:textId="77777777" w:rsidR="008A424E" w:rsidRPr="00BD0DDA" w:rsidRDefault="008A424E" w:rsidP="00241D3C">
            <w:pPr>
              <w:jc w:val="center"/>
              <w:rPr>
                <w:sz w:val="22"/>
                <w:szCs w:val="22"/>
              </w:rPr>
            </w:pPr>
          </w:p>
        </w:tc>
        <w:tc>
          <w:tcPr>
            <w:tcW w:w="1134" w:type="dxa"/>
            <w:tcBorders>
              <w:bottom w:val="single" w:sz="4" w:space="0" w:color="auto"/>
            </w:tcBorders>
          </w:tcPr>
          <w:p w14:paraId="5AD6AF3F" w14:textId="77777777" w:rsidR="008A424E" w:rsidRPr="00BD0DDA" w:rsidRDefault="008A424E" w:rsidP="00241D3C">
            <w:pPr>
              <w:jc w:val="center"/>
              <w:rPr>
                <w:sz w:val="22"/>
                <w:szCs w:val="22"/>
              </w:rPr>
            </w:pPr>
          </w:p>
        </w:tc>
        <w:tc>
          <w:tcPr>
            <w:tcW w:w="1134" w:type="dxa"/>
            <w:tcBorders>
              <w:bottom w:val="single" w:sz="4" w:space="0" w:color="auto"/>
            </w:tcBorders>
          </w:tcPr>
          <w:p w14:paraId="790DF387" w14:textId="77777777" w:rsidR="008A424E" w:rsidRPr="00BD0DDA" w:rsidRDefault="008A424E" w:rsidP="00241D3C">
            <w:pPr>
              <w:jc w:val="center"/>
              <w:rPr>
                <w:sz w:val="22"/>
                <w:szCs w:val="22"/>
              </w:rPr>
            </w:pPr>
            <w:r w:rsidRPr="00001EC1">
              <w:rPr>
                <w:sz w:val="22"/>
                <w:szCs w:val="22"/>
              </w:rPr>
              <w:t>4,913</w:t>
            </w:r>
          </w:p>
        </w:tc>
        <w:tc>
          <w:tcPr>
            <w:tcW w:w="1080" w:type="dxa"/>
            <w:tcBorders>
              <w:bottom w:val="single" w:sz="4" w:space="0" w:color="auto"/>
            </w:tcBorders>
          </w:tcPr>
          <w:p w14:paraId="27448B9D" w14:textId="77777777" w:rsidR="008A424E" w:rsidRPr="00BD0DDA" w:rsidRDefault="008A424E" w:rsidP="00241D3C">
            <w:pPr>
              <w:jc w:val="center"/>
              <w:rPr>
                <w:sz w:val="22"/>
                <w:szCs w:val="22"/>
              </w:rPr>
            </w:pPr>
            <w:r w:rsidRPr="00001EC1">
              <w:rPr>
                <w:sz w:val="22"/>
                <w:szCs w:val="22"/>
              </w:rPr>
              <w:t>76,037</w:t>
            </w:r>
          </w:p>
        </w:tc>
        <w:tc>
          <w:tcPr>
            <w:tcW w:w="1276" w:type="dxa"/>
            <w:tcBorders>
              <w:bottom w:val="single" w:sz="4" w:space="0" w:color="auto"/>
            </w:tcBorders>
          </w:tcPr>
          <w:p w14:paraId="0BACCC65" w14:textId="77777777" w:rsidR="008A424E" w:rsidRPr="00BD0DDA" w:rsidRDefault="008A424E" w:rsidP="00241D3C">
            <w:pPr>
              <w:jc w:val="center"/>
              <w:rPr>
                <w:sz w:val="22"/>
                <w:szCs w:val="22"/>
              </w:rPr>
            </w:pPr>
          </w:p>
        </w:tc>
        <w:tc>
          <w:tcPr>
            <w:tcW w:w="1187" w:type="dxa"/>
            <w:tcBorders>
              <w:bottom w:val="single" w:sz="4" w:space="0" w:color="auto"/>
            </w:tcBorders>
          </w:tcPr>
          <w:p w14:paraId="7F2A07AB" w14:textId="77777777" w:rsidR="008A424E" w:rsidRPr="00BD0DDA" w:rsidRDefault="008A424E" w:rsidP="00241D3C">
            <w:pPr>
              <w:jc w:val="center"/>
              <w:rPr>
                <w:sz w:val="22"/>
                <w:szCs w:val="22"/>
              </w:rPr>
            </w:pPr>
          </w:p>
        </w:tc>
      </w:tr>
      <w:tr w:rsidR="006114CF" w:rsidRPr="00BD0DDA" w14:paraId="062B4672" w14:textId="77777777" w:rsidTr="00680873">
        <w:tc>
          <w:tcPr>
            <w:tcW w:w="1833" w:type="dxa"/>
            <w:tcBorders>
              <w:bottom w:val="nil"/>
            </w:tcBorders>
          </w:tcPr>
          <w:p w14:paraId="4B932655" w14:textId="77777777" w:rsidR="008A424E" w:rsidRPr="00BD0DDA" w:rsidRDefault="008A424E" w:rsidP="00241D3C">
            <w:pPr>
              <w:ind w:right="-472"/>
              <w:rPr>
                <w:sz w:val="22"/>
                <w:szCs w:val="22"/>
              </w:rPr>
            </w:pPr>
            <w:r w:rsidRPr="00001EC1">
              <w:rPr>
                <w:sz w:val="22"/>
                <w:szCs w:val="22"/>
              </w:rPr>
              <w:t xml:space="preserve">Combined SGLT2i </w:t>
            </w:r>
          </w:p>
        </w:tc>
        <w:tc>
          <w:tcPr>
            <w:tcW w:w="1115" w:type="dxa"/>
            <w:tcBorders>
              <w:bottom w:val="nil"/>
            </w:tcBorders>
          </w:tcPr>
          <w:p w14:paraId="67325881" w14:textId="77777777" w:rsidR="008A424E" w:rsidRPr="00BD0DDA" w:rsidRDefault="008A424E" w:rsidP="00241D3C">
            <w:pPr>
              <w:jc w:val="center"/>
              <w:rPr>
                <w:sz w:val="22"/>
                <w:szCs w:val="22"/>
              </w:rPr>
            </w:pPr>
            <w:r>
              <w:t>6</w:t>
            </w:r>
          </w:p>
        </w:tc>
        <w:tc>
          <w:tcPr>
            <w:tcW w:w="965" w:type="dxa"/>
            <w:tcBorders>
              <w:bottom w:val="nil"/>
            </w:tcBorders>
          </w:tcPr>
          <w:p w14:paraId="117A2D99" w14:textId="2B05D4A3" w:rsidR="008A424E" w:rsidRPr="00BD0DDA" w:rsidRDefault="00EC48EB" w:rsidP="00241D3C">
            <w:pPr>
              <w:jc w:val="center"/>
              <w:rPr>
                <w:sz w:val="22"/>
                <w:szCs w:val="22"/>
              </w:rPr>
            </w:pPr>
            <w:r>
              <w:t>45</w:t>
            </w:r>
          </w:p>
        </w:tc>
        <w:tc>
          <w:tcPr>
            <w:tcW w:w="1276" w:type="dxa"/>
            <w:tcBorders>
              <w:bottom w:val="nil"/>
            </w:tcBorders>
          </w:tcPr>
          <w:p w14:paraId="17340D2B" w14:textId="77777777" w:rsidR="008A424E" w:rsidRPr="00BD0DDA" w:rsidRDefault="008A424E" w:rsidP="00241D3C">
            <w:pPr>
              <w:jc w:val="center"/>
              <w:rPr>
                <w:sz w:val="22"/>
                <w:szCs w:val="22"/>
              </w:rPr>
            </w:pPr>
            <w:r>
              <w:t>0.66</w:t>
            </w:r>
          </w:p>
        </w:tc>
        <w:tc>
          <w:tcPr>
            <w:tcW w:w="1134" w:type="dxa"/>
            <w:tcBorders>
              <w:bottom w:val="nil"/>
            </w:tcBorders>
          </w:tcPr>
          <w:p w14:paraId="42E9E225" w14:textId="3F04E33C" w:rsidR="008A424E" w:rsidRPr="00BD0DDA" w:rsidRDefault="008A424E" w:rsidP="00241D3C">
            <w:pPr>
              <w:jc w:val="center"/>
              <w:rPr>
                <w:sz w:val="22"/>
                <w:szCs w:val="22"/>
              </w:rPr>
            </w:pPr>
            <w:r>
              <w:t>0.</w:t>
            </w:r>
            <w:r w:rsidR="007646D8">
              <w:t>60</w:t>
            </w:r>
          </w:p>
        </w:tc>
        <w:tc>
          <w:tcPr>
            <w:tcW w:w="992" w:type="dxa"/>
            <w:tcBorders>
              <w:bottom w:val="nil"/>
            </w:tcBorders>
          </w:tcPr>
          <w:p w14:paraId="21956FC6" w14:textId="398E5468" w:rsidR="008A424E" w:rsidRPr="00BD0DDA" w:rsidRDefault="00914567" w:rsidP="00241D3C">
            <w:pPr>
              <w:jc w:val="center"/>
              <w:rPr>
                <w:sz w:val="22"/>
                <w:szCs w:val="22"/>
              </w:rPr>
            </w:pPr>
            <w:r>
              <w:t>25</w:t>
            </w:r>
          </w:p>
        </w:tc>
        <w:tc>
          <w:tcPr>
            <w:tcW w:w="1134" w:type="dxa"/>
            <w:tcBorders>
              <w:bottom w:val="nil"/>
            </w:tcBorders>
          </w:tcPr>
          <w:p w14:paraId="7CEDB998" w14:textId="2448EAEE" w:rsidR="008A424E" w:rsidRPr="00BD0DDA" w:rsidRDefault="00D06907" w:rsidP="00241D3C">
            <w:pPr>
              <w:jc w:val="center"/>
              <w:rPr>
                <w:sz w:val="22"/>
                <w:szCs w:val="22"/>
              </w:rPr>
            </w:pPr>
            <w:r>
              <w:t>768</w:t>
            </w:r>
          </w:p>
        </w:tc>
        <w:tc>
          <w:tcPr>
            <w:tcW w:w="1276" w:type="dxa"/>
            <w:tcBorders>
              <w:bottom w:val="nil"/>
            </w:tcBorders>
          </w:tcPr>
          <w:p w14:paraId="46F6050A" w14:textId="1C697B70" w:rsidR="008A424E" w:rsidRPr="00BD0DDA" w:rsidRDefault="008A424E" w:rsidP="00241D3C">
            <w:pPr>
              <w:jc w:val="center"/>
              <w:rPr>
                <w:sz w:val="22"/>
                <w:szCs w:val="22"/>
              </w:rPr>
            </w:pPr>
            <w:r>
              <w:t>0.</w:t>
            </w:r>
            <w:r w:rsidR="001A50F8">
              <w:t>81</w:t>
            </w:r>
          </w:p>
        </w:tc>
        <w:tc>
          <w:tcPr>
            <w:tcW w:w="1134" w:type="dxa"/>
            <w:tcBorders>
              <w:bottom w:val="nil"/>
            </w:tcBorders>
          </w:tcPr>
          <w:p w14:paraId="672C1E2E" w14:textId="15B13C66" w:rsidR="008A424E" w:rsidRPr="00BD0DDA" w:rsidRDefault="008A424E" w:rsidP="00241D3C">
            <w:pPr>
              <w:jc w:val="center"/>
              <w:rPr>
                <w:sz w:val="22"/>
                <w:szCs w:val="22"/>
              </w:rPr>
            </w:pPr>
            <w:r>
              <w:t>0.</w:t>
            </w:r>
            <w:r w:rsidR="006114CF">
              <w:t>73</w:t>
            </w:r>
          </w:p>
        </w:tc>
        <w:tc>
          <w:tcPr>
            <w:tcW w:w="1134" w:type="dxa"/>
            <w:tcBorders>
              <w:bottom w:val="nil"/>
            </w:tcBorders>
          </w:tcPr>
          <w:p w14:paraId="228ECAD7" w14:textId="4B66DE2F" w:rsidR="008A424E" w:rsidRPr="00BD0DDA" w:rsidRDefault="00C26EEA" w:rsidP="00241D3C">
            <w:pPr>
              <w:jc w:val="center"/>
              <w:rPr>
                <w:sz w:val="22"/>
                <w:szCs w:val="22"/>
              </w:rPr>
            </w:pPr>
            <w:r>
              <w:t>22</w:t>
            </w:r>
          </w:p>
        </w:tc>
        <w:tc>
          <w:tcPr>
            <w:tcW w:w="1080" w:type="dxa"/>
            <w:tcBorders>
              <w:bottom w:val="nil"/>
            </w:tcBorders>
          </w:tcPr>
          <w:p w14:paraId="5B0864CF" w14:textId="446695B4" w:rsidR="008A424E" w:rsidRPr="00BD0DDA" w:rsidRDefault="00C26EEA" w:rsidP="00241D3C">
            <w:pPr>
              <w:jc w:val="center"/>
              <w:rPr>
                <w:sz w:val="22"/>
                <w:szCs w:val="22"/>
              </w:rPr>
            </w:pPr>
            <w:r>
              <w:t>411</w:t>
            </w:r>
          </w:p>
        </w:tc>
        <w:tc>
          <w:tcPr>
            <w:tcW w:w="1276" w:type="dxa"/>
            <w:tcBorders>
              <w:bottom w:val="nil"/>
            </w:tcBorders>
          </w:tcPr>
          <w:p w14:paraId="6C1036B5" w14:textId="2E89F20F" w:rsidR="008A424E" w:rsidRPr="00BD0DDA" w:rsidRDefault="008A424E" w:rsidP="00241D3C">
            <w:pPr>
              <w:jc w:val="center"/>
              <w:rPr>
                <w:sz w:val="22"/>
                <w:szCs w:val="22"/>
              </w:rPr>
            </w:pPr>
            <w:r>
              <w:t>0.</w:t>
            </w:r>
            <w:r w:rsidR="007C76B6">
              <w:t>85</w:t>
            </w:r>
          </w:p>
        </w:tc>
        <w:tc>
          <w:tcPr>
            <w:tcW w:w="1187" w:type="dxa"/>
            <w:tcBorders>
              <w:bottom w:val="nil"/>
            </w:tcBorders>
          </w:tcPr>
          <w:p w14:paraId="450FB1F8" w14:textId="1A7FDF5F" w:rsidR="008A424E" w:rsidRPr="00BD0DDA" w:rsidRDefault="008A424E" w:rsidP="00241D3C">
            <w:pPr>
              <w:jc w:val="center"/>
              <w:rPr>
                <w:sz w:val="22"/>
                <w:szCs w:val="22"/>
              </w:rPr>
            </w:pPr>
            <w:r>
              <w:t>0.</w:t>
            </w:r>
            <w:r w:rsidR="006269FD">
              <w:t>70</w:t>
            </w:r>
          </w:p>
        </w:tc>
      </w:tr>
      <w:tr w:rsidR="006114CF" w:rsidRPr="00BD0DDA" w14:paraId="608042C3" w14:textId="77777777" w:rsidTr="00680873">
        <w:tc>
          <w:tcPr>
            <w:tcW w:w="1833" w:type="dxa"/>
            <w:tcBorders>
              <w:top w:val="nil"/>
              <w:bottom w:val="single" w:sz="4" w:space="0" w:color="auto"/>
            </w:tcBorders>
          </w:tcPr>
          <w:p w14:paraId="453A449A" w14:textId="77777777" w:rsidR="008A424E" w:rsidRPr="00BD0DDA" w:rsidRDefault="008A424E" w:rsidP="00241D3C">
            <w:pPr>
              <w:rPr>
                <w:sz w:val="22"/>
                <w:szCs w:val="22"/>
              </w:rPr>
            </w:pPr>
            <w:r w:rsidRPr="00001EC1">
              <w:rPr>
                <w:sz w:val="22"/>
                <w:szCs w:val="22"/>
              </w:rPr>
              <w:t>&amp; GLP-1RA regimens</w:t>
            </w:r>
          </w:p>
        </w:tc>
        <w:tc>
          <w:tcPr>
            <w:tcW w:w="1115" w:type="dxa"/>
            <w:tcBorders>
              <w:top w:val="nil"/>
              <w:bottom w:val="single" w:sz="4" w:space="0" w:color="auto"/>
            </w:tcBorders>
          </w:tcPr>
          <w:p w14:paraId="6766A2D5" w14:textId="77777777" w:rsidR="008A424E" w:rsidRPr="00BD0DDA" w:rsidRDefault="008A424E" w:rsidP="00241D3C">
            <w:pPr>
              <w:jc w:val="center"/>
              <w:rPr>
                <w:sz w:val="22"/>
                <w:szCs w:val="22"/>
              </w:rPr>
            </w:pPr>
            <w:r>
              <w:t>(0.4)</w:t>
            </w:r>
          </w:p>
        </w:tc>
        <w:tc>
          <w:tcPr>
            <w:tcW w:w="965" w:type="dxa"/>
            <w:tcBorders>
              <w:top w:val="nil"/>
              <w:bottom w:val="single" w:sz="4" w:space="0" w:color="auto"/>
            </w:tcBorders>
          </w:tcPr>
          <w:p w14:paraId="6781ABE1" w14:textId="36A902E0" w:rsidR="008A424E" w:rsidRPr="00BD0DDA" w:rsidRDefault="008A424E" w:rsidP="00241D3C">
            <w:pPr>
              <w:jc w:val="center"/>
              <w:rPr>
                <w:sz w:val="22"/>
                <w:szCs w:val="22"/>
              </w:rPr>
            </w:pPr>
            <w:r>
              <w:t>(0.</w:t>
            </w:r>
            <w:r w:rsidR="00EC48EB">
              <w:t>2</w:t>
            </w:r>
            <w:r>
              <w:t>)</w:t>
            </w:r>
          </w:p>
        </w:tc>
        <w:tc>
          <w:tcPr>
            <w:tcW w:w="1276" w:type="dxa"/>
            <w:tcBorders>
              <w:top w:val="nil"/>
              <w:bottom w:val="single" w:sz="4" w:space="0" w:color="auto"/>
            </w:tcBorders>
          </w:tcPr>
          <w:p w14:paraId="74ABC328" w14:textId="09F2CF58" w:rsidR="008A424E" w:rsidRPr="00BD0DDA" w:rsidRDefault="008A424E" w:rsidP="00241D3C">
            <w:pPr>
              <w:jc w:val="center"/>
              <w:rPr>
                <w:sz w:val="22"/>
                <w:szCs w:val="22"/>
              </w:rPr>
            </w:pPr>
            <w:r w:rsidRPr="00001EC1">
              <w:rPr>
                <w:sz w:val="22"/>
                <w:szCs w:val="22"/>
              </w:rPr>
              <w:t>(0</w:t>
            </w:r>
            <w:r>
              <w:t>.</w:t>
            </w:r>
            <w:r w:rsidR="008B351B" w:rsidRPr="00001EC1">
              <w:rPr>
                <w:sz w:val="22"/>
                <w:szCs w:val="22"/>
              </w:rPr>
              <w:t>2</w:t>
            </w:r>
            <w:r w:rsidR="008B351B">
              <w:rPr>
                <w:sz w:val="22"/>
                <w:szCs w:val="22"/>
              </w:rPr>
              <w:t>2</w:t>
            </w:r>
            <w:r w:rsidRPr="00001EC1">
              <w:rPr>
                <w:sz w:val="22"/>
                <w:szCs w:val="22"/>
              </w:rPr>
              <w:t>-1</w:t>
            </w:r>
            <w:r>
              <w:t>.</w:t>
            </w:r>
            <w:r w:rsidR="008B351B">
              <w:rPr>
                <w:sz w:val="22"/>
                <w:szCs w:val="22"/>
              </w:rPr>
              <w:t>98</w:t>
            </w:r>
            <w:r w:rsidRPr="00001EC1">
              <w:rPr>
                <w:sz w:val="22"/>
                <w:szCs w:val="22"/>
              </w:rPr>
              <w:t>)</w:t>
            </w:r>
          </w:p>
        </w:tc>
        <w:tc>
          <w:tcPr>
            <w:tcW w:w="1134" w:type="dxa"/>
            <w:tcBorders>
              <w:top w:val="nil"/>
              <w:bottom w:val="single" w:sz="4" w:space="0" w:color="auto"/>
            </w:tcBorders>
          </w:tcPr>
          <w:p w14:paraId="7C6ACF5C" w14:textId="63DC1D64" w:rsidR="008A424E" w:rsidRPr="00BD0DDA" w:rsidRDefault="008A424E" w:rsidP="00241D3C">
            <w:pPr>
              <w:jc w:val="center"/>
              <w:rPr>
                <w:sz w:val="22"/>
                <w:szCs w:val="22"/>
              </w:rPr>
            </w:pPr>
            <w:r w:rsidRPr="00001EC1">
              <w:rPr>
                <w:sz w:val="22"/>
                <w:szCs w:val="22"/>
              </w:rPr>
              <w:t>(0</w:t>
            </w:r>
            <w:r>
              <w:t>.</w:t>
            </w:r>
            <w:r w:rsidR="007646D8">
              <w:rPr>
                <w:sz w:val="22"/>
                <w:szCs w:val="22"/>
              </w:rPr>
              <w:t>26</w:t>
            </w:r>
            <w:r w:rsidRPr="00001EC1">
              <w:rPr>
                <w:sz w:val="22"/>
                <w:szCs w:val="22"/>
              </w:rPr>
              <w:t>-1</w:t>
            </w:r>
            <w:r>
              <w:t>.</w:t>
            </w:r>
            <w:r w:rsidR="007646D8">
              <w:rPr>
                <w:sz w:val="22"/>
                <w:szCs w:val="22"/>
              </w:rPr>
              <w:t>52</w:t>
            </w:r>
            <w:r w:rsidRPr="00001EC1">
              <w:rPr>
                <w:sz w:val="22"/>
                <w:szCs w:val="22"/>
              </w:rPr>
              <w:t>)</w:t>
            </w:r>
          </w:p>
        </w:tc>
        <w:tc>
          <w:tcPr>
            <w:tcW w:w="992" w:type="dxa"/>
            <w:tcBorders>
              <w:top w:val="nil"/>
              <w:bottom w:val="single" w:sz="4" w:space="0" w:color="auto"/>
            </w:tcBorders>
          </w:tcPr>
          <w:p w14:paraId="28A20A1D" w14:textId="0E6073B3" w:rsidR="008A424E" w:rsidRPr="00BD0DDA" w:rsidRDefault="008A424E" w:rsidP="00241D3C">
            <w:pPr>
              <w:jc w:val="center"/>
              <w:rPr>
                <w:sz w:val="22"/>
                <w:szCs w:val="22"/>
              </w:rPr>
            </w:pPr>
            <w:r>
              <w:t>(0.</w:t>
            </w:r>
            <w:r w:rsidR="00914567">
              <w:t>2</w:t>
            </w:r>
            <w:r>
              <w:t>)</w:t>
            </w:r>
          </w:p>
        </w:tc>
        <w:tc>
          <w:tcPr>
            <w:tcW w:w="1134" w:type="dxa"/>
            <w:tcBorders>
              <w:top w:val="nil"/>
              <w:bottom w:val="single" w:sz="4" w:space="0" w:color="auto"/>
            </w:tcBorders>
          </w:tcPr>
          <w:p w14:paraId="6B6AC097" w14:textId="254362DC" w:rsidR="008A424E" w:rsidRPr="00BD0DDA" w:rsidRDefault="008A424E" w:rsidP="00241D3C">
            <w:pPr>
              <w:jc w:val="center"/>
              <w:rPr>
                <w:sz w:val="22"/>
                <w:szCs w:val="22"/>
              </w:rPr>
            </w:pPr>
            <w:r>
              <w:t>(0.</w:t>
            </w:r>
            <w:r w:rsidR="00D06907">
              <w:t>4</w:t>
            </w:r>
            <w:r>
              <w:t>)</w:t>
            </w:r>
          </w:p>
        </w:tc>
        <w:tc>
          <w:tcPr>
            <w:tcW w:w="1276" w:type="dxa"/>
            <w:tcBorders>
              <w:top w:val="nil"/>
              <w:bottom w:val="single" w:sz="4" w:space="0" w:color="auto"/>
            </w:tcBorders>
          </w:tcPr>
          <w:p w14:paraId="796B5AB0" w14:textId="0A25402E" w:rsidR="008A424E" w:rsidRPr="00BD0DDA" w:rsidRDefault="008A424E" w:rsidP="00241D3C">
            <w:pPr>
              <w:jc w:val="center"/>
              <w:rPr>
                <w:sz w:val="22"/>
                <w:szCs w:val="22"/>
              </w:rPr>
            </w:pPr>
            <w:r w:rsidRPr="00001EC1">
              <w:rPr>
                <w:sz w:val="22"/>
                <w:szCs w:val="22"/>
              </w:rPr>
              <w:t>(0</w:t>
            </w:r>
            <w:r>
              <w:t>.</w:t>
            </w:r>
            <w:r w:rsidR="001A50F8">
              <w:rPr>
                <w:sz w:val="22"/>
                <w:szCs w:val="22"/>
              </w:rPr>
              <w:t>54</w:t>
            </w:r>
            <w:r w:rsidRPr="00001EC1">
              <w:rPr>
                <w:sz w:val="22"/>
                <w:szCs w:val="22"/>
              </w:rPr>
              <w:t>-</w:t>
            </w:r>
            <w:r w:rsidR="001A50F8">
              <w:rPr>
                <w:sz w:val="22"/>
                <w:szCs w:val="22"/>
              </w:rPr>
              <w:t>1.08</w:t>
            </w:r>
            <w:r w:rsidRPr="00001EC1">
              <w:rPr>
                <w:sz w:val="22"/>
                <w:szCs w:val="22"/>
              </w:rPr>
              <w:t>)</w:t>
            </w:r>
          </w:p>
        </w:tc>
        <w:tc>
          <w:tcPr>
            <w:tcW w:w="1134" w:type="dxa"/>
            <w:tcBorders>
              <w:top w:val="nil"/>
              <w:bottom w:val="single" w:sz="4" w:space="0" w:color="auto"/>
            </w:tcBorders>
          </w:tcPr>
          <w:p w14:paraId="2682F944" w14:textId="57082EEF" w:rsidR="008A424E" w:rsidRPr="00BD0DDA" w:rsidRDefault="008A424E" w:rsidP="00241D3C">
            <w:pPr>
              <w:jc w:val="center"/>
              <w:rPr>
                <w:sz w:val="22"/>
                <w:szCs w:val="22"/>
              </w:rPr>
            </w:pPr>
            <w:r w:rsidRPr="00001EC1">
              <w:rPr>
                <w:sz w:val="22"/>
                <w:szCs w:val="22"/>
              </w:rPr>
              <w:t>(0</w:t>
            </w:r>
            <w:r>
              <w:t>.</w:t>
            </w:r>
            <w:r w:rsidR="006114CF" w:rsidRPr="00001EC1">
              <w:rPr>
                <w:sz w:val="22"/>
                <w:szCs w:val="22"/>
              </w:rPr>
              <w:t>4</w:t>
            </w:r>
            <w:r w:rsidR="006114CF">
              <w:rPr>
                <w:sz w:val="22"/>
                <w:szCs w:val="22"/>
              </w:rPr>
              <w:t>4</w:t>
            </w:r>
            <w:r w:rsidRPr="00001EC1">
              <w:rPr>
                <w:sz w:val="22"/>
                <w:szCs w:val="22"/>
              </w:rPr>
              <w:t>-1</w:t>
            </w:r>
            <w:r>
              <w:t>.</w:t>
            </w:r>
            <w:r w:rsidR="006114CF">
              <w:rPr>
                <w:sz w:val="22"/>
                <w:szCs w:val="22"/>
              </w:rPr>
              <w:t>11</w:t>
            </w:r>
            <w:r w:rsidRPr="00001EC1">
              <w:rPr>
                <w:sz w:val="22"/>
                <w:szCs w:val="22"/>
              </w:rPr>
              <w:t>)</w:t>
            </w:r>
          </w:p>
        </w:tc>
        <w:tc>
          <w:tcPr>
            <w:tcW w:w="1134" w:type="dxa"/>
            <w:tcBorders>
              <w:top w:val="nil"/>
              <w:bottom w:val="single" w:sz="4" w:space="0" w:color="auto"/>
            </w:tcBorders>
          </w:tcPr>
          <w:p w14:paraId="09A16BC4" w14:textId="77777777" w:rsidR="008A424E" w:rsidRPr="00BD0DDA" w:rsidRDefault="008A424E" w:rsidP="00241D3C">
            <w:pPr>
              <w:jc w:val="center"/>
              <w:rPr>
                <w:sz w:val="22"/>
                <w:szCs w:val="22"/>
              </w:rPr>
            </w:pPr>
            <w:r>
              <w:t>(0.5)</w:t>
            </w:r>
          </w:p>
        </w:tc>
        <w:tc>
          <w:tcPr>
            <w:tcW w:w="1080" w:type="dxa"/>
            <w:tcBorders>
              <w:top w:val="nil"/>
              <w:bottom w:val="single" w:sz="4" w:space="0" w:color="auto"/>
            </w:tcBorders>
          </w:tcPr>
          <w:p w14:paraId="10AFEB50" w14:textId="6FFD6827" w:rsidR="008A424E" w:rsidRPr="00BD0DDA" w:rsidRDefault="008A424E" w:rsidP="00241D3C">
            <w:pPr>
              <w:jc w:val="center"/>
              <w:rPr>
                <w:sz w:val="22"/>
                <w:szCs w:val="22"/>
              </w:rPr>
            </w:pPr>
            <w:r>
              <w:t>(0.</w:t>
            </w:r>
            <w:r w:rsidR="00C26EEA">
              <w:t>5</w:t>
            </w:r>
            <w:r>
              <w:t>)</w:t>
            </w:r>
          </w:p>
        </w:tc>
        <w:tc>
          <w:tcPr>
            <w:tcW w:w="1276" w:type="dxa"/>
            <w:tcBorders>
              <w:top w:val="nil"/>
              <w:bottom w:val="single" w:sz="4" w:space="0" w:color="auto"/>
            </w:tcBorders>
          </w:tcPr>
          <w:p w14:paraId="47E31CE0" w14:textId="587A5191" w:rsidR="008A424E" w:rsidRPr="00BD0DDA" w:rsidRDefault="008A424E" w:rsidP="00241D3C">
            <w:pPr>
              <w:jc w:val="center"/>
              <w:rPr>
                <w:sz w:val="22"/>
                <w:szCs w:val="22"/>
              </w:rPr>
            </w:pPr>
            <w:r w:rsidRPr="00001EC1">
              <w:rPr>
                <w:sz w:val="22"/>
                <w:szCs w:val="22"/>
              </w:rPr>
              <w:t>(0</w:t>
            </w:r>
            <w:r>
              <w:t>.</w:t>
            </w:r>
            <w:r w:rsidR="007C76B6">
              <w:rPr>
                <w:sz w:val="22"/>
                <w:szCs w:val="22"/>
              </w:rPr>
              <w:t>55</w:t>
            </w:r>
            <w:r w:rsidRPr="00001EC1">
              <w:rPr>
                <w:sz w:val="22"/>
                <w:szCs w:val="22"/>
              </w:rPr>
              <w:t>-1</w:t>
            </w:r>
            <w:r>
              <w:t>.</w:t>
            </w:r>
            <w:r w:rsidR="007C76B6">
              <w:rPr>
                <w:sz w:val="22"/>
                <w:szCs w:val="22"/>
              </w:rPr>
              <w:t>31</w:t>
            </w:r>
            <w:r w:rsidRPr="00001EC1">
              <w:rPr>
                <w:sz w:val="22"/>
                <w:szCs w:val="22"/>
              </w:rPr>
              <w:t>)</w:t>
            </w:r>
          </w:p>
        </w:tc>
        <w:tc>
          <w:tcPr>
            <w:tcW w:w="1187" w:type="dxa"/>
            <w:tcBorders>
              <w:top w:val="nil"/>
              <w:bottom w:val="single" w:sz="4" w:space="0" w:color="auto"/>
            </w:tcBorders>
          </w:tcPr>
          <w:p w14:paraId="6ED79BC8" w14:textId="4BCA5708" w:rsidR="008A424E" w:rsidRPr="00BD0DDA" w:rsidRDefault="008A424E" w:rsidP="00241D3C">
            <w:pPr>
              <w:jc w:val="center"/>
              <w:rPr>
                <w:sz w:val="22"/>
                <w:szCs w:val="22"/>
              </w:rPr>
            </w:pPr>
            <w:r w:rsidRPr="00001EC1">
              <w:rPr>
                <w:sz w:val="22"/>
                <w:szCs w:val="22"/>
              </w:rPr>
              <w:t>(0</w:t>
            </w:r>
            <w:r>
              <w:t>.</w:t>
            </w:r>
            <w:r w:rsidR="006269FD">
              <w:rPr>
                <w:sz w:val="22"/>
                <w:szCs w:val="22"/>
              </w:rPr>
              <w:t>40</w:t>
            </w:r>
            <w:r w:rsidRPr="00001EC1">
              <w:rPr>
                <w:sz w:val="22"/>
                <w:szCs w:val="22"/>
              </w:rPr>
              <w:t>-1</w:t>
            </w:r>
            <w:r>
              <w:t>.</w:t>
            </w:r>
            <w:r w:rsidR="006269FD">
              <w:rPr>
                <w:sz w:val="22"/>
                <w:szCs w:val="22"/>
              </w:rPr>
              <w:t>34</w:t>
            </w:r>
            <w:r w:rsidRPr="00001EC1">
              <w:rPr>
                <w:sz w:val="22"/>
                <w:szCs w:val="22"/>
              </w:rPr>
              <w:t>)</w:t>
            </w:r>
          </w:p>
        </w:tc>
      </w:tr>
      <w:tr w:rsidR="006114CF" w:rsidRPr="00BD0DDA" w14:paraId="1C7609FA" w14:textId="77777777" w:rsidTr="00680873">
        <w:tc>
          <w:tcPr>
            <w:tcW w:w="1833" w:type="dxa"/>
            <w:tcBorders>
              <w:bottom w:val="nil"/>
            </w:tcBorders>
          </w:tcPr>
          <w:p w14:paraId="338E1D77" w14:textId="77777777" w:rsidR="008A424E" w:rsidRPr="00BD0DDA" w:rsidRDefault="008A424E" w:rsidP="00241D3C">
            <w:pPr>
              <w:rPr>
                <w:sz w:val="22"/>
                <w:szCs w:val="22"/>
              </w:rPr>
            </w:pPr>
            <w:r w:rsidRPr="00001EC1">
              <w:rPr>
                <w:sz w:val="22"/>
                <w:szCs w:val="22"/>
              </w:rPr>
              <w:t>SGLT2i regimens</w:t>
            </w:r>
          </w:p>
        </w:tc>
        <w:tc>
          <w:tcPr>
            <w:tcW w:w="1115" w:type="dxa"/>
            <w:tcBorders>
              <w:bottom w:val="nil"/>
            </w:tcBorders>
          </w:tcPr>
          <w:p w14:paraId="6E0D23E9" w14:textId="2C79A37A" w:rsidR="008A424E" w:rsidRPr="00BD0DDA" w:rsidRDefault="00EC48EB" w:rsidP="00241D3C">
            <w:pPr>
              <w:jc w:val="center"/>
              <w:rPr>
                <w:sz w:val="22"/>
                <w:szCs w:val="22"/>
              </w:rPr>
            </w:pPr>
            <w:r>
              <w:t>58</w:t>
            </w:r>
          </w:p>
        </w:tc>
        <w:tc>
          <w:tcPr>
            <w:tcW w:w="965" w:type="dxa"/>
            <w:tcBorders>
              <w:bottom w:val="nil"/>
            </w:tcBorders>
          </w:tcPr>
          <w:p w14:paraId="09279F01" w14:textId="5181436E" w:rsidR="008A424E" w:rsidRPr="00BD0DDA" w:rsidRDefault="00EC48EB" w:rsidP="00241D3C">
            <w:pPr>
              <w:jc w:val="center"/>
              <w:rPr>
                <w:sz w:val="22"/>
                <w:szCs w:val="22"/>
              </w:rPr>
            </w:pPr>
            <w:r>
              <w:t>585</w:t>
            </w:r>
          </w:p>
        </w:tc>
        <w:tc>
          <w:tcPr>
            <w:tcW w:w="1276" w:type="dxa"/>
            <w:tcBorders>
              <w:bottom w:val="nil"/>
            </w:tcBorders>
          </w:tcPr>
          <w:p w14:paraId="500B987E" w14:textId="6704B112" w:rsidR="008A424E" w:rsidRPr="00BD0DDA" w:rsidRDefault="008A424E" w:rsidP="00241D3C">
            <w:pPr>
              <w:jc w:val="center"/>
              <w:rPr>
                <w:sz w:val="22"/>
                <w:szCs w:val="22"/>
              </w:rPr>
            </w:pPr>
            <w:r>
              <w:t>0.</w:t>
            </w:r>
            <w:r w:rsidR="008B351B">
              <w:t>93</w:t>
            </w:r>
          </w:p>
        </w:tc>
        <w:tc>
          <w:tcPr>
            <w:tcW w:w="1134" w:type="dxa"/>
            <w:tcBorders>
              <w:bottom w:val="nil"/>
            </w:tcBorders>
          </w:tcPr>
          <w:p w14:paraId="67E5FD47" w14:textId="27B4269A" w:rsidR="008A424E" w:rsidRPr="00BD0DDA" w:rsidRDefault="008A424E" w:rsidP="00241D3C">
            <w:pPr>
              <w:jc w:val="center"/>
              <w:rPr>
                <w:sz w:val="22"/>
                <w:szCs w:val="22"/>
              </w:rPr>
            </w:pPr>
            <w:r>
              <w:t>0.</w:t>
            </w:r>
            <w:r w:rsidR="007646D8">
              <w:t>89</w:t>
            </w:r>
          </w:p>
        </w:tc>
        <w:tc>
          <w:tcPr>
            <w:tcW w:w="992" w:type="dxa"/>
            <w:tcBorders>
              <w:bottom w:val="nil"/>
            </w:tcBorders>
          </w:tcPr>
          <w:p w14:paraId="7D326F05" w14:textId="45399F29" w:rsidR="008A424E" w:rsidRPr="00BD0DDA" w:rsidRDefault="00914567" w:rsidP="00241D3C">
            <w:pPr>
              <w:jc w:val="center"/>
              <w:rPr>
                <w:sz w:val="22"/>
                <w:szCs w:val="22"/>
              </w:rPr>
            </w:pPr>
            <w:r>
              <w:t>355</w:t>
            </w:r>
          </w:p>
        </w:tc>
        <w:tc>
          <w:tcPr>
            <w:tcW w:w="1134" w:type="dxa"/>
            <w:tcBorders>
              <w:bottom w:val="nil"/>
            </w:tcBorders>
          </w:tcPr>
          <w:p w14:paraId="12DA180B" w14:textId="4E9BD118" w:rsidR="008A424E" w:rsidRPr="00BD0DDA" w:rsidRDefault="00D06907" w:rsidP="00241D3C">
            <w:pPr>
              <w:jc w:val="center"/>
              <w:rPr>
                <w:sz w:val="22"/>
                <w:szCs w:val="22"/>
              </w:rPr>
            </w:pPr>
            <w:r>
              <w:t>8,424</w:t>
            </w:r>
          </w:p>
        </w:tc>
        <w:tc>
          <w:tcPr>
            <w:tcW w:w="1276" w:type="dxa"/>
            <w:tcBorders>
              <w:bottom w:val="nil"/>
            </w:tcBorders>
          </w:tcPr>
          <w:p w14:paraId="53D90FF9" w14:textId="4AB16075" w:rsidR="008A424E" w:rsidRPr="00BD0DDA" w:rsidRDefault="008A424E" w:rsidP="00241D3C">
            <w:pPr>
              <w:jc w:val="center"/>
              <w:rPr>
                <w:sz w:val="22"/>
                <w:szCs w:val="22"/>
              </w:rPr>
            </w:pPr>
            <w:r>
              <w:t>0.</w:t>
            </w:r>
            <w:r w:rsidR="001A50F8">
              <w:t>82</w:t>
            </w:r>
          </w:p>
        </w:tc>
        <w:tc>
          <w:tcPr>
            <w:tcW w:w="1134" w:type="dxa"/>
            <w:tcBorders>
              <w:bottom w:val="nil"/>
            </w:tcBorders>
          </w:tcPr>
          <w:p w14:paraId="4946A337" w14:textId="11CE4113" w:rsidR="008A424E" w:rsidRPr="00BD0DDA" w:rsidRDefault="008A424E" w:rsidP="00241D3C">
            <w:pPr>
              <w:jc w:val="center"/>
              <w:rPr>
                <w:sz w:val="22"/>
                <w:szCs w:val="22"/>
              </w:rPr>
            </w:pPr>
            <w:r>
              <w:t>0.</w:t>
            </w:r>
            <w:r w:rsidR="00D951F9">
              <w:t>80</w:t>
            </w:r>
          </w:p>
        </w:tc>
        <w:tc>
          <w:tcPr>
            <w:tcW w:w="1134" w:type="dxa"/>
            <w:tcBorders>
              <w:bottom w:val="nil"/>
            </w:tcBorders>
          </w:tcPr>
          <w:p w14:paraId="35F05411" w14:textId="30A31DD7" w:rsidR="008A424E" w:rsidRPr="00BD0DDA" w:rsidRDefault="00C26EEA" w:rsidP="00241D3C">
            <w:pPr>
              <w:jc w:val="center"/>
              <w:rPr>
                <w:sz w:val="22"/>
                <w:szCs w:val="22"/>
              </w:rPr>
            </w:pPr>
            <w:r>
              <w:t>186</w:t>
            </w:r>
          </w:p>
        </w:tc>
        <w:tc>
          <w:tcPr>
            <w:tcW w:w="1080" w:type="dxa"/>
            <w:tcBorders>
              <w:bottom w:val="nil"/>
            </w:tcBorders>
          </w:tcPr>
          <w:p w14:paraId="5FD5D6E8" w14:textId="7CBC93D3" w:rsidR="008A424E" w:rsidRPr="00BD0DDA" w:rsidRDefault="00C26EEA" w:rsidP="00241D3C">
            <w:pPr>
              <w:jc w:val="center"/>
              <w:rPr>
                <w:sz w:val="22"/>
                <w:szCs w:val="22"/>
              </w:rPr>
            </w:pPr>
            <w:r>
              <w:t>3,492</w:t>
            </w:r>
          </w:p>
        </w:tc>
        <w:tc>
          <w:tcPr>
            <w:tcW w:w="1276" w:type="dxa"/>
            <w:tcBorders>
              <w:bottom w:val="nil"/>
            </w:tcBorders>
          </w:tcPr>
          <w:p w14:paraId="29A26E1B" w14:textId="697FF3DF" w:rsidR="008A424E" w:rsidRPr="00BD0DDA" w:rsidRDefault="008A424E" w:rsidP="00241D3C">
            <w:pPr>
              <w:jc w:val="center"/>
              <w:rPr>
                <w:sz w:val="22"/>
                <w:szCs w:val="22"/>
              </w:rPr>
            </w:pPr>
            <w:r>
              <w:t>0.</w:t>
            </w:r>
            <w:r w:rsidR="007C76B6">
              <w:t>85</w:t>
            </w:r>
          </w:p>
        </w:tc>
        <w:tc>
          <w:tcPr>
            <w:tcW w:w="1187" w:type="dxa"/>
            <w:tcBorders>
              <w:bottom w:val="nil"/>
            </w:tcBorders>
          </w:tcPr>
          <w:p w14:paraId="5766C3E5" w14:textId="73106EEF" w:rsidR="008A424E" w:rsidRPr="00BD0DDA" w:rsidRDefault="008A424E" w:rsidP="00241D3C">
            <w:pPr>
              <w:jc w:val="center"/>
              <w:rPr>
                <w:sz w:val="22"/>
                <w:szCs w:val="22"/>
              </w:rPr>
            </w:pPr>
            <w:r>
              <w:t>0.</w:t>
            </w:r>
            <w:r w:rsidR="006269FD">
              <w:t>86</w:t>
            </w:r>
          </w:p>
        </w:tc>
      </w:tr>
      <w:tr w:rsidR="006114CF" w:rsidRPr="00BD0DDA" w14:paraId="1D7A5B3A" w14:textId="77777777" w:rsidTr="00680873">
        <w:tc>
          <w:tcPr>
            <w:tcW w:w="1833" w:type="dxa"/>
            <w:tcBorders>
              <w:top w:val="nil"/>
              <w:bottom w:val="single" w:sz="4" w:space="0" w:color="auto"/>
            </w:tcBorders>
          </w:tcPr>
          <w:p w14:paraId="776970DE" w14:textId="77777777" w:rsidR="008A424E" w:rsidRPr="00BD0DDA" w:rsidRDefault="008A424E" w:rsidP="00241D3C">
            <w:pPr>
              <w:rPr>
                <w:sz w:val="22"/>
                <w:szCs w:val="22"/>
              </w:rPr>
            </w:pPr>
          </w:p>
        </w:tc>
        <w:tc>
          <w:tcPr>
            <w:tcW w:w="1115" w:type="dxa"/>
            <w:tcBorders>
              <w:top w:val="nil"/>
              <w:bottom w:val="single" w:sz="4" w:space="0" w:color="auto"/>
            </w:tcBorders>
          </w:tcPr>
          <w:p w14:paraId="231BE591" w14:textId="587CAA41" w:rsidR="008A424E" w:rsidRPr="00BD0DDA" w:rsidRDefault="008A424E" w:rsidP="00241D3C">
            <w:pPr>
              <w:jc w:val="center"/>
              <w:rPr>
                <w:sz w:val="22"/>
                <w:szCs w:val="22"/>
              </w:rPr>
            </w:pPr>
            <w:r>
              <w:t>(</w:t>
            </w:r>
            <w:r w:rsidR="00EC48EB">
              <w:t>3</w:t>
            </w:r>
            <w:r>
              <w:t>.4)</w:t>
            </w:r>
          </w:p>
        </w:tc>
        <w:tc>
          <w:tcPr>
            <w:tcW w:w="965" w:type="dxa"/>
            <w:tcBorders>
              <w:top w:val="nil"/>
              <w:bottom w:val="single" w:sz="4" w:space="0" w:color="auto"/>
            </w:tcBorders>
          </w:tcPr>
          <w:p w14:paraId="0042BB54" w14:textId="419C5AF3" w:rsidR="008A424E" w:rsidRPr="00BD0DDA" w:rsidRDefault="008A424E" w:rsidP="00241D3C">
            <w:pPr>
              <w:jc w:val="center"/>
              <w:rPr>
                <w:sz w:val="22"/>
                <w:szCs w:val="22"/>
              </w:rPr>
            </w:pPr>
            <w:r>
              <w:t>(</w:t>
            </w:r>
            <w:r w:rsidR="00EC48EB">
              <w:t>2.9</w:t>
            </w:r>
            <w:r>
              <w:t>)</w:t>
            </w:r>
          </w:p>
        </w:tc>
        <w:tc>
          <w:tcPr>
            <w:tcW w:w="1276" w:type="dxa"/>
            <w:tcBorders>
              <w:top w:val="nil"/>
              <w:bottom w:val="single" w:sz="4" w:space="0" w:color="auto"/>
            </w:tcBorders>
          </w:tcPr>
          <w:p w14:paraId="1B193C37" w14:textId="66ADB2C3" w:rsidR="008A424E" w:rsidRPr="00BD0DDA" w:rsidRDefault="008A424E" w:rsidP="00241D3C">
            <w:pPr>
              <w:jc w:val="center"/>
              <w:rPr>
                <w:sz w:val="22"/>
                <w:szCs w:val="22"/>
              </w:rPr>
            </w:pPr>
            <w:r w:rsidRPr="00001EC1">
              <w:rPr>
                <w:sz w:val="22"/>
                <w:szCs w:val="22"/>
              </w:rPr>
              <w:t>(0</w:t>
            </w:r>
            <w:r>
              <w:t>.</w:t>
            </w:r>
            <w:r w:rsidR="008B351B">
              <w:rPr>
                <w:sz w:val="22"/>
                <w:szCs w:val="22"/>
              </w:rPr>
              <w:t>68</w:t>
            </w:r>
            <w:r w:rsidRPr="00001EC1">
              <w:rPr>
                <w:sz w:val="22"/>
                <w:szCs w:val="22"/>
              </w:rPr>
              <w:t>-1</w:t>
            </w:r>
            <w:r>
              <w:t>.</w:t>
            </w:r>
            <w:r w:rsidR="008B351B" w:rsidRPr="00001EC1">
              <w:rPr>
                <w:sz w:val="22"/>
                <w:szCs w:val="22"/>
              </w:rPr>
              <w:t>2</w:t>
            </w:r>
            <w:r w:rsidR="008B351B">
              <w:rPr>
                <w:sz w:val="22"/>
                <w:szCs w:val="22"/>
              </w:rPr>
              <w:t>6</w:t>
            </w:r>
            <w:r w:rsidRPr="00001EC1">
              <w:rPr>
                <w:sz w:val="22"/>
                <w:szCs w:val="22"/>
              </w:rPr>
              <w:t>)</w:t>
            </w:r>
          </w:p>
        </w:tc>
        <w:tc>
          <w:tcPr>
            <w:tcW w:w="1134" w:type="dxa"/>
            <w:tcBorders>
              <w:top w:val="nil"/>
              <w:bottom w:val="single" w:sz="4" w:space="0" w:color="auto"/>
            </w:tcBorders>
          </w:tcPr>
          <w:p w14:paraId="3227D463" w14:textId="55A12F86" w:rsidR="008A424E" w:rsidRPr="00BD0DDA" w:rsidRDefault="008A424E" w:rsidP="00241D3C">
            <w:pPr>
              <w:jc w:val="center"/>
              <w:rPr>
                <w:sz w:val="22"/>
                <w:szCs w:val="22"/>
              </w:rPr>
            </w:pPr>
            <w:r w:rsidRPr="00001EC1">
              <w:rPr>
                <w:sz w:val="22"/>
                <w:szCs w:val="22"/>
              </w:rPr>
              <w:t>(0</w:t>
            </w:r>
            <w:r>
              <w:t>.</w:t>
            </w:r>
            <w:r w:rsidR="007646D8">
              <w:rPr>
                <w:sz w:val="22"/>
                <w:szCs w:val="22"/>
              </w:rPr>
              <w:t>56</w:t>
            </w:r>
            <w:r w:rsidRPr="00001EC1">
              <w:rPr>
                <w:sz w:val="22"/>
                <w:szCs w:val="22"/>
              </w:rPr>
              <w:t>-1</w:t>
            </w:r>
            <w:r>
              <w:t>.</w:t>
            </w:r>
            <w:r w:rsidR="007646D8">
              <w:rPr>
                <w:sz w:val="22"/>
                <w:szCs w:val="22"/>
              </w:rPr>
              <w:t>41</w:t>
            </w:r>
            <w:r w:rsidRPr="00001EC1">
              <w:rPr>
                <w:sz w:val="22"/>
                <w:szCs w:val="22"/>
              </w:rPr>
              <w:t>)</w:t>
            </w:r>
          </w:p>
        </w:tc>
        <w:tc>
          <w:tcPr>
            <w:tcW w:w="992" w:type="dxa"/>
            <w:tcBorders>
              <w:top w:val="nil"/>
              <w:bottom w:val="single" w:sz="4" w:space="0" w:color="auto"/>
            </w:tcBorders>
          </w:tcPr>
          <w:p w14:paraId="3D0BA9FD" w14:textId="23A907AA" w:rsidR="008A424E" w:rsidRPr="00BD0DDA" w:rsidRDefault="008A424E" w:rsidP="00241D3C">
            <w:pPr>
              <w:jc w:val="center"/>
              <w:rPr>
                <w:sz w:val="22"/>
                <w:szCs w:val="22"/>
              </w:rPr>
            </w:pPr>
            <w:r>
              <w:t>(3.</w:t>
            </w:r>
            <w:r w:rsidR="00914567">
              <w:t>0</w:t>
            </w:r>
            <w:r>
              <w:t>)</w:t>
            </w:r>
          </w:p>
        </w:tc>
        <w:tc>
          <w:tcPr>
            <w:tcW w:w="1134" w:type="dxa"/>
            <w:tcBorders>
              <w:top w:val="nil"/>
              <w:bottom w:val="single" w:sz="4" w:space="0" w:color="auto"/>
            </w:tcBorders>
          </w:tcPr>
          <w:p w14:paraId="03852874" w14:textId="2697D263" w:rsidR="008A424E" w:rsidRPr="00BD0DDA" w:rsidRDefault="008A424E" w:rsidP="00241D3C">
            <w:pPr>
              <w:jc w:val="center"/>
              <w:rPr>
                <w:sz w:val="22"/>
                <w:szCs w:val="22"/>
              </w:rPr>
            </w:pPr>
            <w:r>
              <w:t>(</w:t>
            </w:r>
            <w:r w:rsidR="00D06907">
              <w:t>4</w:t>
            </w:r>
            <w:r>
              <w:t>.0)</w:t>
            </w:r>
          </w:p>
        </w:tc>
        <w:tc>
          <w:tcPr>
            <w:tcW w:w="1276" w:type="dxa"/>
            <w:tcBorders>
              <w:top w:val="nil"/>
              <w:bottom w:val="single" w:sz="4" w:space="0" w:color="auto"/>
            </w:tcBorders>
          </w:tcPr>
          <w:p w14:paraId="266D9FF1" w14:textId="77777777" w:rsidR="008A424E" w:rsidRPr="00BD0DDA" w:rsidRDefault="008A424E" w:rsidP="00241D3C">
            <w:pPr>
              <w:jc w:val="center"/>
              <w:rPr>
                <w:sz w:val="22"/>
                <w:szCs w:val="22"/>
              </w:rPr>
            </w:pPr>
            <w:r w:rsidRPr="00001EC1">
              <w:rPr>
                <w:sz w:val="22"/>
                <w:szCs w:val="22"/>
              </w:rPr>
              <w:t>(0</w:t>
            </w:r>
            <w:r>
              <w:t>.</w:t>
            </w:r>
            <w:r w:rsidRPr="00001EC1">
              <w:rPr>
                <w:sz w:val="22"/>
                <w:szCs w:val="22"/>
              </w:rPr>
              <w:t>71-0</w:t>
            </w:r>
            <w:r>
              <w:t>.</w:t>
            </w:r>
            <w:r w:rsidRPr="00001EC1">
              <w:rPr>
                <w:sz w:val="22"/>
                <w:szCs w:val="22"/>
              </w:rPr>
              <w:t>87)</w:t>
            </w:r>
          </w:p>
        </w:tc>
        <w:tc>
          <w:tcPr>
            <w:tcW w:w="1134" w:type="dxa"/>
            <w:tcBorders>
              <w:top w:val="nil"/>
              <w:bottom w:val="single" w:sz="4" w:space="0" w:color="auto"/>
            </w:tcBorders>
          </w:tcPr>
          <w:p w14:paraId="569DA40F" w14:textId="296EDA56" w:rsidR="008A424E" w:rsidRPr="00BD0DDA" w:rsidRDefault="008A424E" w:rsidP="00241D3C">
            <w:pPr>
              <w:jc w:val="center"/>
              <w:rPr>
                <w:sz w:val="22"/>
                <w:szCs w:val="22"/>
              </w:rPr>
            </w:pPr>
            <w:r w:rsidRPr="00001EC1">
              <w:rPr>
                <w:sz w:val="22"/>
                <w:szCs w:val="22"/>
              </w:rPr>
              <w:t>(0</w:t>
            </w:r>
            <w:r>
              <w:t>.</w:t>
            </w:r>
            <w:r w:rsidRPr="00001EC1">
              <w:rPr>
                <w:sz w:val="22"/>
                <w:szCs w:val="22"/>
              </w:rPr>
              <w:t>69-0</w:t>
            </w:r>
            <w:r>
              <w:t>.</w:t>
            </w:r>
            <w:r w:rsidR="00D951F9">
              <w:rPr>
                <w:sz w:val="22"/>
                <w:szCs w:val="22"/>
              </w:rPr>
              <w:t>92</w:t>
            </w:r>
            <w:r w:rsidRPr="00001EC1">
              <w:rPr>
                <w:sz w:val="22"/>
                <w:szCs w:val="22"/>
              </w:rPr>
              <w:t>)</w:t>
            </w:r>
          </w:p>
        </w:tc>
        <w:tc>
          <w:tcPr>
            <w:tcW w:w="1134" w:type="dxa"/>
            <w:tcBorders>
              <w:top w:val="nil"/>
              <w:bottom w:val="single" w:sz="4" w:space="0" w:color="auto"/>
            </w:tcBorders>
          </w:tcPr>
          <w:p w14:paraId="78ABC689" w14:textId="1CBADBD4" w:rsidR="008A424E" w:rsidRPr="00BD0DDA" w:rsidRDefault="008A424E" w:rsidP="00241D3C">
            <w:pPr>
              <w:jc w:val="center"/>
              <w:rPr>
                <w:sz w:val="22"/>
                <w:szCs w:val="22"/>
              </w:rPr>
            </w:pPr>
            <w:r>
              <w:t>(</w:t>
            </w:r>
            <w:r w:rsidR="00C26EEA">
              <w:t>3.8</w:t>
            </w:r>
            <w:r>
              <w:t>)</w:t>
            </w:r>
          </w:p>
        </w:tc>
        <w:tc>
          <w:tcPr>
            <w:tcW w:w="1080" w:type="dxa"/>
            <w:tcBorders>
              <w:top w:val="nil"/>
              <w:bottom w:val="single" w:sz="4" w:space="0" w:color="auto"/>
            </w:tcBorders>
          </w:tcPr>
          <w:p w14:paraId="70EC75F8" w14:textId="47900B8A" w:rsidR="008A424E" w:rsidRPr="00BD0DDA" w:rsidRDefault="008A424E" w:rsidP="00241D3C">
            <w:pPr>
              <w:jc w:val="center"/>
              <w:rPr>
                <w:sz w:val="22"/>
                <w:szCs w:val="22"/>
              </w:rPr>
            </w:pPr>
            <w:r>
              <w:t>(</w:t>
            </w:r>
            <w:r w:rsidR="00C26EEA">
              <w:t>4.6</w:t>
            </w:r>
            <w:r>
              <w:t>)</w:t>
            </w:r>
          </w:p>
        </w:tc>
        <w:tc>
          <w:tcPr>
            <w:tcW w:w="1276" w:type="dxa"/>
            <w:tcBorders>
              <w:top w:val="nil"/>
              <w:bottom w:val="single" w:sz="4" w:space="0" w:color="auto"/>
            </w:tcBorders>
          </w:tcPr>
          <w:p w14:paraId="3A76A334" w14:textId="2B4ECAE7" w:rsidR="008A424E" w:rsidRPr="00BD0DDA" w:rsidRDefault="008A424E" w:rsidP="00241D3C">
            <w:pPr>
              <w:jc w:val="center"/>
              <w:rPr>
                <w:sz w:val="22"/>
                <w:szCs w:val="22"/>
              </w:rPr>
            </w:pPr>
            <w:r w:rsidRPr="00001EC1">
              <w:rPr>
                <w:sz w:val="22"/>
                <w:szCs w:val="22"/>
              </w:rPr>
              <w:t>(0</w:t>
            </w:r>
            <w:r>
              <w:t>.</w:t>
            </w:r>
            <w:r w:rsidR="007C76B6">
              <w:rPr>
                <w:sz w:val="22"/>
                <w:szCs w:val="22"/>
              </w:rPr>
              <w:t>72</w:t>
            </w:r>
            <w:r w:rsidRPr="00001EC1">
              <w:rPr>
                <w:sz w:val="22"/>
                <w:szCs w:val="22"/>
              </w:rPr>
              <w:t>-0</w:t>
            </w:r>
            <w:r>
              <w:t>.</w:t>
            </w:r>
            <w:r w:rsidR="007C76B6">
              <w:rPr>
                <w:sz w:val="22"/>
                <w:szCs w:val="22"/>
              </w:rPr>
              <w:t>99</w:t>
            </w:r>
            <w:r w:rsidRPr="00001EC1">
              <w:rPr>
                <w:sz w:val="22"/>
                <w:szCs w:val="22"/>
              </w:rPr>
              <w:t>)</w:t>
            </w:r>
          </w:p>
        </w:tc>
        <w:tc>
          <w:tcPr>
            <w:tcW w:w="1187" w:type="dxa"/>
            <w:tcBorders>
              <w:top w:val="nil"/>
              <w:bottom w:val="single" w:sz="4" w:space="0" w:color="auto"/>
            </w:tcBorders>
          </w:tcPr>
          <w:p w14:paraId="745FE252" w14:textId="2CAFF37E" w:rsidR="008A424E" w:rsidRPr="00BD0DDA" w:rsidRDefault="008A424E" w:rsidP="00241D3C">
            <w:pPr>
              <w:jc w:val="center"/>
              <w:rPr>
                <w:sz w:val="22"/>
                <w:szCs w:val="22"/>
              </w:rPr>
            </w:pPr>
            <w:r w:rsidRPr="00001EC1">
              <w:rPr>
                <w:sz w:val="22"/>
                <w:szCs w:val="22"/>
              </w:rPr>
              <w:t>(0</w:t>
            </w:r>
            <w:r>
              <w:t>.</w:t>
            </w:r>
            <w:r w:rsidR="006269FD" w:rsidRPr="00001EC1">
              <w:rPr>
                <w:sz w:val="22"/>
                <w:szCs w:val="22"/>
              </w:rPr>
              <w:t>6</w:t>
            </w:r>
            <w:r w:rsidR="006269FD">
              <w:rPr>
                <w:sz w:val="22"/>
                <w:szCs w:val="22"/>
              </w:rPr>
              <w:t>8</w:t>
            </w:r>
            <w:r w:rsidRPr="00001EC1">
              <w:rPr>
                <w:sz w:val="22"/>
                <w:szCs w:val="22"/>
              </w:rPr>
              <w:t>-</w:t>
            </w:r>
            <w:r w:rsidR="001B7D2D">
              <w:rPr>
                <w:sz w:val="22"/>
                <w:szCs w:val="22"/>
              </w:rPr>
              <w:t>1.</w:t>
            </w:r>
            <w:r w:rsidR="006269FD">
              <w:rPr>
                <w:sz w:val="22"/>
                <w:szCs w:val="22"/>
              </w:rPr>
              <w:t>08</w:t>
            </w:r>
            <w:r w:rsidRPr="00001EC1">
              <w:rPr>
                <w:sz w:val="22"/>
                <w:szCs w:val="22"/>
              </w:rPr>
              <w:t>)</w:t>
            </w:r>
          </w:p>
        </w:tc>
      </w:tr>
      <w:tr w:rsidR="006114CF" w:rsidRPr="00BD0DDA" w14:paraId="33ABDD5D" w14:textId="77777777" w:rsidTr="00F12E53">
        <w:trPr>
          <w:trHeight w:val="153"/>
        </w:trPr>
        <w:tc>
          <w:tcPr>
            <w:tcW w:w="1833" w:type="dxa"/>
            <w:tcBorders>
              <w:bottom w:val="nil"/>
            </w:tcBorders>
          </w:tcPr>
          <w:p w14:paraId="7A0A8839" w14:textId="5ACE5938" w:rsidR="008A424E" w:rsidRPr="00BD0DDA" w:rsidRDefault="008A424E" w:rsidP="00241D3C">
            <w:pPr>
              <w:rPr>
                <w:sz w:val="22"/>
                <w:szCs w:val="22"/>
              </w:rPr>
            </w:pPr>
            <w:r w:rsidRPr="00001EC1">
              <w:rPr>
                <w:sz w:val="22"/>
                <w:szCs w:val="22"/>
              </w:rPr>
              <w:t xml:space="preserve">GLP-1RA </w:t>
            </w:r>
          </w:p>
        </w:tc>
        <w:tc>
          <w:tcPr>
            <w:tcW w:w="1115" w:type="dxa"/>
            <w:tcBorders>
              <w:bottom w:val="nil"/>
            </w:tcBorders>
          </w:tcPr>
          <w:p w14:paraId="0118EFD7" w14:textId="751CFC17" w:rsidR="008A424E" w:rsidRPr="00BD0DDA" w:rsidRDefault="00EC48EB" w:rsidP="00241D3C">
            <w:pPr>
              <w:jc w:val="center"/>
              <w:rPr>
                <w:sz w:val="22"/>
                <w:szCs w:val="22"/>
              </w:rPr>
            </w:pPr>
            <w:r>
              <w:t>28</w:t>
            </w:r>
          </w:p>
        </w:tc>
        <w:tc>
          <w:tcPr>
            <w:tcW w:w="965" w:type="dxa"/>
            <w:tcBorders>
              <w:bottom w:val="nil"/>
            </w:tcBorders>
          </w:tcPr>
          <w:p w14:paraId="34B5CBC5" w14:textId="73FFFDF5" w:rsidR="008A424E" w:rsidRPr="00BD0DDA" w:rsidRDefault="00EC48EB" w:rsidP="00241D3C">
            <w:pPr>
              <w:jc w:val="center"/>
              <w:rPr>
                <w:sz w:val="22"/>
                <w:szCs w:val="22"/>
              </w:rPr>
            </w:pPr>
            <w:r>
              <w:t>344</w:t>
            </w:r>
          </w:p>
        </w:tc>
        <w:tc>
          <w:tcPr>
            <w:tcW w:w="1276" w:type="dxa"/>
            <w:tcBorders>
              <w:bottom w:val="nil"/>
            </w:tcBorders>
          </w:tcPr>
          <w:p w14:paraId="3D57150B" w14:textId="3EBE86BB" w:rsidR="008A424E" w:rsidRPr="00BD0DDA" w:rsidRDefault="008A424E" w:rsidP="00241D3C">
            <w:pPr>
              <w:jc w:val="center"/>
              <w:rPr>
                <w:sz w:val="22"/>
                <w:szCs w:val="22"/>
              </w:rPr>
            </w:pPr>
            <w:r>
              <w:t>0.</w:t>
            </w:r>
            <w:r w:rsidR="008B351B">
              <w:t>80</w:t>
            </w:r>
          </w:p>
        </w:tc>
        <w:tc>
          <w:tcPr>
            <w:tcW w:w="1134" w:type="dxa"/>
            <w:tcBorders>
              <w:bottom w:val="nil"/>
            </w:tcBorders>
          </w:tcPr>
          <w:p w14:paraId="50CF091F" w14:textId="2E438EF9" w:rsidR="008A424E" w:rsidRPr="00BD0DDA" w:rsidRDefault="008A424E" w:rsidP="00241D3C">
            <w:pPr>
              <w:jc w:val="center"/>
              <w:rPr>
                <w:sz w:val="22"/>
                <w:szCs w:val="22"/>
              </w:rPr>
            </w:pPr>
            <w:r>
              <w:t>0.</w:t>
            </w:r>
            <w:r w:rsidR="007646D8">
              <w:t>89</w:t>
            </w:r>
          </w:p>
        </w:tc>
        <w:tc>
          <w:tcPr>
            <w:tcW w:w="992" w:type="dxa"/>
            <w:tcBorders>
              <w:bottom w:val="nil"/>
            </w:tcBorders>
          </w:tcPr>
          <w:p w14:paraId="319DBC62" w14:textId="70D0B488" w:rsidR="008A424E" w:rsidRPr="00BD0DDA" w:rsidRDefault="00914567" w:rsidP="00241D3C">
            <w:pPr>
              <w:jc w:val="center"/>
              <w:rPr>
                <w:sz w:val="22"/>
                <w:szCs w:val="22"/>
              </w:rPr>
            </w:pPr>
            <w:r>
              <w:t>289</w:t>
            </w:r>
          </w:p>
        </w:tc>
        <w:tc>
          <w:tcPr>
            <w:tcW w:w="1134" w:type="dxa"/>
            <w:tcBorders>
              <w:bottom w:val="nil"/>
            </w:tcBorders>
          </w:tcPr>
          <w:p w14:paraId="0B50D871" w14:textId="11AAA997" w:rsidR="008A424E" w:rsidRPr="00BD0DDA" w:rsidRDefault="00D06907" w:rsidP="00241D3C">
            <w:pPr>
              <w:jc w:val="center"/>
              <w:rPr>
                <w:sz w:val="22"/>
                <w:szCs w:val="22"/>
              </w:rPr>
            </w:pPr>
            <w:r>
              <w:t>5,562</w:t>
            </w:r>
          </w:p>
        </w:tc>
        <w:tc>
          <w:tcPr>
            <w:tcW w:w="1276" w:type="dxa"/>
            <w:tcBorders>
              <w:bottom w:val="nil"/>
            </w:tcBorders>
          </w:tcPr>
          <w:p w14:paraId="378C1C8D" w14:textId="77777777" w:rsidR="008A424E" w:rsidRPr="00BD0DDA" w:rsidRDefault="008A424E" w:rsidP="00241D3C">
            <w:pPr>
              <w:jc w:val="center"/>
              <w:rPr>
                <w:sz w:val="22"/>
                <w:szCs w:val="22"/>
              </w:rPr>
            </w:pPr>
            <w:r>
              <w:t>0.99</w:t>
            </w:r>
          </w:p>
        </w:tc>
        <w:tc>
          <w:tcPr>
            <w:tcW w:w="1134" w:type="dxa"/>
            <w:tcBorders>
              <w:bottom w:val="nil"/>
            </w:tcBorders>
          </w:tcPr>
          <w:p w14:paraId="15301B3A" w14:textId="29560D1F" w:rsidR="008A424E" w:rsidRPr="00BD0DDA" w:rsidRDefault="008A424E" w:rsidP="00241D3C">
            <w:pPr>
              <w:jc w:val="center"/>
              <w:rPr>
                <w:sz w:val="22"/>
                <w:szCs w:val="22"/>
              </w:rPr>
            </w:pPr>
            <w:r>
              <w:t>0.</w:t>
            </w:r>
            <w:r w:rsidR="00D951F9">
              <w:t>95</w:t>
            </w:r>
          </w:p>
        </w:tc>
        <w:tc>
          <w:tcPr>
            <w:tcW w:w="1134" w:type="dxa"/>
            <w:tcBorders>
              <w:bottom w:val="nil"/>
            </w:tcBorders>
          </w:tcPr>
          <w:p w14:paraId="719136EA" w14:textId="654235B3" w:rsidR="008A424E" w:rsidRPr="00BD0DDA" w:rsidRDefault="00C26EEA" w:rsidP="00241D3C">
            <w:pPr>
              <w:jc w:val="center"/>
              <w:rPr>
                <w:sz w:val="22"/>
                <w:szCs w:val="22"/>
              </w:rPr>
            </w:pPr>
            <w:r>
              <w:t>152</w:t>
            </w:r>
          </w:p>
        </w:tc>
        <w:tc>
          <w:tcPr>
            <w:tcW w:w="1080" w:type="dxa"/>
            <w:tcBorders>
              <w:bottom w:val="nil"/>
            </w:tcBorders>
          </w:tcPr>
          <w:p w14:paraId="6AF4ADB6" w14:textId="38131342" w:rsidR="008A424E" w:rsidRPr="00BD0DDA" w:rsidRDefault="00C26EEA" w:rsidP="00241D3C">
            <w:pPr>
              <w:jc w:val="center"/>
              <w:rPr>
                <w:sz w:val="22"/>
                <w:szCs w:val="22"/>
              </w:rPr>
            </w:pPr>
            <w:r>
              <w:t>2,596</w:t>
            </w:r>
          </w:p>
        </w:tc>
        <w:tc>
          <w:tcPr>
            <w:tcW w:w="1276" w:type="dxa"/>
            <w:tcBorders>
              <w:bottom w:val="nil"/>
            </w:tcBorders>
          </w:tcPr>
          <w:p w14:paraId="47B8FEF3" w14:textId="4ED68EC9" w:rsidR="008A424E" w:rsidRPr="00BD0DDA" w:rsidRDefault="008A424E" w:rsidP="00241D3C">
            <w:pPr>
              <w:jc w:val="center"/>
              <w:rPr>
                <w:sz w:val="22"/>
                <w:szCs w:val="22"/>
              </w:rPr>
            </w:pPr>
            <w:r>
              <w:t>0.</w:t>
            </w:r>
            <w:r w:rsidR="007C76B6">
              <w:t>94</w:t>
            </w:r>
          </w:p>
        </w:tc>
        <w:tc>
          <w:tcPr>
            <w:tcW w:w="1187" w:type="dxa"/>
            <w:tcBorders>
              <w:bottom w:val="nil"/>
            </w:tcBorders>
          </w:tcPr>
          <w:p w14:paraId="1F199668" w14:textId="1C1BA61E" w:rsidR="008A424E" w:rsidRPr="00BD0DDA" w:rsidRDefault="008A424E" w:rsidP="00241D3C">
            <w:pPr>
              <w:jc w:val="center"/>
              <w:rPr>
                <w:sz w:val="22"/>
                <w:szCs w:val="22"/>
              </w:rPr>
            </w:pPr>
            <w:r>
              <w:t>0.</w:t>
            </w:r>
            <w:r w:rsidR="006269FD">
              <w:t>90</w:t>
            </w:r>
          </w:p>
        </w:tc>
      </w:tr>
      <w:tr w:rsidR="006114CF" w:rsidRPr="00BD0DDA" w14:paraId="0F8C3AC7" w14:textId="77777777" w:rsidTr="00680873">
        <w:tc>
          <w:tcPr>
            <w:tcW w:w="1833" w:type="dxa"/>
            <w:tcBorders>
              <w:top w:val="nil"/>
              <w:bottom w:val="single" w:sz="4" w:space="0" w:color="auto"/>
            </w:tcBorders>
          </w:tcPr>
          <w:p w14:paraId="6357FA7F" w14:textId="3941B0C8" w:rsidR="008A424E" w:rsidRPr="00BD0DDA" w:rsidRDefault="001C3144" w:rsidP="00241D3C">
            <w:pPr>
              <w:rPr>
                <w:sz w:val="22"/>
                <w:szCs w:val="22"/>
              </w:rPr>
            </w:pPr>
            <w:r w:rsidRPr="00001EC1">
              <w:rPr>
                <w:sz w:val="22"/>
                <w:szCs w:val="22"/>
              </w:rPr>
              <w:t>regimens</w:t>
            </w:r>
          </w:p>
        </w:tc>
        <w:tc>
          <w:tcPr>
            <w:tcW w:w="1115" w:type="dxa"/>
            <w:tcBorders>
              <w:top w:val="nil"/>
              <w:bottom w:val="single" w:sz="4" w:space="0" w:color="auto"/>
            </w:tcBorders>
          </w:tcPr>
          <w:p w14:paraId="4131BF71" w14:textId="6BC0A011" w:rsidR="008A424E" w:rsidRPr="00BD0DDA" w:rsidRDefault="008A424E" w:rsidP="00241D3C">
            <w:pPr>
              <w:jc w:val="center"/>
              <w:rPr>
                <w:sz w:val="22"/>
                <w:szCs w:val="22"/>
              </w:rPr>
            </w:pPr>
            <w:r>
              <w:t>(</w:t>
            </w:r>
            <w:r w:rsidR="00EC48EB">
              <w:t>1</w:t>
            </w:r>
            <w:r>
              <w:t>.7)</w:t>
            </w:r>
          </w:p>
        </w:tc>
        <w:tc>
          <w:tcPr>
            <w:tcW w:w="965" w:type="dxa"/>
            <w:tcBorders>
              <w:top w:val="nil"/>
              <w:bottom w:val="single" w:sz="4" w:space="0" w:color="auto"/>
            </w:tcBorders>
          </w:tcPr>
          <w:p w14:paraId="2C8A1BB5" w14:textId="57C99DD7" w:rsidR="008A424E" w:rsidRPr="00BD0DDA" w:rsidRDefault="008A424E" w:rsidP="00241D3C">
            <w:pPr>
              <w:jc w:val="center"/>
              <w:rPr>
                <w:sz w:val="22"/>
                <w:szCs w:val="22"/>
              </w:rPr>
            </w:pPr>
            <w:r>
              <w:t>(</w:t>
            </w:r>
            <w:r w:rsidR="00EC48EB">
              <w:t>1.7</w:t>
            </w:r>
            <w:r>
              <w:t>)</w:t>
            </w:r>
          </w:p>
        </w:tc>
        <w:tc>
          <w:tcPr>
            <w:tcW w:w="1276" w:type="dxa"/>
            <w:tcBorders>
              <w:top w:val="nil"/>
              <w:bottom w:val="single" w:sz="4" w:space="0" w:color="auto"/>
            </w:tcBorders>
          </w:tcPr>
          <w:p w14:paraId="4955B76F" w14:textId="1776231E" w:rsidR="008A424E" w:rsidRPr="00BD0DDA" w:rsidRDefault="008A424E" w:rsidP="00241D3C">
            <w:pPr>
              <w:jc w:val="center"/>
              <w:rPr>
                <w:sz w:val="22"/>
                <w:szCs w:val="22"/>
              </w:rPr>
            </w:pPr>
            <w:r w:rsidRPr="00001EC1">
              <w:rPr>
                <w:sz w:val="22"/>
                <w:szCs w:val="22"/>
              </w:rPr>
              <w:t>(0</w:t>
            </w:r>
            <w:r>
              <w:t>.</w:t>
            </w:r>
            <w:r w:rsidR="008B351B">
              <w:rPr>
                <w:sz w:val="22"/>
                <w:szCs w:val="22"/>
              </w:rPr>
              <w:t>53</w:t>
            </w:r>
            <w:r w:rsidRPr="00001EC1">
              <w:rPr>
                <w:sz w:val="22"/>
                <w:szCs w:val="22"/>
              </w:rPr>
              <w:t>-1</w:t>
            </w:r>
            <w:r>
              <w:t>.</w:t>
            </w:r>
            <w:r w:rsidR="008B351B">
              <w:rPr>
                <w:sz w:val="22"/>
                <w:szCs w:val="22"/>
              </w:rPr>
              <w:t>21</w:t>
            </w:r>
            <w:r w:rsidRPr="00001EC1">
              <w:rPr>
                <w:sz w:val="22"/>
                <w:szCs w:val="22"/>
              </w:rPr>
              <w:t>)</w:t>
            </w:r>
          </w:p>
        </w:tc>
        <w:tc>
          <w:tcPr>
            <w:tcW w:w="1134" w:type="dxa"/>
            <w:tcBorders>
              <w:top w:val="nil"/>
              <w:bottom w:val="single" w:sz="4" w:space="0" w:color="auto"/>
            </w:tcBorders>
          </w:tcPr>
          <w:p w14:paraId="786AFE81" w14:textId="31B7EA53" w:rsidR="008A424E" w:rsidRPr="00BD0DDA" w:rsidRDefault="008A424E" w:rsidP="00241D3C">
            <w:pPr>
              <w:jc w:val="center"/>
              <w:rPr>
                <w:sz w:val="22"/>
                <w:szCs w:val="22"/>
              </w:rPr>
            </w:pPr>
            <w:r w:rsidRPr="00001EC1">
              <w:rPr>
                <w:sz w:val="22"/>
                <w:szCs w:val="22"/>
              </w:rPr>
              <w:t>(0</w:t>
            </w:r>
            <w:r>
              <w:t>.</w:t>
            </w:r>
            <w:r w:rsidR="007646D8">
              <w:rPr>
                <w:sz w:val="22"/>
                <w:szCs w:val="22"/>
              </w:rPr>
              <w:t>59</w:t>
            </w:r>
            <w:r w:rsidRPr="00001EC1">
              <w:rPr>
                <w:sz w:val="22"/>
                <w:szCs w:val="22"/>
              </w:rPr>
              <w:t>-1</w:t>
            </w:r>
            <w:r>
              <w:t>.</w:t>
            </w:r>
            <w:r w:rsidR="007646D8">
              <w:rPr>
                <w:sz w:val="22"/>
                <w:szCs w:val="22"/>
              </w:rPr>
              <w:t>21</w:t>
            </w:r>
            <w:r w:rsidRPr="00001EC1">
              <w:rPr>
                <w:sz w:val="22"/>
                <w:szCs w:val="22"/>
              </w:rPr>
              <w:t>)</w:t>
            </w:r>
          </w:p>
        </w:tc>
        <w:tc>
          <w:tcPr>
            <w:tcW w:w="992" w:type="dxa"/>
            <w:tcBorders>
              <w:top w:val="nil"/>
              <w:bottom w:val="single" w:sz="4" w:space="0" w:color="auto"/>
            </w:tcBorders>
          </w:tcPr>
          <w:p w14:paraId="3BB28B42" w14:textId="77A552A8" w:rsidR="008A424E" w:rsidRPr="00BD0DDA" w:rsidRDefault="008A424E" w:rsidP="00241D3C">
            <w:pPr>
              <w:jc w:val="center"/>
              <w:rPr>
                <w:sz w:val="22"/>
                <w:szCs w:val="22"/>
              </w:rPr>
            </w:pPr>
            <w:r>
              <w:t>(</w:t>
            </w:r>
            <w:r w:rsidR="00914567">
              <w:t>2.4</w:t>
            </w:r>
            <w:r>
              <w:t>)</w:t>
            </w:r>
          </w:p>
        </w:tc>
        <w:tc>
          <w:tcPr>
            <w:tcW w:w="1134" w:type="dxa"/>
            <w:tcBorders>
              <w:top w:val="nil"/>
              <w:bottom w:val="single" w:sz="4" w:space="0" w:color="auto"/>
            </w:tcBorders>
          </w:tcPr>
          <w:p w14:paraId="4B952823" w14:textId="1C60F570" w:rsidR="008A424E" w:rsidRPr="00BD0DDA" w:rsidRDefault="008A424E" w:rsidP="00241D3C">
            <w:pPr>
              <w:jc w:val="center"/>
              <w:rPr>
                <w:sz w:val="22"/>
                <w:szCs w:val="22"/>
              </w:rPr>
            </w:pPr>
            <w:r>
              <w:t>(</w:t>
            </w:r>
            <w:r w:rsidR="00D06907">
              <w:t>2.6</w:t>
            </w:r>
            <w:r>
              <w:t>)</w:t>
            </w:r>
          </w:p>
        </w:tc>
        <w:tc>
          <w:tcPr>
            <w:tcW w:w="1276" w:type="dxa"/>
            <w:tcBorders>
              <w:top w:val="nil"/>
              <w:bottom w:val="single" w:sz="4" w:space="0" w:color="auto"/>
            </w:tcBorders>
          </w:tcPr>
          <w:p w14:paraId="3431934B" w14:textId="4EB48DA6" w:rsidR="008A424E" w:rsidRPr="00BD0DDA" w:rsidRDefault="008A424E" w:rsidP="00241D3C">
            <w:pPr>
              <w:jc w:val="center"/>
              <w:rPr>
                <w:sz w:val="22"/>
                <w:szCs w:val="22"/>
              </w:rPr>
            </w:pPr>
            <w:r w:rsidRPr="00001EC1">
              <w:rPr>
                <w:sz w:val="22"/>
                <w:szCs w:val="22"/>
              </w:rPr>
              <w:t>(0</w:t>
            </w:r>
            <w:r>
              <w:t>.</w:t>
            </w:r>
            <w:r w:rsidRPr="00001EC1">
              <w:rPr>
                <w:sz w:val="22"/>
                <w:szCs w:val="22"/>
              </w:rPr>
              <w:t>88-1</w:t>
            </w:r>
            <w:r>
              <w:t>.</w:t>
            </w:r>
            <w:r w:rsidR="00B73D5B">
              <w:rPr>
                <w:sz w:val="22"/>
                <w:szCs w:val="22"/>
              </w:rPr>
              <w:t>15</w:t>
            </w:r>
            <w:r w:rsidRPr="00001EC1">
              <w:rPr>
                <w:sz w:val="22"/>
                <w:szCs w:val="22"/>
              </w:rPr>
              <w:t>)</w:t>
            </w:r>
          </w:p>
        </w:tc>
        <w:tc>
          <w:tcPr>
            <w:tcW w:w="1134" w:type="dxa"/>
            <w:tcBorders>
              <w:top w:val="nil"/>
              <w:bottom w:val="single" w:sz="4" w:space="0" w:color="auto"/>
            </w:tcBorders>
          </w:tcPr>
          <w:p w14:paraId="6CEC7025" w14:textId="58AF6A1A" w:rsidR="008A424E" w:rsidRPr="00BD0DDA" w:rsidRDefault="008A424E" w:rsidP="00241D3C">
            <w:pPr>
              <w:jc w:val="center"/>
              <w:rPr>
                <w:sz w:val="22"/>
                <w:szCs w:val="22"/>
              </w:rPr>
            </w:pPr>
            <w:r w:rsidRPr="00001EC1">
              <w:rPr>
                <w:sz w:val="22"/>
                <w:szCs w:val="22"/>
              </w:rPr>
              <w:t>(0</w:t>
            </w:r>
            <w:r>
              <w:t>.</w:t>
            </w:r>
            <w:r w:rsidR="00D951F9">
              <w:rPr>
                <w:sz w:val="22"/>
                <w:szCs w:val="22"/>
              </w:rPr>
              <w:t>80</w:t>
            </w:r>
            <w:r w:rsidRPr="00001EC1">
              <w:rPr>
                <w:sz w:val="22"/>
                <w:szCs w:val="22"/>
              </w:rPr>
              <w:t>-1</w:t>
            </w:r>
            <w:r>
              <w:t>.</w:t>
            </w:r>
            <w:r w:rsidR="00D951F9">
              <w:rPr>
                <w:sz w:val="22"/>
                <w:szCs w:val="22"/>
              </w:rPr>
              <w:t>12</w:t>
            </w:r>
            <w:r w:rsidRPr="00001EC1">
              <w:rPr>
                <w:sz w:val="22"/>
                <w:szCs w:val="22"/>
              </w:rPr>
              <w:t>)</w:t>
            </w:r>
          </w:p>
        </w:tc>
        <w:tc>
          <w:tcPr>
            <w:tcW w:w="1134" w:type="dxa"/>
            <w:tcBorders>
              <w:top w:val="nil"/>
              <w:bottom w:val="single" w:sz="4" w:space="0" w:color="auto"/>
            </w:tcBorders>
          </w:tcPr>
          <w:p w14:paraId="45973BB8" w14:textId="5C865909" w:rsidR="008A424E" w:rsidRPr="00BD0DDA" w:rsidRDefault="008A424E" w:rsidP="00241D3C">
            <w:pPr>
              <w:jc w:val="center"/>
              <w:rPr>
                <w:sz w:val="22"/>
                <w:szCs w:val="22"/>
              </w:rPr>
            </w:pPr>
            <w:r>
              <w:t>(3.</w:t>
            </w:r>
            <w:r w:rsidR="00C26EEA">
              <w:t>1</w:t>
            </w:r>
            <w:r>
              <w:t>)</w:t>
            </w:r>
          </w:p>
        </w:tc>
        <w:tc>
          <w:tcPr>
            <w:tcW w:w="1080" w:type="dxa"/>
            <w:tcBorders>
              <w:top w:val="nil"/>
              <w:bottom w:val="single" w:sz="4" w:space="0" w:color="auto"/>
            </w:tcBorders>
          </w:tcPr>
          <w:p w14:paraId="55DADA7C" w14:textId="29129632" w:rsidR="008A424E" w:rsidRPr="00BD0DDA" w:rsidRDefault="008A424E" w:rsidP="00241D3C">
            <w:pPr>
              <w:jc w:val="center"/>
              <w:rPr>
                <w:sz w:val="22"/>
                <w:szCs w:val="22"/>
              </w:rPr>
            </w:pPr>
            <w:r>
              <w:t>(</w:t>
            </w:r>
            <w:r w:rsidR="00C26EEA">
              <w:t>3.4</w:t>
            </w:r>
            <w:r>
              <w:t>)</w:t>
            </w:r>
          </w:p>
        </w:tc>
        <w:tc>
          <w:tcPr>
            <w:tcW w:w="1276" w:type="dxa"/>
            <w:tcBorders>
              <w:top w:val="nil"/>
              <w:bottom w:val="single" w:sz="4" w:space="0" w:color="auto"/>
            </w:tcBorders>
          </w:tcPr>
          <w:p w14:paraId="47FC9C51" w14:textId="5877DA4D" w:rsidR="008A424E" w:rsidRPr="00BD0DDA" w:rsidRDefault="008A424E" w:rsidP="00241D3C">
            <w:pPr>
              <w:jc w:val="center"/>
              <w:rPr>
                <w:sz w:val="22"/>
                <w:szCs w:val="22"/>
              </w:rPr>
            </w:pPr>
            <w:r w:rsidRPr="00001EC1">
              <w:rPr>
                <w:sz w:val="22"/>
                <w:szCs w:val="22"/>
              </w:rPr>
              <w:t>(0</w:t>
            </w:r>
            <w:r>
              <w:t>.</w:t>
            </w:r>
            <w:r w:rsidR="007C76B6">
              <w:rPr>
                <w:sz w:val="22"/>
                <w:szCs w:val="22"/>
              </w:rPr>
              <w:t>78</w:t>
            </w:r>
            <w:r w:rsidRPr="00001EC1">
              <w:rPr>
                <w:sz w:val="22"/>
                <w:szCs w:val="22"/>
              </w:rPr>
              <w:t>-1</w:t>
            </w:r>
            <w:r>
              <w:t>.</w:t>
            </w:r>
            <w:r w:rsidR="007C76B6">
              <w:rPr>
                <w:sz w:val="22"/>
                <w:szCs w:val="22"/>
              </w:rPr>
              <w:t>12</w:t>
            </w:r>
            <w:r w:rsidRPr="00001EC1">
              <w:rPr>
                <w:sz w:val="22"/>
                <w:szCs w:val="22"/>
              </w:rPr>
              <w:t>)</w:t>
            </w:r>
          </w:p>
        </w:tc>
        <w:tc>
          <w:tcPr>
            <w:tcW w:w="1187" w:type="dxa"/>
            <w:tcBorders>
              <w:top w:val="nil"/>
              <w:bottom w:val="single" w:sz="4" w:space="0" w:color="auto"/>
            </w:tcBorders>
          </w:tcPr>
          <w:p w14:paraId="41059E07" w14:textId="27023005" w:rsidR="008A424E" w:rsidRPr="00BD0DDA" w:rsidRDefault="008A424E" w:rsidP="00241D3C">
            <w:pPr>
              <w:jc w:val="center"/>
              <w:rPr>
                <w:sz w:val="22"/>
                <w:szCs w:val="22"/>
              </w:rPr>
            </w:pPr>
            <w:r w:rsidRPr="00001EC1">
              <w:rPr>
                <w:sz w:val="22"/>
                <w:szCs w:val="22"/>
              </w:rPr>
              <w:t>(0</w:t>
            </w:r>
            <w:r>
              <w:t>.</w:t>
            </w:r>
            <w:r w:rsidR="006269FD">
              <w:rPr>
                <w:sz w:val="22"/>
                <w:szCs w:val="22"/>
              </w:rPr>
              <w:t>68</w:t>
            </w:r>
            <w:r w:rsidRPr="00001EC1">
              <w:rPr>
                <w:sz w:val="22"/>
                <w:szCs w:val="22"/>
              </w:rPr>
              <w:t>-1</w:t>
            </w:r>
            <w:r>
              <w:t>.</w:t>
            </w:r>
            <w:r w:rsidR="006269FD">
              <w:rPr>
                <w:sz w:val="22"/>
                <w:szCs w:val="22"/>
              </w:rPr>
              <w:t>19</w:t>
            </w:r>
            <w:r w:rsidRPr="00001EC1">
              <w:rPr>
                <w:sz w:val="22"/>
                <w:szCs w:val="22"/>
              </w:rPr>
              <w:t>)</w:t>
            </w:r>
          </w:p>
        </w:tc>
      </w:tr>
      <w:tr w:rsidR="006114CF" w:rsidRPr="00BD0DDA" w14:paraId="5CA71EC2" w14:textId="77777777" w:rsidTr="00680873">
        <w:tc>
          <w:tcPr>
            <w:tcW w:w="1833" w:type="dxa"/>
            <w:tcBorders>
              <w:bottom w:val="nil"/>
            </w:tcBorders>
          </w:tcPr>
          <w:p w14:paraId="11B79BAB" w14:textId="77777777" w:rsidR="008A424E" w:rsidRPr="00BD0DDA" w:rsidRDefault="008A424E" w:rsidP="00241D3C">
            <w:pPr>
              <w:rPr>
                <w:sz w:val="22"/>
                <w:szCs w:val="22"/>
              </w:rPr>
            </w:pPr>
            <w:r w:rsidRPr="00001EC1">
              <w:rPr>
                <w:sz w:val="22"/>
                <w:szCs w:val="22"/>
              </w:rPr>
              <w:t xml:space="preserve">Other combination </w:t>
            </w:r>
          </w:p>
        </w:tc>
        <w:tc>
          <w:tcPr>
            <w:tcW w:w="1115" w:type="dxa"/>
            <w:tcBorders>
              <w:bottom w:val="nil"/>
            </w:tcBorders>
          </w:tcPr>
          <w:p w14:paraId="4BDBAB83" w14:textId="19F8F940" w:rsidR="008A424E" w:rsidRPr="00BD0DDA" w:rsidRDefault="00EC48EB" w:rsidP="00241D3C">
            <w:pPr>
              <w:jc w:val="center"/>
              <w:rPr>
                <w:sz w:val="22"/>
                <w:szCs w:val="22"/>
              </w:rPr>
            </w:pPr>
            <w:r>
              <w:t>436</w:t>
            </w:r>
          </w:p>
        </w:tc>
        <w:tc>
          <w:tcPr>
            <w:tcW w:w="965" w:type="dxa"/>
            <w:tcBorders>
              <w:bottom w:val="nil"/>
            </w:tcBorders>
          </w:tcPr>
          <w:p w14:paraId="454FA9DD" w14:textId="7F7EC006" w:rsidR="008A424E" w:rsidRPr="00BD0DDA" w:rsidRDefault="00EC48EB" w:rsidP="00241D3C">
            <w:pPr>
              <w:jc w:val="center"/>
              <w:rPr>
                <w:sz w:val="22"/>
                <w:szCs w:val="22"/>
              </w:rPr>
            </w:pPr>
            <w:r>
              <w:t>4,249</w:t>
            </w:r>
          </w:p>
        </w:tc>
        <w:tc>
          <w:tcPr>
            <w:tcW w:w="1276" w:type="dxa"/>
            <w:tcBorders>
              <w:bottom w:val="nil"/>
            </w:tcBorders>
          </w:tcPr>
          <w:p w14:paraId="1C3464FF" w14:textId="77777777" w:rsidR="008A424E" w:rsidRPr="00BD0DDA" w:rsidRDefault="008A424E" w:rsidP="00241D3C">
            <w:pPr>
              <w:jc w:val="center"/>
              <w:rPr>
                <w:sz w:val="22"/>
                <w:szCs w:val="22"/>
              </w:rPr>
            </w:pPr>
            <w:r>
              <w:t>1</w:t>
            </w:r>
          </w:p>
        </w:tc>
        <w:tc>
          <w:tcPr>
            <w:tcW w:w="1134" w:type="dxa"/>
            <w:tcBorders>
              <w:bottom w:val="nil"/>
            </w:tcBorders>
          </w:tcPr>
          <w:p w14:paraId="211338B8" w14:textId="77777777" w:rsidR="008A424E" w:rsidRPr="00BD0DDA" w:rsidRDefault="008A424E" w:rsidP="00241D3C">
            <w:pPr>
              <w:jc w:val="center"/>
              <w:rPr>
                <w:sz w:val="22"/>
                <w:szCs w:val="22"/>
              </w:rPr>
            </w:pPr>
            <w:r>
              <w:t>1</w:t>
            </w:r>
          </w:p>
        </w:tc>
        <w:tc>
          <w:tcPr>
            <w:tcW w:w="992" w:type="dxa"/>
            <w:tcBorders>
              <w:bottom w:val="nil"/>
            </w:tcBorders>
          </w:tcPr>
          <w:p w14:paraId="7973B984" w14:textId="3C9993BA" w:rsidR="008A424E" w:rsidRPr="00BD0DDA" w:rsidRDefault="00914567" w:rsidP="00241D3C">
            <w:pPr>
              <w:jc w:val="center"/>
              <w:rPr>
                <w:sz w:val="22"/>
                <w:szCs w:val="22"/>
              </w:rPr>
            </w:pPr>
            <w:r>
              <w:t>3,169</w:t>
            </w:r>
          </w:p>
        </w:tc>
        <w:tc>
          <w:tcPr>
            <w:tcW w:w="1134" w:type="dxa"/>
            <w:tcBorders>
              <w:bottom w:val="nil"/>
            </w:tcBorders>
          </w:tcPr>
          <w:p w14:paraId="67A0F283" w14:textId="6AC50FA0" w:rsidR="008A424E" w:rsidRPr="00BD0DDA" w:rsidRDefault="00D06907" w:rsidP="00241D3C">
            <w:pPr>
              <w:jc w:val="center"/>
              <w:rPr>
                <w:sz w:val="22"/>
                <w:szCs w:val="22"/>
              </w:rPr>
            </w:pPr>
            <w:r>
              <w:t>58,602</w:t>
            </w:r>
          </w:p>
        </w:tc>
        <w:tc>
          <w:tcPr>
            <w:tcW w:w="1276" w:type="dxa"/>
            <w:tcBorders>
              <w:bottom w:val="nil"/>
            </w:tcBorders>
          </w:tcPr>
          <w:p w14:paraId="24848BA5" w14:textId="77777777" w:rsidR="008A424E" w:rsidRPr="00BD0DDA" w:rsidRDefault="008A424E" w:rsidP="00241D3C">
            <w:pPr>
              <w:jc w:val="center"/>
              <w:rPr>
                <w:sz w:val="22"/>
                <w:szCs w:val="22"/>
              </w:rPr>
            </w:pPr>
            <w:r>
              <w:t>1</w:t>
            </w:r>
          </w:p>
        </w:tc>
        <w:tc>
          <w:tcPr>
            <w:tcW w:w="1134" w:type="dxa"/>
            <w:tcBorders>
              <w:bottom w:val="nil"/>
            </w:tcBorders>
          </w:tcPr>
          <w:p w14:paraId="0BEDFCAE" w14:textId="77777777" w:rsidR="008A424E" w:rsidRPr="00BD0DDA" w:rsidRDefault="008A424E" w:rsidP="00241D3C">
            <w:pPr>
              <w:jc w:val="center"/>
              <w:rPr>
                <w:sz w:val="22"/>
                <w:szCs w:val="22"/>
              </w:rPr>
            </w:pPr>
            <w:r>
              <w:t>1</w:t>
            </w:r>
          </w:p>
        </w:tc>
        <w:tc>
          <w:tcPr>
            <w:tcW w:w="1134" w:type="dxa"/>
            <w:tcBorders>
              <w:bottom w:val="nil"/>
            </w:tcBorders>
          </w:tcPr>
          <w:p w14:paraId="44035A7B" w14:textId="24F54ACA" w:rsidR="008A424E" w:rsidRPr="00BD0DDA" w:rsidRDefault="008A424E" w:rsidP="00241D3C">
            <w:pPr>
              <w:jc w:val="center"/>
              <w:rPr>
                <w:sz w:val="22"/>
                <w:szCs w:val="22"/>
              </w:rPr>
            </w:pPr>
            <w:r>
              <w:t>1,</w:t>
            </w:r>
            <w:r w:rsidR="00C26EEA">
              <w:t>288</w:t>
            </w:r>
          </w:p>
        </w:tc>
        <w:tc>
          <w:tcPr>
            <w:tcW w:w="1080" w:type="dxa"/>
            <w:tcBorders>
              <w:bottom w:val="nil"/>
            </w:tcBorders>
          </w:tcPr>
          <w:p w14:paraId="4FB2EE29" w14:textId="7142DCF4" w:rsidR="008A424E" w:rsidRPr="00BD0DDA" w:rsidRDefault="00C26EEA" w:rsidP="00241D3C">
            <w:pPr>
              <w:jc w:val="center"/>
              <w:rPr>
                <w:sz w:val="22"/>
                <w:szCs w:val="22"/>
              </w:rPr>
            </w:pPr>
            <w:r>
              <w:t>19,190</w:t>
            </w:r>
          </w:p>
        </w:tc>
        <w:tc>
          <w:tcPr>
            <w:tcW w:w="1276" w:type="dxa"/>
            <w:tcBorders>
              <w:bottom w:val="nil"/>
            </w:tcBorders>
          </w:tcPr>
          <w:p w14:paraId="1E676DB1" w14:textId="77777777" w:rsidR="008A424E" w:rsidRPr="00BD0DDA" w:rsidRDefault="008A424E" w:rsidP="00241D3C">
            <w:pPr>
              <w:jc w:val="center"/>
              <w:rPr>
                <w:sz w:val="22"/>
                <w:szCs w:val="22"/>
              </w:rPr>
            </w:pPr>
            <w:r>
              <w:t>1</w:t>
            </w:r>
          </w:p>
        </w:tc>
        <w:tc>
          <w:tcPr>
            <w:tcW w:w="1187" w:type="dxa"/>
            <w:tcBorders>
              <w:bottom w:val="nil"/>
            </w:tcBorders>
          </w:tcPr>
          <w:p w14:paraId="00E7EE21" w14:textId="77777777" w:rsidR="008A424E" w:rsidRPr="00BD0DDA" w:rsidRDefault="008A424E" w:rsidP="00241D3C">
            <w:pPr>
              <w:jc w:val="center"/>
              <w:rPr>
                <w:sz w:val="22"/>
                <w:szCs w:val="22"/>
              </w:rPr>
            </w:pPr>
            <w:r>
              <w:t>1</w:t>
            </w:r>
          </w:p>
        </w:tc>
      </w:tr>
      <w:tr w:rsidR="006114CF" w:rsidRPr="00BD0DDA" w14:paraId="21AF8C18" w14:textId="77777777" w:rsidTr="00680873">
        <w:tc>
          <w:tcPr>
            <w:tcW w:w="1833" w:type="dxa"/>
            <w:tcBorders>
              <w:top w:val="nil"/>
              <w:bottom w:val="single" w:sz="4" w:space="0" w:color="auto"/>
            </w:tcBorders>
          </w:tcPr>
          <w:p w14:paraId="1253F037" w14:textId="77777777" w:rsidR="008A424E" w:rsidRPr="00BD0DDA" w:rsidRDefault="008A424E" w:rsidP="00241D3C">
            <w:pPr>
              <w:ind w:right="-472"/>
              <w:rPr>
                <w:sz w:val="22"/>
                <w:szCs w:val="22"/>
              </w:rPr>
            </w:pPr>
            <w:r w:rsidRPr="00001EC1">
              <w:rPr>
                <w:sz w:val="22"/>
                <w:szCs w:val="22"/>
              </w:rPr>
              <w:t>regimens</w:t>
            </w:r>
          </w:p>
        </w:tc>
        <w:tc>
          <w:tcPr>
            <w:tcW w:w="1115" w:type="dxa"/>
            <w:tcBorders>
              <w:top w:val="nil"/>
              <w:bottom w:val="single" w:sz="4" w:space="0" w:color="auto"/>
            </w:tcBorders>
          </w:tcPr>
          <w:p w14:paraId="393336F6" w14:textId="2D2377F9" w:rsidR="008A424E" w:rsidRPr="00BD0DDA" w:rsidRDefault="008A424E" w:rsidP="00241D3C">
            <w:pPr>
              <w:jc w:val="center"/>
              <w:rPr>
                <w:sz w:val="22"/>
                <w:szCs w:val="22"/>
              </w:rPr>
            </w:pPr>
            <w:r>
              <w:t>(</w:t>
            </w:r>
            <w:r w:rsidR="00EC48EB">
              <w:t>25.8</w:t>
            </w:r>
            <w:r>
              <w:t>)</w:t>
            </w:r>
          </w:p>
        </w:tc>
        <w:tc>
          <w:tcPr>
            <w:tcW w:w="965" w:type="dxa"/>
            <w:tcBorders>
              <w:top w:val="nil"/>
              <w:bottom w:val="single" w:sz="4" w:space="0" w:color="auto"/>
            </w:tcBorders>
          </w:tcPr>
          <w:p w14:paraId="7CD0520E" w14:textId="44BE64B2" w:rsidR="008A424E" w:rsidRPr="00BD0DDA" w:rsidRDefault="008A424E" w:rsidP="00241D3C">
            <w:pPr>
              <w:jc w:val="center"/>
              <w:rPr>
                <w:sz w:val="22"/>
                <w:szCs w:val="22"/>
              </w:rPr>
            </w:pPr>
            <w:r>
              <w:t>(</w:t>
            </w:r>
            <w:r w:rsidR="00EC48EB">
              <w:t>21</w:t>
            </w:r>
            <w:r>
              <w:t>.0)</w:t>
            </w:r>
          </w:p>
        </w:tc>
        <w:tc>
          <w:tcPr>
            <w:tcW w:w="1276" w:type="dxa"/>
            <w:tcBorders>
              <w:top w:val="nil"/>
              <w:bottom w:val="single" w:sz="4" w:space="0" w:color="auto"/>
            </w:tcBorders>
          </w:tcPr>
          <w:p w14:paraId="5EE8E95B" w14:textId="77777777" w:rsidR="008A424E" w:rsidRPr="00BD0DDA" w:rsidRDefault="008A424E" w:rsidP="00241D3C">
            <w:pPr>
              <w:jc w:val="center"/>
              <w:rPr>
                <w:sz w:val="22"/>
                <w:szCs w:val="22"/>
              </w:rPr>
            </w:pPr>
          </w:p>
        </w:tc>
        <w:tc>
          <w:tcPr>
            <w:tcW w:w="1134" w:type="dxa"/>
            <w:tcBorders>
              <w:top w:val="nil"/>
              <w:bottom w:val="single" w:sz="4" w:space="0" w:color="auto"/>
            </w:tcBorders>
          </w:tcPr>
          <w:p w14:paraId="284D3515" w14:textId="77777777" w:rsidR="008A424E" w:rsidRPr="00BD0DDA" w:rsidRDefault="008A424E" w:rsidP="00241D3C">
            <w:pPr>
              <w:jc w:val="center"/>
              <w:rPr>
                <w:sz w:val="22"/>
                <w:szCs w:val="22"/>
              </w:rPr>
            </w:pPr>
          </w:p>
        </w:tc>
        <w:tc>
          <w:tcPr>
            <w:tcW w:w="992" w:type="dxa"/>
            <w:tcBorders>
              <w:top w:val="nil"/>
              <w:bottom w:val="single" w:sz="4" w:space="0" w:color="auto"/>
            </w:tcBorders>
          </w:tcPr>
          <w:p w14:paraId="34FA251F" w14:textId="5729E751" w:rsidR="008A424E" w:rsidRPr="00BD0DDA" w:rsidRDefault="008A424E" w:rsidP="00241D3C">
            <w:pPr>
              <w:jc w:val="center"/>
              <w:rPr>
                <w:sz w:val="22"/>
                <w:szCs w:val="22"/>
              </w:rPr>
            </w:pPr>
            <w:r>
              <w:t>(</w:t>
            </w:r>
            <w:r w:rsidR="00914567">
              <w:t>26.7</w:t>
            </w:r>
            <w:r>
              <w:t>)</w:t>
            </w:r>
          </w:p>
        </w:tc>
        <w:tc>
          <w:tcPr>
            <w:tcW w:w="1134" w:type="dxa"/>
            <w:tcBorders>
              <w:top w:val="nil"/>
              <w:bottom w:val="single" w:sz="4" w:space="0" w:color="auto"/>
            </w:tcBorders>
          </w:tcPr>
          <w:p w14:paraId="7B6EDC77" w14:textId="7D9BE26B" w:rsidR="008A424E" w:rsidRPr="00BD0DDA" w:rsidRDefault="008A424E" w:rsidP="00241D3C">
            <w:pPr>
              <w:jc w:val="center"/>
              <w:rPr>
                <w:sz w:val="22"/>
                <w:szCs w:val="22"/>
              </w:rPr>
            </w:pPr>
            <w:r>
              <w:t>(</w:t>
            </w:r>
            <w:r w:rsidR="00D06907">
              <w:t>27.5</w:t>
            </w:r>
            <w:r>
              <w:t>)</w:t>
            </w:r>
          </w:p>
        </w:tc>
        <w:tc>
          <w:tcPr>
            <w:tcW w:w="1276" w:type="dxa"/>
            <w:tcBorders>
              <w:top w:val="nil"/>
              <w:bottom w:val="single" w:sz="4" w:space="0" w:color="auto"/>
            </w:tcBorders>
          </w:tcPr>
          <w:p w14:paraId="670CC900" w14:textId="77777777" w:rsidR="008A424E" w:rsidRPr="00BD0DDA" w:rsidRDefault="008A424E" w:rsidP="00241D3C">
            <w:pPr>
              <w:jc w:val="center"/>
              <w:rPr>
                <w:sz w:val="22"/>
                <w:szCs w:val="22"/>
              </w:rPr>
            </w:pPr>
          </w:p>
        </w:tc>
        <w:tc>
          <w:tcPr>
            <w:tcW w:w="1134" w:type="dxa"/>
            <w:tcBorders>
              <w:top w:val="nil"/>
              <w:bottom w:val="single" w:sz="4" w:space="0" w:color="auto"/>
            </w:tcBorders>
          </w:tcPr>
          <w:p w14:paraId="7087E3EE" w14:textId="77777777" w:rsidR="008A424E" w:rsidRPr="00BD0DDA" w:rsidRDefault="008A424E" w:rsidP="00241D3C">
            <w:pPr>
              <w:jc w:val="center"/>
              <w:rPr>
                <w:sz w:val="22"/>
                <w:szCs w:val="22"/>
              </w:rPr>
            </w:pPr>
          </w:p>
        </w:tc>
        <w:tc>
          <w:tcPr>
            <w:tcW w:w="1134" w:type="dxa"/>
            <w:tcBorders>
              <w:top w:val="nil"/>
              <w:bottom w:val="single" w:sz="4" w:space="0" w:color="auto"/>
            </w:tcBorders>
          </w:tcPr>
          <w:p w14:paraId="284026FC" w14:textId="604A1476" w:rsidR="008A424E" w:rsidRPr="00BD0DDA" w:rsidRDefault="008A424E" w:rsidP="00241D3C">
            <w:pPr>
              <w:jc w:val="center"/>
              <w:rPr>
                <w:sz w:val="22"/>
                <w:szCs w:val="22"/>
              </w:rPr>
            </w:pPr>
            <w:r>
              <w:t>(</w:t>
            </w:r>
            <w:r w:rsidR="00C26EEA">
              <w:t>26.2</w:t>
            </w:r>
            <w:r>
              <w:t>)</w:t>
            </w:r>
          </w:p>
        </w:tc>
        <w:tc>
          <w:tcPr>
            <w:tcW w:w="1080" w:type="dxa"/>
            <w:tcBorders>
              <w:top w:val="nil"/>
              <w:bottom w:val="single" w:sz="4" w:space="0" w:color="auto"/>
            </w:tcBorders>
          </w:tcPr>
          <w:p w14:paraId="40245F66" w14:textId="14FFDACC" w:rsidR="008A424E" w:rsidRPr="00BD0DDA" w:rsidRDefault="008A424E" w:rsidP="00241D3C">
            <w:pPr>
              <w:jc w:val="center"/>
              <w:rPr>
                <w:sz w:val="22"/>
                <w:szCs w:val="22"/>
              </w:rPr>
            </w:pPr>
            <w:r>
              <w:t>(</w:t>
            </w:r>
            <w:r w:rsidR="00C26EEA">
              <w:t>25.2</w:t>
            </w:r>
            <w:r>
              <w:t>)</w:t>
            </w:r>
          </w:p>
        </w:tc>
        <w:tc>
          <w:tcPr>
            <w:tcW w:w="1276" w:type="dxa"/>
            <w:tcBorders>
              <w:top w:val="nil"/>
              <w:bottom w:val="single" w:sz="4" w:space="0" w:color="auto"/>
            </w:tcBorders>
          </w:tcPr>
          <w:p w14:paraId="4E6C9B54" w14:textId="77777777" w:rsidR="008A424E" w:rsidRPr="00BD0DDA" w:rsidRDefault="008A424E" w:rsidP="00241D3C">
            <w:pPr>
              <w:jc w:val="center"/>
              <w:rPr>
                <w:sz w:val="22"/>
                <w:szCs w:val="22"/>
              </w:rPr>
            </w:pPr>
          </w:p>
        </w:tc>
        <w:tc>
          <w:tcPr>
            <w:tcW w:w="1187" w:type="dxa"/>
            <w:tcBorders>
              <w:top w:val="nil"/>
              <w:bottom w:val="single" w:sz="4" w:space="0" w:color="auto"/>
            </w:tcBorders>
          </w:tcPr>
          <w:p w14:paraId="378FC619" w14:textId="77777777" w:rsidR="008A424E" w:rsidRPr="00BD0DDA" w:rsidRDefault="008A424E" w:rsidP="00241D3C">
            <w:pPr>
              <w:jc w:val="center"/>
              <w:rPr>
                <w:sz w:val="22"/>
                <w:szCs w:val="22"/>
              </w:rPr>
            </w:pPr>
          </w:p>
        </w:tc>
      </w:tr>
      <w:tr w:rsidR="006114CF" w:rsidRPr="00BD0DDA" w14:paraId="5A073D21" w14:textId="77777777" w:rsidTr="00680873">
        <w:tc>
          <w:tcPr>
            <w:tcW w:w="1833" w:type="dxa"/>
            <w:tcBorders>
              <w:bottom w:val="nil"/>
            </w:tcBorders>
          </w:tcPr>
          <w:p w14:paraId="669E347B" w14:textId="77777777" w:rsidR="008A424E" w:rsidRPr="00BD0DDA" w:rsidRDefault="008A424E" w:rsidP="00241D3C">
            <w:pPr>
              <w:rPr>
                <w:sz w:val="22"/>
                <w:szCs w:val="22"/>
              </w:rPr>
            </w:pPr>
            <w:proofErr w:type="gramStart"/>
            <w:r w:rsidRPr="00001EC1">
              <w:rPr>
                <w:sz w:val="22"/>
                <w:szCs w:val="22"/>
              </w:rPr>
              <w:t>Other</w:t>
            </w:r>
            <w:proofErr w:type="gramEnd"/>
            <w:r w:rsidRPr="00001EC1">
              <w:rPr>
                <w:sz w:val="22"/>
                <w:szCs w:val="22"/>
              </w:rPr>
              <w:t xml:space="preserve"> monotherapy</w:t>
            </w:r>
          </w:p>
        </w:tc>
        <w:tc>
          <w:tcPr>
            <w:tcW w:w="1115" w:type="dxa"/>
            <w:tcBorders>
              <w:bottom w:val="nil"/>
            </w:tcBorders>
          </w:tcPr>
          <w:p w14:paraId="5E5042A0" w14:textId="3679751D" w:rsidR="008A424E" w:rsidRPr="00BD0DDA" w:rsidRDefault="00EC48EB" w:rsidP="00241D3C">
            <w:pPr>
              <w:jc w:val="center"/>
              <w:rPr>
                <w:sz w:val="22"/>
                <w:szCs w:val="22"/>
              </w:rPr>
            </w:pPr>
            <w:r>
              <w:t>757</w:t>
            </w:r>
          </w:p>
        </w:tc>
        <w:tc>
          <w:tcPr>
            <w:tcW w:w="965" w:type="dxa"/>
            <w:tcBorders>
              <w:bottom w:val="nil"/>
            </w:tcBorders>
          </w:tcPr>
          <w:p w14:paraId="4818DC33" w14:textId="6C8EAB6E" w:rsidR="008A424E" w:rsidRPr="00BD0DDA" w:rsidRDefault="008A424E" w:rsidP="00241D3C">
            <w:pPr>
              <w:jc w:val="center"/>
              <w:rPr>
                <w:sz w:val="22"/>
                <w:szCs w:val="22"/>
              </w:rPr>
            </w:pPr>
            <w:r>
              <w:t>10,48</w:t>
            </w:r>
            <w:r w:rsidR="00EC48EB">
              <w:t>3</w:t>
            </w:r>
          </w:p>
        </w:tc>
        <w:tc>
          <w:tcPr>
            <w:tcW w:w="1276" w:type="dxa"/>
            <w:tcBorders>
              <w:bottom w:val="nil"/>
            </w:tcBorders>
          </w:tcPr>
          <w:p w14:paraId="7CC475D4" w14:textId="38538942" w:rsidR="008A424E" w:rsidRPr="00BD0DDA" w:rsidRDefault="008A424E" w:rsidP="00241D3C">
            <w:pPr>
              <w:jc w:val="center"/>
              <w:rPr>
                <w:sz w:val="22"/>
                <w:szCs w:val="22"/>
              </w:rPr>
            </w:pPr>
            <w:r>
              <w:t>1.</w:t>
            </w:r>
            <w:r w:rsidR="008B351B">
              <w:t>28</w:t>
            </w:r>
          </w:p>
        </w:tc>
        <w:tc>
          <w:tcPr>
            <w:tcW w:w="1134" w:type="dxa"/>
            <w:tcBorders>
              <w:bottom w:val="nil"/>
            </w:tcBorders>
          </w:tcPr>
          <w:p w14:paraId="17E93609" w14:textId="6BA086FB" w:rsidR="008A424E" w:rsidRPr="00BD0DDA" w:rsidRDefault="008A424E" w:rsidP="00241D3C">
            <w:pPr>
              <w:jc w:val="center"/>
              <w:rPr>
                <w:sz w:val="22"/>
                <w:szCs w:val="22"/>
              </w:rPr>
            </w:pPr>
            <w:r>
              <w:t>1.</w:t>
            </w:r>
            <w:r w:rsidR="006E3173">
              <w:t>37</w:t>
            </w:r>
          </w:p>
        </w:tc>
        <w:tc>
          <w:tcPr>
            <w:tcW w:w="992" w:type="dxa"/>
            <w:tcBorders>
              <w:bottom w:val="nil"/>
            </w:tcBorders>
          </w:tcPr>
          <w:p w14:paraId="68CAC006" w14:textId="77777777" w:rsidR="008A424E" w:rsidRPr="00BD0DDA" w:rsidRDefault="008A424E" w:rsidP="00241D3C">
            <w:pPr>
              <w:jc w:val="center"/>
              <w:rPr>
                <w:sz w:val="22"/>
                <w:szCs w:val="22"/>
              </w:rPr>
            </w:pPr>
            <w:r>
              <w:t>5,250</w:t>
            </w:r>
          </w:p>
        </w:tc>
        <w:tc>
          <w:tcPr>
            <w:tcW w:w="1134" w:type="dxa"/>
            <w:tcBorders>
              <w:bottom w:val="nil"/>
            </w:tcBorders>
          </w:tcPr>
          <w:p w14:paraId="45358E54" w14:textId="77777777" w:rsidR="008A424E" w:rsidRPr="00BD0DDA" w:rsidRDefault="008A424E" w:rsidP="00241D3C">
            <w:pPr>
              <w:jc w:val="center"/>
              <w:rPr>
                <w:sz w:val="22"/>
                <w:szCs w:val="22"/>
              </w:rPr>
            </w:pPr>
            <w:r>
              <w:t>94,345</w:t>
            </w:r>
          </w:p>
        </w:tc>
        <w:tc>
          <w:tcPr>
            <w:tcW w:w="1276" w:type="dxa"/>
            <w:tcBorders>
              <w:bottom w:val="nil"/>
            </w:tcBorders>
          </w:tcPr>
          <w:p w14:paraId="32A218CA" w14:textId="0867331D" w:rsidR="008A424E" w:rsidRPr="00BD0DDA" w:rsidRDefault="008A424E" w:rsidP="00241D3C">
            <w:pPr>
              <w:jc w:val="center"/>
              <w:rPr>
                <w:sz w:val="22"/>
                <w:szCs w:val="22"/>
              </w:rPr>
            </w:pPr>
            <w:r>
              <w:t>1.</w:t>
            </w:r>
            <w:r w:rsidR="00DC3E0F">
              <w:t>14</w:t>
            </w:r>
          </w:p>
        </w:tc>
        <w:tc>
          <w:tcPr>
            <w:tcW w:w="1134" w:type="dxa"/>
            <w:tcBorders>
              <w:bottom w:val="nil"/>
            </w:tcBorders>
          </w:tcPr>
          <w:p w14:paraId="0F9DC2EB" w14:textId="7A20909C" w:rsidR="008A424E" w:rsidRPr="00BD0DDA" w:rsidRDefault="008A424E" w:rsidP="00241D3C">
            <w:pPr>
              <w:jc w:val="center"/>
              <w:rPr>
                <w:sz w:val="22"/>
                <w:szCs w:val="22"/>
              </w:rPr>
            </w:pPr>
            <w:r>
              <w:t>1.</w:t>
            </w:r>
            <w:r w:rsidR="00D951F9">
              <w:t>13</w:t>
            </w:r>
          </w:p>
        </w:tc>
        <w:tc>
          <w:tcPr>
            <w:tcW w:w="1134" w:type="dxa"/>
            <w:tcBorders>
              <w:bottom w:val="nil"/>
            </w:tcBorders>
          </w:tcPr>
          <w:p w14:paraId="324B7A6D" w14:textId="4E58AFE6" w:rsidR="008A424E" w:rsidRPr="00BD0DDA" w:rsidRDefault="008A424E" w:rsidP="00241D3C">
            <w:pPr>
              <w:jc w:val="center"/>
              <w:rPr>
                <w:sz w:val="22"/>
                <w:szCs w:val="22"/>
              </w:rPr>
            </w:pPr>
            <w:r>
              <w:t>1,</w:t>
            </w:r>
            <w:r w:rsidR="00C26EEA">
              <w:t>953</w:t>
            </w:r>
          </w:p>
        </w:tc>
        <w:tc>
          <w:tcPr>
            <w:tcW w:w="1080" w:type="dxa"/>
            <w:tcBorders>
              <w:bottom w:val="nil"/>
            </w:tcBorders>
          </w:tcPr>
          <w:p w14:paraId="14A48543" w14:textId="3B60F4E1" w:rsidR="008A424E" w:rsidRPr="00BD0DDA" w:rsidRDefault="008A424E" w:rsidP="00241D3C">
            <w:pPr>
              <w:jc w:val="center"/>
              <w:rPr>
                <w:sz w:val="22"/>
                <w:szCs w:val="22"/>
              </w:rPr>
            </w:pPr>
            <w:r>
              <w:t>31,</w:t>
            </w:r>
            <w:r w:rsidR="00C26EEA">
              <w:t>697</w:t>
            </w:r>
          </w:p>
        </w:tc>
        <w:tc>
          <w:tcPr>
            <w:tcW w:w="1276" w:type="dxa"/>
            <w:tcBorders>
              <w:bottom w:val="nil"/>
            </w:tcBorders>
          </w:tcPr>
          <w:p w14:paraId="069910C4" w14:textId="119F2BEA" w:rsidR="008A424E" w:rsidRPr="00BD0DDA" w:rsidRDefault="008A424E" w:rsidP="00241D3C">
            <w:pPr>
              <w:jc w:val="center"/>
              <w:rPr>
                <w:sz w:val="22"/>
                <w:szCs w:val="22"/>
              </w:rPr>
            </w:pPr>
            <w:r>
              <w:t>1.</w:t>
            </w:r>
            <w:r w:rsidR="007C76B6">
              <w:t>13</w:t>
            </w:r>
          </w:p>
        </w:tc>
        <w:tc>
          <w:tcPr>
            <w:tcW w:w="1187" w:type="dxa"/>
            <w:tcBorders>
              <w:bottom w:val="nil"/>
            </w:tcBorders>
          </w:tcPr>
          <w:p w14:paraId="3924F63C" w14:textId="33F66688" w:rsidR="008A424E" w:rsidRPr="00BD0DDA" w:rsidRDefault="008A424E" w:rsidP="00241D3C">
            <w:pPr>
              <w:jc w:val="center"/>
              <w:rPr>
                <w:sz w:val="22"/>
                <w:szCs w:val="22"/>
              </w:rPr>
            </w:pPr>
            <w:r>
              <w:t>1.0</w:t>
            </w:r>
            <w:r w:rsidR="001B7D2D">
              <w:t>6</w:t>
            </w:r>
          </w:p>
        </w:tc>
      </w:tr>
      <w:tr w:rsidR="006114CF" w:rsidRPr="00BD0DDA" w14:paraId="35E7A136" w14:textId="77777777" w:rsidTr="00680873">
        <w:tc>
          <w:tcPr>
            <w:tcW w:w="1833" w:type="dxa"/>
            <w:tcBorders>
              <w:top w:val="nil"/>
              <w:bottom w:val="single" w:sz="4" w:space="0" w:color="auto"/>
            </w:tcBorders>
          </w:tcPr>
          <w:p w14:paraId="62C0F2F4" w14:textId="77777777" w:rsidR="008A424E" w:rsidRPr="00BD0DDA" w:rsidRDefault="008A424E" w:rsidP="00241D3C">
            <w:pPr>
              <w:rPr>
                <w:sz w:val="22"/>
                <w:szCs w:val="22"/>
              </w:rPr>
            </w:pPr>
            <w:r w:rsidRPr="00001EC1">
              <w:rPr>
                <w:sz w:val="22"/>
                <w:szCs w:val="22"/>
              </w:rPr>
              <w:t>regimens</w:t>
            </w:r>
          </w:p>
        </w:tc>
        <w:tc>
          <w:tcPr>
            <w:tcW w:w="1115" w:type="dxa"/>
            <w:tcBorders>
              <w:top w:val="nil"/>
              <w:bottom w:val="single" w:sz="4" w:space="0" w:color="auto"/>
            </w:tcBorders>
          </w:tcPr>
          <w:p w14:paraId="1F355DEC" w14:textId="2264711F" w:rsidR="008A424E" w:rsidRPr="00BD0DDA" w:rsidRDefault="008A424E" w:rsidP="00241D3C">
            <w:pPr>
              <w:jc w:val="center"/>
              <w:rPr>
                <w:sz w:val="22"/>
                <w:szCs w:val="22"/>
              </w:rPr>
            </w:pPr>
            <w:r>
              <w:t>(</w:t>
            </w:r>
            <w:r w:rsidR="00EC48EB">
              <w:t>44.8</w:t>
            </w:r>
            <w:r>
              <w:t>)</w:t>
            </w:r>
          </w:p>
        </w:tc>
        <w:tc>
          <w:tcPr>
            <w:tcW w:w="965" w:type="dxa"/>
            <w:tcBorders>
              <w:top w:val="nil"/>
              <w:bottom w:val="single" w:sz="4" w:space="0" w:color="auto"/>
            </w:tcBorders>
          </w:tcPr>
          <w:p w14:paraId="5D60F40F" w14:textId="77777777" w:rsidR="008A424E" w:rsidRPr="00BD0DDA" w:rsidRDefault="008A424E" w:rsidP="00241D3C">
            <w:pPr>
              <w:jc w:val="center"/>
              <w:rPr>
                <w:sz w:val="22"/>
                <w:szCs w:val="22"/>
              </w:rPr>
            </w:pPr>
            <w:r>
              <w:t>(51.9)</w:t>
            </w:r>
          </w:p>
        </w:tc>
        <w:tc>
          <w:tcPr>
            <w:tcW w:w="1276" w:type="dxa"/>
            <w:tcBorders>
              <w:top w:val="nil"/>
              <w:bottom w:val="single" w:sz="4" w:space="0" w:color="auto"/>
            </w:tcBorders>
          </w:tcPr>
          <w:p w14:paraId="6B7FCEAB" w14:textId="7FAC7D55" w:rsidR="008A424E" w:rsidRPr="00BD0DDA" w:rsidRDefault="008A424E" w:rsidP="00241D3C">
            <w:pPr>
              <w:jc w:val="center"/>
              <w:rPr>
                <w:sz w:val="22"/>
                <w:szCs w:val="22"/>
              </w:rPr>
            </w:pPr>
            <w:r w:rsidRPr="00001EC1">
              <w:rPr>
                <w:sz w:val="22"/>
                <w:szCs w:val="22"/>
              </w:rPr>
              <w:t>(1</w:t>
            </w:r>
            <w:r>
              <w:t>.</w:t>
            </w:r>
            <w:r w:rsidR="008B351B">
              <w:rPr>
                <w:sz w:val="22"/>
                <w:szCs w:val="22"/>
              </w:rPr>
              <w:t>11</w:t>
            </w:r>
            <w:r w:rsidRPr="00001EC1">
              <w:rPr>
                <w:sz w:val="22"/>
                <w:szCs w:val="22"/>
              </w:rPr>
              <w:t>-1</w:t>
            </w:r>
            <w:r>
              <w:t>.</w:t>
            </w:r>
            <w:r w:rsidR="008B351B">
              <w:rPr>
                <w:sz w:val="22"/>
                <w:szCs w:val="22"/>
              </w:rPr>
              <w:t>48</w:t>
            </w:r>
            <w:r w:rsidRPr="00001EC1">
              <w:rPr>
                <w:sz w:val="22"/>
                <w:szCs w:val="22"/>
              </w:rPr>
              <w:t>)</w:t>
            </w:r>
          </w:p>
        </w:tc>
        <w:tc>
          <w:tcPr>
            <w:tcW w:w="1134" w:type="dxa"/>
            <w:tcBorders>
              <w:top w:val="nil"/>
              <w:bottom w:val="single" w:sz="4" w:space="0" w:color="auto"/>
            </w:tcBorders>
          </w:tcPr>
          <w:p w14:paraId="2128738E" w14:textId="15D5090A" w:rsidR="008A424E" w:rsidRPr="00BD0DDA" w:rsidRDefault="008A424E" w:rsidP="00241D3C">
            <w:pPr>
              <w:jc w:val="center"/>
              <w:rPr>
                <w:sz w:val="22"/>
                <w:szCs w:val="22"/>
              </w:rPr>
            </w:pPr>
            <w:r w:rsidRPr="00001EC1">
              <w:rPr>
                <w:sz w:val="22"/>
                <w:szCs w:val="22"/>
              </w:rPr>
              <w:t>(</w:t>
            </w:r>
            <w:r w:rsidR="006E3173">
              <w:rPr>
                <w:sz w:val="22"/>
                <w:szCs w:val="22"/>
              </w:rPr>
              <w:t>1.10</w:t>
            </w:r>
            <w:r w:rsidRPr="00001EC1">
              <w:rPr>
                <w:sz w:val="22"/>
                <w:szCs w:val="22"/>
              </w:rPr>
              <w:t>-1</w:t>
            </w:r>
            <w:r>
              <w:t>.</w:t>
            </w:r>
            <w:r w:rsidR="006E3173">
              <w:rPr>
                <w:sz w:val="22"/>
                <w:szCs w:val="22"/>
              </w:rPr>
              <w:t>71</w:t>
            </w:r>
            <w:r w:rsidRPr="00001EC1">
              <w:rPr>
                <w:sz w:val="22"/>
                <w:szCs w:val="22"/>
              </w:rPr>
              <w:t>)</w:t>
            </w:r>
          </w:p>
        </w:tc>
        <w:tc>
          <w:tcPr>
            <w:tcW w:w="992" w:type="dxa"/>
            <w:tcBorders>
              <w:top w:val="nil"/>
              <w:bottom w:val="single" w:sz="4" w:space="0" w:color="auto"/>
            </w:tcBorders>
          </w:tcPr>
          <w:p w14:paraId="27E5C4C3" w14:textId="77777777" w:rsidR="008A424E" w:rsidRPr="00BD0DDA" w:rsidRDefault="008A424E" w:rsidP="00241D3C">
            <w:pPr>
              <w:jc w:val="center"/>
              <w:rPr>
                <w:sz w:val="22"/>
                <w:szCs w:val="22"/>
              </w:rPr>
            </w:pPr>
            <w:r>
              <w:t>(44.2)</w:t>
            </w:r>
          </w:p>
        </w:tc>
        <w:tc>
          <w:tcPr>
            <w:tcW w:w="1134" w:type="dxa"/>
            <w:tcBorders>
              <w:top w:val="nil"/>
              <w:bottom w:val="single" w:sz="4" w:space="0" w:color="auto"/>
            </w:tcBorders>
          </w:tcPr>
          <w:p w14:paraId="34BA2CD4" w14:textId="77777777" w:rsidR="008A424E" w:rsidRPr="00BD0DDA" w:rsidRDefault="008A424E" w:rsidP="00241D3C">
            <w:pPr>
              <w:jc w:val="center"/>
              <w:rPr>
                <w:sz w:val="22"/>
                <w:szCs w:val="22"/>
              </w:rPr>
            </w:pPr>
            <w:r>
              <w:t>(44.2)</w:t>
            </w:r>
          </w:p>
        </w:tc>
        <w:tc>
          <w:tcPr>
            <w:tcW w:w="1276" w:type="dxa"/>
            <w:tcBorders>
              <w:top w:val="nil"/>
              <w:bottom w:val="single" w:sz="4" w:space="0" w:color="auto"/>
            </w:tcBorders>
          </w:tcPr>
          <w:p w14:paraId="65569F80" w14:textId="2CD465EF" w:rsidR="008A424E" w:rsidRPr="00BD0DDA" w:rsidRDefault="008A424E" w:rsidP="00241D3C">
            <w:pPr>
              <w:jc w:val="center"/>
              <w:rPr>
                <w:sz w:val="22"/>
                <w:szCs w:val="22"/>
              </w:rPr>
            </w:pPr>
            <w:r w:rsidRPr="00001EC1">
              <w:rPr>
                <w:sz w:val="22"/>
                <w:szCs w:val="22"/>
              </w:rPr>
              <w:t>(1</w:t>
            </w:r>
            <w:r>
              <w:t>.</w:t>
            </w:r>
            <w:r w:rsidR="00DC3E0F">
              <w:rPr>
                <w:sz w:val="22"/>
                <w:szCs w:val="22"/>
              </w:rPr>
              <w:t>08</w:t>
            </w:r>
            <w:r w:rsidRPr="00001EC1">
              <w:rPr>
                <w:sz w:val="22"/>
                <w:szCs w:val="22"/>
              </w:rPr>
              <w:t>-1</w:t>
            </w:r>
            <w:r>
              <w:t>.</w:t>
            </w:r>
            <w:r w:rsidR="00DC3E0F">
              <w:rPr>
                <w:sz w:val="22"/>
                <w:szCs w:val="22"/>
              </w:rPr>
              <w:t>20</w:t>
            </w:r>
            <w:r w:rsidRPr="00001EC1">
              <w:rPr>
                <w:sz w:val="22"/>
                <w:szCs w:val="22"/>
              </w:rPr>
              <w:t>)</w:t>
            </w:r>
          </w:p>
        </w:tc>
        <w:tc>
          <w:tcPr>
            <w:tcW w:w="1134" w:type="dxa"/>
            <w:tcBorders>
              <w:top w:val="nil"/>
              <w:bottom w:val="single" w:sz="4" w:space="0" w:color="auto"/>
            </w:tcBorders>
          </w:tcPr>
          <w:p w14:paraId="4731CD36" w14:textId="0DC10456" w:rsidR="008A424E" w:rsidRPr="00BD0DDA" w:rsidRDefault="008A424E" w:rsidP="00241D3C">
            <w:pPr>
              <w:jc w:val="center"/>
              <w:rPr>
                <w:sz w:val="22"/>
                <w:szCs w:val="22"/>
              </w:rPr>
            </w:pPr>
            <w:r w:rsidRPr="00001EC1">
              <w:rPr>
                <w:sz w:val="22"/>
                <w:szCs w:val="22"/>
              </w:rPr>
              <w:t>(1</w:t>
            </w:r>
            <w:r>
              <w:t>.</w:t>
            </w:r>
            <w:r w:rsidR="00D951F9" w:rsidRPr="00001EC1">
              <w:rPr>
                <w:sz w:val="22"/>
                <w:szCs w:val="22"/>
              </w:rPr>
              <w:t>0</w:t>
            </w:r>
            <w:r w:rsidR="00D951F9">
              <w:rPr>
                <w:sz w:val="22"/>
                <w:szCs w:val="22"/>
              </w:rPr>
              <w:t>6</w:t>
            </w:r>
            <w:r w:rsidRPr="00001EC1">
              <w:rPr>
                <w:sz w:val="22"/>
                <w:szCs w:val="22"/>
              </w:rPr>
              <w:t>-1</w:t>
            </w:r>
            <w:r>
              <w:t>.</w:t>
            </w:r>
            <w:r w:rsidR="00D951F9">
              <w:rPr>
                <w:sz w:val="22"/>
                <w:szCs w:val="22"/>
              </w:rPr>
              <w:t>21</w:t>
            </w:r>
            <w:r w:rsidRPr="00001EC1">
              <w:rPr>
                <w:sz w:val="22"/>
                <w:szCs w:val="22"/>
              </w:rPr>
              <w:t>)</w:t>
            </w:r>
          </w:p>
        </w:tc>
        <w:tc>
          <w:tcPr>
            <w:tcW w:w="1134" w:type="dxa"/>
            <w:tcBorders>
              <w:top w:val="nil"/>
              <w:bottom w:val="single" w:sz="4" w:space="0" w:color="auto"/>
            </w:tcBorders>
          </w:tcPr>
          <w:p w14:paraId="5C9A770B" w14:textId="40D002ED" w:rsidR="008A424E" w:rsidRPr="00BD0DDA" w:rsidRDefault="008A424E" w:rsidP="00241D3C">
            <w:pPr>
              <w:jc w:val="center"/>
              <w:rPr>
                <w:sz w:val="22"/>
                <w:szCs w:val="22"/>
              </w:rPr>
            </w:pPr>
            <w:r>
              <w:t>(39.</w:t>
            </w:r>
            <w:r w:rsidR="00C26EEA">
              <w:t>8</w:t>
            </w:r>
            <w:r>
              <w:t>)</w:t>
            </w:r>
          </w:p>
        </w:tc>
        <w:tc>
          <w:tcPr>
            <w:tcW w:w="1080" w:type="dxa"/>
            <w:tcBorders>
              <w:top w:val="nil"/>
              <w:bottom w:val="single" w:sz="4" w:space="0" w:color="auto"/>
            </w:tcBorders>
          </w:tcPr>
          <w:p w14:paraId="2CD5C673" w14:textId="77777777" w:rsidR="008A424E" w:rsidRPr="00BD0DDA" w:rsidRDefault="008A424E" w:rsidP="00241D3C">
            <w:pPr>
              <w:jc w:val="center"/>
              <w:rPr>
                <w:sz w:val="22"/>
                <w:szCs w:val="22"/>
              </w:rPr>
            </w:pPr>
            <w:r>
              <w:t>(41.7)</w:t>
            </w:r>
          </w:p>
        </w:tc>
        <w:tc>
          <w:tcPr>
            <w:tcW w:w="1276" w:type="dxa"/>
            <w:tcBorders>
              <w:top w:val="nil"/>
              <w:bottom w:val="single" w:sz="4" w:space="0" w:color="auto"/>
            </w:tcBorders>
          </w:tcPr>
          <w:p w14:paraId="202B015F" w14:textId="0025988C" w:rsidR="008A424E" w:rsidRPr="00BD0DDA" w:rsidRDefault="008A424E" w:rsidP="00241D3C">
            <w:pPr>
              <w:jc w:val="center"/>
              <w:rPr>
                <w:sz w:val="22"/>
                <w:szCs w:val="22"/>
              </w:rPr>
            </w:pPr>
            <w:r w:rsidRPr="00001EC1">
              <w:rPr>
                <w:sz w:val="22"/>
                <w:szCs w:val="22"/>
              </w:rPr>
              <w:t>(</w:t>
            </w:r>
            <w:r w:rsidR="007C76B6">
              <w:rPr>
                <w:sz w:val="22"/>
                <w:szCs w:val="22"/>
              </w:rPr>
              <w:t>1.03</w:t>
            </w:r>
            <w:r w:rsidRPr="00001EC1">
              <w:rPr>
                <w:sz w:val="22"/>
                <w:szCs w:val="22"/>
              </w:rPr>
              <w:t>-1</w:t>
            </w:r>
            <w:r>
              <w:t>.</w:t>
            </w:r>
            <w:r w:rsidR="007C76B6">
              <w:rPr>
                <w:sz w:val="22"/>
                <w:szCs w:val="22"/>
              </w:rPr>
              <w:t>22</w:t>
            </w:r>
            <w:r w:rsidRPr="00001EC1">
              <w:rPr>
                <w:sz w:val="22"/>
                <w:szCs w:val="22"/>
              </w:rPr>
              <w:t>)</w:t>
            </w:r>
          </w:p>
        </w:tc>
        <w:tc>
          <w:tcPr>
            <w:tcW w:w="1187" w:type="dxa"/>
            <w:tcBorders>
              <w:top w:val="nil"/>
              <w:bottom w:val="single" w:sz="4" w:space="0" w:color="auto"/>
            </w:tcBorders>
          </w:tcPr>
          <w:p w14:paraId="2CE059F4" w14:textId="3D59D314" w:rsidR="008A424E" w:rsidRPr="00BD0DDA" w:rsidRDefault="008A424E" w:rsidP="00241D3C">
            <w:pPr>
              <w:jc w:val="center"/>
              <w:rPr>
                <w:sz w:val="22"/>
                <w:szCs w:val="22"/>
              </w:rPr>
            </w:pPr>
            <w:r w:rsidRPr="00001EC1">
              <w:rPr>
                <w:sz w:val="22"/>
                <w:szCs w:val="22"/>
              </w:rPr>
              <w:t>(0</w:t>
            </w:r>
            <w:r>
              <w:t>.</w:t>
            </w:r>
            <w:r w:rsidR="006269FD">
              <w:rPr>
                <w:sz w:val="22"/>
                <w:szCs w:val="22"/>
              </w:rPr>
              <w:t>84</w:t>
            </w:r>
            <w:r w:rsidRPr="00001EC1">
              <w:rPr>
                <w:sz w:val="22"/>
                <w:szCs w:val="22"/>
              </w:rPr>
              <w:t>-1</w:t>
            </w:r>
            <w:r>
              <w:t>.</w:t>
            </w:r>
            <w:r w:rsidRPr="00001EC1">
              <w:rPr>
                <w:sz w:val="22"/>
                <w:szCs w:val="22"/>
              </w:rPr>
              <w:t>1</w:t>
            </w:r>
            <w:r w:rsidR="001B7D2D">
              <w:rPr>
                <w:sz w:val="22"/>
                <w:szCs w:val="22"/>
              </w:rPr>
              <w:t>3</w:t>
            </w:r>
            <w:r w:rsidRPr="00001EC1">
              <w:rPr>
                <w:sz w:val="22"/>
                <w:szCs w:val="22"/>
              </w:rPr>
              <w:t>)</w:t>
            </w:r>
          </w:p>
        </w:tc>
      </w:tr>
      <w:tr w:rsidR="006114CF" w:rsidRPr="00BD0DDA" w14:paraId="08474852" w14:textId="77777777" w:rsidTr="00680873">
        <w:tc>
          <w:tcPr>
            <w:tcW w:w="1833" w:type="dxa"/>
            <w:tcBorders>
              <w:bottom w:val="nil"/>
            </w:tcBorders>
          </w:tcPr>
          <w:p w14:paraId="1220579B" w14:textId="77777777" w:rsidR="008A424E" w:rsidRPr="00BD0DDA" w:rsidRDefault="008A424E" w:rsidP="00241D3C">
            <w:pPr>
              <w:rPr>
                <w:sz w:val="22"/>
                <w:szCs w:val="22"/>
              </w:rPr>
            </w:pPr>
            <w:r w:rsidRPr="00001EC1">
              <w:rPr>
                <w:sz w:val="22"/>
                <w:szCs w:val="22"/>
              </w:rPr>
              <w:t>No current regimen</w:t>
            </w:r>
          </w:p>
        </w:tc>
        <w:tc>
          <w:tcPr>
            <w:tcW w:w="1115" w:type="dxa"/>
            <w:tcBorders>
              <w:bottom w:val="nil"/>
            </w:tcBorders>
          </w:tcPr>
          <w:p w14:paraId="7DCD979E" w14:textId="3A038427" w:rsidR="008A424E" w:rsidRPr="00BD0DDA" w:rsidRDefault="007F3001" w:rsidP="00241D3C">
            <w:pPr>
              <w:jc w:val="center"/>
              <w:rPr>
                <w:sz w:val="22"/>
                <w:szCs w:val="22"/>
              </w:rPr>
            </w:pPr>
            <w:r>
              <w:t>405</w:t>
            </w:r>
          </w:p>
        </w:tc>
        <w:tc>
          <w:tcPr>
            <w:tcW w:w="965" w:type="dxa"/>
            <w:tcBorders>
              <w:bottom w:val="nil"/>
            </w:tcBorders>
          </w:tcPr>
          <w:p w14:paraId="533E7F16" w14:textId="33F1A4E2" w:rsidR="008A424E" w:rsidRPr="00BD0DDA" w:rsidRDefault="007F3001" w:rsidP="00241D3C">
            <w:pPr>
              <w:jc w:val="center"/>
              <w:rPr>
                <w:sz w:val="22"/>
                <w:szCs w:val="22"/>
              </w:rPr>
            </w:pPr>
            <w:r>
              <w:t>4,493</w:t>
            </w:r>
          </w:p>
        </w:tc>
        <w:tc>
          <w:tcPr>
            <w:tcW w:w="1276" w:type="dxa"/>
            <w:tcBorders>
              <w:bottom w:val="nil"/>
            </w:tcBorders>
          </w:tcPr>
          <w:p w14:paraId="1F9E3E0B" w14:textId="584F4E56" w:rsidR="008A424E" w:rsidRPr="00BD0DDA" w:rsidRDefault="008A424E" w:rsidP="00241D3C">
            <w:pPr>
              <w:jc w:val="center"/>
              <w:rPr>
                <w:sz w:val="22"/>
                <w:szCs w:val="22"/>
              </w:rPr>
            </w:pPr>
            <w:r>
              <w:t>1.</w:t>
            </w:r>
            <w:r w:rsidR="008B351B">
              <w:t>33</w:t>
            </w:r>
          </w:p>
        </w:tc>
        <w:tc>
          <w:tcPr>
            <w:tcW w:w="1134" w:type="dxa"/>
            <w:tcBorders>
              <w:bottom w:val="nil"/>
            </w:tcBorders>
          </w:tcPr>
          <w:p w14:paraId="14BEF7AD" w14:textId="757D2A15" w:rsidR="008A424E" w:rsidRPr="00BD0DDA" w:rsidRDefault="008A424E" w:rsidP="00241D3C">
            <w:pPr>
              <w:jc w:val="center"/>
              <w:rPr>
                <w:sz w:val="22"/>
                <w:szCs w:val="22"/>
              </w:rPr>
            </w:pPr>
            <w:r>
              <w:t>1.</w:t>
            </w:r>
            <w:r w:rsidR="006E3173">
              <w:t>47</w:t>
            </w:r>
          </w:p>
        </w:tc>
        <w:tc>
          <w:tcPr>
            <w:tcW w:w="992" w:type="dxa"/>
            <w:tcBorders>
              <w:bottom w:val="nil"/>
            </w:tcBorders>
          </w:tcPr>
          <w:p w14:paraId="7D306CDA" w14:textId="5DC45699" w:rsidR="008A424E" w:rsidRPr="00BD0DDA" w:rsidRDefault="00914567" w:rsidP="00241D3C">
            <w:pPr>
              <w:jc w:val="center"/>
              <w:rPr>
                <w:sz w:val="22"/>
                <w:szCs w:val="22"/>
              </w:rPr>
            </w:pPr>
            <w:r>
              <w:t>2,799</w:t>
            </w:r>
          </w:p>
        </w:tc>
        <w:tc>
          <w:tcPr>
            <w:tcW w:w="1134" w:type="dxa"/>
            <w:tcBorders>
              <w:bottom w:val="nil"/>
            </w:tcBorders>
          </w:tcPr>
          <w:p w14:paraId="45CCF290" w14:textId="503B05DF" w:rsidR="008A424E" w:rsidRPr="00BD0DDA" w:rsidRDefault="00D06907" w:rsidP="00241D3C">
            <w:pPr>
              <w:jc w:val="center"/>
              <w:rPr>
                <w:sz w:val="22"/>
                <w:szCs w:val="22"/>
              </w:rPr>
            </w:pPr>
            <w:r>
              <w:t>45,628</w:t>
            </w:r>
          </w:p>
        </w:tc>
        <w:tc>
          <w:tcPr>
            <w:tcW w:w="1276" w:type="dxa"/>
            <w:tcBorders>
              <w:bottom w:val="nil"/>
            </w:tcBorders>
          </w:tcPr>
          <w:p w14:paraId="62825275" w14:textId="035D1122" w:rsidR="008A424E" w:rsidRPr="00BD0DDA" w:rsidRDefault="008A424E" w:rsidP="00241D3C">
            <w:pPr>
              <w:jc w:val="center"/>
              <w:rPr>
                <w:sz w:val="22"/>
                <w:szCs w:val="22"/>
              </w:rPr>
            </w:pPr>
            <w:r>
              <w:t>1.</w:t>
            </w:r>
            <w:r w:rsidR="00DC3E0F">
              <w:t>31</w:t>
            </w:r>
          </w:p>
        </w:tc>
        <w:tc>
          <w:tcPr>
            <w:tcW w:w="1134" w:type="dxa"/>
            <w:tcBorders>
              <w:bottom w:val="nil"/>
            </w:tcBorders>
          </w:tcPr>
          <w:p w14:paraId="3CA22BAB" w14:textId="24670604" w:rsidR="008A424E" w:rsidRPr="00BD0DDA" w:rsidRDefault="008A424E" w:rsidP="00241D3C">
            <w:pPr>
              <w:jc w:val="center"/>
              <w:rPr>
                <w:sz w:val="22"/>
                <w:szCs w:val="22"/>
              </w:rPr>
            </w:pPr>
            <w:r>
              <w:t>1.</w:t>
            </w:r>
            <w:r w:rsidR="00D951F9">
              <w:t>28</w:t>
            </w:r>
          </w:p>
        </w:tc>
        <w:tc>
          <w:tcPr>
            <w:tcW w:w="1134" w:type="dxa"/>
            <w:tcBorders>
              <w:bottom w:val="nil"/>
            </w:tcBorders>
          </w:tcPr>
          <w:p w14:paraId="34721ECE" w14:textId="1F5E97EE" w:rsidR="008A424E" w:rsidRPr="00BD0DDA" w:rsidRDefault="008A424E" w:rsidP="00241D3C">
            <w:pPr>
              <w:jc w:val="center"/>
              <w:rPr>
                <w:sz w:val="22"/>
                <w:szCs w:val="22"/>
              </w:rPr>
            </w:pPr>
            <w:r>
              <w:t>1,</w:t>
            </w:r>
            <w:r w:rsidR="00C26EEA">
              <w:t>312</w:t>
            </w:r>
          </w:p>
        </w:tc>
        <w:tc>
          <w:tcPr>
            <w:tcW w:w="1080" w:type="dxa"/>
            <w:tcBorders>
              <w:bottom w:val="nil"/>
            </w:tcBorders>
          </w:tcPr>
          <w:p w14:paraId="19149CF4" w14:textId="0AF73C16" w:rsidR="008A424E" w:rsidRPr="00BD0DDA" w:rsidRDefault="00C26EEA" w:rsidP="00241D3C">
            <w:pPr>
              <w:jc w:val="center"/>
              <w:rPr>
                <w:sz w:val="22"/>
                <w:szCs w:val="22"/>
              </w:rPr>
            </w:pPr>
            <w:r>
              <w:t>18,651</w:t>
            </w:r>
          </w:p>
        </w:tc>
        <w:tc>
          <w:tcPr>
            <w:tcW w:w="1276" w:type="dxa"/>
            <w:tcBorders>
              <w:bottom w:val="nil"/>
            </w:tcBorders>
          </w:tcPr>
          <w:p w14:paraId="46D6077E" w14:textId="77777777" w:rsidR="008A424E" w:rsidRPr="00BD0DDA" w:rsidRDefault="008A424E" w:rsidP="00241D3C">
            <w:pPr>
              <w:jc w:val="center"/>
              <w:rPr>
                <w:sz w:val="22"/>
                <w:szCs w:val="22"/>
              </w:rPr>
            </w:pPr>
            <w:r>
              <w:t>1.23</w:t>
            </w:r>
          </w:p>
        </w:tc>
        <w:tc>
          <w:tcPr>
            <w:tcW w:w="1187" w:type="dxa"/>
            <w:tcBorders>
              <w:bottom w:val="nil"/>
            </w:tcBorders>
          </w:tcPr>
          <w:p w14:paraId="1BEA5839" w14:textId="42DC9CA8" w:rsidR="008A424E" w:rsidRPr="00BD0DDA" w:rsidRDefault="008A424E" w:rsidP="00241D3C">
            <w:pPr>
              <w:jc w:val="center"/>
              <w:rPr>
                <w:sz w:val="22"/>
                <w:szCs w:val="22"/>
              </w:rPr>
            </w:pPr>
            <w:r>
              <w:t>1.</w:t>
            </w:r>
            <w:r w:rsidR="001B7D2D">
              <w:t>11</w:t>
            </w:r>
          </w:p>
        </w:tc>
      </w:tr>
      <w:tr w:rsidR="006114CF" w:rsidRPr="00BD0DDA" w14:paraId="232E2907" w14:textId="77777777" w:rsidTr="00680873">
        <w:tc>
          <w:tcPr>
            <w:tcW w:w="1833" w:type="dxa"/>
            <w:tcBorders>
              <w:top w:val="nil"/>
            </w:tcBorders>
          </w:tcPr>
          <w:p w14:paraId="31AE1B73" w14:textId="77777777" w:rsidR="008A424E" w:rsidRPr="00BD0DDA" w:rsidRDefault="008A424E" w:rsidP="00241D3C">
            <w:pPr>
              <w:rPr>
                <w:sz w:val="22"/>
                <w:szCs w:val="22"/>
              </w:rPr>
            </w:pPr>
          </w:p>
        </w:tc>
        <w:tc>
          <w:tcPr>
            <w:tcW w:w="1115" w:type="dxa"/>
            <w:tcBorders>
              <w:top w:val="nil"/>
            </w:tcBorders>
          </w:tcPr>
          <w:p w14:paraId="7F5FE450" w14:textId="49C8DB6D" w:rsidR="008A424E" w:rsidRPr="00BD0DDA" w:rsidRDefault="008A424E" w:rsidP="00241D3C">
            <w:pPr>
              <w:jc w:val="center"/>
              <w:rPr>
                <w:sz w:val="22"/>
                <w:szCs w:val="22"/>
              </w:rPr>
            </w:pPr>
            <w:r>
              <w:t>(</w:t>
            </w:r>
            <w:r w:rsidR="007F3001">
              <w:t>24</w:t>
            </w:r>
            <w:r>
              <w:t>.0)</w:t>
            </w:r>
          </w:p>
        </w:tc>
        <w:tc>
          <w:tcPr>
            <w:tcW w:w="965" w:type="dxa"/>
            <w:tcBorders>
              <w:top w:val="nil"/>
            </w:tcBorders>
          </w:tcPr>
          <w:p w14:paraId="1CC6D397" w14:textId="3996D0B8" w:rsidR="008A424E" w:rsidRPr="00BD0DDA" w:rsidRDefault="008A424E" w:rsidP="00241D3C">
            <w:pPr>
              <w:jc w:val="center"/>
              <w:rPr>
                <w:sz w:val="22"/>
                <w:szCs w:val="22"/>
              </w:rPr>
            </w:pPr>
            <w:r>
              <w:t>(</w:t>
            </w:r>
            <w:r w:rsidR="007F3001">
              <w:t>22.3</w:t>
            </w:r>
            <w:r>
              <w:t>)</w:t>
            </w:r>
          </w:p>
        </w:tc>
        <w:tc>
          <w:tcPr>
            <w:tcW w:w="1276" w:type="dxa"/>
            <w:tcBorders>
              <w:top w:val="nil"/>
            </w:tcBorders>
          </w:tcPr>
          <w:p w14:paraId="12B00B85" w14:textId="3875B022" w:rsidR="008A424E" w:rsidRPr="00BD0DDA" w:rsidRDefault="008A424E" w:rsidP="00241D3C">
            <w:pPr>
              <w:jc w:val="center"/>
              <w:rPr>
                <w:sz w:val="22"/>
                <w:szCs w:val="22"/>
              </w:rPr>
            </w:pPr>
            <w:r w:rsidRPr="00001EC1">
              <w:rPr>
                <w:sz w:val="22"/>
                <w:szCs w:val="22"/>
              </w:rPr>
              <w:t>(1</w:t>
            </w:r>
            <w:r>
              <w:t>.</w:t>
            </w:r>
            <w:r w:rsidR="008B351B">
              <w:rPr>
                <w:sz w:val="22"/>
                <w:szCs w:val="22"/>
              </w:rPr>
              <w:t>14</w:t>
            </w:r>
            <w:r w:rsidRPr="00001EC1">
              <w:rPr>
                <w:sz w:val="22"/>
                <w:szCs w:val="22"/>
              </w:rPr>
              <w:t>-1</w:t>
            </w:r>
            <w:r>
              <w:t>.</w:t>
            </w:r>
            <w:r w:rsidR="008B351B" w:rsidRPr="00001EC1">
              <w:rPr>
                <w:sz w:val="22"/>
                <w:szCs w:val="22"/>
              </w:rPr>
              <w:t>5</w:t>
            </w:r>
            <w:r w:rsidR="008B351B">
              <w:rPr>
                <w:sz w:val="22"/>
                <w:szCs w:val="22"/>
              </w:rPr>
              <w:t>6</w:t>
            </w:r>
            <w:r w:rsidRPr="00001EC1">
              <w:rPr>
                <w:sz w:val="22"/>
                <w:szCs w:val="22"/>
              </w:rPr>
              <w:t>)</w:t>
            </w:r>
          </w:p>
        </w:tc>
        <w:tc>
          <w:tcPr>
            <w:tcW w:w="1134" w:type="dxa"/>
            <w:tcBorders>
              <w:top w:val="nil"/>
            </w:tcBorders>
          </w:tcPr>
          <w:p w14:paraId="06B6A19F" w14:textId="4B032DD5" w:rsidR="008A424E" w:rsidRPr="00BD0DDA" w:rsidRDefault="008A424E" w:rsidP="00241D3C">
            <w:pPr>
              <w:jc w:val="center"/>
              <w:rPr>
                <w:sz w:val="22"/>
                <w:szCs w:val="22"/>
              </w:rPr>
            </w:pPr>
            <w:r w:rsidRPr="00001EC1">
              <w:rPr>
                <w:sz w:val="22"/>
                <w:szCs w:val="22"/>
              </w:rPr>
              <w:t>(</w:t>
            </w:r>
            <w:r w:rsidR="006E3173">
              <w:rPr>
                <w:sz w:val="22"/>
                <w:szCs w:val="22"/>
              </w:rPr>
              <w:t>1.15</w:t>
            </w:r>
            <w:r w:rsidRPr="00001EC1">
              <w:rPr>
                <w:sz w:val="22"/>
                <w:szCs w:val="22"/>
              </w:rPr>
              <w:t>-1</w:t>
            </w:r>
            <w:r>
              <w:t>.</w:t>
            </w:r>
            <w:r w:rsidR="006E3173">
              <w:rPr>
                <w:sz w:val="22"/>
                <w:szCs w:val="22"/>
              </w:rPr>
              <w:t>88</w:t>
            </w:r>
            <w:r w:rsidRPr="00001EC1">
              <w:rPr>
                <w:sz w:val="22"/>
                <w:szCs w:val="22"/>
              </w:rPr>
              <w:t>)</w:t>
            </w:r>
          </w:p>
        </w:tc>
        <w:tc>
          <w:tcPr>
            <w:tcW w:w="992" w:type="dxa"/>
            <w:tcBorders>
              <w:top w:val="nil"/>
            </w:tcBorders>
          </w:tcPr>
          <w:p w14:paraId="2762FBFF" w14:textId="54020F88" w:rsidR="008A424E" w:rsidRPr="00BD0DDA" w:rsidRDefault="008A424E" w:rsidP="00241D3C">
            <w:pPr>
              <w:jc w:val="center"/>
              <w:rPr>
                <w:sz w:val="22"/>
                <w:szCs w:val="22"/>
              </w:rPr>
            </w:pPr>
            <w:r>
              <w:t>(</w:t>
            </w:r>
            <w:r w:rsidR="00914567">
              <w:t>23.6</w:t>
            </w:r>
            <w:r>
              <w:t>)</w:t>
            </w:r>
          </w:p>
        </w:tc>
        <w:tc>
          <w:tcPr>
            <w:tcW w:w="1134" w:type="dxa"/>
            <w:tcBorders>
              <w:top w:val="nil"/>
            </w:tcBorders>
          </w:tcPr>
          <w:p w14:paraId="1B6A380F" w14:textId="6E1AB55C" w:rsidR="008A424E" w:rsidRPr="00BD0DDA" w:rsidRDefault="008A424E" w:rsidP="00241D3C">
            <w:pPr>
              <w:jc w:val="center"/>
              <w:rPr>
                <w:sz w:val="22"/>
                <w:szCs w:val="22"/>
              </w:rPr>
            </w:pPr>
            <w:r>
              <w:t>(</w:t>
            </w:r>
            <w:r w:rsidR="00D06907">
              <w:t>21.4</w:t>
            </w:r>
            <w:r>
              <w:t>)</w:t>
            </w:r>
          </w:p>
        </w:tc>
        <w:tc>
          <w:tcPr>
            <w:tcW w:w="1276" w:type="dxa"/>
            <w:tcBorders>
              <w:top w:val="nil"/>
            </w:tcBorders>
          </w:tcPr>
          <w:p w14:paraId="54F569CB" w14:textId="238E2B07" w:rsidR="008A424E" w:rsidRPr="00BD0DDA" w:rsidRDefault="008A424E" w:rsidP="00241D3C">
            <w:pPr>
              <w:jc w:val="center"/>
              <w:rPr>
                <w:sz w:val="22"/>
                <w:szCs w:val="22"/>
              </w:rPr>
            </w:pPr>
            <w:r w:rsidRPr="00001EC1">
              <w:rPr>
                <w:sz w:val="22"/>
                <w:szCs w:val="22"/>
              </w:rPr>
              <w:t>(1</w:t>
            </w:r>
            <w:r>
              <w:t>.</w:t>
            </w:r>
            <w:r w:rsidR="00DC3E0F">
              <w:rPr>
                <w:sz w:val="22"/>
                <w:szCs w:val="22"/>
              </w:rPr>
              <w:t>15</w:t>
            </w:r>
            <w:r w:rsidRPr="00001EC1">
              <w:rPr>
                <w:sz w:val="22"/>
                <w:szCs w:val="22"/>
              </w:rPr>
              <w:t>-1</w:t>
            </w:r>
            <w:r>
              <w:t>.</w:t>
            </w:r>
            <w:r w:rsidR="00DC3E0F">
              <w:rPr>
                <w:sz w:val="22"/>
                <w:szCs w:val="22"/>
              </w:rPr>
              <w:t>44</w:t>
            </w:r>
            <w:r w:rsidRPr="00001EC1">
              <w:rPr>
                <w:sz w:val="22"/>
                <w:szCs w:val="22"/>
              </w:rPr>
              <w:t>)</w:t>
            </w:r>
          </w:p>
        </w:tc>
        <w:tc>
          <w:tcPr>
            <w:tcW w:w="1134" w:type="dxa"/>
            <w:tcBorders>
              <w:top w:val="nil"/>
            </w:tcBorders>
          </w:tcPr>
          <w:p w14:paraId="65E8827C" w14:textId="20157DF7" w:rsidR="008A424E" w:rsidRPr="00BD0DDA" w:rsidRDefault="008A424E" w:rsidP="00241D3C">
            <w:pPr>
              <w:jc w:val="center"/>
              <w:rPr>
                <w:sz w:val="22"/>
                <w:szCs w:val="22"/>
              </w:rPr>
            </w:pPr>
            <w:r w:rsidRPr="00001EC1">
              <w:rPr>
                <w:sz w:val="22"/>
                <w:szCs w:val="22"/>
              </w:rPr>
              <w:t>(1</w:t>
            </w:r>
            <w:r>
              <w:t>.</w:t>
            </w:r>
            <w:r w:rsidRPr="00001EC1">
              <w:rPr>
                <w:sz w:val="22"/>
                <w:szCs w:val="22"/>
              </w:rPr>
              <w:t>19-1</w:t>
            </w:r>
            <w:r>
              <w:t>.</w:t>
            </w:r>
            <w:r w:rsidR="00D951F9">
              <w:rPr>
                <w:sz w:val="22"/>
                <w:szCs w:val="22"/>
              </w:rPr>
              <w:t>38</w:t>
            </w:r>
            <w:r w:rsidRPr="00001EC1">
              <w:rPr>
                <w:sz w:val="22"/>
                <w:szCs w:val="22"/>
              </w:rPr>
              <w:t>)</w:t>
            </w:r>
          </w:p>
        </w:tc>
        <w:tc>
          <w:tcPr>
            <w:tcW w:w="1134" w:type="dxa"/>
            <w:tcBorders>
              <w:top w:val="nil"/>
            </w:tcBorders>
          </w:tcPr>
          <w:p w14:paraId="23E2C4E9" w14:textId="738E3F13" w:rsidR="008A424E" w:rsidRPr="00BD0DDA" w:rsidRDefault="008A424E" w:rsidP="00241D3C">
            <w:pPr>
              <w:jc w:val="center"/>
              <w:rPr>
                <w:sz w:val="22"/>
                <w:szCs w:val="22"/>
              </w:rPr>
            </w:pPr>
            <w:r>
              <w:t>(</w:t>
            </w:r>
            <w:r w:rsidR="00C26EEA">
              <w:t>26</w:t>
            </w:r>
            <w:r>
              <w:t>.7)</w:t>
            </w:r>
          </w:p>
        </w:tc>
        <w:tc>
          <w:tcPr>
            <w:tcW w:w="1080" w:type="dxa"/>
            <w:tcBorders>
              <w:top w:val="nil"/>
            </w:tcBorders>
          </w:tcPr>
          <w:p w14:paraId="4DA8EDC5" w14:textId="3316ADA5" w:rsidR="008A424E" w:rsidRPr="00BD0DDA" w:rsidRDefault="008A424E" w:rsidP="00241D3C">
            <w:pPr>
              <w:jc w:val="center"/>
              <w:rPr>
                <w:sz w:val="22"/>
                <w:szCs w:val="22"/>
              </w:rPr>
            </w:pPr>
            <w:r>
              <w:t>(</w:t>
            </w:r>
            <w:r w:rsidR="00C26EEA">
              <w:t>24.5</w:t>
            </w:r>
            <w:r>
              <w:t>)</w:t>
            </w:r>
          </w:p>
        </w:tc>
        <w:tc>
          <w:tcPr>
            <w:tcW w:w="1276" w:type="dxa"/>
            <w:tcBorders>
              <w:top w:val="nil"/>
            </w:tcBorders>
          </w:tcPr>
          <w:p w14:paraId="64B67136" w14:textId="77A317EA" w:rsidR="008A424E" w:rsidRPr="00BD0DDA" w:rsidRDefault="008A424E" w:rsidP="00241D3C">
            <w:pPr>
              <w:jc w:val="center"/>
              <w:rPr>
                <w:sz w:val="22"/>
                <w:szCs w:val="22"/>
              </w:rPr>
            </w:pPr>
            <w:r w:rsidRPr="00001EC1">
              <w:rPr>
                <w:sz w:val="22"/>
                <w:szCs w:val="22"/>
              </w:rPr>
              <w:t>(1</w:t>
            </w:r>
            <w:r>
              <w:t>.</w:t>
            </w:r>
            <w:r w:rsidR="007C76B6">
              <w:rPr>
                <w:sz w:val="22"/>
                <w:szCs w:val="22"/>
              </w:rPr>
              <w:t>12</w:t>
            </w:r>
            <w:r w:rsidRPr="00001EC1">
              <w:rPr>
                <w:sz w:val="22"/>
                <w:szCs w:val="22"/>
              </w:rPr>
              <w:t>-1</w:t>
            </w:r>
            <w:r>
              <w:t>.</w:t>
            </w:r>
            <w:r w:rsidR="007C76B6">
              <w:rPr>
                <w:sz w:val="22"/>
                <w:szCs w:val="22"/>
              </w:rPr>
              <w:t>36</w:t>
            </w:r>
            <w:r w:rsidRPr="00001EC1">
              <w:rPr>
                <w:sz w:val="22"/>
                <w:szCs w:val="22"/>
              </w:rPr>
              <w:t>)</w:t>
            </w:r>
          </w:p>
        </w:tc>
        <w:tc>
          <w:tcPr>
            <w:tcW w:w="1187" w:type="dxa"/>
            <w:tcBorders>
              <w:top w:val="nil"/>
            </w:tcBorders>
          </w:tcPr>
          <w:p w14:paraId="46220BDE" w14:textId="46D95CC6" w:rsidR="008A424E" w:rsidRPr="00BD0DDA" w:rsidRDefault="008A424E" w:rsidP="00241D3C">
            <w:pPr>
              <w:jc w:val="center"/>
              <w:rPr>
                <w:sz w:val="22"/>
                <w:szCs w:val="22"/>
              </w:rPr>
            </w:pPr>
            <w:r w:rsidRPr="00001EC1">
              <w:rPr>
                <w:sz w:val="22"/>
                <w:szCs w:val="22"/>
              </w:rPr>
              <w:t>(</w:t>
            </w:r>
            <w:r w:rsidR="001B7D2D">
              <w:rPr>
                <w:sz w:val="22"/>
                <w:szCs w:val="22"/>
              </w:rPr>
              <w:t>0.</w:t>
            </w:r>
            <w:r w:rsidR="00D07699">
              <w:rPr>
                <w:sz w:val="22"/>
                <w:szCs w:val="22"/>
              </w:rPr>
              <w:t>89</w:t>
            </w:r>
            <w:r w:rsidRPr="00001EC1">
              <w:rPr>
                <w:sz w:val="22"/>
                <w:szCs w:val="22"/>
              </w:rPr>
              <w:t>-1</w:t>
            </w:r>
            <w:r>
              <w:t>.</w:t>
            </w:r>
            <w:r w:rsidR="001B7D2D">
              <w:rPr>
                <w:sz w:val="22"/>
                <w:szCs w:val="22"/>
              </w:rPr>
              <w:t>31</w:t>
            </w:r>
            <w:r w:rsidRPr="00001EC1">
              <w:rPr>
                <w:sz w:val="22"/>
                <w:szCs w:val="22"/>
              </w:rPr>
              <w:t>)</w:t>
            </w:r>
          </w:p>
        </w:tc>
      </w:tr>
    </w:tbl>
    <w:p w14:paraId="368F1314" w14:textId="77777777" w:rsidR="00672DCC" w:rsidRPr="00001EC1" w:rsidRDefault="00672DCC" w:rsidP="00672DCC">
      <w:pPr>
        <w:contextualSpacing/>
        <w:rPr>
          <w:b/>
          <w:sz w:val="16"/>
          <w:szCs w:val="16"/>
        </w:rPr>
      </w:pPr>
    </w:p>
    <w:p w14:paraId="0473D2FB" w14:textId="59BCC315" w:rsidR="00672DCC" w:rsidRDefault="00672DCC" w:rsidP="008A424E">
      <w:pPr>
        <w:ind w:left="-709"/>
      </w:pPr>
      <w:r w:rsidRPr="0011436C">
        <w:t>MACCE, Major Adverse Cardi</w:t>
      </w:r>
      <w:r w:rsidR="0099681B">
        <w:t>ac</w:t>
      </w:r>
      <w:r w:rsidRPr="0011436C">
        <w:t xml:space="preserve"> and Cerebrovascular Events;</w:t>
      </w:r>
      <w:r w:rsidRPr="00B93314">
        <w:t xml:space="preserve"> GLP-1</w:t>
      </w:r>
      <w:r>
        <w:t>RA</w:t>
      </w:r>
      <w:r w:rsidRPr="00B93314">
        <w:t>, Glucagon-like peptide-1</w:t>
      </w:r>
      <w:r>
        <w:t xml:space="preserve"> receptor agonist</w:t>
      </w:r>
      <w:r w:rsidRPr="00B93314">
        <w:t>; SGLT2i, sodium-glucose co-transporter</w:t>
      </w:r>
      <w:r w:rsidR="00765976">
        <w:t>-</w:t>
      </w:r>
      <w:r w:rsidRPr="00B93314">
        <w:t>2 inhibitor</w:t>
      </w:r>
      <w:r>
        <w:t xml:space="preserve">; </w:t>
      </w:r>
      <w:proofErr w:type="spellStart"/>
      <w:r>
        <w:t>aOR</w:t>
      </w:r>
      <w:proofErr w:type="spellEnd"/>
      <w:r>
        <w:t>, adjusted odds ratio.</w:t>
      </w:r>
    </w:p>
    <w:p w14:paraId="25BF7A9E" w14:textId="77777777" w:rsidR="00672DCC" w:rsidRDefault="00672DCC" w:rsidP="008A424E">
      <w:pPr>
        <w:ind w:left="-709"/>
      </w:pPr>
    </w:p>
    <w:p w14:paraId="39CE3A8F" w14:textId="1BC90002" w:rsidR="001B7D2D" w:rsidRPr="001A5239" w:rsidRDefault="002F3C1C" w:rsidP="00DF2C50">
      <w:pPr>
        <w:ind w:left="-709"/>
        <w:rPr>
          <w:sz w:val="20"/>
          <w:szCs w:val="20"/>
        </w:rPr>
      </w:pPr>
      <w:r>
        <w:rPr>
          <w:b/>
          <w:sz w:val="22"/>
          <w:szCs w:val="22"/>
          <w:vertAlign w:val="superscript"/>
        </w:rPr>
        <w:t>*</w:t>
      </w:r>
      <w:r w:rsidR="0007192F">
        <w:rPr>
          <w:vertAlign w:val="superscript"/>
        </w:rPr>
        <w:t xml:space="preserve"> </w:t>
      </w:r>
      <w:r w:rsidR="00672DCC" w:rsidRPr="00F91A4E">
        <w:t xml:space="preserve">Adjusted for </w:t>
      </w:r>
      <w:r w:rsidR="001B7D2D">
        <w:t>case-control matching factors (</w:t>
      </w:r>
      <w:r w:rsidR="00672DCC" w:rsidRPr="00F91A4E">
        <w:t xml:space="preserve">age, </w:t>
      </w:r>
      <w:r w:rsidR="001B7D2D">
        <w:t xml:space="preserve">duration of treated diabetes), </w:t>
      </w:r>
      <w:r w:rsidR="00672DCC" w:rsidRPr="00F91A4E">
        <w:t xml:space="preserve">ethnicity, </w:t>
      </w:r>
      <w:r w:rsidR="00C52AEA">
        <w:t>Index of Multiple D</w:t>
      </w:r>
      <w:r w:rsidR="00B01319">
        <w:t xml:space="preserve">eprivation, microvascular complications, </w:t>
      </w:r>
      <w:proofErr w:type="spellStart"/>
      <w:r w:rsidR="00672DCC" w:rsidRPr="00F91A4E">
        <w:t>Charlson</w:t>
      </w:r>
      <w:proofErr w:type="spellEnd"/>
      <w:r w:rsidR="00672DCC" w:rsidRPr="00F91A4E">
        <w:t xml:space="preserve"> Comorbidity Index, smoking status, BMI, HbA1c, blood pressure and total cholesterol at cohort entry</w:t>
      </w:r>
      <w:r w:rsidR="001B7D2D">
        <w:t>,</w:t>
      </w:r>
      <w:r w:rsidR="00672DCC" w:rsidRPr="00F91A4E">
        <w:t xml:space="preserve"> prescriptions for medications in the year prior to cohort entry (antidiabetic medications, antihypertensive agents, lipid-lowering agents, antiplatelet agents, corticosteroids</w:t>
      </w:r>
      <w:r w:rsidR="00B01319">
        <w:t xml:space="preserve">, </w:t>
      </w:r>
      <w:r w:rsidR="00AB08F7" w:rsidRPr="00F91A4E">
        <w:t>NSAIDs,</w:t>
      </w:r>
      <w:r w:rsidR="00AB08F7">
        <w:t xml:space="preserve"> </w:t>
      </w:r>
      <w:r w:rsidR="00672DCC" w:rsidRPr="00F91A4E">
        <w:t xml:space="preserve">and </w:t>
      </w:r>
      <w:r w:rsidR="00672DCC" w:rsidRPr="001B7D2D">
        <w:t>anticoagulants</w:t>
      </w:r>
      <w:r w:rsidR="00B01319" w:rsidRPr="001B7D2D">
        <w:t>)</w:t>
      </w:r>
      <w:r w:rsidR="001B7D2D" w:rsidRPr="001B7D2D">
        <w:t>, ever exposure of antidiabetic drugs and number of antidiabetic drugs prescribed prior to cohort entry</w:t>
      </w:r>
    </w:p>
    <w:p w14:paraId="3F33D9A0" w14:textId="6A934C21" w:rsidR="001A2EAB" w:rsidRDefault="001A2EAB" w:rsidP="008A424E">
      <w:pPr>
        <w:ind w:left="-709"/>
        <w:sectPr w:rsidR="001A2EAB" w:rsidSect="006B0848">
          <w:pgSz w:w="16838" w:h="11906" w:orient="landscape"/>
          <w:pgMar w:top="1440" w:right="1440" w:bottom="1440" w:left="1440" w:header="708" w:footer="708" w:gutter="0"/>
          <w:cols w:space="708"/>
          <w:docGrid w:linePitch="360"/>
        </w:sectPr>
      </w:pPr>
    </w:p>
    <w:p w14:paraId="0D1135D4" w14:textId="04435DB6" w:rsidR="00C67BA6" w:rsidRPr="00781897" w:rsidRDefault="001A2EAB" w:rsidP="001A2EAB">
      <w:pPr>
        <w:tabs>
          <w:tab w:val="left" w:pos="2009"/>
        </w:tabs>
        <w:spacing w:line="480" w:lineRule="auto"/>
        <w:rPr>
          <w:b/>
          <w:bCs/>
        </w:rPr>
      </w:pPr>
      <w:r w:rsidRPr="00781897">
        <w:rPr>
          <w:b/>
          <w:bCs/>
        </w:rPr>
        <w:lastRenderedPageBreak/>
        <w:t>FIGURE</w:t>
      </w:r>
      <w:r w:rsidR="0039182E">
        <w:rPr>
          <w:b/>
          <w:bCs/>
        </w:rPr>
        <w:t>S</w:t>
      </w:r>
    </w:p>
    <w:p w14:paraId="2C76F85E" w14:textId="465D4232" w:rsidR="000B53B4" w:rsidRDefault="0039182E" w:rsidP="001A2EAB">
      <w:pPr>
        <w:spacing w:line="480" w:lineRule="auto"/>
        <w:rPr>
          <w:b/>
        </w:rPr>
      </w:pPr>
      <w:r>
        <w:rPr>
          <w:b/>
          <w:noProof/>
        </w:rPr>
        <w:drawing>
          <wp:anchor distT="0" distB="0" distL="114300" distR="114300" simplePos="0" relativeHeight="251658240" behindDoc="1" locked="0" layoutInCell="1" allowOverlap="1" wp14:anchorId="366B95AA" wp14:editId="3BCF6752">
            <wp:simplePos x="0" y="0"/>
            <wp:positionH relativeFrom="column">
              <wp:posOffset>-223520</wp:posOffset>
            </wp:positionH>
            <wp:positionV relativeFrom="paragraph">
              <wp:posOffset>215103</wp:posOffset>
            </wp:positionV>
            <wp:extent cx="6273165" cy="8295005"/>
            <wp:effectExtent l="0" t="0" r="0" b="0"/>
            <wp:wrapTight wrapText="bothSides">
              <wp:wrapPolygon edited="0">
                <wp:start x="5947" y="165"/>
                <wp:lineTo x="3498" y="562"/>
                <wp:lineTo x="3498" y="761"/>
                <wp:lineTo x="3061" y="959"/>
                <wp:lineTo x="3105" y="1058"/>
                <wp:lineTo x="4023" y="1290"/>
                <wp:lineTo x="3979" y="1720"/>
                <wp:lineTo x="875" y="1918"/>
                <wp:lineTo x="481" y="1918"/>
                <wp:lineTo x="481" y="3406"/>
                <wp:lineTo x="1705" y="3505"/>
                <wp:lineTo x="1662" y="5887"/>
                <wp:lineTo x="3542" y="6052"/>
                <wp:lineTo x="6166" y="6151"/>
                <wp:lineTo x="5466" y="6350"/>
                <wp:lineTo x="5379" y="6978"/>
                <wp:lineTo x="5816" y="7110"/>
                <wp:lineTo x="7215" y="7110"/>
                <wp:lineTo x="7128" y="7408"/>
                <wp:lineTo x="7215" y="7639"/>
                <wp:lineTo x="7959" y="8168"/>
                <wp:lineTo x="8352" y="8698"/>
                <wp:lineTo x="4766" y="8830"/>
                <wp:lineTo x="4679" y="9061"/>
                <wp:lineTo x="5247" y="9227"/>
                <wp:lineTo x="4723" y="9590"/>
                <wp:lineTo x="4854" y="9723"/>
                <wp:lineTo x="9533" y="9756"/>
                <wp:lineTo x="3192" y="10020"/>
                <wp:lineTo x="2799" y="10020"/>
                <wp:lineTo x="2799" y="12798"/>
                <wp:lineTo x="4679" y="12931"/>
                <wp:lineTo x="4460" y="12997"/>
                <wp:lineTo x="4460" y="15411"/>
                <wp:lineTo x="6166" y="15576"/>
                <wp:lineTo x="9533" y="15576"/>
                <wp:lineTo x="9533" y="18751"/>
                <wp:lineTo x="2318" y="19082"/>
                <wp:lineTo x="1268" y="19148"/>
                <wp:lineTo x="1268" y="19545"/>
                <wp:lineTo x="5685" y="19809"/>
                <wp:lineTo x="9620" y="19809"/>
                <wp:lineTo x="3192" y="20107"/>
                <wp:lineTo x="1443" y="20206"/>
                <wp:lineTo x="1443" y="20702"/>
                <wp:lineTo x="1749" y="20735"/>
                <wp:lineTo x="6559" y="20801"/>
                <wp:lineTo x="17885" y="20801"/>
                <wp:lineTo x="17929" y="20735"/>
                <wp:lineTo x="18497" y="20338"/>
                <wp:lineTo x="20334" y="20206"/>
                <wp:lineTo x="20290" y="20041"/>
                <wp:lineTo x="17798" y="19809"/>
                <wp:lineTo x="20509" y="19545"/>
                <wp:lineTo x="21121" y="19445"/>
                <wp:lineTo x="20990" y="19214"/>
                <wp:lineTo x="20247" y="19082"/>
                <wp:lineTo x="17885" y="18751"/>
                <wp:lineTo x="17973" y="17759"/>
                <wp:lineTo x="18978" y="17660"/>
                <wp:lineTo x="18935" y="17164"/>
                <wp:lineTo x="19416" y="16668"/>
                <wp:lineTo x="19503" y="15675"/>
                <wp:lineTo x="19153" y="15642"/>
                <wp:lineTo x="10101" y="15576"/>
                <wp:lineTo x="10101" y="8698"/>
                <wp:lineTo x="11457" y="8698"/>
                <wp:lineTo x="16136" y="8301"/>
                <wp:lineTo x="16224" y="7738"/>
                <wp:lineTo x="15655" y="7672"/>
                <wp:lineTo x="11326" y="7639"/>
                <wp:lineTo x="11457" y="7441"/>
                <wp:lineTo x="10932" y="7375"/>
                <wp:lineTo x="7740" y="7110"/>
                <wp:lineTo x="7740" y="2348"/>
                <wp:lineTo x="10801" y="1819"/>
                <wp:lineTo x="11063" y="1290"/>
                <wp:lineTo x="11894" y="1091"/>
                <wp:lineTo x="11938" y="893"/>
                <wp:lineTo x="11501" y="761"/>
                <wp:lineTo x="11544" y="595"/>
                <wp:lineTo x="9927" y="298"/>
                <wp:lineTo x="8702" y="165"/>
                <wp:lineTo x="5947" y="1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8"/>
                    <a:srcRect t="6554"/>
                    <a:stretch/>
                  </pic:blipFill>
                  <pic:spPr bwMode="auto">
                    <a:xfrm>
                      <a:off x="0" y="0"/>
                      <a:ext cx="6273165" cy="8295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53B4">
        <w:rPr>
          <w:b/>
        </w:rPr>
        <w:t xml:space="preserve">Figure 1. </w:t>
      </w:r>
      <w:r w:rsidR="006E1371">
        <w:rPr>
          <w:b/>
        </w:rPr>
        <w:t>Defining the study population</w:t>
      </w:r>
    </w:p>
    <w:p w14:paraId="3897965C" w14:textId="5CFBE3C1" w:rsidR="000B53B4" w:rsidRDefault="000B53B4" w:rsidP="001A2EAB">
      <w:pPr>
        <w:spacing w:line="480" w:lineRule="auto"/>
        <w:rPr>
          <w:b/>
        </w:rPr>
      </w:pPr>
    </w:p>
    <w:p w14:paraId="2AB0137D" w14:textId="6637E596" w:rsidR="0039182E" w:rsidRDefault="0039182E" w:rsidP="001A2EAB">
      <w:pPr>
        <w:spacing w:line="480" w:lineRule="auto"/>
        <w:rPr>
          <w:b/>
        </w:rPr>
      </w:pPr>
    </w:p>
    <w:p w14:paraId="096F92E6" w14:textId="18632825" w:rsidR="0039182E" w:rsidRDefault="0039182E" w:rsidP="001A2EAB">
      <w:pPr>
        <w:spacing w:line="480" w:lineRule="auto"/>
        <w:rPr>
          <w:b/>
        </w:rPr>
      </w:pPr>
    </w:p>
    <w:p w14:paraId="2F07DBD3" w14:textId="5B88F2F6" w:rsidR="0039182E" w:rsidRDefault="0039182E" w:rsidP="001A2EAB">
      <w:pPr>
        <w:spacing w:line="480" w:lineRule="auto"/>
        <w:rPr>
          <w:b/>
        </w:rPr>
      </w:pPr>
    </w:p>
    <w:p w14:paraId="2FDDA1E2" w14:textId="64981EC3" w:rsidR="0039182E" w:rsidRDefault="0039182E" w:rsidP="001A2EAB">
      <w:pPr>
        <w:spacing w:line="480" w:lineRule="auto"/>
        <w:rPr>
          <w:b/>
        </w:rPr>
      </w:pPr>
    </w:p>
    <w:p w14:paraId="3AE0F981" w14:textId="63D09B75" w:rsidR="0039182E" w:rsidRDefault="0039182E" w:rsidP="001A2EAB">
      <w:pPr>
        <w:spacing w:line="480" w:lineRule="auto"/>
        <w:rPr>
          <w:b/>
        </w:rPr>
      </w:pPr>
    </w:p>
    <w:p w14:paraId="54E8D04A" w14:textId="028B793C" w:rsidR="0039182E" w:rsidRDefault="0039182E" w:rsidP="001A2EAB">
      <w:pPr>
        <w:spacing w:line="480" w:lineRule="auto"/>
        <w:rPr>
          <w:b/>
        </w:rPr>
      </w:pPr>
    </w:p>
    <w:p w14:paraId="3BB697D0" w14:textId="66EAD610" w:rsidR="0039182E" w:rsidRDefault="0039182E" w:rsidP="001A2EAB">
      <w:pPr>
        <w:spacing w:line="480" w:lineRule="auto"/>
        <w:rPr>
          <w:b/>
        </w:rPr>
      </w:pPr>
    </w:p>
    <w:p w14:paraId="5A2309F0" w14:textId="0D412C22" w:rsidR="0039182E" w:rsidRDefault="0039182E" w:rsidP="001A2EAB">
      <w:pPr>
        <w:spacing w:line="480" w:lineRule="auto"/>
        <w:rPr>
          <w:b/>
        </w:rPr>
      </w:pPr>
    </w:p>
    <w:p w14:paraId="1846D611" w14:textId="708F091D" w:rsidR="0039182E" w:rsidRDefault="0039182E" w:rsidP="001A2EAB">
      <w:pPr>
        <w:spacing w:line="480" w:lineRule="auto"/>
        <w:rPr>
          <w:b/>
        </w:rPr>
      </w:pPr>
    </w:p>
    <w:p w14:paraId="3A5D8D8E" w14:textId="320C4958" w:rsidR="0039182E" w:rsidRDefault="0039182E" w:rsidP="001A2EAB">
      <w:pPr>
        <w:spacing w:line="480" w:lineRule="auto"/>
        <w:rPr>
          <w:b/>
        </w:rPr>
      </w:pPr>
    </w:p>
    <w:p w14:paraId="1C6676C2" w14:textId="21E6B663" w:rsidR="0039182E" w:rsidRDefault="0039182E" w:rsidP="001A2EAB">
      <w:pPr>
        <w:spacing w:line="480" w:lineRule="auto"/>
        <w:rPr>
          <w:b/>
        </w:rPr>
      </w:pPr>
    </w:p>
    <w:p w14:paraId="2AEFB980" w14:textId="49AC2C8E" w:rsidR="0039182E" w:rsidRDefault="0039182E" w:rsidP="001A2EAB">
      <w:pPr>
        <w:spacing w:line="480" w:lineRule="auto"/>
        <w:rPr>
          <w:b/>
        </w:rPr>
      </w:pPr>
    </w:p>
    <w:p w14:paraId="6D36213E" w14:textId="50A649AC" w:rsidR="0039182E" w:rsidRDefault="0039182E" w:rsidP="001A2EAB">
      <w:pPr>
        <w:spacing w:line="480" w:lineRule="auto"/>
        <w:rPr>
          <w:b/>
        </w:rPr>
      </w:pPr>
    </w:p>
    <w:p w14:paraId="166538F5" w14:textId="4446D0F1" w:rsidR="0039182E" w:rsidRDefault="0039182E" w:rsidP="001A2EAB">
      <w:pPr>
        <w:spacing w:line="480" w:lineRule="auto"/>
        <w:rPr>
          <w:b/>
        </w:rPr>
      </w:pPr>
    </w:p>
    <w:p w14:paraId="6BCA8165" w14:textId="3AE1F72D" w:rsidR="0039182E" w:rsidRDefault="0039182E" w:rsidP="001A2EAB">
      <w:pPr>
        <w:spacing w:line="480" w:lineRule="auto"/>
        <w:rPr>
          <w:b/>
        </w:rPr>
      </w:pPr>
    </w:p>
    <w:p w14:paraId="09D440FC" w14:textId="2ECDA989" w:rsidR="0039182E" w:rsidRDefault="0039182E" w:rsidP="001A2EAB">
      <w:pPr>
        <w:spacing w:line="480" w:lineRule="auto"/>
        <w:rPr>
          <w:b/>
        </w:rPr>
      </w:pPr>
    </w:p>
    <w:p w14:paraId="22EDCA22" w14:textId="17703A45" w:rsidR="0039182E" w:rsidRDefault="0039182E" w:rsidP="001A2EAB">
      <w:pPr>
        <w:spacing w:line="480" w:lineRule="auto"/>
        <w:rPr>
          <w:b/>
        </w:rPr>
      </w:pPr>
    </w:p>
    <w:p w14:paraId="47781A38" w14:textId="6592B62D" w:rsidR="0039182E" w:rsidRDefault="0039182E" w:rsidP="001A2EAB">
      <w:pPr>
        <w:spacing w:line="480" w:lineRule="auto"/>
        <w:rPr>
          <w:b/>
        </w:rPr>
      </w:pPr>
    </w:p>
    <w:p w14:paraId="6E727D07" w14:textId="39337931" w:rsidR="0039182E" w:rsidRDefault="0039182E" w:rsidP="001A2EAB">
      <w:pPr>
        <w:spacing w:line="480" w:lineRule="auto"/>
        <w:rPr>
          <w:b/>
        </w:rPr>
      </w:pPr>
    </w:p>
    <w:p w14:paraId="06BD2C30" w14:textId="77777777" w:rsidR="0039182E" w:rsidRDefault="0039182E" w:rsidP="001A2EAB">
      <w:pPr>
        <w:spacing w:line="480" w:lineRule="auto"/>
        <w:rPr>
          <w:b/>
        </w:rPr>
      </w:pPr>
    </w:p>
    <w:p w14:paraId="06738582" w14:textId="77777777" w:rsidR="00C2006F" w:rsidRDefault="00C2006F" w:rsidP="001A2EAB">
      <w:pPr>
        <w:spacing w:line="480" w:lineRule="auto"/>
        <w:rPr>
          <w:b/>
        </w:rPr>
      </w:pPr>
    </w:p>
    <w:p w14:paraId="28561120" w14:textId="558D1C2E" w:rsidR="001A2EAB" w:rsidRDefault="001A2EAB" w:rsidP="001A2EAB">
      <w:pPr>
        <w:spacing w:line="480" w:lineRule="auto"/>
        <w:rPr>
          <w:b/>
        </w:rPr>
      </w:pPr>
      <w:r w:rsidRPr="00781897">
        <w:rPr>
          <w:b/>
        </w:rPr>
        <w:lastRenderedPageBreak/>
        <w:t xml:space="preserve">Figure </w:t>
      </w:r>
      <w:r w:rsidR="000B53B4">
        <w:rPr>
          <w:b/>
        </w:rPr>
        <w:t>2</w:t>
      </w:r>
      <w:r w:rsidRPr="00781897">
        <w:rPr>
          <w:b/>
        </w:rPr>
        <w:t xml:space="preserve">. Association between </w:t>
      </w:r>
      <w:r w:rsidR="00335B9D" w:rsidRPr="00781897">
        <w:rPr>
          <w:b/>
        </w:rPr>
        <w:t xml:space="preserve">current use of SGLT2 inhibitor and GLP-1 receptor agonist regimens compared with other combination regimens </w:t>
      </w:r>
      <w:r w:rsidR="00335B9D">
        <w:rPr>
          <w:b/>
        </w:rPr>
        <w:t xml:space="preserve">and risk of </w:t>
      </w:r>
      <w:r w:rsidRPr="00781897">
        <w:rPr>
          <w:b/>
        </w:rPr>
        <w:t>3-point major adverse cardi</w:t>
      </w:r>
      <w:r>
        <w:rPr>
          <w:b/>
        </w:rPr>
        <w:t>ac</w:t>
      </w:r>
      <w:r w:rsidRPr="00781897">
        <w:rPr>
          <w:b/>
        </w:rPr>
        <w:t xml:space="preserve"> and cerebrovascular events</w:t>
      </w:r>
    </w:p>
    <w:p w14:paraId="202AD830" w14:textId="217EEF0C" w:rsidR="002E20B1" w:rsidRDefault="0039182E" w:rsidP="002E20B1">
      <w:pPr>
        <w:tabs>
          <w:tab w:val="left" w:pos="2009"/>
        </w:tabs>
        <w:rPr>
          <w:sz w:val="22"/>
          <w:szCs w:val="22"/>
        </w:rPr>
      </w:pPr>
      <w:r>
        <w:rPr>
          <w:noProof/>
          <w:sz w:val="22"/>
          <w:szCs w:val="22"/>
        </w:rPr>
        <w:drawing>
          <wp:anchor distT="0" distB="0" distL="114300" distR="114300" simplePos="0" relativeHeight="251659264" behindDoc="1" locked="0" layoutInCell="1" allowOverlap="1" wp14:anchorId="6E919721" wp14:editId="7B7384DC">
            <wp:simplePos x="0" y="0"/>
            <wp:positionH relativeFrom="column">
              <wp:posOffset>-116840</wp:posOffset>
            </wp:positionH>
            <wp:positionV relativeFrom="paragraph">
              <wp:posOffset>201795</wp:posOffset>
            </wp:positionV>
            <wp:extent cx="5859145" cy="4269740"/>
            <wp:effectExtent l="0" t="0" r="0" b="0"/>
            <wp:wrapTight wrapText="bothSides">
              <wp:wrapPolygon edited="0">
                <wp:start x="468" y="0"/>
                <wp:lineTo x="281" y="2249"/>
                <wp:lineTo x="468" y="3212"/>
                <wp:lineTo x="468" y="21009"/>
                <wp:lineTo x="20928" y="21009"/>
                <wp:lineTo x="20928" y="0"/>
                <wp:lineTo x="46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9"/>
                    <a:srcRect l="9912" t="16481" r="7157" b="40807"/>
                    <a:stretch/>
                  </pic:blipFill>
                  <pic:spPr bwMode="auto">
                    <a:xfrm>
                      <a:off x="0" y="0"/>
                      <a:ext cx="5859145" cy="4269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83CD2F" w14:textId="77777777" w:rsidR="0039182E" w:rsidRDefault="0039182E" w:rsidP="002E20B1">
      <w:pPr>
        <w:tabs>
          <w:tab w:val="left" w:pos="2009"/>
        </w:tabs>
        <w:spacing w:line="360" w:lineRule="auto"/>
        <w:rPr>
          <w:sz w:val="22"/>
          <w:szCs w:val="22"/>
        </w:rPr>
      </w:pPr>
    </w:p>
    <w:p w14:paraId="279E9DEA" w14:textId="406F06BF" w:rsidR="002E20B1" w:rsidRPr="00C52AEA" w:rsidRDefault="002E20B1" w:rsidP="002E20B1">
      <w:pPr>
        <w:tabs>
          <w:tab w:val="left" w:pos="2009"/>
        </w:tabs>
        <w:spacing w:line="360" w:lineRule="auto"/>
        <w:rPr>
          <w:sz w:val="22"/>
          <w:szCs w:val="22"/>
        </w:rPr>
      </w:pPr>
      <w:r w:rsidRPr="005E16E0">
        <w:rPr>
          <w:sz w:val="22"/>
          <w:szCs w:val="22"/>
        </w:rPr>
        <w:t xml:space="preserve">Adjusted for </w:t>
      </w:r>
      <w:r w:rsidR="001B7D2D">
        <w:rPr>
          <w:sz w:val="22"/>
          <w:szCs w:val="22"/>
        </w:rPr>
        <w:t>case-control matching factors (</w:t>
      </w:r>
      <w:r w:rsidRPr="005E16E0">
        <w:rPr>
          <w:sz w:val="22"/>
          <w:szCs w:val="22"/>
        </w:rPr>
        <w:t xml:space="preserve">age, </w:t>
      </w:r>
      <w:r w:rsidR="001B7D2D" w:rsidRPr="005E16E0">
        <w:rPr>
          <w:sz w:val="22"/>
          <w:szCs w:val="22"/>
        </w:rPr>
        <w:t>duration of treated diabetes</w:t>
      </w:r>
      <w:r w:rsidR="001B7D2D">
        <w:rPr>
          <w:sz w:val="22"/>
          <w:szCs w:val="22"/>
        </w:rPr>
        <w:t>)</w:t>
      </w:r>
      <w:r w:rsidRPr="005E16E0">
        <w:rPr>
          <w:sz w:val="22"/>
          <w:szCs w:val="22"/>
        </w:rPr>
        <w:t xml:space="preserve">, ethnicity, </w:t>
      </w:r>
      <w:r w:rsidR="00C52AEA">
        <w:rPr>
          <w:sz w:val="22"/>
          <w:szCs w:val="22"/>
        </w:rPr>
        <w:t>Index of Multiple D</w:t>
      </w:r>
      <w:r w:rsidRPr="005E16E0">
        <w:rPr>
          <w:sz w:val="22"/>
          <w:szCs w:val="22"/>
        </w:rPr>
        <w:t xml:space="preserve">eprivation, microvascular complications, </w:t>
      </w:r>
      <w:proofErr w:type="spellStart"/>
      <w:r w:rsidRPr="005E16E0">
        <w:rPr>
          <w:sz w:val="22"/>
          <w:szCs w:val="22"/>
        </w:rPr>
        <w:t>Charlson</w:t>
      </w:r>
      <w:proofErr w:type="spellEnd"/>
      <w:r w:rsidRPr="005E16E0">
        <w:rPr>
          <w:sz w:val="22"/>
          <w:szCs w:val="22"/>
        </w:rPr>
        <w:t xml:space="preserve"> Comorbidity Index, smoking status, BMI, HbA1c, blood pressure and total cholesterol at cohort entry</w:t>
      </w:r>
      <w:r w:rsidR="001B7D2D">
        <w:rPr>
          <w:sz w:val="22"/>
          <w:szCs w:val="22"/>
        </w:rPr>
        <w:t>,</w:t>
      </w:r>
      <w:r w:rsidRPr="005E16E0">
        <w:rPr>
          <w:sz w:val="22"/>
          <w:szCs w:val="22"/>
        </w:rPr>
        <w:t xml:space="preserve"> prescriptions for medications in the year prior to cohort entry (antidiabetic medications, antihypertensive agents, lipid-lowering agents, antiplatelet agents, corticosteroids, NSAIDs and anticoagulants)</w:t>
      </w:r>
      <w:r w:rsidR="001B7D2D">
        <w:rPr>
          <w:sz w:val="22"/>
          <w:szCs w:val="22"/>
        </w:rPr>
        <w:t>, ever exposure of antidiabetic drugs and number of antidiabetic drugs prescribed prior to cohort entry</w:t>
      </w:r>
    </w:p>
    <w:p w14:paraId="330D59F7" w14:textId="77777777" w:rsidR="001A2EAB" w:rsidRPr="00781897" w:rsidRDefault="001A2EAB" w:rsidP="001A2EAB">
      <w:pPr>
        <w:tabs>
          <w:tab w:val="left" w:pos="2009"/>
        </w:tabs>
        <w:spacing w:line="480" w:lineRule="auto"/>
        <w:rPr>
          <w:b/>
          <w:bCs/>
        </w:rPr>
      </w:pPr>
    </w:p>
    <w:p w14:paraId="3A0164D7" w14:textId="6351A1A2" w:rsidR="002E20B1" w:rsidRDefault="002E20B1" w:rsidP="001A2EAB">
      <w:pPr>
        <w:tabs>
          <w:tab w:val="left" w:pos="2009"/>
        </w:tabs>
        <w:spacing w:line="480" w:lineRule="auto"/>
        <w:rPr>
          <w:b/>
          <w:bCs/>
        </w:rPr>
      </w:pPr>
    </w:p>
    <w:p w14:paraId="4DB2A7F5" w14:textId="1F4C84C2" w:rsidR="0039182E" w:rsidRDefault="0039182E" w:rsidP="001A2EAB">
      <w:pPr>
        <w:tabs>
          <w:tab w:val="left" w:pos="2009"/>
        </w:tabs>
        <w:spacing w:line="480" w:lineRule="auto"/>
        <w:rPr>
          <w:b/>
          <w:bCs/>
        </w:rPr>
      </w:pPr>
    </w:p>
    <w:p w14:paraId="558DBC0D" w14:textId="397413B1" w:rsidR="0039182E" w:rsidRDefault="0039182E" w:rsidP="001A2EAB">
      <w:pPr>
        <w:tabs>
          <w:tab w:val="left" w:pos="2009"/>
        </w:tabs>
        <w:spacing w:line="480" w:lineRule="auto"/>
        <w:rPr>
          <w:b/>
          <w:bCs/>
        </w:rPr>
      </w:pPr>
    </w:p>
    <w:p w14:paraId="35244664" w14:textId="77777777" w:rsidR="0039182E" w:rsidRDefault="0039182E" w:rsidP="001A2EAB">
      <w:pPr>
        <w:tabs>
          <w:tab w:val="left" w:pos="2009"/>
        </w:tabs>
        <w:spacing w:line="480" w:lineRule="auto"/>
        <w:rPr>
          <w:b/>
          <w:bCs/>
        </w:rPr>
      </w:pPr>
    </w:p>
    <w:p w14:paraId="2A2A66A3" w14:textId="52E9B06F" w:rsidR="001A2EAB" w:rsidRPr="00781897" w:rsidRDefault="001A2EAB" w:rsidP="001A2EAB">
      <w:pPr>
        <w:tabs>
          <w:tab w:val="left" w:pos="2429"/>
        </w:tabs>
        <w:spacing w:line="480" w:lineRule="auto"/>
        <w:rPr>
          <w:b/>
        </w:rPr>
      </w:pPr>
      <w:r w:rsidRPr="00781897">
        <w:rPr>
          <w:b/>
        </w:rPr>
        <w:lastRenderedPageBreak/>
        <w:t xml:space="preserve">Figure </w:t>
      </w:r>
      <w:r w:rsidR="000B53B4">
        <w:rPr>
          <w:b/>
        </w:rPr>
        <w:t>3</w:t>
      </w:r>
      <w:r w:rsidRPr="00781897">
        <w:rPr>
          <w:b/>
        </w:rPr>
        <w:t xml:space="preserve">. Association between </w:t>
      </w:r>
      <w:r w:rsidR="00335B9D" w:rsidRPr="00781897">
        <w:rPr>
          <w:b/>
        </w:rPr>
        <w:t xml:space="preserve">current use of SGLT2 inhibitor and GLP-1 receptor agonist regimens compared with other combination regimens </w:t>
      </w:r>
      <w:r w:rsidR="00335B9D">
        <w:rPr>
          <w:b/>
        </w:rPr>
        <w:t xml:space="preserve">and risk of </w:t>
      </w:r>
      <w:r w:rsidRPr="00781897">
        <w:rPr>
          <w:b/>
        </w:rPr>
        <w:t>heart failure</w:t>
      </w:r>
    </w:p>
    <w:p w14:paraId="70DEA8DB" w14:textId="7890171B" w:rsidR="002E20B1" w:rsidRDefault="0039182E" w:rsidP="002E20B1">
      <w:pPr>
        <w:tabs>
          <w:tab w:val="left" w:pos="2009"/>
        </w:tabs>
        <w:rPr>
          <w:sz w:val="22"/>
          <w:szCs w:val="22"/>
        </w:rPr>
      </w:pPr>
      <w:r>
        <w:rPr>
          <w:noProof/>
          <w:sz w:val="22"/>
          <w:szCs w:val="22"/>
        </w:rPr>
        <w:drawing>
          <wp:anchor distT="0" distB="0" distL="114300" distR="114300" simplePos="0" relativeHeight="251660288" behindDoc="1" locked="0" layoutInCell="1" allowOverlap="1" wp14:anchorId="4AD6E493" wp14:editId="17488D93">
            <wp:simplePos x="0" y="0"/>
            <wp:positionH relativeFrom="column">
              <wp:posOffset>-49098</wp:posOffset>
            </wp:positionH>
            <wp:positionV relativeFrom="paragraph">
              <wp:posOffset>213360</wp:posOffset>
            </wp:positionV>
            <wp:extent cx="5739765" cy="4347845"/>
            <wp:effectExtent l="0" t="0" r="0" b="0"/>
            <wp:wrapTight wrapText="bothSides">
              <wp:wrapPolygon edited="0">
                <wp:start x="143" y="0"/>
                <wp:lineTo x="191" y="21073"/>
                <wp:lineTo x="21220" y="21073"/>
                <wp:lineTo x="21363" y="189"/>
                <wp:lineTo x="2724" y="0"/>
                <wp:lineTo x="14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0"/>
                    <a:srcRect l="9676" t="13553" r="9869" b="43380"/>
                    <a:stretch/>
                  </pic:blipFill>
                  <pic:spPr bwMode="auto">
                    <a:xfrm>
                      <a:off x="0" y="0"/>
                      <a:ext cx="5739765" cy="4347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D8E132" w14:textId="77777777" w:rsidR="0039182E" w:rsidRDefault="0039182E" w:rsidP="002E20B1">
      <w:pPr>
        <w:tabs>
          <w:tab w:val="left" w:pos="2009"/>
        </w:tabs>
        <w:spacing w:line="360" w:lineRule="auto"/>
        <w:rPr>
          <w:sz w:val="22"/>
          <w:szCs w:val="22"/>
        </w:rPr>
      </w:pPr>
    </w:p>
    <w:p w14:paraId="4BD174E1" w14:textId="77777777" w:rsidR="0039182E" w:rsidRDefault="0039182E" w:rsidP="002E20B1">
      <w:pPr>
        <w:tabs>
          <w:tab w:val="left" w:pos="2009"/>
        </w:tabs>
        <w:spacing w:line="360" w:lineRule="auto"/>
        <w:rPr>
          <w:sz w:val="22"/>
          <w:szCs w:val="22"/>
        </w:rPr>
      </w:pPr>
    </w:p>
    <w:p w14:paraId="6D790A34" w14:textId="491CF811" w:rsidR="002E20B1" w:rsidRPr="00435A86" w:rsidRDefault="002E20B1" w:rsidP="002E20B1">
      <w:pPr>
        <w:tabs>
          <w:tab w:val="left" w:pos="2009"/>
        </w:tabs>
        <w:spacing w:line="360" w:lineRule="auto"/>
        <w:rPr>
          <w:b/>
          <w:bCs/>
          <w:sz w:val="22"/>
          <w:szCs w:val="22"/>
        </w:rPr>
      </w:pPr>
      <w:r w:rsidRPr="00435A86">
        <w:rPr>
          <w:sz w:val="22"/>
          <w:szCs w:val="22"/>
        </w:rPr>
        <w:t xml:space="preserve">Adjusted for </w:t>
      </w:r>
      <w:r w:rsidR="001B7D2D">
        <w:rPr>
          <w:sz w:val="22"/>
          <w:szCs w:val="22"/>
        </w:rPr>
        <w:t>case-control matching factors (</w:t>
      </w:r>
      <w:r w:rsidRPr="00435A86">
        <w:rPr>
          <w:sz w:val="22"/>
          <w:szCs w:val="22"/>
        </w:rPr>
        <w:t xml:space="preserve">age, </w:t>
      </w:r>
      <w:r w:rsidR="001B7D2D" w:rsidRPr="00435A86">
        <w:rPr>
          <w:sz w:val="22"/>
          <w:szCs w:val="22"/>
        </w:rPr>
        <w:t>duration of treated diabetes</w:t>
      </w:r>
      <w:r w:rsidR="001B7D2D">
        <w:rPr>
          <w:sz w:val="22"/>
          <w:szCs w:val="22"/>
        </w:rPr>
        <w:t>)</w:t>
      </w:r>
      <w:r w:rsidRPr="00435A86">
        <w:rPr>
          <w:sz w:val="22"/>
          <w:szCs w:val="22"/>
        </w:rPr>
        <w:t xml:space="preserve">, ethnicity, </w:t>
      </w:r>
      <w:r w:rsidR="00C52AEA">
        <w:rPr>
          <w:sz w:val="22"/>
          <w:szCs w:val="22"/>
        </w:rPr>
        <w:t>Index of Multiple D</w:t>
      </w:r>
      <w:r w:rsidRPr="00435A86">
        <w:rPr>
          <w:sz w:val="22"/>
          <w:szCs w:val="22"/>
        </w:rPr>
        <w:t xml:space="preserve">eprivation, history of CVD, microvascular complications, </w:t>
      </w:r>
      <w:proofErr w:type="spellStart"/>
      <w:r w:rsidRPr="00435A86">
        <w:rPr>
          <w:sz w:val="22"/>
          <w:szCs w:val="22"/>
        </w:rPr>
        <w:t>Charlson</w:t>
      </w:r>
      <w:proofErr w:type="spellEnd"/>
      <w:r w:rsidRPr="00435A86">
        <w:rPr>
          <w:sz w:val="22"/>
          <w:szCs w:val="22"/>
        </w:rPr>
        <w:t xml:space="preserve"> Comorbidity Index, smoking status, BMI, HbA1c, blood pressure and total cholesterol at cohort entry</w:t>
      </w:r>
      <w:r w:rsidR="001B7D2D">
        <w:rPr>
          <w:sz w:val="22"/>
          <w:szCs w:val="22"/>
        </w:rPr>
        <w:t>,</w:t>
      </w:r>
      <w:r w:rsidRPr="00435A86">
        <w:rPr>
          <w:sz w:val="22"/>
          <w:szCs w:val="22"/>
        </w:rPr>
        <w:t xml:space="preserve"> prescriptions for medications in the year prior to cohort entry (antidiabetic medications, antihypertensive agents, lipid-lowering agents, antiplatelet agents, corticosteroids, NSAIDs and anticoagulants)</w:t>
      </w:r>
      <w:r w:rsidR="001B7D2D">
        <w:rPr>
          <w:sz w:val="22"/>
          <w:szCs w:val="22"/>
        </w:rPr>
        <w:t>, ever exposure of antidiabetic drugs and number of antidiabetic drugs prescribed prior to cohort entry</w:t>
      </w:r>
    </w:p>
    <w:p w14:paraId="29643367" w14:textId="1BCD4BA1" w:rsidR="001A2EAB" w:rsidRDefault="001A2EAB" w:rsidP="001A2EAB">
      <w:pPr>
        <w:tabs>
          <w:tab w:val="left" w:pos="2009"/>
        </w:tabs>
        <w:spacing w:line="480" w:lineRule="auto"/>
        <w:rPr>
          <w:b/>
          <w:bCs/>
        </w:rPr>
      </w:pPr>
    </w:p>
    <w:p w14:paraId="2DDB1DAE" w14:textId="77777777" w:rsidR="00B01319" w:rsidRPr="00781897" w:rsidRDefault="00B01319" w:rsidP="001A2EAB">
      <w:pPr>
        <w:tabs>
          <w:tab w:val="left" w:pos="2009"/>
        </w:tabs>
        <w:spacing w:line="480" w:lineRule="auto"/>
        <w:rPr>
          <w:b/>
          <w:bCs/>
        </w:rPr>
      </w:pPr>
    </w:p>
    <w:p w14:paraId="45485456" w14:textId="02D84069" w:rsidR="00B01319" w:rsidRDefault="00B01319" w:rsidP="001A2EAB"/>
    <w:p w14:paraId="3D2BB577" w14:textId="77777777" w:rsidR="00B01319" w:rsidRPr="00BB346A" w:rsidRDefault="00B01319" w:rsidP="001A2EAB"/>
    <w:sectPr w:rsidR="00B01319" w:rsidRPr="00BB346A" w:rsidSect="001A2E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729E" w14:textId="77777777" w:rsidR="00AB6FAB" w:rsidRDefault="00AB6FAB">
      <w:r>
        <w:separator/>
      </w:r>
    </w:p>
  </w:endnote>
  <w:endnote w:type="continuationSeparator" w:id="0">
    <w:p w14:paraId="3BD25A5F" w14:textId="77777777" w:rsidR="00AB6FAB" w:rsidRDefault="00AB6FAB">
      <w:r>
        <w:continuationSeparator/>
      </w:r>
    </w:p>
  </w:endnote>
  <w:endnote w:type="continuationNotice" w:id="1">
    <w:p w14:paraId="612994E3" w14:textId="77777777" w:rsidR="00AB6FAB" w:rsidRDefault="00AB6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calaLancetPro">
    <w:altName w:val="Cambria"/>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7094798"/>
      <w:docPartObj>
        <w:docPartGallery w:val="Page Numbers (Bottom of Page)"/>
        <w:docPartUnique/>
      </w:docPartObj>
    </w:sdtPr>
    <w:sdtEndPr>
      <w:rPr>
        <w:rStyle w:val="PageNumber"/>
      </w:rPr>
    </w:sdtEndPr>
    <w:sdtContent>
      <w:p w14:paraId="094E4072" w14:textId="365ACDBD" w:rsidR="00241D3C" w:rsidRDefault="00241D3C" w:rsidP="007818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0AF27" w14:textId="77777777" w:rsidR="00241D3C" w:rsidRDefault="00241D3C" w:rsidP="00182D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6630932"/>
      <w:docPartObj>
        <w:docPartGallery w:val="Page Numbers (Bottom of Page)"/>
        <w:docPartUnique/>
      </w:docPartObj>
    </w:sdtPr>
    <w:sdtEndPr>
      <w:rPr>
        <w:rStyle w:val="PageNumber"/>
      </w:rPr>
    </w:sdtEndPr>
    <w:sdtContent>
      <w:p w14:paraId="061A5A24" w14:textId="1F9EAA84" w:rsidR="00241D3C" w:rsidRDefault="00241D3C" w:rsidP="00B92B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2812">
          <w:rPr>
            <w:rStyle w:val="PageNumber"/>
            <w:noProof/>
          </w:rPr>
          <w:t>1</w:t>
        </w:r>
        <w:r>
          <w:rPr>
            <w:rStyle w:val="PageNumber"/>
          </w:rPr>
          <w:fldChar w:fldCharType="end"/>
        </w:r>
      </w:p>
    </w:sdtContent>
  </w:sdt>
  <w:p w14:paraId="0507329F" w14:textId="77777777" w:rsidR="00241D3C" w:rsidRDefault="00241D3C" w:rsidP="00182DD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2225051"/>
      <w:docPartObj>
        <w:docPartGallery w:val="Page Numbers (Bottom of Page)"/>
        <w:docPartUnique/>
      </w:docPartObj>
    </w:sdtPr>
    <w:sdtEndPr>
      <w:rPr>
        <w:rStyle w:val="PageNumber"/>
      </w:rPr>
    </w:sdtEndPr>
    <w:sdtContent>
      <w:p w14:paraId="0166CBAC" w14:textId="6E7B687F" w:rsidR="00241D3C" w:rsidRDefault="00241D3C" w:rsidP="00B92B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2812">
          <w:rPr>
            <w:rStyle w:val="PageNumber"/>
            <w:noProof/>
          </w:rPr>
          <w:t>3</w:t>
        </w:r>
        <w:r>
          <w:rPr>
            <w:rStyle w:val="PageNumber"/>
          </w:rPr>
          <w:fldChar w:fldCharType="end"/>
        </w:r>
      </w:p>
    </w:sdtContent>
  </w:sdt>
  <w:p w14:paraId="3B6F0FC7" w14:textId="77777777" w:rsidR="00241D3C" w:rsidRDefault="00241D3C" w:rsidP="00182D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B0D4" w14:textId="77777777" w:rsidR="00AB6FAB" w:rsidRDefault="00AB6FAB">
      <w:r>
        <w:separator/>
      </w:r>
    </w:p>
  </w:footnote>
  <w:footnote w:type="continuationSeparator" w:id="0">
    <w:p w14:paraId="15CFBFF5" w14:textId="77777777" w:rsidR="00AB6FAB" w:rsidRDefault="00AB6FAB">
      <w:r>
        <w:continuationSeparator/>
      </w:r>
    </w:p>
  </w:footnote>
  <w:footnote w:type="continuationNotice" w:id="1">
    <w:p w14:paraId="563BD355" w14:textId="77777777" w:rsidR="00AB6FAB" w:rsidRDefault="00AB6F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440D"/>
    <w:multiLevelType w:val="hybridMultilevel"/>
    <w:tmpl w:val="D8E43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46283"/>
    <w:multiLevelType w:val="hybridMultilevel"/>
    <w:tmpl w:val="282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442AC"/>
    <w:multiLevelType w:val="hybridMultilevel"/>
    <w:tmpl w:val="69FE8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FC4627"/>
    <w:multiLevelType w:val="hybridMultilevel"/>
    <w:tmpl w:val="8BF48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B03610"/>
    <w:multiLevelType w:val="hybridMultilevel"/>
    <w:tmpl w:val="F1422E78"/>
    <w:lvl w:ilvl="0" w:tplc="9140BAB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4C1872D8"/>
    <w:multiLevelType w:val="multilevel"/>
    <w:tmpl w:val="1B9C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4E4385"/>
    <w:multiLevelType w:val="hybridMultilevel"/>
    <w:tmpl w:val="F482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E41D1"/>
    <w:multiLevelType w:val="hybridMultilevel"/>
    <w:tmpl w:val="CEC2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77DB5"/>
    <w:multiLevelType w:val="hybridMultilevel"/>
    <w:tmpl w:val="F07A2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E6135"/>
    <w:multiLevelType w:val="hybridMultilevel"/>
    <w:tmpl w:val="54FA53AC"/>
    <w:lvl w:ilvl="0" w:tplc="B91035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080E43"/>
    <w:multiLevelType w:val="hybridMultilevel"/>
    <w:tmpl w:val="2FFC3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
  </w:num>
  <w:num w:numId="5">
    <w:abstractNumId w:val="7"/>
  </w:num>
  <w:num w:numId="6">
    <w:abstractNumId w:val="3"/>
  </w:num>
  <w:num w:numId="7">
    <w:abstractNumId w:val="2"/>
  </w:num>
  <w:num w:numId="8">
    <w:abstractNumId w:val="5"/>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ature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twr2fp7fv9riedsstvsf58r0wzaaatrfzp&quot;&gt;MKR&lt;record-ids&gt;&lt;item&gt;11793&lt;/item&gt;&lt;item&gt;11794&lt;/item&gt;&lt;/record-ids&gt;&lt;/item&gt;&lt;/Libraries&gt;"/>
  </w:docVars>
  <w:rsids>
    <w:rsidRoot w:val="00260AE5"/>
    <w:rsid w:val="0000128D"/>
    <w:rsid w:val="00001A7F"/>
    <w:rsid w:val="00001EC1"/>
    <w:rsid w:val="000020A3"/>
    <w:rsid w:val="0000587A"/>
    <w:rsid w:val="0000629C"/>
    <w:rsid w:val="00006B96"/>
    <w:rsid w:val="00006DAC"/>
    <w:rsid w:val="00006E1A"/>
    <w:rsid w:val="00007C49"/>
    <w:rsid w:val="00007CA9"/>
    <w:rsid w:val="0001009D"/>
    <w:rsid w:val="000106F3"/>
    <w:rsid w:val="0001427C"/>
    <w:rsid w:val="00014683"/>
    <w:rsid w:val="00015D0C"/>
    <w:rsid w:val="00016C1A"/>
    <w:rsid w:val="00016CCD"/>
    <w:rsid w:val="00017092"/>
    <w:rsid w:val="00017443"/>
    <w:rsid w:val="00017728"/>
    <w:rsid w:val="000179EA"/>
    <w:rsid w:val="000207F1"/>
    <w:rsid w:val="00020919"/>
    <w:rsid w:val="00020C11"/>
    <w:rsid w:val="000219C6"/>
    <w:rsid w:val="00021B63"/>
    <w:rsid w:val="00021C69"/>
    <w:rsid w:val="00023FA3"/>
    <w:rsid w:val="0002470B"/>
    <w:rsid w:val="000265BC"/>
    <w:rsid w:val="0002666C"/>
    <w:rsid w:val="00026AC9"/>
    <w:rsid w:val="000275D5"/>
    <w:rsid w:val="0003002F"/>
    <w:rsid w:val="000305A5"/>
    <w:rsid w:val="0003121C"/>
    <w:rsid w:val="00035ADD"/>
    <w:rsid w:val="00035B56"/>
    <w:rsid w:val="000361BD"/>
    <w:rsid w:val="00036BBF"/>
    <w:rsid w:val="00040CFB"/>
    <w:rsid w:val="00040D2E"/>
    <w:rsid w:val="00040E01"/>
    <w:rsid w:val="00041BE0"/>
    <w:rsid w:val="00043188"/>
    <w:rsid w:val="0004337A"/>
    <w:rsid w:val="0004390D"/>
    <w:rsid w:val="00043E80"/>
    <w:rsid w:val="0004456E"/>
    <w:rsid w:val="000465BD"/>
    <w:rsid w:val="00046A93"/>
    <w:rsid w:val="00050B03"/>
    <w:rsid w:val="00050CB9"/>
    <w:rsid w:val="00051209"/>
    <w:rsid w:val="00052843"/>
    <w:rsid w:val="00052A0C"/>
    <w:rsid w:val="000533D3"/>
    <w:rsid w:val="00053D75"/>
    <w:rsid w:val="00053FF3"/>
    <w:rsid w:val="0005607C"/>
    <w:rsid w:val="000561C0"/>
    <w:rsid w:val="00061180"/>
    <w:rsid w:val="00061302"/>
    <w:rsid w:val="00061C72"/>
    <w:rsid w:val="00062250"/>
    <w:rsid w:val="000625D3"/>
    <w:rsid w:val="00062CD0"/>
    <w:rsid w:val="00063BC8"/>
    <w:rsid w:val="00064AC7"/>
    <w:rsid w:val="0006533A"/>
    <w:rsid w:val="00066AA0"/>
    <w:rsid w:val="00066EDA"/>
    <w:rsid w:val="000677A8"/>
    <w:rsid w:val="00067DDA"/>
    <w:rsid w:val="0007192F"/>
    <w:rsid w:val="00073554"/>
    <w:rsid w:val="00074926"/>
    <w:rsid w:val="00075DAA"/>
    <w:rsid w:val="00077D2A"/>
    <w:rsid w:val="000805E4"/>
    <w:rsid w:val="00081581"/>
    <w:rsid w:val="0008254A"/>
    <w:rsid w:val="000839AF"/>
    <w:rsid w:val="0008403E"/>
    <w:rsid w:val="00084DB4"/>
    <w:rsid w:val="00086463"/>
    <w:rsid w:val="000868E1"/>
    <w:rsid w:val="00087F7D"/>
    <w:rsid w:val="0009068A"/>
    <w:rsid w:val="000907D3"/>
    <w:rsid w:val="00091307"/>
    <w:rsid w:val="00091BBF"/>
    <w:rsid w:val="000924BF"/>
    <w:rsid w:val="00092708"/>
    <w:rsid w:val="0009290A"/>
    <w:rsid w:val="00094831"/>
    <w:rsid w:val="00094FD0"/>
    <w:rsid w:val="00094FEB"/>
    <w:rsid w:val="00096D1F"/>
    <w:rsid w:val="00096D94"/>
    <w:rsid w:val="00097AF6"/>
    <w:rsid w:val="00097ED5"/>
    <w:rsid w:val="000A0309"/>
    <w:rsid w:val="000A077F"/>
    <w:rsid w:val="000A08B8"/>
    <w:rsid w:val="000A0FCB"/>
    <w:rsid w:val="000A1171"/>
    <w:rsid w:val="000A13F8"/>
    <w:rsid w:val="000A14AE"/>
    <w:rsid w:val="000A2B50"/>
    <w:rsid w:val="000A2BC1"/>
    <w:rsid w:val="000A31B0"/>
    <w:rsid w:val="000A3336"/>
    <w:rsid w:val="000A3626"/>
    <w:rsid w:val="000A54BD"/>
    <w:rsid w:val="000A586C"/>
    <w:rsid w:val="000A692A"/>
    <w:rsid w:val="000A6DE9"/>
    <w:rsid w:val="000A6FEB"/>
    <w:rsid w:val="000A7B9E"/>
    <w:rsid w:val="000A7ED7"/>
    <w:rsid w:val="000B146E"/>
    <w:rsid w:val="000B2033"/>
    <w:rsid w:val="000B2459"/>
    <w:rsid w:val="000B28F6"/>
    <w:rsid w:val="000B2A20"/>
    <w:rsid w:val="000B35AE"/>
    <w:rsid w:val="000B431D"/>
    <w:rsid w:val="000B4457"/>
    <w:rsid w:val="000B53B4"/>
    <w:rsid w:val="000B57AA"/>
    <w:rsid w:val="000B7D72"/>
    <w:rsid w:val="000C01A8"/>
    <w:rsid w:val="000C0848"/>
    <w:rsid w:val="000C0D2C"/>
    <w:rsid w:val="000C2CE6"/>
    <w:rsid w:val="000C2D0F"/>
    <w:rsid w:val="000C3A2D"/>
    <w:rsid w:val="000C3D09"/>
    <w:rsid w:val="000C3E1D"/>
    <w:rsid w:val="000C40D5"/>
    <w:rsid w:val="000C4362"/>
    <w:rsid w:val="000C462B"/>
    <w:rsid w:val="000C6888"/>
    <w:rsid w:val="000C7065"/>
    <w:rsid w:val="000C78CB"/>
    <w:rsid w:val="000D0466"/>
    <w:rsid w:val="000D061B"/>
    <w:rsid w:val="000D2831"/>
    <w:rsid w:val="000D2DB1"/>
    <w:rsid w:val="000D2FDE"/>
    <w:rsid w:val="000D3590"/>
    <w:rsid w:val="000D38CC"/>
    <w:rsid w:val="000D5580"/>
    <w:rsid w:val="000D58C2"/>
    <w:rsid w:val="000D5DC0"/>
    <w:rsid w:val="000D6B36"/>
    <w:rsid w:val="000D794E"/>
    <w:rsid w:val="000D7FBD"/>
    <w:rsid w:val="000E047B"/>
    <w:rsid w:val="000E0668"/>
    <w:rsid w:val="000E0E28"/>
    <w:rsid w:val="000E0E3C"/>
    <w:rsid w:val="000E3103"/>
    <w:rsid w:val="000E4AAA"/>
    <w:rsid w:val="000E5EFB"/>
    <w:rsid w:val="000F01AC"/>
    <w:rsid w:val="000F2629"/>
    <w:rsid w:val="000F31C8"/>
    <w:rsid w:val="000F44FB"/>
    <w:rsid w:val="000F5C77"/>
    <w:rsid w:val="000F6F9C"/>
    <w:rsid w:val="0010020D"/>
    <w:rsid w:val="00101011"/>
    <w:rsid w:val="00101457"/>
    <w:rsid w:val="00101AAF"/>
    <w:rsid w:val="0010424E"/>
    <w:rsid w:val="00105452"/>
    <w:rsid w:val="00105A32"/>
    <w:rsid w:val="00105DDA"/>
    <w:rsid w:val="00105E78"/>
    <w:rsid w:val="00107A29"/>
    <w:rsid w:val="00110368"/>
    <w:rsid w:val="001108B7"/>
    <w:rsid w:val="00110FA4"/>
    <w:rsid w:val="00111BE1"/>
    <w:rsid w:val="00112A6C"/>
    <w:rsid w:val="00112E4F"/>
    <w:rsid w:val="00113B82"/>
    <w:rsid w:val="00113E37"/>
    <w:rsid w:val="00113F99"/>
    <w:rsid w:val="00115D92"/>
    <w:rsid w:val="00117290"/>
    <w:rsid w:val="0011763C"/>
    <w:rsid w:val="001178EB"/>
    <w:rsid w:val="001237D2"/>
    <w:rsid w:val="00123B0E"/>
    <w:rsid w:val="001254B9"/>
    <w:rsid w:val="00125588"/>
    <w:rsid w:val="0012656D"/>
    <w:rsid w:val="0012752D"/>
    <w:rsid w:val="001277BC"/>
    <w:rsid w:val="001305B3"/>
    <w:rsid w:val="001318A8"/>
    <w:rsid w:val="00132394"/>
    <w:rsid w:val="00132451"/>
    <w:rsid w:val="00132BE4"/>
    <w:rsid w:val="001331F5"/>
    <w:rsid w:val="00133578"/>
    <w:rsid w:val="0013381E"/>
    <w:rsid w:val="001339EA"/>
    <w:rsid w:val="00133EF0"/>
    <w:rsid w:val="00134E47"/>
    <w:rsid w:val="001362C7"/>
    <w:rsid w:val="00137A96"/>
    <w:rsid w:val="001400C5"/>
    <w:rsid w:val="00140385"/>
    <w:rsid w:val="001408FD"/>
    <w:rsid w:val="00142135"/>
    <w:rsid w:val="00142149"/>
    <w:rsid w:val="0014271C"/>
    <w:rsid w:val="00143277"/>
    <w:rsid w:val="00143E7E"/>
    <w:rsid w:val="001458D7"/>
    <w:rsid w:val="0014600C"/>
    <w:rsid w:val="00147B11"/>
    <w:rsid w:val="00147BB3"/>
    <w:rsid w:val="00147D36"/>
    <w:rsid w:val="001507CF"/>
    <w:rsid w:val="001512A6"/>
    <w:rsid w:val="00151912"/>
    <w:rsid w:val="0015195A"/>
    <w:rsid w:val="00151E6D"/>
    <w:rsid w:val="001522B2"/>
    <w:rsid w:val="00155D3A"/>
    <w:rsid w:val="00156E12"/>
    <w:rsid w:val="001570AA"/>
    <w:rsid w:val="00160A09"/>
    <w:rsid w:val="00160B52"/>
    <w:rsid w:val="00160F62"/>
    <w:rsid w:val="0016352E"/>
    <w:rsid w:val="001638F2"/>
    <w:rsid w:val="001641E9"/>
    <w:rsid w:val="0016433C"/>
    <w:rsid w:val="00164710"/>
    <w:rsid w:val="00164F5C"/>
    <w:rsid w:val="00166750"/>
    <w:rsid w:val="00166C4E"/>
    <w:rsid w:val="00167F32"/>
    <w:rsid w:val="00167F4A"/>
    <w:rsid w:val="001701DE"/>
    <w:rsid w:val="00170AEF"/>
    <w:rsid w:val="00170D5D"/>
    <w:rsid w:val="0017149B"/>
    <w:rsid w:val="00172342"/>
    <w:rsid w:val="001723F4"/>
    <w:rsid w:val="00172D0B"/>
    <w:rsid w:val="001734AC"/>
    <w:rsid w:val="0017452B"/>
    <w:rsid w:val="00176BF9"/>
    <w:rsid w:val="001774B8"/>
    <w:rsid w:val="00177A1F"/>
    <w:rsid w:val="00177C37"/>
    <w:rsid w:val="00181A7E"/>
    <w:rsid w:val="001822EF"/>
    <w:rsid w:val="0018237B"/>
    <w:rsid w:val="0018242F"/>
    <w:rsid w:val="00182B32"/>
    <w:rsid w:val="00182D9C"/>
    <w:rsid w:val="00182DD7"/>
    <w:rsid w:val="001838B1"/>
    <w:rsid w:val="00184361"/>
    <w:rsid w:val="00184F5A"/>
    <w:rsid w:val="00185BAD"/>
    <w:rsid w:val="00186D41"/>
    <w:rsid w:val="00187F24"/>
    <w:rsid w:val="00190FB1"/>
    <w:rsid w:val="00191BBF"/>
    <w:rsid w:val="00192CE3"/>
    <w:rsid w:val="00193D59"/>
    <w:rsid w:val="00193E5D"/>
    <w:rsid w:val="00194106"/>
    <w:rsid w:val="0019476E"/>
    <w:rsid w:val="00194956"/>
    <w:rsid w:val="001952B4"/>
    <w:rsid w:val="0019535A"/>
    <w:rsid w:val="00195E7F"/>
    <w:rsid w:val="00196BAD"/>
    <w:rsid w:val="00197E75"/>
    <w:rsid w:val="001A0BC8"/>
    <w:rsid w:val="001A0CC8"/>
    <w:rsid w:val="001A2EAB"/>
    <w:rsid w:val="001A3111"/>
    <w:rsid w:val="001A37C2"/>
    <w:rsid w:val="001A391A"/>
    <w:rsid w:val="001A3AE0"/>
    <w:rsid w:val="001A445B"/>
    <w:rsid w:val="001A465F"/>
    <w:rsid w:val="001A4DAA"/>
    <w:rsid w:val="001A50C7"/>
    <w:rsid w:val="001A50F8"/>
    <w:rsid w:val="001A6D95"/>
    <w:rsid w:val="001B1083"/>
    <w:rsid w:val="001B1CE3"/>
    <w:rsid w:val="001B2011"/>
    <w:rsid w:val="001B2945"/>
    <w:rsid w:val="001B3888"/>
    <w:rsid w:val="001B38BB"/>
    <w:rsid w:val="001B3A31"/>
    <w:rsid w:val="001B4126"/>
    <w:rsid w:val="001B41C6"/>
    <w:rsid w:val="001B45B6"/>
    <w:rsid w:val="001B4E3D"/>
    <w:rsid w:val="001B4F8C"/>
    <w:rsid w:val="001B55C5"/>
    <w:rsid w:val="001B7D2D"/>
    <w:rsid w:val="001B7E90"/>
    <w:rsid w:val="001C00F5"/>
    <w:rsid w:val="001C0C1C"/>
    <w:rsid w:val="001C0CFC"/>
    <w:rsid w:val="001C0E18"/>
    <w:rsid w:val="001C1A2F"/>
    <w:rsid w:val="001C2123"/>
    <w:rsid w:val="001C2E73"/>
    <w:rsid w:val="001C2F78"/>
    <w:rsid w:val="001C3144"/>
    <w:rsid w:val="001C3BB4"/>
    <w:rsid w:val="001C4DC7"/>
    <w:rsid w:val="001C5065"/>
    <w:rsid w:val="001C5EE3"/>
    <w:rsid w:val="001C620C"/>
    <w:rsid w:val="001C6846"/>
    <w:rsid w:val="001C71F1"/>
    <w:rsid w:val="001C739A"/>
    <w:rsid w:val="001C7945"/>
    <w:rsid w:val="001D09CA"/>
    <w:rsid w:val="001D1967"/>
    <w:rsid w:val="001D1AA2"/>
    <w:rsid w:val="001D3B1B"/>
    <w:rsid w:val="001D5895"/>
    <w:rsid w:val="001D6451"/>
    <w:rsid w:val="001D65BA"/>
    <w:rsid w:val="001D6CC1"/>
    <w:rsid w:val="001D7D21"/>
    <w:rsid w:val="001D7D70"/>
    <w:rsid w:val="001E026F"/>
    <w:rsid w:val="001E04D6"/>
    <w:rsid w:val="001E1DCB"/>
    <w:rsid w:val="001E20E4"/>
    <w:rsid w:val="001E2F86"/>
    <w:rsid w:val="001E3E42"/>
    <w:rsid w:val="001E3FE9"/>
    <w:rsid w:val="001E46E8"/>
    <w:rsid w:val="001E4E7D"/>
    <w:rsid w:val="001E5887"/>
    <w:rsid w:val="001E58EE"/>
    <w:rsid w:val="001E5F8A"/>
    <w:rsid w:val="001E6503"/>
    <w:rsid w:val="001E6DAC"/>
    <w:rsid w:val="001E7432"/>
    <w:rsid w:val="001F0016"/>
    <w:rsid w:val="001F168D"/>
    <w:rsid w:val="001F361E"/>
    <w:rsid w:val="001F4D1B"/>
    <w:rsid w:val="001F4D5B"/>
    <w:rsid w:val="001F535A"/>
    <w:rsid w:val="001F54A8"/>
    <w:rsid w:val="001F6149"/>
    <w:rsid w:val="001F6D38"/>
    <w:rsid w:val="001F6D84"/>
    <w:rsid w:val="001F7049"/>
    <w:rsid w:val="001F70F9"/>
    <w:rsid w:val="001F7C0D"/>
    <w:rsid w:val="002018CC"/>
    <w:rsid w:val="00201C04"/>
    <w:rsid w:val="00201D6D"/>
    <w:rsid w:val="00203456"/>
    <w:rsid w:val="0020448B"/>
    <w:rsid w:val="00204756"/>
    <w:rsid w:val="00206339"/>
    <w:rsid w:val="00206B29"/>
    <w:rsid w:val="00210011"/>
    <w:rsid w:val="002107E9"/>
    <w:rsid w:val="00211648"/>
    <w:rsid w:val="00211F13"/>
    <w:rsid w:val="0021257C"/>
    <w:rsid w:val="00213475"/>
    <w:rsid w:val="002138F6"/>
    <w:rsid w:val="00214009"/>
    <w:rsid w:val="0021407C"/>
    <w:rsid w:val="00215A57"/>
    <w:rsid w:val="00215A9E"/>
    <w:rsid w:val="002166C9"/>
    <w:rsid w:val="00216B32"/>
    <w:rsid w:val="00216B72"/>
    <w:rsid w:val="0021799C"/>
    <w:rsid w:val="002204FD"/>
    <w:rsid w:val="002208F1"/>
    <w:rsid w:val="00220B97"/>
    <w:rsid w:val="0022107E"/>
    <w:rsid w:val="00221FA2"/>
    <w:rsid w:val="00222CCC"/>
    <w:rsid w:val="00222E1D"/>
    <w:rsid w:val="00223117"/>
    <w:rsid w:val="0022443F"/>
    <w:rsid w:val="00225181"/>
    <w:rsid w:val="002271C2"/>
    <w:rsid w:val="00227F4C"/>
    <w:rsid w:val="002329A0"/>
    <w:rsid w:val="002329FE"/>
    <w:rsid w:val="00232A30"/>
    <w:rsid w:val="00232B72"/>
    <w:rsid w:val="00232BAB"/>
    <w:rsid w:val="00234290"/>
    <w:rsid w:val="00234A0A"/>
    <w:rsid w:val="0023631B"/>
    <w:rsid w:val="00236ED5"/>
    <w:rsid w:val="00241671"/>
    <w:rsid w:val="00241A12"/>
    <w:rsid w:val="00241B57"/>
    <w:rsid w:val="00241D3C"/>
    <w:rsid w:val="00242E53"/>
    <w:rsid w:val="002430DB"/>
    <w:rsid w:val="00243A3D"/>
    <w:rsid w:val="00243A88"/>
    <w:rsid w:val="002440E1"/>
    <w:rsid w:val="00245010"/>
    <w:rsid w:val="002451CB"/>
    <w:rsid w:val="0024551A"/>
    <w:rsid w:val="002458D2"/>
    <w:rsid w:val="00246064"/>
    <w:rsid w:val="00246A6E"/>
    <w:rsid w:val="00246AAE"/>
    <w:rsid w:val="00247CDE"/>
    <w:rsid w:val="002505B8"/>
    <w:rsid w:val="00250BA9"/>
    <w:rsid w:val="00250C33"/>
    <w:rsid w:val="00250DB6"/>
    <w:rsid w:val="0025221C"/>
    <w:rsid w:val="00252295"/>
    <w:rsid w:val="00253FF4"/>
    <w:rsid w:val="002540F5"/>
    <w:rsid w:val="00254891"/>
    <w:rsid w:val="00254FCC"/>
    <w:rsid w:val="00257C6E"/>
    <w:rsid w:val="00260AE5"/>
    <w:rsid w:val="00261660"/>
    <w:rsid w:val="002617AE"/>
    <w:rsid w:val="00261D5F"/>
    <w:rsid w:val="002622F3"/>
    <w:rsid w:val="00262C01"/>
    <w:rsid w:val="0026363D"/>
    <w:rsid w:val="002649F6"/>
    <w:rsid w:val="00265240"/>
    <w:rsid w:val="00266BEC"/>
    <w:rsid w:val="00267434"/>
    <w:rsid w:val="002678DF"/>
    <w:rsid w:val="00271221"/>
    <w:rsid w:val="00274CCF"/>
    <w:rsid w:val="00275978"/>
    <w:rsid w:val="00275C30"/>
    <w:rsid w:val="00275EDE"/>
    <w:rsid w:val="00276E8A"/>
    <w:rsid w:val="0027705A"/>
    <w:rsid w:val="00280C0B"/>
    <w:rsid w:val="002811D3"/>
    <w:rsid w:val="00281DC2"/>
    <w:rsid w:val="00282538"/>
    <w:rsid w:val="00282E05"/>
    <w:rsid w:val="002831C0"/>
    <w:rsid w:val="00284319"/>
    <w:rsid w:val="0028568F"/>
    <w:rsid w:val="00291682"/>
    <w:rsid w:val="00292726"/>
    <w:rsid w:val="00293A6D"/>
    <w:rsid w:val="00293E9A"/>
    <w:rsid w:val="00293F71"/>
    <w:rsid w:val="00295713"/>
    <w:rsid w:val="0029725F"/>
    <w:rsid w:val="002972D9"/>
    <w:rsid w:val="00297546"/>
    <w:rsid w:val="002976E9"/>
    <w:rsid w:val="002A1DCB"/>
    <w:rsid w:val="002A37E6"/>
    <w:rsid w:val="002A3C51"/>
    <w:rsid w:val="002A5BAC"/>
    <w:rsid w:val="002A6F1A"/>
    <w:rsid w:val="002A6FB8"/>
    <w:rsid w:val="002A723C"/>
    <w:rsid w:val="002A794B"/>
    <w:rsid w:val="002B006D"/>
    <w:rsid w:val="002B14B4"/>
    <w:rsid w:val="002B154E"/>
    <w:rsid w:val="002B19A8"/>
    <w:rsid w:val="002B1AC6"/>
    <w:rsid w:val="002B4882"/>
    <w:rsid w:val="002B5580"/>
    <w:rsid w:val="002C01F5"/>
    <w:rsid w:val="002C151A"/>
    <w:rsid w:val="002C1805"/>
    <w:rsid w:val="002C2050"/>
    <w:rsid w:val="002C223B"/>
    <w:rsid w:val="002C279F"/>
    <w:rsid w:val="002C3EFD"/>
    <w:rsid w:val="002C5E06"/>
    <w:rsid w:val="002C794E"/>
    <w:rsid w:val="002D0151"/>
    <w:rsid w:val="002D058A"/>
    <w:rsid w:val="002D221D"/>
    <w:rsid w:val="002D389F"/>
    <w:rsid w:val="002D4017"/>
    <w:rsid w:val="002D492F"/>
    <w:rsid w:val="002D6603"/>
    <w:rsid w:val="002D707F"/>
    <w:rsid w:val="002E0519"/>
    <w:rsid w:val="002E0F27"/>
    <w:rsid w:val="002E20B1"/>
    <w:rsid w:val="002E2334"/>
    <w:rsid w:val="002E31BA"/>
    <w:rsid w:val="002E31DE"/>
    <w:rsid w:val="002E3DB7"/>
    <w:rsid w:val="002E464B"/>
    <w:rsid w:val="002E46E0"/>
    <w:rsid w:val="002E5F0A"/>
    <w:rsid w:val="002E5F82"/>
    <w:rsid w:val="002E6038"/>
    <w:rsid w:val="002E69F6"/>
    <w:rsid w:val="002E6BD6"/>
    <w:rsid w:val="002F0E86"/>
    <w:rsid w:val="002F1493"/>
    <w:rsid w:val="002F37F1"/>
    <w:rsid w:val="002F3C1C"/>
    <w:rsid w:val="002F5D79"/>
    <w:rsid w:val="002F71FC"/>
    <w:rsid w:val="0030130B"/>
    <w:rsid w:val="00301686"/>
    <w:rsid w:val="00301833"/>
    <w:rsid w:val="00303C5C"/>
    <w:rsid w:val="00304DE0"/>
    <w:rsid w:val="00305406"/>
    <w:rsid w:val="00305C04"/>
    <w:rsid w:val="0030673A"/>
    <w:rsid w:val="00306B6B"/>
    <w:rsid w:val="003113B4"/>
    <w:rsid w:val="00312159"/>
    <w:rsid w:val="00312B30"/>
    <w:rsid w:val="003140F4"/>
    <w:rsid w:val="00314753"/>
    <w:rsid w:val="00314CA6"/>
    <w:rsid w:val="0031669E"/>
    <w:rsid w:val="003166AE"/>
    <w:rsid w:val="00317821"/>
    <w:rsid w:val="003205E2"/>
    <w:rsid w:val="00320814"/>
    <w:rsid w:val="0032103F"/>
    <w:rsid w:val="00321160"/>
    <w:rsid w:val="003211AB"/>
    <w:rsid w:val="00321AAE"/>
    <w:rsid w:val="00322C5F"/>
    <w:rsid w:val="0032363E"/>
    <w:rsid w:val="00323AB5"/>
    <w:rsid w:val="00323B0B"/>
    <w:rsid w:val="00323B69"/>
    <w:rsid w:val="0032423F"/>
    <w:rsid w:val="00325FCA"/>
    <w:rsid w:val="003261FB"/>
    <w:rsid w:val="0032669A"/>
    <w:rsid w:val="003266AC"/>
    <w:rsid w:val="00327F0D"/>
    <w:rsid w:val="00330090"/>
    <w:rsid w:val="003305A6"/>
    <w:rsid w:val="00330AC2"/>
    <w:rsid w:val="0033101F"/>
    <w:rsid w:val="003317A3"/>
    <w:rsid w:val="00331866"/>
    <w:rsid w:val="003339F5"/>
    <w:rsid w:val="003340F3"/>
    <w:rsid w:val="00334F0D"/>
    <w:rsid w:val="00335B9D"/>
    <w:rsid w:val="00336F26"/>
    <w:rsid w:val="00337197"/>
    <w:rsid w:val="003373A6"/>
    <w:rsid w:val="0034006E"/>
    <w:rsid w:val="0034007C"/>
    <w:rsid w:val="003408DA"/>
    <w:rsid w:val="00340904"/>
    <w:rsid w:val="003425CC"/>
    <w:rsid w:val="00343171"/>
    <w:rsid w:val="003432F9"/>
    <w:rsid w:val="00343534"/>
    <w:rsid w:val="003438F6"/>
    <w:rsid w:val="00343D8E"/>
    <w:rsid w:val="00345E37"/>
    <w:rsid w:val="003512D6"/>
    <w:rsid w:val="00352B48"/>
    <w:rsid w:val="0035358C"/>
    <w:rsid w:val="00353D59"/>
    <w:rsid w:val="00354046"/>
    <w:rsid w:val="003549FC"/>
    <w:rsid w:val="00355D2E"/>
    <w:rsid w:val="00355D85"/>
    <w:rsid w:val="00356794"/>
    <w:rsid w:val="00356CF4"/>
    <w:rsid w:val="0036009B"/>
    <w:rsid w:val="00360246"/>
    <w:rsid w:val="00361084"/>
    <w:rsid w:val="00361826"/>
    <w:rsid w:val="00361950"/>
    <w:rsid w:val="0036233F"/>
    <w:rsid w:val="00362E2A"/>
    <w:rsid w:val="00363671"/>
    <w:rsid w:val="00363A8D"/>
    <w:rsid w:val="00363B95"/>
    <w:rsid w:val="003645BE"/>
    <w:rsid w:val="00365384"/>
    <w:rsid w:val="00367308"/>
    <w:rsid w:val="003673B6"/>
    <w:rsid w:val="0037069D"/>
    <w:rsid w:val="00370870"/>
    <w:rsid w:val="00370DF8"/>
    <w:rsid w:val="00373741"/>
    <w:rsid w:val="0037404A"/>
    <w:rsid w:val="003741D8"/>
    <w:rsid w:val="00374DFD"/>
    <w:rsid w:val="003758AD"/>
    <w:rsid w:val="00375FA5"/>
    <w:rsid w:val="00377322"/>
    <w:rsid w:val="00377D0C"/>
    <w:rsid w:val="00380206"/>
    <w:rsid w:val="00380987"/>
    <w:rsid w:val="003815F2"/>
    <w:rsid w:val="00381793"/>
    <w:rsid w:val="003821F7"/>
    <w:rsid w:val="00382322"/>
    <w:rsid w:val="003826E1"/>
    <w:rsid w:val="003830CD"/>
    <w:rsid w:val="0038482B"/>
    <w:rsid w:val="003859D9"/>
    <w:rsid w:val="00385C06"/>
    <w:rsid w:val="0038605B"/>
    <w:rsid w:val="00386C33"/>
    <w:rsid w:val="003871C1"/>
    <w:rsid w:val="003872C9"/>
    <w:rsid w:val="00387533"/>
    <w:rsid w:val="003916C4"/>
    <w:rsid w:val="0039182E"/>
    <w:rsid w:val="003927CC"/>
    <w:rsid w:val="00392DDE"/>
    <w:rsid w:val="0039500F"/>
    <w:rsid w:val="003952D3"/>
    <w:rsid w:val="00396B9E"/>
    <w:rsid w:val="00396E06"/>
    <w:rsid w:val="00397EB5"/>
    <w:rsid w:val="00397F19"/>
    <w:rsid w:val="003A01D5"/>
    <w:rsid w:val="003A073B"/>
    <w:rsid w:val="003A22E0"/>
    <w:rsid w:val="003A2EAE"/>
    <w:rsid w:val="003A4886"/>
    <w:rsid w:val="003A4DD5"/>
    <w:rsid w:val="003A4F6C"/>
    <w:rsid w:val="003A57F0"/>
    <w:rsid w:val="003B01FF"/>
    <w:rsid w:val="003B043A"/>
    <w:rsid w:val="003B119D"/>
    <w:rsid w:val="003B15BB"/>
    <w:rsid w:val="003B2BE0"/>
    <w:rsid w:val="003B2CCB"/>
    <w:rsid w:val="003B2EE6"/>
    <w:rsid w:val="003B4A52"/>
    <w:rsid w:val="003B6A9C"/>
    <w:rsid w:val="003B6C12"/>
    <w:rsid w:val="003B79B7"/>
    <w:rsid w:val="003C03F1"/>
    <w:rsid w:val="003C18E2"/>
    <w:rsid w:val="003C39F8"/>
    <w:rsid w:val="003C4382"/>
    <w:rsid w:val="003C52BA"/>
    <w:rsid w:val="003C55AE"/>
    <w:rsid w:val="003C7ACC"/>
    <w:rsid w:val="003D11D8"/>
    <w:rsid w:val="003D4156"/>
    <w:rsid w:val="003D4F99"/>
    <w:rsid w:val="003D524C"/>
    <w:rsid w:val="003D6913"/>
    <w:rsid w:val="003E0A1F"/>
    <w:rsid w:val="003E16E2"/>
    <w:rsid w:val="003E469D"/>
    <w:rsid w:val="003E4B1C"/>
    <w:rsid w:val="003E54B4"/>
    <w:rsid w:val="003E63AA"/>
    <w:rsid w:val="003E6461"/>
    <w:rsid w:val="003E6659"/>
    <w:rsid w:val="003F0A40"/>
    <w:rsid w:val="003F0A48"/>
    <w:rsid w:val="003F1610"/>
    <w:rsid w:val="003F2AE1"/>
    <w:rsid w:val="003F33B5"/>
    <w:rsid w:val="003F39A8"/>
    <w:rsid w:val="003F3B84"/>
    <w:rsid w:val="003F3E41"/>
    <w:rsid w:val="003F3F38"/>
    <w:rsid w:val="003F45EC"/>
    <w:rsid w:val="003F5046"/>
    <w:rsid w:val="003F50C9"/>
    <w:rsid w:val="003F5150"/>
    <w:rsid w:val="003F56DB"/>
    <w:rsid w:val="003F665B"/>
    <w:rsid w:val="003F7155"/>
    <w:rsid w:val="003F7504"/>
    <w:rsid w:val="003F76ED"/>
    <w:rsid w:val="00400605"/>
    <w:rsid w:val="00400B89"/>
    <w:rsid w:val="00400DD3"/>
    <w:rsid w:val="00402B0A"/>
    <w:rsid w:val="00403590"/>
    <w:rsid w:val="00403655"/>
    <w:rsid w:val="00403FF7"/>
    <w:rsid w:val="00404173"/>
    <w:rsid w:val="0040599B"/>
    <w:rsid w:val="00406F91"/>
    <w:rsid w:val="004072AB"/>
    <w:rsid w:val="00410A19"/>
    <w:rsid w:val="00410F9B"/>
    <w:rsid w:val="00414477"/>
    <w:rsid w:val="0041616A"/>
    <w:rsid w:val="004166D8"/>
    <w:rsid w:val="00417017"/>
    <w:rsid w:val="00420A01"/>
    <w:rsid w:val="00422125"/>
    <w:rsid w:val="00422306"/>
    <w:rsid w:val="004238F0"/>
    <w:rsid w:val="00423D96"/>
    <w:rsid w:val="004248CD"/>
    <w:rsid w:val="00424BA9"/>
    <w:rsid w:val="0042521B"/>
    <w:rsid w:val="00425488"/>
    <w:rsid w:val="00426D23"/>
    <w:rsid w:val="0042702C"/>
    <w:rsid w:val="004322CB"/>
    <w:rsid w:val="004339A7"/>
    <w:rsid w:val="0043406A"/>
    <w:rsid w:val="004344B5"/>
    <w:rsid w:val="0043555F"/>
    <w:rsid w:val="0043566E"/>
    <w:rsid w:val="004357F9"/>
    <w:rsid w:val="00436152"/>
    <w:rsid w:val="00436896"/>
    <w:rsid w:val="00436F57"/>
    <w:rsid w:val="004373D2"/>
    <w:rsid w:val="0044040E"/>
    <w:rsid w:val="004405CF"/>
    <w:rsid w:val="00441BD3"/>
    <w:rsid w:val="00443BF7"/>
    <w:rsid w:val="00444788"/>
    <w:rsid w:val="00445D7C"/>
    <w:rsid w:val="004462E1"/>
    <w:rsid w:val="004472D5"/>
    <w:rsid w:val="00447671"/>
    <w:rsid w:val="00447877"/>
    <w:rsid w:val="004500F0"/>
    <w:rsid w:val="004501B1"/>
    <w:rsid w:val="004517C9"/>
    <w:rsid w:val="00452048"/>
    <w:rsid w:val="00452068"/>
    <w:rsid w:val="004522E2"/>
    <w:rsid w:val="00454386"/>
    <w:rsid w:val="00454AAC"/>
    <w:rsid w:val="004550F0"/>
    <w:rsid w:val="00456497"/>
    <w:rsid w:val="00456993"/>
    <w:rsid w:val="00457374"/>
    <w:rsid w:val="004602FE"/>
    <w:rsid w:val="00460AEC"/>
    <w:rsid w:val="00460F21"/>
    <w:rsid w:val="004619EC"/>
    <w:rsid w:val="00461B6E"/>
    <w:rsid w:val="00463408"/>
    <w:rsid w:val="00463756"/>
    <w:rsid w:val="004637F4"/>
    <w:rsid w:val="004642E6"/>
    <w:rsid w:val="00465F5A"/>
    <w:rsid w:val="00467EC2"/>
    <w:rsid w:val="00471EF6"/>
    <w:rsid w:val="00473381"/>
    <w:rsid w:val="004733CD"/>
    <w:rsid w:val="00474312"/>
    <w:rsid w:val="0047456A"/>
    <w:rsid w:val="004755D7"/>
    <w:rsid w:val="00475F90"/>
    <w:rsid w:val="00475FFD"/>
    <w:rsid w:val="004766CA"/>
    <w:rsid w:val="00477233"/>
    <w:rsid w:val="004800B2"/>
    <w:rsid w:val="00480894"/>
    <w:rsid w:val="00481748"/>
    <w:rsid w:val="00481D90"/>
    <w:rsid w:val="00482C7C"/>
    <w:rsid w:val="00483FB2"/>
    <w:rsid w:val="0048430D"/>
    <w:rsid w:val="004849AB"/>
    <w:rsid w:val="00485C57"/>
    <w:rsid w:val="00485C87"/>
    <w:rsid w:val="00486E2B"/>
    <w:rsid w:val="00487350"/>
    <w:rsid w:val="004877D1"/>
    <w:rsid w:val="00487BD8"/>
    <w:rsid w:val="00487EE9"/>
    <w:rsid w:val="00491002"/>
    <w:rsid w:val="00491496"/>
    <w:rsid w:val="004920A1"/>
    <w:rsid w:val="00492289"/>
    <w:rsid w:val="00495765"/>
    <w:rsid w:val="00495DC2"/>
    <w:rsid w:val="00495E6C"/>
    <w:rsid w:val="00496980"/>
    <w:rsid w:val="00497111"/>
    <w:rsid w:val="0049756B"/>
    <w:rsid w:val="00497A60"/>
    <w:rsid w:val="004A0B1F"/>
    <w:rsid w:val="004A0FBE"/>
    <w:rsid w:val="004A256E"/>
    <w:rsid w:val="004A3E65"/>
    <w:rsid w:val="004A4022"/>
    <w:rsid w:val="004A4E3A"/>
    <w:rsid w:val="004A647C"/>
    <w:rsid w:val="004A7C44"/>
    <w:rsid w:val="004B170B"/>
    <w:rsid w:val="004B3B4A"/>
    <w:rsid w:val="004B3EC3"/>
    <w:rsid w:val="004B4DBC"/>
    <w:rsid w:val="004B5380"/>
    <w:rsid w:val="004B5512"/>
    <w:rsid w:val="004B564C"/>
    <w:rsid w:val="004B5A0E"/>
    <w:rsid w:val="004B67F9"/>
    <w:rsid w:val="004B762E"/>
    <w:rsid w:val="004B7C89"/>
    <w:rsid w:val="004B7F44"/>
    <w:rsid w:val="004C046F"/>
    <w:rsid w:val="004C0929"/>
    <w:rsid w:val="004C12FB"/>
    <w:rsid w:val="004C1A70"/>
    <w:rsid w:val="004C3DBD"/>
    <w:rsid w:val="004C4307"/>
    <w:rsid w:val="004C5BE4"/>
    <w:rsid w:val="004C5C7B"/>
    <w:rsid w:val="004C5D24"/>
    <w:rsid w:val="004C5F39"/>
    <w:rsid w:val="004D01F5"/>
    <w:rsid w:val="004D0C77"/>
    <w:rsid w:val="004D18DE"/>
    <w:rsid w:val="004D1A4E"/>
    <w:rsid w:val="004D1F90"/>
    <w:rsid w:val="004D2367"/>
    <w:rsid w:val="004D2F25"/>
    <w:rsid w:val="004D30C7"/>
    <w:rsid w:val="004D545D"/>
    <w:rsid w:val="004D5633"/>
    <w:rsid w:val="004D6206"/>
    <w:rsid w:val="004D6530"/>
    <w:rsid w:val="004E007F"/>
    <w:rsid w:val="004E027D"/>
    <w:rsid w:val="004E084D"/>
    <w:rsid w:val="004E19D6"/>
    <w:rsid w:val="004E31D2"/>
    <w:rsid w:val="004E32DA"/>
    <w:rsid w:val="004E6425"/>
    <w:rsid w:val="004E6896"/>
    <w:rsid w:val="004E6A89"/>
    <w:rsid w:val="004E6BB2"/>
    <w:rsid w:val="004E77FE"/>
    <w:rsid w:val="004E7BAD"/>
    <w:rsid w:val="004F0AC9"/>
    <w:rsid w:val="004F24CE"/>
    <w:rsid w:val="004F2C3A"/>
    <w:rsid w:val="004F3346"/>
    <w:rsid w:val="004F5448"/>
    <w:rsid w:val="004F5E79"/>
    <w:rsid w:val="004F60C1"/>
    <w:rsid w:val="004F65E0"/>
    <w:rsid w:val="004F72EE"/>
    <w:rsid w:val="004F7BB9"/>
    <w:rsid w:val="00503020"/>
    <w:rsid w:val="00503983"/>
    <w:rsid w:val="005069FD"/>
    <w:rsid w:val="00506E2B"/>
    <w:rsid w:val="005102EF"/>
    <w:rsid w:val="00511168"/>
    <w:rsid w:val="00511896"/>
    <w:rsid w:val="00511D45"/>
    <w:rsid w:val="005125F2"/>
    <w:rsid w:val="00512FD1"/>
    <w:rsid w:val="00513537"/>
    <w:rsid w:val="00514A3A"/>
    <w:rsid w:val="00515F8E"/>
    <w:rsid w:val="005164A4"/>
    <w:rsid w:val="00516666"/>
    <w:rsid w:val="00516F0C"/>
    <w:rsid w:val="005179DF"/>
    <w:rsid w:val="005242FD"/>
    <w:rsid w:val="0052500F"/>
    <w:rsid w:val="005260EF"/>
    <w:rsid w:val="005265FD"/>
    <w:rsid w:val="00526695"/>
    <w:rsid w:val="00526898"/>
    <w:rsid w:val="0053007C"/>
    <w:rsid w:val="00530253"/>
    <w:rsid w:val="005309AC"/>
    <w:rsid w:val="00530CE9"/>
    <w:rsid w:val="00530ECD"/>
    <w:rsid w:val="00531A0E"/>
    <w:rsid w:val="00532171"/>
    <w:rsid w:val="0053279B"/>
    <w:rsid w:val="005332C7"/>
    <w:rsid w:val="00533BF6"/>
    <w:rsid w:val="00533C5C"/>
    <w:rsid w:val="00533D18"/>
    <w:rsid w:val="00534974"/>
    <w:rsid w:val="00537561"/>
    <w:rsid w:val="0054053C"/>
    <w:rsid w:val="0054063F"/>
    <w:rsid w:val="00540769"/>
    <w:rsid w:val="00542367"/>
    <w:rsid w:val="00542CB2"/>
    <w:rsid w:val="005438AE"/>
    <w:rsid w:val="005450B5"/>
    <w:rsid w:val="00545406"/>
    <w:rsid w:val="00546E71"/>
    <w:rsid w:val="005477D6"/>
    <w:rsid w:val="005501DF"/>
    <w:rsid w:val="00550361"/>
    <w:rsid w:val="00550394"/>
    <w:rsid w:val="00550AB4"/>
    <w:rsid w:val="00550AE3"/>
    <w:rsid w:val="005512E7"/>
    <w:rsid w:val="005526E2"/>
    <w:rsid w:val="00552A24"/>
    <w:rsid w:val="00553356"/>
    <w:rsid w:val="005535B2"/>
    <w:rsid w:val="00553979"/>
    <w:rsid w:val="00555C11"/>
    <w:rsid w:val="00555D48"/>
    <w:rsid w:val="00555F6D"/>
    <w:rsid w:val="00556BCC"/>
    <w:rsid w:val="00556E45"/>
    <w:rsid w:val="00557650"/>
    <w:rsid w:val="00560534"/>
    <w:rsid w:val="0056077E"/>
    <w:rsid w:val="00562BDF"/>
    <w:rsid w:val="00562C18"/>
    <w:rsid w:val="00562DD8"/>
    <w:rsid w:val="00563E07"/>
    <w:rsid w:val="00563ED5"/>
    <w:rsid w:val="00564F0D"/>
    <w:rsid w:val="005659CB"/>
    <w:rsid w:val="0056667F"/>
    <w:rsid w:val="00566E53"/>
    <w:rsid w:val="00567EAB"/>
    <w:rsid w:val="005724EF"/>
    <w:rsid w:val="00572A4E"/>
    <w:rsid w:val="00573580"/>
    <w:rsid w:val="0057459A"/>
    <w:rsid w:val="0057494B"/>
    <w:rsid w:val="005754BF"/>
    <w:rsid w:val="00576889"/>
    <w:rsid w:val="00577776"/>
    <w:rsid w:val="00577A6F"/>
    <w:rsid w:val="005800CC"/>
    <w:rsid w:val="005800F0"/>
    <w:rsid w:val="00581965"/>
    <w:rsid w:val="00582AB3"/>
    <w:rsid w:val="00585F71"/>
    <w:rsid w:val="00586430"/>
    <w:rsid w:val="005908A5"/>
    <w:rsid w:val="00590B9E"/>
    <w:rsid w:val="00591379"/>
    <w:rsid w:val="00591D66"/>
    <w:rsid w:val="00591E06"/>
    <w:rsid w:val="0059384C"/>
    <w:rsid w:val="00593953"/>
    <w:rsid w:val="00594B6F"/>
    <w:rsid w:val="0059508C"/>
    <w:rsid w:val="00595139"/>
    <w:rsid w:val="005958E6"/>
    <w:rsid w:val="00596033"/>
    <w:rsid w:val="005A05A2"/>
    <w:rsid w:val="005A0F2D"/>
    <w:rsid w:val="005A1022"/>
    <w:rsid w:val="005A19A2"/>
    <w:rsid w:val="005A2CA3"/>
    <w:rsid w:val="005A359E"/>
    <w:rsid w:val="005A4222"/>
    <w:rsid w:val="005A498B"/>
    <w:rsid w:val="005A5028"/>
    <w:rsid w:val="005A5F44"/>
    <w:rsid w:val="005A7A09"/>
    <w:rsid w:val="005B0B22"/>
    <w:rsid w:val="005B1620"/>
    <w:rsid w:val="005B1748"/>
    <w:rsid w:val="005B17C0"/>
    <w:rsid w:val="005B1A34"/>
    <w:rsid w:val="005B2E87"/>
    <w:rsid w:val="005B336E"/>
    <w:rsid w:val="005B667B"/>
    <w:rsid w:val="005B79C5"/>
    <w:rsid w:val="005C0BC4"/>
    <w:rsid w:val="005C11FD"/>
    <w:rsid w:val="005C121E"/>
    <w:rsid w:val="005C18E4"/>
    <w:rsid w:val="005C354B"/>
    <w:rsid w:val="005C5A1C"/>
    <w:rsid w:val="005C6985"/>
    <w:rsid w:val="005C705F"/>
    <w:rsid w:val="005C7255"/>
    <w:rsid w:val="005C7930"/>
    <w:rsid w:val="005C7DA3"/>
    <w:rsid w:val="005D0A61"/>
    <w:rsid w:val="005D21A2"/>
    <w:rsid w:val="005D28B6"/>
    <w:rsid w:val="005D2AC4"/>
    <w:rsid w:val="005D3B1E"/>
    <w:rsid w:val="005D3B47"/>
    <w:rsid w:val="005D6058"/>
    <w:rsid w:val="005E04DD"/>
    <w:rsid w:val="005E14FC"/>
    <w:rsid w:val="005E186B"/>
    <w:rsid w:val="005E1BA6"/>
    <w:rsid w:val="005E225C"/>
    <w:rsid w:val="005E2893"/>
    <w:rsid w:val="005E357E"/>
    <w:rsid w:val="005E417A"/>
    <w:rsid w:val="005E475C"/>
    <w:rsid w:val="005E5AA0"/>
    <w:rsid w:val="005E64CC"/>
    <w:rsid w:val="005E75C9"/>
    <w:rsid w:val="005F02CB"/>
    <w:rsid w:val="005F12AE"/>
    <w:rsid w:val="005F1DC5"/>
    <w:rsid w:val="005F3262"/>
    <w:rsid w:val="005F326A"/>
    <w:rsid w:val="005F3937"/>
    <w:rsid w:val="005F4B66"/>
    <w:rsid w:val="005F50EA"/>
    <w:rsid w:val="005F5ACC"/>
    <w:rsid w:val="005F6889"/>
    <w:rsid w:val="005F6B67"/>
    <w:rsid w:val="005F7E33"/>
    <w:rsid w:val="0060167A"/>
    <w:rsid w:val="00602AEC"/>
    <w:rsid w:val="006059B5"/>
    <w:rsid w:val="0060653B"/>
    <w:rsid w:val="006068CD"/>
    <w:rsid w:val="00610661"/>
    <w:rsid w:val="006108C7"/>
    <w:rsid w:val="00610CE4"/>
    <w:rsid w:val="006114CF"/>
    <w:rsid w:val="00611D30"/>
    <w:rsid w:val="0061263E"/>
    <w:rsid w:val="00612A41"/>
    <w:rsid w:val="006130CA"/>
    <w:rsid w:val="0061478A"/>
    <w:rsid w:val="00614F73"/>
    <w:rsid w:val="00616305"/>
    <w:rsid w:val="00616A23"/>
    <w:rsid w:val="00616E8D"/>
    <w:rsid w:val="0061747D"/>
    <w:rsid w:val="00620A8C"/>
    <w:rsid w:val="006213B5"/>
    <w:rsid w:val="00622A65"/>
    <w:rsid w:val="0062376E"/>
    <w:rsid w:val="00623D16"/>
    <w:rsid w:val="00624DD2"/>
    <w:rsid w:val="0062677C"/>
    <w:rsid w:val="006269FD"/>
    <w:rsid w:val="00626C7B"/>
    <w:rsid w:val="00627359"/>
    <w:rsid w:val="00627474"/>
    <w:rsid w:val="0063020A"/>
    <w:rsid w:val="00630EA1"/>
    <w:rsid w:val="00631340"/>
    <w:rsid w:val="00632EA7"/>
    <w:rsid w:val="006340AE"/>
    <w:rsid w:val="00634D78"/>
    <w:rsid w:val="00634E96"/>
    <w:rsid w:val="006358C4"/>
    <w:rsid w:val="00637D03"/>
    <w:rsid w:val="006401EF"/>
    <w:rsid w:val="00641DA4"/>
    <w:rsid w:val="00642909"/>
    <w:rsid w:val="006430D4"/>
    <w:rsid w:val="0064341C"/>
    <w:rsid w:val="00643691"/>
    <w:rsid w:val="00643E15"/>
    <w:rsid w:val="00643F27"/>
    <w:rsid w:val="00644200"/>
    <w:rsid w:val="00644D26"/>
    <w:rsid w:val="00645221"/>
    <w:rsid w:val="006453F3"/>
    <w:rsid w:val="00646E1F"/>
    <w:rsid w:val="0064727E"/>
    <w:rsid w:val="00651E42"/>
    <w:rsid w:val="00652704"/>
    <w:rsid w:val="00652731"/>
    <w:rsid w:val="006532D2"/>
    <w:rsid w:val="00653E68"/>
    <w:rsid w:val="006547A5"/>
    <w:rsid w:val="00655755"/>
    <w:rsid w:val="006570E6"/>
    <w:rsid w:val="006609B7"/>
    <w:rsid w:val="0066195F"/>
    <w:rsid w:val="00661D5D"/>
    <w:rsid w:val="00662215"/>
    <w:rsid w:val="0066300B"/>
    <w:rsid w:val="00664AD9"/>
    <w:rsid w:val="006651A4"/>
    <w:rsid w:val="006651C1"/>
    <w:rsid w:val="006654FB"/>
    <w:rsid w:val="00666742"/>
    <w:rsid w:val="006708B9"/>
    <w:rsid w:val="00671A1A"/>
    <w:rsid w:val="006723E5"/>
    <w:rsid w:val="006723F3"/>
    <w:rsid w:val="00672721"/>
    <w:rsid w:val="00672DCC"/>
    <w:rsid w:val="006765B1"/>
    <w:rsid w:val="00676995"/>
    <w:rsid w:val="00676AE8"/>
    <w:rsid w:val="006770BE"/>
    <w:rsid w:val="00680873"/>
    <w:rsid w:val="0068166F"/>
    <w:rsid w:val="006818A9"/>
    <w:rsid w:val="00681E4A"/>
    <w:rsid w:val="00682AC8"/>
    <w:rsid w:val="00682BE3"/>
    <w:rsid w:val="00683253"/>
    <w:rsid w:val="006847BF"/>
    <w:rsid w:val="00685943"/>
    <w:rsid w:val="00685F5A"/>
    <w:rsid w:val="00686E4A"/>
    <w:rsid w:val="0068738E"/>
    <w:rsid w:val="006902B1"/>
    <w:rsid w:val="0069060D"/>
    <w:rsid w:val="00690849"/>
    <w:rsid w:val="0069088A"/>
    <w:rsid w:val="00690BED"/>
    <w:rsid w:val="00690E36"/>
    <w:rsid w:val="00691084"/>
    <w:rsid w:val="00693EAD"/>
    <w:rsid w:val="006943D5"/>
    <w:rsid w:val="006952AA"/>
    <w:rsid w:val="0069557F"/>
    <w:rsid w:val="006978C3"/>
    <w:rsid w:val="00697E52"/>
    <w:rsid w:val="006A0550"/>
    <w:rsid w:val="006A0875"/>
    <w:rsid w:val="006A2388"/>
    <w:rsid w:val="006A2462"/>
    <w:rsid w:val="006A2DA7"/>
    <w:rsid w:val="006A33EE"/>
    <w:rsid w:val="006A3800"/>
    <w:rsid w:val="006A4D57"/>
    <w:rsid w:val="006A61FF"/>
    <w:rsid w:val="006A6EB5"/>
    <w:rsid w:val="006A73A9"/>
    <w:rsid w:val="006A7790"/>
    <w:rsid w:val="006B0848"/>
    <w:rsid w:val="006B2221"/>
    <w:rsid w:val="006B30FF"/>
    <w:rsid w:val="006B3AB5"/>
    <w:rsid w:val="006B3FE6"/>
    <w:rsid w:val="006B49BF"/>
    <w:rsid w:val="006B630A"/>
    <w:rsid w:val="006B661C"/>
    <w:rsid w:val="006B7E95"/>
    <w:rsid w:val="006C351C"/>
    <w:rsid w:val="006C3E4A"/>
    <w:rsid w:val="006C4A86"/>
    <w:rsid w:val="006C4B98"/>
    <w:rsid w:val="006C588E"/>
    <w:rsid w:val="006C5D96"/>
    <w:rsid w:val="006D0108"/>
    <w:rsid w:val="006D10A8"/>
    <w:rsid w:val="006D2432"/>
    <w:rsid w:val="006D27F7"/>
    <w:rsid w:val="006D2CFC"/>
    <w:rsid w:val="006D3079"/>
    <w:rsid w:val="006D5239"/>
    <w:rsid w:val="006D524E"/>
    <w:rsid w:val="006D553C"/>
    <w:rsid w:val="006D5C0E"/>
    <w:rsid w:val="006D7690"/>
    <w:rsid w:val="006E0676"/>
    <w:rsid w:val="006E1371"/>
    <w:rsid w:val="006E177F"/>
    <w:rsid w:val="006E1807"/>
    <w:rsid w:val="006E310B"/>
    <w:rsid w:val="006E3173"/>
    <w:rsid w:val="006E3F10"/>
    <w:rsid w:val="006E48A0"/>
    <w:rsid w:val="006E4F1B"/>
    <w:rsid w:val="006E7133"/>
    <w:rsid w:val="006E7454"/>
    <w:rsid w:val="006F032E"/>
    <w:rsid w:val="006F0A67"/>
    <w:rsid w:val="006F0BD0"/>
    <w:rsid w:val="006F0C8B"/>
    <w:rsid w:val="006F132E"/>
    <w:rsid w:val="006F276D"/>
    <w:rsid w:val="006F5502"/>
    <w:rsid w:val="006F7AB6"/>
    <w:rsid w:val="006F7ECF"/>
    <w:rsid w:val="00700E6C"/>
    <w:rsid w:val="00701860"/>
    <w:rsid w:val="00701D28"/>
    <w:rsid w:val="00702175"/>
    <w:rsid w:val="0070412F"/>
    <w:rsid w:val="00706001"/>
    <w:rsid w:val="00706150"/>
    <w:rsid w:val="00706354"/>
    <w:rsid w:val="007066EF"/>
    <w:rsid w:val="007073C7"/>
    <w:rsid w:val="007101E6"/>
    <w:rsid w:val="00710322"/>
    <w:rsid w:val="00711382"/>
    <w:rsid w:val="00712430"/>
    <w:rsid w:val="00713172"/>
    <w:rsid w:val="00713F95"/>
    <w:rsid w:val="0071433E"/>
    <w:rsid w:val="00714E8A"/>
    <w:rsid w:val="00715B90"/>
    <w:rsid w:val="00720B47"/>
    <w:rsid w:val="00720D78"/>
    <w:rsid w:val="00720E9D"/>
    <w:rsid w:val="00721229"/>
    <w:rsid w:val="00721596"/>
    <w:rsid w:val="00721A0D"/>
    <w:rsid w:val="00721DBB"/>
    <w:rsid w:val="00722651"/>
    <w:rsid w:val="00725045"/>
    <w:rsid w:val="00725D33"/>
    <w:rsid w:val="0072685B"/>
    <w:rsid w:val="00727B8A"/>
    <w:rsid w:val="00730128"/>
    <w:rsid w:val="00731067"/>
    <w:rsid w:val="007320BD"/>
    <w:rsid w:val="0073448D"/>
    <w:rsid w:val="00734BCC"/>
    <w:rsid w:val="00734F56"/>
    <w:rsid w:val="00735F6C"/>
    <w:rsid w:val="0073749A"/>
    <w:rsid w:val="00737B25"/>
    <w:rsid w:val="007415C7"/>
    <w:rsid w:val="007424F1"/>
    <w:rsid w:val="00742DA2"/>
    <w:rsid w:val="00743080"/>
    <w:rsid w:val="00743943"/>
    <w:rsid w:val="00743D1C"/>
    <w:rsid w:val="00743EE4"/>
    <w:rsid w:val="00745765"/>
    <w:rsid w:val="007460D9"/>
    <w:rsid w:val="0074655E"/>
    <w:rsid w:val="0074706A"/>
    <w:rsid w:val="007474DD"/>
    <w:rsid w:val="00750827"/>
    <w:rsid w:val="00750EF4"/>
    <w:rsid w:val="0075181C"/>
    <w:rsid w:val="00751F36"/>
    <w:rsid w:val="00752D24"/>
    <w:rsid w:val="007534C3"/>
    <w:rsid w:val="00753727"/>
    <w:rsid w:val="00753C46"/>
    <w:rsid w:val="00753F6E"/>
    <w:rsid w:val="0075520E"/>
    <w:rsid w:val="00756037"/>
    <w:rsid w:val="0075666F"/>
    <w:rsid w:val="00757988"/>
    <w:rsid w:val="00760786"/>
    <w:rsid w:val="00760FD6"/>
    <w:rsid w:val="00761021"/>
    <w:rsid w:val="00761804"/>
    <w:rsid w:val="00761C53"/>
    <w:rsid w:val="00762553"/>
    <w:rsid w:val="00764322"/>
    <w:rsid w:val="007646D8"/>
    <w:rsid w:val="00765817"/>
    <w:rsid w:val="00765976"/>
    <w:rsid w:val="00765AF1"/>
    <w:rsid w:val="00766F2E"/>
    <w:rsid w:val="0076705A"/>
    <w:rsid w:val="007676CA"/>
    <w:rsid w:val="00772132"/>
    <w:rsid w:val="00774AE4"/>
    <w:rsid w:val="0077739E"/>
    <w:rsid w:val="007773D7"/>
    <w:rsid w:val="0077766D"/>
    <w:rsid w:val="0077779E"/>
    <w:rsid w:val="007803EF"/>
    <w:rsid w:val="00780D07"/>
    <w:rsid w:val="00781667"/>
    <w:rsid w:val="00781897"/>
    <w:rsid w:val="0078245E"/>
    <w:rsid w:val="007826C0"/>
    <w:rsid w:val="00783C7C"/>
    <w:rsid w:val="00784581"/>
    <w:rsid w:val="00785739"/>
    <w:rsid w:val="0078684E"/>
    <w:rsid w:val="007869E0"/>
    <w:rsid w:val="007879BE"/>
    <w:rsid w:val="00790F60"/>
    <w:rsid w:val="00791FCC"/>
    <w:rsid w:val="007926C2"/>
    <w:rsid w:val="00792B4A"/>
    <w:rsid w:val="007932A1"/>
    <w:rsid w:val="0079569D"/>
    <w:rsid w:val="00795A8C"/>
    <w:rsid w:val="007974E9"/>
    <w:rsid w:val="00797679"/>
    <w:rsid w:val="00797A86"/>
    <w:rsid w:val="007A0552"/>
    <w:rsid w:val="007A0C2C"/>
    <w:rsid w:val="007A1BAD"/>
    <w:rsid w:val="007A2679"/>
    <w:rsid w:val="007A39AC"/>
    <w:rsid w:val="007A4192"/>
    <w:rsid w:val="007A4194"/>
    <w:rsid w:val="007A47EB"/>
    <w:rsid w:val="007A5A5F"/>
    <w:rsid w:val="007A5D25"/>
    <w:rsid w:val="007A68EA"/>
    <w:rsid w:val="007A7C2B"/>
    <w:rsid w:val="007B02A0"/>
    <w:rsid w:val="007B11AD"/>
    <w:rsid w:val="007B12D1"/>
    <w:rsid w:val="007B1B75"/>
    <w:rsid w:val="007B1F6E"/>
    <w:rsid w:val="007B20C6"/>
    <w:rsid w:val="007B3C20"/>
    <w:rsid w:val="007B421E"/>
    <w:rsid w:val="007B51F6"/>
    <w:rsid w:val="007B5AC0"/>
    <w:rsid w:val="007B5CAB"/>
    <w:rsid w:val="007B5E96"/>
    <w:rsid w:val="007B6957"/>
    <w:rsid w:val="007B6A08"/>
    <w:rsid w:val="007B6AA8"/>
    <w:rsid w:val="007C073C"/>
    <w:rsid w:val="007C0CC9"/>
    <w:rsid w:val="007C25CB"/>
    <w:rsid w:val="007C2EFC"/>
    <w:rsid w:val="007C3128"/>
    <w:rsid w:val="007C333A"/>
    <w:rsid w:val="007C44A6"/>
    <w:rsid w:val="007C4BE3"/>
    <w:rsid w:val="007C4BFA"/>
    <w:rsid w:val="007C6A82"/>
    <w:rsid w:val="007C71E6"/>
    <w:rsid w:val="007C76B6"/>
    <w:rsid w:val="007D18DB"/>
    <w:rsid w:val="007D21F7"/>
    <w:rsid w:val="007D2EBC"/>
    <w:rsid w:val="007D3466"/>
    <w:rsid w:val="007D386A"/>
    <w:rsid w:val="007D5310"/>
    <w:rsid w:val="007D5B1E"/>
    <w:rsid w:val="007E0479"/>
    <w:rsid w:val="007E0A23"/>
    <w:rsid w:val="007E31A7"/>
    <w:rsid w:val="007E3B29"/>
    <w:rsid w:val="007E4A94"/>
    <w:rsid w:val="007E5D24"/>
    <w:rsid w:val="007E5F26"/>
    <w:rsid w:val="007E663A"/>
    <w:rsid w:val="007E6A4D"/>
    <w:rsid w:val="007F09A8"/>
    <w:rsid w:val="007F13CB"/>
    <w:rsid w:val="007F1C30"/>
    <w:rsid w:val="007F22B6"/>
    <w:rsid w:val="007F2578"/>
    <w:rsid w:val="007F27E4"/>
    <w:rsid w:val="007F3001"/>
    <w:rsid w:val="007F3456"/>
    <w:rsid w:val="007F3EA3"/>
    <w:rsid w:val="007F4201"/>
    <w:rsid w:val="007F46C9"/>
    <w:rsid w:val="007F5086"/>
    <w:rsid w:val="007F5AA0"/>
    <w:rsid w:val="007F5C1E"/>
    <w:rsid w:val="007F6313"/>
    <w:rsid w:val="007F7338"/>
    <w:rsid w:val="007F7934"/>
    <w:rsid w:val="007F7E12"/>
    <w:rsid w:val="007F7EFA"/>
    <w:rsid w:val="0080063C"/>
    <w:rsid w:val="00801447"/>
    <w:rsid w:val="00802668"/>
    <w:rsid w:val="00803393"/>
    <w:rsid w:val="00803E7E"/>
    <w:rsid w:val="0080471F"/>
    <w:rsid w:val="00805262"/>
    <w:rsid w:val="00805CA7"/>
    <w:rsid w:val="00807247"/>
    <w:rsid w:val="008077B4"/>
    <w:rsid w:val="00810B55"/>
    <w:rsid w:val="00810CBC"/>
    <w:rsid w:val="0081155A"/>
    <w:rsid w:val="00812CE2"/>
    <w:rsid w:val="00812DFD"/>
    <w:rsid w:val="00813492"/>
    <w:rsid w:val="0081349B"/>
    <w:rsid w:val="008145D5"/>
    <w:rsid w:val="00814C6A"/>
    <w:rsid w:val="00814D36"/>
    <w:rsid w:val="00817675"/>
    <w:rsid w:val="00822D00"/>
    <w:rsid w:val="00823C02"/>
    <w:rsid w:val="00824A1F"/>
    <w:rsid w:val="00825761"/>
    <w:rsid w:val="0082586C"/>
    <w:rsid w:val="008258F2"/>
    <w:rsid w:val="00825F95"/>
    <w:rsid w:val="00826B80"/>
    <w:rsid w:val="00827D97"/>
    <w:rsid w:val="00830648"/>
    <w:rsid w:val="0083192F"/>
    <w:rsid w:val="00831A22"/>
    <w:rsid w:val="008338A4"/>
    <w:rsid w:val="00834877"/>
    <w:rsid w:val="00834F9A"/>
    <w:rsid w:val="008351BB"/>
    <w:rsid w:val="00836706"/>
    <w:rsid w:val="00836902"/>
    <w:rsid w:val="00836B06"/>
    <w:rsid w:val="00836CAF"/>
    <w:rsid w:val="00837877"/>
    <w:rsid w:val="00840002"/>
    <w:rsid w:val="00841177"/>
    <w:rsid w:val="0084139D"/>
    <w:rsid w:val="008415D7"/>
    <w:rsid w:val="00841737"/>
    <w:rsid w:val="00841D9F"/>
    <w:rsid w:val="00842160"/>
    <w:rsid w:val="00843182"/>
    <w:rsid w:val="008433C0"/>
    <w:rsid w:val="00843440"/>
    <w:rsid w:val="00843A66"/>
    <w:rsid w:val="00844A2D"/>
    <w:rsid w:val="008457B1"/>
    <w:rsid w:val="00845F8F"/>
    <w:rsid w:val="00846102"/>
    <w:rsid w:val="008472D2"/>
    <w:rsid w:val="00850AC0"/>
    <w:rsid w:val="008519D0"/>
    <w:rsid w:val="00851E34"/>
    <w:rsid w:val="00851F46"/>
    <w:rsid w:val="00852CBF"/>
    <w:rsid w:val="00853C08"/>
    <w:rsid w:val="00853C56"/>
    <w:rsid w:val="00854435"/>
    <w:rsid w:val="008550E1"/>
    <w:rsid w:val="00855201"/>
    <w:rsid w:val="0085527C"/>
    <w:rsid w:val="008574AE"/>
    <w:rsid w:val="008578A3"/>
    <w:rsid w:val="00861044"/>
    <w:rsid w:val="00861863"/>
    <w:rsid w:val="00862BA1"/>
    <w:rsid w:val="008652E7"/>
    <w:rsid w:val="008654E9"/>
    <w:rsid w:val="00865876"/>
    <w:rsid w:val="00865C36"/>
    <w:rsid w:val="00867368"/>
    <w:rsid w:val="00871C4B"/>
    <w:rsid w:val="00872A9F"/>
    <w:rsid w:val="0087335D"/>
    <w:rsid w:val="00874240"/>
    <w:rsid w:val="00874680"/>
    <w:rsid w:val="00874B35"/>
    <w:rsid w:val="00874CA8"/>
    <w:rsid w:val="00874FEA"/>
    <w:rsid w:val="0088065A"/>
    <w:rsid w:val="00880EB1"/>
    <w:rsid w:val="0088119B"/>
    <w:rsid w:val="00881950"/>
    <w:rsid w:val="00881DA4"/>
    <w:rsid w:val="008842F4"/>
    <w:rsid w:val="00884B77"/>
    <w:rsid w:val="008854EE"/>
    <w:rsid w:val="00885791"/>
    <w:rsid w:val="00885B1F"/>
    <w:rsid w:val="00885D57"/>
    <w:rsid w:val="00886042"/>
    <w:rsid w:val="00886D66"/>
    <w:rsid w:val="00890FF8"/>
    <w:rsid w:val="0089169A"/>
    <w:rsid w:val="00892949"/>
    <w:rsid w:val="00892CB8"/>
    <w:rsid w:val="008935A8"/>
    <w:rsid w:val="00893C71"/>
    <w:rsid w:val="00893CC7"/>
    <w:rsid w:val="00895A63"/>
    <w:rsid w:val="008968B7"/>
    <w:rsid w:val="00897370"/>
    <w:rsid w:val="008A1D93"/>
    <w:rsid w:val="008A23C3"/>
    <w:rsid w:val="008A2F21"/>
    <w:rsid w:val="008A396B"/>
    <w:rsid w:val="008A3E1D"/>
    <w:rsid w:val="008A424E"/>
    <w:rsid w:val="008A4A71"/>
    <w:rsid w:val="008A4D53"/>
    <w:rsid w:val="008A56B9"/>
    <w:rsid w:val="008A5A0A"/>
    <w:rsid w:val="008A6EA5"/>
    <w:rsid w:val="008A71F5"/>
    <w:rsid w:val="008A7852"/>
    <w:rsid w:val="008B1633"/>
    <w:rsid w:val="008B2247"/>
    <w:rsid w:val="008B2C74"/>
    <w:rsid w:val="008B2DA6"/>
    <w:rsid w:val="008B2F55"/>
    <w:rsid w:val="008B351B"/>
    <w:rsid w:val="008B5046"/>
    <w:rsid w:val="008B53AA"/>
    <w:rsid w:val="008B5D3A"/>
    <w:rsid w:val="008B6DA1"/>
    <w:rsid w:val="008B79D2"/>
    <w:rsid w:val="008C0143"/>
    <w:rsid w:val="008C02DB"/>
    <w:rsid w:val="008C0E4D"/>
    <w:rsid w:val="008C2FAC"/>
    <w:rsid w:val="008C3A4A"/>
    <w:rsid w:val="008C3BB3"/>
    <w:rsid w:val="008C4041"/>
    <w:rsid w:val="008C4676"/>
    <w:rsid w:val="008C4818"/>
    <w:rsid w:val="008C4AF8"/>
    <w:rsid w:val="008C7901"/>
    <w:rsid w:val="008C7C0D"/>
    <w:rsid w:val="008C7DF0"/>
    <w:rsid w:val="008D0C70"/>
    <w:rsid w:val="008D1260"/>
    <w:rsid w:val="008D1E86"/>
    <w:rsid w:val="008D1E88"/>
    <w:rsid w:val="008D233F"/>
    <w:rsid w:val="008D4275"/>
    <w:rsid w:val="008D4AE5"/>
    <w:rsid w:val="008D4D13"/>
    <w:rsid w:val="008D4D8A"/>
    <w:rsid w:val="008D5565"/>
    <w:rsid w:val="008D6AFD"/>
    <w:rsid w:val="008E0589"/>
    <w:rsid w:val="008E05BB"/>
    <w:rsid w:val="008E0C81"/>
    <w:rsid w:val="008E0F0E"/>
    <w:rsid w:val="008E410C"/>
    <w:rsid w:val="008E5548"/>
    <w:rsid w:val="008E5B34"/>
    <w:rsid w:val="008E5FB0"/>
    <w:rsid w:val="008E6023"/>
    <w:rsid w:val="008F25F1"/>
    <w:rsid w:val="008F26E0"/>
    <w:rsid w:val="008F39B3"/>
    <w:rsid w:val="008F4D32"/>
    <w:rsid w:val="008F4F91"/>
    <w:rsid w:val="008F776A"/>
    <w:rsid w:val="00900E8E"/>
    <w:rsid w:val="00901441"/>
    <w:rsid w:val="0090183B"/>
    <w:rsid w:val="00901B84"/>
    <w:rsid w:val="00901C27"/>
    <w:rsid w:val="00903776"/>
    <w:rsid w:val="00904CD1"/>
    <w:rsid w:val="0090660F"/>
    <w:rsid w:val="00910358"/>
    <w:rsid w:val="00911311"/>
    <w:rsid w:val="00913B64"/>
    <w:rsid w:val="00914567"/>
    <w:rsid w:val="00915581"/>
    <w:rsid w:val="00915980"/>
    <w:rsid w:val="0091721C"/>
    <w:rsid w:val="00920BFD"/>
    <w:rsid w:val="0092155B"/>
    <w:rsid w:val="009250F3"/>
    <w:rsid w:val="009252FA"/>
    <w:rsid w:val="00925FA8"/>
    <w:rsid w:val="009322F5"/>
    <w:rsid w:val="00932722"/>
    <w:rsid w:val="00932C3B"/>
    <w:rsid w:val="00933A2F"/>
    <w:rsid w:val="0093493C"/>
    <w:rsid w:val="00936EBB"/>
    <w:rsid w:val="00936FE0"/>
    <w:rsid w:val="00940058"/>
    <w:rsid w:val="00940CCE"/>
    <w:rsid w:val="00941C95"/>
    <w:rsid w:val="00941E8D"/>
    <w:rsid w:val="00941F00"/>
    <w:rsid w:val="00941FBE"/>
    <w:rsid w:val="009429D2"/>
    <w:rsid w:val="009429D4"/>
    <w:rsid w:val="00942AF0"/>
    <w:rsid w:val="00944A47"/>
    <w:rsid w:val="00944B29"/>
    <w:rsid w:val="009460D0"/>
    <w:rsid w:val="00946885"/>
    <w:rsid w:val="0094694E"/>
    <w:rsid w:val="00947266"/>
    <w:rsid w:val="00947309"/>
    <w:rsid w:val="0095079E"/>
    <w:rsid w:val="00950DD3"/>
    <w:rsid w:val="0095142F"/>
    <w:rsid w:val="00951464"/>
    <w:rsid w:val="00952F42"/>
    <w:rsid w:val="00953939"/>
    <w:rsid w:val="00954BA6"/>
    <w:rsid w:val="00955F42"/>
    <w:rsid w:val="00957471"/>
    <w:rsid w:val="00957BA3"/>
    <w:rsid w:val="00960E6F"/>
    <w:rsid w:val="0096288B"/>
    <w:rsid w:val="00962F39"/>
    <w:rsid w:val="00963F68"/>
    <w:rsid w:val="00964C70"/>
    <w:rsid w:val="00964EA4"/>
    <w:rsid w:val="00965104"/>
    <w:rsid w:val="0096554B"/>
    <w:rsid w:val="00965BE6"/>
    <w:rsid w:val="0096770C"/>
    <w:rsid w:val="00970C81"/>
    <w:rsid w:val="00971F98"/>
    <w:rsid w:val="009758C6"/>
    <w:rsid w:val="00976D79"/>
    <w:rsid w:val="0097719B"/>
    <w:rsid w:val="0097745E"/>
    <w:rsid w:val="00980B9F"/>
    <w:rsid w:val="00981AE0"/>
    <w:rsid w:val="00981D53"/>
    <w:rsid w:val="0098348E"/>
    <w:rsid w:val="009847E9"/>
    <w:rsid w:val="00985036"/>
    <w:rsid w:val="00986871"/>
    <w:rsid w:val="00990C57"/>
    <w:rsid w:val="00990C5E"/>
    <w:rsid w:val="00990C91"/>
    <w:rsid w:val="00990D68"/>
    <w:rsid w:val="00991770"/>
    <w:rsid w:val="00992A52"/>
    <w:rsid w:val="00992F78"/>
    <w:rsid w:val="00993671"/>
    <w:rsid w:val="0099390A"/>
    <w:rsid w:val="009946AA"/>
    <w:rsid w:val="009953D0"/>
    <w:rsid w:val="009957F4"/>
    <w:rsid w:val="00995E30"/>
    <w:rsid w:val="009964C0"/>
    <w:rsid w:val="009967FA"/>
    <w:rsid w:val="0099681B"/>
    <w:rsid w:val="009969D4"/>
    <w:rsid w:val="00997FDE"/>
    <w:rsid w:val="009A0ED9"/>
    <w:rsid w:val="009A102C"/>
    <w:rsid w:val="009A1AB9"/>
    <w:rsid w:val="009A21B7"/>
    <w:rsid w:val="009A47E9"/>
    <w:rsid w:val="009A7080"/>
    <w:rsid w:val="009B1198"/>
    <w:rsid w:val="009B305A"/>
    <w:rsid w:val="009B3935"/>
    <w:rsid w:val="009B7906"/>
    <w:rsid w:val="009B7B77"/>
    <w:rsid w:val="009C10A3"/>
    <w:rsid w:val="009C1865"/>
    <w:rsid w:val="009C1D66"/>
    <w:rsid w:val="009C2CC0"/>
    <w:rsid w:val="009C3936"/>
    <w:rsid w:val="009C3C12"/>
    <w:rsid w:val="009C4D13"/>
    <w:rsid w:val="009C7A4B"/>
    <w:rsid w:val="009C7BA0"/>
    <w:rsid w:val="009D21E6"/>
    <w:rsid w:val="009D224E"/>
    <w:rsid w:val="009D238A"/>
    <w:rsid w:val="009D2CE0"/>
    <w:rsid w:val="009D303D"/>
    <w:rsid w:val="009D3B0D"/>
    <w:rsid w:val="009D55C4"/>
    <w:rsid w:val="009D633E"/>
    <w:rsid w:val="009D66E2"/>
    <w:rsid w:val="009D71EA"/>
    <w:rsid w:val="009D74EC"/>
    <w:rsid w:val="009D75D7"/>
    <w:rsid w:val="009E16E7"/>
    <w:rsid w:val="009E29C1"/>
    <w:rsid w:val="009E3F06"/>
    <w:rsid w:val="009E4593"/>
    <w:rsid w:val="009E46AE"/>
    <w:rsid w:val="009E78FB"/>
    <w:rsid w:val="009E7EED"/>
    <w:rsid w:val="009F0791"/>
    <w:rsid w:val="009F07B8"/>
    <w:rsid w:val="009F0894"/>
    <w:rsid w:val="009F3B0E"/>
    <w:rsid w:val="009F4AD7"/>
    <w:rsid w:val="009F61EF"/>
    <w:rsid w:val="009F660D"/>
    <w:rsid w:val="009F71F9"/>
    <w:rsid w:val="009F73C2"/>
    <w:rsid w:val="009F7AFE"/>
    <w:rsid w:val="009F7C3E"/>
    <w:rsid w:val="00A001E0"/>
    <w:rsid w:val="00A01479"/>
    <w:rsid w:val="00A01A71"/>
    <w:rsid w:val="00A02679"/>
    <w:rsid w:val="00A047C4"/>
    <w:rsid w:val="00A04A90"/>
    <w:rsid w:val="00A053D0"/>
    <w:rsid w:val="00A057BA"/>
    <w:rsid w:val="00A05F05"/>
    <w:rsid w:val="00A07569"/>
    <w:rsid w:val="00A11EB9"/>
    <w:rsid w:val="00A13467"/>
    <w:rsid w:val="00A134BC"/>
    <w:rsid w:val="00A13E70"/>
    <w:rsid w:val="00A142D5"/>
    <w:rsid w:val="00A14414"/>
    <w:rsid w:val="00A149E7"/>
    <w:rsid w:val="00A15F37"/>
    <w:rsid w:val="00A165C2"/>
    <w:rsid w:val="00A16D01"/>
    <w:rsid w:val="00A170C9"/>
    <w:rsid w:val="00A17AC2"/>
    <w:rsid w:val="00A2292F"/>
    <w:rsid w:val="00A22D68"/>
    <w:rsid w:val="00A23185"/>
    <w:rsid w:val="00A24238"/>
    <w:rsid w:val="00A2504B"/>
    <w:rsid w:val="00A25080"/>
    <w:rsid w:val="00A255A3"/>
    <w:rsid w:val="00A25D60"/>
    <w:rsid w:val="00A272CA"/>
    <w:rsid w:val="00A32D9B"/>
    <w:rsid w:val="00A3307D"/>
    <w:rsid w:val="00A3465A"/>
    <w:rsid w:val="00A4023E"/>
    <w:rsid w:val="00A4041B"/>
    <w:rsid w:val="00A427A2"/>
    <w:rsid w:val="00A43383"/>
    <w:rsid w:val="00A4349A"/>
    <w:rsid w:val="00A4386D"/>
    <w:rsid w:val="00A44216"/>
    <w:rsid w:val="00A443FD"/>
    <w:rsid w:val="00A44795"/>
    <w:rsid w:val="00A4545F"/>
    <w:rsid w:val="00A455E8"/>
    <w:rsid w:val="00A4572A"/>
    <w:rsid w:val="00A475FE"/>
    <w:rsid w:val="00A50475"/>
    <w:rsid w:val="00A507C8"/>
    <w:rsid w:val="00A52195"/>
    <w:rsid w:val="00A5219A"/>
    <w:rsid w:val="00A52D55"/>
    <w:rsid w:val="00A52F80"/>
    <w:rsid w:val="00A53B70"/>
    <w:rsid w:val="00A53F25"/>
    <w:rsid w:val="00A54DFB"/>
    <w:rsid w:val="00A54EF6"/>
    <w:rsid w:val="00A5661D"/>
    <w:rsid w:val="00A56EDC"/>
    <w:rsid w:val="00A57CC0"/>
    <w:rsid w:val="00A57D5B"/>
    <w:rsid w:val="00A6033D"/>
    <w:rsid w:val="00A604E7"/>
    <w:rsid w:val="00A60E9F"/>
    <w:rsid w:val="00A6145B"/>
    <w:rsid w:val="00A614BB"/>
    <w:rsid w:val="00A618B1"/>
    <w:rsid w:val="00A62741"/>
    <w:rsid w:val="00A62998"/>
    <w:rsid w:val="00A62BBA"/>
    <w:rsid w:val="00A64259"/>
    <w:rsid w:val="00A65F8F"/>
    <w:rsid w:val="00A660A4"/>
    <w:rsid w:val="00A66C59"/>
    <w:rsid w:val="00A67430"/>
    <w:rsid w:val="00A675E4"/>
    <w:rsid w:val="00A67C8A"/>
    <w:rsid w:val="00A7030A"/>
    <w:rsid w:val="00A70658"/>
    <w:rsid w:val="00A7113D"/>
    <w:rsid w:val="00A713F7"/>
    <w:rsid w:val="00A71883"/>
    <w:rsid w:val="00A76299"/>
    <w:rsid w:val="00A767BC"/>
    <w:rsid w:val="00A769DC"/>
    <w:rsid w:val="00A77178"/>
    <w:rsid w:val="00A77C1A"/>
    <w:rsid w:val="00A800C7"/>
    <w:rsid w:val="00A8042D"/>
    <w:rsid w:val="00A80DC1"/>
    <w:rsid w:val="00A81245"/>
    <w:rsid w:val="00A82299"/>
    <w:rsid w:val="00A82BD1"/>
    <w:rsid w:val="00A8392C"/>
    <w:rsid w:val="00A859E5"/>
    <w:rsid w:val="00A85C01"/>
    <w:rsid w:val="00A85D05"/>
    <w:rsid w:val="00A861D2"/>
    <w:rsid w:val="00A90159"/>
    <w:rsid w:val="00A90999"/>
    <w:rsid w:val="00A910A8"/>
    <w:rsid w:val="00A94EBC"/>
    <w:rsid w:val="00A95B7C"/>
    <w:rsid w:val="00A97242"/>
    <w:rsid w:val="00AA0B96"/>
    <w:rsid w:val="00AA132D"/>
    <w:rsid w:val="00AA14A1"/>
    <w:rsid w:val="00AA16F7"/>
    <w:rsid w:val="00AA26A8"/>
    <w:rsid w:val="00AA2ADD"/>
    <w:rsid w:val="00AA2BDA"/>
    <w:rsid w:val="00AA3CA3"/>
    <w:rsid w:val="00AA3D34"/>
    <w:rsid w:val="00AA482C"/>
    <w:rsid w:val="00AA4914"/>
    <w:rsid w:val="00AA50B7"/>
    <w:rsid w:val="00AA7DB8"/>
    <w:rsid w:val="00AA7F07"/>
    <w:rsid w:val="00AB07F5"/>
    <w:rsid w:val="00AB08F7"/>
    <w:rsid w:val="00AB0EA0"/>
    <w:rsid w:val="00AB332F"/>
    <w:rsid w:val="00AB487B"/>
    <w:rsid w:val="00AB4AD1"/>
    <w:rsid w:val="00AB4CC1"/>
    <w:rsid w:val="00AB5CC5"/>
    <w:rsid w:val="00AB62DE"/>
    <w:rsid w:val="00AB6986"/>
    <w:rsid w:val="00AB6E31"/>
    <w:rsid w:val="00AB6FAB"/>
    <w:rsid w:val="00AC4223"/>
    <w:rsid w:val="00AC5603"/>
    <w:rsid w:val="00AC56CA"/>
    <w:rsid w:val="00AC658D"/>
    <w:rsid w:val="00AC65E4"/>
    <w:rsid w:val="00AC68E5"/>
    <w:rsid w:val="00AC69E7"/>
    <w:rsid w:val="00AD058F"/>
    <w:rsid w:val="00AD16AB"/>
    <w:rsid w:val="00AD1BF6"/>
    <w:rsid w:val="00AD1F43"/>
    <w:rsid w:val="00AD2CA1"/>
    <w:rsid w:val="00AD2CA9"/>
    <w:rsid w:val="00AD3516"/>
    <w:rsid w:val="00AD37DF"/>
    <w:rsid w:val="00AD45BA"/>
    <w:rsid w:val="00AD4ED3"/>
    <w:rsid w:val="00AD5E73"/>
    <w:rsid w:val="00AD6DA6"/>
    <w:rsid w:val="00AD6F94"/>
    <w:rsid w:val="00AD7FBB"/>
    <w:rsid w:val="00AE158F"/>
    <w:rsid w:val="00AE19C8"/>
    <w:rsid w:val="00AE1BED"/>
    <w:rsid w:val="00AE3CFD"/>
    <w:rsid w:val="00AE3E00"/>
    <w:rsid w:val="00AE49C3"/>
    <w:rsid w:val="00AE6183"/>
    <w:rsid w:val="00AE681A"/>
    <w:rsid w:val="00AE7A81"/>
    <w:rsid w:val="00AE7F21"/>
    <w:rsid w:val="00AF0085"/>
    <w:rsid w:val="00AF09BB"/>
    <w:rsid w:val="00AF0B29"/>
    <w:rsid w:val="00AF2048"/>
    <w:rsid w:val="00AF255B"/>
    <w:rsid w:val="00AF2E07"/>
    <w:rsid w:val="00AF66B2"/>
    <w:rsid w:val="00AF6FDA"/>
    <w:rsid w:val="00AF7D0E"/>
    <w:rsid w:val="00AF7E67"/>
    <w:rsid w:val="00B00F4D"/>
    <w:rsid w:val="00B01319"/>
    <w:rsid w:val="00B0204D"/>
    <w:rsid w:val="00B02C2F"/>
    <w:rsid w:val="00B035CF"/>
    <w:rsid w:val="00B03828"/>
    <w:rsid w:val="00B04F4D"/>
    <w:rsid w:val="00B05F70"/>
    <w:rsid w:val="00B06DB4"/>
    <w:rsid w:val="00B0722E"/>
    <w:rsid w:val="00B078B1"/>
    <w:rsid w:val="00B10955"/>
    <w:rsid w:val="00B10E79"/>
    <w:rsid w:val="00B114BB"/>
    <w:rsid w:val="00B11AAB"/>
    <w:rsid w:val="00B11C40"/>
    <w:rsid w:val="00B1242C"/>
    <w:rsid w:val="00B14CC9"/>
    <w:rsid w:val="00B151C7"/>
    <w:rsid w:val="00B15B51"/>
    <w:rsid w:val="00B15CE9"/>
    <w:rsid w:val="00B1610E"/>
    <w:rsid w:val="00B16540"/>
    <w:rsid w:val="00B2096A"/>
    <w:rsid w:val="00B20AB8"/>
    <w:rsid w:val="00B20BE6"/>
    <w:rsid w:val="00B2161C"/>
    <w:rsid w:val="00B2387C"/>
    <w:rsid w:val="00B24D25"/>
    <w:rsid w:val="00B24F38"/>
    <w:rsid w:val="00B26049"/>
    <w:rsid w:val="00B27030"/>
    <w:rsid w:val="00B27738"/>
    <w:rsid w:val="00B30DE7"/>
    <w:rsid w:val="00B3240C"/>
    <w:rsid w:val="00B32AE7"/>
    <w:rsid w:val="00B33F08"/>
    <w:rsid w:val="00B34F0B"/>
    <w:rsid w:val="00B357BA"/>
    <w:rsid w:val="00B36E0A"/>
    <w:rsid w:val="00B37073"/>
    <w:rsid w:val="00B41D4B"/>
    <w:rsid w:val="00B41F0D"/>
    <w:rsid w:val="00B4224F"/>
    <w:rsid w:val="00B42AC0"/>
    <w:rsid w:val="00B4414C"/>
    <w:rsid w:val="00B46127"/>
    <w:rsid w:val="00B520F2"/>
    <w:rsid w:val="00B5277F"/>
    <w:rsid w:val="00B544BF"/>
    <w:rsid w:val="00B54A4F"/>
    <w:rsid w:val="00B54D62"/>
    <w:rsid w:val="00B5573C"/>
    <w:rsid w:val="00B560FC"/>
    <w:rsid w:val="00B5630B"/>
    <w:rsid w:val="00B564DC"/>
    <w:rsid w:val="00B56F56"/>
    <w:rsid w:val="00B57ABA"/>
    <w:rsid w:val="00B57CDF"/>
    <w:rsid w:val="00B600BA"/>
    <w:rsid w:val="00B601EE"/>
    <w:rsid w:val="00B603F1"/>
    <w:rsid w:val="00B604DA"/>
    <w:rsid w:val="00B608E7"/>
    <w:rsid w:val="00B64BE2"/>
    <w:rsid w:val="00B655DF"/>
    <w:rsid w:val="00B65A4F"/>
    <w:rsid w:val="00B65C7E"/>
    <w:rsid w:val="00B65D50"/>
    <w:rsid w:val="00B668EF"/>
    <w:rsid w:val="00B66A57"/>
    <w:rsid w:val="00B70536"/>
    <w:rsid w:val="00B70906"/>
    <w:rsid w:val="00B7138C"/>
    <w:rsid w:val="00B71443"/>
    <w:rsid w:val="00B7151A"/>
    <w:rsid w:val="00B71F48"/>
    <w:rsid w:val="00B73D5B"/>
    <w:rsid w:val="00B740DF"/>
    <w:rsid w:val="00B77222"/>
    <w:rsid w:val="00B7758C"/>
    <w:rsid w:val="00B80D7A"/>
    <w:rsid w:val="00B80E06"/>
    <w:rsid w:val="00B811B0"/>
    <w:rsid w:val="00B814D6"/>
    <w:rsid w:val="00B8252F"/>
    <w:rsid w:val="00B82ACF"/>
    <w:rsid w:val="00B83E45"/>
    <w:rsid w:val="00B84353"/>
    <w:rsid w:val="00B847D7"/>
    <w:rsid w:val="00B85AF6"/>
    <w:rsid w:val="00B85B6E"/>
    <w:rsid w:val="00B85D69"/>
    <w:rsid w:val="00B8609A"/>
    <w:rsid w:val="00B919A5"/>
    <w:rsid w:val="00B91BDD"/>
    <w:rsid w:val="00B92094"/>
    <w:rsid w:val="00B92B81"/>
    <w:rsid w:val="00B92F0B"/>
    <w:rsid w:val="00B94304"/>
    <w:rsid w:val="00B9471F"/>
    <w:rsid w:val="00B95E35"/>
    <w:rsid w:val="00B974AA"/>
    <w:rsid w:val="00B979FC"/>
    <w:rsid w:val="00BA062F"/>
    <w:rsid w:val="00BA3DA0"/>
    <w:rsid w:val="00BA46C0"/>
    <w:rsid w:val="00BA4D07"/>
    <w:rsid w:val="00BA65AC"/>
    <w:rsid w:val="00BA7F82"/>
    <w:rsid w:val="00BB0B75"/>
    <w:rsid w:val="00BB1581"/>
    <w:rsid w:val="00BB1843"/>
    <w:rsid w:val="00BB191E"/>
    <w:rsid w:val="00BB346A"/>
    <w:rsid w:val="00BB4C7B"/>
    <w:rsid w:val="00BB4F3D"/>
    <w:rsid w:val="00BB68E6"/>
    <w:rsid w:val="00BB6AA5"/>
    <w:rsid w:val="00BB6F97"/>
    <w:rsid w:val="00BB73F2"/>
    <w:rsid w:val="00BB7873"/>
    <w:rsid w:val="00BC0D33"/>
    <w:rsid w:val="00BC101A"/>
    <w:rsid w:val="00BC1A2B"/>
    <w:rsid w:val="00BC2257"/>
    <w:rsid w:val="00BC3282"/>
    <w:rsid w:val="00BC35CC"/>
    <w:rsid w:val="00BC38CF"/>
    <w:rsid w:val="00BC3941"/>
    <w:rsid w:val="00BC43E6"/>
    <w:rsid w:val="00BC590A"/>
    <w:rsid w:val="00BC5E08"/>
    <w:rsid w:val="00BC6E0E"/>
    <w:rsid w:val="00BC7900"/>
    <w:rsid w:val="00BC79FB"/>
    <w:rsid w:val="00BC7BB0"/>
    <w:rsid w:val="00BD00D5"/>
    <w:rsid w:val="00BD03D4"/>
    <w:rsid w:val="00BD119D"/>
    <w:rsid w:val="00BD1710"/>
    <w:rsid w:val="00BD20E5"/>
    <w:rsid w:val="00BD38B4"/>
    <w:rsid w:val="00BD395D"/>
    <w:rsid w:val="00BD3969"/>
    <w:rsid w:val="00BD40C2"/>
    <w:rsid w:val="00BD464D"/>
    <w:rsid w:val="00BD7F35"/>
    <w:rsid w:val="00BE0014"/>
    <w:rsid w:val="00BE02A5"/>
    <w:rsid w:val="00BE0810"/>
    <w:rsid w:val="00BE0D6B"/>
    <w:rsid w:val="00BE191F"/>
    <w:rsid w:val="00BE25C4"/>
    <w:rsid w:val="00BE3CA2"/>
    <w:rsid w:val="00BE4CCD"/>
    <w:rsid w:val="00BE5596"/>
    <w:rsid w:val="00BE55C9"/>
    <w:rsid w:val="00BF0D6F"/>
    <w:rsid w:val="00BF1457"/>
    <w:rsid w:val="00BF16C3"/>
    <w:rsid w:val="00BF2434"/>
    <w:rsid w:val="00BF27EE"/>
    <w:rsid w:val="00BF3FC5"/>
    <w:rsid w:val="00BF4192"/>
    <w:rsid w:val="00BF4203"/>
    <w:rsid w:val="00BF4BC0"/>
    <w:rsid w:val="00BF5E89"/>
    <w:rsid w:val="00BF6293"/>
    <w:rsid w:val="00BF66EA"/>
    <w:rsid w:val="00BF6C23"/>
    <w:rsid w:val="00BF7C0A"/>
    <w:rsid w:val="00C003CD"/>
    <w:rsid w:val="00C011BD"/>
    <w:rsid w:val="00C0435E"/>
    <w:rsid w:val="00C04FE9"/>
    <w:rsid w:val="00C0583A"/>
    <w:rsid w:val="00C06EF1"/>
    <w:rsid w:val="00C0770F"/>
    <w:rsid w:val="00C11994"/>
    <w:rsid w:val="00C11E72"/>
    <w:rsid w:val="00C125D7"/>
    <w:rsid w:val="00C134E9"/>
    <w:rsid w:val="00C13A55"/>
    <w:rsid w:val="00C14501"/>
    <w:rsid w:val="00C14A3F"/>
    <w:rsid w:val="00C14FF6"/>
    <w:rsid w:val="00C15382"/>
    <w:rsid w:val="00C15BA7"/>
    <w:rsid w:val="00C15CE2"/>
    <w:rsid w:val="00C15FB9"/>
    <w:rsid w:val="00C171F1"/>
    <w:rsid w:val="00C17ECB"/>
    <w:rsid w:val="00C2006F"/>
    <w:rsid w:val="00C21AC3"/>
    <w:rsid w:val="00C2358D"/>
    <w:rsid w:val="00C241CE"/>
    <w:rsid w:val="00C26EEA"/>
    <w:rsid w:val="00C27593"/>
    <w:rsid w:val="00C27C88"/>
    <w:rsid w:val="00C30691"/>
    <w:rsid w:val="00C306CC"/>
    <w:rsid w:val="00C31127"/>
    <w:rsid w:val="00C3121B"/>
    <w:rsid w:val="00C3383A"/>
    <w:rsid w:val="00C33CF2"/>
    <w:rsid w:val="00C33F84"/>
    <w:rsid w:val="00C34C29"/>
    <w:rsid w:val="00C35688"/>
    <w:rsid w:val="00C3613F"/>
    <w:rsid w:val="00C363A3"/>
    <w:rsid w:val="00C37234"/>
    <w:rsid w:val="00C40336"/>
    <w:rsid w:val="00C40556"/>
    <w:rsid w:val="00C42658"/>
    <w:rsid w:val="00C4299C"/>
    <w:rsid w:val="00C42E51"/>
    <w:rsid w:val="00C43290"/>
    <w:rsid w:val="00C447D2"/>
    <w:rsid w:val="00C44C5A"/>
    <w:rsid w:val="00C44EDF"/>
    <w:rsid w:val="00C456F8"/>
    <w:rsid w:val="00C45E91"/>
    <w:rsid w:val="00C467A1"/>
    <w:rsid w:val="00C46815"/>
    <w:rsid w:val="00C46F79"/>
    <w:rsid w:val="00C47E62"/>
    <w:rsid w:val="00C50552"/>
    <w:rsid w:val="00C5260B"/>
    <w:rsid w:val="00C52AEA"/>
    <w:rsid w:val="00C53336"/>
    <w:rsid w:val="00C5561E"/>
    <w:rsid w:val="00C55982"/>
    <w:rsid w:val="00C564C9"/>
    <w:rsid w:val="00C604E5"/>
    <w:rsid w:val="00C616D8"/>
    <w:rsid w:val="00C61EA1"/>
    <w:rsid w:val="00C62001"/>
    <w:rsid w:val="00C62C51"/>
    <w:rsid w:val="00C634AA"/>
    <w:rsid w:val="00C63BFA"/>
    <w:rsid w:val="00C63FB4"/>
    <w:rsid w:val="00C64643"/>
    <w:rsid w:val="00C64C45"/>
    <w:rsid w:val="00C64CE1"/>
    <w:rsid w:val="00C661AF"/>
    <w:rsid w:val="00C6657C"/>
    <w:rsid w:val="00C67899"/>
    <w:rsid w:val="00C67BA6"/>
    <w:rsid w:val="00C70025"/>
    <w:rsid w:val="00C7025E"/>
    <w:rsid w:val="00C7157B"/>
    <w:rsid w:val="00C7173B"/>
    <w:rsid w:val="00C71B46"/>
    <w:rsid w:val="00C71C7F"/>
    <w:rsid w:val="00C72EA9"/>
    <w:rsid w:val="00C73B33"/>
    <w:rsid w:val="00C74C15"/>
    <w:rsid w:val="00C75599"/>
    <w:rsid w:val="00C75949"/>
    <w:rsid w:val="00C761F6"/>
    <w:rsid w:val="00C772F4"/>
    <w:rsid w:val="00C807B3"/>
    <w:rsid w:val="00C80E12"/>
    <w:rsid w:val="00C81BA2"/>
    <w:rsid w:val="00C82193"/>
    <w:rsid w:val="00C822F1"/>
    <w:rsid w:val="00C8324B"/>
    <w:rsid w:val="00C83E0D"/>
    <w:rsid w:val="00C844BA"/>
    <w:rsid w:val="00C84E68"/>
    <w:rsid w:val="00C85801"/>
    <w:rsid w:val="00C85968"/>
    <w:rsid w:val="00C85A05"/>
    <w:rsid w:val="00C86550"/>
    <w:rsid w:val="00C86DA2"/>
    <w:rsid w:val="00C90579"/>
    <w:rsid w:val="00C905BD"/>
    <w:rsid w:val="00C915C4"/>
    <w:rsid w:val="00C915EC"/>
    <w:rsid w:val="00C92E37"/>
    <w:rsid w:val="00C932DA"/>
    <w:rsid w:val="00C936F4"/>
    <w:rsid w:val="00C93FB6"/>
    <w:rsid w:val="00C9577E"/>
    <w:rsid w:val="00C9639A"/>
    <w:rsid w:val="00C96645"/>
    <w:rsid w:val="00C975C3"/>
    <w:rsid w:val="00C975FC"/>
    <w:rsid w:val="00CA0C90"/>
    <w:rsid w:val="00CA39CF"/>
    <w:rsid w:val="00CA3A7E"/>
    <w:rsid w:val="00CA3CB4"/>
    <w:rsid w:val="00CA40C6"/>
    <w:rsid w:val="00CA44CB"/>
    <w:rsid w:val="00CA49BF"/>
    <w:rsid w:val="00CA5A75"/>
    <w:rsid w:val="00CA7DB8"/>
    <w:rsid w:val="00CB0048"/>
    <w:rsid w:val="00CB00AF"/>
    <w:rsid w:val="00CB1C2B"/>
    <w:rsid w:val="00CB28CE"/>
    <w:rsid w:val="00CB2ACF"/>
    <w:rsid w:val="00CB2BBD"/>
    <w:rsid w:val="00CB2ED9"/>
    <w:rsid w:val="00CB3766"/>
    <w:rsid w:val="00CB4424"/>
    <w:rsid w:val="00CB5AD3"/>
    <w:rsid w:val="00CB6511"/>
    <w:rsid w:val="00CB693E"/>
    <w:rsid w:val="00CB72EB"/>
    <w:rsid w:val="00CC0656"/>
    <w:rsid w:val="00CC117F"/>
    <w:rsid w:val="00CC16EB"/>
    <w:rsid w:val="00CC2408"/>
    <w:rsid w:val="00CC2785"/>
    <w:rsid w:val="00CC3119"/>
    <w:rsid w:val="00CC3185"/>
    <w:rsid w:val="00CC36D1"/>
    <w:rsid w:val="00CC4966"/>
    <w:rsid w:val="00CC4967"/>
    <w:rsid w:val="00CC55F7"/>
    <w:rsid w:val="00CC5EE7"/>
    <w:rsid w:val="00CC6729"/>
    <w:rsid w:val="00CC6EC2"/>
    <w:rsid w:val="00CD19B6"/>
    <w:rsid w:val="00CD1ED4"/>
    <w:rsid w:val="00CD2952"/>
    <w:rsid w:val="00CD29A6"/>
    <w:rsid w:val="00CD2CBD"/>
    <w:rsid w:val="00CD3FC1"/>
    <w:rsid w:val="00CD4012"/>
    <w:rsid w:val="00CD416C"/>
    <w:rsid w:val="00CD44AF"/>
    <w:rsid w:val="00CD47C3"/>
    <w:rsid w:val="00CD69B3"/>
    <w:rsid w:val="00CD6C04"/>
    <w:rsid w:val="00CD7690"/>
    <w:rsid w:val="00CE03FC"/>
    <w:rsid w:val="00CE1ACC"/>
    <w:rsid w:val="00CE1B51"/>
    <w:rsid w:val="00CE1ECE"/>
    <w:rsid w:val="00CE2955"/>
    <w:rsid w:val="00CE2BD3"/>
    <w:rsid w:val="00CE4911"/>
    <w:rsid w:val="00CE5113"/>
    <w:rsid w:val="00CE5C00"/>
    <w:rsid w:val="00CE7687"/>
    <w:rsid w:val="00CE7AC3"/>
    <w:rsid w:val="00CF0966"/>
    <w:rsid w:val="00CF21B9"/>
    <w:rsid w:val="00CF2812"/>
    <w:rsid w:val="00CF40B9"/>
    <w:rsid w:val="00CF4DF4"/>
    <w:rsid w:val="00CF4E3E"/>
    <w:rsid w:val="00CF55EB"/>
    <w:rsid w:val="00CF5C38"/>
    <w:rsid w:val="00CF635A"/>
    <w:rsid w:val="00CF6536"/>
    <w:rsid w:val="00CF7ABA"/>
    <w:rsid w:val="00D01515"/>
    <w:rsid w:val="00D025D8"/>
    <w:rsid w:val="00D036BA"/>
    <w:rsid w:val="00D04118"/>
    <w:rsid w:val="00D0425B"/>
    <w:rsid w:val="00D04B92"/>
    <w:rsid w:val="00D04C02"/>
    <w:rsid w:val="00D053FF"/>
    <w:rsid w:val="00D06907"/>
    <w:rsid w:val="00D07699"/>
    <w:rsid w:val="00D1003E"/>
    <w:rsid w:val="00D10CD4"/>
    <w:rsid w:val="00D1180D"/>
    <w:rsid w:val="00D11C72"/>
    <w:rsid w:val="00D13733"/>
    <w:rsid w:val="00D142B9"/>
    <w:rsid w:val="00D1464B"/>
    <w:rsid w:val="00D14AE4"/>
    <w:rsid w:val="00D14CAE"/>
    <w:rsid w:val="00D162B2"/>
    <w:rsid w:val="00D176BC"/>
    <w:rsid w:val="00D2150A"/>
    <w:rsid w:val="00D21C33"/>
    <w:rsid w:val="00D23345"/>
    <w:rsid w:val="00D23870"/>
    <w:rsid w:val="00D24B04"/>
    <w:rsid w:val="00D24C30"/>
    <w:rsid w:val="00D24D42"/>
    <w:rsid w:val="00D25268"/>
    <w:rsid w:val="00D26436"/>
    <w:rsid w:val="00D264F1"/>
    <w:rsid w:val="00D26730"/>
    <w:rsid w:val="00D270AD"/>
    <w:rsid w:val="00D272BB"/>
    <w:rsid w:val="00D27C5D"/>
    <w:rsid w:val="00D31F68"/>
    <w:rsid w:val="00D326D9"/>
    <w:rsid w:val="00D33295"/>
    <w:rsid w:val="00D335E3"/>
    <w:rsid w:val="00D33667"/>
    <w:rsid w:val="00D34240"/>
    <w:rsid w:val="00D34DC0"/>
    <w:rsid w:val="00D357EA"/>
    <w:rsid w:val="00D35D06"/>
    <w:rsid w:val="00D40FEF"/>
    <w:rsid w:val="00D41B00"/>
    <w:rsid w:val="00D41E46"/>
    <w:rsid w:val="00D4288B"/>
    <w:rsid w:val="00D4547A"/>
    <w:rsid w:val="00D45C59"/>
    <w:rsid w:val="00D45CD6"/>
    <w:rsid w:val="00D4637A"/>
    <w:rsid w:val="00D4660B"/>
    <w:rsid w:val="00D4666F"/>
    <w:rsid w:val="00D466B9"/>
    <w:rsid w:val="00D4732F"/>
    <w:rsid w:val="00D475B1"/>
    <w:rsid w:val="00D478F0"/>
    <w:rsid w:val="00D47CBD"/>
    <w:rsid w:val="00D50267"/>
    <w:rsid w:val="00D5137E"/>
    <w:rsid w:val="00D520A3"/>
    <w:rsid w:val="00D522F1"/>
    <w:rsid w:val="00D53193"/>
    <w:rsid w:val="00D53370"/>
    <w:rsid w:val="00D5399A"/>
    <w:rsid w:val="00D53A5D"/>
    <w:rsid w:val="00D55A24"/>
    <w:rsid w:val="00D56D1A"/>
    <w:rsid w:val="00D5747E"/>
    <w:rsid w:val="00D60117"/>
    <w:rsid w:val="00D60E63"/>
    <w:rsid w:val="00D60F5B"/>
    <w:rsid w:val="00D6145C"/>
    <w:rsid w:val="00D615C8"/>
    <w:rsid w:val="00D645A7"/>
    <w:rsid w:val="00D64C91"/>
    <w:rsid w:val="00D65270"/>
    <w:rsid w:val="00D65C9A"/>
    <w:rsid w:val="00D67406"/>
    <w:rsid w:val="00D67D26"/>
    <w:rsid w:val="00D67DB9"/>
    <w:rsid w:val="00D7093A"/>
    <w:rsid w:val="00D70FAF"/>
    <w:rsid w:val="00D71B8E"/>
    <w:rsid w:val="00D72000"/>
    <w:rsid w:val="00D7325A"/>
    <w:rsid w:val="00D73D66"/>
    <w:rsid w:val="00D74035"/>
    <w:rsid w:val="00D7445E"/>
    <w:rsid w:val="00D75B94"/>
    <w:rsid w:val="00D75FEE"/>
    <w:rsid w:val="00D7652C"/>
    <w:rsid w:val="00D76C79"/>
    <w:rsid w:val="00D77743"/>
    <w:rsid w:val="00D777FA"/>
    <w:rsid w:val="00D7786B"/>
    <w:rsid w:val="00D8035A"/>
    <w:rsid w:val="00D81C30"/>
    <w:rsid w:val="00D83F2C"/>
    <w:rsid w:val="00D84473"/>
    <w:rsid w:val="00D854A0"/>
    <w:rsid w:val="00D869C5"/>
    <w:rsid w:val="00D87188"/>
    <w:rsid w:val="00D87D04"/>
    <w:rsid w:val="00D87DBF"/>
    <w:rsid w:val="00D90149"/>
    <w:rsid w:val="00D90D09"/>
    <w:rsid w:val="00D91B1D"/>
    <w:rsid w:val="00D921AB"/>
    <w:rsid w:val="00D9315A"/>
    <w:rsid w:val="00D939A3"/>
    <w:rsid w:val="00D951F9"/>
    <w:rsid w:val="00D957ED"/>
    <w:rsid w:val="00D95EB1"/>
    <w:rsid w:val="00D9623F"/>
    <w:rsid w:val="00D96D94"/>
    <w:rsid w:val="00D971D6"/>
    <w:rsid w:val="00D97506"/>
    <w:rsid w:val="00D97780"/>
    <w:rsid w:val="00D97F9D"/>
    <w:rsid w:val="00DA0F63"/>
    <w:rsid w:val="00DA10D7"/>
    <w:rsid w:val="00DA1127"/>
    <w:rsid w:val="00DA181F"/>
    <w:rsid w:val="00DA2918"/>
    <w:rsid w:val="00DA30F3"/>
    <w:rsid w:val="00DA3DDA"/>
    <w:rsid w:val="00DA3EE6"/>
    <w:rsid w:val="00DA5288"/>
    <w:rsid w:val="00DA5A49"/>
    <w:rsid w:val="00DA7D7C"/>
    <w:rsid w:val="00DB0B00"/>
    <w:rsid w:val="00DB12D3"/>
    <w:rsid w:val="00DB1EA5"/>
    <w:rsid w:val="00DB2945"/>
    <w:rsid w:val="00DB36C9"/>
    <w:rsid w:val="00DB470A"/>
    <w:rsid w:val="00DB4EE7"/>
    <w:rsid w:val="00DB5B21"/>
    <w:rsid w:val="00DB5BF8"/>
    <w:rsid w:val="00DC02AB"/>
    <w:rsid w:val="00DC14EA"/>
    <w:rsid w:val="00DC1AB6"/>
    <w:rsid w:val="00DC240B"/>
    <w:rsid w:val="00DC32A4"/>
    <w:rsid w:val="00DC3E0F"/>
    <w:rsid w:val="00DC4619"/>
    <w:rsid w:val="00DC468C"/>
    <w:rsid w:val="00DC530D"/>
    <w:rsid w:val="00DC6356"/>
    <w:rsid w:val="00DC6697"/>
    <w:rsid w:val="00DC6779"/>
    <w:rsid w:val="00DC6FCC"/>
    <w:rsid w:val="00DC75FF"/>
    <w:rsid w:val="00DD0061"/>
    <w:rsid w:val="00DD006C"/>
    <w:rsid w:val="00DD300B"/>
    <w:rsid w:val="00DD3B54"/>
    <w:rsid w:val="00DD60D3"/>
    <w:rsid w:val="00DD610A"/>
    <w:rsid w:val="00DD62E5"/>
    <w:rsid w:val="00DD62E9"/>
    <w:rsid w:val="00DD6C6B"/>
    <w:rsid w:val="00DD7875"/>
    <w:rsid w:val="00DD7E67"/>
    <w:rsid w:val="00DD7E84"/>
    <w:rsid w:val="00DE019A"/>
    <w:rsid w:val="00DE18E9"/>
    <w:rsid w:val="00DE1F80"/>
    <w:rsid w:val="00DE2B28"/>
    <w:rsid w:val="00DE407F"/>
    <w:rsid w:val="00DE4E35"/>
    <w:rsid w:val="00DE59DB"/>
    <w:rsid w:val="00DE643E"/>
    <w:rsid w:val="00DE7652"/>
    <w:rsid w:val="00DE7D34"/>
    <w:rsid w:val="00DF0CEE"/>
    <w:rsid w:val="00DF157D"/>
    <w:rsid w:val="00DF178E"/>
    <w:rsid w:val="00DF2B96"/>
    <w:rsid w:val="00DF2C50"/>
    <w:rsid w:val="00DF3866"/>
    <w:rsid w:val="00DF3CEF"/>
    <w:rsid w:val="00DF4363"/>
    <w:rsid w:val="00DF5245"/>
    <w:rsid w:val="00DF5420"/>
    <w:rsid w:val="00DF6B4D"/>
    <w:rsid w:val="00DF72F5"/>
    <w:rsid w:val="00DF7DFB"/>
    <w:rsid w:val="00E0024B"/>
    <w:rsid w:val="00E0052B"/>
    <w:rsid w:val="00E00BE1"/>
    <w:rsid w:val="00E00D0B"/>
    <w:rsid w:val="00E02271"/>
    <w:rsid w:val="00E0279D"/>
    <w:rsid w:val="00E02AB2"/>
    <w:rsid w:val="00E02C21"/>
    <w:rsid w:val="00E02DD1"/>
    <w:rsid w:val="00E03906"/>
    <w:rsid w:val="00E03F70"/>
    <w:rsid w:val="00E05D25"/>
    <w:rsid w:val="00E07A2F"/>
    <w:rsid w:val="00E1040D"/>
    <w:rsid w:val="00E118B2"/>
    <w:rsid w:val="00E11E3A"/>
    <w:rsid w:val="00E12CC5"/>
    <w:rsid w:val="00E13475"/>
    <w:rsid w:val="00E1369F"/>
    <w:rsid w:val="00E14F63"/>
    <w:rsid w:val="00E1606E"/>
    <w:rsid w:val="00E1633C"/>
    <w:rsid w:val="00E20074"/>
    <w:rsid w:val="00E2236C"/>
    <w:rsid w:val="00E2282B"/>
    <w:rsid w:val="00E238BC"/>
    <w:rsid w:val="00E238FD"/>
    <w:rsid w:val="00E2540B"/>
    <w:rsid w:val="00E25A04"/>
    <w:rsid w:val="00E26D98"/>
    <w:rsid w:val="00E27B9A"/>
    <w:rsid w:val="00E300E1"/>
    <w:rsid w:val="00E3016D"/>
    <w:rsid w:val="00E3030C"/>
    <w:rsid w:val="00E307FC"/>
    <w:rsid w:val="00E308F3"/>
    <w:rsid w:val="00E30F6E"/>
    <w:rsid w:val="00E31673"/>
    <w:rsid w:val="00E31B25"/>
    <w:rsid w:val="00E31F53"/>
    <w:rsid w:val="00E325FB"/>
    <w:rsid w:val="00E3281C"/>
    <w:rsid w:val="00E33639"/>
    <w:rsid w:val="00E35E8A"/>
    <w:rsid w:val="00E363D1"/>
    <w:rsid w:val="00E3771B"/>
    <w:rsid w:val="00E37A94"/>
    <w:rsid w:val="00E37BF9"/>
    <w:rsid w:val="00E40008"/>
    <w:rsid w:val="00E401FD"/>
    <w:rsid w:val="00E40539"/>
    <w:rsid w:val="00E417E9"/>
    <w:rsid w:val="00E41E89"/>
    <w:rsid w:val="00E42CDE"/>
    <w:rsid w:val="00E42F1E"/>
    <w:rsid w:val="00E442C9"/>
    <w:rsid w:val="00E44782"/>
    <w:rsid w:val="00E46A2B"/>
    <w:rsid w:val="00E46A86"/>
    <w:rsid w:val="00E46FCC"/>
    <w:rsid w:val="00E47CE2"/>
    <w:rsid w:val="00E51864"/>
    <w:rsid w:val="00E51F3E"/>
    <w:rsid w:val="00E52946"/>
    <w:rsid w:val="00E53945"/>
    <w:rsid w:val="00E54196"/>
    <w:rsid w:val="00E54389"/>
    <w:rsid w:val="00E54966"/>
    <w:rsid w:val="00E55D1E"/>
    <w:rsid w:val="00E5797E"/>
    <w:rsid w:val="00E579D1"/>
    <w:rsid w:val="00E57D5D"/>
    <w:rsid w:val="00E6061E"/>
    <w:rsid w:val="00E60E00"/>
    <w:rsid w:val="00E61029"/>
    <w:rsid w:val="00E62229"/>
    <w:rsid w:val="00E627F3"/>
    <w:rsid w:val="00E65534"/>
    <w:rsid w:val="00E66B84"/>
    <w:rsid w:val="00E67095"/>
    <w:rsid w:val="00E71349"/>
    <w:rsid w:val="00E718E0"/>
    <w:rsid w:val="00E71EC7"/>
    <w:rsid w:val="00E7272B"/>
    <w:rsid w:val="00E74391"/>
    <w:rsid w:val="00E7524A"/>
    <w:rsid w:val="00E76548"/>
    <w:rsid w:val="00E769BB"/>
    <w:rsid w:val="00E76C8F"/>
    <w:rsid w:val="00E777FF"/>
    <w:rsid w:val="00E81F0E"/>
    <w:rsid w:val="00E827ED"/>
    <w:rsid w:val="00E83469"/>
    <w:rsid w:val="00E84CFB"/>
    <w:rsid w:val="00E86ADE"/>
    <w:rsid w:val="00E87313"/>
    <w:rsid w:val="00E903D2"/>
    <w:rsid w:val="00E9111B"/>
    <w:rsid w:val="00E91520"/>
    <w:rsid w:val="00E94C8C"/>
    <w:rsid w:val="00E95F62"/>
    <w:rsid w:val="00E96323"/>
    <w:rsid w:val="00EA03B4"/>
    <w:rsid w:val="00EA0C3D"/>
    <w:rsid w:val="00EA213D"/>
    <w:rsid w:val="00EA2358"/>
    <w:rsid w:val="00EA2EDC"/>
    <w:rsid w:val="00EA38C6"/>
    <w:rsid w:val="00EA3C63"/>
    <w:rsid w:val="00EA4AA9"/>
    <w:rsid w:val="00EA5C37"/>
    <w:rsid w:val="00EA7636"/>
    <w:rsid w:val="00EB1A1B"/>
    <w:rsid w:val="00EB3350"/>
    <w:rsid w:val="00EB3690"/>
    <w:rsid w:val="00EB44B3"/>
    <w:rsid w:val="00EB49E6"/>
    <w:rsid w:val="00EB57E4"/>
    <w:rsid w:val="00EB66F0"/>
    <w:rsid w:val="00EB6CCF"/>
    <w:rsid w:val="00EC024C"/>
    <w:rsid w:val="00EC0926"/>
    <w:rsid w:val="00EC0A89"/>
    <w:rsid w:val="00EC0C45"/>
    <w:rsid w:val="00EC0EE3"/>
    <w:rsid w:val="00EC13B0"/>
    <w:rsid w:val="00EC251C"/>
    <w:rsid w:val="00EC2938"/>
    <w:rsid w:val="00EC2E9D"/>
    <w:rsid w:val="00EC34DD"/>
    <w:rsid w:val="00EC4719"/>
    <w:rsid w:val="00EC48EB"/>
    <w:rsid w:val="00EC67F1"/>
    <w:rsid w:val="00EC7D6E"/>
    <w:rsid w:val="00EC7FF2"/>
    <w:rsid w:val="00ED050A"/>
    <w:rsid w:val="00ED0917"/>
    <w:rsid w:val="00ED1568"/>
    <w:rsid w:val="00ED1A1D"/>
    <w:rsid w:val="00ED2136"/>
    <w:rsid w:val="00ED24FB"/>
    <w:rsid w:val="00ED297A"/>
    <w:rsid w:val="00ED341F"/>
    <w:rsid w:val="00ED37E2"/>
    <w:rsid w:val="00ED45C2"/>
    <w:rsid w:val="00ED4893"/>
    <w:rsid w:val="00ED4CF8"/>
    <w:rsid w:val="00ED564B"/>
    <w:rsid w:val="00ED6201"/>
    <w:rsid w:val="00ED65ED"/>
    <w:rsid w:val="00ED709A"/>
    <w:rsid w:val="00ED7114"/>
    <w:rsid w:val="00ED78FD"/>
    <w:rsid w:val="00ED7CDD"/>
    <w:rsid w:val="00EE0920"/>
    <w:rsid w:val="00EE1C73"/>
    <w:rsid w:val="00EE3411"/>
    <w:rsid w:val="00EE4F92"/>
    <w:rsid w:val="00EE66BE"/>
    <w:rsid w:val="00EE6E34"/>
    <w:rsid w:val="00EE7CD8"/>
    <w:rsid w:val="00EF072B"/>
    <w:rsid w:val="00EF1550"/>
    <w:rsid w:val="00EF175F"/>
    <w:rsid w:val="00EF1F00"/>
    <w:rsid w:val="00EF309D"/>
    <w:rsid w:val="00EF3E19"/>
    <w:rsid w:val="00EF5418"/>
    <w:rsid w:val="00EF6D2E"/>
    <w:rsid w:val="00EF79E0"/>
    <w:rsid w:val="00F008C3"/>
    <w:rsid w:val="00F00D9C"/>
    <w:rsid w:val="00F01D89"/>
    <w:rsid w:val="00F06535"/>
    <w:rsid w:val="00F0749F"/>
    <w:rsid w:val="00F077C4"/>
    <w:rsid w:val="00F079EE"/>
    <w:rsid w:val="00F07AC6"/>
    <w:rsid w:val="00F10821"/>
    <w:rsid w:val="00F10B84"/>
    <w:rsid w:val="00F1232D"/>
    <w:rsid w:val="00F1246C"/>
    <w:rsid w:val="00F12ABF"/>
    <w:rsid w:val="00F12E53"/>
    <w:rsid w:val="00F133EB"/>
    <w:rsid w:val="00F15C13"/>
    <w:rsid w:val="00F16848"/>
    <w:rsid w:val="00F17B02"/>
    <w:rsid w:val="00F2038E"/>
    <w:rsid w:val="00F20978"/>
    <w:rsid w:val="00F224CA"/>
    <w:rsid w:val="00F22E31"/>
    <w:rsid w:val="00F23450"/>
    <w:rsid w:val="00F236E6"/>
    <w:rsid w:val="00F237E1"/>
    <w:rsid w:val="00F2418E"/>
    <w:rsid w:val="00F25F7B"/>
    <w:rsid w:val="00F25FFD"/>
    <w:rsid w:val="00F267AD"/>
    <w:rsid w:val="00F26A5D"/>
    <w:rsid w:val="00F3095B"/>
    <w:rsid w:val="00F31773"/>
    <w:rsid w:val="00F31EDE"/>
    <w:rsid w:val="00F31FAB"/>
    <w:rsid w:val="00F32946"/>
    <w:rsid w:val="00F3463E"/>
    <w:rsid w:val="00F35D1A"/>
    <w:rsid w:val="00F363AB"/>
    <w:rsid w:val="00F3772E"/>
    <w:rsid w:val="00F4236C"/>
    <w:rsid w:val="00F4299F"/>
    <w:rsid w:val="00F43273"/>
    <w:rsid w:val="00F438DC"/>
    <w:rsid w:val="00F46EEE"/>
    <w:rsid w:val="00F4776C"/>
    <w:rsid w:val="00F5015A"/>
    <w:rsid w:val="00F5071E"/>
    <w:rsid w:val="00F508FA"/>
    <w:rsid w:val="00F51362"/>
    <w:rsid w:val="00F51C6B"/>
    <w:rsid w:val="00F5314E"/>
    <w:rsid w:val="00F532B1"/>
    <w:rsid w:val="00F53441"/>
    <w:rsid w:val="00F538A2"/>
    <w:rsid w:val="00F539D0"/>
    <w:rsid w:val="00F54249"/>
    <w:rsid w:val="00F54A5A"/>
    <w:rsid w:val="00F55F2E"/>
    <w:rsid w:val="00F5692D"/>
    <w:rsid w:val="00F56AB0"/>
    <w:rsid w:val="00F57B17"/>
    <w:rsid w:val="00F6042C"/>
    <w:rsid w:val="00F619F6"/>
    <w:rsid w:val="00F6232F"/>
    <w:rsid w:val="00F62F95"/>
    <w:rsid w:val="00F633C3"/>
    <w:rsid w:val="00F634C2"/>
    <w:rsid w:val="00F65105"/>
    <w:rsid w:val="00F65F43"/>
    <w:rsid w:val="00F67530"/>
    <w:rsid w:val="00F6762C"/>
    <w:rsid w:val="00F67B10"/>
    <w:rsid w:val="00F703CC"/>
    <w:rsid w:val="00F70A3C"/>
    <w:rsid w:val="00F738FF"/>
    <w:rsid w:val="00F74742"/>
    <w:rsid w:val="00F750F5"/>
    <w:rsid w:val="00F76E98"/>
    <w:rsid w:val="00F77BB1"/>
    <w:rsid w:val="00F77C63"/>
    <w:rsid w:val="00F77F74"/>
    <w:rsid w:val="00F823E9"/>
    <w:rsid w:val="00F82572"/>
    <w:rsid w:val="00F850C6"/>
    <w:rsid w:val="00F86A7D"/>
    <w:rsid w:val="00F8763C"/>
    <w:rsid w:val="00F87AC7"/>
    <w:rsid w:val="00F90281"/>
    <w:rsid w:val="00F90552"/>
    <w:rsid w:val="00F90DB6"/>
    <w:rsid w:val="00F90EF2"/>
    <w:rsid w:val="00F90EF8"/>
    <w:rsid w:val="00F920B1"/>
    <w:rsid w:val="00F93FA6"/>
    <w:rsid w:val="00F94687"/>
    <w:rsid w:val="00F958DC"/>
    <w:rsid w:val="00F96126"/>
    <w:rsid w:val="00F9701E"/>
    <w:rsid w:val="00F97BD9"/>
    <w:rsid w:val="00F97FD1"/>
    <w:rsid w:val="00FA12F7"/>
    <w:rsid w:val="00FA1352"/>
    <w:rsid w:val="00FA3CD8"/>
    <w:rsid w:val="00FA3F1C"/>
    <w:rsid w:val="00FA4A59"/>
    <w:rsid w:val="00FA4F6A"/>
    <w:rsid w:val="00FA6376"/>
    <w:rsid w:val="00FA6BEC"/>
    <w:rsid w:val="00FA7866"/>
    <w:rsid w:val="00FB1915"/>
    <w:rsid w:val="00FB212A"/>
    <w:rsid w:val="00FB2BB8"/>
    <w:rsid w:val="00FB34CD"/>
    <w:rsid w:val="00FB36CF"/>
    <w:rsid w:val="00FB4BD7"/>
    <w:rsid w:val="00FB52C8"/>
    <w:rsid w:val="00FB599D"/>
    <w:rsid w:val="00FB5A25"/>
    <w:rsid w:val="00FB5B4C"/>
    <w:rsid w:val="00FB5F9E"/>
    <w:rsid w:val="00FC0CF6"/>
    <w:rsid w:val="00FC1ACD"/>
    <w:rsid w:val="00FC2DFA"/>
    <w:rsid w:val="00FC45BC"/>
    <w:rsid w:val="00FC6245"/>
    <w:rsid w:val="00FC6723"/>
    <w:rsid w:val="00FD1632"/>
    <w:rsid w:val="00FD16AF"/>
    <w:rsid w:val="00FD16D8"/>
    <w:rsid w:val="00FD1A57"/>
    <w:rsid w:val="00FD20CE"/>
    <w:rsid w:val="00FD26DD"/>
    <w:rsid w:val="00FD2E91"/>
    <w:rsid w:val="00FD31EA"/>
    <w:rsid w:val="00FD4083"/>
    <w:rsid w:val="00FD4482"/>
    <w:rsid w:val="00FD4A5F"/>
    <w:rsid w:val="00FD4D33"/>
    <w:rsid w:val="00FD5B7B"/>
    <w:rsid w:val="00FD5BAF"/>
    <w:rsid w:val="00FD79D3"/>
    <w:rsid w:val="00FE0009"/>
    <w:rsid w:val="00FE0019"/>
    <w:rsid w:val="00FE115F"/>
    <w:rsid w:val="00FE1C86"/>
    <w:rsid w:val="00FE1DFE"/>
    <w:rsid w:val="00FE1F45"/>
    <w:rsid w:val="00FE24F3"/>
    <w:rsid w:val="00FE2B17"/>
    <w:rsid w:val="00FE302D"/>
    <w:rsid w:val="00FE4C9D"/>
    <w:rsid w:val="00FE5135"/>
    <w:rsid w:val="00FE5D1E"/>
    <w:rsid w:val="00FE64F2"/>
    <w:rsid w:val="00FE6735"/>
    <w:rsid w:val="00FE6939"/>
    <w:rsid w:val="00FF0B3D"/>
    <w:rsid w:val="00FF0CFC"/>
    <w:rsid w:val="00FF2B93"/>
    <w:rsid w:val="00FF3238"/>
    <w:rsid w:val="00FF5149"/>
    <w:rsid w:val="00FF567D"/>
    <w:rsid w:val="00FF59BA"/>
    <w:rsid w:val="00FF6DCA"/>
    <w:rsid w:val="00FF7B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D2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8B"/>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3113B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80063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70A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270AD"/>
  </w:style>
  <w:style w:type="character" w:styleId="Hyperlink">
    <w:name w:val="Hyperlink"/>
    <w:basedOn w:val="DefaultParagraphFont"/>
    <w:uiPriority w:val="99"/>
    <w:unhideWhenUsed/>
    <w:rsid w:val="00D270AD"/>
    <w:rPr>
      <w:color w:val="0000FF" w:themeColor="hyperlink"/>
      <w:u w:val="single"/>
    </w:rPr>
  </w:style>
  <w:style w:type="character" w:customStyle="1" w:styleId="acknowledgements">
    <w:name w:val="acknowledgements"/>
    <w:basedOn w:val="DefaultParagraphFont"/>
    <w:rsid w:val="00D270AD"/>
  </w:style>
  <w:style w:type="character" w:styleId="Strong">
    <w:name w:val="Strong"/>
    <w:basedOn w:val="DefaultParagraphFont"/>
    <w:uiPriority w:val="22"/>
    <w:qFormat/>
    <w:rsid w:val="00577A6F"/>
    <w:rPr>
      <w:b/>
      <w:bCs/>
    </w:rPr>
  </w:style>
  <w:style w:type="paragraph" w:styleId="NormalWeb">
    <w:name w:val="Normal (Web)"/>
    <w:basedOn w:val="Normal"/>
    <w:uiPriority w:val="99"/>
    <w:unhideWhenUsed/>
    <w:rsid w:val="00577A6F"/>
    <w:pPr>
      <w:spacing w:before="100" w:beforeAutospacing="1" w:after="100" w:afterAutospacing="1"/>
    </w:pPr>
  </w:style>
  <w:style w:type="paragraph" w:styleId="ListParagraph">
    <w:name w:val="List Paragraph"/>
    <w:basedOn w:val="Normal"/>
    <w:uiPriority w:val="1"/>
    <w:qFormat/>
    <w:rsid w:val="00321160"/>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321AA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21AAE"/>
  </w:style>
  <w:style w:type="character" w:customStyle="1" w:styleId="st">
    <w:name w:val="st"/>
    <w:basedOn w:val="DefaultParagraphFont"/>
    <w:rsid w:val="00577776"/>
  </w:style>
  <w:style w:type="character" w:customStyle="1" w:styleId="e24kjd">
    <w:name w:val="e24kjd"/>
    <w:basedOn w:val="DefaultParagraphFont"/>
    <w:rsid w:val="00496980"/>
  </w:style>
  <w:style w:type="character" w:styleId="Emphasis">
    <w:name w:val="Emphasis"/>
    <w:basedOn w:val="DefaultParagraphFont"/>
    <w:uiPriority w:val="20"/>
    <w:qFormat/>
    <w:rsid w:val="00496980"/>
    <w:rPr>
      <w:i/>
      <w:iCs/>
    </w:rPr>
  </w:style>
  <w:style w:type="paragraph" w:styleId="BalloonText">
    <w:name w:val="Balloon Text"/>
    <w:basedOn w:val="Normal"/>
    <w:link w:val="BalloonTextChar"/>
    <w:uiPriority w:val="99"/>
    <w:semiHidden/>
    <w:unhideWhenUsed/>
    <w:rsid w:val="00C85801"/>
    <w:rPr>
      <w:rFonts w:ascii="Lucida Grande" w:eastAsiaTheme="minorHAnsi" w:hAnsi="Lucida Grande" w:cstheme="minorBidi"/>
      <w:sz w:val="18"/>
      <w:szCs w:val="18"/>
      <w:lang w:eastAsia="en-US"/>
    </w:rPr>
  </w:style>
  <w:style w:type="character" w:customStyle="1" w:styleId="BalloonTextChar">
    <w:name w:val="Balloon Text Char"/>
    <w:basedOn w:val="DefaultParagraphFont"/>
    <w:link w:val="BalloonText"/>
    <w:uiPriority w:val="99"/>
    <w:semiHidden/>
    <w:rsid w:val="00C85801"/>
    <w:rPr>
      <w:rFonts w:ascii="Lucida Grande" w:hAnsi="Lucida Grande"/>
      <w:sz w:val="18"/>
      <w:szCs w:val="18"/>
    </w:rPr>
  </w:style>
  <w:style w:type="character" w:styleId="CommentReference">
    <w:name w:val="annotation reference"/>
    <w:basedOn w:val="DefaultParagraphFont"/>
    <w:uiPriority w:val="99"/>
    <w:semiHidden/>
    <w:unhideWhenUsed/>
    <w:rsid w:val="00051209"/>
    <w:rPr>
      <w:sz w:val="18"/>
      <w:szCs w:val="18"/>
    </w:rPr>
  </w:style>
  <w:style w:type="paragraph" w:styleId="CommentText">
    <w:name w:val="annotation text"/>
    <w:basedOn w:val="Normal"/>
    <w:link w:val="CommentTextChar"/>
    <w:uiPriority w:val="99"/>
    <w:unhideWhenUsed/>
    <w:rsid w:val="00D87DBF"/>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051209"/>
    <w:rPr>
      <w:sz w:val="24"/>
      <w:szCs w:val="24"/>
    </w:rPr>
  </w:style>
  <w:style w:type="paragraph" w:styleId="CommentSubject">
    <w:name w:val="annotation subject"/>
    <w:basedOn w:val="CommentText"/>
    <w:next w:val="CommentText"/>
    <w:link w:val="CommentSubjectChar"/>
    <w:uiPriority w:val="99"/>
    <w:semiHidden/>
    <w:unhideWhenUsed/>
    <w:rsid w:val="00051209"/>
    <w:rPr>
      <w:b/>
      <w:bCs/>
      <w:sz w:val="20"/>
      <w:szCs w:val="20"/>
    </w:rPr>
  </w:style>
  <w:style w:type="character" w:customStyle="1" w:styleId="CommentSubjectChar">
    <w:name w:val="Comment Subject Char"/>
    <w:basedOn w:val="CommentTextChar"/>
    <w:link w:val="CommentSubject"/>
    <w:uiPriority w:val="99"/>
    <w:semiHidden/>
    <w:rsid w:val="00051209"/>
    <w:rPr>
      <w:b/>
      <w:bCs/>
      <w:sz w:val="20"/>
      <w:szCs w:val="20"/>
    </w:rPr>
  </w:style>
  <w:style w:type="paragraph" w:customStyle="1" w:styleId="EndNoteBibliographyTitle">
    <w:name w:val="EndNote Bibliography Title"/>
    <w:basedOn w:val="Normal"/>
    <w:rsid w:val="003D4156"/>
    <w:pPr>
      <w:spacing w:line="276" w:lineRule="auto"/>
      <w:jc w:val="center"/>
    </w:pPr>
    <w:rPr>
      <w:rFonts w:ascii="Calibri" w:eastAsiaTheme="minorHAnsi" w:hAnsi="Calibri" w:cstheme="minorBidi"/>
      <w:sz w:val="22"/>
      <w:szCs w:val="22"/>
      <w:lang w:val="en-US" w:eastAsia="en-US"/>
    </w:rPr>
  </w:style>
  <w:style w:type="paragraph" w:customStyle="1" w:styleId="EndNoteBibliography">
    <w:name w:val="EndNote Bibliography"/>
    <w:basedOn w:val="Normal"/>
    <w:rsid w:val="003D4156"/>
    <w:pPr>
      <w:spacing w:after="200"/>
    </w:pPr>
    <w:rPr>
      <w:rFonts w:ascii="Calibri" w:eastAsiaTheme="minorHAnsi" w:hAnsi="Calibri" w:cstheme="minorBidi"/>
      <w:sz w:val="22"/>
      <w:szCs w:val="22"/>
      <w:lang w:val="en-US" w:eastAsia="en-US"/>
    </w:rPr>
  </w:style>
  <w:style w:type="paragraph" w:styleId="Revision">
    <w:name w:val="Revision"/>
    <w:hidden/>
    <w:uiPriority w:val="99"/>
    <w:semiHidden/>
    <w:rsid w:val="00194106"/>
    <w:pPr>
      <w:spacing w:after="0" w:line="240" w:lineRule="auto"/>
    </w:pPr>
  </w:style>
  <w:style w:type="character" w:customStyle="1" w:styleId="holder">
    <w:name w:val="holder"/>
    <w:basedOn w:val="DefaultParagraphFont"/>
    <w:rsid w:val="0078684E"/>
  </w:style>
  <w:style w:type="character" w:styleId="FollowedHyperlink">
    <w:name w:val="FollowedHyperlink"/>
    <w:basedOn w:val="DefaultParagraphFont"/>
    <w:uiPriority w:val="99"/>
    <w:semiHidden/>
    <w:unhideWhenUsed/>
    <w:rsid w:val="00AE158F"/>
    <w:rPr>
      <w:color w:val="800080" w:themeColor="followedHyperlink"/>
      <w:u w:val="single"/>
    </w:rPr>
  </w:style>
  <w:style w:type="character" w:customStyle="1" w:styleId="labs-docsum-authors2">
    <w:name w:val="labs-docsum-authors2"/>
    <w:basedOn w:val="DefaultParagraphFont"/>
    <w:rsid w:val="00040D2E"/>
  </w:style>
  <w:style w:type="character" w:customStyle="1" w:styleId="labs-docsum-journal-citation">
    <w:name w:val="labs-docsum-journal-citation"/>
    <w:basedOn w:val="DefaultParagraphFont"/>
    <w:rsid w:val="00040D2E"/>
  </w:style>
  <w:style w:type="character" w:customStyle="1" w:styleId="citation-part">
    <w:name w:val="citation-part"/>
    <w:basedOn w:val="DefaultParagraphFont"/>
    <w:rsid w:val="00040D2E"/>
  </w:style>
  <w:style w:type="character" w:customStyle="1" w:styleId="docsum-pmid">
    <w:name w:val="docsum-pmid"/>
    <w:basedOn w:val="DefaultParagraphFont"/>
    <w:rsid w:val="00040D2E"/>
  </w:style>
  <w:style w:type="character" w:customStyle="1" w:styleId="UnresolvedMention1">
    <w:name w:val="Unresolved Mention1"/>
    <w:basedOn w:val="DefaultParagraphFont"/>
    <w:uiPriority w:val="99"/>
    <w:semiHidden/>
    <w:unhideWhenUsed/>
    <w:rsid w:val="008842F4"/>
    <w:rPr>
      <w:color w:val="605E5C"/>
      <w:shd w:val="clear" w:color="auto" w:fill="E1DFDD"/>
    </w:rPr>
  </w:style>
  <w:style w:type="character" w:customStyle="1" w:styleId="acopre">
    <w:name w:val="acopre"/>
    <w:basedOn w:val="DefaultParagraphFont"/>
    <w:rsid w:val="000C78CB"/>
  </w:style>
  <w:style w:type="character" w:customStyle="1" w:styleId="UnresolvedMention2">
    <w:name w:val="Unresolved Mention2"/>
    <w:basedOn w:val="DefaultParagraphFont"/>
    <w:uiPriority w:val="99"/>
    <w:semiHidden/>
    <w:unhideWhenUsed/>
    <w:rsid w:val="00886042"/>
    <w:rPr>
      <w:color w:val="605E5C"/>
      <w:shd w:val="clear" w:color="auto" w:fill="E1DFDD"/>
    </w:rPr>
  </w:style>
  <w:style w:type="table" w:styleId="TableGrid">
    <w:name w:val="Table Grid"/>
    <w:basedOn w:val="TableNormal"/>
    <w:uiPriority w:val="59"/>
    <w:rsid w:val="00672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ype">
    <w:name w:val="articletype"/>
    <w:basedOn w:val="Normal"/>
    <w:rsid w:val="009D71EA"/>
    <w:pPr>
      <w:spacing w:before="100" w:beforeAutospacing="1" w:after="100" w:afterAutospacing="1"/>
    </w:pPr>
  </w:style>
  <w:style w:type="character" w:customStyle="1" w:styleId="articletypefull">
    <w:name w:val="articletypefull"/>
    <w:basedOn w:val="DefaultParagraphFont"/>
    <w:rsid w:val="009D71EA"/>
  </w:style>
  <w:style w:type="character" w:customStyle="1" w:styleId="Heading2Char">
    <w:name w:val="Heading 2 Char"/>
    <w:basedOn w:val="DefaultParagraphFont"/>
    <w:link w:val="Heading2"/>
    <w:uiPriority w:val="9"/>
    <w:rsid w:val="003113B4"/>
    <w:rPr>
      <w:rFonts w:ascii="Times New Roman" w:eastAsia="Times New Roman" w:hAnsi="Times New Roman" w:cs="Times New Roman"/>
      <w:b/>
      <w:bCs/>
      <w:sz w:val="36"/>
      <w:szCs w:val="36"/>
      <w:lang w:eastAsia="en-GB"/>
    </w:rPr>
  </w:style>
  <w:style w:type="character" w:styleId="PageNumber">
    <w:name w:val="page number"/>
    <w:basedOn w:val="DefaultParagraphFont"/>
    <w:uiPriority w:val="99"/>
    <w:semiHidden/>
    <w:unhideWhenUsed/>
    <w:rsid w:val="00182DD7"/>
  </w:style>
  <w:style w:type="character" w:customStyle="1" w:styleId="postalcode">
    <w:name w:val="postalcode"/>
    <w:basedOn w:val="DefaultParagraphFont"/>
    <w:rsid w:val="00EF79E0"/>
  </w:style>
  <w:style w:type="character" w:customStyle="1" w:styleId="lrzxr">
    <w:name w:val="lrzxr"/>
    <w:basedOn w:val="DefaultParagraphFont"/>
    <w:rsid w:val="00C772F4"/>
  </w:style>
  <w:style w:type="character" w:customStyle="1" w:styleId="Heading3Char">
    <w:name w:val="Heading 3 Char"/>
    <w:basedOn w:val="DefaultParagraphFont"/>
    <w:link w:val="Heading3"/>
    <w:uiPriority w:val="9"/>
    <w:rsid w:val="0080063C"/>
    <w:rPr>
      <w:rFonts w:asciiTheme="majorHAnsi" w:eastAsiaTheme="majorEastAsia" w:hAnsiTheme="majorHAnsi" w:cstheme="majorBidi"/>
      <w:color w:val="243F60" w:themeColor="accent1" w:themeShade="7F"/>
      <w:sz w:val="24"/>
      <w:szCs w:val="24"/>
      <w:lang w:eastAsia="en-GB"/>
    </w:rPr>
  </w:style>
  <w:style w:type="character" w:customStyle="1" w:styleId="hgkelc">
    <w:name w:val="hgkelc"/>
    <w:basedOn w:val="DefaultParagraphFont"/>
    <w:rsid w:val="00685943"/>
  </w:style>
  <w:style w:type="character" w:customStyle="1" w:styleId="UnresolvedMention3">
    <w:name w:val="Unresolved Mention3"/>
    <w:basedOn w:val="DefaultParagraphFont"/>
    <w:uiPriority w:val="99"/>
    <w:semiHidden/>
    <w:unhideWhenUsed/>
    <w:rsid w:val="001277BC"/>
    <w:rPr>
      <w:color w:val="605E5C"/>
      <w:shd w:val="clear" w:color="auto" w:fill="E1DFDD"/>
    </w:rPr>
  </w:style>
  <w:style w:type="character" w:customStyle="1" w:styleId="authors-list-item">
    <w:name w:val="authors-list-item"/>
    <w:basedOn w:val="DefaultParagraphFont"/>
    <w:rsid w:val="00ED297A"/>
  </w:style>
  <w:style w:type="character" w:customStyle="1" w:styleId="element-citation">
    <w:name w:val="element-citation"/>
    <w:basedOn w:val="DefaultParagraphFont"/>
    <w:rsid w:val="00312B30"/>
  </w:style>
  <w:style w:type="character" w:customStyle="1" w:styleId="ref-journal">
    <w:name w:val="ref-journal"/>
    <w:basedOn w:val="DefaultParagraphFont"/>
    <w:rsid w:val="00312B30"/>
  </w:style>
  <w:style w:type="character" w:customStyle="1" w:styleId="ref-vol">
    <w:name w:val="ref-vol"/>
    <w:basedOn w:val="DefaultParagraphFont"/>
    <w:rsid w:val="00312B30"/>
  </w:style>
  <w:style w:type="character" w:customStyle="1" w:styleId="nowrap">
    <w:name w:val="nowrap"/>
    <w:basedOn w:val="DefaultParagraphFont"/>
    <w:rsid w:val="00312B30"/>
  </w:style>
  <w:style w:type="character" w:customStyle="1" w:styleId="id-label">
    <w:name w:val="id-label"/>
    <w:basedOn w:val="DefaultParagraphFont"/>
    <w:rsid w:val="00F6762C"/>
  </w:style>
  <w:style w:type="paragraph" w:customStyle="1" w:styleId="Default">
    <w:name w:val="Default"/>
    <w:rsid w:val="00112E4F"/>
    <w:pPr>
      <w:autoSpaceDE w:val="0"/>
      <w:autoSpaceDN w:val="0"/>
      <w:adjustRightInd w:val="0"/>
      <w:spacing w:after="0" w:line="240" w:lineRule="auto"/>
    </w:pPr>
    <w:rPr>
      <w:rFonts w:ascii="ScalaLancetPro" w:hAnsi="ScalaLancetPro" w:cs="ScalaLancet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199">
      <w:bodyDiv w:val="1"/>
      <w:marLeft w:val="0"/>
      <w:marRight w:val="0"/>
      <w:marTop w:val="0"/>
      <w:marBottom w:val="0"/>
      <w:divBdr>
        <w:top w:val="none" w:sz="0" w:space="0" w:color="auto"/>
        <w:left w:val="none" w:sz="0" w:space="0" w:color="auto"/>
        <w:bottom w:val="none" w:sz="0" w:space="0" w:color="auto"/>
        <w:right w:val="none" w:sz="0" w:space="0" w:color="auto"/>
      </w:divBdr>
    </w:div>
    <w:div w:id="42557235">
      <w:bodyDiv w:val="1"/>
      <w:marLeft w:val="0"/>
      <w:marRight w:val="0"/>
      <w:marTop w:val="0"/>
      <w:marBottom w:val="0"/>
      <w:divBdr>
        <w:top w:val="none" w:sz="0" w:space="0" w:color="auto"/>
        <w:left w:val="none" w:sz="0" w:space="0" w:color="auto"/>
        <w:bottom w:val="none" w:sz="0" w:space="0" w:color="auto"/>
        <w:right w:val="none" w:sz="0" w:space="0" w:color="auto"/>
      </w:divBdr>
    </w:div>
    <w:div w:id="44182712">
      <w:bodyDiv w:val="1"/>
      <w:marLeft w:val="0"/>
      <w:marRight w:val="0"/>
      <w:marTop w:val="0"/>
      <w:marBottom w:val="0"/>
      <w:divBdr>
        <w:top w:val="none" w:sz="0" w:space="0" w:color="auto"/>
        <w:left w:val="none" w:sz="0" w:space="0" w:color="auto"/>
        <w:bottom w:val="none" w:sz="0" w:space="0" w:color="auto"/>
        <w:right w:val="none" w:sz="0" w:space="0" w:color="auto"/>
      </w:divBdr>
    </w:div>
    <w:div w:id="105541480">
      <w:bodyDiv w:val="1"/>
      <w:marLeft w:val="0"/>
      <w:marRight w:val="0"/>
      <w:marTop w:val="0"/>
      <w:marBottom w:val="0"/>
      <w:divBdr>
        <w:top w:val="none" w:sz="0" w:space="0" w:color="auto"/>
        <w:left w:val="none" w:sz="0" w:space="0" w:color="auto"/>
        <w:bottom w:val="none" w:sz="0" w:space="0" w:color="auto"/>
        <w:right w:val="none" w:sz="0" w:space="0" w:color="auto"/>
      </w:divBdr>
    </w:div>
    <w:div w:id="124273639">
      <w:bodyDiv w:val="1"/>
      <w:marLeft w:val="0"/>
      <w:marRight w:val="0"/>
      <w:marTop w:val="0"/>
      <w:marBottom w:val="0"/>
      <w:divBdr>
        <w:top w:val="none" w:sz="0" w:space="0" w:color="auto"/>
        <w:left w:val="none" w:sz="0" w:space="0" w:color="auto"/>
        <w:bottom w:val="none" w:sz="0" w:space="0" w:color="auto"/>
        <w:right w:val="none" w:sz="0" w:space="0" w:color="auto"/>
      </w:divBdr>
    </w:div>
    <w:div w:id="150105238">
      <w:bodyDiv w:val="1"/>
      <w:marLeft w:val="0"/>
      <w:marRight w:val="0"/>
      <w:marTop w:val="0"/>
      <w:marBottom w:val="0"/>
      <w:divBdr>
        <w:top w:val="none" w:sz="0" w:space="0" w:color="auto"/>
        <w:left w:val="none" w:sz="0" w:space="0" w:color="auto"/>
        <w:bottom w:val="none" w:sz="0" w:space="0" w:color="auto"/>
        <w:right w:val="none" w:sz="0" w:space="0" w:color="auto"/>
      </w:divBdr>
    </w:div>
    <w:div w:id="170686101">
      <w:bodyDiv w:val="1"/>
      <w:marLeft w:val="0"/>
      <w:marRight w:val="0"/>
      <w:marTop w:val="0"/>
      <w:marBottom w:val="0"/>
      <w:divBdr>
        <w:top w:val="none" w:sz="0" w:space="0" w:color="auto"/>
        <w:left w:val="none" w:sz="0" w:space="0" w:color="auto"/>
        <w:bottom w:val="none" w:sz="0" w:space="0" w:color="auto"/>
        <w:right w:val="none" w:sz="0" w:space="0" w:color="auto"/>
      </w:divBdr>
    </w:div>
    <w:div w:id="203298317">
      <w:bodyDiv w:val="1"/>
      <w:marLeft w:val="0"/>
      <w:marRight w:val="0"/>
      <w:marTop w:val="0"/>
      <w:marBottom w:val="0"/>
      <w:divBdr>
        <w:top w:val="none" w:sz="0" w:space="0" w:color="auto"/>
        <w:left w:val="none" w:sz="0" w:space="0" w:color="auto"/>
        <w:bottom w:val="none" w:sz="0" w:space="0" w:color="auto"/>
        <w:right w:val="none" w:sz="0" w:space="0" w:color="auto"/>
      </w:divBdr>
    </w:div>
    <w:div w:id="210922970">
      <w:bodyDiv w:val="1"/>
      <w:marLeft w:val="0"/>
      <w:marRight w:val="0"/>
      <w:marTop w:val="0"/>
      <w:marBottom w:val="0"/>
      <w:divBdr>
        <w:top w:val="none" w:sz="0" w:space="0" w:color="auto"/>
        <w:left w:val="none" w:sz="0" w:space="0" w:color="auto"/>
        <w:bottom w:val="none" w:sz="0" w:space="0" w:color="auto"/>
        <w:right w:val="none" w:sz="0" w:space="0" w:color="auto"/>
      </w:divBdr>
    </w:div>
    <w:div w:id="241524836">
      <w:bodyDiv w:val="1"/>
      <w:marLeft w:val="0"/>
      <w:marRight w:val="0"/>
      <w:marTop w:val="0"/>
      <w:marBottom w:val="0"/>
      <w:divBdr>
        <w:top w:val="none" w:sz="0" w:space="0" w:color="auto"/>
        <w:left w:val="none" w:sz="0" w:space="0" w:color="auto"/>
        <w:bottom w:val="none" w:sz="0" w:space="0" w:color="auto"/>
        <w:right w:val="none" w:sz="0" w:space="0" w:color="auto"/>
      </w:divBdr>
    </w:div>
    <w:div w:id="266929354">
      <w:bodyDiv w:val="1"/>
      <w:marLeft w:val="0"/>
      <w:marRight w:val="0"/>
      <w:marTop w:val="0"/>
      <w:marBottom w:val="0"/>
      <w:divBdr>
        <w:top w:val="none" w:sz="0" w:space="0" w:color="auto"/>
        <w:left w:val="none" w:sz="0" w:space="0" w:color="auto"/>
        <w:bottom w:val="none" w:sz="0" w:space="0" w:color="auto"/>
        <w:right w:val="none" w:sz="0" w:space="0" w:color="auto"/>
      </w:divBdr>
    </w:div>
    <w:div w:id="277950004">
      <w:bodyDiv w:val="1"/>
      <w:marLeft w:val="0"/>
      <w:marRight w:val="0"/>
      <w:marTop w:val="0"/>
      <w:marBottom w:val="0"/>
      <w:divBdr>
        <w:top w:val="none" w:sz="0" w:space="0" w:color="auto"/>
        <w:left w:val="none" w:sz="0" w:space="0" w:color="auto"/>
        <w:bottom w:val="none" w:sz="0" w:space="0" w:color="auto"/>
        <w:right w:val="none" w:sz="0" w:space="0" w:color="auto"/>
      </w:divBdr>
    </w:div>
    <w:div w:id="289635198">
      <w:bodyDiv w:val="1"/>
      <w:marLeft w:val="0"/>
      <w:marRight w:val="0"/>
      <w:marTop w:val="0"/>
      <w:marBottom w:val="0"/>
      <w:divBdr>
        <w:top w:val="none" w:sz="0" w:space="0" w:color="auto"/>
        <w:left w:val="none" w:sz="0" w:space="0" w:color="auto"/>
        <w:bottom w:val="none" w:sz="0" w:space="0" w:color="auto"/>
        <w:right w:val="none" w:sz="0" w:space="0" w:color="auto"/>
      </w:divBdr>
    </w:div>
    <w:div w:id="301470839">
      <w:bodyDiv w:val="1"/>
      <w:marLeft w:val="0"/>
      <w:marRight w:val="0"/>
      <w:marTop w:val="0"/>
      <w:marBottom w:val="0"/>
      <w:divBdr>
        <w:top w:val="none" w:sz="0" w:space="0" w:color="auto"/>
        <w:left w:val="none" w:sz="0" w:space="0" w:color="auto"/>
        <w:bottom w:val="none" w:sz="0" w:space="0" w:color="auto"/>
        <w:right w:val="none" w:sz="0" w:space="0" w:color="auto"/>
      </w:divBdr>
    </w:div>
    <w:div w:id="314645535">
      <w:bodyDiv w:val="1"/>
      <w:marLeft w:val="0"/>
      <w:marRight w:val="0"/>
      <w:marTop w:val="0"/>
      <w:marBottom w:val="0"/>
      <w:divBdr>
        <w:top w:val="none" w:sz="0" w:space="0" w:color="auto"/>
        <w:left w:val="none" w:sz="0" w:space="0" w:color="auto"/>
        <w:bottom w:val="none" w:sz="0" w:space="0" w:color="auto"/>
        <w:right w:val="none" w:sz="0" w:space="0" w:color="auto"/>
      </w:divBdr>
      <w:divsChild>
        <w:div w:id="336856295">
          <w:marLeft w:val="0"/>
          <w:marRight w:val="0"/>
          <w:marTop w:val="0"/>
          <w:marBottom w:val="0"/>
          <w:divBdr>
            <w:top w:val="none" w:sz="0" w:space="0" w:color="auto"/>
            <w:left w:val="none" w:sz="0" w:space="0" w:color="auto"/>
            <w:bottom w:val="none" w:sz="0" w:space="0" w:color="auto"/>
            <w:right w:val="none" w:sz="0" w:space="0" w:color="auto"/>
          </w:divBdr>
        </w:div>
      </w:divsChild>
    </w:div>
    <w:div w:id="384258771">
      <w:bodyDiv w:val="1"/>
      <w:marLeft w:val="0"/>
      <w:marRight w:val="0"/>
      <w:marTop w:val="0"/>
      <w:marBottom w:val="0"/>
      <w:divBdr>
        <w:top w:val="none" w:sz="0" w:space="0" w:color="auto"/>
        <w:left w:val="none" w:sz="0" w:space="0" w:color="auto"/>
        <w:bottom w:val="none" w:sz="0" w:space="0" w:color="auto"/>
        <w:right w:val="none" w:sz="0" w:space="0" w:color="auto"/>
      </w:divBdr>
    </w:div>
    <w:div w:id="384910033">
      <w:bodyDiv w:val="1"/>
      <w:marLeft w:val="0"/>
      <w:marRight w:val="0"/>
      <w:marTop w:val="0"/>
      <w:marBottom w:val="0"/>
      <w:divBdr>
        <w:top w:val="none" w:sz="0" w:space="0" w:color="auto"/>
        <w:left w:val="none" w:sz="0" w:space="0" w:color="auto"/>
        <w:bottom w:val="none" w:sz="0" w:space="0" w:color="auto"/>
        <w:right w:val="none" w:sz="0" w:space="0" w:color="auto"/>
      </w:divBdr>
    </w:div>
    <w:div w:id="398135239">
      <w:bodyDiv w:val="1"/>
      <w:marLeft w:val="0"/>
      <w:marRight w:val="0"/>
      <w:marTop w:val="0"/>
      <w:marBottom w:val="0"/>
      <w:divBdr>
        <w:top w:val="none" w:sz="0" w:space="0" w:color="auto"/>
        <w:left w:val="none" w:sz="0" w:space="0" w:color="auto"/>
        <w:bottom w:val="none" w:sz="0" w:space="0" w:color="auto"/>
        <w:right w:val="none" w:sz="0" w:space="0" w:color="auto"/>
      </w:divBdr>
    </w:div>
    <w:div w:id="402795893">
      <w:bodyDiv w:val="1"/>
      <w:marLeft w:val="0"/>
      <w:marRight w:val="0"/>
      <w:marTop w:val="0"/>
      <w:marBottom w:val="0"/>
      <w:divBdr>
        <w:top w:val="none" w:sz="0" w:space="0" w:color="auto"/>
        <w:left w:val="none" w:sz="0" w:space="0" w:color="auto"/>
        <w:bottom w:val="none" w:sz="0" w:space="0" w:color="auto"/>
        <w:right w:val="none" w:sz="0" w:space="0" w:color="auto"/>
      </w:divBdr>
    </w:div>
    <w:div w:id="490678662">
      <w:bodyDiv w:val="1"/>
      <w:marLeft w:val="0"/>
      <w:marRight w:val="0"/>
      <w:marTop w:val="0"/>
      <w:marBottom w:val="0"/>
      <w:divBdr>
        <w:top w:val="none" w:sz="0" w:space="0" w:color="auto"/>
        <w:left w:val="none" w:sz="0" w:space="0" w:color="auto"/>
        <w:bottom w:val="none" w:sz="0" w:space="0" w:color="auto"/>
        <w:right w:val="none" w:sz="0" w:space="0" w:color="auto"/>
      </w:divBdr>
    </w:div>
    <w:div w:id="522596093">
      <w:bodyDiv w:val="1"/>
      <w:marLeft w:val="0"/>
      <w:marRight w:val="0"/>
      <w:marTop w:val="0"/>
      <w:marBottom w:val="0"/>
      <w:divBdr>
        <w:top w:val="none" w:sz="0" w:space="0" w:color="auto"/>
        <w:left w:val="none" w:sz="0" w:space="0" w:color="auto"/>
        <w:bottom w:val="none" w:sz="0" w:space="0" w:color="auto"/>
        <w:right w:val="none" w:sz="0" w:space="0" w:color="auto"/>
      </w:divBdr>
    </w:div>
    <w:div w:id="546835585">
      <w:bodyDiv w:val="1"/>
      <w:marLeft w:val="0"/>
      <w:marRight w:val="0"/>
      <w:marTop w:val="0"/>
      <w:marBottom w:val="0"/>
      <w:divBdr>
        <w:top w:val="none" w:sz="0" w:space="0" w:color="auto"/>
        <w:left w:val="none" w:sz="0" w:space="0" w:color="auto"/>
        <w:bottom w:val="none" w:sz="0" w:space="0" w:color="auto"/>
        <w:right w:val="none" w:sz="0" w:space="0" w:color="auto"/>
      </w:divBdr>
    </w:div>
    <w:div w:id="601568643">
      <w:bodyDiv w:val="1"/>
      <w:marLeft w:val="0"/>
      <w:marRight w:val="0"/>
      <w:marTop w:val="0"/>
      <w:marBottom w:val="0"/>
      <w:divBdr>
        <w:top w:val="none" w:sz="0" w:space="0" w:color="auto"/>
        <w:left w:val="none" w:sz="0" w:space="0" w:color="auto"/>
        <w:bottom w:val="none" w:sz="0" w:space="0" w:color="auto"/>
        <w:right w:val="none" w:sz="0" w:space="0" w:color="auto"/>
      </w:divBdr>
    </w:div>
    <w:div w:id="621813189">
      <w:bodyDiv w:val="1"/>
      <w:marLeft w:val="0"/>
      <w:marRight w:val="0"/>
      <w:marTop w:val="0"/>
      <w:marBottom w:val="0"/>
      <w:divBdr>
        <w:top w:val="none" w:sz="0" w:space="0" w:color="auto"/>
        <w:left w:val="none" w:sz="0" w:space="0" w:color="auto"/>
        <w:bottom w:val="none" w:sz="0" w:space="0" w:color="auto"/>
        <w:right w:val="none" w:sz="0" w:space="0" w:color="auto"/>
      </w:divBdr>
    </w:div>
    <w:div w:id="629436177">
      <w:bodyDiv w:val="1"/>
      <w:marLeft w:val="0"/>
      <w:marRight w:val="0"/>
      <w:marTop w:val="0"/>
      <w:marBottom w:val="0"/>
      <w:divBdr>
        <w:top w:val="none" w:sz="0" w:space="0" w:color="auto"/>
        <w:left w:val="none" w:sz="0" w:space="0" w:color="auto"/>
        <w:bottom w:val="none" w:sz="0" w:space="0" w:color="auto"/>
        <w:right w:val="none" w:sz="0" w:space="0" w:color="auto"/>
      </w:divBdr>
      <w:divsChild>
        <w:div w:id="1838111785">
          <w:marLeft w:val="0"/>
          <w:marRight w:val="0"/>
          <w:marTop w:val="0"/>
          <w:marBottom w:val="0"/>
          <w:divBdr>
            <w:top w:val="none" w:sz="0" w:space="0" w:color="auto"/>
            <w:left w:val="none" w:sz="0" w:space="0" w:color="auto"/>
            <w:bottom w:val="none" w:sz="0" w:space="0" w:color="auto"/>
            <w:right w:val="none" w:sz="0" w:space="0" w:color="auto"/>
          </w:divBdr>
        </w:div>
        <w:div w:id="699204793">
          <w:marLeft w:val="0"/>
          <w:marRight w:val="0"/>
          <w:marTop w:val="0"/>
          <w:marBottom w:val="0"/>
          <w:divBdr>
            <w:top w:val="none" w:sz="0" w:space="0" w:color="auto"/>
            <w:left w:val="none" w:sz="0" w:space="0" w:color="auto"/>
            <w:bottom w:val="none" w:sz="0" w:space="0" w:color="auto"/>
            <w:right w:val="none" w:sz="0" w:space="0" w:color="auto"/>
          </w:divBdr>
        </w:div>
      </w:divsChild>
    </w:div>
    <w:div w:id="630017054">
      <w:bodyDiv w:val="1"/>
      <w:marLeft w:val="0"/>
      <w:marRight w:val="0"/>
      <w:marTop w:val="0"/>
      <w:marBottom w:val="0"/>
      <w:divBdr>
        <w:top w:val="none" w:sz="0" w:space="0" w:color="auto"/>
        <w:left w:val="none" w:sz="0" w:space="0" w:color="auto"/>
        <w:bottom w:val="none" w:sz="0" w:space="0" w:color="auto"/>
        <w:right w:val="none" w:sz="0" w:space="0" w:color="auto"/>
      </w:divBdr>
    </w:div>
    <w:div w:id="661979287">
      <w:bodyDiv w:val="1"/>
      <w:marLeft w:val="0"/>
      <w:marRight w:val="0"/>
      <w:marTop w:val="0"/>
      <w:marBottom w:val="0"/>
      <w:divBdr>
        <w:top w:val="none" w:sz="0" w:space="0" w:color="auto"/>
        <w:left w:val="none" w:sz="0" w:space="0" w:color="auto"/>
        <w:bottom w:val="none" w:sz="0" w:space="0" w:color="auto"/>
        <w:right w:val="none" w:sz="0" w:space="0" w:color="auto"/>
      </w:divBdr>
    </w:div>
    <w:div w:id="784348332">
      <w:bodyDiv w:val="1"/>
      <w:marLeft w:val="0"/>
      <w:marRight w:val="0"/>
      <w:marTop w:val="0"/>
      <w:marBottom w:val="0"/>
      <w:divBdr>
        <w:top w:val="none" w:sz="0" w:space="0" w:color="auto"/>
        <w:left w:val="none" w:sz="0" w:space="0" w:color="auto"/>
        <w:bottom w:val="none" w:sz="0" w:space="0" w:color="auto"/>
        <w:right w:val="none" w:sz="0" w:space="0" w:color="auto"/>
      </w:divBdr>
    </w:div>
    <w:div w:id="815337516">
      <w:bodyDiv w:val="1"/>
      <w:marLeft w:val="0"/>
      <w:marRight w:val="0"/>
      <w:marTop w:val="0"/>
      <w:marBottom w:val="0"/>
      <w:divBdr>
        <w:top w:val="none" w:sz="0" w:space="0" w:color="auto"/>
        <w:left w:val="none" w:sz="0" w:space="0" w:color="auto"/>
        <w:bottom w:val="none" w:sz="0" w:space="0" w:color="auto"/>
        <w:right w:val="none" w:sz="0" w:space="0" w:color="auto"/>
      </w:divBdr>
      <w:divsChild>
        <w:div w:id="903565734">
          <w:marLeft w:val="0"/>
          <w:marRight w:val="0"/>
          <w:marTop w:val="0"/>
          <w:marBottom w:val="0"/>
          <w:divBdr>
            <w:top w:val="none" w:sz="0" w:space="0" w:color="auto"/>
            <w:left w:val="none" w:sz="0" w:space="0" w:color="auto"/>
            <w:bottom w:val="none" w:sz="0" w:space="0" w:color="auto"/>
            <w:right w:val="none" w:sz="0" w:space="0" w:color="auto"/>
          </w:divBdr>
        </w:div>
        <w:div w:id="2123301392">
          <w:marLeft w:val="0"/>
          <w:marRight w:val="0"/>
          <w:marTop w:val="0"/>
          <w:marBottom w:val="0"/>
          <w:divBdr>
            <w:top w:val="none" w:sz="0" w:space="0" w:color="auto"/>
            <w:left w:val="none" w:sz="0" w:space="0" w:color="auto"/>
            <w:bottom w:val="none" w:sz="0" w:space="0" w:color="auto"/>
            <w:right w:val="none" w:sz="0" w:space="0" w:color="auto"/>
          </w:divBdr>
        </w:div>
        <w:div w:id="429737566">
          <w:marLeft w:val="0"/>
          <w:marRight w:val="0"/>
          <w:marTop w:val="0"/>
          <w:marBottom w:val="0"/>
          <w:divBdr>
            <w:top w:val="none" w:sz="0" w:space="0" w:color="auto"/>
            <w:left w:val="none" w:sz="0" w:space="0" w:color="auto"/>
            <w:bottom w:val="none" w:sz="0" w:space="0" w:color="auto"/>
            <w:right w:val="none" w:sz="0" w:space="0" w:color="auto"/>
          </w:divBdr>
        </w:div>
        <w:div w:id="264389671">
          <w:marLeft w:val="0"/>
          <w:marRight w:val="0"/>
          <w:marTop w:val="0"/>
          <w:marBottom w:val="0"/>
          <w:divBdr>
            <w:top w:val="none" w:sz="0" w:space="0" w:color="auto"/>
            <w:left w:val="none" w:sz="0" w:space="0" w:color="auto"/>
            <w:bottom w:val="none" w:sz="0" w:space="0" w:color="auto"/>
            <w:right w:val="none" w:sz="0" w:space="0" w:color="auto"/>
          </w:divBdr>
        </w:div>
      </w:divsChild>
    </w:div>
    <w:div w:id="822621889">
      <w:bodyDiv w:val="1"/>
      <w:marLeft w:val="0"/>
      <w:marRight w:val="0"/>
      <w:marTop w:val="0"/>
      <w:marBottom w:val="0"/>
      <w:divBdr>
        <w:top w:val="none" w:sz="0" w:space="0" w:color="auto"/>
        <w:left w:val="none" w:sz="0" w:space="0" w:color="auto"/>
        <w:bottom w:val="none" w:sz="0" w:space="0" w:color="auto"/>
        <w:right w:val="none" w:sz="0" w:space="0" w:color="auto"/>
      </w:divBdr>
    </w:div>
    <w:div w:id="858810432">
      <w:bodyDiv w:val="1"/>
      <w:marLeft w:val="0"/>
      <w:marRight w:val="0"/>
      <w:marTop w:val="0"/>
      <w:marBottom w:val="0"/>
      <w:divBdr>
        <w:top w:val="none" w:sz="0" w:space="0" w:color="auto"/>
        <w:left w:val="none" w:sz="0" w:space="0" w:color="auto"/>
        <w:bottom w:val="none" w:sz="0" w:space="0" w:color="auto"/>
        <w:right w:val="none" w:sz="0" w:space="0" w:color="auto"/>
      </w:divBdr>
    </w:div>
    <w:div w:id="905577883">
      <w:bodyDiv w:val="1"/>
      <w:marLeft w:val="0"/>
      <w:marRight w:val="0"/>
      <w:marTop w:val="0"/>
      <w:marBottom w:val="0"/>
      <w:divBdr>
        <w:top w:val="none" w:sz="0" w:space="0" w:color="auto"/>
        <w:left w:val="none" w:sz="0" w:space="0" w:color="auto"/>
        <w:bottom w:val="none" w:sz="0" w:space="0" w:color="auto"/>
        <w:right w:val="none" w:sz="0" w:space="0" w:color="auto"/>
      </w:divBdr>
    </w:div>
    <w:div w:id="944388741">
      <w:bodyDiv w:val="1"/>
      <w:marLeft w:val="0"/>
      <w:marRight w:val="0"/>
      <w:marTop w:val="0"/>
      <w:marBottom w:val="0"/>
      <w:divBdr>
        <w:top w:val="none" w:sz="0" w:space="0" w:color="auto"/>
        <w:left w:val="none" w:sz="0" w:space="0" w:color="auto"/>
        <w:bottom w:val="none" w:sz="0" w:space="0" w:color="auto"/>
        <w:right w:val="none" w:sz="0" w:space="0" w:color="auto"/>
      </w:divBdr>
    </w:div>
    <w:div w:id="1018697626">
      <w:bodyDiv w:val="1"/>
      <w:marLeft w:val="0"/>
      <w:marRight w:val="0"/>
      <w:marTop w:val="0"/>
      <w:marBottom w:val="0"/>
      <w:divBdr>
        <w:top w:val="none" w:sz="0" w:space="0" w:color="auto"/>
        <w:left w:val="none" w:sz="0" w:space="0" w:color="auto"/>
        <w:bottom w:val="none" w:sz="0" w:space="0" w:color="auto"/>
        <w:right w:val="none" w:sz="0" w:space="0" w:color="auto"/>
      </w:divBdr>
    </w:div>
    <w:div w:id="1032267757">
      <w:bodyDiv w:val="1"/>
      <w:marLeft w:val="0"/>
      <w:marRight w:val="0"/>
      <w:marTop w:val="0"/>
      <w:marBottom w:val="0"/>
      <w:divBdr>
        <w:top w:val="none" w:sz="0" w:space="0" w:color="auto"/>
        <w:left w:val="none" w:sz="0" w:space="0" w:color="auto"/>
        <w:bottom w:val="none" w:sz="0" w:space="0" w:color="auto"/>
        <w:right w:val="none" w:sz="0" w:space="0" w:color="auto"/>
      </w:divBdr>
    </w:div>
    <w:div w:id="1057775253">
      <w:bodyDiv w:val="1"/>
      <w:marLeft w:val="0"/>
      <w:marRight w:val="0"/>
      <w:marTop w:val="0"/>
      <w:marBottom w:val="0"/>
      <w:divBdr>
        <w:top w:val="none" w:sz="0" w:space="0" w:color="auto"/>
        <w:left w:val="none" w:sz="0" w:space="0" w:color="auto"/>
        <w:bottom w:val="none" w:sz="0" w:space="0" w:color="auto"/>
        <w:right w:val="none" w:sz="0" w:space="0" w:color="auto"/>
      </w:divBdr>
    </w:div>
    <w:div w:id="1063716984">
      <w:bodyDiv w:val="1"/>
      <w:marLeft w:val="0"/>
      <w:marRight w:val="0"/>
      <w:marTop w:val="0"/>
      <w:marBottom w:val="0"/>
      <w:divBdr>
        <w:top w:val="none" w:sz="0" w:space="0" w:color="auto"/>
        <w:left w:val="none" w:sz="0" w:space="0" w:color="auto"/>
        <w:bottom w:val="none" w:sz="0" w:space="0" w:color="auto"/>
        <w:right w:val="none" w:sz="0" w:space="0" w:color="auto"/>
      </w:divBdr>
    </w:div>
    <w:div w:id="1077746523">
      <w:bodyDiv w:val="1"/>
      <w:marLeft w:val="0"/>
      <w:marRight w:val="0"/>
      <w:marTop w:val="0"/>
      <w:marBottom w:val="0"/>
      <w:divBdr>
        <w:top w:val="none" w:sz="0" w:space="0" w:color="auto"/>
        <w:left w:val="none" w:sz="0" w:space="0" w:color="auto"/>
        <w:bottom w:val="none" w:sz="0" w:space="0" w:color="auto"/>
        <w:right w:val="none" w:sz="0" w:space="0" w:color="auto"/>
      </w:divBdr>
    </w:div>
    <w:div w:id="1142428307">
      <w:bodyDiv w:val="1"/>
      <w:marLeft w:val="0"/>
      <w:marRight w:val="0"/>
      <w:marTop w:val="0"/>
      <w:marBottom w:val="0"/>
      <w:divBdr>
        <w:top w:val="none" w:sz="0" w:space="0" w:color="auto"/>
        <w:left w:val="none" w:sz="0" w:space="0" w:color="auto"/>
        <w:bottom w:val="none" w:sz="0" w:space="0" w:color="auto"/>
        <w:right w:val="none" w:sz="0" w:space="0" w:color="auto"/>
      </w:divBdr>
    </w:div>
    <w:div w:id="1145002383">
      <w:bodyDiv w:val="1"/>
      <w:marLeft w:val="0"/>
      <w:marRight w:val="0"/>
      <w:marTop w:val="0"/>
      <w:marBottom w:val="0"/>
      <w:divBdr>
        <w:top w:val="none" w:sz="0" w:space="0" w:color="auto"/>
        <w:left w:val="none" w:sz="0" w:space="0" w:color="auto"/>
        <w:bottom w:val="none" w:sz="0" w:space="0" w:color="auto"/>
        <w:right w:val="none" w:sz="0" w:space="0" w:color="auto"/>
      </w:divBdr>
    </w:div>
    <w:div w:id="1148669616">
      <w:bodyDiv w:val="1"/>
      <w:marLeft w:val="0"/>
      <w:marRight w:val="0"/>
      <w:marTop w:val="0"/>
      <w:marBottom w:val="0"/>
      <w:divBdr>
        <w:top w:val="none" w:sz="0" w:space="0" w:color="auto"/>
        <w:left w:val="none" w:sz="0" w:space="0" w:color="auto"/>
        <w:bottom w:val="none" w:sz="0" w:space="0" w:color="auto"/>
        <w:right w:val="none" w:sz="0" w:space="0" w:color="auto"/>
      </w:divBdr>
    </w:div>
    <w:div w:id="1168400067">
      <w:bodyDiv w:val="1"/>
      <w:marLeft w:val="0"/>
      <w:marRight w:val="0"/>
      <w:marTop w:val="0"/>
      <w:marBottom w:val="0"/>
      <w:divBdr>
        <w:top w:val="none" w:sz="0" w:space="0" w:color="auto"/>
        <w:left w:val="none" w:sz="0" w:space="0" w:color="auto"/>
        <w:bottom w:val="none" w:sz="0" w:space="0" w:color="auto"/>
        <w:right w:val="none" w:sz="0" w:space="0" w:color="auto"/>
      </w:divBdr>
    </w:div>
    <w:div w:id="1197232083">
      <w:bodyDiv w:val="1"/>
      <w:marLeft w:val="0"/>
      <w:marRight w:val="0"/>
      <w:marTop w:val="0"/>
      <w:marBottom w:val="0"/>
      <w:divBdr>
        <w:top w:val="none" w:sz="0" w:space="0" w:color="auto"/>
        <w:left w:val="none" w:sz="0" w:space="0" w:color="auto"/>
        <w:bottom w:val="none" w:sz="0" w:space="0" w:color="auto"/>
        <w:right w:val="none" w:sz="0" w:space="0" w:color="auto"/>
      </w:divBdr>
    </w:div>
    <w:div w:id="1213883185">
      <w:bodyDiv w:val="1"/>
      <w:marLeft w:val="0"/>
      <w:marRight w:val="0"/>
      <w:marTop w:val="0"/>
      <w:marBottom w:val="0"/>
      <w:divBdr>
        <w:top w:val="none" w:sz="0" w:space="0" w:color="auto"/>
        <w:left w:val="none" w:sz="0" w:space="0" w:color="auto"/>
        <w:bottom w:val="none" w:sz="0" w:space="0" w:color="auto"/>
        <w:right w:val="none" w:sz="0" w:space="0" w:color="auto"/>
      </w:divBdr>
    </w:div>
    <w:div w:id="1221594759">
      <w:bodyDiv w:val="1"/>
      <w:marLeft w:val="0"/>
      <w:marRight w:val="0"/>
      <w:marTop w:val="0"/>
      <w:marBottom w:val="0"/>
      <w:divBdr>
        <w:top w:val="none" w:sz="0" w:space="0" w:color="auto"/>
        <w:left w:val="none" w:sz="0" w:space="0" w:color="auto"/>
        <w:bottom w:val="none" w:sz="0" w:space="0" w:color="auto"/>
        <w:right w:val="none" w:sz="0" w:space="0" w:color="auto"/>
      </w:divBdr>
    </w:div>
    <w:div w:id="1255238833">
      <w:bodyDiv w:val="1"/>
      <w:marLeft w:val="0"/>
      <w:marRight w:val="0"/>
      <w:marTop w:val="0"/>
      <w:marBottom w:val="0"/>
      <w:divBdr>
        <w:top w:val="none" w:sz="0" w:space="0" w:color="auto"/>
        <w:left w:val="none" w:sz="0" w:space="0" w:color="auto"/>
        <w:bottom w:val="none" w:sz="0" w:space="0" w:color="auto"/>
        <w:right w:val="none" w:sz="0" w:space="0" w:color="auto"/>
      </w:divBdr>
    </w:div>
    <w:div w:id="1281693245">
      <w:bodyDiv w:val="1"/>
      <w:marLeft w:val="0"/>
      <w:marRight w:val="0"/>
      <w:marTop w:val="0"/>
      <w:marBottom w:val="0"/>
      <w:divBdr>
        <w:top w:val="none" w:sz="0" w:space="0" w:color="auto"/>
        <w:left w:val="none" w:sz="0" w:space="0" w:color="auto"/>
        <w:bottom w:val="none" w:sz="0" w:space="0" w:color="auto"/>
        <w:right w:val="none" w:sz="0" w:space="0" w:color="auto"/>
      </w:divBdr>
    </w:div>
    <w:div w:id="1283418215">
      <w:bodyDiv w:val="1"/>
      <w:marLeft w:val="0"/>
      <w:marRight w:val="0"/>
      <w:marTop w:val="0"/>
      <w:marBottom w:val="0"/>
      <w:divBdr>
        <w:top w:val="none" w:sz="0" w:space="0" w:color="auto"/>
        <w:left w:val="none" w:sz="0" w:space="0" w:color="auto"/>
        <w:bottom w:val="none" w:sz="0" w:space="0" w:color="auto"/>
        <w:right w:val="none" w:sz="0" w:space="0" w:color="auto"/>
      </w:divBdr>
    </w:div>
    <w:div w:id="1289316266">
      <w:bodyDiv w:val="1"/>
      <w:marLeft w:val="0"/>
      <w:marRight w:val="0"/>
      <w:marTop w:val="0"/>
      <w:marBottom w:val="0"/>
      <w:divBdr>
        <w:top w:val="none" w:sz="0" w:space="0" w:color="auto"/>
        <w:left w:val="none" w:sz="0" w:space="0" w:color="auto"/>
        <w:bottom w:val="none" w:sz="0" w:space="0" w:color="auto"/>
        <w:right w:val="none" w:sz="0" w:space="0" w:color="auto"/>
      </w:divBdr>
      <w:divsChild>
        <w:div w:id="490492126">
          <w:marLeft w:val="0"/>
          <w:marRight w:val="0"/>
          <w:marTop w:val="0"/>
          <w:marBottom w:val="0"/>
          <w:divBdr>
            <w:top w:val="none" w:sz="0" w:space="0" w:color="auto"/>
            <w:left w:val="none" w:sz="0" w:space="0" w:color="auto"/>
            <w:bottom w:val="none" w:sz="0" w:space="0" w:color="auto"/>
            <w:right w:val="none" w:sz="0" w:space="0" w:color="auto"/>
          </w:divBdr>
        </w:div>
        <w:div w:id="865564672">
          <w:marLeft w:val="0"/>
          <w:marRight w:val="0"/>
          <w:marTop w:val="0"/>
          <w:marBottom w:val="0"/>
          <w:divBdr>
            <w:top w:val="none" w:sz="0" w:space="0" w:color="auto"/>
            <w:left w:val="none" w:sz="0" w:space="0" w:color="auto"/>
            <w:bottom w:val="none" w:sz="0" w:space="0" w:color="auto"/>
            <w:right w:val="none" w:sz="0" w:space="0" w:color="auto"/>
          </w:divBdr>
        </w:div>
        <w:div w:id="1216358400">
          <w:marLeft w:val="0"/>
          <w:marRight w:val="0"/>
          <w:marTop w:val="0"/>
          <w:marBottom w:val="0"/>
          <w:divBdr>
            <w:top w:val="none" w:sz="0" w:space="0" w:color="auto"/>
            <w:left w:val="none" w:sz="0" w:space="0" w:color="auto"/>
            <w:bottom w:val="none" w:sz="0" w:space="0" w:color="auto"/>
            <w:right w:val="none" w:sz="0" w:space="0" w:color="auto"/>
          </w:divBdr>
        </w:div>
        <w:div w:id="1957250462">
          <w:marLeft w:val="0"/>
          <w:marRight w:val="0"/>
          <w:marTop w:val="0"/>
          <w:marBottom w:val="0"/>
          <w:divBdr>
            <w:top w:val="none" w:sz="0" w:space="0" w:color="auto"/>
            <w:left w:val="none" w:sz="0" w:space="0" w:color="auto"/>
            <w:bottom w:val="none" w:sz="0" w:space="0" w:color="auto"/>
            <w:right w:val="none" w:sz="0" w:space="0" w:color="auto"/>
          </w:divBdr>
        </w:div>
      </w:divsChild>
    </w:div>
    <w:div w:id="1317103392">
      <w:bodyDiv w:val="1"/>
      <w:marLeft w:val="0"/>
      <w:marRight w:val="0"/>
      <w:marTop w:val="0"/>
      <w:marBottom w:val="0"/>
      <w:divBdr>
        <w:top w:val="none" w:sz="0" w:space="0" w:color="auto"/>
        <w:left w:val="none" w:sz="0" w:space="0" w:color="auto"/>
        <w:bottom w:val="none" w:sz="0" w:space="0" w:color="auto"/>
        <w:right w:val="none" w:sz="0" w:space="0" w:color="auto"/>
      </w:divBdr>
    </w:div>
    <w:div w:id="1346900672">
      <w:bodyDiv w:val="1"/>
      <w:marLeft w:val="0"/>
      <w:marRight w:val="0"/>
      <w:marTop w:val="0"/>
      <w:marBottom w:val="0"/>
      <w:divBdr>
        <w:top w:val="none" w:sz="0" w:space="0" w:color="auto"/>
        <w:left w:val="none" w:sz="0" w:space="0" w:color="auto"/>
        <w:bottom w:val="none" w:sz="0" w:space="0" w:color="auto"/>
        <w:right w:val="none" w:sz="0" w:space="0" w:color="auto"/>
      </w:divBdr>
      <w:divsChild>
        <w:div w:id="1673290171">
          <w:marLeft w:val="0"/>
          <w:marRight w:val="0"/>
          <w:marTop w:val="0"/>
          <w:marBottom w:val="0"/>
          <w:divBdr>
            <w:top w:val="none" w:sz="0" w:space="0" w:color="auto"/>
            <w:left w:val="none" w:sz="0" w:space="0" w:color="auto"/>
            <w:bottom w:val="none" w:sz="0" w:space="0" w:color="auto"/>
            <w:right w:val="none" w:sz="0" w:space="0" w:color="auto"/>
          </w:divBdr>
        </w:div>
        <w:div w:id="1576891936">
          <w:marLeft w:val="0"/>
          <w:marRight w:val="0"/>
          <w:marTop w:val="0"/>
          <w:marBottom w:val="0"/>
          <w:divBdr>
            <w:top w:val="none" w:sz="0" w:space="0" w:color="auto"/>
            <w:left w:val="none" w:sz="0" w:space="0" w:color="auto"/>
            <w:bottom w:val="none" w:sz="0" w:space="0" w:color="auto"/>
            <w:right w:val="none" w:sz="0" w:space="0" w:color="auto"/>
          </w:divBdr>
        </w:div>
        <w:div w:id="1283995680">
          <w:marLeft w:val="0"/>
          <w:marRight w:val="0"/>
          <w:marTop w:val="0"/>
          <w:marBottom w:val="0"/>
          <w:divBdr>
            <w:top w:val="none" w:sz="0" w:space="0" w:color="auto"/>
            <w:left w:val="none" w:sz="0" w:space="0" w:color="auto"/>
            <w:bottom w:val="none" w:sz="0" w:space="0" w:color="auto"/>
            <w:right w:val="none" w:sz="0" w:space="0" w:color="auto"/>
          </w:divBdr>
        </w:div>
        <w:div w:id="1107191747">
          <w:marLeft w:val="0"/>
          <w:marRight w:val="0"/>
          <w:marTop w:val="0"/>
          <w:marBottom w:val="0"/>
          <w:divBdr>
            <w:top w:val="none" w:sz="0" w:space="0" w:color="auto"/>
            <w:left w:val="none" w:sz="0" w:space="0" w:color="auto"/>
            <w:bottom w:val="none" w:sz="0" w:space="0" w:color="auto"/>
            <w:right w:val="none" w:sz="0" w:space="0" w:color="auto"/>
          </w:divBdr>
        </w:div>
      </w:divsChild>
    </w:div>
    <w:div w:id="1368217811">
      <w:bodyDiv w:val="1"/>
      <w:marLeft w:val="0"/>
      <w:marRight w:val="0"/>
      <w:marTop w:val="0"/>
      <w:marBottom w:val="0"/>
      <w:divBdr>
        <w:top w:val="none" w:sz="0" w:space="0" w:color="auto"/>
        <w:left w:val="none" w:sz="0" w:space="0" w:color="auto"/>
        <w:bottom w:val="none" w:sz="0" w:space="0" w:color="auto"/>
        <w:right w:val="none" w:sz="0" w:space="0" w:color="auto"/>
      </w:divBdr>
    </w:div>
    <w:div w:id="1377897109">
      <w:bodyDiv w:val="1"/>
      <w:marLeft w:val="0"/>
      <w:marRight w:val="0"/>
      <w:marTop w:val="0"/>
      <w:marBottom w:val="0"/>
      <w:divBdr>
        <w:top w:val="none" w:sz="0" w:space="0" w:color="auto"/>
        <w:left w:val="none" w:sz="0" w:space="0" w:color="auto"/>
        <w:bottom w:val="none" w:sz="0" w:space="0" w:color="auto"/>
        <w:right w:val="none" w:sz="0" w:space="0" w:color="auto"/>
      </w:divBdr>
    </w:div>
    <w:div w:id="1394699685">
      <w:bodyDiv w:val="1"/>
      <w:marLeft w:val="0"/>
      <w:marRight w:val="0"/>
      <w:marTop w:val="0"/>
      <w:marBottom w:val="0"/>
      <w:divBdr>
        <w:top w:val="none" w:sz="0" w:space="0" w:color="auto"/>
        <w:left w:val="none" w:sz="0" w:space="0" w:color="auto"/>
        <w:bottom w:val="none" w:sz="0" w:space="0" w:color="auto"/>
        <w:right w:val="none" w:sz="0" w:space="0" w:color="auto"/>
      </w:divBdr>
    </w:div>
    <w:div w:id="1401830959">
      <w:bodyDiv w:val="1"/>
      <w:marLeft w:val="0"/>
      <w:marRight w:val="0"/>
      <w:marTop w:val="0"/>
      <w:marBottom w:val="0"/>
      <w:divBdr>
        <w:top w:val="none" w:sz="0" w:space="0" w:color="auto"/>
        <w:left w:val="none" w:sz="0" w:space="0" w:color="auto"/>
        <w:bottom w:val="none" w:sz="0" w:space="0" w:color="auto"/>
        <w:right w:val="none" w:sz="0" w:space="0" w:color="auto"/>
      </w:divBdr>
    </w:div>
    <w:div w:id="1405295618">
      <w:bodyDiv w:val="1"/>
      <w:marLeft w:val="0"/>
      <w:marRight w:val="0"/>
      <w:marTop w:val="0"/>
      <w:marBottom w:val="0"/>
      <w:divBdr>
        <w:top w:val="none" w:sz="0" w:space="0" w:color="auto"/>
        <w:left w:val="none" w:sz="0" w:space="0" w:color="auto"/>
        <w:bottom w:val="none" w:sz="0" w:space="0" w:color="auto"/>
        <w:right w:val="none" w:sz="0" w:space="0" w:color="auto"/>
      </w:divBdr>
    </w:div>
    <w:div w:id="1411388392">
      <w:bodyDiv w:val="1"/>
      <w:marLeft w:val="0"/>
      <w:marRight w:val="0"/>
      <w:marTop w:val="0"/>
      <w:marBottom w:val="0"/>
      <w:divBdr>
        <w:top w:val="none" w:sz="0" w:space="0" w:color="auto"/>
        <w:left w:val="none" w:sz="0" w:space="0" w:color="auto"/>
        <w:bottom w:val="none" w:sz="0" w:space="0" w:color="auto"/>
        <w:right w:val="none" w:sz="0" w:space="0" w:color="auto"/>
      </w:divBdr>
    </w:div>
    <w:div w:id="1421365686">
      <w:bodyDiv w:val="1"/>
      <w:marLeft w:val="0"/>
      <w:marRight w:val="0"/>
      <w:marTop w:val="0"/>
      <w:marBottom w:val="0"/>
      <w:divBdr>
        <w:top w:val="none" w:sz="0" w:space="0" w:color="auto"/>
        <w:left w:val="none" w:sz="0" w:space="0" w:color="auto"/>
        <w:bottom w:val="none" w:sz="0" w:space="0" w:color="auto"/>
        <w:right w:val="none" w:sz="0" w:space="0" w:color="auto"/>
      </w:divBdr>
    </w:div>
    <w:div w:id="1455633700">
      <w:bodyDiv w:val="1"/>
      <w:marLeft w:val="0"/>
      <w:marRight w:val="0"/>
      <w:marTop w:val="0"/>
      <w:marBottom w:val="0"/>
      <w:divBdr>
        <w:top w:val="none" w:sz="0" w:space="0" w:color="auto"/>
        <w:left w:val="none" w:sz="0" w:space="0" w:color="auto"/>
        <w:bottom w:val="none" w:sz="0" w:space="0" w:color="auto"/>
        <w:right w:val="none" w:sz="0" w:space="0" w:color="auto"/>
      </w:divBdr>
    </w:div>
    <w:div w:id="1506627030">
      <w:bodyDiv w:val="1"/>
      <w:marLeft w:val="0"/>
      <w:marRight w:val="0"/>
      <w:marTop w:val="0"/>
      <w:marBottom w:val="0"/>
      <w:divBdr>
        <w:top w:val="none" w:sz="0" w:space="0" w:color="auto"/>
        <w:left w:val="none" w:sz="0" w:space="0" w:color="auto"/>
        <w:bottom w:val="none" w:sz="0" w:space="0" w:color="auto"/>
        <w:right w:val="none" w:sz="0" w:space="0" w:color="auto"/>
      </w:divBdr>
    </w:div>
    <w:div w:id="1537547509">
      <w:bodyDiv w:val="1"/>
      <w:marLeft w:val="0"/>
      <w:marRight w:val="0"/>
      <w:marTop w:val="0"/>
      <w:marBottom w:val="0"/>
      <w:divBdr>
        <w:top w:val="none" w:sz="0" w:space="0" w:color="auto"/>
        <w:left w:val="none" w:sz="0" w:space="0" w:color="auto"/>
        <w:bottom w:val="none" w:sz="0" w:space="0" w:color="auto"/>
        <w:right w:val="none" w:sz="0" w:space="0" w:color="auto"/>
      </w:divBdr>
    </w:div>
    <w:div w:id="1601454022">
      <w:bodyDiv w:val="1"/>
      <w:marLeft w:val="0"/>
      <w:marRight w:val="0"/>
      <w:marTop w:val="0"/>
      <w:marBottom w:val="0"/>
      <w:divBdr>
        <w:top w:val="none" w:sz="0" w:space="0" w:color="auto"/>
        <w:left w:val="none" w:sz="0" w:space="0" w:color="auto"/>
        <w:bottom w:val="none" w:sz="0" w:space="0" w:color="auto"/>
        <w:right w:val="none" w:sz="0" w:space="0" w:color="auto"/>
      </w:divBdr>
    </w:div>
    <w:div w:id="1620334571">
      <w:bodyDiv w:val="1"/>
      <w:marLeft w:val="0"/>
      <w:marRight w:val="0"/>
      <w:marTop w:val="0"/>
      <w:marBottom w:val="0"/>
      <w:divBdr>
        <w:top w:val="none" w:sz="0" w:space="0" w:color="auto"/>
        <w:left w:val="none" w:sz="0" w:space="0" w:color="auto"/>
        <w:bottom w:val="none" w:sz="0" w:space="0" w:color="auto"/>
        <w:right w:val="none" w:sz="0" w:space="0" w:color="auto"/>
      </w:divBdr>
    </w:div>
    <w:div w:id="1632705415">
      <w:bodyDiv w:val="1"/>
      <w:marLeft w:val="0"/>
      <w:marRight w:val="0"/>
      <w:marTop w:val="0"/>
      <w:marBottom w:val="0"/>
      <w:divBdr>
        <w:top w:val="none" w:sz="0" w:space="0" w:color="auto"/>
        <w:left w:val="none" w:sz="0" w:space="0" w:color="auto"/>
        <w:bottom w:val="none" w:sz="0" w:space="0" w:color="auto"/>
        <w:right w:val="none" w:sz="0" w:space="0" w:color="auto"/>
      </w:divBdr>
    </w:div>
    <w:div w:id="1660382364">
      <w:bodyDiv w:val="1"/>
      <w:marLeft w:val="0"/>
      <w:marRight w:val="0"/>
      <w:marTop w:val="0"/>
      <w:marBottom w:val="0"/>
      <w:divBdr>
        <w:top w:val="none" w:sz="0" w:space="0" w:color="auto"/>
        <w:left w:val="none" w:sz="0" w:space="0" w:color="auto"/>
        <w:bottom w:val="none" w:sz="0" w:space="0" w:color="auto"/>
        <w:right w:val="none" w:sz="0" w:space="0" w:color="auto"/>
      </w:divBdr>
    </w:div>
    <w:div w:id="1685083660">
      <w:bodyDiv w:val="1"/>
      <w:marLeft w:val="0"/>
      <w:marRight w:val="0"/>
      <w:marTop w:val="0"/>
      <w:marBottom w:val="0"/>
      <w:divBdr>
        <w:top w:val="none" w:sz="0" w:space="0" w:color="auto"/>
        <w:left w:val="none" w:sz="0" w:space="0" w:color="auto"/>
        <w:bottom w:val="none" w:sz="0" w:space="0" w:color="auto"/>
        <w:right w:val="none" w:sz="0" w:space="0" w:color="auto"/>
      </w:divBdr>
    </w:div>
    <w:div w:id="1719166700">
      <w:bodyDiv w:val="1"/>
      <w:marLeft w:val="0"/>
      <w:marRight w:val="0"/>
      <w:marTop w:val="0"/>
      <w:marBottom w:val="0"/>
      <w:divBdr>
        <w:top w:val="none" w:sz="0" w:space="0" w:color="auto"/>
        <w:left w:val="none" w:sz="0" w:space="0" w:color="auto"/>
        <w:bottom w:val="none" w:sz="0" w:space="0" w:color="auto"/>
        <w:right w:val="none" w:sz="0" w:space="0" w:color="auto"/>
      </w:divBdr>
    </w:div>
    <w:div w:id="1736509180">
      <w:bodyDiv w:val="1"/>
      <w:marLeft w:val="0"/>
      <w:marRight w:val="0"/>
      <w:marTop w:val="0"/>
      <w:marBottom w:val="0"/>
      <w:divBdr>
        <w:top w:val="none" w:sz="0" w:space="0" w:color="auto"/>
        <w:left w:val="none" w:sz="0" w:space="0" w:color="auto"/>
        <w:bottom w:val="none" w:sz="0" w:space="0" w:color="auto"/>
        <w:right w:val="none" w:sz="0" w:space="0" w:color="auto"/>
      </w:divBdr>
    </w:div>
    <w:div w:id="1745714707">
      <w:bodyDiv w:val="1"/>
      <w:marLeft w:val="0"/>
      <w:marRight w:val="0"/>
      <w:marTop w:val="0"/>
      <w:marBottom w:val="0"/>
      <w:divBdr>
        <w:top w:val="none" w:sz="0" w:space="0" w:color="auto"/>
        <w:left w:val="none" w:sz="0" w:space="0" w:color="auto"/>
        <w:bottom w:val="none" w:sz="0" w:space="0" w:color="auto"/>
        <w:right w:val="none" w:sz="0" w:space="0" w:color="auto"/>
      </w:divBdr>
    </w:div>
    <w:div w:id="1751737075">
      <w:bodyDiv w:val="1"/>
      <w:marLeft w:val="0"/>
      <w:marRight w:val="0"/>
      <w:marTop w:val="0"/>
      <w:marBottom w:val="0"/>
      <w:divBdr>
        <w:top w:val="none" w:sz="0" w:space="0" w:color="auto"/>
        <w:left w:val="none" w:sz="0" w:space="0" w:color="auto"/>
        <w:bottom w:val="none" w:sz="0" w:space="0" w:color="auto"/>
        <w:right w:val="none" w:sz="0" w:space="0" w:color="auto"/>
      </w:divBdr>
    </w:div>
    <w:div w:id="1806041539">
      <w:bodyDiv w:val="1"/>
      <w:marLeft w:val="0"/>
      <w:marRight w:val="0"/>
      <w:marTop w:val="0"/>
      <w:marBottom w:val="0"/>
      <w:divBdr>
        <w:top w:val="none" w:sz="0" w:space="0" w:color="auto"/>
        <w:left w:val="none" w:sz="0" w:space="0" w:color="auto"/>
        <w:bottom w:val="none" w:sz="0" w:space="0" w:color="auto"/>
        <w:right w:val="none" w:sz="0" w:space="0" w:color="auto"/>
      </w:divBdr>
    </w:div>
    <w:div w:id="1863351703">
      <w:bodyDiv w:val="1"/>
      <w:marLeft w:val="0"/>
      <w:marRight w:val="0"/>
      <w:marTop w:val="0"/>
      <w:marBottom w:val="0"/>
      <w:divBdr>
        <w:top w:val="none" w:sz="0" w:space="0" w:color="auto"/>
        <w:left w:val="none" w:sz="0" w:space="0" w:color="auto"/>
        <w:bottom w:val="none" w:sz="0" w:space="0" w:color="auto"/>
        <w:right w:val="none" w:sz="0" w:space="0" w:color="auto"/>
      </w:divBdr>
    </w:div>
    <w:div w:id="1893885731">
      <w:bodyDiv w:val="1"/>
      <w:marLeft w:val="0"/>
      <w:marRight w:val="0"/>
      <w:marTop w:val="0"/>
      <w:marBottom w:val="0"/>
      <w:divBdr>
        <w:top w:val="none" w:sz="0" w:space="0" w:color="auto"/>
        <w:left w:val="none" w:sz="0" w:space="0" w:color="auto"/>
        <w:bottom w:val="none" w:sz="0" w:space="0" w:color="auto"/>
        <w:right w:val="none" w:sz="0" w:space="0" w:color="auto"/>
      </w:divBdr>
    </w:div>
    <w:div w:id="1915433882">
      <w:bodyDiv w:val="1"/>
      <w:marLeft w:val="0"/>
      <w:marRight w:val="0"/>
      <w:marTop w:val="0"/>
      <w:marBottom w:val="0"/>
      <w:divBdr>
        <w:top w:val="none" w:sz="0" w:space="0" w:color="auto"/>
        <w:left w:val="none" w:sz="0" w:space="0" w:color="auto"/>
        <w:bottom w:val="none" w:sz="0" w:space="0" w:color="auto"/>
        <w:right w:val="none" w:sz="0" w:space="0" w:color="auto"/>
      </w:divBdr>
    </w:div>
    <w:div w:id="1936012346">
      <w:bodyDiv w:val="1"/>
      <w:marLeft w:val="0"/>
      <w:marRight w:val="0"/>
      <w:marTop w:val="0"/>
      <w:marBottom w:val="0"/>
      <w:divBdr>
        <w:top w:val="none" w:sz="0" w:space="0" w:color="auto"/>
        <w:left w:val="none" w:sz="0" w:space="0" w:color="auto"/>
        <w:bottom w:val="none" w:sz="0" w:space="0" w:color="auto"/>
        <w:right w:val="none" w:sz="0" w:space="0" w:color="auto"/>
      </w:divBdr>
      <w:divsChild>
        <w:div w:id="73169632">
          <w:marLeft w:val="0"/>
          <w:marRight w:val="0"/>
          <w:marTop w:val="0"/>
          <w:marBottom w:val="0"/>
          <w:divBdr>
            <w:top w:val="none" w:sz="0" w:space="0" w:color="auto"/>
            <w:left w:val="none" w:sz="0" w:space="0" w:color="auto"/>
            <w:bottom w:val="none" w:sz="0" w:space="0" w:color="auto"/>
            <w:right w:val="none" w:sz="0" w:space="0" w:color="auto"/>
          </w:divBdr>
          <w:divsChild>
            <w:div w:id="783038674">
              <w:marLeft w:val="0"/>
              <w:marRight w:val="0"/>
              <w:marTop w:val="0"/>
              <w:marBottom w:val="0"/>
              <w:divBdr>
                <w:top w:val="none" w:sz="0" w:space="0" w:color="auto"/>
                <w:left w:val="none" w:sz="0" w:space="0" w:color="auto"/>
                <w:bottom w:val="none" w:sz="0" w:space="0" w:color="auto"/>
                <w:right w:val="none" w:sz="0" w:space="0" w:color="auto"/>
              </w:divBdr>
            </w:div>
            <w:div w:id="2011567168">
              <w:marLeft w:val="0"/>
              <w:marRight w:val="0"/>
              <w:marTop w:val="0"/>
              <w:marBottom w:val="0"/>
              <w:divBdr>
                <w:top w:val="none" w:sz="0" w:space="0" w:color="auto"/>
                <w:left w:val="none" w:sz="0" w:space="0" w:color="auto"/>
                <w:bottom w:val="none" w:sz="0" w:space="0" w:color="auto"/>
                <w:right w:val="none" w:sz="0" w:space="0" w:color="auto"/>
              </w:divBdr>
            </w:div>
            <w:div w:id="1974753570">
              <w:marLeft w:val="0"/>
              <w:marRight w:val="0"/>
              <w:marTop w:val="0"/>
              <w:marBottom w:val="0"/>
              <w:divBdr>
                <w:top w:val="none" w:sz="0" w:space="0" w:color="auto"/>
                <w:left w:val="none" w:sz="0" w:space="0" w:color="auto"/>
                <w:bottom w:val="none" w:sz="0" w:space="0" w:color="auto"/>
                <w:right w:val="none" w:sz="0" w:space="0" w:color="auto"/>
              </w:divBdr>
            </w:div>
          </w:divsChild>
        </w:div>
        <w:div w:id="1488404557">
          <w:marLeft w:val="0"/>
          <w:marRight w:val="0"/>
          <w:marTop w:val="0"/>
          <w:marBottom w:val="0"/>
          <w:divBdr>
            <w:top w:val="none" w:sz="0" w:space="0" w:color="auto"/>
            <w:left w:val="none" w:sz="0" w:space="0" w:color="auto"/>
            <w:bottom w:val="none" w:sz="0" w:space="0" w:color="auto"/>
            <w:right w:val="none" w:sz="0" w:space="0" w:color="auto"/>
          </w:divBdr>
          <w:divsChild>
            <w:div w:id="276181091">
              <w:marLeft w:val="0"/>
              <w:marRight w:val="0"/>
              <w:marTop w:val="0"/>
              <w:marBottom w:val="0"/>
              <w:divBdr>
                <w:top w:val="none" w:sz="0" w:space="0" w:color="auto"/>
                <w:left w:val="none" w:sz="0" w:space="0" w:color="auto"/>
                <w:bottom w:val="none" w:sz="0" w:space="0" w:color="auto"/>
                <w:right w:val="none" w:sz="0" w:space="0" w:color="auto"/>
              </w:divBdr>
            </w:div>
            <w:div w:id="1262028796">
              <w:marLeft w:val="0"/>
              <w:marRight w:val="0"/>
              <w:marTop w:val="0"/>
              <w:marBottom w:val="0"/>
              <w:divBdr>
                <w:top w:val="none" w:sz="0" w:space="0" w:color="auto"/>
                <w:left w:val="none" w:sz="0" w:space="0" w:color="auto"/>
                <w:bottom w:val="none" w:sz="0" w:space="0" w:color="auto"/>
                <w:right w:val="none" w:sz="0" w:space="0" w:color="auto"/>
              </w:divBdr>
            </w:div>
            <w:div w:id="86968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1636">
      <w:bodyDiv w:val="1"/>
      <w:marLeft w:val="0"/>
      <w:marRight w:val="0"/>
      <w:marTop w:val="0"/>
      <w:marBottom w:val="0"/>
      <w:divBdr>
        <w:top w:val="none" w:sz="0" w:space="0" w:color="auto"/>
        <w:left w:val="none" w:sz="0" w:space="0" w:color="auto"/>
        <w:bottom w:val="none" w:sz="0" w:space="0" w:color="auto"/>
        <w:right w:val="none" w:sz="0" w:space="0" w:color="auto"/>
      </w:divBdr>
    </w:div>
    <w:div w:id="2064980346">
      <w:bodyDiv w:val="1"/>
      <w:marLeft w:val="0"/>
      <w:marRight w:val="0"/>
      <w:marTop w:val="0"/>
      <w:marBottom w:val="0"/>
      <w:divBdr>
        <w:top w:val="none" w:sz="0" w:space="0" w:color="auto"/>
        <w:left w:val="none" w:sz="0" w:space="0" w:color="auto"/>
        <w:bottom w:val="none" w:sz="0" w:space="0" w:color="auto"/>
        <w:right w:val="none" w:sz="0" w:space="0" w:color="auto"/>
      </w:divBdr>
    </w:div>
    <w:div w:id="2074426080">
      <w:bodyDiv w:val="1"/>
      <w:marLeft w:val="0"/>
      <w:marRight w:val="0"/>
      <w:marTop w:val="0"/>
      <w:marBottom w:val="0"/>
      <w:divBdr>
        <w:top w:val="none" w:sz="0" w:space="0" w:color="auto"/>
        <w:left w:val="none" w:sz="0" w:space="0" w:color="auto"/>
        <w:bottom w:val="none" w:sz="0" w:space="0" w:color="auto"/>
        <w:right w:val="none" w:sz="0" w:space="0" w:color="auto"/>
      </w:divBdr>
    </w:div>
    <w:div w:id="2075621624">
      <w:bodyDiv w:val="1"/>
      <w:marLeft w:val="0"/>
      <w:marRight w:val="0"/>
      <w:marTop w:val="0"/>
      <w:marBottom w:val="0"/>
      <w:divBdr>
        <w:top w:val="none" w:sz="0" w:space="0" w:color="auto"/>
        <w:left w:val="none" w:sz="0" w:space="0" w:color="auto"/>
        <w:bottom w:val="none" w:sz="0" w:space="0" w:color="auto"/>
        <w:right w:val="none" w:sz="0" w:space="0" w:color="auto"/>
      </w:divBdr>
    </w:div>
    <w:div w:id="2096777101">
      <w:bodyDiv w:val="1"/>
      <w:marLeft w:val="0"/>
      <w:marRight w:val="0"/>
      <w:marTop w:val="0"/>
      <w:marBottom w:val="0"/>
      <w:divBdr>
        <w:top w:val="none" w:sz="0" w:space="0" w:color="auto"/>
        <w:left w:val="none" w:sz="0" w:space="0" w:color="auto"/>
        <w:bottom w:val="none" w:sz="0" w:space="0" w:color="auto"/>
        <w:right w:val="none" w:sz="0" w:space="0" w:color="auto"/>
      </w:divBdr>
    </w:div>
    <w:div w:id="2119568963">
      <w:bodyDiv w:val="1"/>
      <w:marLeft w:val="0"/>
      <w:marRight w:val="0"/>
      <w:marTop w:val="0"/>
      <w:marBottom w:val="0"/>
      <w:divBdr>
        <w:top w:val="none" w:sz="0" w:space="0" w:color="auto"/>
        <w:left w:val="none" w:sz="0" w:space="0" w:color="auto"/>
        <w:bottom w:val="none" w:sz="0" w:space="0" w:color="auto"/>
        <w:right w:val="none" w:sz="0" w:space="0" w:color="auto"/>
      </w:divBdr>
      <w:divsChild>
        <w:div w:id="193229596">
          <w:marLeft w:val="0"/>
          <w:marRight w:val="0"/>
          <w:marTop w:val="0"/>
          <w:marBottom w:val="0"/>
          <w:divBdr>
            <w:top w:val="none" w:sz="0" w:space="0" w:color="auto"/>
            <w:left w:val="none" w:sz="0" w:space="0" w:color="auto"/>
            <w:bottom w:val="none" w:sz="0" w:space="0" w:color="auto"/>
            <w:right w:val="none" w:sz="0" w:space="0" w:color="auto"/>
          </w:divBdr>
        </w:div>
        <w:div w:id="849492818">
          <w:marLeft w:val="0"/>
          <w:marRight w:val="0"/>
          <w:marTop w:val="0"/>
          <w:marBottom w:val="0"/>
          <w:divBdr>
            <w:top w:val="none" w:sz="0" w:space="0" w:color="auto"/>
            <w:left w:val="none" w:sz="0" w:space="0" w:color="auto"/>
            <w:bottom w:val="none" w:sz="0" w:space="0" w:color="auto"/>
            <w:right w:val="none" w:sz="0" w:space="0" w:color="auto"/>
          </w:divBdr>
        </w:div>
        <w:div w:id="1314094622">
          <w:marLeft w:val="0"/>
          <w:marRight w:val="0"/>
          <w:marTop w:val="0"/>
          <w:marBottom w:val="0"/>
          <w:divBdr>
            <w:top w:val="none" w:sz="0" w:space="0" w:color="auto"/>
            <w:left w:val="none" w:sz="0" w:space="0" w:color="auto"/>
            <w:bottom w:val="none" w:sz="0" w:space="0" w:color="auto"/>
            <w:right w:val="none" w:sz="0" w:space="0" w:color="auto"/>
          </w:divBdr>
        </w:div>
      </w:divsChild>
    </w:div>
    <w:div w:id="2130274430">
      <w:bodyDiv w:val="1"/>
      <w:marLeft w:val="0"/>
      <w:marRight w:val="0"/>
      <w:marTop w:val="0"/>
      <w:marBottom w:val="0"/>
      <w:divBdr>
        <w:top w:val="none" w:sz="0" w:space="0" w:color="auto"/>
        <w:left w:val="none" w:sz="0" w:space="0" w:color="auto"/>
        <w:bottom w:val="none" w:sz="0" w:space="0" w:color="auto"/>
        <w:right w:val="none" w:sz="0" w:space="0" w:color="auto"/>
      </w:divBdr>
    </w:div>
    <w:div w:id="214160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wright@manchester.ac.uk" TargetMode="External"/><Relationship Id="rId13" Type="http://schemas.openxmlformats.org/officeDocument/2006/relationships/hyperlink" Target="https://clinicalcodes.rss.mhs.man.ac.uk/"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mje.org/coi_disclosure.pdf" TargetMode="External"/><Relationship Id="rId17" Type="http://schemas.openxmlformats.org/officeDocument/2006/relationships/hyperlink" Target="http://www.nationalarchives.gov.uk/doc/open-government-licence/open-government-licence.htm" TargetMode="External"/><Relationship Id="rId2" Type="http://schemas.openxmlformats.org/officeDocument/2006/relationships/numbering" Target="numbering.xml"/><Relationship Id="rId16" Type="http://schemas.openxmlformats.org/officeDocument/2006/relationships/hyperlink" Target="http://www.ons.gov.uk/ons/index.html"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hscic.gov.uk/hesdata" TargetMode="External"/><Relationship Id="rId10" Type="http://schemas.openxmlformats.org/officeDocument/2006/relationships/footer" Target="footer2.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r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B251-A9F9-43FE-B1B7-3AD82FB42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37232</Words>
  <Characters>212224</Characters>
  <Application>Microsoft Office Word</Application>
  <DocSecurity>0</DocSecurity>
  <Lines>1768</Lines>
  <Paragraphs>497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2020-05-14T09:29:00Z</cp:lastPrinted>
  <dcterms:created xsi:type="dcterms:W3CDTF">2022-01-09T22:19:00Z</dcterms:created>
  <dcterms:modified xsi:type="dcterms:W3CDTF">2022-01-09T22:19:00Z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http://www.zotero.org/styles/circulation</vt:lpwstr>
  </property>
  <property fmtid="{D5CDD505-2E9C-101B-9397-08002B2CF9AE}" pid="7" name="Mendeley Recent Style Name 2_1">
    <vt:lpwstr>Circulation</vt:lpwstr>
  </property>
  <property fmtid="{D5CDD505-2E9C-101B-9397-08002B2CF9AE}" pid="8" name="Mendeley Recent Style Id 3_1">
    <vt:lpwstr>http://www.zotero.org/styles/circulation-journal</vt:lpwstr>
  </property>
  <property fmtid="{D5CDD505-2E9C-101B-9397-08002B2CF9AE}" pid="9" name="Mendeley Recent Style Name 3_1">
    <vt:lpwstr>Circulation Journal</vt:lpwstr>
  </property>
  <property fmtid="{D5CDD505-2E9C-101B-9397-08002B2CF9AE}" pid="10" name="Mendeley Recent Style Id 4_1">
    <vt:lpwstr>http://csl.mendeley.com/styles/11298971/circulation-2</vt:lpwstr>
  </property>
  <property fmtid="{D5CDD505-2E9C-101B-9397-08002B2CF9AE}" pid="11" name="Mendeley Recent Style Name 4_1">
    <vt:lpwstr>Circulation2</vt:lpwstr>
  </property>
  <property fmtid="{D5CDD505-2E9C-101B-9397-08002B2CF9AE}" pid="12" name="Mendeley Recent Style Id 5_1">
    <vt:lpwstr>http://www.zotero.org/styles/diabetes-care</vt:lpwstr>
  </property>
  <property fmtid="{D5CDD505-2E9C-101B-9397-08002B2CF9AE}" pid="13" name="Mendeley Recent Style Name 5_1">
    <vt:lpwstr>Diabetes Care</vt:lpwstr>
  </property>
  <property fmtid="{D5CDD505-2E9C-101B-9397-08002B2CF9AE}" pid="14" name="Mendeley Recent Style Id 6_1">
    <vt:lpwstr>http://www.zotero.org/styles/diabetologia</vt:lpwstr>
  </property>
  <property fmtid="{D5CDD505-2E9C-101B-9397-08002B2CF9AE}" pid="15" name="Mendeley Recent Style Name 6_1">
    <vt:lpwstr>Diabetologia</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http://www.zotero.org/styles/jama</vt:lpwstr>
  </property>
  <property fmtid="{D5CDD505-2E9C-101B-9397-08002B2CF9AE}" pid="19" name="Mendeley Recent Style Name 8_1">
    <vt:lpwstr>JAMA (The Journal of the American Medical Association)</vt:lpwstr>
  </property>
  <property fmtid="{D5CDD505-2E9C-101B-9397-08002B2CF9AE}" pid="20" name="Mendeley Recent Style Id 9_1">
    <vt:lpwstr>http://www.zotero.org/styles/the-new-england-journal-of-medicine</vt:lpwstr>
  </property>
  <property fmtid="{D5CDD505-2E9C-101B-9397-08002B2CF9AE}" pid="21" name="Mendeley Recent Style Name 9_1">
    <vt:lpwstr>The New England Journal of Medicine</vt:lpwstr>
  </property>
  <property fmtid="{D5CDD505-2E9C-101B-9397-08002B2CF9AE}" pid="22" name="Mendeley Document_1">
    <vt:lpwstr>True</vt:lpwstr>
  </property>
  <property fmtid="{D5CDD505-2E9C-101B-9397-08002B2CF9AE}" pid="23" name="Mendeley Unique User Id_1">
    <vt:lpwstr>ff3db8a5-1073-36fe-8bcd-243a5ff4a66d</vt:lpwstr>
  </property>
  <property fmtid="{D5CDD505-2E9C-101B-9397-08002B2CF9AE}" pid="24" name="Mendeley Citation Style_1">
    <vt:lpwstr>http://www.zotero.org/styles/diabetes-care</vt:lpwstr>
  </property>
</Properties>
</file>