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AD2D3" w14:textId="77777777" w:rsidR="00FD6C28" w:rsidRPr="009D7F5F" w:rsidRDefault="00FD6C28" w:rsidP="00FD6C28">
      <w:pPr>
        <w:rPr>
          <w:rFonts w:eastAsia="Times New Roman" w:cstheme="minorBidi"/>
          <w:b/>
          <w:spacing w:val="-10"/>
          <w:kern w:val="28"/>
          <w:sz w:val="28"/>
          <w:szCs w:val="56"/>
          <w:u w:val="single"/>
        </w:rPr>
      </w:pPr>
      <w:bookmarkStart w:id="0" w:name="_GoBack"/>
      <w:bookmarkEnd w:id="0"/>
      <w:r w:rsidRPr="009D7F5F">
        <w:rPr>
          <w:rFonts w:eastAsia="Times New Roman" w:cstheme="minorBidi"/>
          <w:b/>
          <w:spacing w:val="-10"/>
          <w:kern w:val="28"/>
          <w:sz w:val="28"/>
          <w:szCs w:val="56"/>
          <w:u w:val="single"/>
        </w:rPr>
        <w:t>Clinical Prediction in Defined Populations: a simulation study investigating when and how to aggregate existing models</w:t>
      </w:r>
    </w:p>
    <w:p w14:paraId="3ECEA381" w14:textId="6EC13DC1" w:rsidR="00FD6C28" w:rsidRPr="009D7F5F" w:rsidRDefault="00FD6C28" w:rsidP="00FD6C28">
      <w:pPr>
        <w:rPr>
          <w:vertAlign w:val="superscript"/>
        </w:rPr>
      </w:pPr>
      <w:r w:rsidRPr="009D7F5F">
        <w:t xml:space="preserve">Glen P. Martin, MSc </w:t>
      </w:r>
      <w:r w:rsidRPr="009D7F5F">
        <w:rPr>
          <w:vertAlign w:val="superscript"/>
        </w:rPr>
        <w:t>1</w:t>
      </w:r>
      <w:r w:rsidRPr="009D7F5F">
        <w:t>; Mamas A. Mamas,</w:t>
      </w:r>
      <w:r w:rsidRPr="009D7F5F">
        <w:rPr>
          <w:rStyle w:val="Heading1Char"/>
          <w:rFonts w:eastAsia="Calibri"/>
          <w:szCs w:val="24"/>
        </w:rPr>
        <w:t xml:space="preserve"> </w:t>
      </w:r>
      <w:r w:rsidRPr="006B53E3">
        <w:rPr>
          <w:rStyle w:val="Heading1Char"/>
          <w:rFonts w:eastAsia="Calibri"/>
          <w:b w:val="0"/>
          <w:sz w:val="24"/>
          <w:szCs w:val="24"/>
        </w:rPr>
        <w:t>MA</w:t>
      </w:r>
      <w:r w:rsidRPr="006B53E3">
        <w:rPr>
          <w:rStyle w:val="Heading1Char"/>
          <w:rFonts w:eastAsia="Calibri"/>
          <w:sz w:val="24"/>
          <w:szCs w:val="24"/>
        </w:rPr>
        <w:t xml:space="preserve">, </w:t>
      </w:r>
      <w:r w:rsidRPr="009D7F5F">
        <w:rPr>
          <w:rStyle w:val="st"/>
          <w:szCs w:val="24"/>
        </w:rPr>
        <w:t>DPhil, FRCP</w:t>
      </w:r>
      <w:r w:rsidRPr="009D7F5F">
        <w:t xml:space="preserve"> </w:t>
      </w:r>
      <w:r w:rsidRPr="009D7F5F">
        <w:rPr>
          <w:vertAlign w:val="superscript"/>
        </w:rPr>
        <w:t>1, 2</w:t>
      </w:r>
      <w:r w:rsidRPr="009D7F5F">
        <w:t xml:space="preserve">; Niels Peek, PhD </w:t>
      </w:r>
      <w:r w:rsidRPr="009D7F5F">
        <w:rPr>
          <w:vertAlign w:val="superscript"/>
        </w:rPr>
        <w:t>1,3</w:t>
      </w:r>
      <w:r w:rsidRPr="009D7F5F">
        <w:t xml:space="preserve">; Iain Buchan, MD, FFPH </w:t>
      </w:r>
      <w:r w:rsidRPr="009D7F5F">
        <w:rPr>
          <w:vertAlign w:val="superscript"/>
        </w:rPr>
        <w:t>1</w:t>
      </w:r>
      <w:r w:rsidR="009D7F5F">
        <w:rPr>
          <w:vertAlign w:val="superscript"/>
        </w:rPr>
        <w:t>,3</w:t>
      </w:r>
      <w:r w:rsidRPr="009D7F5F">
        <w:t xml:space="preserve">; Matthew Sperrin, PhD </w:t>
      </w:r>
      <w:r w:rsidRPr="009D7F5F">
        <w:rPr>
          <w:vertAlign w:val="superscript"/>
        </w:rPr>
        <w:t>1</w:t>
      </w:r>
    </w:p>
    <w:p w14:paraId="18636182" w14:textId="77777777" w:rsidR="00FD6C28" w:rsidRPr="009D7F5F" w:rsidRDefault="00FD6C28" w:rsidP="00FD6C28"/>
    <w:p w14:paraId="37A0834E" w14:textId="77777777" w:rsidR="00FD6C28" w:rsidRPr="009D7F5F" w:rsidRDefault="00FD6C28" w:rsidP="00FD6C28">
      <w:r w:rsidRPr="009D7F5F">
        <w:t>1. Health e-Research Centre, University of Manchester, Manchester, United Kingdom</w:t>
      </w:r>
    </w:p>
    <w:p w14:paraId="23DA2154" w14:textId="77777777" w:rsidR="00FD6C28" w:rsidRPr="009D7F5F" w:rsidRDefault="00FD6C28" w:rsidP="00FD6C28">
      <w:pPr>
        <w:tabs>
          <w:tab w:val="left" w:pos="4678"/>
        </w:tabs>
      </w:pPr>
      <w:r w:rsidRPr="009D7F5F">
        <w:t>2. Keele Cardiovascular Research Group, Keele University, Stoke-on-Trent, United Kingdom</w:t>
      </w:r>
    </w:p>
    <w:p w14:paraId="023D4CC4" w14:textId="3FCC3C38" w:rsidR="00FD6C28" w:rsidRDefault="00FD6C28" w:rsidP="00FD6C28">
      <w:pPr>
        <w:tabs>
          <w:tab w:val="left" w:pos="4678"/>
        </w:tabs>
      </w:pPr>
      <w:r w:rsidRPr="009D7F5F">
        <w:t>3. NIHR Greater Manchester Primary Care Patient Safety Translational Research Centre, University of Manchester, Manchester, United Kingdom</w:t>
      </w:r>
    </w:p>
    <w:p w14:paraId="13B4D53B" w14:textId="77777777" w:rsidR="008915E6" w:rsidRDefault="008915E6" w:rsidP="00FD6C28">
      <w:pPr>
        <w:tabs>
          <w:tab w:val="left" w:pos="4678"/>
        </w:tabs>
      </w:pPr>
    </w:p>
    <w:p w14:paraId="558767C4" w14:textId="527837BC" w:rsidR="00F76752" w:rsidRDefault="00F76752" w:rsidP="00FD6C28">
      <w:pPr>
        <w:tabs>
          <w:tab w:val="left" w:pos="4678"/>
        </w:tabs>
      </w:pPr>
      <w:r w:rsidRPr="00F76752">
        <w:rPr>
          <w:b/>
        </w:rPr>
        <w:t>Author email address</w:t>
      </w:r>
      <w:r w:rsidR="008B1989">
        <w:rPr>
          <w:b/>
        </w:rPr>
        <w:t>es</w:t>
      </w:r>
      <w:r>
        <w:t>:</w:t>
      </w:r>
    </w:p>
    <w:p w14:paraId="522A4CEC" w14:textId="5094C323" w:rsidR="00F76752" w:rsidRDefault="00F76752" w:rsidP="00FD6C28">
      <w:pPr>
        <w:tabs>
          <w:tab w:val="left" w:pos="4678"/>
        </w:tabs>
      </w:pPr>
      <w:r>
        <w:t xml:space="preserve">Glen P. Martin: </w:t>
      </w:r>
      <w:r w:rsidRPr="00ED5D9D">
        <w:t>glen.martin@manchester.ac.uk</w:t>
      </w:r>
    </w:p>
    <w:p w14:paraId="5C0A0B94" w14:textId="62D65E41" w:rsidR="00F76752" w:rsidRDefault="00F76752" w:rsidP="00FD6C28">
      <w:pPr>
        <w:tabs>
          <w:tab w:val="left" w:pos="4678"/>
        </w:tabs>
      </w:pPr>
      <w:r>
        <w:t xml:space="preserve">Mamas A. Mamas: </w:t>
      </w:r>
      <w:r w:rsidRPr="00ED5D9D">
        <w:t>mamasmamas1@yahoo.co.uk</w:t>
      </w:r>
    </w:p>
    <w:p w14:paraId="1C2302B5" w14:textId="40385223" w:rsidR="00F76752" w:rsidRDefault="00F76752" w:rsidP="00FD6C28">
      <w:pPr>
        <w:tabs>
          <w:tab w:val="left" w:pos="4678"/>
        </w:tabs>
      </w:pPr>
      <w:r>
        <w:t xml:space="preserve">Niels Peek: </w:t>
      </w:r>
      <w:r w:rsidRPr="00ED5D9D">
        <w:t>niels.peek@manchester.ac.uk</w:t>
      </w:r>
    </w:p>
    <w:p w14:paraId="0754FD99" w14:textId="519AC41A" w:rsidR="00F76752" w:rsidRDefault="00F76752" w:rsidP="00FD6C28">
      <w:pPr>
        <w:tabs>
          <w:tab w:val="left" w:pos="4678"/>
        </w:tabs>
      </w:pPr>
      <w:r>
        <w:t xml:space="preserve">Iain Buchan: </w:t>
      </w:r>
      <w:r w:rsidRPr="00ED5D9D">
        <w:t>Buchan@manchester.ac.uk</w:t>
      </w:r>
    </w:p>
    <w:p w14:paraId="3850D653" w14:textId="47818161" w:rsidR="00F76752" w:rsidRDefault="00F76752" w:rsidP="00FD6C28">
      <w:pPr>
        <w:tabs>
          <w:tab w:val="left" w:pos="4678"/>
        </w:tabs>
      </w:pPr>
      <w:r>
        <w:t xml:space="preserve">Matthew Sperrin: </w:t>
      </w:r>
      <w:r w:rsidRPr="00ED5D9D">
        <w:t>matthew.sperrin@manchester.ac.uk</w:t>
      </w:r>
    </w:p>
    <w:p w14:paraId="4314DC0E" w14:textId="77777777" w:rsidR="00C4709D" w:rsidRDefault="00C4709D" w:rsidP="00FD6C28">
      <w:pPr>
        <w:spacing w:after="0"/>
        <w:rPr>
          <w:b/>
        </w:rPr>
      </w:pPr>
    </w:p>
    <w:p w14:paraId="6E0AA9E2" w14:textId="4C724903" w:rsidR="00FD6C28" w:rsidRPr="009D7F5F" w:rsidRDefault="00FD6C28" w:rsidP="00FD6C28">
      <w:pPr>
        <w:spacing w:after="0"/>
        <w:rPr>
          <w:b/>
          <w:szCs w:val="24"/>
        </w:rPr>
      </w:pPr>
      <w:r w:rsidRPr="009D7F5F">
        <w:rPr>
          <w:b/>
        </w:rPr>
        <w:t>Corresponding author</w:t>
      </w:r>
      <w:r w:rsidRPr="009D7F5F">
        <w:rPr>
          <w:b/>
          <w:szCs w:val="24"/>
        </w:rPr>
        <w:t>:</w:t>
      </w:r>
    </w:p>
    <w:p w14:paraId="2A24452B" w14:textId="77777777" w:rsidR="00FD6C28" w:rsidRPr="009D7F5F" w:rsidRDefault="00FD6C28" w:rsidP="00FD6C28">
      <w:pPr>
        <w:spacing w:after="0"/>
      </w:pPr>
      <w:r w:rsidRPr="009D7F5F">
        <w:t>Glen Philip Martin</w:t>
      </w:r>
    </w:p>
    <w:p w14:paraId="4C7E59EA" w14:textId="77777777" w:rsidR="00FD6C28" w:rsidRPr="009D7F5F" w:rsidRDefault="00FD6C28" w:rsidP="00FD6C28">
      <w:pPr>
        <w:spacing w:after="0"/>
      </w:pPr>
      <w:r w:rsidRPr="009D7F5F">
        <w:t>Health e-Research Centre</w:t>
      </w:r>
    </w:p>
    <w:p w14:paraId="264C30F0" w14:textId="77777777" w:rsidR="00FD6C28" w:rsidRPr="009D7F5F" w:rsidRDefault="00FD6C28" w:rsidP="00FD6C28">
      <w:pPr>
        <w:spacing w:after="0"/>
      </w:pPr>
      <w:r w:rsidRPr="009D7F5F">
        <w:t>University of Manchester</w:t>
      </w:r>
    </w:p>
    <w:p w14:paraId="53FE333D" w14:textId="77777777" w:rsidR="00FD6C28" w:rsidRPr="009D7F5F" w:rsidRDefault="00FD6C28" w:rsidP="00FD6C28">
      <w:pPr>
        <w:spacing w:after="0"/>
      </w:pPr>
      <w:r w:rsidRPr="009D7F5F">
        <w:t>Vaughan House, Portsmouth Street, Manchester, United Kingdom, M13 9GB</w:t>
      </w:r>
    </w:p>
    <w:p w14:paraId="5A009302" w14:textId="1BC51754" w:rsidR="00FD6C28" w:rsidRPr="007F2ED4" w:rsidRDefault="00FD6C28" w:rsidP="00FD6C28">
      <w:pPr>
        <w:spacing w:after="0"/>
      </w:pPr>
      <w:r w:rsidRPr="007F2ED4">
        <w:t>Tel: 0161 306</w:t>
      </w:r>
      <w:r w:rsidR="009D7F5F" w:rsidRPr="007F2ED4">
        <w:t xml:space="preserve"> </w:t>
      </w:r>
      <w:r w:rsidRPr="007F2ED4">
        <w:t>0679</w:t>
      </w:r>
    </w:p>
    <w:p w14:paraId="6314AA7C" w14:textId="4733A86A" w:rsidR="00FD6C28" w:rsidRDefault="00FD6C28" w:rsidP="00FD6C28">
      <w:pPr>
        <w:spacing w:after="0"/>
        <w:rPr>
          <w:rStyle w:val="Hyperlink"/>
        </w:rPr>
      </w:pPr>
      <w:r w:rsidRPr="007F2ED4">
        <w:t xml:space="preserve">E-mail: </w:t>
      </w:r>
      <w:r w:rsidRPr="00ED5D9D">
        <w:t>glen.martin@manchester.ac.uk</w:t>
      </w:r>
    </w:p>
    <w:p w14:paraId="73D2054C" w14:textId="2F790695" w:rsidR="002112CF" w:rsidRPr="002112CF" w:rsidRDefault="00FD6C28" w:rsidP="002112CF">
      <w:pPr>
        <w:pStyle w:val="Heading1"/>
      </w:pPr>
      <w:r w:rsidRPr="009D7F5F">
        <w:lastRenderedPageBreak/>
        <w:t>Abstract</w:t>
      </w:r>
    </w:p>
    <w:p w14:paraId="07D66A85" w14:textId="77777777" w:rsidR="00FD6C28" w:rsidRPr="009D7F5F" w:rsidRDefault="00FD6C28" w:rsidP="00FD6C28">
      <w:pPr>
        <w:rPr>
          <w:b/>
        </w:rPr>
      </w:pPr>
      <w:r w:rsidRPr="009D7F5F">
        <w:rPr>
          <w:b/>
        </w:rPr>
        <w:t>Background</w:t>
      </w:r>
    </w:p>
    <w:p w14:paraId="362ADF43" w14:textId="71BD2ED8" w:rsidR="002112CF" w:rsidRPr="009D7F5F" w:rsidRDefault="00FD6C28" w:rsidP="00FD6C28">
      <w:r w:rsidRPr="009D7F5F">
        <w:t xml:space="preserve">Clinical prediction models (CPMs) are increasingly deployed to support healthcare decisions, but </w:t>
      </w:r>
      <w:r w:rsidR="009D7F5F">
        <w:t xml:space="preserve">they are derived inconsistently, in part due to </w:t>
      </w:r>
      <w:r w:rsidRPr="009D7F5F">
        <w:t>limited data. An emerging alternative is to aggregate existing CPMs developed</w:t>
      </w:r>
      <w:r w:rsidR="002975C6" w:rsidRPr="009D7F5F">
        <w:t xml:space="preserve"> </w:t>
      </w:r>
      <w:r w:rsidR="003F1231" w:rsidRPr="009D7F5F">
        <w:t>for</w:t>
      </w:r>
      <w:r w:rsidR="002975C6" w:rsidRPr="009D7F5F">
        <w:t xml:space="preserve"> similar settings and</w:t>
      </w:r>
      <w:r w:rsidRPr="009D7F5F">
        <w:t xml:space="preserve"> outcomes. This simulation study aimed to investigate the impact of between-population-heterogeneity and sample size on aggregating existing CPMs</w:t>
      </w:r>
      <w:r w:rsidR="00EC5EAC" w:rsidRPr="009D7F5F">
        <w:t xml:space="preserve"> in </w:t>
      </w:r>
      <w:r w:rsidR="009D7F5F">
        <w:t>a defined</w:t>
      </w:r>
      <w:r w:rsidR="00EC5EAC" w:rsidRPr="009D7F5F">
        <w:t xml:space="preserve"> population</w:t>
      </w:r>
      <w:r w:rsidRPr="009D7F5F">
        <w:t xml:space="preserve">, compared with developing </w:t>
      </w:r>
      <w:r w:rsidR="008B1989">
        <w:t xml:space="preserve">a model </w:t>
      </w:r>
      <w:r w:rsidR="00D556B4">
        <w:t>de novo</w:t>
      </w:r>
      <w:r w:rsidRPr="009D7F5F">
        <w:t>.</w:t>
      </w:r>
    </w:p>
    <w:p w14:paraId="5A35F582" w14:textId="77777777" w:rsidR="00FD6C28" w:rsidRPr="009D7F5F" w:rsidRDefault="00FD6C28" w:rsidP="00FD6C28">
      <w:pPr>
        <w:rPr>
          <w:b/>
        </w:rPr>
      </w:pPr>
      <w:r w:rsidRPr="009D7F5F">
        <w:rPr>
          <w:b/>
        </w:rPr>
        <w:t>Methods</w:t>
      </w:r>
    </w:p>
    <w:p w14:paraId="44BB6C97" w14:textId="665B144D" w:rsidR="002112CF" w:rsidRPr="009D7F5F" w:rsidRDefault="00FD6C28" w:rsidP="00FD6C28">
      <w:r w:rsidRPr="009D7F5F">
        <w:t>Simulations were designed to mimic a scenario in which multiple CPMs for a binary outcome had been derived in distinct, heterogeneous populations, with potentially different predictors available in each. We then generated a new ‘local’ population an</w:t>
      </w:r>
      <w:r w:rsidR="003F1231" w:rsidRPr="009D7F5F">
        <w:t xml:space="preserve">d compared the performance of </w:t>
      </w:r>
      <w:r w:rsidRPr="009D7F5F">
        <w:t>CPM</w:t>
      </w:r>
      <w:r w:rsidR="003F1231" w:rsidRPr="009D7F5F">
        <w:t>s</w:t>
      </w:r>
      <w:r w:rsidRPr="009D7F5F">
        <w:t xml:space="preserve"> developed for this population by aggregation</w:t>
      </w:r>
      <w:r w:rsidR="002975C6" w:rsidRPr="009D7F5F">
        <w:t>,</w:t>
      </w:r>
      <w:r w:rsidRPr="009D7F5F">
        <w:t xml:space="preserve"> using stacked regression, </w:t>
      </w:r>
      <w:r w:rsidR="001D1E01" w:rsidRPr="009D7F5F">
        <w:t>principal component analysis</w:t>
      </w:r>
      <w:r w:rsidRPr="009D7F5F">
        <w:t xml:space="preserve"> or </w:t>
      </w:r>
      <w:r w:rsidR="001D1E01" w:rsidRPr="009D7F5F">
        <w:t>partial least squares</w:t>
      </w:r>
      <w:r w:rsidRPr="009D7F5F">
        <w:t xml:space="preserve">, </w:t>
      </w:r>
      <w:r w:rsidR="007952FF" w:rsidRPr="009D7F5F">
        <w:t>with redevelopment</w:t>
      </w:r>
      <w:r w:rsidR="0057682F" w:rsidRPr="009D7F5F">
        <w:t xml:space="preserve"> </w:t>
      </w:r>
      <w:r w:rsidRPr="009D7F5F">
        <w:t>from scratch</w:t>
      </w:r>
      <w:r w:rsidR="003F1231" w:rsidRPr="009D7F5F">
        <w:t xml:space="preserve"> using backwards selection and penalised regression</w:t>
      </w:r>
      <w:r w:rsidRPr="009D7F5F">
        <w:t>.</w:t>
      </w:r>
    </w:p>
    <w:p w14:paraId="32A2E17D" w14:textId="6F9B3407" w:rsidR="00EC5EAC" w:rsidRPr="009D7F5F" w:rsidRDefault="00FD6C28" w:rsidP="00FD6C28">
      <w:r w:rsidRPr="009D7F5F">
        <w:rPr>
          <w:b/>
        </w:rPr>
        <w:t>Results</w:t>
      </w:r>
    </w:p>
    <w:p w14:paraId="15F4F810" w14:textId="48572469" w:rsidR="001D1E01" w:rsidRDefault="008B1989" w:rsidP="00FD6C28">
      <w:pPr>
        <w:rPr>
          <w:szCs w:val="24"/>
          <w:lang w:eastAsia="en-GB"/>
        </w:rPr>
      </w:pPr>
      <w:r>
        <w:t>While r</w:t>
      </w:r>
      <w:r w:rsidR="001D1E01" w:rsidRPr="009D7F5F">
        <w:t>edevelopment approaches resulted in models that were miscalibrated</w:t>
      </w:r>
      <w:r w:rsidR="00323230" w:rsidRPr="009D7F5F">
        <w:t xml:space="preserve"> for local datasets of less than 500 observations, model aggregation methods were well calibrated across all simulation scenarios</w:t>
      </w:r>
      <w:r w:rsidR="001D1E01" w:rsidRPr="009D7F5F">
        <w:t xml:space="preserve">. </w:t>
      </w:r>
      <w:r w:rsidR="00FD6C28" w:rsidRPr="009D7F5F">
        <w:t xml:space="preserve">When the size of local data was </w:t>
      </w:r>
      <w:r w:rsidR="0037700B" w:rsidRPr="009D7F5F">
        <w:t xml:space="preserve">less than </w:t>
      </w:r>
      <w:r w:rsidR="001D1E01" w:rsidRPr="009D7F5F">
        <w:t xml:space="preserve">1000 observations </w:t>
      </w:r>
      <w:r w:rsidR="00FD6C28" w:rsidRPr="009D7F5F">
        <w:t>and between-population-heterogeneity</w:t>
      </w:r>
      <w:r w:rsidR="00FD6C28" w:rsidRPr="009D7F5F" w:rsidDel="00622D03">
        <w:rPr>
          <w:lang w:eastAsia="en-GB"/>
        </w:rPr>
        <w:t xml:space="preserve"> </w:t>
      </w:r>
      <w:r w:rsidR="00FD6C28" w:rsidRPr="009D7F5F">
        <w:rPr>
          <w:lang w:eastAsia="en-GB"/>
        </w:rPr>
        <w:t xml:space="preserve">was small, </w:t>
      </w:r>
      <w:r w:rsidR="00FD6C28" w:rsidRPr="009D7F5F">
        <w:t xml:space="preserve">aggregating existing CPMs gave better discrimination </w:t>
      </w:r>
      <w:r w:rsidR="00FD6C28" w:rsidRPr="007F2ED4">
        <w:t xml:space="preserve">and had the lowest mean square error in the predicted risks </w:t>
      </w:r>
      <w:r w:rsidR="00FD6C28" w:rsidRPr="009D7F5F">
        <w:t xml:space="preserve">compared with deriving a </w:t>
      </w:r>
      <w:r w:rsidR="003F1231" w:rsidRPr="009D7F5F">
        <w:t>new</w:t>
      </w:r>
      <w:r w:rsidR="00FD6C28" w:rsidRPr="009D7F5F">
        <w:t xml:space="preserve"> </w:t>
      </w:r>
      <w:r w:rsidR="00FD6C28" w:rsidRPr="007F2ED4">
        <w:t>model</w:t>
      </w:r>
      <w:r w:rsidR="00FD6C28" w:rsidRPr="009D7F5F">
        <w:t>.</w:t>
      </w:r>
      <w:r w:rsidR="001D1E01" w:rsidRPr="009D7F5F">
        <w:t xml:space="preserve"> Conversely, </w:t>
      </w:r>
      <w:r w:rsidR="00323230" w:rsidRPr="009D7F5F">
        <w:t>given</w:t>
      </w:r>
      <w:r w:rsidR="001D1E01" w:rsidRPr="009D7F5F">
        <w:t xml:space="preserve"> greater than 1000 observations </w:t>
      </w:r>
      <w:r w:rsidR="00323230" w:rsidRPr="009D7F5F">
        <w:t>and</w:t>
      </w:r>
      <w:r w:rsidR="001D1E01" w:rsidRPr="009D7F5F">
        <w:t xml:space="preserve"> significant </w:t>
      </w:r>
      <w:r w:rsidR="0082355D">
        <w:t>between-</w:t>
      </w:r>
      <w:r w:rsidR="001D1E01" w:rsidRPr="009D7F5F">
        <w:t>population-heterogeneity,</w:t>
      </w:r>
      <w:r w:rsidR="0082355D">
        <w:t xml:space="preserve"> then</w:t>
      </w:r>
      <w:r w:rsidR="001D1E01" w:rsidRPr="009D7F5F">
        <w:t xml:space="preserve"> redevelopment outperformed the aggregation approaches. </w:t>
      </w:r>
      <w:r w:rsidR="00323230" w:rsidRPr="009D7F5F">
        <w:t>In all other</w:t>
      </w:r>
      <w:r w:rsidR="001D1E01" w:rsidRPr="009D7F5F">
        <w:t xml:space="preserve"> </w:t>
      </w:r>
      <w:r w:rsidR="0037700B" w:rsidRPr="009D7F5F">
        <w:t>scenarios,</w:t>
      </w:r>
      <w:r w:rsidR="001D1E01" w:rsidRPr="009D7F5F">
        <w:t xml:space="preserve"> </w:t>
      </w:r>
      <w:r w:rsidR="001D1E01" w:rsidRPr="009D7F5F">
        <w:rPr>
          <w:lang w:eastAsia="en-GB"/>
        </w:rPr>
        <w:t xml:space="preserve">both aggregation and </w:t>
      </w:r>
      <w:r w:rsidR="0057682F" w:rsidRPr="009D7F5F">
        <w:rPr>
          <w:lang w:eastAsia="en-GB"/>
        </w:rPr>
        <w:t xml:space="preserve">de novo </w:t>
      </w:r>
      <w:r w:rsidR="001D1E01" w:rsidRPr="009D7F5F">
        <w:rPr>
          <w:lang w:eastAsia="en-GB"/>
        </w:rPr>
        <w:t xml:space="preserve">derivation resulted in </w:t>
      </w:r>
      <w:r w:rsidR="001D1E01" w:rsidRPr="009D7F5F">
        <w:rPr>
          <w:szCs w:val="24"/>
          <w:lang w:eastAsia="en-GB"/>
        </w:rPr>
        <w:t xml:space="preserve">similar </w:t>
      </w:r>
      <w:r w:rsidR="00323230" w:rsidRPr="009D7F5F">
        <w:rPr>
          <w:szCs w:val="24"/>
          <w:lang w:eastAsia="en-GB"/>
        </w:rPr>
        <w:t xml:space="preserve">predictive </w:t>
      </w:r>
      <w:r w:rsidR="001D1E01" w:rsidRPr="009D7F5F">
        <w:rPr>
          <w:szCs w:val="24"/>
          <w:lang w:eastAsia="en-GB"/>
        </w:rPr>
        <w:t>performance.</w:t>
      </w:r>
    </w:p>
    <w:p w14:paraId="17E5A295" w14:textId="77777777" w:rsidR="00FD6C28" w:rsidRPr="009D7F5F" w:rsidRDefault="00FD6C28" w:rsidP="00FD6C28">
      <w:pPr>
        <w:rPr>
          <w:b/>
        </w:rPr>
      </w:pPr>
      <w:r w:rsidRPr="009D7F5F">
        <w:rPr>
          <w:b/>
        </w:rPr>
        <w:lastRenderedPageBreak/>
        <w:t>Conclusion</w:t>
      </w:r>
    </w:p>
    <w:p w14:paraId="5F9ADBFC" w14:textId="00A4C59B" w:rsidR="00FD6C28" w:rsidRPr="009D7F5F" w:rsidRDefault="00FD6C28" w:rsidP="00FD6C28">
      <w:pPr>
        <w:rPr>
          <w:szCs w:val="24"/>
          <w:lang w:eastAsia="en-GB"/>
        </w:rPr>
      </w:pPr>
      <w:r w:rsidRPr="009D7F5F">
        <w:t xml:space="preserve">This study demonstrates a pragmatic approach to contextualising CPMs to </w:t>
      </w:r>
      <w:r w:rsidR="00C906A5">
        <w:t>defined</w:t>
      </w:r>
      <w:r w:rsidRPr="009D7F5F">
        <w:t xml:space="preserve"> populations. </w:t>
      </w:r>
      <w:r w:rsidRPr="009D7F5F">
        <w:rPr>
          <w:szCs w:val="24"/>
          <w:lang w:eastAsia="en-GB"/>
        </w:rPr>
        <w:t>When aiming to develop model</w:t>
      </w:r>
      <w:r w:rsidR="00073ABD">
        <w:rPr>
          <w:szCs w:val="24"/>
          <w:lang w:eastAsia="en-GB"/>
        </w:rPr>
        <w:t>s in defined populations, model</w:t>
      </w:r>
      <w:r w:rsidR="00073ABD" w:rsidRPr="009D7F5F">
        <w:rPr>
          <w:szCs w:val="24"/>
          <w:lang w:eastAsia="en-GB"/>
        </w:rPr>
        <w:t>lers</w:t>
      </w:r>
      <w:r w:rsidRPr="009D7F5F">
        <w:rPr>
          <w:szCs w:val="24"/>
          <w:lang w:eastAsia="en-GB"/>
        </w:rPr>
        <w:t xml:space="preserve"> should consider existing CPMs, with aggregation approaches being a suitable modelling strategy particularly with sparse data on the local population.</w:t>
      </w:r>
    </w:p>
    <w:p w14:paraId="52F63E2E" w14:textId="77777777" w:rsidR="00FD6C28" w:rsidRPr="009D7F5F" w:rsidRDefault="00FD6C28" w:rsidP="00FD6C28">
      <w:pPr>
        <w:rPr>
          <w:szCs w:val="24"/>
          <w:lang w:eastAsia="en-GB"/>
        </w:rPr>
      </w:pPr>
    </w:p>
    <w:p w14:paraId="4BBC54F5" w14:textId="77777777" w:rsidR="00FD6C28" w:rsidRPr="009D7F5F" w:rsidRDefault="00FD6C28" w:rsidP="00FD6C28">
      <w:pPr>
        <w:spacing w:before="240" w:after="0" w:line="259" w:lineRule="auto"/>
        <w:rPr>
          <w:b/>
          <w:color w:val="000000"/>
        </w:rPr>
      </w:pPr>
      <w:r w:rsidRPr="009D7F5F">
        <w:rPr>
          <w:b/>
          <w:color w:val="000000"/>
        </w:rPr>
        <w:t>Keywords</w:t>
      </w:r>
    </w:p>
    <w:p w14:paraId="13142A93" w14:textId="77777777" w:rsidR="00FD6C28" w:rsidRPr="009D7F5F" w:rsidRDefault="00FD6C28" w:rsidP="00FD6C28">
      <w:pPr>
        <w:spacing w:before="240" w:after="0"/>
        <w:rPr>
          <w:b/>
          <w:color w:val="000000"/>
        </w:rPr>
      </w:pPr>
      <w:r w:rsidRPr="009D7F5F">
        <w:rPr>
          <w:color w:val="000000"/>
        </w:rPr>
        <w:t>clinical prediction models; model aggregation; validation; computer simulation; contextual heterogeneity</w:t>
      </w:r>
    </w:p>
    <w:p w14:paraId="07B20EA4" w14:textId="77777777" w:rsidR="00FD6C28" w:rsidRPr="009D7F5F" w:rsidRDefault="00FD6C28" w:rsidP="00FD6C28"/>
    <w:p w14:paraId="3186FBBF" w14:textId="77777777" w:rsidR="00946883" w:rsidRPr="009D7F5F" w:rsidRDefault="00946883" w:rsidP="00FD6C28"/>
    <w:p w14:paraId="4D0BCDD7" w14:textId="77777777" w:rsidR="00946883" w:rsidRPr="009D7F5F" w:rsidRDefault="00946883" w:rsidP="00FD6C28"/>
    <w:p w14:paraId="26D7A2DD" w14:textId="77777777" w:rsidR="00946883" w:rsidRDefault="00946883" w:rsidP="00FD6C28"/>
    <w:p w14:paraId="672C0E64" w14:textId="77777777" w:rsidR="00B94D9C" w:rsidRDefault="00B94D9C" w:rsidP="00FD6C28"/>
    <w:p w14:paraId="74643102" w14:textId="77777777" w:rsidR="00B94D9C" w:rsidRDefault="00B94D9C" w:rsidP="00FD6C28"/>
    <w:p w14:paraId="1C311051" w14:textId="77777777" w:rsidR="00B94D9C" w:rsidRDefault="00B94D9C" w:rsidP="00FD6C28"/>
    <w:p w14:paraId="3A21A546" w14:textId="77777777" w:rsidR="00B94D9C" w:rsidRDefault="00B94D9C" w:rsidP="00FD6C28"/>
    <w:p w14:paraId="1F4B140E" w14:textId="77777777" w:rsidR="00B94D9C" w:rsidRDefault="00B94D9C" w:rsidP="00FD6C28"/>
    <w:p w14:paraId="25283161" w14:textId="77777777" w:rsidR="00B94D9C" w:rsidRDefault="00B94D9C" w:rsidP="00FD6C28"/>
    <w:p w14:paraId="01698A56" w14:textId="77777777" w:rsidR="00B94D9C" w:rsidRDefault="00B94D9C" w:rsidP="00FD6C28"/>
    <w:p w14:paraId="12414CB0" w14:textId="77777777" w:rsidR="00B94D9C" w:rsidRDefault="00B94D9C" w:rsidP="00FD6C28"/>
    <w:p w14:paraId="0F017EAD" w14:textId="77777777" w:rsidR="00B94D9C" w:rsidRPr="009D7F5F" w:rsidRDefault="00B94D9C" w:rsidP="00FD6C28"/>
    <w:p w14:paraId="54E856C2" w14:textId="77777777" w:rsidR="00FD6C28" w:rsidRPr="009D7F5F" w:rsidRDefault="00FD6C28" w:rsidP="00FD6C28">
      <w:pPr>
        <w:pStyle w:val="Heading1"/>
      </w:pPr>
      <w:r w:rsidRPr="009D7F5F">
        <w:lastRenderedPageBreak/>
        <w:t>Background</w:t>
      </w:r>
    </w:p>
    <w:p w14:paraId="70553E9E" w14:textId="2AB019A9" w:rsidR="00FD6C28" w:rsidRPr="009D7F5F" w:rsidRDefault="00493083" w:rsidP="00FD6C28">
      <w:pPr>
        <w:ind w:firstLine="720"/>
      </w:pPr>
      <w:r w:rsidRPr="009D7F5F">
        <w:t>C</w:t>
      </w:r>
      <w:r w:rsidR="00FD6C28" w:rsidRPr="009D7F5F">
        <w:t>linical prediction model</w:t>
      </w:r>
      <w:r w:rsidRPr="009D7F5F">
        <w:t>s</w:t>
      </w:r>
      <w:r w:rsidR="00FD6C28" w:rsidRPr="009D7F5F">
        <w:t xml:space="preserve"> (CPM</w:t>
      </w:r>
      <w:r w:rsidRPr="009D7F5F">
        <w:t>s</w:t>
      </w:r>
      <w:r w:rsidR="00FD6C28" w:rsidRPr="009D7F5F">
        <w:t>)</w:t>
      </w:r>
      <w:r w:rsidRPr="009D7F5F">
        <w:t>, which</w:t>
      </w:r>
      <w:r w:rsidR="00FD6C28" w:rsidRPr="009D7F5F">
        <w:t xml:space="preserve"> </w:t>
      </w:r>
      <w:r w:rsidRPr="009D7F5F">
        <w:t>compute</w:t>
      </w:r>
      <w:r w:rsidR="00FD6C28" w:rsidRPr="009D7F5F">
        <w:t xml:space="preserve"> the risk of an outcome for a given </w:t>
      </w:r>
      <w:r w:rsidR="0094728C" w:rsidRPr="009D7F5F">
        <w:t xml:space="preserve">set of </w:t>
      </w:r>
      <w:r w:rsidR="00FD6C28" w:rsidRPr="009D7F5F">
        <w:t>patient</w:t>
      </w:r>
      <w:r w:rsidR="0094728C" w:rsidRPr="009D7F5F">
        <w:t xml:space="preserve"> characteristics</w:t>
      </w:r>
      <w:r w:rsidRPr="009D7F5F">
        <w:t xml:space="preserve">, </w:t>
      </w:r>
      <w:r w:rsidR="0094728C" w:rsidRPr="009D7F5F">
        <w:t>are fundamental to clinical decision support systems</w:t>
      </w:r>
      <w:r w:rsidR="00FD6C28" w:rsidRPr="009D7F5F">
        <w:t>.</w:t>
      </w:r>
      <w:r w:rsidR="0094728C" w:rsidRPr="009D7F5F">
        <w:t xml:space="preserve"> For instance, p</w:t>
      </w:r>
      <w:r w:rsidR="00FD6C28" w:rsidRPr="009D7F5F">
        <w:t>ractica</w:t>
      </w:r>
      <w:r w:rsidR="00131644" w:rsidRPr="009D7F5F">
        <w:t xml:space="preserve">l uses of CPMs include </w:t>
      </w:r>
      <w:r w:rsidR="00FD6C28" w:rsidRPr="009D7F5F">
        <w:t xml:space="preserve">facilitating discussions about the risks associated with a proposed treatment strategy, assisting audit analyses and benchmarking post-procedural outcomes. </w:t>
      </w:r>
      <w:r w:rsidRPr="009D7F5F">
        <w:t>Consequently, t</w:t>
      </w:r>
      <w:r w:rsidR="00FD6C28" w:rsidRPr="009D7F5F">
        <w:t>here is growing interest in developing CPMs</w:t>
      </w:r>
      <w:r w:rsidRPr="009D7F5F">
        <w:t xml:space="preserve"> to support local healthcare decisions </w:t>
      </w:r>
      <w:r w:rsidR="00FD6C28" w:rsidRPr="007F2ED4">
        <w:fldChar w:fldCharType="begin" w:fldLock="1"/>
      </w:r>
      <w:r w:rsidR="00A23B1C">
        <w:instrText>ADDIN CSL_CITATION { "citationItems" : [ { "id" : "ITEM-1", "itemData" : { "DOI" : "10.1177/0272989X12439755", "ISBN" : "0272989X (ISSN)", "ISSN" : "0272-989X", "PMID" : "22427369", "abstract" : "Background. When planning to use a validated prediction model in new patients, adequate performance is not guaranteed. For example, changes in clinical practice over time or a different case mix than the original validation population may result in inaccurate risk predictions. Objective. To demonstrate how clinical information can direct updating a prediction model and development of a strategy for handling missing predictor values in clinical practice. Methods. A previously derived and validated prediction model for postoperative nausea and vomiting was updated using a data set of 1847 patients. The update consisted of 1) changing the definition of an existing predictor, 2) reestimating the regression coefficient of a predictor, and 3) adding a new predictor to the model. The updated model was then validated in a new series of 3822 patients. Furthermore, several imputation models were considered to handle real-time missing values, so that possible missing predictor values could be anticipated during actual model use. Results. Differences in clinical practice between our local population and the original derivation population guided the update strategy of the prediction model. The predictive accuracy of the updated model was better (c statistic, 0.68; calibration slope, 1.0) than the original model (c statistic, 0.62; calibration slope, 0.57). Inclusion of logistical variables in the imputation models, besides observed patient characteristics, contributed to a strategy to deal with missing predictor values at the time of risk calculation. Conclusions. Extensive knowledge of local, clinical processes provides crucial information to guide the process of adapting a prediction model to new clinical practices.", "author" : [ { "dropping-particle" : "", "family" : "Kappen", "given" : "T. H.", "non-dropping-particle" : "", "parse-names" : false, "suffix" : "" }, { "dropping-particle" : "", "family" : "Vergouwe", "given" : "Y.", "non-dropping-particle" : "", "parse-names" : false, "suffix" : "" }, { "dropping-particle" : "", "family" : "Klei", "given" : "W. a.", "non-dropping-particle" : "van", "parse-names" : false, "suffix" : "" }, { "dropping-particle" : "", "family" : "Wolfswinkel", "given" : "L.", "non-dropping-particle" : "van", "parse-names" : false, "suffix" : "" }, { "dropping-particle" : "", "family" : "Kalkman", "given" : "C. J.", "non-dropping-particle" : "", "parse-names" : false, "suffix" : "" }, { "dropping-particle" : "", "family" : "Moons", "given" : "K. G. M.", "non-dropping-particle" : "", "parse-names" : false, "suffix" : "" } ], "container-title" : "Medical Decision Making", "id" : "ITEM-1", "issue" : "3", "issued" : { "date-parts" : [ [ "2012", "5", "1" ] ] }, "page" : "E1-E10", "title" : "Adaptation of Clinical Prediction Models for Application in Local Settings", "type" : "article-journal", "volume" : "32" }, "uris" : [ "http://www.mendeley.com/documents/?uuid=70b9e212-a3e0-4f1e-9a19-74a4d3ad58d7" ] }, { "id" : "ITEM-2", "itemData" : { "DOI" : "10.1136/bmj.i2416", "ISBN" : "0959-535x", "ISSN" : "1756-1833", "PMID" : "27184143", "author" : [ { "dropping-particle" : "", "family" : "Damen", "given" : "Johanna A A G", "non-dropping-particle" : "", "parse-names" : false, "suffix" : "" }, { "dropping-particle" : "", "family" : "Hooft", "given" : "Lotty", "non-dropping-particle" : "", "parse-names" : false, "suffix" : "" }, { "dropping-particle" : "", "family" : "Schuit", "given" : "Ewoud", "non-dropping-particle" : "", "parse-names" : false, "suffix" : "" }, { "dropping-particle" : "", "family" : "Debray", "given" : "Thomas P A", "non-dropping-particle" : "", "parse-names" : false, "suffix" : "" }, { "dropping-particle" : "", "family" : "Collins", "given" : "Gary S", "non-dropping-particle" : "", "parse-names" : false, "suffix" : "" }, { "dropping-particle" : "", "family" : "Tzoulaki", "given" : "Ioanna", "non-dropping-particle" : "", "parse-names" : false, "suffix" : "" }, { "dropping-particle" : "", "family" : "Lassale", "given" : "Camille M", "non-dropping-particle" : "", "parse-names" : false, "suffix" : "" }, { "dropping-particle" : "", "family" : "Siontis", "given" : "George C M", "non-dropping-particle" : "", "parse-names" : false, "suffix" : "" }, { "dropping-particle" : "", "family" : "Chiocchia", "given" : "Virginia", "non-dropping-particle" : "", "parse-names" : false, "suffix" : "" }, { "dropping-particle" : "", "family" : "Roberts", "given" : "Corran", "non-dropping-particle" : "", "parse-names" : false, "suffix" : "" }, { "dropping-particle" : "", "family" : "Schl\u00fcssel", "given" : "Michael Maia", "non-dropping-particle" : "", "parse-names" : false, "suffix" : "" }, { "dropping-particle" : "", "family" : "Gerry", "given" : "Stephen", "non-dropping-particle" : "", "parse-names" : false, "suffix" : "" }, { "dropping-particle" : "", "family" : "Black", "given" : "James A", "non-dropping-particle" : "", "parse-names" : false, "suffix" : "" }, { "dropping-particle" : "", "family" : "Heus", "given" : "Pauline", "non-dropping-particle" : "", "parse-names" : false, "suffix" : "" }, { "dropping-particle" : "", "family" : "Schouw", "given" : "Yvonne T", "non-dropping-particle" : "van der", "parse-names" : false, "suffix" : "" }, { "dropping-particle" : "", "family" : "Peelen", "given" : "Linda M", "non-dropping-particle" : "", "parse-names" : false, "suffix" : "" }, { "dropping-particle" : "", "family" : "Moons", "given" : "Karel G M", "non-dropping-particle" : "", "parse-names" : false, "suffix" : "" } ], "container-title" : "BMJ", "id" : "ITEM-2", "issued" : { "date-parts" : [ [ "2016", "5", "16" ] ] }, "page" : "i2416", "title" : "Prediction models for cardiovascular disease risk in the general population: systematic review", "type" : "article-journal", "volume" : "353" }, "uris" : [ "http://www.mendeley.com/documents/?uuid=a519128c-06de-4aa0-976b-43162027b617" ] } ], "mendeley" : { "formattedCitation" : "[1, 2]", "plainTextFormattedCitation" : "[1, 2]", "previouslyFormattedCitation" : "[1, 2]" }, "properties" : { "noteIndex" : 0 }, "schema" : "https://github.com/citation-style-language/schema/raw/master/csl-citation.json" }</w:instrText>
      </w:r>
      <w:r w:rsidR="00FD6C28" w:rsidRPr="007F2ED4">
        <w:fldChar w:fldCharType="separate"/>
      </w:r>
      <w:r w:rsidR="00FD6C28" w:rsidRPr="009D7F5F">
        <w:rPr>
          <w:noProof/>
        </w:rPr>
        <w:t>[1, 2]</w:t>
      </w:r>
      <w:r w:rsidR="00FD6C28" w:rsidRPr="007F2ED4">
        <w:fldChar w:fldCharType="end"/>
      </w:r>
      <w:r w:rsidR="0094728C" w:rsidRPr="007F2ED4">
        <w:t xml:space="preserve">. Although </w:t>
      </w:r>
      <w:r w:rsidR="00FD6C28" w:rsidRPr="009D7F5F">
        <w:t>there might be existing models derived for similar outcomes and population</w:t>
      </w:r>
      <w:r w:rsidR="00992905" w:rsidRPr="009D7F5F">
        <w:t>s</w:t>
      </w:r>
      <w:r w:rsidR="00FD6C28" w:rsidRPr="009D7F5F">
        <w:t>, it is vital they are appropriately updated, validated and transferred between different contexts of use</w:t>
      </w:r>
      <w:r w:rsidR="00A40780" w:rsidRPr="009D7F5F">
        <w:t>. B</w:t>
      </w:r>
      <w:r w:rsidR="00FD6C28" w:rsidRPr="009D7F5F">
        <w:t xml:space="preserve">aseline risk and predictor effects may differ </w:t>
      </w:r>
      <w:r w:rsidR="00992905" w:rsidRPr="009D7F5F">
        <w:t xml:space="preserve">across </w:t>
      </w:r>
      <w:r w:rsidR="00FD6C28" w:rsidRPr="009D7F5F">
        <w:t>populations</w:t>
      </w:r>
      <w:r w:rsidR="00A40780" w:rsidRPr="009D7F5F">
        <w:t xml:space="preserve">, which </w:t>
      </w:r>
      <w:r w:rsidR="00FD6C28" w:rsidRPr="009D7F5F">
        <w:t xml:space="preserve">can </w:t>
      </w:r>
      <w:r w:rsidR="00131644" w:rsidRPr="009D7F5F">
        <w:t>cause</w:t>
      </w:r>
      <w:r w:rsidR="00FD6C28" w:rsidRPr="009D7F5F">
        <w:t xml:space="preserve"> model performance </w:t>
      </w:r>
      <w:r w:rsidR="00131644" w:rsidRPr="009D7F5F">
        <w:t xml:space="preserve">to decrease when </w:t>
      </w:r>
      <w:r w:rsidR="00FD6C28" w:rsidRPr="009D7F5F">
        <w:t>transferring an existing CPM to the local population</w:t>
      </w:r>
      <w:r w:rsidR="00A40780" w:rsidRPr="009D7F5F">
        <w:t xml:space="preserve"> </w:t>
      </w:r>
      <w:r w:rsidR="00A40780" w:rsidRPr="007F2ED4">
        <w:fldChar w:fldCharType="begin" w:fldLock="1"/>
      </w:r>
      <w:r w:rsidR="00A23B1C">
        <w:instrText>ADDIN CSL_CITATION { "citationItems" : [ { "id" : "ITEM-1", "itemData" : { "DOI" : "10.1136/bmj.b605", "ISSN" : "0959-8138", "PMID" : "19477892", "author" : [ { "dropping-particle" : "", "family" : "Altman", "given" : "Douglas G", "non-dropping-particle" : "", "parse-names" : false, "suffix" : "" }, { "dropping-particle" : "", "family" : "Vergouwe", "given" : "Yvonne", "non-dropping-particle" : "", "parse-names" : false, "suffix" : "" }, { "dropping-particle" : "", "family" : "Royston", "given" : "Patrick", "non-dropping-particle" : "", "parse-names" : false, "suffix" : "" }, { "dropping-particle" : "", "family" : "Moons", "given" : "Karel G M", "non-dropping-particle" : "", "parse-names" : false, "suffix" : "" } ], "container-title" : "BMJ", "id" : "ITEM-1", "issue" : "may28 1", "issued" : { "date-parts" : [ [ "2009", "5", "28" ] ] }, "page" : "b605-b605", "title" : "Prognosis and prognostic research: validating a prognostic model", "type" : "article-journal", "volume" : "338" }, "uris" : [ "http://www.mendeley.com/documents/?uuid=01553d25-35c2-423d-a490-e92cb9c1703b" ] }, { "id" : "ITEM-2", "itemData" : { "DOI" : "10.1136/bmj.b604", "ISSN" : "0959-8138", "PMID" : "19336487", "author" : [ { "dropping-particle" : "", "family" : "Royston", "given" : "Patrick", "non-dropping-particle" : "", "parse-names" : false, "suffix" : "" }, { "dropping-particle" : "", "family" : "Moons", "given" : "Karel G M", "non-dropping-particle" : "", "parse-names" : false, "suffix" : "" }, { "dropping-particle" : "", "family" : "Altman", "given" : "Douglas G", "non-dropping-particle" : "", "parse-names" : false, "suffix" : "" }, { "dropping-particle" : "", "family" : "Vergouwe", "given" : "Yvonne", "non-dropping-particle" : "", "parse-names" : false, "suffix" : "" } ], "container-title" : "BMJ", "id" : "ITEM-2", "issue" : "mar31 1", "issued" : { "date-parts" : [ [ "2009", "3", "31" ] ] }, "page" : "b604-b604", "title" : "Prognosis and prognostic research: Developing a prognostic model", "type" : "article-journal", "volume" : "338" }, "uris" : [ "http://www.mendeley.com/documents/?uuid=e6f9b69e-adff-4bf2-a714-2b574a2efcc3" ] }, { "id" : "ITEM-3", "itemData" : { "DOI" : "10.1136/bmj.b606", "ISSN" : "0959-8138", "PMID" : "19502216", "author" : [ { "dropping-particle" : "", "family" : "Moons", "given" : "Karel G M", "non-dropping-particle" : "", "parse-names" : false, "suffix" : "" }, { "dropping-particle" : "", "family" : "Altman", "given" : "Douglas G", "non-dropping-particle" : "", "parse-names" : false, "suffix" : "" }, { "dropping-particle" : "", "family" : "Vergouwe", "given" : "Yvonne", "non-dropping-particle" : "", "parse-names" : false, "suffix" : "" }, { "dropping-particle" : "", "family" : "Royston", "given" : "Patrick", "non-dropping-particle" : "", "parse-names" : false, "suffix" : "" } ], "container-title" : "BMJ", "id" : "ITEM-3", "issue" : "jun04 2", "issued" : { "date-parts" : [ [ "2009", "6", "4" ] ] }, "page" : "b606-b606", "title" : "Prognosis and prognostic research: application and impact of prognostic models in clinical practice", "type" : "article-journal", "volume" : "338" }, "uris" : [ "http://www.mendeley.com/documents/?uuid=39f7c35a-4d60-4019-a6b1-b0a0b312a176" ] }, { "id" : "ITEM-4", "itemData" : { "DOI" : "10.1136/bmj.i3140", "ISSN" : "1756-1833", "PMID" : "27334381", "author" : [ { "dropping-particle" : "", "family" : "Riley", "given" : "Richard D", "non-dropping-particle" : "", "parse-names" : false, "suffix" : "" }, { "dropping-particle" : "", "family" : "Ensor", "given" : "Joie", "non-dropping-particle" : "", "parse-names" : false, "suffix" : "" }, { "dropping-particle" : "", "family" : "Snell", "given" : "Kym I E", "non-dropping-particle" : "", "parse-names" : false, "suffix" : "" }, { "dropping-particle" : "", "family" : "Debray", "given" : "Thomas P A", "non-dropping-particle" : "", "parse-names" : false, "suffix" : "" }, { "dropping-particle" : "", "family" : "Altman", "given" : "Doug G", "non-dropping-particle" : "", "parse-names" : false, "suffix" : "" }, { "dropping-particle" : "", "family" : "Moons", "given" : "Karel G M", "non-dropping-particle" : "", "parse-names" : false, "suffix" : "" }, { "dropping-particle" : "", "family" : "Collins", "given" : "Gary S", "non-dropping-particle" : "", "parse-names" : false, "suffix" : "" } ], "container-title" : "BMJ", "id" : "ITEM-4", "issued" : { "date-parts" : [ [ "2016", "6", "22" ] ] }, "page" : "i3140", "title" : "External validation of clinical prediction models using big datasets from e-health records or IPD meta-analysis: opportunities and challenges", "type" : "article-journal", "volume" : "353" }, "uris" : [ "http://www.mendeley.com/documents/?uuid=96378fd0-2cd6-481d-ad26-fd0b391c706c" ] } ], "mendeley" : { "formattedCitation" : "[3\u20136]", "plainTextFormattedCitation" : "[3\u20136]", "previouslyFormattedCitation" : "[3\u20136]" }, "properties" : { "noteIndex" : 0 }, "schema" : "https://github.com/citation-style-language/schema/raw/master/csl-citation.json" }</w:instrText>
      </w:r>
      <w:r w:rsidR="00A40780" w:rsidRPr="007F2ED4">
        <w:fldChar w:fldCharType="separate"/>
      </w:r>
      <w:r w:rsidR="00EE17F5" w:rsidRPr="009D7F5F">
        <w:rPr>
          <w:noProof/>
        </w:rPr>
        <w:t>[3–6]</w:t>
      </w:r>
      <w:r w:rsidR="00A40780" w:rsidRPr="007F2ED4">
        <w:fldChar w:fldCharType="end"/>
      </w:r>
      <w:r w:rsidR="00A40780" w:rsidRPr="009D7F5F">
        <w:t xml:space="preserve">. This between-population-heterogeneity </w:t>
      </w:r>
      <w:r w:rsidR="00131644" w:rsidRPr="009D7F5F">
        <w:t>frequently leads</w:t>
      </w:r>
      <w:r w:rsidR="00FD6C28" w:rsidRPr="009D7F5F">
        <w:t xml:space="preserve"> to researchers rejecting existing models and developing new ones </w:t>
      </w:r>
      <w:r w:rsidR="00FD6C28" w:rsidRPr="007F2ED4">
        <w:fldChar w:fldCharType="begin" w:fldLock="1"/>
      </w:r>
      <w:r w:rsidR="00BB581D">
        <w:instrText>ADDIN CSL_CITATION { "citationItems" : [ { "id" : "ITEM-1", "itemData" : { "DOI" : "10.1136/bmj.b606", "ISSN" : "0959-8138", "PMID" : "19502216", "author" : [ { "dropping-particle" : "", "family" : "Moons", "given" : "Karel G M", "non-dropping-particle" : "", "parse-names" : false, "suffix" : "" }, { "dropping-particle" : "", "family" : "Altman", "given" : "Douglas G", "non-dropping-particle" : "", "parse-names" : false, "suffix" : "" }, { "dropping-particle" : "", "family" : "Vergouwe", "given" : "Yvonne", "non-dropping-particle" : "", "parse-names" : false, "suffix" : "" }, { "dropping-particle" : "", "family" : "Royston", "given" : "Patrick", "non-dropping-particle" : "", "parse-names" : false, "suffix" : "" } ], "container-title" : "BMJ", "id" : "ITEM-1", "issue" : "jun04 2", "issued" : { "date-parts" : [ [ "2009", "6", "4" ] ] }, "page" : "b606-b606", "title" : "Prognosis and prognostic research: application and impact of prognostic models in clinical practice", "type" : "article-journal", "volume" : "338" }, "uris" : [ "http://www.mendeley.com/documents/?uuid=39f7c35a-4d60-4019-a6b1-b0a0b312a176" ] }, { "id" : "ITEM-2", "itemData" : { "DOI" : "10.1016/j.jclinepi.2007.04.018", "ISSN" : "08954356", "PMID" : "18083464", "abstract" : "OBJECTIVE: Ideally, clinical prediction models are generalizable to other patient groups. Unfortunately, they perform regularly worse when validated in new patients and are then often redeveloped. While the original prediction model usually has been developed on a large data set, redevelopment then often occurs on the smaller validation set. Recently, methods to update existing prediction models with the data of new patients have been proposed. We used an existing model that preoperatively predicts the risk of severe postoperative pain (SPP) to compare five updating methods. STUDY DESIGN AND SETTING: The model was tested and updated with a set of 752 new patients (274 [36] with SPP). We studied the discrimination (ability to distinguish between patients with and without SPP) and calibration (agreement between the predicted risks and observed frequencies of SPP) of the five updated models in 283 other patients (100 [35%] with SPP). RESULTS: Simple recalibration methods improved the calibration to a similar extent as revision methods that made more extensive adjustments to the original model. Discrimination could not be improved by any of the methods. CONCLUSION: When the performance is poor in new patients, updating methods can be applied to adjust the model, rather than to develop a new model.", "author" : [ { "dropping-particle" : "", "family" : "Janssen", "given" : "K.J.M.", "non-dropping-particle" : "", "parse-names" : false, "suffix" : "" }, { "dropping-particle" : "", "family" : "Moons", "given" : "K.G.M.", "non-dropping-particle" : "", "parse-names" : false, "suffix" : "" }, { "dropping-particle" : "", "family" : "Kalkman", "given" : "C.J.", "non-dropping-particle" : "", "parse-names" : false, "suffix" : "" }, { "dropping-particle" : "", "family" : "Grobbee", "given" : "D.E.", "non-dropping-particle" : "", "parse-names" : false, "suffix" : "" }, { "dropping-particle" : "", "family" : "Vergouwe", "given" : "Y", "non-dropping-particle" : "", "parse-names" : false, "suffix" : "" } ], "container-title" : "Journal of Clinical Epidemiology", "id" : "ITEM-2", "issue" : "1", "issued" : { "date-parts" : [ [ "2008", "1" ] ] }, "page" : "76-86", "title" : "Updating methods improved the performance of a clinical prediction model in new patients", "type" : "article-journal", "volume" : "61" }, "uris" : [ "http://www.mendeley.com/documents/?uuid=b3568818-e11f-48c0-928c-80cecae2daec" ] }, { "id" : "ITEM-3", "itemData" : { "DOI" : "10.1002/sim.1844", "ISSN" : "0277-6715", "PMID" : "15287085", "abstract" : "A logistic regression model may be used to provide predictions of outcome for individual patients at another centre than where the model was developed. When empirical data are available from this centre, the validity of predictions can be assessed by comparing observed outcomes and predicted probabilities. Subsequently, the model may be updated to improve predictions for future patients. As an example, we analysed 30-day mortality after acute myocardial infarction in a large data set (GUSTO-I, n = 40 830). We validated and updated a previously published model from another study (TIMI-II, n = 3339) in validation samples ranging from small (200 patients, 14 deaths) to large (10,000 patients, 700 deaths). Updated models were tested on independent patients. Updating methods included re-calibration (re-estimation of the intercept or slope of the linear predictor) and more structural model revisions (re-estimation of some or all regression coefficients, model extension with more predictors). We applied heuristic shrinkage approaches in the model revision methods, such that regression coefficients were shrunken towards their re-calibrated values. Parsimonious updating methods were found preferable to more extensive model revisions, which should only be attempted with relatively large validation samples in combination with shrinkage.", "author" : [ { "dropping-particle" : "", "family" : "Steyerberg", "given" : "Ewout W", "non-dropping-particle" : "", "parse-names" : false, "suffix" : "" }, { "dropping-particle" : "", "family" : "Borsboom", "given" : "Gerard J J M", "non-dropping-particle" : "", "parse-names" : false, "suffix" : "" }, { "dropping-particle" : "", "family" : "Houwelingen", "given" : "Hans C", "non-dropping-particle" : "van", "parse-names" : false, "suffix" : "" }, { "dropping-particle" : "", "family" : "Eijkemans", "given" : "Marinus J C", "non-dropping-particle" : "", "parse-names" : false, "suffix" : "" }, { "dropping-particle" : "", "family" : "Habbema", "given" : "J Dik F", "non-dropping-particle" : "", "parse-names" : false, "suffix" : "" } ], "container-title" : "Statistics in Medicine", "id" : "ITEM-3", "issue" : "16", "issued" : { "date-parts" : [ [ "2004", "8", "30" ] ] }, "page" : "2567-2586", "title" : "Validation and updating of predictive logistic regression models: a study on sample size and shrinkage", "type" : "article-journal", "volume" : "23" }, "uris" : [ "http://www.mendeley.com/documents/?uuid=f8d6fdc2-a7c0-4cf9-a586-83fd78dd2d72" ] }, { "id" : "ITEM-4", "itemData" : { "DOI" : "10.1002/sim.6080", "ISSN" : "02776715", "PMID" : "24752993", "abstract" : "Published clinical prediction models are often ignored during the development of novel prediction models despite similarities in populations and intended usage. The plethora of prediction models that arise from this practice may still perform poorly when applied in other populations. Incorporating prior evidence might improve the accuracy of prediction models and make them potentially better generalizable. Unfortunately, aggregation of prediction models is not straightforward, and methods to combine differently specified models are currently lacking. We propose two approaches for aggregating previously published prediction models when a validation dataset is available: model averaging and stacked regressions. These approaches yield user-friendly stand-alone models that are adjusted for the new validation data. Both approaches rely on weighting to account for model performance and between-study heterogeneity but adopt a different rationale (averaging versus combination) to combine the models. We illustrate their implementation in a clinical example and compare them with established methods for prediction modeling in a series of simulation studies. Results from the clinical datasets and simulation studies demonstrate that aggregation yields prediction models with better discrimination and calibration in a vast majority of scenarios, and results in equivalent performance (compared to developing a novel model from scratch) when validation datasets are relatively large. In conclusion, model aggregation is a promising strategy when several prediction models are available from the literature and a validation dataset is at hand. The aggregation methods do not require existing models to have similar predictors and can be applied when relatively few data are at hand.", "author" : [ { "dropping-particle" : "", "family" : "Debray", "given" : "Thomas P.A.", "non-dropping-particle" : "", "parse-names" : false, "suffix" : "" }, { "dropping-particle" : "", "family" : "Koffijberg", "given" : "Hendrik", "non-dropping-particle" : "", "parse-names" : false, "suffix" : "" }, { "dropping-particle" : "", "family" : "Nieboer", "given" : "Daan", "non-dropping-particle" : "", "parse-names" : false, "suffix" : "" }, { "dropping-particle" : "", "family" : "Vergouwe", "given" : "Yvonne", "non-dropping-particle" : "", "parse-names" : false, "suffix" : "" }, { "dropping-particle" : "", "family" : "Steyerberg", "given" : "Ewout W", "non-dropping-particle" : "", "parse-names" : false, "suffix" : "" }, { "dropping-particle" : "", "family" : "Moons", "given" : "Karel G.M.", "non-dropping-particle" : "", "parse-names" : false, "suffix" : "" } ], "container-title" : "Statistics in Medicine", "id" : "ITEM-4", "issue" : "14", "issued" : { "date-parts" : [ [ "2014", "6", "30" ] ] }, "page" : "2341-2362", "title" : "Meta-analysis and aggregation of multiple published prediction models", "type" : "article-journal", "volume" : "33" }, "uris" : [ "http://www.mendeley.com/documents/?uuid=e405c6d2-e449-4dc5-87b2-293ccf89a23a" ] }, { "id" : "ITEM-5", "itemData" : { "DOI" : "10.1177/0962280215626466", "ISBN" : "0962-2802 1477-0334", "ISSN" : "0962-2802", "PMID" : "27460537", "author" : [ { "dropping-particle" : "", "family" : "Su", "given" : "T.-L.", "non-dropping-particle" : "", "parse-names" : false, "suffix" : "" }, { "dropping-particle" : "", "family" : "Jaki", "given" : "Thomas", "non-dropping-particle" : "", "parse-names" : false, "suffix" : "" }, { "dropping-particle" : "", "family" : "Hickey", "given" : "Graeme L", "non-dropping-particle" : "", "parse-names" : false, "suffix" : "" }, { "dropping-particle" : "", "family" : "Buchan", "given" : "Iain", "non-dropping-particle" : "", "parse-names" : false, "suffix" : "" }, { "dropping-particle" : "", "family" : "Sperrin", "given" : "Matthew", "non-dropping-particle" : "", "parse-names" : false, "suffix" : "" } ], "container-title" : "Statistical Methods in Medical Research", "id" : "ITEM-5", "issued" : { "date-parts" : [ [ "2016", "7", "26" ] ] }, "page" : "In press.", "title" : "A review of statistical updating methods for clinical prediction models", "type" : "article-journal" }, "uris" : [ "http://www.mendeley.com/documents/?uuid=504ca1af-b886-4e69-8b1f-43e7460b29a9" ] } ], "mendeley" : { "formattedCitation" : "[5, 7\u201310]", "plainTextFormattedCitation" : "[5, 7\u201310]", "previouslyFormattedCitation" : "[5, 7\u201310]" }, "properties" : { "noteIndex" : 0 }, "schema" : "https://github.com/citation-style-language/schema/raw/master/csl-citation.json" }</w:instrText>
      </w:r>
      <w:r w:rsidR="00FD6C28" w:rsidRPr="007F2ED4">
        <w:fldChar w:fldCharType="separate"/>
      </w:r>
      <w:r w:rsidR="00BB581D" w:rsidRPr="00BB581D">
        <w:rPr>
          <w:noProof/>
        </w:rPr>
        <w:t>[5, 7–10]</w:t>
      </w:r>
      <w:r w:rsidR="00FD6C28" w:rsidRPr="007F2ED4">
        <w:fldChar w:fldCharType="end"/>
      </w:r>
      <w:r w:rsidR="00FD6C28" w:rsidRPr="009D7F5F">
        <w:t xml:space="preserve">. </w:t>
      </w:r>
      <w:r w:rsidR="00A40780" w:rsidRPr="009D7F5F">
        <w:t>However, t</w:t>
      </w:r>
      <w:r w:rsidR="000D6B6A" w:rsidRPr="009D7F5F">
        <w:t xml:space="preserve">his framework </w:t>
      </w:r>
      <w:r w:rsidR="00FD6C28" w:rsidRPr="009D7F5F">
        <w:t>is undesirable because the dataset used to derive the new CPM is often smaller than</w:t>
      </w:r>
      <w:r w:rsidR="000D6B6A" w:rsidRPr="009D7F5F">
        <w:t xml:space="preserve"> previous derivation datasets</w:t>
      </w:r>
      <w:r w:rsidR="00FD6C28" w:rsidRPr="009D7F5F">
        <w:t xml:space="preserve"> and can lead to multiple models for the same outcome. For instance, over 60 previously published models predict breast cancer </w:t>
      </w:r>
      <w:r w:rsidR="00FD6C28" w:rsidRPr="007F2ED4">
        <w:fldChar w:fldCharType="begin" w:fldLock="1"/>
      </w:r>
      <w:r w:rsidR="00BB581D">
        <w:instrText>ADDIN CSL_CITATION { "citationItems" : [ { "id" : "ITEM-1", "itemData" : { "DOI" : "10.1080/07357900802572110", "ISSN" : "0735-7907", "PMID" : "19291527", "author" : [ { "dropping-particle" : "", "family" : "Altman", "given" : "Douglas G", "non-dropping-particle" : "", "parse-names" : false, "suffix" : "" } ], "container-title" : "Cancer Investigation", "id" : "ITEM-1", "issue" : "3", "issued" : { "date-parts" : [ [ "2009", "1", "11" ] ] }, "page" : "235-243", "title" : "Prognostic Models: A Methodological Framework and Review of Models for Breast Cancer", "type" : "article-journal", "volume" : "27" }, "uris" : [ "http://www.mendeley.com/documents/?uuid=fb7db3d0-0b69-4ab3-9839-3c5202447fca" ] } ], "mendeley" : { "formattedCitation" : "[11]", "plainTextFormattedCitation" : "[11]", "previouslyFormattedCitation" : "[11]" }, "properties" : { "noteIndex" : 0 }, "schema" : "https://github.com/citation-style-language/schema/raw/master/csl-citation.json" }</w:instrText>
      </w:r>
      <w:r w:rsidR="00FD6C28" w:rsidRPr="007F2ED4">
        <w:fldChar w:fldCharType="separate"/>
      </w:r>
      <w:r w:rsidR="00BB581D" w:rsidRPr="00BB581D">
        <w:rPr>
          <w:noProof/>
        </w:rPr>
        <w:t>[11]</w:t>
      </w:r>
      <w:r w:rsidR="00FD6C28" w:rsidRPr="007F2ED4">
        <w:fldChar w:fldCharType="end"/>
      </w:r>
      <w:r w:rsidR="00FD6C28" w:rsidRPr="009D7F5F">
        <w:t>, which is perplexing and unhelpful to end-users.</w:t>
      </w:r>
    </w:p>
    <w:p w14:paraId="688543C2" w14:textId="482F1D7D" w:rsidR="0057682F" w:rsidRPr="009D7F5F" w:rsidRDefault="00FD6C28" w:rsidP="00FD6C28">
      <w:pPr>
        <w:ind w:firstLine="720"/>
      </w:pPr>
      <w:r w:rsidRPr="009D7F5F">
        <w:t xml:space="preserve">As a motivating example, consider a user wishing to predict short-term mortality post cardiac-surgery. There are several existing </w:t>
      </w:r>
      <w:r w:rsidR="00C77CEE" w:rsidRPr="009D7F5F">
        <w:t>CPMs</w:t>
      </w:r>
      <w:r w:rsidRPr="009D7F5F">
        <w:t xml:space="preserve"> available, including the Logistic EuroSCORE (LES), the EuroSCORE II (ESII), the STS score and the German Aortic Valve Model (German AV) </w:t>
      </w:r>
      <w:r w:rsidRPr="007F2ED4">
        <w:fldChar w:fldCharType="begin" w:fldLock="1"/>
      </w:r>
      <w:r w:rsidR="00BB581D">
        <w:instrText>ADDIN CSL_CITATION { "citationItems" : [ { "id" : "ITEM-1", "itemData" : { "DOI" : "10.1093/ejcts/ezs043", "ISSN" : "1010-7940", "PMID" : "22378855", "abstract" : "OBJECTIVES: To update the European System for Cardiac Operative Risk Evaluation (EuroSCORE) risk model. METHODS: A dedicated website collected prospective risk and outcome data on 22,381 consecutive patients undergoing major cardiac surgery in 154 hospitals in 43 countries over a 12-week period (May-July 2010). Completeness and accuracy were validated during data collection using mandatory field entry, error and range checks and after data collection using summary feedback confirmation by responsible officers and multiple logic checks. Information was obtained on existing EuroSCORE risk factors and additional factors proven to influence risk from research conducted since the original model. The primary outcome was mortality at the base hospital. Secondary outcomes were mortality at 30 and 90 days. The data set was divided into a developmental subset for logistic regression modelling and a validation subset for model testing. A logistic risk model (EuroSCORE II) was then constructed and tested. RESULTS: Compared with the original 1995 EuroSCORE database (in brackets), the mean age was up at 64.7 (62.5) with 31% females (28%). More patients had New York Heart Association class IV, extracardiac arteriopathy, renal and pulmonary dysfunction. Overall mortality was 3.9% (4.6%). When applied to the current data, the old risk models overpredicted mortality (actual: 3.9%; additive predicted: 5.8%; logistic predicted: 7.57%). EuroSCORE II was well calibrated on testing in the validation data subset of 5553 patients (actual mortality: 4.18%; predicted: 3.95%). Very good discrimination was maintained with an area under the receiver operating characteristic curve of 0.8095. CONCLUSIONS: Cardiac surgical mortality has significantly reduced in the last 15 years despite older and sicker patients. EuroSCORE II is better calibrated than the original model yet preserves powerful discrimination. It is proposed for the future assessment of cardiac surgical risk.", "author" : [ { "dropping-particle" : "", "family" : "Nashef", "given" : "Samer A M", "non-dropping-particle" : "", "parse-names" : false, "suffix" : "" }, { "dropping-particle" : "", "family" : "Roques", "given" : "Fran\u00e7ois", "non-dropping-particle" : "", "parse-names" : false, "suffix" : "" }, { "dropping-particle" : "", "family" : "Sharples", "given" : "Linda D", "non-dropping-particle" : "", "parse-names" : false, "suffix" : "" }, { "dropping-particle" : "", "family" : "Nilsson", "given" : "Johan", "non-dropping-particle" : "", "parse-names" : false, "suffix" : "" }, { "dropping-particle" : "", "family" : "Smith", "given" : "Christopher", "non-dropping-particle" : "", "parse-names" : false, "suffix" : "" }, { "dropping-particle" : "", "family" : "Goldstone", "given" : "Antony R", "non-dropping-particle" : "", "parse-names" : false, "suffix" : "" }, { "dropping-particle" : "", "family" : "Lockowandt", "given" : "Ulf", "non-dropping-particle" : "", "parse-names" : false, "suffix" : "" } ], "container-title" : "European Journal of Cardio-Thoracic Surgery", "id" : "ITEM-1", "issue" : "4", "issued" : { "date-parts" : [ [ "2012", "4", "1" ] ] }, "note" : "Gives the regression coefficients for the EuroScore II.\n\n\nA good article giving details of all the risk factors considered in the ES2 model.", "page" : "734-745", "title" : "EuroSCORE II", "type" : "article-journal", "volume" : "41" }, "uris" : [ "http://www.mendeley.com/documents/?uuid=3957153d-9862-4d50-b1e1-44f4d3905b47" ] }, { "id" : "ITEM-2", "itemData" : { "DOI" : "10.1016/S0195-668X(02)00799-6", "ISSN" : "0195668X", "author" : [ { "dropping-particle" : "", "family" : "Roques", "given" : "F.", "non-dropping-particle" : "", "parse-names" : false, "suffix" : "" } ], "container-title" : "European Heart Journal", "id" : "ITEM-2", "issue" : "9", "issued" : { "date-parts" : [ [ "2003", "5", "1" ] ] }, "page" : "882", "title" : "The logistic EuroSCORE", "type" : "article-journal", "volume" : "24" }, "uris" : [ "http://www.mendeley.com/documents/?uuid=f2e2af5a-e7bd-4dbc-b222-40a443d03784" ] }, { "id" : "ITEM-3", "itemData" : { "DOI" : "10.1016/j.athoracsur.2009.05.056", "ISSN" : "00034975", "PMID" : "19559823", "abstract" : "BACKGROUND: Adjustment for case-mix is essential when using observational data to compare surgical techniques or providers. That is most often accomplished through the use of risk models that account for preoperative patient factors that may impact outcomes. The Society of Thoracic Surgeons (STS) uses such risk models to create risk-adjusted performance reports for participants in the STS National Adult Cardiac Surgery Database (NCD). Although risk models were initially developed for coronary artery bypass surgery, similar models have now been developed for use with heart valve surgery, particularly as the proportion of such procedures has increased. The last published STS model for isolated valve surgery was based on data from 1994 to 1997 and did not include patients undergoing mitral valve repair. STS has developed new valve surgery models using contemporary data that include both valve repair as well as replacement. Expanding upon existing valve models, the new STS models include several nonfatal complications in addition to mortality. METHODS: Using STS data from 2002 to 2006, isolated valve surgery risk models were developed for operative mortality, permanent stroke, renal failure, prolonged ventilation (&gt; 24 hours), deep sternal wound infection, reoperation for any reason, a major morbidity or mortality composite endpoint, prolonged postoperative length of stay, and short postoperative length of stay. The study population consisted of adult patients who underwent one of three types of valve surgery: isolated aortic valve replacement (n = 67,292), isolated mitral valve replacement (n = 21,229), or isolated mitral valve repair (n = 21,238). The population was divided into a 60% development sample and a 40% validation sample. After an initial empirical investigation, the three surgery groups were combined into a single logistic regression model with numerous interactions to allow the covariate effects to differ across these groups. Variables were selected based on a combination of automated stepwise selection and expert panel review. RESULTS: Unadjusted operative mortality (in-hospital regardless of timing, and 30-day regardless of venue) for all isolated valve procedures was 3.4%, and unadjusted in-hospital morbidity rates ranged from 0.3% for deep sternal wound infection to 11.8% for prolonged ventilation. The number of predictors in each model ranged from 10 covariates in the sternal infection model to 24 covariates in the composite mortality plu\u2026", "author" : [ { "dropping-particle" : "", "family" : "O'Brien", "given" : "Sean M", "non-dropping-particle" : "", "parse-names" : false, "suffix" : "" }, { "dropping-particle" : "", "family" : "Shahian", "given" : "David M", "non-dropping-particle" : "", "parse-names" : false, "suffix" : "" }, { "dropping-particle" : "", "family" : "Filardo", "given" : "Giovanni", "non-dropping-particle" : "", "parse-names" : false, "suffix" : "" }, { "dropping-particle" : "", "family" : "Ferraris", "given" : "Victor A", "non-dropping-particle" : "", "parse-names" : false, "suffix" : "" }, { "dropping-particle" : "", "family" : "Haan", "given" : "Constance K", "non-dropping-particle" : "", "parse-names" : false, "suffix" : "" }, { "dropping-particle" : "", "family" : "Rich", "given" : "Jeffrey B", "non-dropping-particle" : "", "parse-names" : false, "suffix" : "" }, { "dropping-particle" : "", "family" : "Normand", "given" : "Sharon-Lise T", "non-dropping-particle" : "", "parse-names" : false, "suffix" : "" }, { "dropping-particle" : "", "family" : "DeLong", "given" : "Elizabeth R", "non-dropping-particle" : "", "parse-names" : false, "suffix" : "" }, { "dropping-particle" : "", "family" : "Shewan", "given" : "Cynthia M", "non-dropping-particle" : "", "parse-names" : false, "suffix" : "" }, { "dropping-particle" : "", "family" : "Dokholyan", "given" : "Rachel S", "non-dropping-particle" : "", "parse-names" : false, "suffix" : "" }, { "dropping-particle" : "", "family" : "Peterson", "given" : "Eric D", "non-dropping-particle" : "", "parse-names" : false, "suffix" : "" }, { "dropping-particle" : "", "family" : "Edwards", "given" : "Fred H", "non-dropping-particle" : "", "parse-names" : false, "suffix" : "" }, { "dropping-particle" : "", "family" : "Anderson", "given" : "Richard P", "non-dropping-particle" : "", "parse-names" : false, "suffix" : "" } ], "container-title" : "The Annals of Thoracic Surgery", "id" : "ITEM-3", "issue" : "1", "issued" : { "date-parts" : [ [ "2009", "7" ] ] }, "note" : "Gives regression coefficients for the STS Score risk model for isolated valve surgery", "page" : "S23-S42", "publisher" : "The Society of Thoracic Surgeons", "title" : "The Society of Thoracic Surgeons 2008 Cardiac Surgery Risk Models: Part 2\u2014Isolated Valve Surgery", "type" : "article-journal", "volume" : "88" }, "uris" : [ "http://www.mendeley.com/documents/?uuid=1e0f895d-b6cd-4eda-b804-4e6ea9d91d3c" ] }, { "id" : "ITEM-4", "itemData" : { "DOI" : "10.1016/j.athoracsur.2009.05.055", "ISSN" : "00034975", "PMID" : "19559824", "abstract" : "BACKGROUND: Since 1999, The Society of Thoracic Surgeons (STS) has published two risk models that can be used to adjust the results of valve surgery combined with coronary artery bypass graft surgery (CABG). The most recent was developed from data for patients who had surgery between 1994 and 1997 using operative mortality as the only endpoint. Furthermore, this model did not specifically consider mitral valve repair plus CABG, an increasingly common procedure. Consistent with STS policy of periodically updating and improving its risk models, new models for valve surgery combined with CABG have been developed. These models specifically address both perioperative morbidity and mitral valve repair, and they are based on contemporary data. METHODS: The final study population consisted of 101,661 procedures, including aortic valve replacement (AVR) plus CABG, mitral valve replacement (MVR) plus CABG, or mitral valve repair (MVRepair) plus CABG between January 1, 2002, and December 31, 2006. Model outcomes included operative mortality, stroke, deep sternal wound infection, reoperation, prolonged ventilation, renal failure, composite major morbidity or mortality, prolonged postoperative length of stay, and short postoperative length of stay. Candidate variables were screened for frequency of missing data, and imputation techniques were used where appropriate. Stepwise variable selection was employed, supplemented by advice from an expert panel of cardiac surgeons and biostatisticians. Several variables were forced into models to insure face validity (eg, atrial fibrillation for the permanent stroke model, sex for all models). Based on preliminary analyses of the data, a single model was employed for valve plus CABG, with indicator variables for the specific type of procedure. Interaction terms were included to allow for differential impact of predictor variables depending on procedure type. After validating the model in the 40% validation sample, the development and validation samples were then combined, and the final model coefficients were estimated using the overall 100% combined sample. The final logistic regression model was estimated using generalized estimating equations to account for clustering of patients within institutions. RESULTS: The c-index for mortality prediction for the overall valve plus CABG population was 0.75. Morbidity model c-indices for specific complications (permanent stroke, renal failure, prolonged ventilation &gt; 24 hours, deep st\u2026", "author" : [ { "dropping-particle" : "", "family" : "Shahian", "given" : "David M", "non-dropping-particle" : "", "parse-names" : false, "suffix" : "" }, { "dropping-particle" : "", "family" : "O'Brien", "given" : "Sean M", "non-dropping-particle" : "", "parse-names" : false, "suffix" : "" }, { "dropping-particle" : "", "family" : "Filardo", "given" : "Giovanni", "non-dropping-particle" : "", "parse-names" : false, "suffix" : "" }, { "dropping-particle" : "", "family" : "Ferraris", "given" : "Victor A", "non-dropping-particle" : "", "parse-names" : false, "suffix" : "" }, { "dropping-particle" : "", "family" : "Haan", "given" : "Constance K", "non-dropping-particle" : "", "parse-names" : false, "suffix" : "" }, { "dropping-particle" : "", "family" : "Rich", "given" : "Jeffrey B", "non-dropping-particle" : "", "parse-names" : false, "suffix" : "" }, { "dropping-particle" : "", "family" : "Normand", "given" : "Sharon-Lise T", "non-dropping-particle" : "", "parse-names" : false, "suffix" : "" }, { "dropping-particle" : "", "family" : "DeLong", "given" : "Elizabeth R", "non-dropping-particle" : "", "parse-names" : false, "suffix" : "" }, { "dropping-particle" : "", "family" : "Shewan", "given" : "Cynthia M", "non-dropping-particle" : "", "parse-names" : false, "suffix" : "" }, { "dropping-particle" : "", "family" : "Dokholyan", "given" : "Rachel S", "non-dropping-particle" : "", "parse-names" : false, "suffix" : "" }, { "dropping-particle" : "", "family" : "Peterson", "given" : "Eric D", "non-dropping-particle" : "", "parse-names" : false, "suffix" : "" }, { "dropping-particle" : "", "family" : "Edwards", "given" : "Fred H", "non-dropping-particle" : "", "parse-names" : false, "suffix" : "" }, { "dropping-particle" : "", "family" : "Anderson", "given" : "Richard P", "non-dropping-particle" : "", "parse-names" : false, "suffix" : "" } ], "container-title" : "The Annals of Thoracic Surgery", "id" : "ITEM-4", "issue" : "1", "issued" : { "date-parts" : [ [ "2009", "7" ] ] }, "note" : "Gives regression coefficients for the STS Score risk model for isolated valve surgery plus CABG", "page" : "S43-S62", "publisher" : "The Society of Thoracic Surgeons", "title" : "The Society of Thoracic Surgeons 2008 Cardiac Surgery Risk Models: Part 3\u2014Valve Plus Coronary Artery Bypass Grafting Surgery", "type" : "article-journal", "volume" : "88" }, "uris" : [ "http://www.mendeley.com/documents/?uuid=9b225497-e19b-4e5e-b7b1-3912ab736c1e" ] }, { "id" : "ITEM-5", "itemData" : { "DOI" : "10.1093/ejcts/ezt114", "ISSN" : "1010-7940", "PMID" : "23477927", "abstract" : "OBJECTIVES: The aim of the study was to establish a scoring system to predict mortality in aortic valve procedures in adults [German Aortic Valve Score (German AV Score)] based upon the comprehensive data pool mandatory by law in Germany. METHODS: In 2008, 11 794 cases were documented who had either open aortic valve surgery or transcatheter aortic valve implantation (TAVI). In-hospital mortality was chosen as a binary outcome measure. Potential risk factors were identified on the basis of published scoring systems and clinical knowledge. First, each of these risk factors was tested in an univariate manner by Fisher's exact test for significant influence on mortality. Then, a multiple logistic regression model with backward and forward selection was used. Calibration was ascertained by the Hosmer-Lemeshow method. In order to define the quality of discrimination, the area under the receiver operating characteristic (ROC) curve was calculated. RESULTS: In 11 147 of 11 794 cases (94.5%), a complete data set was available. In-hospital mortality was 3.7% for all patients, 3.4% in the surgical group (95% confidence interval 3.0-3.7%, n = 10 574) and 10.6% in the TAVI group (95% confidence interval 8.2-13.5%, n = 573). Based on multiple logistic regression, 15 risk factors with an influence on mortality were identified. Among them, age, body mass index and left ventricular function were categorized in three (body mass index, left ventricular dysfunction) or 6 subgroups (age). The Hosmer-Lemeshow method corroborated a valid concordance of predicted and observed mortality in 10 different risk groups. The area under the ROC curve with a value of 0.808 affirmed the quality of discrimination of the established scoring model. CONCLUSIONS: It is well known that a predictive model works best in the setting where it was developed; therefore, the German AV Score fits well to the patient population in Germany. It was designed for fair and reliable outcome evaluation. It allows comparison of predicted and observed mortality for conventional aortic valve surgery and transcatheter aortic valve implantation in low-, moderate- and high-risk groups. Thus, it enables primarily a risk-adjusted benchmark of outcome and fosters the efforts for continuous improvement of quality in aortic valve procedures.", "author" : [ { "dropping-particle" : "", "family" : "Kotting", "given" : "J.", "non-dropping-particle" : "", "parse-names" : false, "suffix" : "" }, { "dropping-particle" : "", "family" : "Schiller", "given" : "Wolfgang", "non-dropping-particle" : "", "parse-names" : false, "suffix" : "" }, { "dropping-particle" : "", "family" : "Beckmann", "given" : "Andreas", "non-dropping-particle" : "", "parse-names" : false, "suffix" : "" }, { "dropping-particle" : "", "family" : "Schafer", "given" : "E.", "non-dropping-particle" : "", "parse-names" : false, "suffix" : "" }, { "dropping-particle" : "", "family" : "Dobler", "given" : "K.", "non-dropping-particle" : "", "parse-names" : false, "suffix" : "" }, { "dropping-particle" : "", "family" : "Hamm", "given" : "Christian", "non-dropping-particle" : "", "parse-names" : false, "suffix" : "" }, { "dropping-particle" : "", "family" : "Veit", "given" : "Christof", "non-dropping-particle" : "", "parse-names" : false, "suffix" : "" }, { "dropping-particle" : "", "family" : "Welz", "given" : "Armin", "non-dropping-particle" : "", "parse-names" : false, "suffix" : "" } ], "container-title" : "European Journal of Cardio-Thoracic Surgery", "id" : "ITEM-5", "issue" : "5", "issued" : { "date-parts" : [ [ "2013", "5", "1" ] ] }, "page" : "971-977", "title" : "German Aortic Valve Score: a new scoring system for prediction of mortality related to aortic valve procedures in adults", "type" : "article-journal", "volume" : "43" }, "uris" : [ "http://www.mendeley.com/documents/?uuid=b8abf1a1-77f4-4a38-8433-bb6df9caf5e6" ] } ], "mendeley" : { "formattedCitation" : "[12\u201316]", "plainTextFormattedCitation" : "[12\u201316]", "previouslyFormattedCitation" : "[12\u201316]" }, "properties" : { "noteIndex" : 0 }, "schema" : "https://github.com/citation-style-language/schema/raw/master/csl-citation.json" }</w:instrText>
      </w:r>
      <w:r w:rsidRPr="007F2ED4">
        <w:fldChar w:fldCharType="separate"/>
      </w:r>
      <w:r w:rsidR="00BB581D" w:rsidRPr="00BB581D">
        <w:rPr>
          <w:noProof/>
        </w:rPr>
        <w:t>[12–16]</w:t>
      </w:r>
      <w:r w:rsidRPr="007F2ED4">
        <w:fldChar w:fldCharType="end"/>
      </w:r>
      <w:r w:rsidRPr="009D7F5F">
        <w:t xml:space="preserve">. </w:t>
      </w:r>
      <w:r w:rsidR="00EC5EAC" w:rsidRPr="009D7F5F">
        <w:t xml:space="preserve">These </w:t>
      </w:r>
      <w:r w:rsidRPr="009D7F5F">
        <w:t xml:space="preserve">models share some common predictors, for example gender, arterial disease outside the heart and recent heart attack, </w:t>
      </w:r>
      <w:r w:rsidR="00EC5EAC" w:rsidRPr="009D7F5F">
        <w:t xml:space="preserve">but </w:t>
      </w:r>
      <w:r w:rsidRPr="009D7F5F">
        <w:t xml:space="preserve">some predictors </w:t>
      </w:r>
      <w:r w:rsidR="00EC5EAC" w:rsidRPr="009D7F5F">
        <w:t>appear only in</w:t>
      </w:r>
      <w:r w:rsidRPr="009D7F5F">
        <w:t xml:space="preserve"> a subset of the CPMs. For instance, diabetes is </w:t>
      </w:r>
      <w:r w:rsidR="00EC5EAC" w:rsidRPr="009D7F5F">
        <w:t xml:space="preserve">only </w:t>
      </w:r>
      <w:r w:rsidR="00AA7A12">
        <w:t xml:space="preserve">incorporated </w:t>
      </w:r>
      <w:r w:rsidR="00EC5EAC" w:rsidRPr="009D7F5F">
        <w:t>in</w:t>
      </w:r>
      <w:r w:rsidR="00AA7A12">
        <w:t>to</w:t>
      </w:r>
      <w:r w:rsidRPr="009D7F5F">
        <w:t xml:space="preserve"> the ESII and STS models, while atrial fibrillation is only in the STS and German AV models. Moreover, definitions and coding of some predictors could differ: examples include left ventricular ejection </w:t>
      </w:r>
      <w:r w:rsidR="00992905" w:rsidRPr="009D7F5F">
        <w:t xml:space="preserve">fraction </w:t>
      </w:r>
      <w:r w:rsidRPr="009D7F5F">
        <w:t>and age.</w:t>
      </w:r>
    </w:p>
    <w:p w14:paraId="05A5047C" w14:textId="1836C493" w:rsidR="0057682F" w:rsidRPr="009D7F5F" w:rsidRDefault="00FD6C28" w:rsidP="0057682F">
      <w:pPr>
        <w:ind w:firstLine="720"/>
      </w:pPr>
      <w:r w:rsidRPr="009D7F5F">
        <w:lastRenderedPageBreak/>
        <w:t xml:space="preserve">While </w:t>
      </w:r>
      <w:r w:rsidR="000F0262" w:rsidRPr="009D7F5F">
        <w:t>differences in variable definitions between existing CPMs add</w:t>
      </w:r>
      <w:r w:rsidRPr="009D7F5F">
        <w:t xml:space="preserve"> complexity, the prior information </w:t>
      </w:r>
      <w:r w:rsidR="00EC5EAC" w:rsidRPr="009D7F5F">
        <w:t>encapsulated by</w:t>
      </w:r>
      <w:r w:rsidR="0057682F" w:rsidRPr="009D7F5F">
        <w:t xml:space="preserve"> each model can be </w:t>
      </w:r>
      <w:r w:rsidRPr="009D7F5F">
        <w:t xml:space="preserve">exploited. </w:t>
      </w:r>
      <w:r w:rsidR="00C77CEE" w:rsidRPr="009D7F5F">
        <w:t>A</w:t>
      </w:r>
      <w:r w:rsidR="0057682F" w:rsidRPr="009D7F5F">
        <w:t xml:space="preserve"> generalizable existing CPM could serve as an informative prior for </w:t>
      </w:r>
      <w:r w:rsidR="00EC5EAC" w:rsidRPr="009D7F5F">
        <w:t>a new population</w:t>
      </w:r>
      <w:r w:rsidR="00C77CEE" w:rsidRPr="009D7F5F">
        <w:t>; for example, by transferring</w:t>
      </w:r>
      <w:r w:rsidR="0057682F" w:rsidRPr="009D7F5F">
        <w:t xml:space="preserve"> information </w:t>
      </w:r>
      <w:r w:rsidR="00C77CEE" w:rsidRPr="009D7F5F">
        <w:t>regarding likely</w:t>
      </w:r>
      <w:r w:rsidR="0057682F" w:rsidRPr="009D7F5F">
        <w:t xml:space="preserve"> covariate-outcome relations, as in stacked regression </w:t>
      </w:r>
      <w:r w:rsidR="0057682F" w:rsidRPr="007F2ED4">
        <w:fldChar w:fldCharType="begin" w:fldLock="1"/>
      </w:r>
      <w:r w:rsidR="00BB581D">
        <w:instrText>ADDIN CSL_CITATION { "citationItems" : [ { "id" : "ITEM-1", "itemData" : { "DOI" : "10.1002/sim.6080", "ISSN" : "02776715", "PMID" : "24752993", "abstract" : "Published clinical prediction models are often ignored during the development of novel prediction models despite similarities in populations and intended usage. The plethora of prediction models that arise from this practice may still perform poorly when applied in other populations. Incorporating prior evidence might improve the accuracy of prediction models and make them potentially better generalizable. Unfortunately, aggregation of prediction models is not straightforward, and methods to combine differently specified models are currently lacking. We propose two approaches for aggregating previously published prediction models when a validation dataset is available: model averaging and stacked regressions. These approaches yield user-friendly stand-alone models that are adjusted for the new validation data. Both approaches rely on weighting to account for model performance and between-study heterogeneity but adopt a different rationale (averaging versus combination) to combine the models. We illustrate their implementation in a clinical example and compare them with established methods for prediction modeling in a series of simulation studies. Results from the clinical datasets and simulation studies demonstrate that aggregation yields prediction models with better discrimination and calibration in a vast majority of scenarios, and results in equivalent performance (compared to developing a novel model from scratch) when validation datasets are relatively large. In conclusion, model aggregation is a promising strategy when several prediction models are available from the literature and a validation dataset is at hand. The aggregation methods do not require existing models to have similar predictors and can be applied when relatively few data are at hand.", "author" : [ { "dropping-particle" : "", "family" : "Debray", "given" : "Thomas P.A.", "non-dropping-particle" : "", "parse-names" : false, "suffix" : "" }, { "dropping-particle" : "", "family" : "Koffijberg", "given" : "Hendrik", "non-dropping-particle" : "", "parse-names" : false, "suffix" : "" }, { "dropping-particle" : "", "family" : "Nieboer", "given" : "Daan", "non-dropping-particle" : "", "parse-names" : false, "suffix" : "" }, { "dropping-particle" : "", "family" : "Vergouwe", "given" : "Yvonne", "non-dropping-particle" : "", "parse-names" : false, "suffix" : "" }, { "dropping-particle" : "", "family" : "Steyerberg", "given" : "Ewout W", "non-dropping-particle" : "", "parse-names" : false, "suffix" : "" }, { "dropping-particle" : "", "family" : "Moons", "given" : "Karel G.M.", "non-dropping-particle" : "", "parse-names" : false, "suffix" : "" } ], "container-title" : "Statistics in Medicine", "id" : "ITEM-1", "issue" : "14", "issued" : { "date-parts" : [ [ "2014", "6", "30" ] ] }, "page" : "2341-2362", "title" : "Meta-analysis and aggregation of multiple published prediction models", "type" : "article-journal", "volume" : "33" }, "uris" : [ "http://www.mendeley.com/documents/?uuid=e405c6d2-e449-4dc5-87b2-293ccf89a23a" ] }, { "id" : "ITEM-2", "itemData" : { "author" : [ { "dropping-particle" : "", "family" : "Breiman", "given" : "Leo", "non-dropping-particle" : "", "parse-names" : false, "suffix" : "" } ], "container-title" : "Machine Learning", "id" : "ITEM-2", "issued" : { "date-parts" : [ [ "1996" ] ] }, "page" : "49-64", "title" : "Stacked Regression", "type" : "article-journal", "volume" : "24" }, "uris" : [ "http://www.mendeley.com/documents/?uuid=2411113c-dba1-4ef3-bfcf-2b8379868465" ] } ], "mendeley" : { "formattedCitation" : "[9, 17]", "plainTextFormattedCitation" : "[9, 17]", "previouslyFormattedCitation" : "[9, 17]" }, "properties" : { "noteIndex" : 0 }, "schema" : "https://github.com/citation-style-language/schema/raw/master/csl-citation.json" }</w:instrText>
      </w:r>
      <w:r w:rsidR="0057682F" w:rsidRPr="007F2ED4">
        <w:fldChar w:fldCharType="separate"/>
      </w:r>
      <w:r w:rsidR="00BB581D" w:rsidRPr="00BB581D">
        <w:rPr>
          <w:noProof/>
        </w:rPr>
        <w:t>[9, 17]</w:t>
      </w:r>
      <w:r w:rsidR="0057682F" w:rsidRPr="007F2ED4">
        <w:fldChar w:fldCharType="end"/>
      </w:r>
      <w:r w:rsidR="0057682F" w:rsidRPr="009D7F5F">
        <w:t>. However, there has been limited investigation into the impact of sample size and between-population-heterogeneity on the performance of model aggregation versus deriving a new CPM.</w:t>
      </w:r>
    </w:p>
    <w:p w14:paraId="3B751E01" w14:textId="19AF6E7C" w:rsidR="00FD6C28" w:rsidRPr="009D7F5F" w:rsidRDefault="00FD6C28" w:rsidP="00FD6C28">
      <w:pPr>
        <w:ind w:firstLine="720"/>
      </w:pPr>
      <w:r w:rsidRPr="009D7F5F">
        <w:t>This simulation study considers a situation in which there is a new (</w:t>
      </w:r>
      <w:r w:rsidR="006A664B">
        <w:t>local</w:t>
      </w:r>
      <w:r w:rsidRPr="009D7F5F">
        <w:t xml:space="preserve">) population, with associated data, and interest lies in developing a CPM for </w:t>
      </w:r>
      <w:r w:rsidR="00EC5EAC" w:rsidRPr="009D7F5F">
        <w:t>it</w:t>
      </w:r>
      <w:r w:rsidRPr="009D7F5F">
        <w:t xml:space="preserve">. The modeller must make a choice between utilising existing CPMs that have been developed in different populations, developing a new model and disregarding existing ones, or some mixture of the two </w:t>
      </w:r>
      <w:r w:rsidRPr="007F2ED4">
        <w:fldChar w:fldCharType="begin" w:fldLock="1"/>
      </w:r>
      <w:r w:rsidR="00BB581D">
        <w:instrText>ADDIN CSL_CITATION { "citationItems" : [ { "id" : "ITEM-1", "itemData" : { "DOI" : "10.1002/sim.5412", "ISSN" : "02776715", "PMID" : "22733546", "abstract" : "During the recent decades, interest in prediction models has substantially increased, but approaches to synthesize evidence from previously developed models have failed to keep pace. This causes researchers to ignore potentially useful past evidence when developing a novel prediction model with individual participant data (IPD) from their population of interest. We aimed to evaluate approaches to aggregate previously published prediction models with new data. We consider the situation that models are reported in the literature with predictors similar to those available in an IPD dataset. We adopt a two-stage method and explore three approaches to calculate a synthesis model, hereby relying on the principles of multivariate meta-analysis. The former approach employs a naive pooling strategy, whereas the latter accounts for within-study and between-study covariance. These approaches are applied to a collection of 15 datasets of patients with traumatic brain injury, and to five previously published models for predicting deep venous thrombosis. Here, we illustrated how the generally unrealistic assumption of consistency in the availability of evidence across included studies can be relaxed. Results from the case studies demonstrate that aggregation yields prediction models with an improved discrimination and calibration in a vast majority of scenarios, and result in equivalent performance (compared with the standard approach) in a small minority of situations. The proposed aggregation approaches are particularly useful when few participant data are at hand. Assessing the degree of heterogeneity between IPD and literature findings remains crucial to determine the optimal approach in aggregating previous evidence into new prediction models.", "author" : [ { "dropping-particle" : "", "family" : "Debray", "given" : "Thomas P.A.", "non-dropping-particle" : "", "parse-names" : false, "suffix" : "" }, { "dropping-particle" : "", "family" : "Koffijberg", "given" : "Hendrik", "non-dropping-particle" : "", "parse-names" : false, "suffix" : "" }, { "dropping-particle" : "", "family" : "Vergouwe", "given" : "Yvonne", "non-dropping-particle" : "", "parse-names" : false, "suffix" : "" }, { "dropping-particle" : "", "family" : "Moons", "given" : "Karel G.M.", "non-dropping-particle" : "", "parse-names" : false, "suffix" : "" }, { "dropping-particle" : "", "family" : "Steyerberg", "given" : "Ewout W.", "non-dropping-particle" : "", "parse-names" : false, "suffix" : "" } ], "container-title" : "Statistics in Medicine", "id" : "ITEM-1", "issue" : "23", "issued" : { "date-parts" : [ [ "2012", "10", "15" ] ] }, "note" : "Meta-analysis of risk scores to combine them", "page" : "2697-2712", "title" : "Aggregating published prediction models with individual participant data: a comparison of different approaches", "type" : "article-journal", "volume" : "31" }, "uris" : [ "http://www.mendeley.com/documents/?uuid=4a3d6b2c-e419-42bf-ad24-70185c0d3e60" ] } ], "mendeley" : { "formattedCitation" : "[18]", "plainTextFormattedCitation" : "[18]", "previouslyFormattedCitation" : "[18]" }, "properties" : { "noteIndex" : 0 }, "schema" : "https://github.com/citation-style-language/schema/raw/master/csl-citation.json" }</w:instrText>
      </w:r>
      <w:r w:rsidRPr="007F2ED4">
        <w:fldChar w:fldCharType="separate"/>
      </w:r>
      <w:r w:rsidR="00BB581D" w:rsidRPr="00BB581D">
        <w:rPr>
          <w:noProof/>
        </w:rPr>
        <w:t>[18]</w:t>
      </w:r>
      <w:r w:rsidRPr="007F2ED4">
        <w:fldChar w:fldCharType="end"/>
      </w:r>
      <w:r w:rsidRPr="009D7F5F">
        <w:t xml:space="preserve">. We hypothesised that the modelling </w:t>
      </w:r>
      <w:r w:rsidR="000F0262" w:rsidRPr="009D7F5F">
        <w:t>strategy</w:t>
      </w:r>
      <w:r w:rsidRPr="009D7F5F">
        <w:t xml:space="preserve"> </w:t>
      </w:r>
      <w:r w:rsidR="00C77CEE" w:rsidRPr="009D7F5F">
        <w:t>that optimised</w:t>
      </w:r>
      <w:r w:rsidRPr="009D7F5F">
        <w:t xml:space="preserve"> performance would depend on: 1) the degree of variation in risk across multiple populations (between-population-heterogeneity); and 2) the quantity of data available in the local population, relative to the size of previous derivation datasets</w:t>
      </w:r>
      <w:r w:rsidR="00C77CEE" w:rsidRPr="009D7F5F">
        <w:t>.</w:t>
      </w:r>
    </w:p>
    <w:p w14:paraId="170CD8B8" w14:textId="77777777" w:rsidR="00FD6C28" w:rsidRPr="009D7F5F" w:rsidRDefault="00FD6C28" w:rsidP="00FD6C28">
      <w:pPr>
        <w:pStyle w:val="Heading1"/>
      </w:pPr>
      <w:r w:rsidRPr="009D7F5F">
        <w:t>Methods</w:t>
      </w:r>
    </w:p>
    <w:p w14:paraId="62E2C1D7" w14:textId="685211EB" w:rsidR="00FD6C28" w:rsidRPr="009D7F5F" w:rsidRDefault="00FD6C28" w:rsidP="00FD6C28">
      <w:pPr>
        <w:ind w:firstLine="720"/>
      </w:pPr>
      <w:r w:rsidRPr="009D7F5F">
        <w:t>Throughout this study, all CPMs will be assumed to be logistic regression models, although the techniques apply to other types of prediction model</w:t>
      </w:r>
      <w:r w:rsidR="00A40780" w:rsidRPr="009D7F5F">
        <w:t>,</w:t>
      </w:r>
      <w:r w:rsidRPr="009D7F5F">
        <w:t xml:space="preserve"> such as those for time-to-event outcomes. Stacked regression (SR) </w:t>
      </w:r>
      <w:r w:rsidRPr="007F2ED4">
        <w:fldChar w:fldCharType="begin" w:fldLock="1"/>
      </w:r>
      <w:r w:rsidR="00BB581D">
        <w:instrText>ADDIN CSL_CITATION { "citationItems" : [ { "id" : "ITEM-1", "itemData" : { "DOI" : "10.1002/sim.6080", "ISSN" : "02776715", "PMID" : "24752993", "abstract" : "Published clinical prediction models are often ignored during the development of novel prediction models despite similarities in populations and intended usage. The plethora of prediction models that arise from this practice may still perform poorly when applied in other populations. Incorporating prior evidence might improve the accuracy of prediction models and make them potentially better generalizable. Unfortunately, aggregation of prediction models is not straightforward, and methods to combine differently specified models are currently lacking. We propose two approaches for aggregating previously published prediction models when a validation dataset is available: model averaging and stacked regressions. These approaches yield user-friendly stand-alone models that are adjusted for the new validation data. Both approaches rely on weighting to account for model performance and between-study heterogeneity but adopt a different rationale (averaging versus combination) to combine the models. We illustrate their implementation in a clinical example and compare them with established methods for prediction modeling in a series of simulation studies. Results from the clinical datasets and simulation studies demonstrate that aggregation yields prediction models with better discrimination and calibration in a vast majority of scenarios, and results in equivalent performance (compared to developing a novel model from scratch) when validation datasets are relatively large. In conclusion, model aggregation is a promising strategy when several prediction models are available from the literature and a validation dataset is at hand. The aggregation methods do not require existing models to have similar predictors and can be applied when relatively few data are at hand.", "author" : [ { "dropping-particle" : "", "family" : "Debray", "given" : "Thomas P.A.", "non-dropping-particle" : "", "parse-names" : false, "suffix" : "" }, { "dropping-particle" : "", "family" : "Koffijberg", "given" : "Hendrik", "non-dropping-particle" : "", "parse-names" : false, "suffix" : "" }, { "dropping-particle" : "", "family" : "Nieboer", "given" : "Daan", "non-dropping-particle" : "", "parse-names" : false, "suffix" : "" }, { "dropping-particle" : "", "family" : "Vergouwe", "given" : "Yvonne", "non-dropping-particle" : "", "parse-names" : false, "suffix" : "" }, { "dropping-particle" : "", "family" : "Steyerberg", "given" : "Ewout W", "non-dropping-particle" : "", "parse-names" : false, "suffix" : "" }, { "dropping-particle" : "", "family" : "Moons", "given" : "Karel G.M.", "non-dropping-particle" : "", "parse-names" : false, "suffix" : "" } ], "container-title" : "Statistics in Medicine", "id" : "ITEM-1", "issue" : "14", "issued" : { "date-parts" : [ [ "2014", "6", "30" ] ] }, "page" : "2341-2362", "title" : "Meta-analysis and aggregation of multiple published prediction models", "type" : "article-journal", "volume" : "33" }, "uris" : [ "http://www.mendeley.com/documents/?uuid=e405c6d2-e449-4dc5-87b2-293ccf89a23a" ] }, { "id" : "ITEM-2", "itemData" : { "author" : [ { "dropping-particle" : "", "family" : "Breiman", "given" : "Leo", "non-dropping-particle" : "", "parse-names" : false, "suffix" : "" } ], "container-title" : "Machine Learning", "id" : "ITEM-2", "issued" : { "date-parts" : [ [ "1996" ] ] }, "page" : "49-64", "title" : "Stacked Regression", "type" : "article-journal", "volume" : "24" }, "uris" : [ "http://www.mendeley.com/documents/?uuid=2411113c-dba1-4ef3-bfcf-2b8379868465" ] } ], "mendeley" : { "formattedCitation" : "[9, 17]", "plainTextFormattedCitation" : "[9, 17]", "previouslyFormattedCitation" : "[9, 17]" }, "properties" : { "noteIndex" : 0 }, "schema" : "https://github.com/citation-style-language/schema/raw/master/csl-citation.json" }</w:instrText>
      </w:r>
      <w:r w:rsidRPr="007F2ED4">
        <w:fldChar w:fldCharType="separate"/>
      </w:r>
      <w:r w:rsidR="00BB581D" w:rsidRPr="00BB581D">
        <w:rPr>
          <w:noProof/>
        </w:rPr>
        <w:t>[9, 17]</w:t>
      </w:r>
      <w:r w:rsidRPr="007F2ED4">
        <w:fldChar w:fldCharType="end"/>
      </w:r>
      <w:r w:rsidRPr="009D7F5F">
        <w:t xml:space="preserve">, principal component analysis (PCA) </w:t>
      </w:r>
      <w:r w:rsidRPr="007F2ED4">
        <w:fldChar w:fldCharType="begin" w:fldLock="1"/>
      </w:r>
      <w:r w:rsidR="00BB581D">
        <w:instrText>ADDIN CSL_CITATION { "citationItems" : [ { "id" : "ITEM-1", "itemData" : { "DOI" : "10.1037/h0071325", "ISBN" : "1939-2176", "ISSN" : "0022-0663", "PMID" : "112", "abstract" : "The problem is stated in detail, a method of analysis is derived and its geometrical meaning shown, methods of solution are illustrated and certain derivative problems are discussed. (To be concluded in October issue.)", "author" : [ { "dropping-particle" : "", "family" : "Hotelling", "given" : "H.", "non-dropping-particle" : "", "parse-names" : false, "suffix" : "" } ], "container-title" : "Journal of Educational Psychology", "id" : "ITEM-1", "issue" : "6", "issued" : { "date-parts" : [ [ "1933" ] ] }, "page" : "417-441", "title" : "Analysis of a complex of statistical variables into principal components.", "type" : "article-journal", "volume" : "24" }, "uris" : [ "http://www.mendeley.com/documents/?uuid=30431021-d737-4cb8-ab51-5252d01f6862" ] }, { "id" : "ITEM-2", "itemData" : { "DOI" : "10.1023/A:1007507221352", "ISSN" : "08856125", "abstract" : "The goal of combining the predictions of multiple learned models is to form an improved estimator. A combining strategy must be able to robustly handle the inherent correlation, or multicollinearity, of the learned models while identifying the unique contributions of each. A progression of existing approaches and their limi- tations with respect to these two issues are discussed. A new approach, PCR*, based on principal components regression is proposed to address these limitations. An evaluation of the new approach on a collection of domains reveals that (1) PCR* was the most robust combining method, (2) correlation could be handled without eliminat- ing any of the learned models, and (3) the principal components of the learned models provided a continuum of \u201cregularized\u201d weights from which PCR* could choose", "author" : [ { "dropping-particle" : "", "family" : "Merz", "given" : "Christopher J.", "non-dropping-particle" : "", "parse-names" : false, "suffix" : "" }, { "dropping-particle" : "", "family" : "Pazzani", "given" : "Michael J.", "non-dropping-particle" : "", "parse-names" : false, "suffix" : "" } ], "container-title" : "Machine Learning", "id" : "ITEM-2", "issue" : "1/2", "issued" : { "date-parts" : [ [ "1999" ] ] }, "page" : "9-32", "title" : "A Principal Components Approach to Combining Regression Estimates", "type" : "article-journal", "volume" : "36" }, "uris" : [ "http://www.mendeley.com/documents/?uuid=b9c1d173-f982-47eb-8a1a-eb58ba935f2d" ] } ], "mendeley" : { "formattedCitation" : "[19, 20]", "plainTextFormattedCitation" : "[19, 20]", "previouslyFormattedCitation" : "[19, 20]" }, "properties" : { "noteIndex" : 0 }, "schema" : "https://github.com/citation-style-language/schema/raw/master/csl-citation.json" }</w:instrText>
      </w:r>
      <w:r w:rsidRPr="007F2ED4">
        <w:fldChar w:fldCharType="separate"/>
      </w:r>
      <w:r w:rsidR="00BB581D" w:rsidRPr="00BB581D">
        <w:rPr>
          <w:noProof/>
        </w:rPr>
        <w:t>[19, 20]</w:t>
      </w:r>
      <w:r w:rsidRPr="007F2ED4">
        <w:fldChar w:fldCharType="end"/>
      </w:r>
      <w:r w:rsidRPr="009D7F5F">
        <w:t xml:space="preserve"> and partial least squares (PLS) are three possible methods that simultaneously aggregate and calibrate existing models to a new population. </w:t>
      </w:r>
      <w:r w:rsidR="007270E7" w:rsidRPr="009D7F5F">
        <w:t xml:space="preserve">We describe SR </w:t>
      </w:r>
      <w:r w:rsidR="007270E7">
        <w:t xml:space="preserve">and PCA </w:t>
      </w:r>
      <w:r w:rsidR="0082355D">
        <w:t xml:space="preserve">here, with </w:t>
      </w:r>
      <w:r w:rsidR="007270E7" w:rsidRPr="009D7F5F">
        <w:t>PLS</w:t>
      </w:r>
      <w:r w:rsidR="0082355D">
        <w:t xml:space="preserve"> described in </w:t>
      </w:r>
      <w:r w:rsidR="00CB3F5D">
        <w:t>Additional File 1</w:t>
      </w:r>
      <w:r w:rsidR="007270E7" w:rsidRPr="009D7F5F">
        <w:t>.</w:t>
      </w:r>
      <w:r w:rsidR="007270E7">
        <w:t xml:space="preserve"> This study compares the three </w:t>
      </w:r>
      <w:r w:rsidR="00C6237E">
        <w:t xml:space="preserve">aforementioned </w:t>
      </w:r>
      <w:r w:rsidR="007270E7">
        <w:t>agg</w:t>
      </w:r>
      <w:r w:rsidR="001C7FA1">
        <w:t xml:space="preserve">regate approaches with </w:t>
      </w:r>
      <w:r w:rsidR="00411E28">
        <w:t xml:space="preserve">deriving a new </w:t>
      </w:r>
      <w:r w:rsidR="001C7FA1">
        <w:t>model</w:t>
      </w:r>
      <w:r w:rsidR="00411E28">
        <w:t>;</w:t>
      </w:r>
      <w:r w:rsidR="007270E7">
        <w:t xml:space="preserve"> </w:t>
      </w:r>
      <w:r w:rsidR="00C6237E">
        <w:t>possible</w:t>
      </w:r>
      <w:r w:rsidR="007270E7">
        <w:t xml:space="preserve"> techniques of </w:t>
      </w:r>
      <w:r w:rsidR="00411E28">
        <w:t>redevelopment</w:t>
      </w:r>
      <w:r w:rsidR="007270E7">
        <w:t xml:space="preserve"> are </w:t>
      </w:r>
      <w:r w:rsidR="00B47131">
        <w:t xml:space="preserve">also outlined </w:t>
      </w:r>
      <w:r w:rsidR="007270E7">
        <w:t>in this section.</w:t>
      </w:r>
    </w:p>
    <w:p w14:paraId="30333B62" w14:textId="1182584F" w:rsidR="00FD6C28" w:rsidRPr="009D7F5F" w:rsidRDefault="00411E28" w:rsidP="00FD6C28">
      <w:pPr>
        <w:pStyle w:val="Heading2"/>
      </w:pPr>
      <w:r>
        <w:lastRenderedPageBreak/>
        <w:t xml:space="preserve">Model Aggregation: </w:t>
      </w:r>
      <w:r w:rsidR="00FD6C28" w:rsidRPr="009D7F5F">
        <w:t>Stacked Regression</w:t>
      </w:r>
    </w:p>
    <w:p w14:paraId="3879F61E" w14:textId="2733B317" w:rsidR="00FD6C28" w:rsidRPr="009D7F5F" w:rsidRDefault="00FD6C28" w:rsidP="00FD6C28">
      <w:pPr>
        <w:ind w:firstLine="345"/>
      </w:pPr>
      <w:r w:rsidRPr="009D7F5F">
        <w:t xml:space="preserve">Consider a collection of </w:t>
      </w:r>
      <m:oMath>
        <m:r>
          <w:rPr>
            <w:rFonts w:ascii="Cambria Math" w:hAnsi="Cambria Math"/>
          </w:rPr>
          <m:t>M</m:t>
        </m:r>
      </m:oMath>
      <w:r w:rsidRPr="009D7F5F">
        <w:t xml:space="preserve"> existing logistic regression CPMs, which all aim to predict the same binary outcome but were derived </w:t>
      </w:r>
      <w:r w:rsidR="00BC3D8C" w:rsidRPr="009D7F5F">
        <w:t>i</w:t>
      </w:r>
      <w:r w:rsidRPr="009D7F5F">
        <w:t>n different populations</w:t>
      </w:r>
      <w:r w:rsidR="00BC3D8C" w:rsidRPr="009D7F5F">
        <w:t>,</w:t>
      </w:r>
      <w:r w:rsidRPr="009D7F5F">
        <w:t xml:space="preserve"> </w:t>
      </w:r>
      <m:oMath>
        <m:r>
          <w:rPr>
            <w:rFonts w:ascii="Cambria Math" w:hAnsi="Cambria Math"/>
          </w:rPr>
          <m:t>j=1,</m:t>
        </m:r>
        <m:r>
          <w:rPr>
            <w:rFonts w:ascii="Cambria Math" w:hAnsi="Cambria Math" w:hint="eastAsia"/>
          </w:rPr>
          <m:t>…</m:t>
        </m:r>
        <m:r>
          <w:rPr>
            <w:rFonts w:ascii="Cambria Math" w:hAnsi="Cambria Math"/>
          </w:rPr>
          <m:t>,M</m:t>
        </m:r>
      </m:oMath>
      <w:r w:rsidRPr="009D7F5F">
        <w:t>. For a set of observations</w:t>
      </w:r>
      <w:r w:rsidR="00EC5EAC" w:rsidRPr="009D7F5F">
        <w:t xml:space="preserve"> </w:t>
      </w:r>
      <m:oMath>
        <m:r>
          <w:rPr>
            <w:rFonts w:ascii="Cambria Math" w:hAnsi="Cambria Math"/>
          </w:rPr>
          <m:t>i=1,</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oMath>
      <w:r w:rsidR="00DC688E" w:rsidRPr="009D7F5F">
        <w:t xml:space="preserve"> </w:t>
      </w:r>
      <w:r w:rsidR="00EC5EAC" w:rsidRPr="009D7F5F">
        <w:t xml:space="preserve">from population </w:t>
      </w:r>
      <m:oMath>
        <m:r>
          <w:rPr>
            <w:rFonts w:ascii="Cambria Math" w:hAnsi="Cambria Math"/>
          </w:rPr>
          <m:t>j</m:t>
        </m:r>
      </m:oMath>
      <w:r w:rsidR="000F0262" w:rsidRPr="009D7F5F">
        <w:t>,</w:t>
      </w:r>
      <w:r w:rsidRPr="009D7F5F">
        <w:t xml:space="preserve"> let </w:t>
      </w:r>
      <m:oMath>
        <m:sSub>
          <m:sSubPr>
            <m:ctrlPr>
              <w:rPr>
                <w:rFonts w:ascii="Cambria Math" w:hAnsi="Cambria Math"/>
                <w:i/>
              </w:rPr>
            </m:ctrlPr>
          </m:sSubPr>
          <m:e>
            <m:r>
              <m:rPr>
                <m:sty m:val="bi"/>
              </m:rPr>
              <w:rPr>
                <w:rFonts w:ascii="Cambria Math" w:hAnsi="Cambria Math"/>
              </w:rPr>
              <m:t>X</m:t>
            </m:r>
            <m:ctrlPr>
              <w:rPr>
                <w:rFonts w:ascii="Cambria Math" w:hAnsi="Cambria Math"/>
                <w:b/>
                <w:i/>
              </w:rPr>
            </m:ctrlPr>
          </m:e>
          <m:sub>
            <m:r>
              <w:rPr>
                <w:rFonts w:ascii="Cambria Math" w:hAnsi="Cambria Math"/>
              </w:rPr>
              <m:t>j</m:t>
            </m:r>
          </m:sub>
        </m:sSub>
      </m:oMath>
      <w:r w:rsidRPr="009D7F5F">
        <w:rPr>
          <w:rFonts w:ascii="Calibri" w:hAnsi="Calibri" w:cs="Calibri"/>
          <w:i/>
        </w:rPr>
        <w:t xml:space="preserve"> </w:t>
      </w:r>
      <w:r w:rsidRPr="009D7F5F">
        <w:t xml:space="preserve">denote the </w:t>
      </w:r>
      <m:oMath>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hint="eastAsia"/>
          </w:rPr>
          <m:t>×</m:t>
        </m:r>
        <m:r>
          <w:rPr>
            <w:rFonts w:ascii="Cambria Math" w:hAnsi="Cambria Math"/>
          </w:rPr>
          <m:t>P</m:t>
        </m:r>
      </m:oMath>
      <w:r w:rsidRPr="009D7F5F">
        <w:t xml:space="preserve"> matrix of predictors that are potentially associated with the outcome, </w:t>
      </w:r>
      <m:oMath>
        <m:sSub>
          <m:sSubPr>
            <m:ctrlPr>
              <w:rPr>
                <w:rFonts w:ascii="Cambria Math" w:hAnsi="Cambria Math"/>
                <w:i/>
              </w:rPr>
            </m:ctrlPr>
          </m:sSubPr>
          <m:e>
            <m:r>
              <m:rPr>
                <m:sty m:val="bi"/>
              </m:rPr>
              <w:rPr>
                <w:rFonts w:ascii="Cambria Math" w:hAnsi="Cambria Math"/>
              </w:rPr>
              <m:t>Y</m:t>
            </m:r>
            <m:ctrlPr>
              <w:rPr>
                <w:rFonts w:ascii="Cambria Math" w:hAnsi="Cambria Math"/>
                <w:b/>
                <w:i/>
              </w:rPr>
            </m:ctrlPr>
          </m:e>
          <m:sub>
            <m:r>
              <w:rPr>
                <w:rFonts w:ascii="Cambria Math" w:hAnsi="Cambria Math"/>
              </w:rPr>
              <m:t>j</m:t>
            </m:r>
          </m:sub>
        </m:sSub>
      </m:oMath>
      <w:r w:rsidRPr="009D7F5F">
        <w:t xml:space="preserve">. Here, </w:t>
      </w:r>
      <m:oMath>
        <m:r>
          <w:rPr>
            <w:rFonts w:ascii="Cambria Math" w:hAnsi="Cambria Math"/>
          </w:rPr>
          <m:t>P</m:t>
        </m:r>
      </m:oMath>
      <w:r w:rsidRPr="009D7F5F">
        <w:t xml:space="preserve"> represents the number of predictors available across all populations; a predictor that is not present in a given </w:t>
      </w:r>
      <w:r w:rsidR="00BC3D8C" w:rsidRPr="009D7F5F">
        <w:t>CPM</w:t>
      </w:r>
      <w:r w:rsidRPr="009D7F5F">
        <w:t xml:space="preserve"> simply has coefficient zero. </w:t>
      </w:r>
      <w:r w:rsidR="00D10E80">
        <w:t>The</w:t>
      </w:r>
      <w:r w:rsidR="007F4DE7">
        <w:t>n</w:t>
      </w:r>
      <w:r w:rsidR="00B47131">
        <w:t>,</w:t>
      </w:r>
      <w:r w:rsidR="00D10E80">
        <w:t xml:space="preserve"> </w:t>
      </w:r>
      <w:r w:rsidR="00B47131">
        <w:t xml:space="preserve">for </w:t>
      </w:r>
      <m:oMath>
        <m:r>
          <w:rPr>
            <w:rFonts w:ascii="Cambria Math" w:hAnsi="Cambria Math"/>
          </w:rPr>
          <m:t>i=1,</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oMath>
      <w:r w:rsidR="00B47131">
        <w:t>, the linear predictor</w:t>
      </w:r>
      <w:r w:rsidR="00C66EBE">
        <w:t xml:space="preserve"> (LP)</w:t>
      </w:r>
      <w:r w:rsidR="00B47131">
        <w:t xml:space="preserve"> </w:t>
      </w:r>
      <w:r w:rsidR="00C66EBE">
        <w:t>from</w:t>
      </w:r>
      <w:r w:rsidR="00B47131">
        <w:t xml:space="preserve"> the </w:t>
      </w:r>
      <m:oMath>
        <m:sSup>
          <m:sSupPr>
            <m:ctrlPr>
              <w:rPr>
                <w:rFonts w:ascii="Cambria Math" w:hAnsi="Cambria Math"/>
                <w:i/>
              </w:rPr>
            </m:ctrlPr>
          </m:sSupPr>
          <m:e>
            <m:r>
              <w:rPr>
                <w:rFonts w:ascii="Cambria Math" w:hAnsi="Cambria Math"/>
              </w:rPr>
              <m:t>j</m:t>
            </m:r>
          </m:e>
          <m:sup>
            <m:r>
              <m:rPr>
                <m:sty m:val="p"/>
              </m:rPr>
              <w:rPr>
                <w:rFonts w:ascii="Cambria Math" w:hAnsi="Cambria Math"/>
              </w:rPr>
              <m:t>th</m:t>
            </m:r>
          </m:sup>
        </m:sSup>
      </m:oMath>
      <w:r w:rsidR="00D10E80">
        <w:t xml:space="preserve"> </w:t>
      </w:r>
      <w:r w:rsidR="000F0262" w:rsidRPr="009D7F5F">
        <w:t xml:space="preserve">existing </w:t>
      </w:r>
      <w:r w:rsidR="00BC3D8C" w:rsidRPr="009D7F5F">
        <w:t>CPM</w:t>
      </w:r>
      <w:r w:rsidR="00B47131">
        <w:t xml:space="preserve">, </w:t>
      </w:r>
      <m:oMath>
        <m:sSub>
          <m:sSubPr>
            <m:ctrlPr>
              <w:rPr>
                <w:rFonts w:ascii="Cambria Math" w:hAnsi="Cambria Math"/>
              </w:rPr>
            </m:ctrlPr>
          </m:sSubPr>
          <m:e>
            <m:r>
              <m:rPr>
                <m:sty m:val="p"/>
              </m:rPr>
              <w:rPr>
                <w:rFonts w:ascii="Cambria Math" w:hAnsi="Cambria Math"/>
              </w:rPr>
              <m:t>LP</m:t>
            </m:r>
          </m:e>
          <m:sub>
            <m:r>
              <w:rPr>
                <w:rFonts w:ascii="Cambria Math" w:hAnsi="Cambria Math"/>
              </w:rPr>
              <m:t>i,j</m:t>
            </m:r>
          </m:sub>
        </m:sSub>
      </m:oMath>
      <w:r w:rsidR="00B47131">
        <w:t>, is given by</w:t>
      </w:r>
    </w:p>
    <w:p w14:paraId="39E3BCBB" w14:textId="2F878572" w:rsidR="00FD6C28" w:rsidRPr="009D7F5F" w:rsidRDefault="00BF0CB4" w:rsidP="00FD6C28">
      <w:pPr>
        <w:spacing w:after="172"/>
        <w:ind w:left="-15" w:firstLine="360"/>
      </w:pPr>
      <m:oMathPara>
        <m:oMathParaPr>
          <m:jc m:val="center"/>
        </m:oMathParaPr>
        <m:oMath>
          <m:sSub>
            <m:sSubPr>
              <m:ctrlPr>
                <w:rPr>
                  <w:rFonts w:ascii="Cambria Math" w:hAnsi="Cambria Math"/>
                </w:rPr>
              </m:ctrlPr>
            </m:sSubPr>
            <m:e>
              <m:r>
                <m:rPr>
                  <m:sty m:val="p"/>
                </m:rPr>
                <w:rPr>
                  <w:rFonts w:ascii="Cambria Math" w:hAnsi="Cambria Math"/>
                </w:rPr>
                <m:t>LP</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0,j</m:t>
              </m:r>
            </m:sub>
          </m:sSub>
          <m:r>
            <w:rPr>
              <w:rFonts w:ascii="Cambria Math" w:hAnsi="Cambria Math"/>
            </w:rPr>
            <m:t>+</m:t>
          </m:r>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sup>
            <m:e>
              <m:sSub>
                <m:sSubPr>
                  <m:ctrlPr>
                    <w:rPr>
                      <w:rFonts w:ascii="Cambria Math" w:hAnsi="Cambria Math"/>
                      <w:i/>
                    </w:rPr>
                  </m:ctrlPr>
                </m:sSubPr>
                <m:e>
                  <m:r>
                    <w:rPr>
                      <w:rFonts w:ascii="Cambria Math" w:hAnsi="Cambria Math"/>
                    </w:rPr>
                    <m:t>β</m:t>
                  </m:r>
                </m:e>
                <m:sub>
                  <m:r>
                    <w:rPr>
                      <w:rFonts w:ascii="Cambria Math" w:hAnsi="Cambria Math"/>
                    </w:rPr>
                    <m:t>p,j</m:t>
                  </m:r>
                </m:sub>
              </m:sSub>
              <m:sSub>
                <m:sSubPr>
                  <m:ctrlPr>
                    <w:rPr>
                      <w:rFonts w:ascii="Cambria Math" w:hAnsi="Cambria Math"/>
                      <w:i/>
                    </w:rPr>
                  </m:ctrlPr>
                </m:sSubPr>
                <m:e>
                  <m:r>
                    <w:rPr>
                      <w:rFonts w:ascii="Cambria Math" w:hAnsi="Cambria Math"/>
                    </w:rPr>
                    <m:t>x</m:t>
                  </m:r>
                </m:e>
                <m:sub>
                  <m:r>
                    <w:rPr>
                      <w:rFonts w:ascii="Cambria Math" w:hAnsi="Cambria Math"/>
                    </w:rPr>
                    <m:t>i,p</m:t>
                  </m:r>
                </m:sub>
              </m:sSub>
            </m:e>
          </m:nary>
        </m:oMath>
      </m:oMathPara>
    </w:p>
    <w:p w14:paraId="70CC37FC" w14:textId="6BF73A92" w:rsidR="00FD6C28" w:rsidRPr="009D7F5F" w:rsidRDefault="00FD6C28" w:rsidP="00FD6C28">
      <w:r w:rsidRPr="009D7F5F">
        <w:t xml:space="preserve">with intercept </w:t>
      </w:r>
      <m:oMath>
        <m:sSub>
          <m:sSubPr>
            <m:ctrlPr>
              <w:rPr>
                <w:rFonts w:ascii="Cambria Math" w:hAnsi="Cambria Math"/>
                <w:i/>
              </w:rPr>
            </m:ctrlPr>
          </m:sSubPr>
          <m:e>
            <m:r>
              <w:rPr>
                <w:rFonts w:ascii="Cambria Math" w:hAnsi="Cambria Math"/>
              </w:rPr>
              <m:t>β</m:t>
            </m:r>
          </m:e>
          <m:sub>
            <m:r>
              <w:rPr>
                <w:rFonts w:ascii="Cambria Math" w:hAnsi="Cambria Math"/>
              </w:rPr>
              <m:t>0,j</m:t>
            </m:r>
          </m:sub>
        </m:sSub>
      </m:oMath>
      <w:r w:rsidRPr="009D7F5F">
        <w:t xml:space="preserve"> and coefficients </w:t>
      </w:r>
      <m:oMath>
        <m:sSub>
          <m:sSubPr>
            <m:ctrlPr>
              <w:rPr>
                <w:rFonts w:ascii="Cambria Math" w:hAnsi="Cambria Math"/>
                <w:i/>
              </w:rPr>
            </m:ctrlPr>
          </m:sSubPr>
          <m:e>
            <m:r>
              <w:rPr>
                <w:rFonts w:ascii="Cambria Math" w:hAnsi="Cambria Math"/>
              </w:rPr>
              <m:t>β</m:t>
            </m:r>
          </m:e>
          <m:sub>
            <m:r>
              <w:rPr>
                <w:rFonts w:ascii="Cambria Math" w:hAnsi="Cambria Math"/>
              </w:rPr>
              <m:t>1,j</m:t>
            </m:r>
          </m:sub>
        </m:sSub>
        <m:r>
          <w:rPr>
            <w:rFonts w:ascii="Cambria Math" w:hAnsi="Cambria Math"/>
          </w:rPr>
          <m:t xml:space="preserve">, </m:t>
        </m:r>
        <m:r>
          <w:rPr>
            <w:rFonts w:ascii="Cambria Math" w:hAnsi="Cambria Math" w:hint="eastAsia"/>
          </w:rPr>
          <m:t>…</m:t>
        </m:r>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P,j</m:t>
            </m:r>
          </m:sub>
        </m:sSub>
      </m:oMath>
      <w:r w:rsidRPr="009D7F5F">
        <w:t>, at least one of which is non-zero.</w:t>
      </w:r>
    </w:p>
    <w:p w14:paraId="658CA785" w14:textId="1F9ED14C" w:rsidR="00FD6C28" w:rsidRPr="009D7F5F" w:rsidRDefault="00FD6C28" w:rsidP="00FD6C28">
      <w:pPr>
        <w:ind w:firstLine="720"/>
      </w:pPr>
      <w:r w:rsidRPr="009D7F5F">
        <w:t xml:space="preserve">Suppose we then have a </w:t>
      </w:r>
      <w:r w:rsidR="0079007E">
        <w:t xml:space="preserve">new </w:t>
      </w:r>
      <w:r w:rsidRPr="009D7F5F">
        <w:t>local population</w:t>
      </w:r>
      <w:r w:rsidR="00BC3D8C" w:rsidRPr="009D7F5F">
        <w:t>,</w:t>
      </w:r>
      <w:r w:rsidRPr="009D7F5F">
        <w:t xml:space="preserve"> </w:t>
      </w:r>
      <m:oMath>
        <m:r>
          <w:rPr>
            <w:rFonts w:ascii="Cambria Math" w:hAnsi="Cambria Math"/>
          </w:rPr>
          <m:t>j=M+1</m:t>
        </m:r>
      </m:oMath>
      <w:r w:rsidRPr="009D7F5F">
        <w:t xml:space="preserve">. Stacked regression aims to weight the </w:t>
      </w:r>
      <w:r w:rsidRPr="009D7F5F">
        <w:rPr>
          <w:i/>
        </w:rPr>
        <w:t>M</w:t>
      </w:r>
      <w:r w:rsidRPr="009D7F5F">
        <w:t xml:space="preserve"> linear predictors (calculated for </w:t>
      </w:r>
      <w:r w:rsidR="000F0262" w:rsidRPr="009D7F5F">
        <w:t>each</w:t>
      </w:r>
      <w:r w:rsidR="00992905" w:rsidRPr="009D7F5F">
        <w:t xml:space="preserve"> </w:t>
      </w:r>
      <w:r w:rsidR="000F0262" w:rsidRPr="009D7F5F">
        <w:t>observation</w:t>
      </w:r>
      <w:r w:rsidRPr="009D7F5F">
        <w:t xml:space="preserve"> in the </w:t>
      </w:r>
      <w:r w:rsidR="00B47131">
        <w:t xml:space="preserve">new </w:t>
      </w:r>
      <w:r w:rsidRPr="009D7F5F">
        <w:t>local population) to maximise the logistic regression likelihood. Specifically, SR assumes that</w:t>
      </w:r>
      <w:r w:rsidR="00F913C7">
        <w:t xml:space="preserve"> </w:t>
      </w:r>
      <w:r w:rsidR="00F913C7" w:rsidRPr="009D7F5F">
        <w:t xml:space="preserve">for </w:t>
      </w:r>
      <m:oMath>
        <m:r>
          <w:rPr>
            <w:rFonts w:ascii="Cambria Math" w:hAnsi="Cambria Math"/>
          </w:rPr>
          <m:t>i=1,</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M+1</m:t>
            </m:r>
          </m:sub>
        </m:sSub>
      </m:oMath>
      <w:r w:rsidR="00F913C7">
        <w:t>,</w:t>
      </w:r>
      <w:r w:rsidRPr="009D7F5F">
        <w:t xml:space="preserve"> </w:t>
      </w:r>
      <m:oMath>
        <m:sSub>
          <m:sSubPr>
            <m:ctrlPr>
              <w:rPr>
                <w:rFonts w:ascii="Cambria Math" w:hAnsi="Cambria Math"/>
                <w:i/>
              </w:rPr>
            </m:ctrlPr>
          </m:sSubPr>
          <m:e>
            <m:r>
              <w:rPr>
                <w:rFonts w:ascii="Cambria Math" w:hAnsi="Cambria Math"/>
              </w:rPr>
              <m:t>Y</m:t>
            </m:r>
          </m:e>
          <m:sub>
            <m:r>
              <w:rPr>
                <w:rFonts w:ascii="Cambria Math" w:hAnsi="Cambria Math"/>
              </w:rPr>
              <m:t>i,M+1</m:t>
            </m:r>
          </m:sub>
        </m:sSub>
        <m:r>
          <w:rPr>
            <w:rFonts w:ascii="Cambria Math" w:hAnsi="Cambria Math"/>
          </w:rPr>
          <m:t>∼</m:t>
        </m:r>
        <m:r>
          <m:rPr>
            <m:sty m:val="p"/>
          </m:rPr>
          <w:rPr>
            <w:rFonts w:ascii="Cambria Math" w:hAnsi="Cambria Math"/>
          </w:rPr>
          <m:t>Bernoulli</m:t>
        </m:r>
        <m:d>
          <m:dPr>
            <m:ctrlPr>
              <w:rPr>
                <w:rFonts w:ascii="Cambria Math" w:hAnsi="Cambria Math"/>
              </w:rPr>
            </m:ctrlPr>
          </m:dPr>
          <m:e>
            <m:sSub>
              <m:sSubPr>
                <m:ctrlPr>
                  <w:rPr>
                    <w:rFonts w:ascii="Cambria Math" w:hAnsi="Cambria Math"/>
                  </w:rPr>
                </m:ctrlPr>
              </m:sSubPr>
              <m:e>
                <m:r>
                  <m:rPr>
                    <m:sty m:val="p"/>
                  </m:rPr>
                  <w:rPr>
                    <w:rFonts w:ascii="Cambria Math" w:hAnsi="Cambria Math"/>
                  </w:rPr>
                  <m:t>π</m:t>
                </m:r>
              </m:e>
              <m:sub>
                <m:r>
                  <m:rPr>
                    <m:sty m:val="p"/>
                  </m:rPr>
                  <w:rPr>
                    <w:rFonts w:ascii="Cambria Math" w:hAnsi="Cambria Math"/>
                  </w:rPr>
                  <m:t>i,M+1</m:t>
                </m:r>
              </m:sub>
            </m:sSub>
            <m:ctrlPr>
              <w:rPr>
                <w:rFonts w:ascii="Cambria Math" w:hAnsi="Cambria Math"/>
                <w:i/>
              </w:rPr>
            </m:ctrlPr>
          </m:e>
        </m:d>
      </m:oMath>
      <w:r w:rsidR="00F913C7">
        <w:t xml:space="preserve"> where </w:t>
      </w:r>
      <m:oMath>
        <m:sSub>
          <m:sSubPr>
            <m:ctrlPr>
              <w:rPr>
                <w:rFonts w:ascii="Cambria Math" w:hAnsi="Cambria Math"/>
                <w:i/>
              </w:rPr>
            </m:ctrlPr>
          </m:sSubPr>
          <m:e>
            <m:r>
              <w:rPr>
                <w:rFonts w:ascii="Cambria Math" w:hAnsi="Cambria Math"/>
              </w:rPr>
              <m:t>π</m:t>
            </m:r>
          </m:e>
          <m:sub>
            <m:r>
              <w:rPr>
                <w:rFonts w:ascii="Cambria Math" w:hAnsi="Cambria Math"/>
              </w:rPr>
              <m:t>i,M+1</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i,M+1</m:t>
                </m:r>
              </m:sub>
            </m:sSub>
            <m:r>
              <w:rPr>
                <w:rFonts w:ascii="Cambria Math" w:hAnsi="Cambria Math"/>
              </w:rPr>
              <m:t>=1</m:t>
            </m:r>
          </m:e>
        </m:d>
      </m:oMath>
      <w:r w:rsidRPr="009D7F5F">
        <w:t xml:space="preserve"> with</w:t>
      </w:r>
    </w:p>
    <w:p w14:paraId="60038596" w14:textId="4FDD4D9F" w:rsidR="00FD6C28" w:rsidRPr="009D7F5F" w:rsidRDefault="00BF0CB4" w:rsidP="00FD6C28">
      <m:oMathPara>
        <m:oMathParaPr>
          <m:jc m:val="center"/>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i,M+1</m:t>
                          </m:r>
                        </m:sub>
                      </m:sSub>
                    </m:num>
                    <m:den>
                      <m:r>
                        <w:rPr>
                          <w:rFonts w:ascii="Cambria Math" w:hAnsi="Cambria Math"/>
                        </w:rPr>
                        <m:t>1-</m:t>
                      </m:r>
                      <m:sSub>
                        <m:sSubPr>
                          <m:ctrlPr>
                            <w:rPr>
                              <w:rFonts w:ascii="Cambria Math" w:hAnsi="Cambria Math"/>
                              <w:i/>
                            </w:rPr>
                          </m:ctrlPr>
                        </m:sSubPr>
                        <m:e>
                          <m:r>
                            <w:rPr>
                              <w:rFonts w:ascii="Cambria Math" w:hAnsi="Cambria Math"/>
                            </w:rPr>
                            <m:t>π</m:t>
                          </m:r>
                        </m:e>
                        <m:sub>
                          <m:r>
                            <w:rPr>
                              <w:rFonts w:ascii="Cambria Math" w:hAnsi="Cambria Math"/>
                            </w:rPr>
                            <m:t>i,M+1</m:t>
                          </m:r>
                        </m:sub>
                      </m:sSub>
                    </m:den>
                  </m:f>
                </m:e>
              </m:d>
            </m:e>
          </m:fun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γ</m:t>
                  </m:r>
                </m:e>
              </m:acc>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acc>
                    <m:accPr>
                      <m:ctrlPr>
                        <w:rPr>
                          <w:rFonts w:ascii="Cambria Math" w:hAnsi="Cambria Math"/>
                          <w:i/>
                        </w:rPr>
                      </m:ctrlPr>
                    </m:accPr>
                    <m:e>
                      <m:r>
                        <w:rPr>
                          <w:rFonts w:ascii="Cambria Math" w:hAnsi="Cambria Math"/>
                        </w:rPr>
                        <m:t>γ</m:t>
                      </m:r>
                    </m:e>
                  </m:acc>
                </m:e>
                <m:sub>
                  <m:r>
                    <w:rPr>
                      <w:rFonts w:ascii="Cambria Math" w:hAnsi="Cambria Math"/>
                    </w:rPr>
                    <m:t>j</m:t>
                  </m:r>
                </m:sub>
              </m:sSub>
              <m:sSub>
                <m:sSubPr>
                  <m:ctrlPr>
                    <w:rPr>
                      <w:rFonts w:ascii="Cambria Math" w:hAnsi="Cambria Math"/>
                      <w:i/>
                    </w:rPr>
                  </m:ctrlPr>
                </m:sSubPr>
                <m:e>
                  <m:r>
                    <m:rPr>
                      <m:sty m:val="p"/>
                    </m:rPr>
                    <w:rPr>
                      <w:rFonts w:ascii="Cambria Math" w:hAnsi="Cambria Math"/>
                    </w:rPr>
                    <m:t>LP</m:t>
                  </m:r>
                  <m:ctrlPr>
                    <w:rPr>
                      <w:rFonts w:ascii="Cambria Math" w:hAnsi="Cambria Math"/>
                    </w:rPr>
                  </m:ctrlPr>
                </m:e>
                <m:sub>
                  <m:r>
                    <w:rPr>
                      <w:rFonts w:ascii="Cambria Math" w:hAnsi="Cambria Math"/>
                    </w:rPr>
                    <m:t>i,j</m:t>
                  </m:r>
                </m:sub>
              </m:sSub>
            </m:e>
          </m:nary>
          <m:r>
            <w:rPr>
              <w:rFonts w:ascii="Cambria Math" w:hAnsi="Cambria Math"/>
            </w:rPr>
            <m:t xml:space="preserve">   </m:t>
          </m:r>
        </m:oMath>
      </m:oMathPara>
    </w:p>
    <w:p w14:paraId="0228B765" w14:textId="5E11B5B6" w:rsidR="00FD6C28" w:rsidRPr="009D7F5F" w:rsidRDefault="00FD6C28" w:rsidP="00FD6C28">
      <w:r w:rsidRPr="009D7F5F">
        <w:t xml:space="preserve">under the constraint that </w:t>
      </w:r>
      <m:oMath>
        <m:sSub>
          <m:sSubPr>
            <m:ctrlPr>
              <w:rPr>
                <w:rFonts w:ascii="Cambria Math" w:hAnsi="Cambria Math"/>
                <w:i/>
              </w:rPr>
            </m:ctrlPr>
          </m:sSubPr>
          <m:e>
            <m:acc>
              <m:accPr>
                <m:ctrlPr>
                  <w:rPr>
                    <w:rFonts w:ascii="Cambria Math" w:hAnsi="Cambria Math"/>
                    <w:i/>
                  </w:rPr>
                </m:ctrlPr>
              </m:accPr>
              <m:e>
                <m:r>
                  <w:rPr>
                    <w:rFonts w:ascii="Cambria Math" w:hAnsi="Cambria Math"/>
                  </w:rPr>
                  <m:t>γ</m:t>
                </m:r>
              </m:e>
            </m:acc>
          </m:e>
          <m:sub>
            <m:r>
              <w:rPr>
                <w:rFonts w:ascii="Cambria Math" w:hAnsi="Cambria Math"/>
              </w:rPr>
              <m:t>1</m:t>
            </m:r>
          </m:sub>
        </m:sSub>
        <m:r>
          <w:rPr>
            <w:rFonts w:ascii="Cambria Math" w:hAnsi="Cambria Math"/>
          </w:rPr>
          <m:t>,</m:t>
        </m:r>
        <m:r>
          <w:rPr>
            <w:rFonts w:ascii="Cambria Math" w:hAnsi="Cambria Math" w:hint="eastAsia"/>
          </w:rPr>
          <m:t>…</m:t>
        </m:r>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γ</m:t>
                </m:r>
              </m:e>
            </m:acc>
          </m:e>
          <m:sub>
            <m:r>
              <w:rPr>
                <w:rFonts w:ascii="Cambria Math" w:hAnsi="Cambria Math"/>
              </w:rPr>
              <m:t>M</m:t>
            </m:r>
          </m:sub>
        </m:sSub>
        <m:r>
          <w:rPr>
            <w:rFonts w:ascii="Cambria Math" w:hAnsi="Cambria Math"/>
          </w:rPr>
          <m:t>≥0</m:t>
        </m:r>
      </m:oMath>
      <w:r w:rsidRPr="009D7F5F">
        <w:t xml:space="preserve"> to account for collinearity between the existing CPMs. </w:t>
      </w:r>
      <w:r w:rsidR="0079007E">
        <w:t>Here</w:t>
      </w:r>
      <w:r w:rsidR="00B47131">
        <w:t>,</w:t>
      </w:r>
      <w:r w:rsidR="0079007E">
        <w:t xml:space="preserve"> </w:t>
      </w:r>
      <m:oMath>
        <m:sSub>
          <m:sSubPr>
            <m:ctrlPr>
              <w:rPr>
                <w:rFonts w:ascii="Cambria Math" w:hAnsi="Cambria Math"/>
                <w:i/>
              </w:rPr>
            </m:ctrlPr>
          </m:sSubPr>
          <m:e>
            <m:r>
              <m:rPr>
                <m:sty m:val="p"/>
              </m:rPr>
              <w:rPr>
                <w:rFonts w:ascii="Cambria Math" w:hAnsi="Cambria Math"/>
              </w:rPr>
              <m:t>LP</m:t>
            </m:r>
            <m:ctrlPr>
              <w:rPr>
                <w:rFonts w:ascii="Cambria Math" w:hAnsi="Cambria Math"/>
              </w:rPr>
            </m:ctrlPr>
          </m:e>
          <m:sub>
            <m:r>
              <w:rPr>
                <w:rFonts w:ascii="Cambria Math" w:hAnsi="Cambria Math"/>
              </w:rPr>
              <m:t>i,j</m:t>
            </m:r>
          </m:sub>
        </m:sSub>
      </m:oMath>
      <w:r w:rsidR="0079007E">
        <w:t xml:space="preserve"> denotes the linear predictor from the </w:t>
      </w:r>
      <m:oMath>
        <m:sSup>
          <m:sSupPr>
            <m:ctrlPr>
              <w:rPr>
                <w:rFonts w:ascii="Cambria Math" w:hAnsi="Cambria Math"/>
                <w:i/>
              </w:rPr>
            </m:ctrlPr>
          </m:sSupPr>
          <m:e>
            <m:r>
              <w:rPr>
                <w:rFonts w:ascii="Cambria Math" w:hAnsi="Cambria Math"/>
              </w:rPr>
              <m:t>j</m:t>
            </m:r>
          </m:e>
          <m:sup>
            <m:r>
              <m:rPr>
                <m:sty m:val="p"/>
              </m:rPr>
              <w:rPr>
                <w:rFonts w:ascii="Cambria Math" w:hAnsi="Cambria Math"/>
              </w:rPr>
              <m:t>th</m:t>
            </m:r>
          </m:sup>
        </m:sSup>
      </m:oMath>
      <w:r w:rsidR="0079007E">
        <w:t xml:space="preserve"> existing CPM calculated for observation </w:t>
      </w:r>
      <m:oMath>
        <m:r>
          <w:rPr>
            <w:rFonts w:ascii="Cambria Math" w:hAnsi="Cambria Math"/>
          </w:rPr>
          <m:t>i∈[1,</m:t>
        </m:r>
        <m:sSub>
          <m:sSubPr>
            <m:ctrlPr>
              <w:rPr>
                <w:rFonts w:ascii="Cambria Math" w:hAnsi="Cambria Math"/>
                <w:i/>
              </w:rPr>
            </m:ctrlPr>
          </m:sSubPr>
          <m:e>
            <m:r>
              <w:rPr>
                <w:rFonts w:ascii="Cambria Math" w:hAnsi="Cambria Math"/>
              </w:rPr>
              <m:t>n</m:t>
            </m:r>
          </m:e>
          <m:sub>
            <m:r>
              <w:rPr>
                <w:rFonts w:ascii="Cambria Math" w:hAnsi="Cambria Math"/>
              </w:rPr>
              <m:t>M+1</m:t>
            </m:r>
          </m:sub>
        </m:sSub>
        <m:r>
          <w:rPr>
            <w:rFonts w:ascii="Cambria Math" w:hAnsi="Cambria Math"/>
          </w:rPr>
          <m:t>]</m:t>
        </m:r>
      </m:oMath>
      <w:r w:rsidR="0079007E">
        <w:t xml:space="preserve"> in the new local population. Thus, we have</w:t>
      </w:r>
    </w:p>
    <w:p w14:paraId="6F104061" w14:textId="62285B72" w:rsidR="00FD6C28" w:rsidRPr="009D7F5F" w:rsidRDefault="00BF0CB4" w:rsidP="00FD6C28">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i,M+1</m:t>
                          </m:r>
                        </m:sub>
                      </m:sSub>
                    </m:num>
                    <m:den>
                      <m:r>
                        <w:rPr>
                          <w:rFonts w:ascii="Cambria Math" w:hAnsi="Cambria Math"/>
                        </w:rPr>
                        <m:t>1-</m:t>
                      </m:r>
                      <m:sSub>
                        <m:sSubPr>
                          <m:ctrlPr>
                            <w:rPr>
                              <w:rFonts w:ascii="Cambria Math" w:hAnsi="Cambria Math"/>
                              <w:i/>
                            </w:rPr>
                          </m:ctrlPr>
                        </m:sSubPr>
                        <m:e>
                          <m:r>
                            <w:rPr>
                              <w:rFonts w:ascii="Cambria Math" w:hAnsi="Cambria Math"/>
                            </w:rPr>
                            <m:t>π</m:t>
                          </m:r>
                        </m:e>
                        <m:sub>
                          <m:r>
                            <w:rPr>
                              <w:rFonts w:ascii="Cambria Math" w:hAnsi="Cambria Math"/>
                            </w:rPr>
                            <m:t>i,M+1</m:t>
                          </m:r>
                        </m:sub>
                      </m:sSub>
                    </m:den>
                  </m:f>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γ</m:t>
                      </m:r>
                    </m:e>
                  </m:acc>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acc>
                        <m:accPr>
                          <m:ctrlPr>
                            <w:rPr>
                              <w:rFonts w:ascii="Cambria Math" w:hAnsi="Cambria Math"/>
                              <w:i/>
                            </w:rPr>
                          </m:ctrlPr>
                        </m:accPr>
                        <m:e>
                          <m:r>
                            <w:rPr>
                              <w:rFonts w:ascii="Cambria Math" w:hAnsi="Cambria Math"/>
                            </w:rPr>
                            <m:t>γ</m:t>
                          </m:r>
                        </m:e>
                      </m:acc>
                    </m:e>
                    <m:sub>
                      <m:r>
                        <w:rPr>
                          <w:rFonts w:ascii="Cambria Math" w:hAnsi="Cambria Math"/>
                        </w:rPr>
                        <m:t>j</m:t>
                      </m:r>
                    </m:sub>
                  </m:sSub>
                  <m:sSub>
                    <m:sSubPr>
                      <m:ctrlPr>
                        <w:rPr>
                          <w:rFonts w:ascii="Cambria Math" w:hAnsi="Cambria Math"/>
                          <w:i/>
                        </w:rPr>
                      </m:ctrlPr>
                    </m:sSubPr>
                    <m:e>
                      <m:r>
                        <w:rPr>
                          <w:rFonts w:ascii="Cambria Math" w:hAnsi="Cambria Math"/>
                        </w:rPr>
                        <m:t>β</m:t>
                      </m:r>
                    </m:e>
                    <m:sub>
                      <m:r>
                        <w:rPr>
                          <w:rFonts w:ascii="Cambria Math" w:hAnsi="Cambria Math"/>
                        </w:rPr>
                        <m:t>0,j</m:t>
                      </m:r>
                    </m:sub>
                  </m:sSub>
                </m:e>
              </m:nary>
            </m:e>
          </m:func>
          <m:r>
            <w:rPr>
              <w:rFonts w:ascii="Cambria Math" w:hAnsi="Cambria Math"/>
            </w:rPr>
            <m:t xml:space="preserve">+ </m:t>
          </m:r>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acc>
                        <m:accPr>
                          <m:ctrlPr>
                            <w:rPr>
                              <w:rFonts w:ascii="Cambria Math" w:hAnsi="Cambria Math"/>
                              <w:i/>
                            </w:rPr>
                          </m:ctrlPr>
                        </m:accPr>
                        <m:e>
                          <m:r>
                            <w:rPr>
                              <w:rFonts w:ascii="Cambria Math" w:hAnsi="Cambria Math"/>
                            </w:rPr>
                            <m:t>γ</m:t>
                          </m:r>
                        </m:e>
                      </m:acc>
                    </m:e>
                    <m:sub>
                      <m:r>
                        <w:rPr>
                          <w:rFonts w:ascii="Cambria Math" w:hAnsi="Cambria Math"/>
                        </w:rPr>
                        <m:t>j</m:t>
                      </m:r>
                    </m:sub>
                  </m:sSub>
                  <m:sSub>
                    <m:sSubPr>
                      <m:ctrlPr>
                        <w:rPr>
                          <w:rFonts w:ascii="Cambria Math" w:hAnsi="Cambria Math"/>
                          <w:i/>
                        </w:rPr>
                      </m:ctrlPr>
                    </m:sSubPr>
                    <m:e>
                      <m:r>
                        <w:rPr>
                          <w:rFonts w:ascii="Cambria Math" w:hAnsi="Cambria Math"/>
                        </w:rPr>
                        <m:t>β</m:t>
                      </m:r>
                    </m:e>
                    <m:sub>
                      <m:r>
                        <w:rPr>
                          <w:rFonts w:ascii="Cambria Math" w:hAnsi="Cambria Math"/>
                        </w:rPr>
                        <m:t>p,j</m:t>
                      </m:r>
                    </m:sub>
                  </m:sSub>
                  <m:sSub>
                    <m:sSubPr>
                      <m:ctrlPr>
                        <w:rPr>
                          <w:rFonts w:ascii="Cambria Math" w:hAnsi="Cambria Math"/>
                          <w:i/>
                        </w:rPr>
                      </m:ctrlPr>
                    </m:sSubPr>
                    <m:e>
                      <m:r>
                        <w:rPr>
                          <w:rFonts w:ascii="Cambria Math" w:hAnsi="Cambria Math"/>
                        </w:rPr>
                        <m:t>x</m:t>
                      </m:r>
                    </m:e>
                    <m:sub>
                      <m:r>
                        <w:rPr>
                          <w:rFonts w:ascii="Cambria Math" w:hAnsi="Cambria Math"/>
                        </w:rPr>
                        <m:t>i,p</m:t>
                      </m:r>
                    </m:sub>
                  </m:sSub>
                </m:e>
              </m:nary>
              <m:r>
                <w:rPr>
                  <w:rFonts w:ascii="Cambria Math" w:hAnsi="Cambria Math"/>
                </w:rPr>
                <m:t>,</m:t>
              </m:r>
            </m:e>
          </m:nary>
        </m:oMath>
      </m:oMathPara>
    </w:p>
    <w:p w14:paraId="5D82CD43" w14:textId="517DC5E5" w:rsidR="00FD6C28" w:rsidRDefault="00FD6C28" w:rsidP="00FD6C28">
      <w:r w:rsidRPr="009D7F5F">
        <w:t>which can be used to calculate subsequent risk predictions for a new observation.</w:t>
      </w:r>
      <w:r w:rsidR="00203E40" w:rsidRPr="009D7F5F">
        <w:t xml:space="preserve"> </w:t>
      </w:r>
      <w:r w:rsidR="005A5D0B" w:rsidRPr="009D7F5F">
        <w:t>T</w:t>
      </w:r>
      <w:r w:rsidR="00203E40" w:rsidRPr="009D7F5F">
        <w:t xml:space="preserve">he hat </w:t>
      </w:r>
      <w:r w:rsidR="00F913C7">
        <w:t>accent</w:t>
      </w:r>
      <w:r w:rsidR="00203E40" w:rsidRPr="009D7F5F">
        <w:t xml:space="preserve"> above parameters indicates those that are estimated</w:t>
      </w:r>
      <w:r w:rsidR="005A5D0B" w:rsidRPr="009D7F5F">
        <w:t xml:space="preserve"> from the local population data</w:t>
      </w:r>
      <w:r w:rsidR="00203E40" w:rsidRPr="009D7F5F">
        <w:t xml:space="preserve">. </w:t>
      </w:r>
      <w:r w:rsidR="00203E40" w:rsidRPr="009D7F5F">
        <w:lastRenderedPageBreak/>
        <w:t xml:space="preserve">Specifically, </w:t>
      </w:r>
      <w:r w:rsidR="005A5D0B" w:rsidRPr="009D7F5F">
        <w:t xml:space="preserve">SR </w:t>
      </w:r>
      <w:r w:rsidR="00203E40" w:rsidRPr="009D7F5F">
        <w:t xml:space="preserve">estimates </w:t>
      </w:r>
      <m:oMath>
        <m:sSub>
          <m:sSubPr>
            <m:ctrlPr>
              <w:rPr>
                <w:rFonts w:ascii="Cambria Math" w:hAnsi="Cambria Math"/>
                <w:i/>
              </w:rPr>
            </m:ctrlPr>
          </m:sSubPr>
          <m:e>
            <m:acc>
              <m:accPr>
                <m:ctrlPr>
                  <w:rPr>
                    <w:rFonts w:ascii="Cambria Math" w:hAnsi="Cambria Math"/>
                    <w:i/>
                  </w:rPr>
                </m:ctrlPr>
              </m:accPr>
              <m:e>
                <m:r>
                  <w:rPr>
                    <w:rFonts w:ascii="Cambria Math" w:hAnsi="Cambria Math"/>
                  </w:rPr>
                  <m:t>γ</m:t>
                </m:r>
              </m:e>
            </m:acc>
          </m:e>
          <m:sub>
            <m:r>
              <w:rPr>
                <w:rFonts w:ascii="Cambria Math" w:hAnsi="Cambria Math"/>
              </w:rPr>
              <m:t>j</m:t>
            </m:r>
          </m:sub>
        </m:sSub>
      </m:oMath>
      <w:r w:rsidR="005A5D0B" w:rsidRPr="009D7F5F">
        <w:t xml:space="preserve"> but </w:t>
      </w:r>
      <w:r w:rsidR="00203E40" w:rsidRPr="009D7F5F">
        <w:t xml:space="preserve">not </w:t>
      </w:r>
      <m:oMath>
        <m:sSub>
          <m:sSubPr>
            <m:ctrlPr>
              <w:rPr>
                <w:rFonts w:ascii="Cambria Math" w:hAnsi="Cambria Math"/>
                <w:i/>
              </w:rPr>
            </m:ctrlPr>
          </m:sSubPr>
          <m:e>
            <m:r>
              <w:rPr>
                <w:rFonts w:ascii="Cambria Math" w:hAnsi="Cambria Math"/>
              </w:rPr>
              <m:t>β</m:t>
            </m:r>
          </m:e>
          <m:sub>
            <m:r>
              <w:rPr>
                <w:rFonts w:ascii="Cambria Math" w:hAnsi="Cambria Math"/>
              </w:rPr>
              <m:t>p,j</m:t>
            </m:r>
          </m:sub>
        </m:sSub>
      </m:oMath>
      <w:r w:rsidR="00203E40" w:rsidRPr="009D7F5F">
        <w:t>, which are taken as fixed values from the published existing CPM.</w:t>
      </w:r>
    </w:p>
    <w:p w14:paraId="0A701CD0" w14:textId="3ADF40BF" w:rsidR="00C17C45" w:rsidRPr="00A2307C" w:rsidRDefault="00411E28" w:rsidP="00C17C45">
      <w:pPr>
        <w:pStyle w:val="Heading2"/>
      </w:pPr>
      <w:r>
        <w:t xml:space="preserve">Model Aggregation: </w:t>
      </w:r>
      <w:r w:rsidR="00C17C45" w:rsidRPr="00A2307C">
        <w:t>Principal Components Analysis (PCA) Regression</w:t>
      </w:r>
    </w:p>
    <w:p w14:paraId="0A0E02F3" w14:textId="32694649" w:rsidR="00C17C45" w:rsidRDefault="00EE3F25" w:rsidP="00C17C45">
      <w:pPr>
        <w:ind w:firstLine="720"/>
      </w:pPr>
      <w:r>
        <w:t xml:space="preserve">Let </w:t>
      </w:r>
      <w:r w:rsidR="00CA1ED7" w:rsidRPr="00A2307C">
        <w:rPr>
          <w:b/>
        </w:rPr>
        <w:t>LP</w:t>
      </w:r>
      <w:r w:rsidR="00CA1ED7" w:rsidRPr="00A2307C">
        <w:t xml:space="preserve"> </w:t>
      </w:r>
      <w:r w:rsidR="00CA1ED7">
        <w:t xml:space="preserve">denote the </w:t>
      </w:r>
      <m:oMath>
        <m:sSub>
          <m:sSubPr>
            <m:ctrlPr>
              <w:rPr>
                <w:rFonts w:ascii="Cambria Math" w:hAnsi="Cambria Math"/>
                <w:i/>
              </w:rPr>
            </m:ctrlPr>
          </m:sSubPr>
          <m:e>
            <m:r>
              <w:rPr>
                <w:rFonts w:ascii="Cambria Math" w:hAnsi="Cambria Math"/>
              </w:rPr>
              <m:t>n</m:t>
            </m:r>
          </m:e>
          <m:sub>
            <m:r>
              <w:rPr>
                <w:rFonts w:ascii="Cambria Math" w:hAnsi="Cambria Math"/>
              </w:rPr>
              <m:t>M+1</m:t>
            </m:r>
          </m:sub>
        </m:sSub>
        <m:r>
          <w:rPr>
            <w:rFonts w:ascii="Cambria Math" w:hAnsi="Cambria Math" w:hint="eastAsia"/>
          </w:rPr>
          <m:t>×</m:t>
        </m:r>
        <m:r>
          <w:rPr>
            <w:rFonts w:ascii="Cambria Math" w:hAnsi="Cambria Math"/>
          </w:rPr>
          <m:t>M</m:t>
        </m:r>
      </m:oMath>
      <w:r w:rsidR="00CA1ED7" w:rsidRPr="009D7F5F">
        <w:t xml:space="preserve"> matrix</w:t>
      </w:r>
      <w:r w:rsidR="00CA1ED7">
        <w:t xml:space="preserve">, with </w:t>
      </w:r>
      <m:oMath>
        <m:sSup>
          <m:sSupPr>
            <m:ctrlPr>
              <w:rPr>
                <w:rFonts w:ascii="Cambria Math" w:hAnsi="Cambria Math"/>
                <w:i/>
              </w:rPr>
            </m:ctrlPr>
          </m:sSupPr>
          <m:e>
            <m:d>
              <m:dPr>
                <m:ctrlPr>
                  <w:rPr>
                    <w:rFonts w:ascii="Cambria Math" w:hAnsi="Cambria Math"/>
                    <w:i/>
                  </w:rPr>
                </m:ctrlPr>
              </m:dPr>
              <m:e>
                <m:r>
                  <w:rPr>
                    <w:rFonts w:ascii="Cambria Math" w:hAnsi="Cambria Math"/>
                  </w:rPr>
                  <m:t>i,j</m:t>
                </m:r>
              </m:e>
            </m:d>
          </m:e>
          <m:sup>
            <m:r>
              <m:rPr>
                <m:sty m:val="p"/>
              </m:rPr>
              <w:rPr>
                <w:rFonts w:ascii="Cambria Math" w:hAnsi="Cambria Math"/>
              </w:rPr>
              <m:t>th</m:t>
            </m:r>
          </m:sup>
        </m:sSup>
      </m:oMath>
      <w:r w:rsidR="00CA1ED7">
        <w:t xml:space="preserve"> element </w:t>
      </w:r>
      <w:r w:rsidR="00411E28">
        <w:t>being</w:t>
      </w:r>
      <w:r w:rsidR="00CA1ED7">
        <w:t xml:space="preserve"> the linear predictor for the </w:t>
      </w:r>
      <m:oMath>
        <m:sSup>
          <m:sSupPr>
            <m:ctrlPr>
              <w:rPr>
                <w:rFonts w:ascii="Cambria Math" w:hAnsi="Cambria Math"/>
                <w:i/>
              </w:rPr>
            </m:ctrlPr>
          </m:sSupPr>
          <m:e>
            <m:r>
              <w:rPr>
                <w:rFonts w:ascii="Cambria Math" w:hAnsi="Cambria Math"/>
              </w:rPr>
              <m:t>j</m:t>
            </m:r>
          </m:e>
          <m:sup>
            <m:r>
              <m:rPr>
                <m:sty m:val="p"/>
              </m:rPr>
              <w:rPr>
                <w:rFonts w:ascii="Cambria Math" w:hAnsi="Cambria Math"/>
              </w:rPr>
              <m:t>th</m:t>
            </m:r>
          </m:sup>
        </m:sSup>
      </m:oMath>
      <w:r w:rsidR="00CA1ED7">
        <w:t xml:space="preserve"> existing CPM calculated for </w:t>
      </w:r>
      <w:r w:rsidR="0091778A">
        <w:t>observations</w:t>
      </w:r>
      <w:r w:rsidR="00CA1ED7">
        <w:t xml:space="preserve"> </w:t>
      </w:r>
      <m:oMath>
        <m:r>
          <w:rPr>
            <w:rFonts w:ascii="Cambria Math" w:hAnsi="Cambria Math"/>
          </w:rPr>
          <m:t>i=1,…,</m:t>
        </m:r>
        <m:sSub>
          <m:sSubPr>
            <m:ctrlPr>
              <w:rPr>
                <w:rFonts w:ascii="Cambria Math" w:hAnsi="Cambria Math"/>
                <w:i/>
              </w:rPr>
            </m:ctrlPr>
          </m:sSubPr>
          <m:e>
            <m:r>
              <w:rPr>
                <w:rFonts w:ascii="Cambria Math" w:hAnsi="Cambria Math"/>
              </w:rPr>
              <m:t>n</m:t>
            </m:r>
          </m:e>
          <m:sub>
            <m:r>
              <w:rPr>
                <w:rFonts w:ascii="Cambria Math" w:hAnsi="Cambria Math"/>
              </w:rPr>
              <m:t>M+1</m:t>
            </m:r>
          </m:sub>
        </m:sSub>
      </m:oMath>
      <w:r w:rsidR="00CA1ED7">
        <w:t xml:space="preserve"> in the local population. </w:t>
      </w:r>
      <w:r w:rsidR="00143EC1">
        <w:t>T</w:t>
      </w:r>
      <w:r w:rsidR="00C17C45" w:rsidRPr="00A2307C">
        <w:t xml:space="preserve">he singular value decomposition of </w:t>
      </w:r>
      <w:r w:rsidR="00C17C45" w:rsidRPr="00A2307C">
        <w:rPr>
          <w:b/>
        </w:rPr>
        <w:t>LP</w:t>
      </w:r>
      <w:r w:rsidR="00C17C45" w:rsidRPr="00A2307C">
        <w:t xml:space="preserve"> </w:t>
      </w:r>
      <w:r w:rsidR="00F927AE">
        <w:t>gives</w:t>
      </w:r>
      <w:r w:rsidR="00C17C45" w:rsidRPr="00A2307C">
        <w:t xml:space="preserve"> an </w:t>
      </w:r>
      <m:oMath>
        <m:r>
          <w:rPr>
            <w:rFonts w:ascii="Cambria Math" w:hAnsi="Cambria Math"/>
          </w:rPr>
          <m:t>M×M</m:t>
        </m:r>
      </m:oMath>
      <w:r w:rsidR="00C17C45" w:rsidRPr="00A2307C">
        <w:t xml:space="preserve"> rotation matrix, </w:t>
      </w:r>
      <w:r w:rsidR="00C17C45" w:rsidRPr="00A2307C">
        <w:rPr>
          <w:b/>
        </w:rPr>
        <w:t>ν</w:t>
      </w:r>
      <w:r w:rsidR="00C17C45" w:rsidRPr="00A2307C">
        <w:t xml:space="preserve">. Multiplying </w:t>
      </w:r>
      <w:r w:rsidR="00C17C45" w:rsidRPr="00A2307C">
        <w:rPr>
          <w:b/>
        </w:rPr>
        <w:t>LP</w:t>
      </w:r>
      <w:r w:rsidR="00C17C45" w:rsidRPr="00A2307C">
        <w:t xml:space="preserve"> by </w:t>
      </w:r>
      <w:r w:rsidR="00C17C45" w:rsidRPr="00A2307C">
        <w:rPr>
          <w:b/>
        </w:rPr>
        <w:t xml:space="preserve">ν, </w:t>
      </w:r>
      <w:r w:rsidR="00C17C45" w:rsidRPr="00A2307C">
        <w:t xml:space="preserve">gives the </w:t>
      </w:r>
      <m:oMath>
        <m:sSub>
          <m:sSubPr>
            <m:ctrlPr>
              <w:rPr>
                <w:rFonts w:ascii="Cambria Math" w:hAnsi="Cambria Math"/>
                <w:i/>
              </w:rPr>
            </m:ctrlPr>
          </m:sSubPr>
          <m:e>
            <m:r>
              <w:rPr>
                <w:rFonts w:ascii="Cambria Math" w:hAnsi="Cambria Math"/>
              </w:rPr>
              <m:t>n</m:t>
            </m:r>
          </m:e>
          <m:sub>
            <m:r>
              <w:rPr>
                <w:rFonts w:ascii="Cambria Math" w:hAnsi="Cambria Math"/>
              </w:rPr>
              <m:t>M+1</m:t>
            </m:r>
          </m:sub>
        </m:sSub>
        <m:r>
          <w:rPr>
            <w:rFonts w:ascii="Cambria Math" w:hAnsi="Cambria Math"/>
          </w:rPr>
          <m:t>×M</m:t>
        </m:r>
      </m:oMath>
      <w:r w:rsidR="00C17C45" w:rsidRPr="00A2307C">
        <w:t xml:space="preserve"> matrix of principal components, </w:t>
      </w:r>
      <w:r w:rsidR="00C17C45" w:rsidRPr="00A2307C">
        <w:rPr>
          <w:b/>
        </w:rPr>
        <w:t>Z</w:t>
      </w:r>
      <w:r w:rsidR="00C17C45" w:rsidRPr="00A2307C">
        <w:t xml:space="preserve">. PCA regression </w:t>
      </w:r>
      <w:r w:rsidR="002F3486">
        <w:t xml:space="preserve">again </w:t>
      </w:r>
      <w:r w:rsidR="002F3486" w:rsidRPr="009D7F5F">
        <w:t>assumes that</w:t>
      </w:r>
      <w:r w:rsidR="002F7BC5">
        <w:t xml:space="preserve"> </w:t>
      </w:r>
      <m:oMath>
        <m:sSub>
          <m:sSubPr>
            <m:ctrlPr>
              <w:rPr>
                <w:rFonts w:ascii="Cambria Math" w:hAnsi="Cambria Math"/>
                <w:i/>
              </w:rPr>
            </m:ctrlPr>
          </m:sSubPr>
          <m:e>
            <m:r>
              <w:rPr>
                <w:rFonts w:ascii="Cambria Math" w:hAnsi="Cambria Math"/>
              </w:rPr>
              <m:t>Y</m:t>
            </m:r>
          </m:e>
          <m:sub>
            <m:r>
              <w:rPr>
                <w:rFonts w:ascii="Cambria Math" w:hAnsi="Cambria Math"/>
              </w:rPr>
              <m:t>i,M+1</m:t>
            </m:r>
          </m:sub>
        </m:sSub>
        <m:r>
          <w:rPr>
            <w:rFonts w:ascii="Cambria Math" w:hAnsi="Cambria Math"/>
          </w:rPr>
          <m:t>∼</m:t>
        </m:r>
        <m:r>
          <m:rPr>
            <m:sty m:val="p"/>
          </m:rPr>
          <w:rPr>
            <w:rFonts w:ascii="Cambria Math" w:hAnsi="Cambria Math"/>
          </w:rPr>
          <m:t>Bernoulli</m:t>
        </m:r>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i,M+1</m:t>
            </m:r>
          </m:sub>
        </m:sSub>
        <m:r>
          <w:rPr>
            <w:rFonts w:ascii="Cambria Math" w:hAnsi="Cambria Math"/>
          </w:rPr>
          <m:t>)</m:t>
        </m:r>
      </m:oMath>
      <w:r w:rsidR="002F3486" w:rsidRPr="009D7F5F">
        <w:t xml:space="preserve"> for </w:t>
      </w:r>
      <m:oMath>
        <m:r>
          <w:rPr>
            <w:rFonts w:ascii="Cambria Math" w:hAnsi="Cambria Math"/>
          </w:rPr>
          <m:t>i=1,</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M+1</m:t>
            </m:r>
          </m:sub>
        </m:sSub>
      </m:oMath>
      <w:r w:rsidR="00013AFF">
        <w:t xml:space="preserve"> with</w:t>
      </w:r>
    </w:p>
    <w:p w14:paraId="4F50BFFC" w14:textId="14E11E76" w:rsidR="00013AFF" w:rsidRPr="00A2307C" w:rsidRDefault="00BF0CB4" w:rsidP="00C17C45">
      <w:pPr>
        <w:ind w:firstLine="720"/>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i,M+1</m:t>
                          </m:r>
                        </m:sub>
                      </m:sSub>
                    </m:num>
                    <m:den>
                      <m:r>
                        <w:rPr>
                          <w:rFonts w:ascii="Cambria Math" w:hAnsi="Cambria Math"/>
                        </w:rPr>
                        <m:t>1-</m:t>
                      </m:r>
                      <m:sSub>
                        <m:sSubPr>
                          <m:ctrlPr>
                            <w:rPr>
                              <w:rFonts w:ascii="Cambria Math" w:hAnsi="Cambria Math"/>
                              <w:i/>
                            </w:rPr>
                          </m:ctrlPr>
                        </m:sSubPr>
                        <m:e>
                          <m:r>
                            <w:rPr>
                              <w:rFonts w:ascii="Cambria Math" w:hAnsi="Cambria Math"/>
                            </w:rPr>
                            <m:t>π</m:t>
                          </m:r>
                        </m:e>
                        <m:sub>
                          <m:r>
                            <w:rPr>
                              <w:rFonts w:ascii="Cambria Math" w:hAnsi="Cambria Math"/>
                            </w:rPr>
                            <m:t>i,M+1</m:t>
                          </m:r>
                        </m:sub>
                      </m:sSub>
                    </m:den>
                  </m:f>
                </m:e>
              </m:d>
            </m:e>
          </m:fun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j</m:t>
                  </m:r>
                </m:sub>
              </m:sSub>
              <m:sSub>
                <m:sSubPr>
                  <m:ctrlPr>
                    <w:rPr>
                      <w:rFonts w:ascii="Cambria Math" w:hAnsi="Cambria Math"/>
                      <w:i/>
                    </w:rPr>
                  </m:ctrlPr>
                </m:sSubPr>
                <m:e>
                  <m:r>
                    <w:rPr>
                      <w:rFonts w:ascii="Cambria Math" w:hAnsi="Cambria Math"/>
                    </w:rPr>
                    <m:t>Z</m:t>
                  </m:r>
                </m:e>
                <m:sub>
                  <m:r>
                    <w:rPr>
                      <w:rFonts w:ascii="Cambria Math" w:hAnsi="Cambria Math"/>
                    </w:rPr>
                    <m:t>i,j</m:t>
                  </m:r>
                </m:sub>
              </m:sSub>
            </m:e>
          </m:nary>
          <m:r>
            <w:rPr>
              <w:rFonts w:ascii="Cambria Math" w:hAnsi="Cambria Math"/>
            </w:rPr>
            <m:t>.</m:t>
          </m:r>
        </m:oMath>
      </m:oMathPara>
    </w:p>
    <w:p w14:paraId="01C2ED8A" w14:textId="028730D2" w:rsidR="00C17C45" w:rsidRDefault="00D6700E" w:rsidP="00A6559B">
      <w:pPr>
        <w:rPr>
          <w:color w:val="000000"/>
        </w:rPr>
      </w:pPr>
      <w:r>
        <w:rPr>
          <w:color w:val="000000"/>
        </w:rPr>
        <w:t xml:space="preserve">Unlike in SR, no restrictions are placed on the parameters </w:t>
      </w:r>
      <m:oMath>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j</m:t>
            </m:r>
          </m:sub>
        </m:sSub>
      </m:oMath>
      <w:r>
        <w:t xml:space="preserve"> since, by definition, the </w:t>
      </w:r>
      <w:r w:rsidRPr="00A2307C">
        <w:t xml:space="preserve">principal components, </w:t>
      </w:r>
      <w:r w:rsidRPr="00A2307C">
        <w:rPr>
          <w:b/>
        </w:rPr>
        <w:t>Z</w:t>
      </w:r>
      <w:r w:rsidRPr="00D6700E">
        <w:t>,</w:t>
      </w:r>
      <w:r>
        <w:t xml:space="preserve"> are uncorrelated. </w:t>
      </w:r>
      <w:r w:rsidR="005B6DB6">
        <w:rPr>
          <w:color w:val="000000"/>
        </w:rPr>
        <w:t xml:space="preserve">One can obtain </w:t>
      </w:r>
      <w:r w:rsidR="005B6DB6" w:rsidRPr="00A2307C">
        <w:rPr>
          <w:color w:val="000000"/>
        </w:rPr>
        <w:t>predicti</w:t>
      </w:r>
      <w:r w:rsidR="005B6DB6">
        <w:rPr>
          <w:color w:val="000000"/>
        </w:rPr>
        <w:t xml:space="preserve">ons for </w:t>
      </w:r>
      <w:r w:rsidR="00A6559B">
        <w:rPr>
          <w:color w:val="000000"/>
        </w:rPr>
        <w:t xml:space="preserve">a </w:t>
      </w:r>
      <w:r w:rsidR="00C66EBE">
        <w:rPr>
          <w:color w:val="000000"/>
        </w:rPr>
        <w:t>future</w:t>
      </w:r>
      <w:r w:rsidR="005B6DB6">
        <w:rPr>
          <w:color w:val="000000"/>
        </w:rPr>
        <w:t xml:space="preserve"> </w:t>
      </w:r>
      <w:r w:rsidR="00C66EBE">
        <w:rPr>
          <w:color w:val="000000"/>
        </w:rPr>
        <w:t xml:space="preserve">observation </w:t>
      </w:r>
      <w:r w:rsidR="005B6DB6">
        <w:rPr>
          <w:color w:val="000000"/>
        </w:rPr>
        <w:t>b</w:t>
      </w:r>
      <w:r w:rsidR="002F3486" w:rsidRPr="00A2307C">
        <w:rPr>
          <w:color w:val="000000"/>
        </w:rPr>
        <w:t>y converting the above aggregate model onto the scale of the original risk factors</w:t>
      </w:r>
      <w:r w:rsidR="00C17C45" w:rsidRPr="00A2307C">
        <w:rPr>
          <w:color w:val="000000"/>
        </w:rPr>
        <w:t>,</w:t>
      </w:r>
    </w:p>
    <w:p w14:paraId="419D0A39" w14:textId="5F550F91" w:rsidR="001E0671" w:rsidRPr="001E0671" w:rsidRDefault="00BF0CB4" w:rsidP="001E0671">
      <w:pPr>
        <w:ind w:firstLine="576"/>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i,M+1</m:t>
                          </m:r>
                        </m:sub>
                      </m:sSub>
                    </m:num>
                    <m:den>
                      <m:r>
                        <w:rPr>
                          <w:rFonts w:ascii="Cambria Math" w:hAnsi="Cambria Math"/>
                        </w:rPr>
                        <m:t>1-</m:t>
                      </m:r>
                      <m:sSub>
                        <m:sSubPr>
                          <m:ctrlPr>
                            <w:rPr>
                              <w:rFonts w:ascii="Cambria Math" w:hAnsi="Cambria Math"/>
                              <w:i/>
                            </w:rPr>
                          </m:ctrlPr>
                        </m:sSubPr>
                        <m:e>
                          <m:r>
                            <w:rPr>
                              <w:rFonts w:ascii="Cambria Math" w:hAnsi="Cambria Math"/>
                            </w:rPr>
                            <m:t>π</m:t>
                          </m:r>
                        </m:e>
                        <m:sub>
                          <m:r>
                            <w:rPr>
                              <w:rFonts w:ascii="Cambria Math" w:hAnsi="Cambria Math"/>
                            </w:rPr>
                            <m:t>i,M+1</m:t>
                          </m:r>
                        </m:sub>
                      </m:sSub>
                    </m:den>
                  </m:f>
                </m:e>
              </m:d>
            </m:e>
          </m:fun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j</m:t>
                  </m:r>
                </m:sub>
              </m:sSub>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i,1</m:t>
                  </m:r>
                </m:sub>
              </m:sSub>
              <m:sSub>
                <m:sSubPr>
                  <m:ctrlPr>
                    <w:rPr>
                      <w:rFonts w:ascii="Cambria Math" w:hAnsi="Cambria Math"/>
                      <w:i/>
                    </w:rPr>
                  </m:ctrlPr>
                </m:sSubPr>
                <m:e>
                  <m:r>
                    <w:rPr>
                      <w:rFonts w:ascii="Cambria Math" w:hAnsi="Cambria Math"/>
                    </w:rPr>
                    <m:t>v</m:t>
                  </m:r>
                </m:e>
                <m:sub>
                  <m:r>
                    <w:rPr>
                      <w:rFonts w:ascii="Cambria Math" w:hAnsi="Cambria Math"/>
                    </w:rPr>
                    <m:t>1,j</m:t>
                  </m:r>
                </m:sub>
              </m:sSub>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i,M</m:t>
                  </m:r>
                </m:sub>
              </m:sSub>
              <m:sSub>
                <m:sSubPr>
                  <m:ctrlPr>
                    <w:rPr>
                      <w:rFonts w:ascii="Cambria Math" w:hAnsi="Cambria Math"/>
                      <w:i/>
                    </w:rPr>
                  </m:ctrlPr>
                </m:sSubPr>
                <m:e>
                  <m:r>
                    <w:rPr>
                      <w:rFonts w:ascii="Cambria Math" w:hAnsi="Cambria Math"/>
                    </w:rPr>
                    <m:t>v</m:t>
                  </m:r>
                </m:e>
                <m:sub>
                  <m:r>
                    <w:rPr>
                      <w:rFonts w:ascii="Cambria Math" w:hAnsi="Cambria Math"/>
                    </w:rPr>
                    <m:t>M,j</m:t>
                  </m:r>
                </m:sub>
              </m:sSub>
              <m:r>
                <w:rPr>
                  <w:rFonts w:ascii="Cambria Math" w:hAnsi="Cambria Math"/>
                </w:rPr>
                <m:t>)</m:t>
              </m:r>
            </m:e>
          </m:nary>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r=1</m:t>
                  </m:r>
                </m:sub>
                <m:sup>
                  <m:r>
                    <w:rPr>
                      <w:rFonts w:ascii="Cambria Math" w:hAnsi="Cambria Math"/>
                    </w:rPr>
                    <m:t>M</m:t>
                  </m:r>
                </m:sup>
                <m:e>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j</m:t>
                      </m:r>
                    </m:sub>
                  </m:sSub>
                  <m:sSub>
                    <m:sSubPr>
                      <m:ctrlPr>
                        <w:rPr>
                          <w:rFonts w:ascii="Cambria Math" w:hAnsi="Cambria Math"/>
                          <w:i/>
                        </w:rPr>
                      </m:ctrlPr>
                    </m:sSubPr>
                    <m:e>
                      <m:r>
                        <w:rPr>
                          <w:rFonts w:ascii="Cambria Math" w:hAnsi="Cambria Math"/>
                        </w:rPr>
                        <m:t>v</m:t>
                      </m:r>
                    </m:e>
                    <m:sub>
                      <m:r>
                        <w:rPr>
                          <w:rFonts w:ascii="Cambria Math" w:hAnsi="Cambria Math"/>
                        </w:rPr>
                        <m:t>r,j</m:t>
                      </m:r>
                    </m:sub>
                  </m:sSub>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i,r</m:t>
                      </m:r>
                    </m:sub>
                  </m:sSub>
                </m:e>
              </m:nary>
            </m:e>
          </m:nary>
          <m:r>
            <w:rPr>
              <w:rFonts w:ascii="Cambria Math" w:hAnsi="Cambria Math"/>
            </w:rPr>
            <m:t>.</m:t>
          </m:r>
        </m:oMath>
      </m:oMathPara>
    </w:p>
    <w:p w14:paraId="1627AE40" w14:textId="7A0555C7" w:rsidR="00C17C45" w:rsidRDefault="001C7FA1" w:rsidP="007270E7">
      <w:pPr>
        <w:pStyle w:val="Heading2"/>
      </w:pPr>
      <w:r>
        <w:t>Model re</w:t>
      </w:r>
      <w:r w:rsidR="00411E28">
        <w:t>development</w:t>
      </w:r>
    </w:p>
    <w:p w14:paraId="5CFA3795" w14:textId="75E962AE" w:rsidR="009E4E5D" w:rsidRDefault="00C17C45">
      <w:r>
        <w:tab/>
      </w:r>
      <w:r w:rsidR="00FA3A3E">
        <w:t xml:space="preserve">Let </w:t>
      </w:r>
      <m:oMath>
        <m:sSub>
          <m:sSubPr>
            <m:ctrlPr>
              <w:rPr>
                <w:rFonts w:ascii="Cambria Math" w:hAnsi="Cambria Math"/>
                <w:i/>
              </w:rPr>
            </m:ctrlPr>
          </m:sSubPr>
          <m:e>
            <m:r>
              <m:rPr>
                <m:sty m:val="bi"/>
              </m:rPr>
              <w:rPr>
                <w:rFonts w:ascii="Cambria Math" w:hAnsi="Cambria Math"/>
              </w:rPr>
              <m:t>X</m:t>
            </m:r>
            <m:ctrlPr>
              <w:rPr>
                <w:rFonts w:ascii="Cambria Math" w:hAnsi="Cambria Math"/>
                <w:b/>
                <w:i/>
              </w:rPr>
            </m:ctrlPr>
          </m:e>
          <m:sub>
            <m:r>
              <w:rPr>
                <w:rFonts w:ascii="Cambria Math" w:hAnsi="Cambria Math"/>
              </w:rPr>
              <m:t>M+1</m:t>
            </m:r>
          </m:sub>
        </m:sSub>
      </m:oMath>
      <w:r w:rsidR="00FA3A3E" w:rsidRPr="009D7F5F">
        <w:rPr>
          <w:rFonts w:ascii="Calibri" w:hAnsi="Calibri" w:cs="Calibri"/>
          <w:i/>
        </w:rPr>
        <w:t xml:space="preserve"> </w:t>
      </w:r>
      <w:r w:rsidR="00FA3A3E" w:rsidRPr="009D7F5F">
        <w:t xml:space="preserve">denote the </w:t>
      </w:r>
      <m:oMath>
        <m:sSub>
          <m:sSubPr>
            <m:ctrlPr>
              <w:rPr>
                <w:rFonts w:ascii="Cambria Math" w:hAnsi="Cambria Math"/>
                <w:i/>
              </w:rPr>
            </m:ctrlPr>
          </m:sSubPr>
          <m:e>
            <m:r>
              <w:rPr>
                <w:rFonts w:ascii="Cambria Math" w:hAnsi="Cambria Math"/>
              </w:rPr>
              <m:t>n</m:t>
            </m:r>
          </m:e>
          <m:sub>
            <m:r>
              <w:rPr>
                <w:rFonts w:ascii="Cambria Math" w:hAnsi="Cambria Math"/>
              </w:rPr>
              <m:t>M+1</m:t>
            </m:r>
          </m:sub>
        </m:sSub>
        <m:r>
          <w:rPr>
            <w:rFonts w:ascii="Cambria Math" w:hAnsi="Cambria Math" w:hint="eastAsia"/>
          </w:rPr>
          <m:t>×</m:t>
        </m:r>
        <m:r>
          <w:rPr>
            <w:rFonts w:ascii="Cambria Math" w:hAnsi="Cambria Math"/>
          </w:rPr>
          <m:t>P</m:t>
        </m:r>
      </m:oMath>
      <w:r w:rsidR="00FA3A3E" w:rsidRPr="009D7F5F">
        <w:t xml:space="preserve"> matrix of predictors</w:t>
      </w:r>
      <w:r w:rsidR="00FA3A3E">
        <w:t xml:space="preserve"> in the local population with associated binary outcomes</w:t>
      </w:r>
      <w:r w:rsidR="007B3F52">
        <w:t xml:space="preserve"> </w:t>
      </w:r>
      <m:oMath>
        <m:sSub>
          <m:sSubPr>
            <m:ctrlPr>
              <w:rPr>
                <w:rFonts w:ascii="Cambria Math" w:hAnsi="Cambria Math"/>
                <w:i/>
              </w:rPr>
            </m:ctrlPr>
          </m:sSubPr>
          <m:e>
            <m:r>
              <m:rPr>
                <m:sty m:val="bi"/>
              </m:rPr>
              <w:rPr>
                <w:rFonts w:ascii="Cambria Math" w:hAnsi="Cambria Math"/>
              </w:rPr>
              <m:t>Y</m:t>
            </m:r>
            <m:ctrlPr>
              <w:rPr>
                <w:rFonts w:ascii="Cambria Math" w:hAnsi="Cambria Math"/>
                <w:b/>
                <w:i/>
              </w:rPr>
            </m:ctrlPr>
          </m:e>
          <m:sub>
            <m:r>
              <w:rPr>
                <w:rFonts w:ascii="Cambria Math" w:hAnsi="Cambria Math"/>
              </w:rPr>
              <m:t>M+1</m:t>
            </m:r>
          </m:sub>
        </m:sSub>
      </m:oMath>
      <w:r w:rsidR="00FA3A3E">
        <w:t>. Then</w:t>
      </w:r>
      <w:r w:rsidR="001C7FA1">
        <w:t xml:space="preserve"> the re</w:t>
      </w:r>
      <w:r w:rsidR="009E4E5D">
        <w:t>development approaches aim to derive a new CPM of the form</w:t>
      </w:r>
    </w:p>
    <w:p w14:paraId="17DEEEA6" w14:textId="521DB852" w:rsidR="009E4E5D" w:rsidRPr="00F26CD2" w:rsidRDefault="00BF0CB4" w:rsidP="009E4E5D">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ctrlPr>
                            <w:rPr>
                              <w:rFonts w:ascii="Cambria Math" w:hAnsi="Cambria Math"/>
                            </w:rPr>
                          </m:ctrlPr>
                        </m:e>
                        <m:sub>
                          <m:r>
                            <w:rPr>
                              <w:rFonts w:ascii="Cambria Math" w:hAnsi="Cambria Math"/>
                            </w:rPr>
                            <m:t>i,M+1</m:t>
                          </m:r>
                        </m:sub>
                      </m:sSub>
                    </m:num>
                    <m:den>
                      <m:r>
                        <w:rPr>
                          <w:rFonts w:ascii="Cambria Math" w:hAnsi="Cambria Math"/>
                        </w:rPr>
                        <m:t>1-</m:t>
                      </m:r>
                      <m:sSub>
                        <m:sSubPr>
                          <m:ctrlPr>
                            <w:rPr>
                              <w:rFonts w:ascii="Cambria Math" w:hAnsi="Cambria Math"/>
                              <w:i/>
                            </w:rPr>
                          </m:ctrlPr>
                        </m:sSubPr>
                        <m:e>
                          <m:r>
                            <w:rPr>
                              <w:rFonts w:ascii="Cambria Math" w:hAnsi="Cambria Math"/>
                            </w:rPr>
                            <m:t>π</m:t>
                          </m:r>
                          <m:ctrlPr>
                            <w:rPr>
                              <w:rFonts w:ascii="Cambria Math" w:hAnsi="Cambria Math"/>
                            </w:rPr>
                          </m:ctrlPr>
                        </m:e>
                        <m:sub>
                          <m:r>
                            <w:rPr>
                              <w:rFonts w:ascii="Cambria Math" w:hAnsi="Cambria Math"/>
                            </w:rPr>
                            <m:t>i,M+1</m:t>
                          </m:r>
                        </m:sub>
                      </m:sSub>
                    </m:den>
                  </m:f>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0,M+1</m:t>
                  </m:r>
                </m:sub>
              </m:sSub>
              <m:r>
                <w:rPr>
                  <w:rFonts w:ascii="Cambria Math" w:hAnsi="Cambria Math"/>
                </w:rPr>
                <m:t>+</m:t>
              </m:r>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sup>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p,M+1</m:t>
                      </m:r>
                    </m:sub>
                  </m:sSub>
                  <m:sSub>
                    <m:sSubPr>
                      <m:ctrlPr>
                        <w:rPr>
                          <w:rFonts w:ascii="Cambria Math" w:hAnsi="Cambria Math"/>
                          <w:i/>
                        </w:rPr>
                      </m:ctrlPr>
                    </m:sSubPr>
                    <m:e>
                      <m:r>
                        <w:rPr>
                          <w:rFonts w:ascii="Cambria Math" w:hAnsi="Cambria Math"/>
                        </w:rPr>
                        <m:t>x</m:t>
                      </m:r>
                    </m:e>
                    <m:sub>
                      <m:r>
                        <w:rPr>
                          <w:rFonts w:ascii="Cambria Math" w:hAnsi="Cambria Math"/>
                        </w:rPr>
                        <m:t>i,p</m:t>
                      </m:r>
                    </m:sub>
                  </m:sSub>
                </m:e>
              </m:nary>
            </m:e>
          </m:func>
        </m:oMath>
      </m:oMathPara>
    </w:p>
    <w:p w14:paraId="5835AE51" w14:textId="7AF45975" w:rsidR="00EA7104" w:rsidRDefault="00A06DC3" w:rsidP="00EA7104">
      <w:r>
        <w:lastRenderedPageBreak/>
        <w:t>f</w:t>
      </w:r>
      <w:r w:rsidR="009E4E5D">
        <w:t xml:space="preserve">or </w:t>
      </w:r>
      <m:oMath>
        <m:r>
          <w:rPr>
            <w:rFonts w:ascii="Cambria Math" w:hAnsi="Cambria Math"/>
          </w:rPr>
          <m:t>i=1,</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M+1</m:t>
            </m:r>
          </m:sub>
        </m:sSub>
      </m:oMath>
      <w:r>
        <w:t xml:space="preserve">, </w:t>
      </w:r>
      <w:r w:rsidR="009E4E5D">
        <w:t>model intercept</w:t>
      </w:r>
      <w:r w:rsidR="00EE3F25">
        <w:t>,</w:t>
      </w:r>
      <w:r w:rsidR="009E4E5D">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0,M+1</m:t>
            </m:r>
          </m:sub>
        </m:sSub>
      </m:oMath>
      <w:r w:rsidR="00EE3F25">
        <w:t>,</w:t>
      </w:r>
      <w:r w:rsidR="009E4E5D">
        <w:t xml:space="preserve"> and coefficients</w:t>
      </w:r>
      <w:r w:rsidR="00EE3F25">
        <w:t>,</w:t>
      </w:r>
      <w:r w:rsidR="009E4E5D">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p,M+1</m:t>
            </m:r>
          </m:sub>
        </m:sSub>
      </m:oMath>
      <w:r w:rsidR="001D75A6">
        <w:t>, thereby disregarding the existing CPMs.</w:t>
      </w:r>
      <w:r w:rsidR="009E4E5D">
        <w:t xml:space="preserve"> In </w:t>
      </w:r>
      <w:r w:rsidR="001C7FA1">
        <w:t>this study</w:t>
      </w:r>
      <w:r w:rsidR="001D75A6">
        <w:t>,</w:t>
      </w:r>
      <w:r w:rsidR="001C7FA1">
        <w:t xml:space="preserve"> two strategies of re</w:t>
      </w:r>
      <w:r w:rsidR="009E4E5D">
        <w:t xml:space="preserve">development were considered; namely, backwards selection </w:t>
      </w:r>
      <w:r w:rsidR="00FA3A3E">
        <w:t xml:space="preserve">using </w:t>
      </w:r>
      <w:r w:rsidR="00FA3A3E" w:rsidRPr="009D7F5F">
        <w:t>Akaike Information Criterion (AIC) and penalised maximum likelihood estimation (ridge regression)</w:t>
      </w:r>
      <w:r w:rsidR="00FA3A3E">
        <w:t xml:space="preserve">. </w:t>
      </w:r>
      <w:r w:rsidR="00EA7104">
        <w:t xml:space="preserve">The AIC of a model is defined as </w:t>
      </w:r>
      <m:oMath>
        <m:r>
          <w:rPr>
            <w:rFonts w:ascii="Cambria Math" w:hAnsi="Cambria Math"/>
          </w:rPr>
          <m:t>2k-2</m:t>
        </m:r>
        <m:r>
          <m:rPr>
            <m:sty m:val="p"/>
          </m:rPr>
          <w:rPr>
            <w:rFonts w:ascii="Cambria Math" w:hAnsi="Cambria Math"/>
          </w:rPr>
          <m:t>log(L)</m:t>
        </m:r>
      </m:oMath>
      <w:r w:rsidR="00810D58">
        <w:t>,</w:t>
      </w:r>
      <w:r w:rsidR="00EA7104">
        <w:t xml:space="preserve"> where </w:t>
      </w:r>
      <w:r w:rsidR="00EA7104">
        <w:rPr>
          <w:i/>
        </w:rPr>
        <w:t>k</w:t>
      </w:r>
      <w:r w:rsidR="00EA7104">
        <w:t xml:space="preserve"> is the number of estimated parameters and L is the maximum likelihood value. </w:t>
      </w:r>
      <w:r w:rsidR="001D75A6">
        <w:t>Backwards selection</w:t>
      </w:r>
      <w:r w:rsidR="00EA7104">
        <w:t xml:space="preserve"> under AIC </w:t>
      </w:r>
      <w:r>
        <w:t>proceeds</w:t>
      </w:r>
      <w:r w:rsidR="00EA7104">
        <w:t xml:space="preserve"> by starting with the full model (i.e. all available pred</w:t>
      </w:r>
      <w:r>
        <w:t>ictors) and iteratively removing</w:t>
      </w:r>
      <w:r w:rsidR="00EA7104">
        <w:t xml:space="preserve"> predictors until the model that minimises the AIC is obtained. Conversely, ridge regression estimates the coefficients from the </w:t>
      </w:r>
      <w:r w:rsidR="001D75A6">
        <w:t xml:space="preserve">full </w:t>
      </w:r>
      <w:r w:rsidR="00EA7104">
        <w:t>model</w:t>
      </w:r>
      <w:r w:rsidR="00EE3F25">
        <w:t xml:space="preserve"> by maximising </w:t>
      </w:r>
      <w:r w:rsidR="00EA7104">
        <w:t xml:space="preserve">the following penalised </w:t>
      </w:r>
      <w:r w:rsidR="00EE3F25">
        <w:t>log-</w:t>
      </w:r>
      <w:r w:rsidR="00EA7104">
        <w:t>likelihood function</w:t>
      </w:r>
    </w:p>
    <w:p w14:paraId="7B511E6A" w14:textId="649E1928" w:rsidR="00EA7104" w:rsidRPr="00EE3F25" w:rsidRDefault="00BF0CB4" w:rsidP="00EA7104">
      <m:oMathPara>
        <m:oMath>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acc>
                    <m:accPr>
                      <m:ctrlPr>
                        <w:rPr>
                          <w:rFonts w:ascii="Cambria Math" w:hAnsi="Cambria Math"/>
                          <w:b/>
                          <w:i/>
                        </w:rPr>
                      </m:ctrlPr>
                    </m:accPr>
                    <m:e>
                      <m:r>
                        <m:rPr>
                          <m:sty m:val="bi"/>
                        </m:rPr>
                        <w:rPr>
                          <w:rFonts w:ascii="Cambria Math" w:hAnsi="Cambria Math"/>
                        </w:rPr>
                        <m:t>β</m:t>
                      </m:r>
                      <m:ctrlPr>
                        <w:rPr>
                          <w:rFonts w:ascii="Cambria Math" w:hAnsi="Cambria Math"/>
                          <w:i/>
                        </w:rPr>
                      </m:ctrlPr>
                    </m:e>
                  </m:acc>
                </m:e>
                <m:sub>
                  <m:r>
                    <w:rPr>
                      <w:rFonts w:ascii="Cambria Math" w:hAnsi="Cambria Math"/>
                    </w:rPr>
                    <m:t>M+1</m:t>
                  </m:r>
                </m:sub>
              </m:sSub>
            </m:e>
          </m:d>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M+1</m:t>
                      </m:r>
                    </m:sub>
                  </m:s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i/>
                                    </w:rPr>
                                  </m:ctrlPr>
                                </m:sSubPr>
                                <m:e>
                                  <m:r>
                                    <w:rPr>
                                      <w:rFonts w:ascii="Cambria Math" w:hAnsi="Cambria Math"/>
                                    </w:rPr>
                                    <m:t>π</m:t>
                                  </m:r>
                                </m:e>
                                <m:sub>
                                  <m:r>
                                    <w:rPr>
                                      <w:rFonts w:ascii="Cambria Math" w:hAnsi="Cambria Math"/>
                                    </w:rPr>
                                    <m:t>i,M+1</m:t>
                                  </m:r>
                                </m:sub>
                              </m:sSub>
                              <m:ctrlPr>
                                <w:rPr>
                                  <w:rFonts w:ascii="Cambria Math" w:hAnsi="Cambria Math"/>
                                  <w:i/>
                                </w:rPr>
                              </m:ctrlPr>
                            </m:e>
                          </m:d>
                        </m:e>
                      </m:func>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i</m:t>
                              </m:r>
                            </m:sub>
                          </m:sSub>
                        </m:e>
                      </m:d>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π</m:t>
                                  </m:r>
                                </m:e>
                                <m:sub>
                                  <m:r>
                                    <w:rPr>
                                      <w:rFonts w:ascii="Cambria Math" w:hAnsi="Cambria Math"/>
                                    </w:rPr>
                                    <m:t>i,M+1</m:t>
                                  </m:r>
                                </m:sub>
                              </m:sSub>
                            </m:e>
                          </m:d>
                        </m:e>
                      </m:func>
                    </m:e>
                  </m:d>
                </m:e>
              </m:nary>
            </m:e>
          </m:d>
          <m:r>
            <w:rPr>
              <w:rFonts w:ascii="Cambria Math" w:hAnsi="Cambria Math"/>
            </w:rPr>
            <m:t>-λ</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p,M+1</m:t>
                              </m:r>
                            </m:sub>
                          </m:sSub>
                        </m:e>
                      </m:d>
                    </m:e>
                    <m:sup>
                      <m:r>
                        <w:rPr>
                          <w:rFonts w:ascii="Cambria Math" w:hAnsi="Cambria Math"/>
                        </w:rPr>
                        <m:t>2</m:t>
                      </m:r>
                    </m:sup>
                  </m:sSup>
                </m:e>
              </m:nary>
            </m:e>
          </m:d>
          <m:r>
            <w:rPr>
              <w:rFonts w:ascii="Cambria Math" w:hAnsi="Cambria Math"/>
            </w:rPr>
            <m:t>.</m:t>
          </m:r>
        </m:oMath>
      </m:oMathPara>
    </w:p>
    <w:p w14:paraId="412C5E1D" w14:textId="5BB8A245" w:rsidR="00EE3F25" w:rsidRPr="00EA7104" w:rsidRDefault="00390753" w:rsidP="00EA7104">
      <w:r>
        <w:t xml:space="preserve">Thus, the penalty shrinks the model coefficients towards zero, with </w:t>
      </w:r>
      <m:oMath>
        <m:r>
          <w:rPr>
            <w:rFonts w:ascii="Cambria Math" w:hAnsi="Cambria Math"/>
          </w:rPr>
          <m:t>λ</m:t>
        </m:r>
      </m:oMath>
      <w:r>
        <w:t xml:space="preserve"> control</w:t>
      </w:r>
      <w:r w:rsidR="001D75A6">
        <w:t>ling the degree of penalisation;</w:t>
      </w:r>
      <w:r>
        <w:t xml:space="preserve"> </w:t>
      </w:r>
      <w:r w:rsidR="001D75A6">
        <w:t>c</w:t>
      </w:r>
      <w:r>
        <w:t>ross-validation was used to select</w:t>
      </w:r>
      <w:r w:rsidR="00EE3F25">
        <w:t xml:space="preserve"> </w:t>
      </w:r>
      <m:oMath>
        <m:r>
          <w:rPr>
            <w:rFonts w:ascii="Cambria Math" w:hAnsi="Cambria Math"/>
          </w:rPr>
          <m:t>λ</m:t>
        </m:r>
      </m:oMath>
      <w:r w:rsidR="00EE3F25">
        <w:t xml:space="preserve"> </w:t>
      </w:r>
      <w:r w:rsidR="00C66EBE">
        <w:t>that</w:t>
      </w:r>
      <w:r w:rsidR="00EE3F25">
        <w:t xml:space="preserve"> minimise</w:t>
      </w:r>
      <w:r w:rsidR="00C66EBE">
        <w:t>d</w:t>
      </w:r>
      <w:r w:rsidR="00EE3F25">
        <w:t xml:space="preserve"> the deviance function. </w:t>
      </w:r>
    </w:p>
    <w:p w14:paraId="7E097634" w14:textId="77777777" w:rsidR="00FD6C28" w:rsidRPr="009D7F5F" w:rsidRDefault="00FD6C28" w:rsidP="00FD6C28">
      <w:pPr>
        <w:pStyle w:val="Heading2"/>
      </w:pPr>
      <w:r w:rsidRPr="009D7F5F">
        <w:t>Simulation Design: general overview</w:t>
      </w:r>
    </w:p>
    <w:p w14:paraId="7B12DC1A" w14:textId="35213A1E" w:rsidR="008E44B7" w:rsidRDefault="00FD6C28" w:rsidP="008529F1">
      <w:pPr>
        <w:ind w:firstLine="720"/>
      </w:pPr>
      <w:r w:rsidRPr="009D7F5F">
        <w:rPr>
          <w:b/>
        </w:rPr>
        <w:t>Figure 1</w:t>
      </w:r>
      <w:r w:rsidRPr="009D7F5F">
        <w:t xml:space="preserve"> visualises the simulation design. The simulation procedure generated </w:t>
      </w:r>
      <w:r w:rsidR="00642536" w:rsidRPr="009D7F5F">
        <w:t>both</w:t>
      </w:r>
      <w:r w:rsidRPr="009D7F5F">
        <w:t xml:space="preserve"> </w:t>
      </w:r>
      <w:r w:rsidR="009C1AF1">
        <w:t>N</w:t>
      </w:r>
      <w:r w:rsidRPr="009D7F5F">
        <w:t>ormally distributed continuous predictors and Bernoulli distributed binary predictors, each within clusters of serially correlated variables to represent multiple risk factors that measure similar patient characteristics. Such data w</w:t>
      </w:r>
      <w:r w:rsidR="00AA7A12">
        <w:t>ere</w:t>
      </w:r>
      <w:r w:rsidRPr="009D7F5F">
        <w:t xml:space="preserve"> row partitioned into </w:t>
      </w:r>
      <m:oMath>
        <m:r>
          <w:rPr>
            <w:rFonts w:ascii="Cambria Math" w:hAnsi="Cambria Math"/>
          </w:rPr>
          <m:t>M=5</m:t>
        </m:r>
      </m:oMath>
      <w:r w:rsidRPr="009D7F5F">
        <w:rPr>
          <w:i/>
        </w:rPr>
        <w:t xml:space="preserve"> </w:t>
      </w:r>
      <w:r w:rsidRPr="009D7F5F">
        <w:t xml:space="preserve">distinct subsets of size </w:t>
      </w:r>
      <m:oMath>
        <m:sSub>
          <m:sSubPr>
            <m:ctrlPr>
              <w:rPr>
                <w:rFonts w:ascii="Cambria Math" w:hAnsi="Cambria Math"/>
                <w:i/>
              </w:rPr>
            </m:ctrlPr>
          </m:sSubPr>
          <m:e>
            <m:r>
              <w:rPr>
                <w:rFonts w:ascii="Cambria Math" w:hAnsi="Cambria Math"/>
              </w:rPr>
              <m:t>n</m:t>
            </m:r>
          </m:e>
          <m:sub>
            <m:r>
              <w:rPr>
                <w:rFonts w:ascii="Cambria Math" w:hAnsi="Cambria Math"/>
              </w:rPr>
              <m:t>exist</m:t>
            </m:r>
          </m:sub>
        </m:sSub>
        <m:r>
          <w:rPr>
            <w:rFonts w:ascii="Cambria Math" w:hAnsi="Cambria Math"/>
          </w:rPr>
          <m:t>=5000</m:t>
        </m:r>
      </m:oMath>
      <w:r w:rsidRPr="009D7F5F">
        <w:t xml:space="preserve"> representing </w:t>
      </w:r>
      <w:r w:rsidR="0023708D" w:rsidRPr="009D7F5F">
        <w:t>five</w:t>
      </w:r>
      <w:r w:rsidRPr="009D7F5F">
        <w:t xml:space="preserve"> “existing populations”, and one subset of size </w:t>
      </w:r>
      <m:oMath>
        <m:sSub>
          <m:sSubPr>
            <m:ctrlPr>
              <w:rPr>
                <w:rFonts w:ascii="Cambria Math" w:hAnsi="Cambria Math"/>
                <w:i/>
              </w:rPr>
            </m:ctrlPr>
          </m:sSubPr>
          <m:e>
            <m:r>
              <w:rPr>
                <w:rFonts w:ascii="Cambria Math" w:hAnsi="Cambria Math"/>
              </w:rPr>
              <m:t>n</m:t>
            </m:r>
          </m:e>
          <m:sub>
            <m:r>
              <w:rPr>
                <w:rFonts w:ascii="Cambria Math" w:hAnsi="Cambria Math"/>
              </w:rPr>
              <m:t>local</m:t>
            </m:r>
          </m:sub>
        </m:sSub>
      </m:oMath>
      <w:r w:rsidRPr="009D7F5F">
        <w:t xml:space="preserve"> representing the “local population”. </w:t>
      </w:r>
      <w:r w:rsidR="00703BD2" w:rsidRPr="009D7F5F">
        <w:t xml:space="preserve">The </w:t>
      </w:r>
      <m:oMath>
        <m:r>
          <w:rPr>
            <w:rFonts w:ascii="Cambria Math" w:hAnsi="Cambria Math"/>
          </w:rPr>
          <m:t>M=5</m:t>
        </m:r>
      </m:oMath>
      <w:r w:rsidR="00703BD2" w:rsidRPr="009D7F5F">
        <w:t xml:space="preserve"> existing populations were each used to fit </w:t>
      </w:r>
      <w:r w:rsidR="00001015">
        <w:t>an</w:t>
      </w:r>
      <w:r w:rsidR="00703BD2" w:rsidRPr="009D7F5F">
        <w:t xml:space="preserve"> existing logistic regression CPMs</w:t>
      </w:r>
      <w:r w:rsidR="00A357DE" w:rsidRPr="009D7F5F">
        <w:t xml:space="preserve"> representing those </w:t>
      </w:r>
      <w:r w:rsidR="004B0232" w:rsidRPr="009D7F5F">
        <w:t>available</w:t>
      </w:r>
      <w:r w:rsidR="00A357DE" w:rsidRPr="009D7F5F">
        <w:t xml:space="preserve"> from the literature</w:t>
      </w:r>
      <w:r w:rsidR="004B0232" w:rsidRPr="009D7F5F">
        <w:t>, with each</w:t>
      </w:r>
      <w:r w:rsidR="00001015">
        <w:t xml:space="preserve"> CPM</w:t>
      </w:r>
      <w:r w:rsidR="004B0232" w:rsidRPr="009D7F5F">
        <w:t xml:space="preserve"> including</w:t>
      </w:r>
      <w:r w:rsidR="00703BD2" w:rsidRPr="009D7F5F">
        <w:t xml:space="preserve"> a potentially overlapping subset of risk predictors</w:t>
      </w:r>
      <w:r w:rsidR="00C13E1F">
        <w:t xml:space="preserve"> (see </w:t>
      </w:r>
      <w:r w:rsidR="00CB3F5D">
        <w:t>Additional File 1</w:t>
      </w:r>
      <w:r w:rsidR="00C13E1F">
        <w:t xml:space="preserve"> for details of predictor selection </w:t>
      </w:r>
      <w:r w:rsidR="000A1B8A">
        <w:t>for</w:t>
      </w:r>
      <w:r w:rsidR="00C13E1F">
        <w:t xml:space="preserve"> the existing CPMs)</w:t>
      </w:r>
      <w:r w:rsidR="004B0232" w:rsidRPr="009D7F5F">
        <w:t xml:space="preserve">. </w:t>
      </w:r>
      <w:r w:rsidRPr="009D7F5F">
        <w:t xml:space="preserve">The </w:t>
      </w:r>
      <w:r w:rsidR="008561FE" w:rsidRPr="009D7F5F">
        <w:t xml:space="preserve">single </w:t>
      </w:r>
      <w:r w:rsidRPr="009D7F5F">
        <w:t>local population was randomly split into a training and validation set</w:t>
      </w:r>
      <w:r w:rsidR="004B0232" w:rsidRPr="009D7F5F">
        <w:t>,</w:t>
      </w:r>
      <w:r w:rsidRPr="009D7F5F">
        <w:t xml:space="preserve"> of sizes </w:t>
      </w:r>
      <m:oMath>
        <m:sSub>
          <m:sSubPr>
            <m:ctrlPr>
              <w:rPr>
                <w:rFonts w:ascii="Cambria Math" w:hAnsi="Cambria Math"/>
                <w:i/>
              </w:rPr>
            </m:ctrlPr>
          </m:sSubPr>
          <m:e>
            <m:r>
              <w:rPr>
                <w:rFonts w:ascii="Cambria Math" w:hAnsi="Cambria Math"/>
              </w:rPr>
              <m:t>n</m:t>
            </m:r>
          </m:e>
          <m:sub>
            <m:r>
              <w:rPr>
                <w:rFonts w:ascii="Cambria Math" w:hAnsi="Cambria Math"/>
              </w:rPr>
              <m:t>train</m:t>
            </m:r>
          </m:sub>
        </m:sSub>
      </m:oMath>
      <w:r w:rsidRPr="009D7F5F">
        <w:t xml:space="preserve"> and </w:t>
      </w:r>
      <m:oMath>
        <m:sSub>
          <m:sSubPr>
            <m:ctrlPr>
              <w:rPr>
                <w:rFonts w:ascii="Cambria Math" w:hAnsi="Cambria Math"/>
                <w:i/>
              </w:rPr>
            </m:ctrlPr>
          </m:sSubPr>
          <m:e>
            <m:r>
              <w:rPr>
                <w:rFonts w:ascii="Cambria Math" w:hAnsi="Cambria Math"/>
              </w:rPr>
              <m:t>n</m:t>
            </m:r>
          </m:e>
          <m:sub>
            <m:r>
              <w:rPr>
                <w:rFonts w:ascii="Cambria Math" w:hAnsi="Cambria Math"/>
              </w:rPr>
              <m:t>validate</m:t>
            </m:r>
          </m:sub>
        </m:sSub>
      </m:oMath>
      <w:r w:rsidRPr="009D7F5F">
        <w:t xml:space="preserve">, respectively </w:t>
      </w:r>
      <w:r w:rsidRPr="009D7F5F">
        <w:lastRenderedPageBreak/>
        <w:t xml:space="preserve">(i.e. </w:t>
      </w:r>
      <m:oMath>
        <m:sSub>
          <m:sSubPr>
            <m:ctrlPr>
              <w:rPr>
                <w:rFonts w:ascii="Cambria Math" w:hAnsi="Cambria Math"/>
                <w:i/>
              </w:rPr>
            </m:ctrlPr>
          </m:sSubPr>
          <m:e>
            <m:r>
              <w:rPr>
                <w:rFonts w:ascii="Cambria Math" w:hAnsi="Cambria Math"/>
              </w:rPr>
              <m:t>n</m:t>
            </m:r>
          </m:e>
          <m:sub>
            <m:r>
              <w:rPr>
                <w:rFonts w:ascii="Cambria Math" w:hAnsi="Cambria Math"/>
              </w:rPr>
              <m:t>local</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train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validate</m:t>
            </m:r>
          </m:sub>
        </m:sSub>
      </m:oMath>
      <w:r w:rsidRPr="009D7F5F">
        <w:t xml:space="preserve">). </w:t>
      </w:r>
      <w:r w:rsidR="008561FE" w:rsidRPr="009D7F5F">
        <w:t>The training set was used for model aggregation</w:t>
      </w:r>
      <w:r w:rsidR="008529F1">
        <w:t xml:space="preserve"> using SR, PCA and PLS in addition to </w:t>
      </w:r>
      <w:r w:rsidR="008561FE" w:rsidRPr="009D7F5F">
        <w:t>redevelopment</w:t>
      </w:r>
      <w:r w:rsidR="008529F1">
        <w:t xml:space="preserve"> using AIC and ridge regression</w:t>
      </w:r>
      <w:r w:rsidR="001D2C8A">
        <w:t xml:space="preserve">. </w:t>
      </w:r>
      <w:r w:rsidR="001D2C8A" w:rsidRPr="009D7F5F">
        <w:t>Datasets frequently only collect a subset of the potential risk factors; to</w:t>
      </w:r>
      <w:r w:rsidR="001D2C8A" w:rsidRPr="001E10D1">
        <w:t xml:space="preserve"> recognise</w:t>
      </w:r>
      <w:r w:rsidR="001D2C8A" w:rsidRPr="009D7F5F">
        <w:t xml:space="preserve"> this, exactly those predictors that were included in any of the five existing CPMs </w:t>
      </w:r>
      <w:r w:rsidR="00E05157">
        <w:t xml:space="preserve">were </w:t>
      </w:r>
      <w:r w:rsidR="001C7FA1">
        <w:t>considered candidates during re</w:t>
      </w:r>
      <w:r w:rsidR="00E05157">
        <w:t>development</w:t>
      </w:r>
      <w:r w:rsidR="001D2C8A">
        <w:t xml:space="preserve">. Between simulations </w:t>
      </w:r>
      <m:oMath>
        <m:sSub>
          <m:sSubPr>
            <m:ctrlPr>
              <w:rPr>
                <w:rFonts w:ascii="Cambria Math" w:hAnsi="Cambria Math"/>
                <w:i/>
              </w:rPr>
            </m:ctrlPr>
          </m:sSubPr>
          <m:e>
            <m:r>
              <w:rPr>
                <w:rFonts w:ascii="Cambria Math" w:hAnsi="Cambria Math"/>
              </w:rPr>
              <m:t>n</m:t>
            </m:r>
          </m:e>
          <m:sub>
            <m:r>
              <w:rPr>
                <w:rFonts w:ascii="Cambria Math" w:hAnsi="Cambria Math"/>
              </w:rPr>
              <m:t>train</m:t>
            </m:r>
          </m:sub>
        </m:sSub>
      </m:oMath>
      <w:r w:rsidR="00A50E4A" w:rsidRPr="009D7F5F">
        <w:t xml:space="preserve"> </w:t>
      </w:r>
      <w:r w:rsidR="008529F1">
        <w:t xml:space="preserve">was </w:t>
      </w:r>
      <w:r w:rsidR="00A50E4A" w:rsidRPr="009D7F5F">
        <w:t xml:space="preserve">varied </w:t>
      </w:r>
      <w:r w:rsidR="008561FE" w:rsidRPr="009D7F5F">
        <w:t>through (150, 250, 500, 1000, 5000, 10000)</w:t>
      </w:r>
      <w:r w:rsidR="00A50E4A" w:rsidRPr="009D7F5F">
        <w:t xml:space="preserve">; </w:t>
      </w:r>
      <w:r w:rsidR="008561FE" w:rsidRPr="009D7F5F">
        <w:t xml:space="preserve">the validation set was reserved </w:t>
      </w:r>
      <w:r w:rsidR="00D65B00">
        <w:t xml:space="preserve">only </w:t>
      </w:r>
      <w:r w:rsidR="008561FE" w:rsidRPr="009D7F5F">
        <w:t xml:space="preserve">to validate the models with </w:t>
      </w:r>
      <m:oMath>
        <m:sSub>
          <m:sSubPr>
            <m:ctrlPr>
              <w:rPr>
                <w:rFonts w:ascii="Cambria Math" w:hAnsi="Cambria Math"/>
                <w:i/>
              </w:rPr>
            </m:ctrlPr>
          </m:sSubPr>
          <m:e>
            <m:r>
              <w:rPr>
                <w:rFonts w:ascii="Cambria Math" w:hAnsi="Cambria Math"/>
              </w:rPr>
              <m:t>n</m:t>
            </m:r>
          </m:e>
          <m:sub>
            <m:r>
              <w:rPr>
                <w:rFonts w:ascii="Cambria Math" w:hAnsi="Cambria Math"/>
              </w:rPr>
              <m:t>validate</m:t>
            </m:r>
          </m:sub>
        </m:sSub>
      </m:oMath>
      <w:r w:rsidR="008561FE" w:rsidRPr="009D7F5F">
        <w:t xml:space="preserve"> fixed at 5000 observations. Whilst it is unlikely that local populations would have </w:t>
      </w:r>
      <w:r w:rsidR="00570D52">
        <w:t>access</w:t>
      </w:r>
      <w:r w:rsidR="00570D52" w:rsidRPr="00AA7A12">
        <w:t xml:space="preserve"> </w:t>
      </w:r>
      <w:r w:rsidR="008561FE" w:rsidRPr="00AA7A12">
        <w:t>to such a large validation set, this was selected here to give sufficient event numbers for an accurate asses</w:t>
      </w:r>
      <w:r w:rsidR="008561FE" w:rsidRPr="009D7F5F">
        <w:t xml:space="preserve">sment of model performance </w:t>
      </w:r>
      <w:r w:rsidR="008561FE" w:rsidRPr="007F2ED4">
        <w:fldChar w:fldCharType="begin" w:fldLock="1"/>
      </w:r>
      <w:r w:rsidR="00A23B1C">
        <w:instrText>ADDIN CSL_CITATION { "citationItems" : [ { "id" : "ITEM-1", "itemData" : { "DOI" : "10.1016/j.jclinepi.2004.06.017", "ISBN" : "0895-4356", "ISSN" : "08954356", "PMID" : "15845334", "abstract" : "Background and Objectives: The performance of a prediction model is usually worse in external validation data compared to the development data. We aimed to determine at which effective sample sizes (i.e., number of events) relevant differences in model performance can be detected with adequate power. Methods: We used a logistic regression model to predict the probability that residual masses of patients treated for metastatic testicular cancer contained only benign tissue. We performed standard power calculations and Monte Carlo simulations to estimate the numbers of events that are required to detect several types of model invalidity with 80% power at the 5% significance level. Results: A validation sample with 111 events was required to detect that a model predicted too high probabilities, when predictions were on average 1.5 times too high on the odds scale. A decrease in discriminative ability of the model, indicated by a decrease in the c-statistic from 0.83 to 0.73, required 81 to 106 events, depending on the specific scenario. Conclusion: We suggest a minimum of 100 events and 100 nonevents for external validation samples. Specific hypotheses may, however, require substantially higher effective sample sizes to obtain adequate power. \u00a9 2005 Elsevier Inc. All rights reserved.", "author" : [ { "dropping-particle" : "", "family" : "Vergouwe", "given" : "Yvonne", "non-dropping-particle" : "", "parse-names" : false, "suffix" : "" }, { "dropping-particle" : "", "family" : "Steyerberg", "given" : "Ewout W.", "non-dropping-particle" : "", "parse-names" : false, "suffix" : "" }, { "dropping-particle" : "", "family" : "Eijkemans", "given" : "Marinus J C", "non-dropping-particle" : "", "parse-names" : false, "suffix" : "" }, { "dropping-particle" : "", "family" : "Habbema", "given" : "J. Dik F", "non-dropping-particle" : "", "parse-names" : false, "suffix" : "" } ], "container-title" : "Journal of Clinical Epidemiology", "id" : "ITEM-1", "issue" : "5", "issued" : { "date-parts" : [ [ "2005" ] ] }, "page" : "475-483", "title" : "Substantial effective sample sizes were required for external validation studies of predictive logistic regression models", "type" : "article-journal", "volume" : "58" }, "uris" : [ "http://www.mendeley.com/documents/?uuid=f9275a05-6323-40be-94d4-2acf0e0b8f76" ] }, { "id" : "ITEM-2", "itemData" : { "DOI" : "10.1002/sim.6787", "ISSN" : "02776715", "PMID" : "26553135", "abstract" : "After developing a prognostic model, it is essential to evaluate the performance of the model in samples independent from those used to develop the model, which is often referred to as external validation. However, despite its importance, very little is known about the sample size requirements for conducting an external validation. Using a large real data set and resampling methods, we investigate the impact of sample size on the performance of six published prognostic models. Focussing on unbiased and precise estimation of performance measures (e.g. the c-index, D statistic and calibration), we provide guidance on sample size for investigators designing an external validation study. Our study suggests that externally validating a prognostic model requires a minimum of 100 events and ideally 200 (or more) events. \u00a9 2015 The Authors. Statistics in Medicine Published by John Wiley &amp; Sons Ltd.", "author" : [ { "dropping-particle" : "", "family" : "Collins", "given" : "Gary S.", "non-dropping-particle" : "", "parse-names" : false, "suffix" : "" }, { "dropping-particle" : "", "family" : "Ogundimu", "given" : "Emmanuel O.", "non-dropping-particle" : "", "parse-names" : false, "suffix" : "" }, { "dropping-particle" : "", "family" : "Altman", "given" : "Douglas G.", "non-dropping-particle" : "", "parse-names" : false, "suffix" : "" } ], "container-title" : "Statistics in Medicine", "id" : "ITEM-2", "issue" : "2", "issued" : { "date-parts" : [ [ "2016", "1", "30" ] ] }, "page" : "214-226", "title" : "Sample size considerations for the external validation of a multivariable prognostic model: a resampling study", "type" : "article-journal", "volume" : "35" }, "uris" : [ "http://www.mendeley.com/documents/?uuid=2d639172-cc85-4c31-9824-45d06943d53a" ] }, { "id" : "ITEM-3", "itemData" : { "DOI" : "10.1016/j.jclinepi.2006.08.011", "ISBN" : "0895-4356 (Print)\\r0895-4356 (Linking)", "ISSN" : "08954356", "PMID" : "17419960", "abstract" : "Objective: To investigate the behavior of predictive performance measures that are commonly used in external validation of prognostic models for outcome at intensive care units (ICUs). Study Design and Setting: Four prognostic models (Simplified Acute Physiology Score II, the Acute Physiology and Chronic Health Evaluation II, and the Mortality Probability Models II) were evaluated in the Dutch National Intensive Care Evaluation registry database. For each model discrimination (AUC), accuracy (Brier score), and two calibration measures were assessed on data from 41,239 ICU admissions. This validation procedure was repeated with smaller subsamples randomly drawn from the database, and the results were compared with those obtained on the entire data set. Results: Differences in performance between the models were small. The AUC and Brier score showed large variation with small samples. Standard errors of AUC values were accurate but the power to detect differences in performance was low. Calibration tests were extremely sensitive to sample size. Direct comparison of performance, without statistical analysis, was unreliable with either measure. Conclusion: Substantial sample sizes are required for performance assessment and model comparison in external validation. Calibration statistics and significance tests should not be used in these settings. Instead, a simple customization method to repair lack-of-fit problems is recommended. ?? 2007 Elsevier Inc. All rights reserved.", "author" : [ { "dropping-particle" : "", "family" : "Peek", "given" : "N.", "non-dropping-particle" : "", "parse-names" : false, "suffix" : "" }, { "dropping-particle" : "", "family" : "Arts", "given" : "D.G.T.", "non-dropping-particle" : "", "parse-names" : false, "suffix" : "" }, { "dropping-particle" : "", "family" : "Bosman", "given" : "R.J.", "non-dropping-particle" : "", "parse-names" : false, "suffix" : "" }, { "dropping-particle" : "", "family" : "Voort", "given" : "P.H.J.", "non-dropping-particle" : "van der", "parse-names" : false, "suffix" : "" }, { "dropping-particle" : "", "family" : "Keizer", "given" : "N.F.", "non-dropping-particle" : "de", "parse-names" : false, "suffix" : "" } ], "container-title" : "Journal of Clinical Epidemiology", "id" : "ITEM-3", "issue" : "5", "issued" : { "date-parts" : [ [ "2007", "5" ] ] }, "page" : "491-501", "title" : "External validation of prognostic models for critically ill patients required substantial sample sizes", "type" : "article-journal", "volume" : "60" }, "uris" : [ "http://www.mendeley.com/documents/?uuid=451bbe62-52ba-49e4-8909-b5ff27e6c7cb" ] } ], "mendeley" : { "formattedCitation" : "[21\u201323]", "plainTextFormattedCitation" : "[21\u201323]", "previouslyFormattedCitation" : "[21\u201323]" }, "properties" : { "noteIndex" : 0 }, "schema" : "https://github.com/citation-style-language/schema/raw/master/csl-citation.json" }</w:instrText>
      </w:r>
      <w:r w:rsidR="008561FE" w:rsidRPr="007F2ED4">
        <w:fldChar w:fldCharType="separate"/>
      </w:r>
      <w:r w:rsidR="00BB581D" w:rsidRPr="00BB581D">
        <w:rPr>
          <w:noProof/>
        </w:rPr>
        <w:t>[21–23]</w:t>
      </w:r>
      <w:r w:rsidR="008561FE" w:rsidRPr="007F2ED4">
        <w:fldChar w:fldCharType="end"/>
      </w:r>
      <w:r w:rsidR="008561FE" w:rsidRPr="009D7F5F">
        <w:t xml:space="preserve">. </w:t>
      </w:r>
      <w:r w:rsidR="00A50E4A" w:rsidRPr="009D7F5F">
        <w:t>Additionally, a</w:t>
      </w:r>
      <w:r w:rsidRPr="009D7F5F">
        <w:t xml:space="preserve">lthough bootstrapping methods are preferable to assess model performance in real-world datasets, the split-sample method was employed here for simplicity and clear illustration of the methods </w:t>
      </w:r>
      <w:r w:rsidRPr="007F2ED4">
        <w:fldChar w:fldCharType="begin" w:fldLock="1"/>
      </w:r>
      <w:r w:rsidR="00BB581D">
        <w:instrText>ADDIN CSL_CITATION { "citationItems" : [ { "id" : "ITEM-1", "itemData" : { "DOI" : "10.1177/0962280214558972", "ISSN" : "0962-2802", "PMID" : "25411322", "abstract" : "We conducted an extensive set of empirical analyses to examine the effect of the number of events per variable (EPV) on the relative performance of three different methods for assessing the predictive accuracy of a logistic regression model: apparent performance in the analysis sample, split-sample validation, and optimism correction using bootstrap methods. Using a single dataset of patients hospitalized with heart failure, we compared the estimates of discriminatory performance from these methods to those for a very large independent validation sample arising from the same population. As anticipated, the apparent performance was optimistically biased, with the degree of optimism diminishing as the number of events per variable increased. Differences between the bootstrap-corrected approach and the use of an independent validation sample were minimal once the number of events per variable was at least 20. Split-sample assessment resulted in too pessimistic and highly uncertain estimates of model performance. Apparent performance estimates had lower mean squared error compared to split-sample estimates, but the lowest mean squared error was obtained by bootstrap-corrected optimism estimates. For bias, variance, and mean squared error of the performance estimates, the penalty incurred by using split-sample validation was equivalent to reducing the sample size by a proportion equivalent to the proportion of the sample that was withheld for model validation. In conclusion, split-sample validation is inefficient and apparent performance is too optimistic for internal validation of regression-based prediction models. Modern validation methods, such as bootstrap-based optimism correction, are preferable. While these findings may be unsurprising to many statisticians, the results of the current study reinforce what should be considered good statistical practice in the development and validation of clinical prediction models.", "author" : [ { "dropping-particle" : "", "family" : "Austin", "given" : "Peter C", "non-dropping-particle" : "", "parse-names" : false, "suffix" : "" }, { "dropping-particle" : "", "family" : "Steyerberg", "given" : "Ewout W", "non-dropping-particle" : "", "parse-names" : false, "suffix" : "" } ], "container-title" : "Statistical Methods in Medical Research", "id" : "ITEM-1", "issued" : { "date-parts" : [ [ "2014", "11", "19" ] ] }, "title" : "Events per variable (EPV) and the relative performance of different strategies for estimating the out-of-sample validity of logistic regression models", "type" : "article-journal" }, "uris" : [ "http://www.mendeley.com/documents/?uuid=1546e3e1-06da-41fe-9630-37c921867d10" ] } ], "mendeley" : { "formattedCitation" : "[24]", "plainTextFormattedCitation" : "[24]", "previouslyFormattedCitation" : "[24]" }, "properties" : { "noteIndex" : 0 }, "schema" : "https://github.com/citation-style-language/schema/raw/master/csl-citation.json" }</w:instrText>
      </w:r>
      <w:r w:rsidRPr="007F2ED4">
        <w:fldChar w:fldCharType="separate"/>
      </w:r>
      <w:r w:rsidR="00BB581D" w:rsidRPr="00BB581D">
        <w:rPr>
          <w:noProof/>
        </w:rPr>
        <w:t>[24]</w:t>
      </w:r>
      <w:r w:rsidRPr="007F2ED4">
        <w:fldChar w:fldCharType="end"/>
      </w:r>
      <w:r w:rsidRPr="009D7F5F">
        <w:t xml:space="preserve">. </w:t>
      </w:r>
    </w:p>
    <w:p w14:paraId="0029D37A" w14:textId="6C085DDA" w:rsidR="00FD6C28" w:rsidRPr="009D7F5F" w:rsidRDefault="00FD6C28" w:rsidP="008529F1">
      <w:pPr>
        <w:ind w:firstLine="720"/>
      </w:pPr>
      <w:r w:rsidRPr="009D7F5F" w:rsidDel="00DA7EC7">
        <w:t xml:space="preserve">Binary responses were simulated in </w:t>
      </w:r>
      <w:r w:rsidR="004B0232" w:rsidRPr="009D7F5F" w:rsidDel="00DA7EC7">
        <w:t>all</w:t>
      </w:r>
      <w:r w:rsidRPr="009D7F5F" w:rsidDel="00DA7EC7">
        <w:t xml:space="preserve"> population</w:t>
      </w:r>
      <w:r w:rsidR="004B0232" w:rsidRPr="009D7F5F" w:rsidDel="00DA7EC7">
        <w:t xml:space="preserve">s </w:t>
      </w:r>
      <w:r w:rsidRPr="009D7F5F" w:rsidDel="00DA7EC7">
        <w:t xml:space="preserve">with probability calculated from a population-specific generating logistic regression model, which included a subset of the simulated risk predictors. The coefficients of </w:t>
      </w:r>
      <w:r w:rsidR="007B3F52">
        <w:t xml:space="preserve">each </w:t>
      </w:r>
      <w:r w:rsidR="007B3F52" w:rsidRPr="009D7F5F" w:rsidDel="00DA7EC7">
        <w:t>population-specific generating</w:t>
      </w:r>
      <w:r w:rsidRPr="009D7F5F" w:rsidDel="00DA7EC7">
        <w:t xml:space="preserve"> model were sampled from a normal distribution, with a common mean across populations and variance σ. Here, higher values of σ induce</w:t>
      </w:r>
      <w:r w:rsidR="00A50E4A" w:rsidRPr="009D7F5F" w:rsidDel="00DA7EC7">
        <w:t>d</w:t>
      </w:r>
      <w:r w:rsidRPr="009D7F5F" w:rsidDel="00DA7EC7">
        <w:t xml:space="preserve"> greater </w:t>
      </w:r>
      <w:r w:rsidR="00585A6B" w:rsidRPr="009D7F5F" w:rsidDel="00DA7EC7">
        <w:t xml:space="preserve">differences in predictor effects </w:t>
      </w:r>
      <w:r w:rsidR="004B0232" w:rsidRPr="009D7F5F" w:rsidDel="00DA7EC7">
        <w:t>across populations</w:t>
      </w:r>
      <w:r w:rsidR="00585A6B" w:rsidRPr="009D7F5F" w:rsidDel="00DA7EC7">
        <w:t xml:space="preserve"> and thus represent</w:t>
      </w:r>
      <w:r w:rsidR="00EE17F5" w:rsidRPr="009D7F5F" w:rsidDel="00DA7EC7">
        <w:t>ed</w:t>
      </w:r>
      <w:r w:rsidR="00585A6B" w:rsidRPr="009D7F5F" w:rsidDel="00DA7EC7">
        <w:t xml:space="preserve"> increasing between-population-heterogeneity</w:t>
      </w:r>
      <w:r w:rsidRPr="009D7F5F" w:rsidDel="00DA7EC7">
        <w:t xml:space="preserve">. For each of the aforementioned values of </w:t>
      </w:r>
      <m:oMath>
        <m:sSub>
          <m:sSubPr>
            <m:ctrlPr>
              <w:rPr>
                <w:rFonts w:ascii="Cambria Math" w:hAnsi="Cambria Math"/>
                <w:i/>
              </w:rPr>
            </m:ctrlPr>
          </m:sSubPr>
          <m:e>
            <m:r>
              <w:rPr>
                <w:rFonts w:ascii="Cambria Math" w:hAnsi="Cambria Math"/>
              </w:rPr>
              <m:t>n</m:t>
            </m:r>
          </m:e>
          <m:sub>
            <m:r>
              <w:rPr>
                <w:rFonts w:ascii="Cambria Math" w:hAnsi="Cambria Math"/>
              </w:rPr>
              <m:t>train</m:t>
            </m:r>
          </m:sub>
        </m:sSub>
      </m:oMath>
      <w:r w:rsidRPr="009D7F5F" w:rsidDel="00DA7EC7">
        <w:t xml:space="preserve">, </w:t>
      </w:r>
      <w:r w:rsidR="002D1CA2" w:rsidRPr="009D7F5F" w:rsidDel="00DA7EC7">
        <w:t>simulations</w:t>
      </w:r>
      <w:r w:rsidRPr="009D7F5F" w:rsidDel="00DA7EC7">
        <w:t xml:space="preserve"> were run with </w:t>
      </w:r>
      <w:r w:rsidRPr="009D7F5F" w:rsidDel="00DA7EC7">
        <w:rPr>
          <w:i/>
        </w:rPr>
        <w:t xml:space="preserve">σ </w:t>
      </w:r>
      <w:r w:rsidRPr="009D7F5F" w:rsidDel="00DA7EC7">
        <w:t>values of (0, 0.</w:t>
      </w:r>
      <w:r w:rsidR="00585A6B" w:rsidRPr="009D7F5F" w:rsidDel="00DA7EC7">
        <w:t>125, 0.25, 0.375, 0.5, 0.75, 1)</w:t>
      </w:r>
      <w:r w:rsidRPr="009D7F5F" w:rsidDel="00DA7EC7">
        <w:t>.</w:t>
      </w:r>
    </w:p>
    <w:p w14:paraId="652459BA" w14:textId="53030954" w:rsidR="00FD6C28" w:rsidRPr="009D7F5F" w:rsidRDefault="008E44B7" w:rsidP="00FD6C28">
      <w:pPr>
        <w:ind w:firstLine="720"/>
      </w:pPr>
      <w:r>
        <w:t>Across</w:t>
      </w:r>
      <w:r w:rsidR="00FD6C28" w:rsidRPr="009D7F5F">
        <w:t xml:space="preserve"> every combination of </w:t>
      </w:r>
      <w:r w:rsidR="00FD6C28" w:rsidRPr="009D7F5F">
        <w:rPr>
          <w:i/>
        </w:rPr>
        <w:t>σ</w:t>
      </w:r>
      <w:r w:rsidR="00FD6C28" w:rsidRPr="009D7F5F">
        <w:t xml:space="preserve"> and </w:t>
      </w:r>
      <m:oMath>
        <m:sSub>
          <m:sSubPr>
            <m:ctrlPr>
              <w:rPr>
                <w:rFonts w:ascii="Cambria Math" w:hAnsi="Cambria Math"/>
                <w:i/>
              </w:rPr>
            </m:ctrlPr>
          </m:sSubPr>
          <m:e>
            <m:r>
              <w:rPr>
                <w:rFonts w:ascii="Cambria Math" w:hAnsi="Cambria Math"/>
              </w:rPr>
              <m:t>n</m:t>
            </m:r>
          </m:e>
          <m:sub>
            <m:r>
              <w:rPr>
                <w:rFonts w:ascii="Cambria Math" w:hAnsi="Cambria Math"/>
              </w:rPr>
              <m:t>train</m:t>
            </m:r>
          </m:sub>
        </m:sSub>
      </m:oMath>
      <w:r w:rsidR="00FD6C28" w:rsidRPr="009D7F5F">
        <w:t xml:space="preserve">, the simulation was repeated over 1000 iterations as a compromise between estimator accuracy and computational time. The simulations were implemented using R version 3.2.5 </w:t>
      </w:r>
      <w:r w:rsidR="00FD6C28" w:rsidRPr="007F2ED4">
        <w:fldChar w:fldCharType="begin" w:fldLock="1"/>
      </w:r>
      <w:r w:rsidR="00BB581D">
        <w:instrText>ADDIN CSL_CITATION { "citationItems" : [ { "id" : "ITEM-1", "itemData" : { "DOI" : "10.1007/978-3-540-74686-7", "ISBN" : "3900051070", "ISSN" : "16000706", "abstract" : "R Foundation for Statistical Computing, Vienna, Austria. ISBN 3-900051-07-0, URL http://www.R-project.org/.", "author" : [ { "dropping-particle" : "", "family" : "R Core Team", "given" : "R", "non-dropping-particle" : "", "parse-names" : false, "suffix" : "" } ], "collection-title" : "R Foundation for Statistical Computing", "container-title" : "R Foundation for Statistical Computing", "editor" : [ { "dropping-particle" : "", "family" : "Team", "given" : "R Development Core", "non-dropping-particle" : "", "parse-names" : false, "suffix" : "" } ], "id" : "ITEM-1", "issued" : { "date-parts" : [ [ "2016" ] ] }, "publisher" : "R Foundation for Statistical Computing", "publisher-place" : "Vienna, Austria", "title" : "R: A Language and Environment for Statistical Computing", "type" : "article" }, "uris" : [ "http://www.mendeley.com/documents/?uuid=712fa54f-5afd-428f-9018-d6d56cc86677" ] } ], "mendeley" : { "formattedCitation" : "[25]", "plainTextFormattedCitation" : "[25]", "previouslyFormattedCitation" : "[25]" }, "properties" : { "noteIndex" : 0 }, "schema" : "https://github.com/citation-style-language/schema/raw/master/csl-citation.json" }</w:instrText>
      </w:r>
      <w:r w:rsidR="00FD6C28" w:rsidRPr="007F2ED4">
        <w:fldChar w:fldCharType="separate"/>
      </w:r>
      <w:r w:rsidR="00BB581D" w:rsidRPr="00BB581D">
        <w:rPr>
          <w:noProof/>
        </w:rPr>
        <w:t>[25]</w:t>
      </w:r>
      <w:r w:rsidR="00FD6C28" w:rsidRPr="007F2ED4">
        <w:fldChar w:fldCharType="end"/>
      </w:r>
      <w:r w:rsidR="00FD6C28" w:rsidRPr="009D7F5F">
        <w:t xml:space="preserve">. The following packages were used in the simulation: “pROC” </w:t>
      </w:r>
      <w:r w:rsidR="00FD6C28" w:rsidRPr="007F2ED4">
        <w:fldChar w:fldCharType="begin" w:fldLock="1"/>
      </w:r>
      <w:r w:rsidR="00BB581D">
        <w:instrText>ADDIN CSL_CITATION { "citationItems" : [ { "id" : "ITEM-1", "itemData" : { "author" : [ { "dropping-particle" : "", "family" : "Robin", "given" : "Xavier", "non-dropping-particle" : "", "parse-names" : false, "suffix" : "" }, { "dropping-particle" : "", "family" : "Turck", "given" : "Natacha", "non-dropping-particle" : "", "parse-names" : false, "suffix" : "" }, { "dropping-particle" : "", "family" : "Hainard", "given" : "Alexandre", "non-dropping-particle" : "", "parse-names" : false, "suffix" : "" }, { "dropping-particle" : "", "family" : "Tiberti", "given" : "Natalia", "non-dropping-particle" : "", "parse-names" : false, "suffix" : "" }, { "dropping-particle" : "", "family" : "Lisacek", "given" : "Fr\u00e9d\u00e9rique", "non-dropping-particle" : "", "parse-names" : false, "suffix" : "" }, { "dropping-particle" : "", "family" : "Sanchez", "given" : "Jean-Charles", "non-dropping-particle" : "", "parse-names" : false, "suffix" : "" }, { "dropping-particle" : "", "family" : "M\u00fcller", "given" : "Markus", "non-dropping-particle" : "", "parse-names" : false, "suffix" : "" } ], "container-title" : "BMC Bioinformatics", "id" : "ITEM-1", "issued" : { "date-parts" : [ [ "2011" ] ] }, "page" : "77", "title" : "pROC: an open-source package for R and S+ to analyze and compare ROC curves", "type" : "article-journal", "volume" : "12" }, "uris" : [ "http://www.mendeley.com/documents/?uuid=1f25cae5-7f32-4330-9e9b-41e4b01f4e57" ] } ], "mendeley" : { "formattedCitation" : "[26]", "plainTextFormattedCitation" : "[26]", "previouslyFormattedCitation" : "[26]" }, "properties" : { "noteIndex" : 0 }, "schema" : "https://github.com/citation-style-language/schema/raw/master/csl-citation.json" }</w:instrText>
      </w:r>
      <w:r w:rsidR="00FD6C28" w:rsidRPr="007F2ED4">
        <w:fldChar w:fldCharType="separate"/>
      </w:r>
      <w:r w:rsidR="00BB581D" w:rsidRPr="00BB581D">
        <w:rPr>
          <w:noProof/>
        </w:rPr>
        <w:t>[26]</w:t>
      </w:r>
      <w:r w:rsidR="00FD6C28" w:rsidRPr="007F2ED4">
        <w:fldChar w:fldCharType="end"/>
      </w:r>
      <w:r w:rsidR="00FD6C28" w:rsidRPr="009D7F5F">
        <w:t xml:space="preserve"> to calculate the AUC of each model, “plsRglm” </w:t>
      </w:r>
      <w:r w:rsidR="00FD6C28" w:rsidRPr="007F2ED4">
        <w:fldChar w:fldCharType="begin" w:fldLock="1"/>
      </w:r>
      <w:r w:rsidR="00BB581D">
        <w:instrText>ADDIN CSL_CITATION { "citationItems" : [ { "id" : "ITEM-1", "itemData" : { "author" : [ { "dropping-particle" : "", "family" : "Bertrand", "given" : "Frederic", "non-dropping-particle" : "", "parse-names" : false, "suffix" : "" }, { "dropping-particle" : "", "family" : "Meyer", "given" : "Nicolas", "non-dropping-particle" : "", "parse-names" : false, "suffix" : "" }, { "dropping-particle" : "", "family" : "Maumy-Bertrand", "given" : "Myriam", "non-dropping-particle" : "", "parse-names" : false, "suffix" : "" } ], "id" : "ITEM-1", "issued" : { "date-parts" : [ [ "2014" ] ] }, "number" : "1.1.1", "publisher" : "R Package Version 1.1.1", "title" : "Partial Least Squares Regression for Generalized Linear Models", "type" : "article" }, "uris" : [ "http://www.mendeley.com/documents/?uuid=06992db4-aa32-4664-8c19-e2376f8f0505" ] } ], "mendeley" : { "formattedCitation" : "[27]", "plainTextFormattedCitation" : "[27]", "previouslyFormattedCitation" : "[27]" }, "properties" : { "noteIndex" : 0 }, "schema" : "https://github.com/citation-style-language/schema/raw/master/csl-citation.json" }</w:instrText>
      </w:r>
      <w:r w:rsidR="00FD6C28" w:rsidRPr="007F2ED4">
        <w:fldChar w:fldCharType="separate"/>
      </w:r>
      <w:r w:rsidR="00BB581D" w:rsidRPr="00BB581D">
        <w:rPr>
          <w:noProof/>
        </w:rPr>
        <w:t>[27]</w:t>
      </w:r>
      <w:r w:rsidR="00FD6C28" w:rsidRPr="007F2ED4">
        <w:fldChar w:fldCharType="end"/>
      </w:r>
      <w:r w:rsidR="00FD6C28" w:rsidRPr="009D7F5F">
        <w:t xml:space="preserve"> to fit the PLS models and the “cv.glmnet” function within the “glmnet” package for deriving a new </w:t>
      </w:r>
      <w:r w:rsidR="00FD6C28" w:rsidRPr="009D7F5F">
        <w:lastRenderedPageBreak/>
        <w:t xml:space="preserve">model by cross-validated ridge regression </w:t>
      </w:r>
      <w:r w:rsidR="00FD6C28" w:rsidRPr="007F2ED4">
        <w:fldChar w:fldCharType="begin" w:fldLock="1"/>
      </w:r>
      <w:r w:rsidR="00BB581D">
        <w:instrText>ADDIN CSL_CITATION { "citationItems" : [ { "id" : "ITEM-1", "itemData" : { "author" : [ { "dropping-particle" : "", "family" : "Friedman", "given" : "Jerome", "non-dropping-particle" : "", "parse-names" : false, "suffix" : "" }, { "dropping-particle" : "", "family" : "Hastie", "given" : "Trevor", "non-dropping-particle" : "", "parse-names" : false, "suffix" : "" }, { "dropping-particle" : "", "family" : "Tibshirani", "given" : "Robert", "non-dropping-particle" : "", "parse-names" : false, "suffix" : "" } ], "container-title" : "Journal of Statistical Software", "id" : "ITEM-1", "issue" : "10", "issued" : { "date-parts" : [ [ "2010" ] ] }, "page" : "1-22", "title" : "Regularization Paths for Generalized Linear Models via Coordinate Descent", "type" : "article-journal", "volume" : "33" }, "uris" : [ "http://www.mendeley.com/documents/?uuid=ac4ddca8-373f-4400-a550-160d51c815b3" ] } ], "mendeley" : { "formattedCitation" : "[28]", "plainTextFormattedCitation" : "[28]", "previouslyFormattedCitation" : "[28]" }, "properties" : { "noteIndex" : 0 }, "schema" : "https://github.com/citation-style-language/schema/raw/master/csl-citation.json" }</w:instrText>
      </w:r>
      <w:r w:rsidR="00FD6C28" w:rsidRPr="007F2ED4">
        <w:fldChar w:fldCharType="separate"/>
      </w:r>
      <w:r w:rsidR="00BB581D" w:rsidRPr="00BB581D">
        <w:rPr>
          <w:noProof/>
        </w:rPr>
        <w:t>[28]</w:t>
      </w:r>
      <w:r w:rsidR="00FD6C28" w:rsidRPr="007F2ED4">
        <w:fldChar w:fldCharType="end"/>
      </w:r>
      <w:r w:rsidR="00FD6C28" w:rsidRPr="009D7F5F">
        <w:t xml:space="preserve">. The authors wrote all other code, which is available </w:t>
      </w:r>
      <w:r w:rsidR="00642536" w:rsidRPr="009D7F5F">
        <w:t xml:space="preserve">in </w:t>
      </w:r>
      <w:r w:rsidR="00CB3F5D">
        <w:t>Additional File 1</w:t>
      </w:r>
      <w:r w:rsidR="00FD6C28" w:rsidRPr="009D7F5F">
        <w:t>.</w:t>
      </w:r>
    </w:p>
    <w:p w14:paraId="3E931C7F" w14:textId="77777777" w:rsidR="00FD6C28" w:rsidRPr="009D7F5F" w:rsidRDefault="00FD6C28" w:rsidP="00FD6C28">
      <w:pPr>
        <w:pStyle w:val="Heading2"/>
      </w:pPr>
      <w:r w:rsidRPr="009D7F5F">
        <w:t>Simulation Design: data-generating mechanisms</w:t>
      </w:r>
    </w:p>
    <w:p w14:paraId="2CB90B81" w14:textId="2CBFFA4B" w:rsidR="00FD6C28" w:rsidRPr="009D7F5F" w:rsidRDefault="00FD6C28" w:rsidP="00FD6C28">
      <w:pPr>
        <w:ind w:firstLine="360"/>
      </w:pPr>
      <w:r w:rsidRPr="009D7F5F">
        <w:t xml:space="preserve">In </w:t>
      </w:r>
      <w:r w:rsidR="00BC3D8C" w:rsidRPr="009D7F5F">
        <w:t>practice,</w:t>
      </w:r>
      <w:r w:rsidRPr="009D7F5F">
        <w:t xml:space="preserve"> </w:t>
      </w:r>
      <w:r w:rsidR="002D1CA2" w:rsidRPr="009D7F5F">
        <w:t>modellers could define any one risk factor through different but potentially related variables</w:t>
      </w:r>
      <w:r w:rsidR="007A13DF" w:rsidRPr="009D7F5F">
        <w:t xml:space="preserve"> and </w:t>
      </w:r>
      <w:r w:rsidRPr="009D7F5F">
        <w:t xml:space="preserve">multiple risk factors </w:t>
      </w:r>
      <w:r w:rsidR="00220D13" w:rsidRPr="009D7F5F">
        <w:t xml:space="preserve">within a model </w:t>
      </w:r>
      <w:r w:rsidR="007A13DF" w:rsidRPr="009D7F5F">
        <w:t>could</w:t>
      </w:r>
      <w:r w:rsidRPr="009D7F5F">
        <w:t xml:space="preserve"> be correlated</w:t>
      </w:r>
      <w:r w:rsidR="00A357DE" w:rsidRPr="009D7F5F">
        <w:t>. H</w:t>
      </w:r>
      <w:r w:rsidRPr="009D7F5F">
        <w:t xml:space="preserve">ence, the simulation procedure generated risk predictors within clusters of serially correlated variables. Specifically, </w:t>
      </w:r>
      <w:r w:rsidRPr="009D7F5F">
        <w:rPr>
          <w:i/>
        </w:rPr>
        <w:t>P=</w:t>
      </w:r>
      <w:r w:rsidRPr="009D7F5F">
        <w:t>50 predictors were generated within 10 clusters</w:t>
      </w:r>
      <w:r w:rsidR="00A50E4A" w:rsidRPr="009D7F5F">
        <w:t>,</w:t>
      </w:r>
      <w:r w:rsidRPr="009D7F5F">
        <w:t xml:space="preserve"> so that each cluster included </w:t>
      </w:r>
      <w:r w:rsidRPr="009D7F5F">
        <w:rPr>
          <w:i/>
        </w:rPr>
        <w:t>K=</w:t>
      </w:r>
      <w:r w:rsidRPr="009D7F5F">
        <w:t xml:space="preserve">5 predictors. Predictors had serial correlation within each cluster but were independent between clusters. To represent common real data structures, the simulation generated clusters of binary and continuous predictors in an approximately 50/50 split, with the ‘type’ of each cluster decided at random before </w:t>
      </w:r>
      <w:r w:rsidR="00A50E4A" w:rsidRPr="009D7F5F">
        <w:t>each</w:t>
      </w:r>
      <w:r w:rsidRPr="009D7F5F">
        <w:t xml:space="preserve"> simulation. For simplicity, clusters did not ‘mix’ binary and continuous variables. If </w:t>
      </w:r>
      <m:oMath>
        <m:sSub>
          <m:sSubPr>
            <m:ctrlPr>
              <w:rPr>
                <w:rFonts w:ascii="Cambria Math" w:hAnsi="Cambria Math"/>
                <w:i/>
              </w:rPr>
            </m:ctrlPr>
          </m:sSubPr>
          <m:e>
            <m:r>
              <m:rPr>
                <m:sty m:val="bi"/>
              </m:rPr>
              <w:rPr>
                <w:rFonts w:ascii="Cambria Math" w:hAnsi="Cambria Math"/>
              </w:rPr>
              <m:t>X</m:t>
            </m:r>
            <m:ctrlPr>
              <w:rPr>
                <w:rFonts w:ascii="Cambria Math" w:hAnsi="Cambria Math"/>
                <w:b/>
                <w:i/>
              </w:rPr>
            </m:ctrlPr>
          </m:e>
          <m:sub>
            <m:r>
              <w:rPr>
                <w:rFonts w:ascii="Cambria Math" w:hAnsi="Cambria Math"/>
              </w:rPr>
              <m:t>N</m:t>
            </m:r>
            <m:r>
              <w:rPr>
                <w:rFonts w:ascii="Cambria Math" w:hAnsi="Cambria Math" w:hint="eastAsia"/>
              </w:rPr>
              <m:t>×</m:t>
            </m:r>
            <m:r>
              <w:rPr>
                <w:rFonts w:ascii="Cambria Math" w:hAnsi="Cambria Math"/>
              </w:rPr>
              <m:t>P</m:t>
            </m:r>
          </m:sub>
        </m:sSub>
      </m:oMath>
      <w:r w:rsidRPr="009D7F5F">
        <w:t xml:space="preserve"> denotes the </w:t>
      </w:r>
      <m:oMath>
        <m:r>
          <w:rPr>
            <w:rFonts w:ascii="Cambria Math" w:hAnsi="Cambria Math"/>
          </w:rPr>
          <m:t>N</m:t>
        </m:r>
        <m:r>
          <w:rPr>
            <w:rFonts w:ascii="Cambria Math" w:hAnsi="Cambria Math" w:hint="eastAsia"/>
          </w:rPr>
          <m:t>×</m:t>
        </m:r>
        <m:r>
          <w:rPr>
            <w:rFonts w:ascii="Cambria Math" w:hAnsi="Cambria Math"/>
          </w:rPr>
          <m:t>P</m:t>
        </m:r>
      </m:oMath>
      <w:r w:rsidRPr="009D7F5F">
        <w:t xml:space="preserve"> matrix of predictors</w:t>
      </w:r>
      <w:r w:rsidR="00832F7E">
        <w:t xml:space="preserve"> (where </w:t>
      </w:r>
      <m:oMath>
        <m:r>
          <w:rPr>
            <w:rFonts w:ascii="Cambria Math" w:hAnsi="Cambria Math"/>
          </w:rPr>
          <m:t>N</m:t>
        </m:r>
      </m:oMath>
      <w:r w:rsidR="00832F7E">
        <w:t xml:space="preserve"> is the </w:t>
      </w:r>
      <w:r w:rsidR="000B504A">
        <w:t>combined</w:t>
      </w:r>
      <w:r w:rsidR="00832F7E">
        <w:t xml:space="preserve"> sample size across all populations)</w:t>
      </w:r>
      <w:r w:rsidRPr="009D7F5F">
        <w:t xml:space="preserve"> and </w:t>
      </w:r>
      <m:oMath>
        <m:r>
          <w:rPr>
            <w:rFonts w:ascii="Cambria Math" w:hAnsi="Cambria Math"/>
          </w:rPr>
          <m:t>ρ</m:t>
        </m:r>
      </m:oMath>
      <w:r w:rsidRPr="009D7F5F">
        <w:t xml:space="preserve"> denotes the within-cluster correlation, then the process to generate the predictors was adapted from previous studies </w:t>
      </w:r>
      <w:r w:rsidRPr="007F2ED4">
        <w:fldChar w:fldCharType="begin" w:fldLock="1"/>
      </w:r>
      <w:r w:rsidR="00BB581D">
        <w:instrText>ADDIN CSL_CITATION { "citationItems" : [ { "id" : "ITEM-1", "itemData" : { "DOI" : "10.1089/cmb.2011.0141", "ISBN" : "1557-8666 (Electronic)\\r1066-5277 (Linking)", "ISSN" : "1066-5277", "PMID" : "22876789", "abstract" : "In genetics, it is often of interest to discover single nucleotide polymorphisms (SNPs) that are directly related to a disease, rather than just being associated with it. Few methods exist, however, for addressing this so-called \u201ctrue sparsity recovery\u201d issue. In a thorough simulation study, we show that for moderate or low correlation between predictors, lasso-based methods perform well at true sparsity recovery, despite not being specifically designed for this purpose. For large correlations, however, more specialized methods are needed. Stability selection and direct effect testing perform well in all situations, including when the correlation is large.", "author" : [ { "dropping-particle" : "", "family" : "Sperrin", "given" : "Matthew", "non-dropping-particle" : "", "parse-names" : false, "suffix" : "" }, { "dropping-particle" : "", "family" : "Jaki", "given" : "Thomas", "non-dropping-particle" : "", "parse-names" : false, "suffix" : "" } ], "container-title" : "Journal of Computational Biology", "id" : "ITEM-1", "issue" : "8", "issued" : { "date-parts" : [ [ "2012", "8" ] ] }, "page" : "978-987", "title" : "Recovering Independent Associations in Genetics: A Comparison", "type" : "article-journal", "volume" : "19" }, "uris" : [ "http://www.mendeley.com/documents/?uuid=bcaba33b-ae67-4a8d-bb78-6f2cc235ee6a" ] } ], "mendeley" : { "formattedCitation" : "[29]", "plainTextFormattedCitation" : "[29]", "previouslyFormattedCitation" : "[29]" }, "properties" : { "noteIndex" : 0 }, "schema" : "https://github.com/citation-style-language/schema/raw/master/csl-citation.json" }</w:instrText>
      </w:r>
      <w:r w:rsidRPr="007F2ED4">
        <w:fldChar w:fldCharType="separate"/>
      </w:r>
      <w:r w:rsidR="00BB581D" w:rsidRPr="00BB581D">
        <w:rPr>
          <w:noProof/>
        </w:rPr>
        <w:t>[29]</w:t>
      </w:r>
      <w:r w:rsidRPr="007F2ED4">
        <w:fldChar w:fldCharType="end"/>
      </w:r>
      <w:r w:rsidRPr="009D7F5F">
        <w:t xml:space="preserve"> as follows:</w:t>
      </w:r>
    </w:p>
    <w:p w14:paraId="51FB25C2" w14:textId="55F40DEB" w:rsidR="00FD6C28" w:rsidRPr="009D7F5F" w:rsidRDefault="00FD6C28" w:rsidP="00FD6C28">
      <w:pPr>
        <w:pStyle w:val="ListParagraph"/>
        <w:numPr>
          <w:ilvl w:val="0"/>
          <w:numId w:val="11"/>
        </w:numPr>
        <w:rPr>
          <w:rFonts w:eastAsia="Times New Roman" w:cstheme="minorBidi"/>
          <w:szCs w:val="32"/>
        </w:rPr>
      </w:pPr>
      <w:r w:rsidRPr="009D7F5F">
        <w:rPr>
          <w:rFonts w:eastAsia="Times New Roman" w:cstheme="minorBidi"/>
          <w:szCs w:val="32"/>
        </w:rPr>
        <w:t xml:space="preserve">If cluster </w:t>
      </w:r>
      <m:oMath>
        <m:r>
          <w:rPr>
            <w:rFonts w:ascii="Cambria Math" w:eastAsia="Times New Roman" w:hAnsi="Cambria Math" w:cstheme="minorBidi"/>
            <w:szCs w:val="32"/>
          </w:rPr>
          <m:t>κ</m:t>
        </m:r>
      </m:oMath>
      <w:r w:rsidRPr="009D7F5F">
        <w:rPr>
          <w:rFonts w:eastAsia="Times New Roman" w:cstheme="minorBidi"/>
          <w:szCs w:val="32"/>
        </w:rPr>
        <w:t xml:space="preserve"> includes only continuo</w:t>
      </w:r>
      <w:r w:rsidRPr="005D64F1">
        <w:rPr>
          <w:rFonts w:eastAsia="Times New Roman" w:cstheme="minorBidi"/>
          <w:szCs w:val="32"/>
        </w:rPr>
        <w:t>u</w:t>
      </w:r>
      <w:r w:rsidRPr="009D7F5F">
        <w:rPr>
          <w:rFonts w:eastAsia="Times New Roman" w:cstheme="minorBidi"/>
          <w:szCs w:val="32"/>
        </w:rPr>
        <w:t>s predictors</w:t>
      </w:r>
      <w:r w:rsidR="005D64F1">
        <w:rPr>
          <w:rFonts w:eastAsia="Times New Roman" w:cstheme="minorBidi"/>
          <w:szCs w:val="32"/>
        </w:rPr>
        <w:t xml:space="preserve"> then</w:t>
      </w:r>
      <w:r w:rsidRPr="009D7F5F">
        <w:rPr>
          <w:rFonts w:eastAsia="Times New Roman" w:cstheme="minorBidi"/>
          <w:szCs w:val="32"/>
        </w:rPr>
        <w:t xml:space="preserve"> simulate </w:t>
      </w:r>
      <w:r w:rsidRPr="009D7F5F">
        <w:rPr>
          <w:rFonts w:eastAsia="Times New Roman" w:cstheme="minorBidi"/>
          <w:i/>
          <w:szCs w:val="32"/>
        </w:rPr>
        <w:t xml:space="preserve">N </w:t>
      </w:r>
      <w:r w:rsidRPr="009D7F5F">
        <w:rPr>
          <w:rFonts w:eastAsia="Times New Roman" w:cstheme="minorBidi"/>
          <w:szCs w:val="32"/>
        </w:rPr>
        <w:t>realisations of the predictors at the ‘start’ of the cluster as</w:t>
      </w:r>
    </w:p>
    <w:p w14:paraId="2AE471C6" w14:textId="77777777" w:rsidR="00FD6C28" w:rsidRPr="009D7F5F" w:rsidRDefault="00BF0CB4" w:rsidP="00FD6C28">
      <w:pPr>
        <w:pStyle w:val="ListParagraph"/>
        <w:rPr>
          <w:rFonts w:eastAsia="Times New Roman"/>
          <w:szCs w:val="32"/>
        </w:rPr>
      </w:pPr>
      <m:oMathPara>
        <m:oMath>
          <m:sSub>
            <m:sSubPr>
              <m:ctrlPr>
                <w:rPr>
                  <w:rFonts w:ascii="Cambria Math" w:eastAsia="Times New Roman" w:hAnsi="Cambria Math"/>
                  <w:i/>
                  <w:szCs w:val="32"/>
                </w:rPr>
              </m:ctrlPr>
            </m:sSubPr>
            <m:e>
              <m:r>
                <m:rPr>
                  <m:sty m:val="bi"/>
                </m:rPr>
                <w:rPr>
                  <w:rFonts w:ascii="Cambria Math" w:eastAsia="Times New Roman" w:hAnsi="Cambria Math"/>
                  <w:szCs w:val="32"/>
                </w:rPr>
                <m:t>X</m:t>
              </m:r>
              <m:ctrlPr>
                <w:rPr>
                  <w:rFonts w:ascii="Cambria Math" w:eastAsia="Times New Roman" w:hAnsi="Cambria Math"/>
                  <w:b/>
                  <w:i/>
                  <w:szCs w:val="32"/>
                </w:rPr>
              </m:ctrlPr>
            </m:e>
            <m:sub>
              <m:r>
                <w:rPr>
                  <w:rFonts w:ascii="Cambria Math" w:eastAsia="Times New Roman" w:hAnsi="Cambria Math"/>
                  <w:szCs w:val="32"/>
                </w:rPr>
                <m:t>p</m:t>
              </m:r>
            </m:sub>
          </m:sSub>
          <m:r>
            <w:rPr>
              <w:rFonts w:ascii="Cambria Math" w:eastAsia="Times New Roman" w:hAnsi="Cambria Math"/>
              <w:szCs w:val="32"/>
            </w:rPr>
            <m:t>∼</m:t>
          </m:r>
          <m:r>
            <m:rPr>
              <m:sty m:val="p"/>
            </m:rPr>
            <w:rPr>
              <w:rFonts w:ascii="Cambria Math" w:eastAsia="Times New Roman" w:hAnsi="Cambria Math"/>
              <w:szCs w:val="32"/>
            </w:rPr>
            <m:t>Normal</m:t>
          </m:r>
          <m:d>
            <m:dPr>
              <m:ctrlPr>
                <w:rPr>
                  <w:rFonts w:ascii="Cambria Math" w:eastAsia="Times New Roman" w:hAnsi="Cambria Math"/>
                  <w:szCs w:val="32"/>
                </w:rPr>
              </m:ctrlPr>
            </m:dPr>
            <m:e>
              <m:r>
                <m:rPr>
                  <m:sty m:val="p"/>
                </m:rPr>
                <w:rPr>
                  <w:rFonts w:ascii="Cambria Math" w:eastAsia="Times New Roman" w:hAnsi="Cambria Math"/>
                  <w:szCs w:val="32"/>
                </w:rPr>
                <m:t>0,1</m:t>
              </m:r>
            </m:e>
          </m:d>
          <m:r>
            <w:rPr>
              <w:rFonts w:ascii="Cambria Math" w:eastAsia="Times New Roman" w:hAnsi="Cambria Math"/>
              <w:szCs w:val="32"/>
            </w:rPr>
            <m:t>,</m:t>
          </m:r>
        </m:oMath>
      </m:oMathPara>
    </w:p>
    <w:p w14:paraId="18ED7ACB" w14:textId="77777777" w:rsidR="00FD6C28" w:rsidRPr="009D7F5F" w:rsidRDefault="00FD6C28" w:rsidP="00FD6C28">
      <w:pPr>
        <w:pStyle w:val="ListParagraph"/>
        <w:rPr>
          <w:rFonts w:eastAsia="Times New Roman"/>
          <w:szCs w:val="32"/>
        </w:rPr>
      </w:pPr>
      <w:r w:rsidRPr="009D7F5F">
        <w:rPr>
          <w:rFonts w:eastAsia="Times New Roman"/>
          <w:szCs w:val="32"/>
        </w:rPr>
        <w:t xml:space="preserve">and simulate the remaining </w:t>
      </w:r>
      <w:r w:rsidRPr="009D7F5F">
        <w:rPr>
          <w:rFonts w:eastAsia="Times New Roman"/>
          <w:i/>
          <w:szCs w:val="32"/>
        </w:rPr>
        <w:t>K-1</w:t>
      </w:r>
      <w:r w:rsidRPr="009D7F5F">
        <w:rPr>
          <w:rFonts w:eastAsia="Times New Roman"/>
          <w:szCs w:val="32"/>
        </w:rPr>
        <w:t xml:space="preserve"> correlated predictors as </w:t>
      </w:r>
    </w:p>
    <w:p w14:paraId="698C8A9F" w14:textId="77777777" w:rsidR="00FD6C28" w:rsidRPr="009D7F5F" w:rsidRDefault="00BF0CB4" w:rsidP="00FD6C28">
      <w:pPr>
        <w:pStyle w:val="ListParagraph"/>
        <w:rPr>
          <w:rFonts w:eastAsia="Times New Roman"/>
          <w:b/>
          <w:szCs w:val="32"/>
        </w:rPr>
      </w:pPr>
      <m:oMathPara>
        <m:oMath>
          <m:sSub>
            <m:sSubPr>
              <m:ctrlPr>
                <w:rPr>
                  <w:rFonts w:ascii="Cambria Math" w:eastAsia="Times New Roman" w:hAnsi="Cambria Math"/>
                  <w:i/>
                  <w:szCs w:val="32"/>
                </w:rPr>
              </m:ctrlPr>
            </m:sSubPr>
            <m:e>
              <m:r>
                <m:rPr>
                  <m:sty m:val="bi"/>
                </m:rPr>
                <w:rPr>
                  <w:rFonts w:ascii="Cambria Math" w:eastAsia="Times New Roman" w:hAnsi="Cambria Math"/>
                  <w:szCs w:val="32"/>
                </w:rPr>
                <m:t>X</m:t>
              </m:r>
              <m:ctrlPr>
                <w:rPr>
                  <w:rFonts w:ascii="Cambria Math" w:eastAsia="Times New Roman" w:hAnsi="Cambria Math"/>
                  <w:b/>
                  <w:i/>
                  <w:szCs w:val="32"/>
                </w:rPr>
              </m:ctrlPr>
            </m:e>
            <m:sub>
              <m:r>
                <w:rPr>
                  <w:rFonts w:ascii="Cambria Math" w:eastAsia="Times New Roman" w:hAnsi="Cambria Math"/>
                  <w:szCs w:val="32"/>
                </w:rPr>
                <m:t>p</m:t>
              </m:r>
            </m:sub>
          </m:sSub>
          <m:r>
            <w:rPr>
              <w:rFonts w:ascii="Cambria Math" w:eastAsia="Times New Roman" w:hAnsi="Cambria Math"/>
              <w:szCs w:val="32"/>
            </w:rPr>
            <m:t>∼ρ</m:t>
          </m:r>
          <m:sSub>
            <m:sSubPr>
              <m:ctrlPr>
                <w:rPr>
                  <w:rFonts w:ascii="Cambria Math" w:eastAsia="Times New Roman" w:hAnsi="Cambria Math"/>
                  <w:i/>
                  <w:szCs w:val="32"/>
                </w:rPr>
              </m:ctrlPr>
            </m:sSubPr>
            <m:e>
              <m:r>
                <m:rPr>
                  <m:sty m:val="bi"/>
                </m:rPr>
                <w:rPr>
                  <w:rFonts w:ascii="Cambria Math" w:eastAsia="Times New Roman" w:hAnsi="Cambria Math"/>
                  <w:szCs w:val="32"/>
                </w:rPr>
                <m:t>X</m:t>
              </m:r>
              <m:ctrlPr>
                <w:rPr>
                  <w:rFonts w:ascii="Cambria Math" w:eastAsia="Times New Roman" w:hAnsi="Cambria Math"/>
                  <w:b/>
                  <w:i/>
                  <w:szCs w:val="32"/>
                </w:rPr>
              </m:ctrlPr>
            </m:e>
            <m:sub>
              <m:r>
                <w:rPr>
                  <w:rFonts w:ascii="Cambria Math" w:eastAsia="Times New Roman" w:hAnsi="Cambria Math"/>
                  <w:szCs w:val="32"/>
                </w:rPr>
                <m:t>p-1</m:t>
              </m:r>
            </m:sub>
          </m:sSub>
          <m:r>
            <w:rPr>
              <w:rFonts w:ascii="Cambria Math" w:eastAsia="Times New Roman" w:hAnsi="Cambria Math"/>
              <w:szCs w:val="32"/>
            </w:rPr>
            <m:t>+</m:t>
          </m:r>
          <m:rad>
            <m:radPr>
              <m:degHide m:val="1"/>
              <m:ctrlPr>
                <w:rPr>
                  <w:rFonts w:ascii="Cambria Math" w:eastAsia="Times New Roman" w:hAnsi="Cambria Math"/>
                  <w:i/>
                  <w:szCs w:val="32"/>
                </w:rPr>
              </m:ctrlPr>
            </m:radPr>
            <m:deg/>
            <m:e>
              <m:r>
                <w:rPr>
                  <w:rFonts w:ascii="Cambria Math" w:eastAsia="Times New Roman" w:hAnsi="Cambria Math"/>
                  <w:szCs w:val="32"/>
                </w:rPr>
                <m:t>(1-</m:t>
              </m:r>
              <m:sSup>
                <m:sSupPr>
                  <m:ctrlPr>
                    <w:rPr>
                      <w:rFonts w:ascii="Cambria Math" w:eastAsia="Times New Roman" w:hAnsi="Cambria Math"/>
                      <w:i/>
                      <w:szCs w:val="32"/>
                    </w:rPr>
                  </m:ctrlPr>
                </m:sSupPr>
                <m:e>
                  <m:r>
                    <w:rPr>
                      <w:rFonts w:ascii="Cambria Math" w:eastAsia="Times New Roman" w:hAnsi="Cambria Math"/>
                      <w:szCs w:val="32"/>
                    </w:rPr>
                    <m:t>ρ</m:t>
                  </m:r>
                </m:e>
                <m:sup>
                  <m:r>
                    <w:rPr>
                      <w:rFonts w:ascii="Cambria Math" w:eastAsia="Times New Roman" w:hAnsi="Cambria Math"/>
                      <w:szCs w:val="32"/>
                    </w:rPr>
                    <m:t>2</m:t>
                  </m:r>
                </m:sup>
              </m:sSup>
              <m:r>
                <w:rPr>
                  <w:rFonts w:ascii="Cambria Math" w:eastAsia="Times New Roman" w:hAnsi="Cambria Math"/>
                  <w:szCs w:val="32"/>
                </w:rPr>
                <m:t>)</m:t>
              </m:r>
            </m:e>
          </m:rad>
          <m:r>
            <m:rPr>
              <m:sty m:val="b"/>
            </m:rPr>
            <w:rPr>
              <w:rFonts w:ascii="Cambria Math" w:eastAsia="Times New Roman" w:hAnsi="Cambria Math"/>
              <w:szCs w:val="32"/>
            </w:rPr>
            <m:t>Ψ</m:t>
          </m:r>
          <m:r>
            <m:rPr>
              <m:sty m:val="bi"/>
            </m:rPr>
            <w:rPr>
              <w:rFonts w:ascii="Cambria Math" w:eastAsia="Times New Roman" w:hAnsi="Cambria Math"/>
              <w:szCs w:val="32"/>
            </w:rPr>
            <m:t>,</m:t>
          </m:r>
        </m:oMath>
      </m:oMathPara>
    </w:p>
    <w:p w14:paraId="4FAEDD89" w14:textId="77777777" w:rsidR="00FD6C28" w:rsidRPr="009D7F5F" w:rsidRDefault="00FD6C28" w:rsidP="00FD6C28">
      <w:pPr>
        <w:pStyle w:val="ListParagraph"/>
        <w:rPr>
          <w:rFonts w:eastAsia="Times New Roman"/>
          <w:szCs w:val="32"/>
        </w:rPr>
      </w:pPr>
      <w:r w:rsidRPr="009D7F5F">
        <w:rPr>
          <w:rFonts w:eastAsia="Times New Roman"/>
          <w:szCs w:val="32"/>
        </w:rPr>
        <w:t xml:space="preserve">where </w:t>
      </w:r>
      <m:oMath>
        <m:r>
          <m:rPr>
            <m:sty m:val="b"/>
          </m:rPr>
          <w:rPr>
            <w:rFonts w:ascii="Cambria Math" w:eastAsia="Times New Roman" w:hAnsi="Cambria Math"/>
            <w:szCs w:val="32"/>
          </w:rPr>
          <m:t>Ψ</m:t>
        </m:r>
        <m:r>
          <w:rPr>
            <w:rFonts w:ascii="Cambria Math" w:eastAsia="Times New Roman" w:hAnsi="Cambria Math"/>
            <w:szCs w:val="32"/>
          </w:rPr>
          <m:t>∼</m:t>
        </m:r>
        <m:r>
          <m:rPr>
            <m:sty m:val="p"/>
          </m:rPr>
          <w:rPr>
            <w:rFonts w:ascii="Cambria Math" w:eastAsia="Times New Roman" w:hAnsi="Cambria Math"/>
            <w:szCs w:val="32"/>
          </w:rPr>
          <m:t>Normal</m:t>
        </m:r>
        <m:d>
          <m:dPr>
            <m:ctrlPr>
              <w:rPr>
                <w:rFonts w:ascii="Cambria Math" w:eastAsia="Times New Roman" w:hAnsi="Cambria Math"/>
                <w:szCs w:val="32"/>
              </w:rPr>
            </m:ctrlPr>
          </m:dPr>
          <m:e>
            <m:r>
              <m:rPr>
                <m:sty m:val="p"/>
              </m:rPr>
              <w:rPr>
                <w:rFonts w:ascii="Cambria Math" w:eastAsia="Times New Roman" w:hAnsi="Cambria Math"/>
                <w:szCs w:val="32"/>
              </w:rPr>
              <m:t>0,1</m:t>
            </m:r>
          </m:e>
        </m:d>
      </m:oMath>
      <w:r w:rsidRPr="009D7F5F">
        <w:rPr>
          <w:rFonts w:eastAsia="Times New Roman"/>
          <w:szCs w:val="32"/>
        </w:rPr>
        <w:t>.</w:t>
      </w:r>
    </w:p>
    <w:p w14:paraId="0275C091" w14:textId="123FED99" w:rsidR="00FD6C28" w:rsidRPr="009D7F5F" w:rsidRDefault="00FD6C28" w:rsidP="00FD6C28">
      <w:pPr>
        <w:pStyle w:val="ListParagraph"/>
        <w:numPr>
          <w:ilvl w:val="0"/>
          <w:numId w:val="11"/>
        </w:numPr>
      </w:pPr>
      <w:r w:rsidRPr="009D7F5F">
        <w:rPr>
          <w:szCs w:val="32"/>
        </w:rPr>
        <w:t xml:space="preserve">Else, if cluster </w:t>
      </w:r>
      <m:oMath>
        <m:r>
          <w:rPr>
            <w:rFonts w:ascii="Cambria Math" w:hAnsi="Cambria Math"/>
            <w:szCs w:val="32"/>
          </w:rPr>
          <m:t>κ</m:t>
        </m:r>
      </m:oMath>
      <w:r w:rsidRPr="009D7F5F">
        <w:rPr>
          <w:szCs w:val="32"/>
        </w:rPr>
        <w:t xml:space="preserve"> </w:t>
      </w:r>
      <w:r w:rsidR="00570D52">
        <w:rPr>
          <w:szCs w:val="32"/>
        </w:rPr>
        <w:t>includes</w:t>
      </w:r>
      <w:r w:rsidR="00570D52" w:rsidRPr="009D7F5F">
        <w:rPr>
          <w:szCs w:val="32"/>
        </w:rPr>
        <w:t xml:space="preserve"> </w:t>
      </w:r>
      <w:r w:rsidRPr="009D7F5F">
        <w:rPr>
          <w:szCs w:val="32"/>
        </w:rPr>
        <w:t xml:space="preserve">only binary predictors, we generate them as latent Normal. Specifically, </w:t>
      </w:r>
      <w:r w:rsidRPr="009D7F5F">
        <w:t xml:space="preserve">simulate </w:t>
      </w:r>
      <w:r w:rsidRPr="009D7F5F">
        <w:rPr>
          <w:i/>
        </w:rPr>
        <w:t xml:space="preserve">N </w:t>
      </w:r>
      <w:r w:rsidRPr="009D7F5F">
        <w:t>realisations of the predictors at the ‘start’ of each cluster as</w:t>
      </w:r>
    </w:p>
    <w:p w14:paraId="7A692E73" w14:textId="77777777" w:rsidR="00FD6C28" w:rsidRPr="009D7F5F" w:rsidRDefault="00BF0CB4" w:rsidP="00FD6C28">
      <m:oMathPara>
        <m:oMath>
          <m:sSub>
            <m:sSubPr>
              <m:ctrlPr>
                <w:rPr>
                  <w:rFonts w:ascii="Cambria Math" w:hAnsi="Cambria Math"/>
                  <w:i/>
                </w:rPr>
              </m:ctrlPr>
            </m:sSubPr>
            <m:e>
              <m:r>
                <m:rPr>
                  <m:sty m:val="bi"/>
                </m:rPr>
                <w:rPr>
                  <w:rFonts w:ascii="Cambria Math" w:hAnsi="Cambria Math"/>
                </w:rPr>
                <m:t>X</m:t>
              </m:r>
              <m:ctrlPr>
                <w:rPr>
                  <w:rFonts w:ascii="Cambria Math" w:hAnsi="Cambria Math"/>
                  <w:b/>
                  <w:i/>
                </w:rPr>
              </m:ctrlPr>
            </m:e>
            <m:sub>
              <m:r>
                <w:rPr>
                  <w:rFonts w:ascii="Cambria Math" w:hAnsi="Cambria Math"/>
                </w:rPr>
                <m:t>p</m:t>
              </m:r>
            </m:sub>
          </m:sSub>
          <m:r>
            <w:rPr>
              <w:rFonts w:ascii="Cambria Math" w:hAnsi="Cambria Math"/>
            </w:rPr>
            <m:t>∼</m:t>
          </m:r>
          <m:r>
            <m:rPr>
              <m:sty m:val="p"/>
            </m:rPr>
            <w:rPr>
              <w:rFonts w:ascii="Cambria Math" w:hAnsi="Cambria Math"/>
            </w:rPr>
            <m:t>Normal</m:t>
          </m:r>
          <m:d>
            <m:dPr>
              <m:ctrlPr>
                <w:rPr>
                  <w:rFonts w:ascii="Cambria Math" w:hAnsi="Cambria Math"/>
                </w:rPr>
              </m:ctrlPr>
            </m:dPr>
            <m:e>
              <m:r>
                <m:rPr>
                  <m:sty m:val="p"/>
                </m:rPr>
                <w:rPr>
                  <w:rFonts w:ascii="Cambria Math" w:hAnsi="Cambria Math"/>
                </w:rPr>
                <m:t>0,1</m:t>
              </m:r>
            </m:e>
          </m:d>
          <m:r>
            <w:rPr>
              <w:rFonts w:ascii="Cambria Math" w:hAnsi="Cambria Math"/>
            </w:rPr>
            <m:t>,</m:t>
          </m:r>
        </m:oMath>
      </m:oMathPara>
    </w:p>
    <w:p w14:paraId="3027DF53" w14:textId="77777777" w:rsidR="00FD6C28" w:rsidRPr="009D7F5F" w:rsidRDefault="00FD6C28" w:rsidP="00FD6C28">
      <w:pPr>
        <w:ind w:firstLine="720"/>
      </w:pPr>
      <w:r w:rsidRPr="009D7F5F">
        <w:t xml:space="preserve">and simulate the remaining </w:t>
      </w:r>
      <w:r w:rsidRPr="009D7F5F">
        <w:rPr>
          <w:i/>
        </w:rPr>
        <w:t>K-1</w:t>
      </w:r>
      <w:r w:rsidRPr="009D7F5F">
        <w:t xml:space="preserve"> correlated predictors as </w:t>
      </w:r>
    </w:p>
    <w:p w14:paraId="04AF5324" w14:textId="77777777" w:rsidR="00FD6C28" w:rsidRPr="009D7F5F" w:rsidRDefault="00BF0CB4" w:rsidP="00FD6C28">
      <w:pPr>
        <w:rPr>
          <w:b/>
        </w:rPr>
      </w:pPr>
      <m:oMathPara>
        <m:oMath>
          <m:sSub>
            <m:sSubPr>
              <m:ctrlPr>
                <w:rPr>
                  <w:rFonts w:ascii="Cambria Math" w:hAnsi="Cambria Math"/>
                  <w:i/>
                </w:rPr>
              </m:ctrlPr>
            </m:sSubPr>
            <m:e>
              <m:r>
                <m:rPr>
                  <m:sty m:val="bi"/>
                </m:rPr>
                <w:rPr>
                  <w:rFonts w:ascii="Cambria Math" w:hAnsi="Cambria Math"/>
                </w:rPr>
                <m:t>X</m:t>
              </m:r>
              <m:ctrlPr>
                <w:rPr>
                  <w:rFonts w:ascii="Cambria Math" w:hAnsi="Cambria Math"/>
                  <w:b/>
                  <w:i/>
                </w:rPr>
              </m:ctrlPr>
            </m:e>
            <m:sub>
              <m:r>
                <w:rPr>
                  <w:rFonts w:ascii="Cambria Math" w:hAnsi="Cambria Math"/>
                </w:rPr>
                <m:t>p</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b/>
                            <w:i/>
                          </w:rPr>
                        </m:ctrlPr>
                      </m:sSubPr>
                      <m:e>
                        <m:r>
                          <m:rPr>
                            <m:sty m:val="bi"/>
                          </m:rPr>
                          <w:rPr>
                            <w:rFonts w:ascii="Cambria Math" w:hAnsi="Cambria Math"/>
                          </w:rPr>
                          <m:t>X</m:t>
                        </m:r>
                      </m:e>
                      <m:sub>
                        <m:r>
                          <w:rPr>
                            <w:rFonts w:ascii="Cambria Math" w:hAnsi="Cambria Math"/>
                          </w:rPr>
                          <m:t>p-1</m:t>
                        </m:r>
                      </m:sub>
                    </m:sSub>
                    <m:r>
                      <m:rPr>
                        <m:sty m:val="bi"/>
                      </m:rPr>
                      <w:rPr>
                        <w:rFonts w:ascii="Cambria Math" w:hAnsi="Cambria Math"/>
                      </w:rPr>
                      <m:t xml:space="preserve"> </m:t>
                    </m:r>
                    <m:r>
                      <m:rPr>
                        <m:sty m:val="p"/>
                      </m:rPr>
                      <w:rPr>
                        <w:rFonts w:ascii="Cambria Math" w:hAnsi="Cambria Math"/>
                      </w:rPr>
                      <m:t xml:space="preserve">with prob. </m:t>
                    </m:r>
                    <m:r>
                      <w:rPr>
                        <w:rFonts w:ascii="Cambria Math" w:hAnsi="Cambria Math"/>
                      </w:rPr>
                      <m:t>ρ</m:t>
                    </m:r>
                  </m:e>
                </m:mr>
                <m:mr>
                  <m:e>
                    <m:r>
                      <m:rPr>
                        <m:sty m:val="b"/>
                      </m:rPr>
                      <w:rPr>
                        <w:rFonts w:ascii="Cambria Math" w:hAnsi="Cambria Math"/>
                      </w:rPr>
                      <m:t>Ψ</m:t>
                    </m:r>
                    <m:r>
                      <m:rPr>
                        <m:sty m:val="p"/>
                      </m:rPr>
                      <w:rPr>
                        <w:rFonts w:ascii="Cambria Math" w:hAnsi="Cambria Math"/>
                      </w:rPr>
                      <m:t xml:space="preserve"> with prob. 1-</m:t>
                    </m:r>
                    <m:r>
                      <w:rPr>
                        <w:rFonts w:ascii="Cambria Math" w:hAnsi="Cambria Math"/>
                      </w:rPr>
                      <m:t>ρ</m:t>
                    </m:r>
                  </m:e>
                </m:mr>
              </m:m>
            </m:e>
          </m:d>
        </m:oMath>
      </m:oMathPara>
    </w:p>
    <w:p w14:paraId="55153357" w14:textId="76BCD7FA" w:rsidR="00FD6C28" w:rsidRPr="009D7F5F" w:rsidRDefault="00FD6C28" w:rsidP="00FD6C28">
      <w:pPr>
        <w:ind w:left="720"/>
      </w:pPr>
      <w:r w:rsidRPr="009D7F5F">
        <w:t xml:space="preserve">where </w:t>
      </w:r>
      <m:oMath>
        <m:r>
          <m:rPr>
            <m:sty m:val="b"/>
          </m:rPr>
          <w:rPr>
            <w:rFonts w:ascii="Cambria Math" w:hAnsi="Cambria Math"/>
          </w:rPr>
          <m:t>Ψ</m:t>
        </m:r>
        <m:r>
          <w:rPr>
            <w:rFonts w:ascii="Cambria Math" w:hAnsi="Cambria Math"/>
          </w:rPr>
          <m:t>∼</m:t>
        </m:r>
        <m:r>
          <m:rPr>
            <m:sty m:val="p"/>
          </m:rPr>
          <w:rPr>
            <w:rFonts w:ascii="Cambria Math"/>
          </w:rPr>
          <m:t>Normal</m:t>
        </m:r>
        <m:d>
          <m:dPr>
            <m:ctrlPr>
              <w:rPr>
                <w:rFonts w:ascii="Cambria Math" w:hAnsi="Cambria Math"/>
              </w:rPr>
            </m:ctrlPr>
          </m:dPr>
          <m:e>
            <m:r>
              <m:rPr>
                <m:sty m:val="p"/>
              </m:rPr>
              <w:rPr>
                <w:rFonts w:ascii="Cambria Math"/>
              </w:rPr>
              <m:t>0,1</m:t>
            </m:r>
          </m:e>
        </m:d>
      </m:oMath>
      <w:r w:rsidRPr="009D7F5F">
        <w:t xml:space="preserve">. </w:t>
      </w:r>
      <w:r w:rsidR="008E44B7">
        <w:t xml:space="preserve">Each variable </w:t>
      </w:r>
      <w:r w:rsidR="008E44B7" w:rsidRPr="009D7F5F">
        <w:t>in the cluster</w:t>
      </w:r>
      <w:r w:rsidR="008E44B7">
        <w:t xml:space="preserve"> was then </w:t>
      </w:r>
      <w:r w:rsidRPr="009D7F5F">
        <w:t>dichotomize</w:t>
      </w:r>
      <w:r w:rsidR="008E44B7">
        <w:t>d</w:t>
      </w:r>
      <w:r w:rsidRPr="009D7F5F">
        <w:t xml:space="preserve"> to give a pre-defined cluster-specific event rate between 10% and 50%, </w:t>
      </w:r>
      <w:r w:rsidRPr="009D7F5F">
        <w:rPr>
          <w:rFonts w:eastAsia="Times New Roman" w:cstheme="minorBidi"/>
          <w:szCs w:val="32"/>
        </w:rPr>
        <w:t>which are values frequently reported in observational datasets.</w:t>
      </w:r>
    </w:p>
    <w:p w14:paraId="295F7157" w14:textId="77777777" w:rsidR="00FD6C28" w:rsidRPr="009D7F5F" w:rsidRDefault="00FD6C28" w:rsidP="00FD6C28">
      <w:pPr>
        <w:pStyle w:val="ListParagraph"/>
        <w:numPr>
          <w:ilvl w:val="0"/>
          <w:numId w:val="11"/>
        </w:numPr>
        <w:rPr>
          <w:rFonts w:eastAsia="Times New Roman" w:cstheme="minorBidi"/>
          <w:szCs w:val="32"/>
        </w:rPr>
      </w:pPr>
      <w:r w:rsidRPr="009D7F5F">
        <w:rPr>
          <w:rFonts w:eastAsia="Times New Roman" w:cstheme="minorBidi"/>
          <w:szCs w:val="32"/>
        </w:rPr>
        <w:t xml:space="preserve">Repeat steps 1 to 2 across all </w:t>
      </w:r>
      <m:oMath>
        <m:r>
          <w:rPr>
            <w:rFonts w:ascii="Cambria Math" w:eastAsia="Times New Roman" w:hAnsi="Cambria Math" w:cstheme="minorBidi"/>
            <w:szCs w:val="32"/>
          </w:rPr>
          <m:t>κ=10</m:t>
        </m:r>
      </m:oMath>
      <w:r w:rsidRPr="009D7F5F">
        <w:rPr>
          <w:rFonts w:eastAsia="Times New Roman" w:cstheme="minorBidi"/>
          <w:szCs w:val="32"/>
        </w:rPr>
        <w:t xml:space="preserve"> clusters.</w:t>
      </w:r>
    </w:p>
    <w:p w14:paraId="4D8BDD30" w14:textId="0E6D0683" w:rsidR="00FD6C28" w:rsidRPr="009D7F5F" w:rsidRDefault="00FD6C28" w:rsidP="00FD6C28">
      <w:pPr>
        <w:rPr>
          <w:rFonts w:eastAsia="Times New Roman" w:cstheme="minorBidi"/>
          <w:szCs w:val="32"/>
        </w:rPr>
      </w:pPr>
      <w:r w:rsidRPr="009D7F5F">
        <w:t xml:space="preserve">Sensitivity analyses across a range of within-cluster correlations, </w:t>
      </w:r>
      <m:oMath>
        <m:r>
          <w:rPr>
            <w:rFonts w:ascii="Cambria Math" w:hAnsi="Cambria Math"/>
          </w:rPr>
          <m:t>ρ∈[0,0.99]</m:t>
        </m:r>
      </m:oMath>
      <w:r w:rsidRPr="009D7F5F">
        <w:t xml:space="preserve"> showed that the results were qualitatively similar; </w:t>
      </w:r>
      <w:r w:rsidR="00832F7E">
        <w:t xml:space="preserve">the </w:t>
      </w:r>
      <w:r w:rsidRPr="009D7F5F">
        <w:t xml:space="preserve">results given are for </w:t>
      </w:r>
      <m:oMath>
        <m:r>
          <w:rPr>
            <w:rFonts w:ascii="Cambria Math" w:hAnsi="Cambria Math"/>
          </w:rPr>
          <m:t>ρ=0.75</m:t>
        </m:r>
      </m:oMath>
      <w:r w:rsidRPr="009D7F5F">
        <w:t>.</w:t>
      </w:r>
    </w:p>
    <w:p w14:paraId="09B15854" w14:textId="587BFB3E" w:rsidR="00FD6C28" w:rsidRPr="009D7F5F" w:rsidRDefault="00FD6C28" w:rsidP="00FD6C28">
      <w:r w:rsidRPr="009D7F5F">
        <w:rPr>
          <w:rFonts w:eastAsia="Times New Roman" w:cstheme="minorBidi"/>
          <w:szCs w:val="32"/>
        </w:rPr>
        <w:tab/>
        <w:t xml:space="preserve">Binary responses for individuals </w:t>
      </w:r>
      <m:oMath>
        <m:r>
          <w:rPr>
            <w:rFonts w:ascii="Cambria Math" w:hAnsi="Cambria Math"/>
          </w:rPr>
          <m:t>i=1,</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oMath>
      <w:r w:rsidRPr="009D7F5F">
        <w:rPr>
          <w:rFonts w:eastAsia="Times New Roman" w:cstheme="minorBidi"/>
          <w:szCs w:val="32"/>
        </w:rPr>
        <w:t xml:space="preserve">  in population </w:t>
      </w:r>
      <w:r w:rsidRPr="009D7F5F">
        <w:rPr>
          <w:rFonts w:eastAsia="Times New Roman" w:cstheme="minorBidi"/>
          <w:i/>
          <w:szCs w:val="32"/>
        </w:rPr>
        <w:t xml:space="preserve">j </w:t>
      </w:r>
      <w:r w:rsidR="00F97F8E">
        <w:rPr>
          <w:rFonts w:eastAsia="Times New Roman" w:cstheme="minorBidi"/>
          <w:szCs w:val="32"/>
        </w:rPr>
        <w:t xml:space="preserve">were sampled from a </w:t>
      </w:r>
      <w:r w:rsidR="00F97F8E" w:rsidRPr="009D7F5F">
        <w:t>population-specific generating logistic regression model</w:t>
      </w:r>
      <w:r w:rsidRPr="009D7F5F">
        <w:rPr>
          <w:rFonts w:eastAsia="Times New Roman" w:cstheme="minorBidi"/>
          <w:szCs w:val="32"/>
        </w:rPr>
        <w:t xml:space="preserve"> with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i,j</m:t>
            </m:r>
          </m:sub>
        </m:sSub>
        <m:r>
          <w:rPr>
            <w:rFonts w:ascii="Cambria Math" w:hAnsi="Cambria Math"/>
          </w:rPr>
          <m:t>,</m:t>
        </m:r>
      </m:oMath>
      <w:r w:rsidRPr="009D7F5F">
        <w:t xml:space="preserve"> where</w:t>
      </w:r>
    </w:p>
    <w:p w14:paraId="7396327A" w14:textId="52AB05D2" w:rsidR="00FD6C28" w:rsidRPr="009D7F5F" w:rsidRDefault="00BF0CB4" w:rsidP="00FD6C28">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i,j</m:t>
                          </m:r>
                        </m:sub>
                      </m:sSub>
                    </m:num>
                    <m:den>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i,j</m:t>
                          </m:r>
                        </m:sub>
                      </m:sSub>
                    </m:den>
                  </m:f>
                </m:e>
              </m:d>
            </m:e>
          </m:func>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0,j</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r>
                <m:rPr>
                  <m:sty m:val="p"/>
                </m:rPr>
                <w:rPr>
                  <w:rFonts w:ascii="Cambria Math" w:hAnsi="Cambria Math"/>
                </w:rPr>
                <m:t xml:space="preserve">50 </m:t>
              </m:r>
            </m:sup>
            <m:e>
              <m:sSub>
                <m:sSubPr>
                  <m:ctrlPr>
                    <w:rPr>
                      <w:rFonts w:ascii="Cambria Math" w:hAnsi="Cambria Math"/>
                      <w:i/>
                    </w:rPr>
                  </m:ctrlPr>
                </m:sSubPr>
                <m:e>
                  <m:r>
                    <w:rPr>
                      <w:rFonts w:ascii="Cambria Math" w:hAnsi="Cambria Math"/>
                    </w:rPr>
                    <m:t>α</m:t>
                  </m:r>
                </m:e>
                <m:sub>
                  <m:r>
                    <w:rPr>
                      <w:rFonts w:ascii="Cambria Math" w:hAnsi="Cambria Math"/>
                    </w:rPr>
                    <m:t>p,j</m:t>
                  </m:r>
                </m:sub>
              </m:sSub>
              <m:sSub>
                <m:sSubPr>
                  <m:ctrlPr>
                    <w:rPr>
                      <w:rFonts w:ascii="Cambria Math" w:hAnsi="Cambria Math"/>
                    </w:rPr>
                  </m:ctrlPr>
                </m:sSubPr>
                <m:e>
                  <m:r>
                    <m:rPr>
                      <m:sty m:val="p"/>
                    </m:rPr>
                    <w:rPr>
                      <w:rFonts w:ascii="Cambria Math" w:hAnsi="Cambria Math"/>
                    </w:rPr>
                    <m:t>x</m:t>
                  </m:r>
                </m:e>
                <m:sub>
                  <m:r>
                    <w:rPr>
                      <w:rFonts w:ascii="Cambria Math" w:hAnsi="Cambria Math"/>
                    </w:rPr>
                    <m:t>i,p</m:t>
                  </m:r>
                </m:sub>
              </m:sSub>
            </m:e>
          </m:nary>
        </m:oMath>
      </m:oMathPara>
    </w:p>
    <w:p w14:paraId="641B79B7" w14:textId="5E68FFE5" w:rsidR="00FD6C28" w:rsidRPr="009D7F5F" w:rsidRDefault="00832F7E" w:rsidP="00FD6C28">
      <w:r>
        <w:t>w</w:t>
      </w:r>
      <w:r w:rsidR="00FD6C28" w:rsidRPr="009D7F5F">
        <w:t xml:space="preserve">ith intercept </w:t>
      </w:r>
      <m:oMath>
        <m:sSub>
          <m:sSubPr>
            <m:ctrlPr>
              <w:rPr>
                <w:rFonts w:ascii="Cambria Math" w:hAnsi="Cambria Math"/>
                <w:i/>
              </w:rPr>
            </m:ctrlPr>
          </m:sSubPr>
          <m:e>
            <m:r>
              <w:rPr>
                <w:rFonts w:ascii="Cambria Math" w:hAnsi="Cambria Math"/>
              </w:rPr>
              <m:t>α</m:t>
            </m:r>
          </m:e>
          <m:sub>
            <m:r>
              <w:rPr>
                <w:rFonts w:ascii="Cambria Math" w:hAnsi="Cambria Math"/>
              </w:rPr>
              <m:t>0,j</m:t>
            </m:r>
          </m:sub>
        </m:sSub>
      </m:oMath>
      <w:r w:rsidR="00FD6C28" w:rsidRPr="009D7F5F">
        <w:t xml:space="preserve"> and generating coefficients </w:t>
      </w:r>
      <m:oMath>
        <m:sSub>
          <m:sSubPr>
            <m:ctrlPr>
              <w:rPr>
                <w:rFonts w:ascii="Cambria Math" w:hAnsi="Cambria Math"/>
                <w:i/>
              </w:rPr>
            </m:ctrlPr>
          </m:sSubPr>
          <m:e>
            <m:r>
              <w:rPr>
                <w:rFonts w:ascii="Cambria Math" w:hAnsi="Cambria Math"/>
              </w:rPr>
              <m:t>α</m:t>
            </m:r>
          </m:e>
          <m:sub>
            <m:r>
              <w:rPr>
                <w:rFonts w:ascii="Cambria Math" w:hAnsi="Cambria Math"/>
              </w:rPr>
              <m:t>1,j</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50,j</m:t>
            </m:r>
          </m:sub>
        </m:sSub>
      </m:oMath>
      <w:r w:rsidR="00FD6C28" w:rsidRPr="009D7F5F">
        <w:t xml:space="preserve">. If </w:t>
      </w:r>
      <m:oMath>
        <m:acc>
          <m:accPr>
            <m:chr m:val="̅"/>
            <m:ctrlPr>
              <w:rPr>
                <w:rFonts w:ascii="Cambria Math" w:hAnsi="Cambria Math"/>
                <w:i/>
              </w:rPr>
            </m:ctrlPr>
          </m:accPr>
          <m:e>
            <m:r>
              <m:rPr>
                <m:sty m:val="bi"/>
              </m:rPr>
              <w:rPr>
                <w:rFonts w:ascii="Cambria Math" w:hAnsi="Cambria Math"/>
              </w:rPr>
              <m:t>α</m:t>
            </m:r>
          </m:e>
        </m:acc>
      </m:oMath>
      <w:r w:rsidR="00FD6C28" w:rsidRPr="009D7F5F">
        <w:t xml:space="preserve"> represents the vector of mean </w:t>
      </w:r>
      <w:r w:rsidR="00585A6B" w:rsidRPr="009D7F5F">
        <w:t xml:space="preserve">predictor </w:t>
      </w:r>
      <w:r w:rsidR="00FD6C28" w:rsidRPr="009D7F5F">
        <w:t xml:space="preserve">effects across all populations, then the simulation mechanism in each population </w:t>
      </w:r>
      <w:r w:rsidR="00FD6C28" w:rsidRPr="009D7F5F">
        <w:rPr>
          <w:i/>
        </w:rPr>
        <w:t xml:space="preserve">j </w:t>
      </w:r>
      <w:r w:rsidR="00FD6C28" w:rsidRPr="009D7F5F">
        <w:t xml:space="preserve">and </w:t>
      </w:r>
      <w:r w:rsidR="007A13DF" w:rsidRPr="009D7F5F">
        <w:t xml:space="preserve">generating </w:t>
      </w:r>
      <w:r w:rsidR="00FD6C28" w:rsidRPr="009D7F5F">
        <w:t xml:space="preserve">parameter </w:t>
      </w:r>
      <m:oMath>
        <m:r>
          <w:rPr>
            <w:rFonts w:ascii="Cambria Math" w:hAnsi="Cambria Math"/>
          </w:rPr>
          <m:t>p=1,</m:t>
        </m:r>
        <m:r>
          <w:rPr>
            <w:rFonts w:ascii="Cambria Math" w:hAnsi="Cambria Math" w:hint="eastAsia"/>
          </w:rPr>
          <m:t>…</m:t>
        </m:r>
        <m:r>
          <w:rPr>
            <w:rFonts w:ascii="Cambria Math" w:hAnsi="Cambria Math"/>
          </w:rPr>
          <m:t>,50</m:t>
        </m:r>
      </m:oMath>
      <w:r w:rsidR="00FD6C28" w:rsidRPr="009D7F5F">
        <w:t xml:space="preserve"> was</w:t>
      </w:r>
    </w:p>
    <w:p w14:paraId="0D194404" w14:textId="77777777" w:rsidR="00FD6C28" w:rsidRPr="009D7F5F" w:rsidRDefault="00BF0CB4" w:rsidP="00FD6C28">
      <m:oMathPara>
        <m:oMath>
          <m:sSub>
            <m:sSubPr>
              <m:ctrlPr>
                <w:rPr>
                  <w:rFonts w:ascii="Cambria Math" w:hAnsi="Cambria Math"/>
                  <w:i/>
                </w:rPr>
              </m:ctrlPr>
            </m:sSubPr>
            <m:e>
              <m:r>
                <w:rPr>
                  <w:rFonts w:ascii="Cambria Math" w:hAnsi="Cambria Math"/>
                </w:rPr>
                <m:t>α</m:t>
              </m:r>
            </m:e>
            <m:sub>
              <m:r>
                <w:rPr>
                  <w:rFonts w:ascii="Cambria Math" w:hAnsi="Cambria Math"/>
                </w:rPr>
                <m:t>p,j</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p"/>
                      </m:rPr>
                      <w:rPr>
                        <w:rFonts w:ascii="Cambria Math" w:hAnsi="Cambria Math"/>
                      </w:rPr>
                      <m:t>N(</m:t>
                    </m:r>
                    <m:sSub>
                      <m:sSubPr>
                        <m:ctrlPr>
                          <w:rPr>
                            <w:rFonts w:ascii="Cambria Math" w:hAnsi="Cambria Math"/>
                            <w:i/>
                          </w:rPr>
                        </m:ctrlPr>
                      </m:sSubPr>
                      <m:e>
                        <m:acc>
                          <m:accPr>
                            <m:chr m:val="̅"/>
                            <m:ctrlPr>
                              <w:rPr>
                                <w:rFonts w:ascii="Cambria Math" w:hAnsi="Cambria Math"/>
                                <w:i/>
                              </w:rPr>
                            </m:ctrlPr>
                          </m:accPr>
                          <m:e>
                            <m:r>
                              <w:rPr>
                                <w:rFonts w:ascii="Cambria Math" w:hAnsi="Cambria Math"/>
                              </w:rPr>
                              <m:t>α</m:t>
                            </m:r>
                          </m:e>
                        </m:acc>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ty m:val="p"/>
                          </m:rPr>
                          <w:rPr>
                            <w:rFonts w:ascii="Cambria Math" w:hAnsi="Cambria Math" w:hint="eastAsia"/>
                          </w:rPr>
                          <m:t>σ</m:t>
                        </m:r>
                      </m:e>
                      <m:sup>
                        <m:r>
                          <m:rPr>
                            <m:sty m:val="p"/>
                          </m:rPr>
                          <w:rPr>
                            <w:rFonts w:ascii="Cambria Math" w:hAnsi="Cambria Math"/>
                          </w:rPr>
                          <m:t>2</m:t>
                        </m:r>
                      </m:sup>
                    </m:sSup>
                    <m:r>
                      <w:rPr>
                        <w:rFonts w:ascii="Cambria Math" w:hAnsi="Cambria Math"/>
                      </w:rPr>
                      <m:t>)</m:t>
                    </m:r>
                  </m:e>
                  <m:e>
                    <m:r>
                      <m:rPr>
                        <m:sty m:val="p"/>
                      </m:rPr>
                      <w:rPr>
                        <w:rFonts w:ascii="Cambria Math" w:hAnsi="Cambria Math"/>
                      </w:rPr>
                      <m:t xml:space="preserve">if </m:t>
                    </m:r>
                    <m:r>
                      <w:rPr>
                        <w:rFonts w:ascii="Cambria Math" w:hAnsi="Cambria Math"/>
                      </w:rPr>
                      <m:t xml:space="preserve">p≡1 </m:t>
                    </m:r>
                    <m:r>
                      <m:rPr>
                        <m:sty m:val="p"/>
                      </m:rPr>
                      <w:rPr>
                        <w:rFonts w:ascii="Cambria Math" w:hAnsi="Cambria Math"/>
                      </w:rPr>
                      <m:t>(mod K=</m:t>
                    </m:r>
                    <m:r>
                      <w:rPr>
                        <w:rFonts w:ascii="Cambria Math" w:hAnsi="Cambria Math"/>
                      </w:rPr>
                      <m:t>5</m:t>
                    </m:r>
                    <m:r>
                      <m:rPr>
                        <m:sty m:val="p"/>
                      </m:rPr>
                      <w:rPr>
                        <w:rFonts w:ascii="Cambria Math" w:hAnsi="Cambria Math"/>
                      </w:rPr>
                      <m:t>)</m:t>
                    </m:r>
                  </m:e>
                </m:mr>
                <m:mr>
                  <m:e>
                    <m:r>
                      <m:rPr>
                        <m:sty m:val="p"/>
                      </m:rPr>
                      <w:rPr>
                        <w:rFonts w:ascii="Cambria Math" w:hAnsi="Cambria Math"/>
                      </w:rPr>
                      <m:t>0</m:t>
                    </m:r>
                  </m:e>
                  <m:e>
                    <m:r>
                      <m:rPr>
                        <m:sty m:val="p"/>
                      </m:rPr>
                      <w:rPr>
                        <w:rFonts w:ascii="Cambria Math" w:hAnsi="Cambria Math"/>
                      </w:rPr>
                      <m:t>otherwise</m:t>
                    </m:r>
                  </m:e>
                </m:mr>
              </m:m>
            </m:e>
          </m:d>
        </m:oMath>
      </m:oMathPara>
    </w:p>
    <w:p w14:paraId="1D52FB76" w14:textId="0D48A70B" w:rsidR="00FD6C28" w:rsidRPr="009D7F5F" w:rsidRDefault="00EC370B" w:rsidP="00FD6C28">
      <w:r w:rsidRPr="009D7F5F">
        <w:t>T</w:t>
      </w:r>
      <w:r w:rsidR="00FD6C28" w:rsidRPr="009D7F5F">
        <w:t xml:space="preserve">he </w:t>
      </w:r>
      <m:oMath>
        <m:r>
          <w:rPr>
            <w:rFonts w:ascii="Cambria Math" w:hAnsi="Cambria Math"/>
          </w:rPr>
          <m:t xml:space="preserve">p≡1 </m:t>
        </m:r>
        <m:r>
          <m:rPr>
            <m:sty m:val="p"/>
          </m:rPr>
          <w:rPr>
            <w:rFonts w:ascii="Cambria Math" w:hAnsi="Cambria Math"/>
          </w:rPr>
          <m:t>(mod K=</m:t>
        </m:r>
        <m:r>
          <w:rPr>
            <w:rFonts w:ascii="Cambria Math" w:hAnsi="Cambria Math"/>
          </w:rPr>
          <m:t>5</m:t>
        </m:r>
        <m:r>
          <m:rPr>
            <m:sty m:val="p"/>
          </m:rPr>
          <w:rPr>
            <w:rFonts w:ascii="Cambria Math" w:hAnsi="Cambria Math"/>
          </w:rPr>
          <m:t>)</m:t>
        </m:r>
      </m:oMath>
      <w:r w:rsidR="00FD6C28" w:rsidRPr="009D7F5F">
        <w:t xml:space="preserve"> condition implies (with</w:t>
      </w:r>
      <w:r w:rsidR="00FD6C28" w:rsidRPr="00D739C4">
        <w:t>out loss of generality) that in each population, all non-zero generating coefficients were those at the ‘start’ of each cluster. Further, such a simulation procedure induce</w:t>
      </w:r>
      <w:r w:rsidR="00001015">
        <w:t>d</w:t>
      </w:r>
      <w:r w:rsidR="00FD6C28" w:rsidRPr="00D739C4">
        <w:t xml:space="preserve"> between-population-heterogeneity by applying random variation to the mean predicto</w:t>
      </w:r>
      <w:r w:rsidR="00FD6C28" w:rsidRPr="009D7F5F">
        <w:t>r-effects</w:t>
      </w:r>
      <w:r w:rsidR="00FD6C28" w:rsidRPr="009D7F5F" w:rsidDel="00F06A54">
        <w:t xml:space="preserve"> </w:t>
      </w:r>
      <w:r w:rsidR="00FD6C28" w:rsidRPr="009D7F5F">
        <w:t>(</w:t>
      </w:r>
      <m:oMath>
        <m:acc>
          <m:accPr>
            <m:chr m:val="̅"/>
            <m:ctrlPr>
              <w:rPr>
                <w:rFonts w:ascii="Cambria Math" w:hAnsi="Cambria Math"/>
                <w:i/>
              </w:rPr>
            </m:ctrlPr>
          </m:accPr>
          <m:e>
            <m:r>
              <m:rPr>
                <m:sty m:val="bi"/>
              </m:rPr>
              <w:rPr>
                <w:rFonts w:ascii="Cambria Math" w:hAnsi="Cambria Math"/>
              </w:rPr>
              <m:t>α</m:t>
            </m:r>
          </m:e>
        </m:acc>
      </m:oMath>
      <w:r w:rsidR="00FD6C28" w:rsidRPr="009D7F5F">
        <w:t xml:space="preserve">), which </w:t>
      </w:r>
      <w:r w:rsidR="00DC688E" w:rsidRPr="009D7F5F">
        <w:t>wa</w:t>
      </w:r>
      <w:r w:rsidR="00FD6C28" w:rsidRPr="009D7F5F">
        <w:t xml:space="preserve">s controlled through the value of σ that was </w:t>
      </w:r>
      <w:r w:rsidR="00001015">
        <w:t>introduced</w:t>
      </w:r>
      <w:r w:rsidR="00FD6C28" w:rsidRPr="009D7F5F">
        <w:t xml:space="preserve"> above. To represent coefficients frequently reported in published models, </w:t>
      </w:r>
      <m:oMath>
        <m:acc>
          <m:accPr>
            <m:chr m:val="̅"/>
            <m:ctrlPr>
              <w:rPr>
                <w:rFonts w:ascii="Cambria Math" w:hAnsi="Cambria Math"/>
                <w:i/>
              </w:rPr>
            </m:ctrlPr>
          </m:accPr>
          <m:e>
            <m:r>
              <m:rPr>
                <m:sty m:val="bi"/>
              </m:rPr>
              <w:rPr>
                <w:rFonts w:ascii="Cambria Math" w:hAnsi="Cambria Math"/>
              </w:rPr>
              <m:t>α</m:t>
            </m:r>
          </m:e>
        </m:acc>
      </m:oMath>
      <w:r w:rsidR="00FD6C28" w:rsidRPr="009D7F5F">
        <w:t xml:space="preserve"> was sampled </w:t>
      </w:r>
      <w:r w:rsidR="00585A6B" w:rsidRPr="009D7F5F">
        <w:t xml:space="preserve">in each simulation </w:t>
      </w:r>
      <w:r w:rsidR="00FD6C28" w:rsidRPr="009D7F5F">
        <w:t>as follows:</w:t>
      </w:r>
    </w:p>
    <w:p w14:paraId="1385A594" w14:textId="77777777" w:rsidR="00FD6C28" w:rsidRPr="009D7F5F" w:rsidRDefault="00BF0CB4" w:rsidP="00FD6C28">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α</m:t>
                  </m:r>
                </m:e>
              </m:acc>
            </m:e>
            <m:sub>
              <m:r>
                <w:rPr>
                  <w:rFonts w:ascii="Cambria Math" w:hAnsi="Cambria Math"/>
                </w:rPr>
                <m:t>p</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p"/>
                      </m:rPr>
                      <w:rPr>
                        <w:rFonts w:ascii="Cambria Math" w:hAnsi="Cambria Math"/>
                      </w:rPr>
                      <m:t>Uniform(0.80, 1.6)</m:t>
                    </m:r>
                  </m:e>
                  <m:e>
                    <m:r>
                      <m:rPr>
                        <m:sty m:val="p"/>
                      </m:rPr>
                      <w:rPr>
                        <w:rFonts w:ascii="Cambria Math" w:hAnsi="Cambria Math"/>
                      </w:rPr>
                      <m:t xml:space="preserve">if parameter </m:t>
                    </m:r>
                    <m:r>
                      <w:rPr>
                        <w:rFonts w:ascii="Cambria Math" w:hAnsi="Cambria Math"/>
                      </w:rPr>
                      <m:t>p</m:t>
                    </m:r>
                    <m:r>
                      <m:rPr>
                        <m:sty m:val="p"/>
                      </m:rPr>
                      <w:rPr>
                        <w:rFonts w:ascii="Cambria Math" w:hAnsi="Cambria Math"/>
                      </w:rPr>
                      <m:t xml:space="preserve"> is binary</m:t>
                    </m:r>
                  </m:e>
                </m:mr>
                <m:mr>
                  <m:e>
                    <m:r>
                      <m:rPr>
                        <m:sty m:val="p"/>
                      </m:rPr>
                      <w:rPr>
                        <w:rFonts w:ascii="Cambria Math" w:hAnsi="Cambria Math"/>
                      </w:rPr>
                      <m:t>Uniform(0.08, 0.1)</m:t>
                    </m:r>
                  </m:e>
                  <m:e>
                    <m:r>
                      <m:rPr>
                        <m:sty m:val="p"/>
                      </m:rPr>
                      <w:rPr>
                        <w:rFonts w:ascii="Cambria Math" w:hAnsi="Cambria Math"/>
                      </w:rPr>
                      <m:t xml:space="preserve">if parameter </m:t>
                    </m:r>
                    <m:r>
                      <w:rPr>
                        <w:rFonts w:ascii="Cambria Math" w:hAnsi="Cambria Math"/>
                      </w:rPr>
                      <m:t>p</m:t>
                    </m:r>
                    <m:r>
                      <m:rPr>
                        <m:sty m:val="p"/>
                      </m:rPr>
                      <w:rPr>
                        <w:rFonts w:ascii="Cambria Math" w:hAnsi="Cambria Math"/>
                      </w:rPr>
                      <m:t xml:space="preserve"> is continuous</m:t>
                    </m:r>
                  </m:e>
                </m:mr>
              </m:m>
            </m:e>
          </m:d>
        </m:oMath>
      </m:oMathPara>
    </w:p>
    <w:p w14:paraId="3CED5172" w14:textId="56C873BD" w:rsidR="00FD6C28" w:rsidRPr="009D7F5F" w:rsidRDefault="00FD6C28" w:rsidP="00220D13">
      <w:r w:rsidRPr="009D7F5F">
        <w:lastRenderedPageBreak/>
        <w:t xml:space="preserve">In addition, baseline risk undoubtedly differs between populations and, as such, </w:t>
      </w:r>
      <w:r w:rsidR="000F5982" w:rsidRPr="009D7F5F">
        <w:t>each</w:t>
      </w:r>
      <w:r w:rsidRPr="009D7F5F">
        <w:t xml:space="preserve"> intercept </w:t>
      </w:r>
      <m:oMath>
        <m:sSub>
          <m:sSubPr>
            <m:ctrlPr>
              <w:rPr>
                <w:rFonts w:ascii="Cambria Math" w:hAnsi="Cambria Math"/>
                <w:i/>
              </w:rPr>
            </m:ctrlPr>
          </m:sSubPr>
          <m:e>
            <m:r>
              <w:rPr>
                <w:rFonts w:ascii="Cambria Math" w:hAnsi="Cambria Math"/>
              </w:rPr>
              <m:t>α</m:t>
            </m:r>
          </m:e>
          <m:sub>
            <m:r>
              <w:rPr>
                <w:rFonts w:ascii="Cambria Math" w:hAnsi="Cambria Math"/>
              </w:rPr>
              <m:t>0,j</m:t>
            </m:r>
          </m:sub>
        </m:sSub>
        <m:r>
          <w:rPr>
            <w:rFonts w:ascii="Cambria Math" w:hAnsi="Cambria Math"/>
          </w:rPr>
          <m:t xml:space="preserve"> </m:t>
        </m:r>
      </m:oMath>
      <w:r w:rsidRPr="009D7F5F">
        <w:t xml:space="preserve">was selected to give an average pre-defined event rate </w:t>
      </w:r>
      <w:r w:rsidR="00585A6B" w:rsidRPr="009D7F5F">
        <w:t>of 20% plus random variation</w:t>
      </w:r>
      <w:r w:rsidRPr="009D7F5F">
        <w:t xml:space="preserve">. All simulations were repeated with an event rate of 50%, </w:t>
      </w:r>
      <w:r w:rsidR="00D739C4">
        <w:t>reflecting a 1</w:t>
      </w:r>
      <w:r w:rsidR="00F97F8E">
        <w:t>-to-1 case-control</w:t>
      </w:r>
      <w:r w:rsidRPr="009D7F5F">
        <w:t xml:space="preserve"> study.</w:t>
      </w:r>
      <w:r w:rsidR="00220D13" w:rsidRPr="009D7F5F">
        <w:t xml:space="preserve"> </w:t>
      </w:r>
      <w:r w:rsidRPr="009D7F5F">
        <w:t xml:space="preserve">A sensitivity analysis was undertaken where the magnitude of </w:t>
      </w:r>
      <m:oMath>
        <m:acc>
          <m:accPr>
            <m:chr m:val="̅"/>
            <m:ctrlPr>
              <w:rPr>
                <w:rFonts w:ascii="Cambria Math" w:hAnsi="Cambria Math"/>
                <w:i/>
              </w:rPr>
            </m:ctrlPr>
          </m:accPr>
          <m:e>
            <m:r>
              <m:rPr>
                <m:sty m:val="bi"/>
              </m:rPr>
              <w:rPr>
                <w:rFonts w:ascii="Cambria Math" w:hAnsi="Cambria Math"/>
              </w:rPr>
              <m:t>α</m:t>
            </m:r>
            <m:ctrlPr>
              <w:rPr>
                <w:rFonts w:ascii="Cambria Math" w:hAnsi="Cambria Math"/>
                <w:b/>
                <w:i/>
              </w:rPr>
            </m:ctrlPr>
          </m:e>
        </m:acc>
      </m:oMath>
      <w:r w:rsidRPr="009D7F5F">
        <w:rPr>
          <w:b/>
        </w:rPr>
        <w:t xml:space="preserve"> </w:t>
      </w:r>
      <w:r w:rsidRPr="009D7F5F">
        <w:t xml:space="preserve">was different across the generating predictors (see </w:t>
      </w:r>
      <w:r w:rsidR="00CB3F5D">
        <w:t>Additional File 1</w:t>
      </w:r>
      <w:r w:rsidRPr="009D7F5F">
        <w:t xml:space="preserve"> for details), but the results were qualitatively similar as those presented here and so are omitted.</w:t>
      </w:r>
    </w:p>
    <w:p w14:paraId="0C93436B" w14:textId="77777777" w:rsidR="00FD6C28" w:rsidRPr="009D7F5F" w:rsidRDefault="00FD6C28" w:rsidP="00FD6C28">
      <w:pPr>
        <w:pStyle w:val="Heading2"/>
      </w:pPr>
      <w:r w:rsidRPr="009D7F5F">
        <w:t>Simulation Design: performance measures</w:t>
      </w:r>
    </w:p>
    <w:p w14:paraId="4C8C1A62" w14:textId="2E137403" w:rsidR="00FD6C28" w:rsidRPr="009D7F5F" w:rsidRDefault="00FD6C28" w:rsidP="00220D13">
      <w:r w:rsidRPr="009D7F5F">
        <w:tab/>
        <w:t xml:space="preserve">For each iteration </w:t>
      </w:r>
      <w:r w:rsidR="00E8298D" w:rsidRPr="009D7F5F">
        <w:t xml:space="preserve">within a given simulation scenario, </w:t>
      </w:r>
      <w:r w:rsidRPr="009D7F5F">
        <w:t xml:space="preserve">the mean squared </w:t>
      </w:r>
      <w:r w:rsidR="00632155" w:rsidRPr="009D7F5F">
        <w:t xml:space="preserve">error </w:t>
      </w:r>
      <w:r w:rsidRPr="009D7F5F">
        <w:t>(</w:t>
      </w:r>
      <w:r w:rsidR="00632155" w:rsidRPr="009D7F5F">
        <w:t>MSE</w:t>
      </w:r>
      <w:r w:rsidRPr="009D7F5F">
        <w:t>) between the predicted risk from each aggregate/</w:t>
      </w:r>
      <w:r w:rsidR="00832F7E">
        <w:t xml:space="preserve"> </w:t>
      </w:r>
      <w:r w:rsidRPr="009D7F5F">
        <w:t xml:space="preserve">new model and the actual risk from the generating model were calculated across all samples in the validation </w:t>
      </w:r>
      <w:r w:rsidR="002024C3" w:rsidRPr="009D7F5F">
        <w:t>set</w:t>
      </w:r>
      <w:r w:rsidRPr="009D7F5F">
        <w:t xml:space="preserve">. That is, for model </w:t>
      </w:r>
      <w:r w:rsidRPr="009D7F5F">
        <w:rPr>
          <w:i/>
        </w:rPr>
        <w:t xml:space="preserve">m </w:t>
      </w:r>
      <w:r w:rsidRPr="009D7F5F">
        <w:t xml:space="preserve">we have, </w:t>
      </w:r>
      <m:oMath>
        <m:sSub>
          <m:sSubPr>
            <m:ctrlPr>
              <w:rPr>
                <w:rFonts w:ascii="Cambria Math" w:hAnsi="Cambria Math"/>
              </w:rPr>
            </m:ctrlPr>
          </m:sSubPr>
          <m:e>
            <m:r>
              <m:rPr>
                <m:sty m:val="p"/>
              </m:rPr>
              <w:rPr>
                <w:rFonts w:ascii="Cambria Math" w:hAnsi="Cambria Math"/>
              </w:rPr>
              <m:t>MSE</m:t>
            </m:r>
          </m:e>
          <m:sub>
            <m:r>
              <m:rPr>
                <m:sty m:val="p"/>
              </m:rPr>
              <w:rPr>
                <w:rFonts w:ascii="Cambria Math" w:hAnsi="Cambria Math"/>
              </w:rPr>
              <m:t>m</m:t>
            </m:r>
          </m:sub>
        </m:sSub>
        <m:r>
          <m:rPr>
            <m:sty m:val="p"/>
          </m:rP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validate</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validate</m:t>
                </m:r>
              </m:sub>
            </m:s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π</m:t>
                            </m:r>
                          </m:e>
                        </m:acc>
                      </m:e>
                      <m:sub>
                        <m:r>
                          <w:rPr>
                            <w:rFonts w:ascii="Cambria Math" w:hAnsi="Cambria Math"/>
                          </w:rPr>
                          <m:t>i,m</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e>
                </m:d>
              </m:e>
              <m:sup>
                <m:r>
                  <w:rPr>
                    <w:rFonts w:ascii="Cambria Math" w:hAnsi="Cambria Math"/>
                  </w:rPr>
                  <m:t>2</m:t>
                </m:r>
              </m:sup>
            </m:sSup>
          </m:e>
        </m:nary>
      </m:oMath>
      <w:r w:rsidRPr="009D7F5F">
        <w:t xml:space="preserve">, where </w:t>
      </w:r>
      <m:oMath>
        <m:sSub>
          <m:sSubPr>
            <m:ctrlPr>
              <w:rPr>
                <w:rFonts w:ascii="Cambria Math" w:hAnsi="Cambria Math"/>
                <w:i/>
              </w:rPr>
            </m:ctrlPr>
          </m:sSubPr>
          <m:e>
            <m:acc>
              <m:accPr>
                <m:ctrlPr>
                  <w:rPr>
                    <w:rFonts w:ascii="Cambria Math" w:hAnsi="Cambria Math"/>
                    <w:i/>
                  </w:rPr>
                </m:ctrlPr>
              </m:accPr>
              <m:e>
                <m:r>
                  <w:rPr>
                    <w:rFonts w:ascii="Cambria Math" w:hAnsi="Cambria Math"/>
                  </w:rPr>
                  <m:t>π</m:t>
                </m:r>
              </m:e>
            </m:acc>
          </m:e>
          <m:sub>
            <m:r>
              <w:rPr>
                <w:rFonts w:ascii="Cambria Math" w:hAnsi="Cambria Math"/>
              </w:rPr>
              <m:t>i,m</m:t>
            </m:r>
          </m:sub>
        </m:sSub>
      </m:oMath>
      <w:r w:rsidRPr="009D7F5F">
        <w:t xml:space="preserve"> is the predicted risk from model </w:t>
      </w:r>
      <w:r w:rsidRPr="009D7F5F">
        <w:rPr>
          <w:i/>
        </w:rPr>
        <w:t xml:space="preserve">m </w:t>
      </w:r>
      <w:r w:rsidRPr="009D7F5F">
        <w:t xml:space="preserve">for observation </w:t>
      </w:r>
      <m:oMath>
        <m:r>
          <w:rPr>
            <w:rFonts w:ascii="Cambria Math" w:hAnsi="Cambria Math"/>
          </w:rPr>
          <m:t>i</m:t>
        </m:r>
      </m:oMath>
      <w:r w:rsidRPr="009D7F5F">
        <w:rPr>
          <w:i/>
        </w:rPr>
        <w:t xml:space="preserve"> </w:t>
      </w:r>
      <w:r w:rsidRPr="009D7F5F">
        <w:t xml:space="preserve">in the validation </w:t>
      </w:r>
      <w:r w:rsidR="002024C3" w:rsidRPr="009D7F5F">
        <w:t>set</w:t>
      </w:r>
      <w:r w:rsidRPr="009D7F5F">
        <w:t xml:space="preserve"> and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9D7F5F">
        <w:t xml:space="preserve"> is the generating model risks for this observation. Similarly, </w:t>
      </w:r>
      <w:r w:rsidR="00832F7E">
        <w:t>the MSE</w:t>
      </w:r>
      <w:r w:rsidR="00570D52" w:rsidRPr="009D7F5F">
        <w:t xml:space="preserve"> </w:t>
      </w:r>
      <w:r w:rsidRPr="009D7F5F">
        <w:t xml:space="preserve">was calculated between the estimated coefficients of each aggregate/ new model and the generating coefficients (i.e. </w:t>
      </w:r>
      <m:oMath>
        <m:sSub>
          <m:sSubPr>
            <m:ctrlPr>
              <w:rPr>
                <w:rFonts w:ascii="Cambria Math" w:hAnsi="Cambria Math"/>
              </w:rPr>
            </m:ctrlPr>
          </m:sSubPr>
          <m:e>
            <m:r>
              <m:rPr>
                <m:sty m:val="p"/>
              </m:rPr>
              <w:rPr>
                <w:rFonts w:ascii="Cambria Math" w:hAnsi="Cambria Math"/>
              </w:rPr>
              <m:t>MSE</m:t>
            </m:r>
          </m:e>
          <m:sub>
            <m:r>
              <m:rPr>
                <m:sty m:val="p"/>
              </m:rPr>
              <w:rPr>
                <w:rFonts w:ascii="Cambria Math" w:hAnsi="Cambria Math"/>
              </w:rPr>
              <m:t>m</m:t>
            </m:r>
          </m:sub>
        </m:sSub>
        <m:r>
          <m:rPr>
            <m:sty m:val="p"/>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m:t>
            </m:r>
          </m:den>
        </m:f>
        <m:nary>
          <m:naryPr>
            <m:chr m:val="∑"/>
            <m:limLoc m:val="undOvr"/>
            <m:ctrlPr>
              <w:rPr>
                <w:rFonts w:ascii="Cambria Math" w:hAnsi="Cambria Math"/>
                <w:i/>
              </w:rPr>
            </m:ctrlPr>
          </m:naryPr>
          <m:sub>
            <m:r>
              <w:rPr>
                <w:rFonts w:ascii="Cambria Math" w:hAnsi="Cambria Math"/>
              </w:rPr>
              <m:t>p=1</m:t>
            </m:r>
          </m:sub>
          <m:sup>
            <m:r>
              <w:rPr>
                <w:rFonts w:ascii="Cambria Math" w:hAnsi="Cambria Math"/>
              </w:rPr>
              <m:t>P</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p,m</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p,M+1</m:t>
                        </m:r>
                      </m:sub>
                    </m:sSub>
                  </m:e>
                </m:d>
              </m:e>
              <m:sup>
                <m:r>
                  <w:rPr>
                    <w:rFonts w:ascii="Cambria Math" w:hAnsi="Cambria Math"/>
                  </w:rPr>
                  <m:t>2</m:t>
                </m:r>
              </m:sup>
            </m:sSup>
          </m:e>
        </m:nary>
      </m:oMath>
      <w:r w:rsidRPr="009D7F5F">
        <w:t xml:space="preserve">, where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p,m</m:t>
            </m:r>
          </m:sub>
        </m:sSub>
      </m:oMath>
      <w:r w:rsidRPr="009D7F5F">
        <w:t xml:space="preserve"> is the estimated </w:t>
      </w:r>
      <w:r w:rsidRPr="009D7F5F">
        <w:rPr>
          <w:i/>
        </w:rPr>
        <w:t>p</w:t>
      </w:r>
      <w:r w:rsidRPr="009D7F5F">
        <w:rPr>
          <w:vertAlign w:val="superscript"/>
        </w:rPr>
        <w:t>th</w:t>
      </w:r>
      <w:r w:rsidRPr="009D7F5F">
        <w:t xml:space="preserve"> coefficient from model </w:t>
      </w:r>
      <w:r w:rsidR="00632155" w:rsidRPr="009D7F5F">
        <w:rPr>
          <w:i/>
        </w:rPr>
        <w:t>m</w:t>
      </w:r>
      <w:r w:rsidRPr="009D7F5F">
        <w:rPr>
          <w:i/>
        </w:rPr>
        <w:t xml:space="preserve"> </w:t>
      </w:r>
      <w:r w:rsidRPr="009D7F5F">
        <w:t xml:space="preserve">and </w:t>
      </w:r>
      <m:oMath>
        <m:sSub>
          <m:sSubPr>
            <m:ctrlPr>
              <w:rPr>
                <w:rFonts w:ascii="Cambria Math" w:hAnsi="Cambria Math"/>
                <w:i/>
              </w:rPr>
            </m:ctrlPr>
          </m:sSubPr>
          <m:e>
            <m:r>
              <w:rPr>
                <w:rFonts w:ascii="Cambria Math" w:hAnsi="Cambria Math"/>
              </w:rPr>
              <m:t>α</m:t>
            </m:r>
          </m:e>
          <m:sub>
            <m:r>
              <w:rPr>
                <w:rFonts w:ascii="Cambria Math" w:hAnsi="Cambria Math"/>
              </w:rPr>
              <m:t>p,M+1</m:t>
            </m:r>
          </m:sub>
        </m:sSub>
      </m:oMath>
      <w:r w:rsidRPr="009D7F5F">
        <w:t xml:space="preserve"> is the </w:t>
      </w:r>
      <w:r w:rsidRPr="009D7F5F">
        <w:rPr>
          <w:i/>
        </w:rPr>
        <w:t>p</w:t>
      </w:r>
      <w:r w:rsidRPr="009D7F5F">
        <w:rPr>
          <w:vertAlign w:val="superscript"/>
        </w:rPr>
        <w:t>th</w:t>
      </w:r>
      <w:r w:rsidRPr="009D7F5F">
        <w:t xml:space="preserve"> generating coefficient in the </w:t>
      </w:r>
      <w:r w:rsidR="002C432F" w:rsidRPr="009D7F5F">
        <w:t>local population</w:t>
      </w:r>
      <w:r w:rsidRPr="009D7F5F">
        <w:t>).</w:t>
      </w:r>
      <w:r w:rsidR="00632155" w:rsidRPr="009D7F5F">
        <w:t xml:space="preserve"> </w:t>
      </w:r>
      <w:r w:rsidRPr="009D7F5F">
        <w:t xml:space="preserve">Additionally, the calibration and discrimination of </w:t>
      </w:r>
      <w:r w:rsidR="002C432F" w:rsidRPr="009D7F5F">
        <w:t xml:space="preserve">each aggregate/ new model </w:t>
      </w:r>
      <w:r w:rsidR="009F3F4A" w:rsidRPr="009D7F5F">
        <w:t xml:space="preserve">were </w:t>
      </w:r>
      <w:r w:rsidRPr="009D7F5F">
        <w:t xml:space="preserve">calculated in the validation </w:t>
      </w:r>
      <w:r w:rsidR="002024C3" w:rsidRPr="009D7F5F">
        <w:t>set</w:t>
      </w:r>
      <w:r w:rsidRPr="009D7F5F">
        <w:t xml:space="preserve">. The calibration was quantified with a calibration intercept and slope, where values of zero and one respectively represent a well-calibrated model </w:t>
      </w:r>
      <w:r w:rsidRPr="007F2ED4">
        <w:fldChar w:fldCharType="begin" w:fldLock="1"/>
      </w:r>
      <w:r w:rsidR="00BB581D">
        <w:instrText>ADDIN CSL_CITATION { "citationItems" : [ { "id" : "ITEM-1", "itemData" : { "author" : [ { "dropping-particle" : "", "family" : "Cox", "given" : "DR", "non-dropping-particle" : "", "parse-names" : false, "suffix" : "" } ], "container-title" : "Biometrika", "id" : "ITEM-1", "issue" : "3", "issued" : { "date-parts" : [ [ "1958" ] ] }, "page" : "562-565", "title" : "Two further applications of a model for binary regression", "type" : "article-journal", "volume" : "45" }, "uris" : [ "http://www.mendeley.com/documents/?uuid=b554a78f-48ea-4b61-b918-1bd14e168805" ] } ], "mendeley" : { "formattedCitation" : "[30]", "plainTextFormattedCitation" : "[30]", "previouslyFormattedCitation" : "[30]" }, "properties" : { "noteIndex" : 0 }, "schema" : "https://github.com/citation-style-language/schema/raw/master/csl-citation.json" }</w:instrText>
      </w:r>
      <w:r w:rsidRPr="007F2ED4">
        <w:fldChar w:fldCharType="separate"/>
      </w:r>
      <w:r w:rsidR="00BB581D" w:rsidRPr="00BB581D">
        <w:rPr>
          <w:noProof/>
        </w:rPr>
        <w:t>[30]</w:t>
      </w:r>
      <w:r w:rsidRPr="007F2ED4">
        <w:fldChar w:fldCharType="end"/>
      </w:r>
      <w:r w:rsidRPr="009D7F5F">
        <w:t xml:space="preserve">. Discrimination was evaluated by the area under the ROC curve (AUC). </w:t>
      </w:r>
      <w:r w:rsidR="009F3F4A" w:rsidRPr="009D7F5F">
        <w:t>All</w:t>
      </w:r>
      <w:r w:rsidRPr="009D7F5F">
        <w:t xml:space="preserve"> performance measures were averaged across iterations and the empirical standard errors were calculated.</w:t>
      </w:r>
    </w:p>
    <w:p w14:paraId="35DD0C60" w14:textId="77777777" w:rsidR="00FD6C28" w:rsidRPr="009D7F5F" w:rsidRDefault="00FD6C28" w:rsidP="00FD6C28">
      <w:pPr>
        <w:pStyle w:val="Heading1"/>
      </w:pPr>
      <w:r w:rsidRPr="009D7F5F">
        <w:lastRenderedPageBreak/>
        <w:t>Results</w:t>
      </w:r>
    </w:p>
    <w:p w14:paraId="7C30927E" w14:textId="77777777" w:rsidR="00FD6C28" w:rsidRPr="009D7F5F" w:rsidRDefault="00FD6C28" w:rsidP="00FD6C28">
      <w:pPr>
        <w:pStyle w:val="Heading2"/>
      </w:pPr>
      <w:r w:rsidRPr="009D7F5F">
        <w:t>Simulated Between-Population Heterogeneity</w:t>
      </w:r>
    </w:p>
    <w:p w14:paraId="5DD33EB7" w14:textId="1130DE39" w:rsidR="00220D13" w:rsidRDefault="00FD6C28" w:rsidP="00404A86">
      <w:pPr>
        <w:ind w:firstLine="720"/>
      </w:pPr>
      <w:r w:rsidRPr="009D7F5F">
        <w:t xml:space="preserve">To gain a practical understanding of the between-population-heterogeneity generated by increasing values of σ, for all simulated parameters the difference </w:t>
      </w:r>
      <w:r w:rsidR="000E0809" w:rsidRPr="009D7F5F">
        <w:t xml:space="preserve">between </w:t>
      </w:r>
      <w:r w:rsidRPr="009D7F5F">
        <w:t>the largest coefficient and smallest coefficient across populations was calculated and summarised (</w:t>
      </w:r>
      <w:r w:rsidRPr="009D7F5F">
        <w:rPr>
          <w:b/>
        </w:rPr>
        <w:t>Table 1)</w:t>
      </w:r>
      <w:r w:rsidR="008343B5">
        <w:t>; such values were compared with corresponding values from the surgical models.</w:t>
      </w:r>
      <w:r w:rsidRPr="009D7F5F">
        <w:t xml:space="preserve"> Coefficient differences over the LES, ESII, STS and German AV represent heterogeneity across </w:t>
      </w:r>
      <w:r w:rsidR="00B24B39" w:rsidRPr="009D7F5F">
        <w:t xml:space="preserve">cardiac surgery risk </w:t>
      </w:r>
      <w:r w:rsidRPr="009D7F5F">
        <w:t>models</w:t>
      </w:r>
      <w:r w:rsidR="00B24B39" w:rsidRPr="009D7F5F">
        <w:t xml:space="preserve"> each </w:t>
      </w:r>
      <w:r w:rsidRPr="009D7F5F">
        <w:t xml:space="preserve">developed across multiple countries. Coefficient differences over </w:t>
      </w:r>
      <w:r w:rsidR="00DF795E">
        <w:t>these</w:t>
      </w:r>
      <w:r w:rsidRPr="009D7F5F">
        <w:t xml:space="preserve"> models closely matched those generated with σ=0.25 or σ=0.375. Conversely, LES and ESII are two models that were developed on </w:t>
      </w:r>
      <w:r w:rsidR="00B24B39" w:rsidRPr="009D7F5F">
        <w:t xml:space="preserve">very </w:t>
      </w:r>
      <w:r w:rsidRPr="009D7F5F">
        <w:t>similar cohorts of patients; here, the coefficient differences most closely match those generated by σ=0.125. Similarly, the average standard deviation of the coefficients across the LES, ESII, STS and German AV models was 0.33 (closely matching σ=0.375), while that between the LES and ESII was 0.26 (closely matching σ=0.25). Together, this suggests that σ values between 0 and 0.375 likely represent the majority of clinical situations, with σ values greater than</w:t>
      </w:r>
      <w:r w:rsidR="00404A86">
        <w:t xml:space="preserve"> 0.5 arguably rare in practice.</w:t>
      </w:r>
    </w:p>
    <w:p w14:paraId="68B967D4" w14:textId="2DD944AB" w:rsidR="00F26EA9" w:rsidRPr="00404A86" w:rsidRDefault="00F26EA9" w:rsidP="00F26EA9">
      <w:pPr>
        <w:ind w:firstLine="720"/>
        <w:jc w:val="center"/>
      </w:pPr>
      <w:r>
        <w:t>[Approximate location of Table 1]</w:t>
      </w:r>
    </w:p>
    <w:p w14:paraId="2316F490" w14:textId="77777777" w:rsidR="00FD6C28" w:rsidRPr="009D7F5F" w:rsidRDefault="00FD6C28" w:rsidP="00FD6C28">
      <w:pPr>
        <w:pStyle w:val="Heading2"/>
      </w:pPr>
      <w:r w:rsidRPr="009D7F5F">
        <w:t>Mean Square Error</w:t>
      </w:r>
    </w:p>
    <w:p w14:paraId="1B0CF6A2" w14:textId="48B1F364" w:rsidR="00FD6C28" w:rsidRPr="009D7F5F" w:rsidRDefault="00FD6C28" w:rsidP="00FD6C28">
      <w:r w:rsidRPr="009D7F5F">
        <w:tab/>
        <w:t xml:space="preserve">For training </w:t>
      </w:r>
      <w:r w:rsidR="002024C3" w:rsidRPr="009D7F5F">
        <w:t>set samples</w:t>
      </w:r>
      <w:r w:rsidRPr="009D7F5F">
        <w:t xml:space="preserve"> of 500 or less and when σ≤0.25, all three aggregation approaches resulted in predicted risks that had </w:t>
      </w:r>
      <w:r w:rsidR="000E0809" w:rsidRPr="009D7F5F">
        <w:t xml:space="preserve">smaller </w:t>
      </w:r>
      <w:r w:rsidR="00B064C9" w:rsidRPr="009D7F5F">
        <w:t xml:space="preserve">mean square error </w:t>
      </w:r>
      <w:r w:rsidR="00BA1EE2" w:rsidRPr="009D7F5F">
        <w:t>and lowered</w:t>
      </w:r>
      <w:r w:rsidR="00B064C9" w:rsidRPr="009D7F5F">
        <w:t xml:space="preserve"> </w:t>
      </w:r>
      <w:r w:rsidRPr="009D7F5F">
        <w:t xml:space="preserve">the variance component of the error </w:t>
      </w:r>
      <w:r w:rsidR="00BA1EE2" w:rsidRPr="009D7F5F">
        <w:t xml:space="preserve">compared with redevelopment </w:t>
      </w:r>
      <w:r w:rsidRPr="009D7F5F">
        <w:t>(</w:t>
      </w:r>
      <w:r w:rsidR="00CB3F5D">
        <w:t xml:space="preserve">Additional File 1 </w:t>
      </w:r>
      <w:r w:rsidR="00CB3F5D" w:rsidRPr="00CB3F5D">
        <w:rPr>
          <w:b/>
        </w:rPr>
        <w:t>eTable 2</w:t>
      </w:r>
      <w:r w:rsidRPr="009D7F5F">
        <w:t xml:space="preserve">). Similarly, for training sample sizes less than or equal to 500, SR </w:t>
      </w:r>
      <w:r w:rsidR="00B064C9" w:rsidRPr="009D7F5F">
        <w:t xml:space="preserve">had estimated coefficients with consistently </w:t>
      </w:r>
      <w:r w:rsidR="000E0809" w:rsidRPr="009D7F5F">
        <w:t xml:space="preserve">smaller </w:t>
      </w:r>
      <w:r w:rsidR="00B064C9" w:rsidRPr="009D7F5F">
        <w:t>mean square error with lower standard error than the redevelopment approaches,</w:t>
      </w:r>
      <w:r w:rsidR="00BA1EE2" w:rsidRPr="009D7F5F">
        <w:t xml:space="preserve"> </w:t>
      </w:r>
      <w:r w:rsidRPr="009D7F5F">
        <w:t>with the exception of the two highest values of σ (</w:t>
      </w:r>
      <w:r w:rsidR="00CB3F5D">
        <w:t xml:space="preserve">Additional File 1 </w:t>
      </w:r>
      <w:r w:rsidR="00CB3F5D" w:rsidRPr="00CB3F5D">
        <w:rPr>
          <w:b/>
        </w:rPr>
        <w:t>eTable 3</w:t>
      </w:r>
      <w:r w:rsidRPr="009D7F5F">
        <w:t xml:space="preserve">). Conversely, for training samples of 1000 or more, developing a new model by ridge regression provided parameter estimates with </w:t>
      </w:r>
      <w:r w:rsidR="00B24B39" w:rsidRPr="009D7F5F">
        <w:t xml:space="preserve">at least </w:t>
      </w:r>
      <w:r w:rsidRPr="009D7F5F">
        <w:t xml:space="preserve">equivalent MSE </w:t>
      </w:r>
      <w:r w:rsidR="00B24B39" w:rsidRPr="009D7F5F">
        <w:t>to</w:t>
      </w:r>
      <w:r w:rsidRPr="009D7F5F">
        <w:t xml:space="preserve"> the aggregation methods.</w:t>
      </w:r>
    </w:p>
    <w:p w14:paraId="5B5E53E8" w14:textId="77777777" w:rsidR="00FD6C28" w:rsidRPr="009D7F5F" w:rsidRDefault="00FD6C28" w:rsidP="00FD6C28">
      <w:pPr>
        <w:pStyle w:val="Heading2"/>
      </w:pPr>
      <w:r w:rsidRPr="009D7F5F">
        <w:t>Model Calibration</w:t>
      </w:r>
    </w:p>
    <w:p w14:paraId="4CC5C7D1" w14:textId="0592D523" w:rsidR="00FD6C28" w:rsidRPr="009D7F5F" w:rsidRDefault="000E0809" w:rsidP="00FD6C28">
      <w:pPr>
        <w:ind w:firstLine="720"/>
      </w:pPr>
      <w:r w:rsidRPr="009D7F5F">
        <w:t>T</w:t>
      </w:r>
      <w:r w:rsidR="00FD6C28" w:rsidRPr="009D7F5F">
        <w:t>he calibration intercepts for all the aggregate/</w:t>
      </w:r>
      <w:r w:rsidR="00DF795E">
        <w:t xml:space="preserve"> </w:t>
      </w:r>
      <w:r w:rsidR="00FD6C28" w:rsidRPr="009D7F5F">
        <w:t xml:space="preserve">new models were not significantly different from zero in the validation </w:t>
      </w:r>
      <w:r w:rsidR="003F2014" w:rsidRPr="009D7F5F">
        <w:t>set</w:t>
      </w:r>
      <w:r w:rsidR="00FD6C28" w:rsidRPr="009D7F5F">
        <w:t xml:space="preserve"> across all simulations (</w:t>
      </w:r>
      <w:r w:rsidR="00FD6C28" w:rsidRPr="009D7F5F">
        <w:rPr>
          <w:b/>
        </w:rPr>
        <w:t xml:space="preserve">Figure </w:t>
      </w:r>
      <w:r w:rsidR="00B064C9" w:rsidRPr="009D7F5F">
        <w:rPr>
          <w:b/>
        </w:rPr>
        <w:t>2</w:t>
      </w:r>
      <w:r w:rsidR="00FD6C28" w:rsidRPr="009D7F5F">
        <w:t xml:space="preserve">). Across all values of σ and for training </w:t>
      </w:r>
      <w:r w:rsidR="003F2014" w:rsidRPr="009D7F5F">
        <w:t>set</w:t>
      </w:r>
      <w:r w:rsidR="00FD6C28" w:rsidRPr="009D7F5F">
        <w:t xml:space="preserve"> sizes smaller than 1000, the calibration slope of the AIC derived model</w:t>
      </w:r>
      <w:r w:rsidR="00FD6C28" w:rsidRPr="009D7F5F" w:rsidDel="000D3FDC">
        <w:t xml:space="preserve"> </w:t>
      </w:r>
      <w:r w:rsidR="00FD6C28" w:rsidRPr="009D7F5F">
        <w:t xml:space="preserve">was significantly below one indicating </w:t>
      </w:r>
      <w:r w:rsidR="008343B5">
        <w:t>overfitting</w:t>
      </w:r>
      <w:r w:rsidR="00FD6C28" w:rsidRPr="009D7F5F">
        <w:t>, while that for ridge regression was higher than one</w:t>
      </w:r>
      <w:r w:rsidR="00960303" w:rsidRPr="009D7F5F">
        <w:t>, indicating slight over-shrinkage o</w:t>
      </w:r>
      <w:r w:rsidR="00FD6C28" w:rsidRPr="009D7F5F">
        <w:t>n the parameters (</w:t>
      </w:r>
      <w:r w:rsidR="00FD6C28" w:rsidRPr="009D7F5F">
        <w:rPr>
          <w:b/>
        </w:rPr>
        <w:t xml:space="preserve">Figure </w:t>
      </w:r>
      <w:r w:rsidR="00960303" w:rsidRPr="009D7F5F">
        <w:rPr>
          <w:b/>
        </w:rPr>
        <w:t>3</w:t>
      </w:r>
      <w:r w:rsidR="00FD6C28" w:rsidRPr="009D7F5F">
        <w:t>). Conversely, the three aggregate models had a calibration slope not significantly different from one in any scenario</w:t>
      </w:r>
      <w:r w:rsidR="00960303" w:rsidRPr="009D7F5F">
        <w:t>, with the</w:t>
      </w:r>
      <w:r w:rsidR="007952FF" w:rsidRPr="009D7F5F">
        <w:t xml:space="preserve"> exception</w:t>
      </w:r>
      <w:r w:rsidR="00960303" w:rsidRPr="009D7F5F">
        <w:t xml:space="preserve"> of PCA in </w:t>
      </w:r>
      <w:r w:rsidR="00BA1EE2" w:rsidRPr="009D7F5F">
        <w:t>the smallest sample sizes</w:t>
      </w:r>
      <w:r w:rsidR="00FD6C28" w:rsidRPr="009D7F5F">
        <w:t>.</w:t>
      </w:r>
    </w:p>
    <w:p w14:paraId="5A8F8347" w14:textId="77777777" w:rsidR="00FD6C28" w:rsidRPr="009D7F5F" w:rsidRDefault="00FD6C28" w:rsidP="00FD6C28">
      <w:pPr>
        <w:pStyle w:val="Heading2"/>
      </w:pPr>
      <w:r w:rsidRPr="009D7F5F">
        <w:t>Model Discrimination</w:t>
      </w:r>
    </w:p>
    <w:p w14:paraId="4EAC1947" w14:textId="06564518" w:rsidR="00FD6C28" w:rsidRPr="009D7F5F" w:rsidRDefault="00960303" w:rsidP="00FD6C28">
      <w:pPr>
        <w:ind w:firstLine="720"/>
      </w:pPr>
      <w:r w:rsidRPr="009D7F5F">
        <w:t xml:space="preserve">When σ≤0.125 and for training </w:t>
      </w:r>
      <w:r w:rsidR="003F2014" w:rsidRPr="009D7F5F">
        <w:t>sets</w:t>
      </w:r>
      <w:r w:rsidRPr="009D7F5F">
        <w:t xml:space="preserve"> of 250 or </w:t>
      </w:r>
      <w:r w:rsidR="000E0809" w:rsidRPr="009D7F5F">
        <w:t>fewer</w:t>
      </w:r>
      <w:r w:rsidRPr="009D7F5F">
        <w:t xml:space="preserve">, the AUC of SR was significantly higher than that of both </w:t>
      </w:r>
      <w:r w:rsidR="00BA1EE2" w:rsidRPr="009D7F5F">
        <w:t>redevelopment</w:t>
      </w:r>
      <w:r w:rsidR="00B24B39" w:rsidRPr="009D7F5F">
        <w:t xml:space="preserve"> approaches</w:t>
      </w:r>
      <w:r w:rsidRPr="009D7F5F">
        <w:t>. Although the 95% confidence intervals overlapped, w</w:t>
      </w:r>
      <w:r w:rsidR="00FD6C28" w:rsidRPr="009D7F5F">
        <w:t>hen σ&lt;0.</w:t>
      </w:r>
      <w:r w:rsidRPr="009D7F5F">
        <w:t>25</w:t>
      </w:r>
      <w:r w:rsidR="00FD6C28" w:rsidRPr="009D7F5F">
        <w:t xml:space="preserve"> and the training </w:t>
      </w:r>
      <w:r w:rsidR="003F2014" w:rsidRPr="009D7F5F">
        <w:t>set</w:t>
      </w:r>
      <w:r w:rsidR="00FD6C28" w:rsidRPr="009D7F5F">
        <w:t xml:space="preserve"> was less than 1000 observations, the AUC of the two newly derived models (AIC/ ridge) </w:t>
      </w:r>
      <w:r w:rsidRPr="009D7F5F">
        <w:t xml:space="preserve">were </w:t>
      </w:r>
      <w:r w:rsidR="00FD6C28" w:rsidRPr="009D7F5F">
        <w:t>less than that of the aggregate approaches</w:t>
      </w:r>
      <w:r w:rsidRPr="009D7F5F">
        <w:t xml:space="preserve"> </w:t>
      </w:r>
      <w:r w:rsidR="00FD6C28" w:rsidRPr="009D7F5F">
        <w:t>(</w:t>
      </w:r>
      <w:r w:rsidR="00CB3F5D">
        <w:t xml:space="preserve">Additional File 1 </w:t>
      </w:r>
      <w:r w:rsidR="00CB3F5D" w:rsidRPr="00CB3F5D">
        <w:rPr>
          <w:b/>
        </w:rPr>
        <w:t>eTable 4</w:t>
      </w:r>
      <w:r w:rsidR="00FD6C28" w:rsidRPr="009D7F5F">
        <w:t>).</w:t>
      </w:r>
      <w:r w:rsidR="001210C9" w:rsidRPr="009D7F5F">
        <w:t xml:space="preserve"> For </w:t>
      </w:r>
      <w:r w:rsidR="000D02B1" w:rsidRPr="009D7F5F">
        <w:t>instance</w:t>
      </w:r>
      <w:r w:rsidR="001210C9" w:rsidRPr="009D7F5F">
        <w:t>, when σ=0, the AUC of SR was higher than that of ridge regression in 988, 968, 821, 498, 56 and 19 out of the 1000 iterations for training set sizes 150, 250, 500, 1000, 5000 and 10000, respectively.</w:t>
      </w:r>
      <w:r w:rsidR="000D02B1" w:rsidRPr="009D7F5F">
        <w:t xml:space="preserve"> Hence, given training set samples of less than 500 and very similar populations, SR provides consistently higher AUC than redevelopment by either ridge or backwards selection.</w:t>
      </w:r>
    </w:p>
    <w:p w14:paraId="3B529481" w14:textId="77777777" w:rsidR="00FD6C28" w:rsidRPr="009D7F5F" w:rsidRDefault="00FD6C28" w:rsidP="00FD6C28">
      <w:pPr>
        <w:pStyle w:val="Heading2"/>
      </w:pPr>
      <w:r w:rsidRPr="009D7F5F">
        <w:t>Modelling Strategy Recommendations</w:t>
      </w:r>
    </w:p>
    <w:p w14:paraId="5F53534A" w14:textId="69FA94AC" w:rsidR="004E55A3" w:rsidRPr="009D7F5F" w:rsidRDefault="004E55A3" w:rsidP="000D3E81">
      <w:r w:rsidRPr="009D7F5F">
        <w:tab/>
      </w:r>
      <w:r w:rsidR="000D02B1" w:rsidRPr="009D7F5F">
        <w:t>A</w:t>
      </w:r>
      <w:r w:rsidRPr="009D7F5F">
        <w:t xml:space="preserve"> framework </w:t>
      </w:r>
      <w:r w:rsidR="000D02B1" w:rsidRPr="009D7F5F">
        <w:t xml:space="preserve">that compared modelling strategies of </w:t>
      </w:r>
      <w:r w:rsidR="00BA1EE2" w:rsidRPr="009D7F5F">
        <w:t>redevelopment</w:t>
      </w:r>
      <w:r w:rsidR="000D02B1" w:rsidRPr="009D7F5F">
        <w:t xml:space="preserve"> and aggregation</w:t>
      </w:r>
      <w:r w:rsidRPr="009D7F5F">
        <w:t xml:space="preserve"> was developed. </w:t>
      </w:r>
      <w:r w:rsidR="000D02B1" w:rsidRPr="009D7F5F">
        <w:t xml:space="preserve">For </w:t>
      </w:r>
      <w:r w:rsidR="00397730" w:rsidRPr="009D7F5F">
        <w:t>redevelopment</w:t>
      </w:r>
      <w:r w:rsidR="000D02B1" w:rsidRPr="009D7F5F">
        <w:t>, r</w:t>
      </w:r>
      <w:r w:rsidRPr="009D7F5F">
        <w:t xml:space="preserve">idge regression was always recommended over AIC since the former more appropriately accounted for low </w:t>
      </w:r>
      <w:r w:rsidR="003F2014" w:rsidRPr="009D7F5F">
        <w:t>training set</w:t>
      </w:r>
      <w:r w:rsidRPr="009D7F5F">
        <w:t xml:space="preserve"> sizes. Likewise, all three aggregation approaches performed </w:t>
      </w:r>
      <w:r w:rsidR="00DF795E">
        <w:t>comparably</w:t>
      </w:r>
      <w:r w:rsidRPr="009D7F5F">
        <w:t xml:space="preserve"> and so SR was considered here due to the simplicity of implementation. </w:t>
      </w:r>
      <w:r w:rsidR="00552F4B">
        <w:t>Hence, on comparing ridge regression to SR a</w:t>
      </w:r>
      <w:r w:rsidRPr="009D7F5F">
        <w:t xml:space="preserve">cross all simulation scenarios, if </w:t>
      </w:r>
      <w:r w:rsidR="00552F4B">
        <w:t xml:space="preserve">one of the </w:t>
      </w:r>
      <w:r w:rsidR="00A15571" w:rsidRPr="009D7F5F">
        <w:t>model</w:t>
      </w:r>
      <w:r w:rsidR="00552F4B">
        <w:t>s</w:t>
      </w:r>
      <w:r w:rsidR="00A15571" w:rsidRPr="009D7F5F">
        <w:t xml:space="preserve"> was </w:t>
      </w:r>
      <w:r w:rsidRPr="009D7F5F">
        <w:t>well calibrated (calibration intercepts and slopes significantly close to zero and one, respectively)</w:t>
      </w:r>
      <w:r w:rsidR="00A15571" w:rsidRPr="009D7F5F">
        <w:t xml:space="preserve"> and had significantly higher AUC</w:t>
      </w:r>
      <w:r w:rsidR="003F2014" w:rsidRPr="009D7F5F">
        <w:t xml:space="preserve"> than the other model</w:t>
      </w:r>
      <w:r w:rsidR="00A15571" w:rsidRPr="009D7F5F">
        <w:t>, then that</w:t>
      </w:r>
      <w:r w:rsidRPr="009D7F5F">
        <w:t xml:space="preserve"> model</w:t>
      </w:r>
      <w:r w:rsidR="009D41D7" w:rsidRPr="009D7F5F">
        <w:t>ling</w:t>
      </w:r>
      <w:r w:rsidRPr="009D7F5F">
        <w:t xml:space="preserve"> </w:t>
      </w:r>
      <w:r w:rsidR="00A15571" w:rsidRPr="009D7F5F">
        <w:t>strategy</w:t>
      </w:r>
      <w:r w:rsidRPr="009D7F5F">
        <w:t xml:space="preserve"> was recommended. Conversely, if </w:t>
      </w:r>
      <w:r w:rsidR="003F2014" w:rsidRPr="009D7F5F">
        <w:t xml:space="preserve">both </w:t>
      </w:r>
      <w:r w:rsidRPr="009D7F5F">
        <w:t>models were well calibrated</w:t>
      </w:r>
      <w:r w:rsidR="000D02B1" w:rsidRPr="009D7F5F">
        <w:t xml:space="preserve"> but the AUCs were not significantly different</w:t>
      </w:r>
      <w:r w:rsidR="00031EDB">
        <w:t>,</w:t>
      </w:r>
      <w:r w:rsidR="000D02B1" w:rsidRPr="009D7F5F">
        <w:t xml:space="preserve"> </w:t>
      </w:r>
      <w:r w:rsidRPr="009D7F5F">
        <w:t>then a recommendation of “Either” was given.</w:t>
      </w:r>
      <w:r w:rsidR="006D1464" w:rsidRPr="009D7F5F">
        <w:t xml:space="preserve"> Finally, if </w:t>
      </w:r>
      <w:r w:rsidR="000D02B1" w:rsidRPr="009D7F5F">
        <w:t xml:space="preserve">one of the models was miscalibrated then the other </w:t>
      </w:r>
      <w:r w:rsidR="00DF795E">
        <w:t xml:space="preserve">(calibrated) </w:t>
      </w:r>
      <w:r w:rsidR="000D02B1" w:rsidRPr="009D7F5F">
        <w:t xml:space="preserve">modelling strategy was </w:t>
      </w:r>
      <w:r w:rsidR="006D1464" w:rsidRPr="009D7F5F">
        <w:t>recommended.</w:t>
      </w:r>
    </w:p>
    <w:p w14:paraId="35A99F56" w14:textId="3BC35941" w:rsidR="00FD6C28" w:rsidRDefault="00FD6C28" w:rsidP="00FD6C28">
      <w:pPr>
        <w:ind w:firstLine="720"/>
      </w:pPr>
      <w:r w:rsidRPr="009D7F5F">
        <w:t xml:space="preserve">When the size of the training </w:t>
      </w:r>
      <w:r w:rsidR="003F2014" w:rsidRPr="009D7F5F">
        <w:t>set</w:t>
      </w:r>
      <w:r w:rsidRPr="009D7F5F">
        <w:t xml:space="preserve"> was less than 500, </w:t>
      </w:r>
      <w:r w:rsidR="006D1464" w:rsidRPr="009D7F5F">
        <w:t xml:space="preserve">then </w:t>
      </w:r>
      <w:r w:rsidRPr="009D7F5F">
        <w:t xml:space="preserve">aggregating previously published models by SR </w:t>
      </w:r>
      <w:r w:rsidR="006D1464" w:rsidRPr="009D7F5F">
        <w:t>was recommended</w:t>
      </w:r>
      <w:r w:rsidRPr="009D7F5F">
        <w:t xml:space="preserve"> (</w:t>
      </w:r>
      <w:r w:rsidRPr="009D7F5F">
        <w:rPr>
          <w:b/>
        </w:rPr>
        <w:t>Table 2</w:t>
      </w:r>
      <w:r w:rsidRPr="009D7F5F">
        <w:t xml:space="preserve">). Conversely, developing a new model </w:t>
      </w:r>
      <w:r w:rsidR="006D1464" w:rsidRPr="009D7F5F">
        <w:t xml:space="preserve">by ridge regression was recommended </w:t>
      </w:r>
      <w:r w:rsidRPr="009D7F5F">
        <w:t>in situations where σ&gt;0</w:t>
      </w:r>
      <w:r w:rsidR="006D1464" w:rsidRPr="009D7F5F">
        <w:t>.375</w:t>
      </w:r>
      <w:r w:rsidRPr="009D7F5F">
        <w:t xml:space="preserve"> and the size of the training </w:t>
      </w:r>
      <w:r w:rsidR="003F2014" w:rsidRPr="009D7F5F">
        <w:t>set</w:t>
      </w:r>
      <w:r w:rsidRPr="009D7F5F">
        <w:t xml:space="preserve"> was at least </w:t>
      </w:r>
      <w:r w:rsidR="006D1464" w:rsidRPr="009D7F5F">
        <w:t>1000</w:t>
      </w:r>
      <w:r w:rsidR="003F2014" w:rsidRPr="009D7F5F">
        <w:t xml:space="preserve"> observations</w:t>
      </w:r>
      <w:r w:rsidRPr="009D7F5F">
        <w:t xml:space="preserve">. Between these </w:t>
      </w:r>
      <w:r w:rsidR="003F2014" w:rsidRPr="009D7F5F">
        <w:t>scenarios</w:t>
      </w:r>
      <w:r w:rsidRPr="009D7F5F">
        <w:t xml:space="preserve">, both aggregation methods and redevelopment methods provided </w:t>
      </w:r>
      <w:r w:rsidR="006D1464" w:rsidRPr="009D7F5F">
        <w:t xml:space="preserve">indistinguishable </w:t>
      </w:r>
      <w:r w:rsidRPr="009D7F5F">
        <w:t>performance.</w:t>
      </w:r>
      <w:r w:rsidR="005F3778" w:rsidRPr="009D7F5F">
        <w:t xml:space="preserve"> Similar recommendations were given when the average event prevalence was increased to 50% (</w:t>
      </w:r>
      <w:r w:rsidR="005F3778" w:rsidRPr="009D7F5F">
        <w:rPr>
          <w:b/>
        </w:rPr>
        <w:t>Table 3</w:t>
      </w:r>
      <w:r w:rsidR="005F3778" w:rsidRPr="009D7F5F">
        <w:t>).</w:t>
      </w:r>
    </w:p>
    <w:p w14:paraId="7514F55E" w14:textId="2E1BDDB5" w:rsidR="00B94D9C" w:rsidRDefault="00F26EA9" w:rsidP="00F26EA9">
      <w:pPr>
        <w:ind w:firstLine="720"/>
        <w:jc w:val="center"/>
      </w:pPr>
      <w:r>
        <w:t>[Approximate location of Table 2]</w:t>
      </w:r>
    </w:p>
    <w:p w14:paraId="7453C304" w14:textId="03952CA3" w:rsidR="00F26EA9" w:rsidRDefault="00F26EA9" w:rsidP="00F26EA9">
      <w:pPr>
        <w:ind w:firstLine="720"/>
        <w:jc w:val="center"/>
      </w:pPr>
      <w:r>
        <w:t>[Approximate location of Table 3]</w:t>
      </w:r>
    </w:p>
    <w:p w14:paraId="292C56A3" w14:textId="77777777" w:rsidR="00FD6C28" w:rsidRPr="009D7F5F" w:rsidRDefault="00FD6C28" w:rsidP="00FD6C28">
      <w:pPr>
        <w:pStyle w:val="Heading1"/>
      </w:pPr>
      <w:r w:rsidRPr="009D7F5F">
        <w:t>Discussion</w:t>
      </w:r>
    </w:p>
    <w:p w14:paraId="250468E2" w14:textId="1AAF3C99" w:rsidR="00FD6C28" w:rsidRPr="009D7F5F" w:rsidRDefault="00FD6C28" w:rsidP="00FD6C28">
      <w:pPr>
        <w:ind w:firstLine="720"/>
      </w:pPr>
      <w:r w:rsidRPr="009D7F5F">
        <w:rPr>
          <w:lang w:eastAsia="en-GB"/>
        </w:rPr>
        <w:t xml:space="preserve">This study demonstrates that aggregating </w:t>
      </w:r>
      <w:r w:rsidR="006C73ED">
        <w:rPr>
          <w:lang w:eastAsia="en-GB"/>
        </w:rPr>
        <w:t xml:space="preserve">multiple </w:t>
      </w:r>
      <w:r w:rsidRPr="009D7F5F">
        <w:rPr>
          <w:lang w:eastAsia="en-GB"/>
        </w:rPr>
        <w:t xml:space="preserve">published CPMs is </w:t>
      </w:r>
      <w:r w:rsidR="00346116" w:rsidRPr="009D7F5F">
        <w:rPr>
          <w:lang w:eastAsia="en-GB"/>
        </w:rPr>
        <w:t>a</w:t>
      </w:r>
      <w:r w:rsidRPr="009D7F5F">
        <w:rPr>
          <w:lang w:eastAsia="en-GB"/>
        </w:rPr>
        <w:t xml:space="preserve"> </w:t>
      </w:r>
      <w:r w:rsidR="000E0809" w:rsidRPr="009D7F5F">
        <w:rPr>
          <w:lang w:eastAsia="en-GB"/>
        </w:rPr>
        <w:t xml:space="preserve">useful </w:t>
      </w:r>
      <w:r w:rsidRPr="009D7F5F">
        <w:rPr>
          <w:lang w:eastAsia="en-GB"/>
        </w:rPr>
        <w:t xml:space="preserve">derivation </w:t>
      </w:r>
      <w:r w:rsidR="00BA1EE2" w:rsidRPr="009D7F5F">
        <w:rPr>
          <w:lang w:eastAsia="en-GB"/>
        </w:rPr>
        <w:t>strategy</w:t>
      </w:r>
      <w:r w:rsidRPr="009D7F5F">
        <w:rPr>
          <w:lang w:eastAsia="en-GB"/>
        </w:rPr>
        <w:t xml:space="preserve">, particularly when there </w:t>
      </w:r>
      <w:r w:rsidR="00273BFD">
        <w:rPr>
          <w:lang w:eastAsia="en-GB"/>
        </w:rPr>
        <w:t>are</w:t>
      </w:r>
      <w:r w:rsidRPr="009D7F5F">
        <w:rPr>
          <w:lang w:eastAsia="en-GB"/>
        </w:rPr>
        <w:t xml:space="preserve"> limited data available. Stacked regression was a </w:t>
      </w:r>
      <w:r w:rsidR="000D02B1" w:rsidRPr="009D7F5F">
        <w:rPr>
          <w:lang w:eastAsia="en-GB"/>
        </w:rPr>
        <w:t xml:space="preserve">simple yet </w:t>
      </w:r>
      <w:r w:rsidRPr="009D7F5F">
        <w:rPr>
          <w:lang w:eastAsia="en-GB"/>
        </w:rPr>
        <w:t>effective aggregation method</w:t>
      </w:r>
      <w:r w:rsidR="000D02B1" w:rsidRPr="009D7F5F">
        <w:rPr>
          <w:lang w:eastAsia="en-GB"/>
        </w:rPr>
        <w:t xml:space="preserve">, which resulted in predictions and parameter estimates with lowest </w:t>
      </w:r>
      <w:r w:rsidR="0053783D" w:rsidRPr="009D7F5F">
        <w:rPr>
          <w:lang w:eastAsia="en-GB"/>
        </w:rPr>
        <w:t>MSE</w:t>
      </w:r>
      <w:r w:rsidR="000D02B1" w:rsidRPr="009D7F5F">
        <w:rPr>
          <w:lang w:eastAsia="en-GB"/>
        </w:rPr>
        <w:t xml:space="preserve"> </w:t>
      </w:r>
      <w:r w:rsidR="0053783D" w:rsidRPr="009D7F5F">
        <w:rPr>
          <w:lang w:eastAsia="en-GB"/>
        </w:rPr>
        <w:t xml:space="preserve">given </w:t>
      </w:r>
      <w:r w:rsidRPr="009D7F5F">
        <w:rPr>
          <w:lang w:eastAsia="en-GB"/>
        </w:rPr>
        <w:t xml:space="preserve">low sample sizes </w:t>
      </w:r>
      <w:r w:rsidR="000D02B1" w:rsidRPr="009D7F5F">
        <w:rPr>
          <w:lang w:eastAsia="en-GB"/>
        </w:rPr>
        <w:t>and</w:t>
      </w:r>
      <w:r w:rsidRPr="009D7F5F">
        <w:rPr>
          <w:lang w:eastAsia="en-GB"/>
        </w:rPr>
        <w:t xml:space="preserve"> low </w:t>
      </w:r>
      <w:r w:rsidR="006C73ED">
        <w:rPr>
          <w:lang w:eastAsia="en-GB"/>
        </w:rPr>
        <w:t>between-</w:t>
      </w:r>
      <w:r w:rsidR="000D02B1" w:rsidRPr="009D7F5F">
        <w:rPr>
          <w:lang w:eastAsia="en-GB"/>
        </w:rPr>
        <w:t>population</w:t>
      </w:r>
      <w:r w:rsidR="006C73ED">
        <w:rPr>
          <w:lang w:eastAsia="en-GB"/>
        </w:rPr>
        <w:t>-</w:t>
      </w:r>
      <w:r w:rsidRPr="009D7F5F">
        <w:rPr>
          <w:lang w:eastAsia="en-GB"/>
        </w:rPr>
        <w:t xml:space="preserve">heterogeneity. </w:t>
      </w:r>
      <w:r w:rsidR="000D02B1" w:rsidRPr="009D7F5F">
        <w:rPr>
          <w:lang w:eastAsia="en-GB"/>
        </w:rPr>
        <w:t xml:space="preserve">These results are </w:t>
      </w:r>
      <w:r w:rsidR="00273BFD">
        <w:rPr>
          <w:lang w:eastAsia="en-GB"/>
        </w:rPr>
        <w:t xml:space="preserve">consistent </w:t>
      </w:r>
      <w:r w:rsidR="000D02B1" w:rsidRPr="009D7F5F">
        <w:rPr>
          <w:lang w:eastAsia="en-GB"/>
        </w:rPr>
        <w:t xml:space="preserve">with </w:t>
      </w:r>
      <w:r w:rsidRPr="009D7F5F">
        <w:rPr>
          <w:lang w:eastAsia="en-GB"/>
        </w:rPr>
        <w:t xml:space="preserve">previous studies </w:t>
      </w:r>
      <w:r w:rsidRPr="007F2ED4">
        <w:fldChar w:fldCharType="begin" w:fldLock="1"/>
      </w:r>
      <w:r w:rsidR="0037006D" w:rsidRPr="009D7F5F">
        <w:instrText>ADDIN CSL_CITATION { "citationItems" : [ { "id" : "ITEM-1", "itemData" : { "DOI" : "10.1002/sim.6080", "ISSN" : "02776715", "PMID" : "24752993", "abstract" : "Published clinical prediction models are often ignored during the development of novel prediction models despite similarities in populations and intended usage. The plethora of prediction models that arise from this practice may still perform poorly when applied in other populations. Incorporating prior evidence might improve the accuracy of prediction models and make them potentially better generalizable. Unfortunately, aggregation of prediction models is not straightforward, and methods to combine differently specified models are currently lacking. We propose two approaches for aggregating previously published prediction models when a validation dataset is available: model averaging and stacked regressions. These approaches yield user-friendly stand-alone models that are adjusted for the new validation data. Both approaches rely on weighting to account for model performance and between-study heterogeneity but adopt a different rationale (averaging versus combination) to combine the models. We illustrate their implementation in a clinical example and compare them with established methods for prediction modeling in a series of simulation studies. Results from the clinical datasets and simulation studies demonstrate that aggregation yields prediction models with better discrimination and calibration in a vast majority of scenarios, and results in equivalent performance (compared to developing a novel model from scratch) when validation datasets are relatively large. In conclusion, model aggregation is a promising strategy when several prediction models are available from the literature and a validation dataset is at hand. The aggregation methods do not require existing models to have similar predictors and can be applied when relatively few data are at hand.", "author" : [ { "dropping-particle" : "", "family" : "Debray", "given" : "Thomas P.A.", "non-dropping-particle" : "", "parse-names" : false, "suffix" : "" }, { "dropping-particle" : "", "family" : "Koffijberg", "given" : "Hendrik", "non-dropping-particle" : "", "parse-names" : false, "suffix" : "" }, { "dropping-particle" : "", "family" : "Nieboer", "given" : "Daan", "non-dropping-particle" : "", "parse-names" : false, "suffix" : "" }, { "dropping-particle" : "", "family" : "Vergouwe", "given" : "Yvonne", "non-dropping-particle" : "", "parse-names" : false, "suffix" : "" }, { "dropping-particle" : "", "family" : "Steyerberg", "given" : "Ewout W", "non-dropping-particle" : "", "parse-names" : false, "suffix" : "" }, { "dropping-particle" : "", "family" : "Moons", "given" : "Karel G.M.", "non-dropping-particle" : "", "parse-names" : false, "suffix" : "" } ], "container-title" : "Statistics in Medicine", "id" : "ITEM-1", "issue" : "14", "issued" : { "date-parts" : [ [ "2014", "6", "30" ] ] }, "page" : "2341-2362", "title" : "Meta-analysis and aggregation of multiple published prediction models", "type" : "article-journal", "volume" : "33" }, "uris" : [ "http://www.mendeley.com/documents/?uuid=e405c6d2-e449-4dc5-87b2-293ccf89a23a" ] } ], "mendeley" : { "formattedCitation" : "[9]", "plainTextFormattedCitation" : "[9]", "previouslyFormattedCitation" : "[9]" }, "properties" : { "noteIndex" : 0 }, "schema" : "https://github.com/citation-style-language/schema/raw/master/csl-citation.json" }</w:instrText>
      </w:r>
      <w:r w:rsidRPr="007F2ED4">
        <w:fldChar w:fldCharType="separate"/>
      </w:r>
      <w:r w:rsidR="00EE17F5" w:rsidRPr="009D7F5F">
        <w:rPr>
          <w:noProof/>
        </w:rPr>
        <w:t>[9]</w:t>
      </w:r>
      <w:r w:rsidRPr="007F2ED4">
        <w:fldChar w:fldCharType="end"/>
      </w:r>
      <w:r w:rsidRPr="009D7F5F">
        <w:t xml:space="preserve">. </w:t>
      </w:r>
      <w:r w:rsidRPr="009D7F5F">
        <w:rPr>
          <w:lang w:eastAsia="en-GB"/>
        </w:rPr>
        <w:t>Conversely, AIC derived models were miscalibrated when the training set sample size was between 150 and 500, confirming that small sample</w:t>
      </w:r>
      <w:r w:rsidR="003F2014" w:rsidRPr="009D7F5F">
        <w:rPr>
          <w:lang w:eastAsia="en-GB"/>
        </w:rPr>
        <w:t xml:space="preserve">s </w:t>
      </w:r>
      <w:r w:rsidRPr="009D7F5F">
        <w:rPr>
          <w:lang w:eastAsia="en-GB"/>
        </w:rPr>
        <w:t xml:space="preserve">lead to overfitting in new regression estimates </w:t>
      </w:r>
      <w:r w:rsidRPr="007F2ED4">
        <w:rPr>
          <w:lang w:eastAsia="en-GB"/>
        </w:rPr>
        <w:fldChar w:fldCharType="begin" w:fldLock="1"/>
      </w:r>
      <w:r w:rsidR="00BB581D">
        <w:rPr>
          <w:lang w:eastAsia="en-GB"/>
        </w:rPr>
        <w:instrText>ADDIN CSL_CITATION { "citationItems" : [ { "id" : "ITEM-1", "itemData" : { "DOI" : "10.1002/sim.1844", "ISSN" : "0277-6715", "PMID" : "15287085", "abstract" : "A logistic regression model may be used to provide predictions of outcome for individual patients at another centre than where the model was developed. When empirical data are available from this centre, the validity of predictions can be assessed by comparing observed outcomes and predicted probabilities. Subsequently, the model may be updated to improve predictions for future patients. As an example, we analysed 30-day mortality after acute myocardial infarction in a large data set (GUSTO-I, n = 40 830). We validated and updated a previously published model from another study (TIMI-II, n = 3339) in validation samples ranging from small (200 patients, 14 deaths) to large (10,000 patients, 700 deaths). Updated models were tested on independent patients. Updating methods included re-calibration (re-estimation of the intercept or slope of the linear predictor) and more structural model revisions (re-estimation of some or all regression coefficients, model extension with more predictors). We applied heuristic shrinkage approaches in the model revision methods, such that regression coefficients were shrunken towards their re-calibrated values. Parsimonious updating methods were found preferable to more extensive model revisions, which should only be attempted with relatively large validation samples in combination with shrinkage.", "author" : [ { "dropping-particle" : "", "family" : "Steyerberg", "given" : "Ewout W", "non-dropping-particle" : "", "parse-names" : false, "suffix" : "" }, { "dropping-particle" : "", "family" : "Borsboom", "given" : "Gerard J J M", "non-dropping-particle" : "", "parse-names" : false, "suffix" : "" }, { "dropping-particle" : "", "family" : "Houwelingen", "given" : "Hans C", "non-dropping-particle" : "van", "parse-names" : false, "suffix" : "" }, { "dropping-particle" : "", "family" : "Eijkemans", "given" : "Marinus J C", "non-dropping-particle" : "", "parse-names" : false, "suffix" : "" }, { "dropping-particle" : "", "family" : "Habbema", "given" : "J Dik F", "non-dropping-particle" : "", "parse-names" : false, "suffix" : "" } ], "container-title" : "Statistics in Medicine", "id" : "ITEM-1", "issue" : "16", "issued" : { "date-parts" : [ [ "2004", "8", "30" ] ] }, "page" : "2567-2586", "title" : "Validation and updating of predictive logistic regression models: a study on sample size and shrinkage", "type" : "article-journal", "volume" : "23" }, "uris" : [ "http://www.mendeley.com/documents/?uuid=f8d6fdc2-a7c0-4cf9-a586-83fd78dd2d72" ] }, { "id" : "ITEM-2", "itemData" : { "DOI" : "10.1016/S0895-4356(99)00103-1", "ISBN" : "0895-4356 (Print)\\r0895-4356 (Linking)", "ISSN" : "08954356", "PMID" : "10513756", "abstract" : "Stepwise selection methods are widely applied to identify covariables for inclusion in regression models. One of the problems of stepwise selection is biased estimation of the regression coefficients. We illustrate this 'selection bias' with logistic regression in the GUSTO-I trial (40,830 patients with an acute myocardial infarction). Random samples were drawn that included 3, 5, 10, 20, or 40 events per variable (EPV). Backward stepwise selection was applied in models containing 8 or 16 pre-specified predictors of 30-day mortality. We found a considerable overestimation of regression coefficients of selected covariables. The selection bias decreased with increasing EPV. For EPV 3, 10, or 40, the bias exceeded 25% for 7, 3, and 1 in the 8-predictor model respectively, when a conventional selection criterion was used (?? = 0.05). For these EPV values, the bias was less than 20% for all covariables when no selection was applied. We conclude that stepwise selection may result in a substantial bias of estimated regression coefficients.", "author" : [ { "dropping-particle" : "", "family" : "Steyerberg", "given" : "E", "non-dropping-particle" : "", "parse-names" : false, "suffix" : "" } ], "container-title" : "Journal of Clinical Epidemiology", "id" : "ITEM-2", "issue" : "10", "issued" : { "date-parts" : [ [ "1999", "10" ] ] }, "page" : "935-942", "title" : "Stepwise Selection in Small Data Sets A Simulation Study of Bias in Logistic Regression Analysis", "type" : "article-journal", "volume" : "52" }, "uris" : [ "http://www.mendeley.com/documents/?uuid=650b0c0f-128a-49ff-bf29-f0cba32a63ea" ] }, { "id" : "ITEM-3", "itemData" : { "DOI" : "10.1177/0272989X0102100106", "ISBN" : "0272-989X (Print)", "ISSN" : "0272-989X", "PMID" : "11206946", "abstract" : "Clinical decision making often requires estimates of the likelihood of a dichotomous outcome in individual patients. When empirical data are available, these estimates may well be obtained from a logistic regression model. Several strategies may be followed in the development of such a model. In this study, the authors compare alternative strategies in 23 small subsamples from a large data set of patients with an acute myocardial infarction, where they developed predictive models for 30-day mortality. Evaluations were performed in an independent part of the data set. Specifically, the authors studied the effect of coding of covariables and stepwise selection on discriminative ability of the resulting model, and the effect of statistical \"shrinkage\" techniques on calibration. As expected, dichotomization of continuous covariables implied a loss of information. Remarkably, stepwise selection resulted in less discriminating models compared to full models including all available covariables, even when more than half of these were randomly associated with the outcome. Using qualitative information on the sign of the effect of predictors slightly improved the predictive ability. Calibration improved when shrinkage was applied on the standard maximum likelihood estimates of the regression coefficients. In conclusion, a sensible strategy in small data sets is to apply shrinkage methods in full models that include well-coded predictors that are selected based on external information.", "author" : [ { "dropping-particle" : "", "family" : "Steyerberg", "given" : "E W", "non-dropping-particle" : "", "parse-names" : false, "suffix" : "" }, { "dropping-particle" : "", "family" : "Eijkemans", "given" : "M. J. C.", "non-dropping-particle" : "", "parse-names" : false, "suffix" : "" }, { "dropping-particle" : "", "family" : "Harrell", "given" : "F E", "non-dropping-particle" : "", "parse-names" : false, "suffix" : "" }, { "dropping-particle" : "", "family" : "Habbema", "given" : "J. D. F.", "non-dropping-particle" : "", "parse-names" : false, "suffix" : "" } ], "container-title" : "Medical Decision Making", "id" : "ITEM-3", "issue" : "1", "issued" : { "date-parts" : [ [ "2001", "2", "1" ] ] }, "page" : "45-56", "title" : "Prognostic Modeling with Logistic Regression Analysis: In Search of a Sensible Strategy in Small Data Sets", "type" : "article-journal", "volume" : "21" }, "uris" : [ "http://www.mendeley.com/documents/?uuid=867fba46-d2d1-456e-9a2f-0fff18a1e2cc" ] } ], "mendeley" : { "formattedCitation" : "[8, 31, 32]", "plainTextFormattedCitation" : "[8, 31, 32]", "previouslyFormattedCitation" : "[8, 31, 32]" }, "properties" : { "noteIndex" : 0 }, "schema" : "https://github.com/citation-style-language/schema/raw/master/csl-citation.json" }</w:instrText>
      </w:r>
      <w:r w:rsidRPr="007F2ED4">
        <w:rPr>
          <w:lang w:eastAsia="en-GB"/>
        </w:rPr>
        <w:fldChar w:fldCharType="separate"/>
      </w:r>
      <w:r w:rsidR="00BB581D" w:rsidRPr="00BB581D">
        <w:rPr>
          <w:noProof/>
          <w:lang w:eastAsia="en-GB"/>
        </w:rPr>
        <w:t>[8, 31, 32]</w:t>
      </w:r>
      <w:r w:rsidRPr="007F2ED4">
        <w:rPr>
          <w:lang w:eastAsia="en-GB"/>
        </w:rPr>
        <w:fldChar w:fldCharType="end"/>
      </w:r>
      <w:r w:rsidRPr="009D7F5F">
        <w:rPr>
          <w:lang w:eastAsia="en-GB"/>
        </w:rPr>
        <w:t xml:space="preserve">. Ridge regression, which is a similar concept to </w:t>
      </w:r>
      <w:r w:rsidR="0053783D" w:rsidRPr="009D7F5F">
        <w:rPr>
          <w:lang w:eastAsia="en-GB"/>
        </w:rPr>
        <w:t xml:space="preserve">parameter </w:t>
      </w:r>
      <w:r w:rsidRPr="009D7F5F">
        <w:rPr>
          <w:lang w:eastAsia="en-GB"/>
        </w:rPr>
        <w:t xml:space="preserve">shrinkage, mitigated overfitting, but </w:t>
      </w:r>
      <w:r w:rsidR="00273BFD">
        <w:rPr>
          <w:lang w:eastAsia="en-GB"/>
        </w:rPr>
        <w:t>was</w:t>
      </w:r>
      <w:r w:rsidRPr="009D7F5F">
        <w:rPr>
          <w:lang w:eastAsia="en-GB"/>
        </w:rPr>
        <w:t xml:space="preserve"> potentially susceptible to slight over-shrinkage. </w:t>
      </w:r>
      <w:r w:rsidR="0053783D" w:rsidRPr="009D7F5F">
        <w:rPr>
          <w:lang w:eastAsia="en-GB"/>
        </w:rPr>
        <w:t>Redevelopment only resulted in a model with better performance than the aggregation methods when there was a large amount of training data or the existing CPMs were significantly heterogeneous.</w:t>
      </w:r>
    </w:p>
    <w:p w14:paraId="257AE6AA" w14:textId="0F4AA225" w:rsidR="00CB0225" w:rsidRDefault="00FD6C28" w:rsidP="00FD6C28">
      <w:pPr>
        <w:ind w:firstLine="720"/>
        <w:rPr>
          <w:lang w:eastAsia="en-GB"/>
        </w:rPr>
      </w:pPr>
      <w:r w:rsidRPr="009D7F5F">
        <w:rPr>
          <w:lang w:eastAsia="en-GB"/>
        </w:rPr>
        <w:t xml:space="preserve">Previous methodological research </w:t>
      </w:r>
      <w:r w:rsidR="006C73ED">
        <w:rPr>
          <w:lang w:eastAsia="en-GB"/>
        </w:rPr>
        <w:t>around</w:t>
      </w:r>
      <w:r w:rsidR="00273BFD">
        <w:rPr>
          <w:lang w:eastAsia="en-GB"/>
        </w:rPr>
        <w:t xml:space="preserve"> </w:t>
      </w:r>
      <w:r w:rsidRPr="009D7F5F">
        <w:rPr>
          <w:lang w:eastAsia="en-GB"/>
        </w:rPr>
        <w:t xml:space="preserve">incorporating </w:t>
      </w:r>
      <w:r w:rsidR="0053783D" w:rsidRPr="009D7F5F">
        <w:rPr>
          <w:lang w:eastAsia="en-GB"/>
        </w:rPr>
        <w:t>existing</w:t>
      </w:r>
      <w:r w:rsidRPr="009D7F5F">
        <w:rPr>
          <w:lang w:eastAsia="en-GB"/>
        </w:rPr>
        <w:t xml:space="preserve"> CPMs has focussed on updating </w:t>
      </w:r>
      <w:r w:rsidR="00397730" w:rsidRPr="009D7F5F">
        <w:rPr>
          <w:lang w:eastAsia="en-GB"/>
        </w:rPr>
        <w:t xml:space="preserve">a </w:t>
      </w:r>
      <w:r w:rsidR="006C73ED">
        <w:rPr>
          <w:lang w:eastAsia="en-GB"/>
        </w:rPr>
        <w:t xml:space="preserve">single existing </w:t>
      </w:r>
      <w:r w:rsidR="00397730" w:rsidRPr="009D7F5F">
        <w:rPr>
          <w:lang w:eastAsia="en-GB"/>
        </w:rPr>
        <w:t xml:space="preserve">model to </w:t>
      </w:r>
      <w:r w:rsidRPr="009D7F5F">
        <w:rPr>
          <w:lang w:eastAsia="en-GB"/>
        </w:rPr>
        <w:t xml:space="preserve">the new population of interest </w:t>
      </w:r>
      <w:r w:rsidRPr="007F2ED4">
        <w:rPr>
          <w:lang w:eastAsia="en-GB"/>
        </w:rPr>
        <w:fldChar w:fldCharType="begin" w:fldLock="1"/>
      </w:r>
      <w:r w:rsidR="00DF795E">
        <w:rPr>
          <w:lang w:eastAsia="en-GB"/>
        </w:rPr>
        <w:instrText>ADDIN CSL_CITATION { "citationItems" : [ { "id" : "ITEM-1", "itemData" : { "DOI" : "10.1016/j.jclinepi.2007.04.018", "ISSN" : "08954356", "PMID" : "18083464", "abstract" : "OBJECTIVE: Ideally, clinical prediction models are generalizable to other patient groups. Unfortunately, they perform regularly worse when validated in new patients and are then often redeveloped. While the original prediction model usually has been developed on a large data set, redevelopment then often occurs on the smaller validation set. Recently, methods to update existing prediction models with the data of new patients have been proposed. We used an existing model that preoperatively predicts the risk of severe postoperative pain (SPP) to compare five updating methods. STUDY DESIGN AND SETTING: The model was tested and updated with a set of 752 new patients (274 [36] with SPP). We studied the discrimination (ability to distinguish between patients with and without SPP) and calibration (agreement between the predicted risks and observed frequencies of SPP) of the five updated models in 283 other patients (100 [35%] with SPP). RESULTS: Simple recalibration methods improved the calibration to a similar extent as revision methods that made more extensive adjustments to the original model. Discrimination could not be improved by any of the methods. CONCLUSION: When the performance is poor in new patients, updating methods can be applied to adjust the model, rather than to develop a new model.", "author" : [ { "dropping-particle" : "", "family" : "Janssen", "given" : "K.J.M.", "non-dropping-particle" : "", "parse-names" : false, "suffix" : "" }, { "dropping-particle" : "", "family" : "Moons", "given" : "K.G.M.", "non-dropping-particle" : "", "parse-names" : false, "suffix" : "" }, { "dropping-particle" : "", "family" : "Kalkman", "given" : "C.J.", "non-dropping-particle" : "", "parse-names" : false, "suffix" : "" }, { "dropping-particle" : "", "family" : "Grobbee", "given" : "D.E.", "non-dropping-particle" : "", "parse-names" : false, "suffix" : "" }, { "dropping-particle" : "", "family" : "Vergouwe", "given" : "Y", "non-dropping-particle" : "", "parse-names" : false, "suffix" : "" } ], "container-title" : "Journal of Clinical Epidemiology", "id" : "ITEM-1", "issue" : "1", "issued" : { "date-parts" : [ [ "2008", "1" ] ] }, "page" : "76-86", "title" : "Updating methods improved the performance of a clinical prediction model in new patients", "type" : "article-journal", "volume" : "61" }, "uris" : [ "http://www.mendeley.com/documents/?uuid=b3568818-e11f-48c0-928c-80cecae2daec" ] }, { "id" : "ITEM-2", "itemData" : { "DOI" : "10.1002/sim.1844", "ISSN" : "0277-6715", "PMID" : "15287085", "abstract" : "A logistic regression model may be used to provide predictions of outcome for individual patients at another centre than where the model was developed. When empirical data are available from this centre, the validity of predictions can be assessed by comparing observed outcomes and predicted probabilities. Subsequently, the model may be updated to improve predictions for future patients. As an example, we analysed 30-day mortality after acute myocardial infarction in a large data set (GUSTO-I, n = 40 830). We validated and updated a previously published model from another study (TIMI-II, n = 3339) in validation samples ranging from small (200 patients, 14 deaths) to large (10,000 patients, 700 deaths). Updated models were tested on independent patients. Updating methods included re-calibration (re-estimation of the intercept or slope of the linear predictor) and more structural model revisions (re-estimation of some or all regression coefficients, model extension with more predictors). We applied heuristic shrinkage approaches in the model revision methods, such that regression coefficients were shrunken towards their re-calibrated values. Parsimonious updating methods were found preferable to more extensive model revisions, which should only be attempted with relatively large validation samples in combination with shrinkage.", "author" : [ { "dropping-particle" : "", "family" : "Steyerberg", "given" : "Ewout W", "non-dropping-particle" : "", "parse-names" : false, "suffix" : "" }, { "dropping-particle" : "", "family" : "Borsboom", "given" : "Gerard J J M", "non-dropping-particle" : "", "parse-names" : false, "suffix" : "" }, { "dropping-particle" : "", "family" : "Houwelingen", "given" : "Hans C", "non-dropping-particle" : "van", "parse-names" : false, "suffix" : "" }, { "dropping-particle" : "", "family" : "Eijkemans", "given" : "Marinus J C", "non-dropping-particle" : "", "parse-names" : false, "suffix" : "" }, { "dropping-particle" : "", "family" : "Habbema", "given" : "J Dik F", "non-dropping-particle" : "", "parse-names" : false, "suffix" : "" } ], "container-title" : "Statistics in Medicine", "id" : "ITEM-2", "issue" : "16", "issued" : { "date-parts" : [ [ "2004", "8", "30" ] ] }, "page" : "2567-2586", "title" : "Validation and updating of predictive logistic regression models: a study on sample size and shrinkage", "type" : "article-journal", "volume" : "23" }, "uris" : [ "http://www.mendeley.com/documents/?uuid=f8d6fdc2-a7c0-4cf9-a586-83fd78dd2d72" ] }, { "id" : "ITEM-3", "itemData" : { "DOI" : "10.1177/0962280215626466", "ISBN" : "0962-2802 1477-0334", "ISSN" : "0962-2802", "PMID" : "27460537", "author" : [ { "dropping-particle" : "", "family" : "Su", "given" : "T.-L.", "non-dropping-particle" : "", "parse-names" : false, "suffix" : "" }, { "dropping-particle" : "", "family" : "Jaki", "given" : "Thomas", "non-dropping-particle" : "", "parse-names" : false, "suffix" : "" }, { "dropping-particle" : "", "family" : "Hickey", "given" : "Graeme L", "non-dropping-particle" : "", "parse-names" : false, "suffix" : "" }, { "dropping-particle" : "", "family" : "Buchan", "given" : "Iain", "non-dropping-particle" : "", "parse-names" : false, "suffix" : "" }, { "dropping-particle" : "", "family" : "Sperrin", "given" : "Matthew", "non-dropping-particle" : "", "parse-names" : false, "suffix" : "" } ], "container-title" : "Statistical Methods in Medical Research", "id" : "ITEM-3", "issued" : { "date-parts" : [ [ "2016", "7", "26" ] ] }, "page" : "In press.", "title" : "A review of statistical updating methods for clinical prediction models", "type" : "article-journal" }, "uris" : [ "http://www.mendeley.com/documents/?uuid=504ca1af-b886-4e69-8b1f-43e7460b29a9" ] }, { "id" : "ITEM-4", "itemData" : { "DOI" : "10.1016/j.jclinepi.2008.04.008", "ISSN" : "08954356", "PMID" : "19208371", "abstract" : "OBJECTIVE: To provide an overview of the research steps that need to follow the development of diagnostic or prognostic prediction rules. These steps include validity assessment, updating (if necessary), and impact assessment of clinical prediction rules. STUDY DESIGN AND SETTING: Narrative review covering methodological and empirical prediction studies from primary and secondary care. RESULTS: In general, three types of validation of previously developed prediction rules can be distinguished: temporal, geographical, and domain validations. In case of poor validation, the validation data can be used to update or adjust the previously developed prediction rule to the new circumstances. These update methods differ in extensiveness, with the easiest method a change in model intercept to the outcome occurrence at hand. Prediction rules -- with or without updating -- showing good performance in (various) validation studies may subsequently be subjected to an impact study, to demonstrate whether they change physicians' decisions, improve clinically relevant process parameters, patient outcome, or reduce costs. Finally, whether a prediction rule is implemented successfully in clinical practice depends on several potential barriers to the use of the rule. CONCLUSION: The development of a diagnostic or prognostic prediction rule is just a first step. We reviewed important aspects of the subsequent steps in prediction research.", "author" : [ { "dropping-particle" : "", "family" : "Toll", "given" : "D.B.", "non-dropping-particle" : "", "parse-names" : false, "suffix" : "" }, { "dropping-particle" : "", "family" : "Janssen", "given" : "K.J.M.", "non-dropping-particle" : "", "parse-names" : false, "suffix" : "" }, { "dropping-particle" : "", "family" : "Vergouwe", "given" : "Y", "non-dropping-particle" : "", "parse-names" : false, "suffix" : "" }, { "dropping-particle" : "", "family" : "Moons", "given" : "K.G.M.", "non-dropping-particle" : "", "parse-names" : false, "suffix" : "" } ], "container-title" : "Journal of Clinical Epidemiology", "id" : "ITEM-4", "issue" : "11", "issued" : { "date-parts" : [ [ "2008", "11" ] ] }, "note" : "This paper provides a review of ways to develop or re-calibrate risk prediction models.\n\n\nThe paper provides an outline of different types of validation studies and of ways to update a currently used un-accuate risk model.", "page" : "1085-1094", "title" : "Validation, updating and impact of clinical prediction rules: A review", "type" : "article-journal", "volume" : "61" }, "uris" : [ "http://www.mendeley.com/documents/?uuid=706e198d-488e-4a5b-aa4a-603ecee284d3" ] } ], "mendeley" : { "formattedCitation" : "[7, 8, 10, 33]", "plainTextFormattedCitation" : "[7, 8, 10, 33]", "previouslyFormattedCitation" : "[7, 8, 33]" }, "properties" : { "noteIndex" : 0 }, "schema" : "https://github.com/citation-style-language/schema/raw/master/csl-citation.json" }</w:instrText>
      </w:r>
      <w:r w:rsidRPr="007F2ED4">
        <w:rPr>
          <w:lang w:eastAsia="en-GB"/>
        </w:rPr>
        <w:fldChar w:fldCharType="separate"/>
      </w:r>
      <w:r w:rsidR="00DF795E" w:rsidRPr="00DF795E">
        <w:rPr>
          <w:noProof/>
          <w:lang w:eastAsia="en-GB"/>
        </w:rPr>
        <w:t>[7, 8, 10, 33]</w:t>
      </w:r>
      <w:r w:rsidRPr="007F2ED4">
        <w:rPr>
          <w:lang w:eastAsia="en-GB"/>
        </w:rPr>
        <w:fldChar w:fldCharType="end"/>
      </w:r>
      <w:r w:rsidRPr="009D7F5F">
        <w:rPr>
          <w:lang w:eastAsia="en-GB"/>
        </w:rPr>
        <w:t xml:space="preserve">. </w:t>
      </w:r>
      <w:r w:rsidR="0053783D" w:rsidRPr="009D7F5F">
        <w:rPr>
          <w:lang w:eastAsia="en-GB"/>
        </w:rPr>
        <w:t>These</w:t>
      </w:r>
      <w:r w:rsidR="006C73ED">
        <w:rPr>
          <w:lang w:eastAsia="en-GB"/>
        </w:rPr>
        <w:t xml:space="preserve"> techniques range from model re</w:t>
      </w:r>
      <w:r w:rsidRPr="009D7F5F">
        <w:rPr>
          <w:lang w:eastAsia="en-GB"/>
        </w:rPr>
        <w:t xml:space="preserve">calibration to </w:t>
      </w:r>
      <w:r w:rsidR="006C73ED">
        <w:rPr>
          <w:lang w:eastAsia="en-GB"/>
        </w:rPr>
        <w:t>the additional of new risk factors</w:t>
      </w:r>
      <w:r w:rsidR="00DF795E">
        <w:rPr>
          <w:lang w:eastAsia="en-GB"/>
        </w:rPr>
        <w:t xml:space="preserve"> and </w:t>
      </w:r>
      <w:r w:rsidRPr="009D7F5F">
        <w:rPr>
          <w:lang w:eastAsia="en-GB"/>
        </w:rPr>
        <w:t xml:space="preserve">have been shown to provide improved performance over deriving new prediction models, especially when only small datasets are available </w:t>
      </w:r>
      <w:r w:rsidRPr="007F2ED4">
        <w:rPr>
          <w:lang w:eastAsia="en-GB"/>
        </w:rPr>
        <w:fldChar w:fldCharType="begin" w:fldLock="1"/>
      </w:r>
      <w:r w:rsidR="0037006D" w:rsidRPr="009D7F5F">
        <w:rPr>
          <w:lang w:eastAsia="en-GB"/>
        </w:rPr>
        <w:instrText>ADDIN CSL_CITATION { "citationItems" : [ { "id" : "ITEM-1", "itemData" : { "DOI" : "10.1002/sim.1844", "ISSN" : "0277-6715", "PMID" : "15287085", "abstract" : "A logistic regression model may be used to provide predictions of outcome for individual patients at another centre than where the model was developed. When empirical data are available from this centre, the validity of predictions can be assessed by comparing observed outcomes and predicted probabilities. Subsequently, the model may be updated to improve predictions for future patients. As an example, we analysed 30-day mortality after acute myocardial infarction in a large data set (GUSTO-I, n = 40 830). We validated and updated a previously published model from another study (TIMI-II, n = 3339) in validation samples ranging from small (200 patients, 14 deaths) to large (10,000 patients, 700 deaths). Updated models were tested on independent patients. Updating methods included re-calibration (re-estimation of the intercept or slope of the linear predictor) and more structural model revisions (re-estimation of some or all regression coefficients, model extension with more predictors). We applied heuristic shrinkage approaches in the model revision methods, such that regression coefficients were shrunken towards their re-calibrated values. Parsimonious updating methods were found preferable to more extensive model revisions, which should only be attempted with relatively large validation samples in combination with shrinkage.", "author" : [ { "dropping-particle" : "", "family" : "Steyerberg", "given" : "Ewout W", "non-dropping-particle" : "", "parse-names" : false, "suffix" : "" }, { "dropping-particle" : "", "family" : "Borsboom", "given" : "Gerard J J M", "non-dropping-particle" : "", "parse-names" : false, "suffix" : "" }, { "dropping-particle" : "", "family" : "Houwelingen", "given" : "Hans C", "non-dropping-particle" : "van", "parse-names" : false, "suffix" : "" }, { "dropping-particle" : "", "family" : "Eijkemans", "given" : "Marinus J C", "non-dropping-particle" : "", "parse-names" : false, "suffix" : "" }, { "dropping-particle" : "", "family" : "Habbema", "given" : "J Dik F", "non-dropping-particle" : "", "parse-names" : false, "suffix" : "" } ], "container-title" : "Statistics in Medicine", "id" : "ITEM-1", "issue" : "16", "issued" : { "date-parts" : [ [ "2004", "8", "30" ] ] }, "page" : "2567-2586", "title" : "Validation and updating of predictive logistic regression models: a study on sample size and shrinkage", "type" : "article-journal", "volume" : "23" }, "uris" : [ "http://www.mendeley.com/documents/?uuid=f8d6fdc2-a7c0-4cf9-a586-83fd78dd2d72" ] } ], "mendeley" : { "formattedCitation" : "[8]", "plainTextFormattedCitation" : "[8]", "previouslyFormattedCitation" : "[8]" }, "properties" : { "noteIndex" : 0 }, "schema" : "https://github.com/citation-style-language/schema/raw/master/csl-citation.json" }</w:instrText>
      </w:r>
      <w:r w:rsidRPr="007F2ED4">
        <w:rPr>
          <w:lang w:eastAsia="en-GB"/>
        </w:rPr>
        <w:fldChar w:fldCharType="separate"/>
      </w:r>
      <w:r w:rsidR="00EE17F5" w:rsidRPr="009D7F5F">
        <w:rPr>
          <w:noProof/>
          <w:lang w:eastAsia="en-GB"/>
        </w:rPr>
        <w:t>[8]</w:t>
      </w:r>
      <w:r w:rsidRPr="007F2ED4">
        <w:rPr>
          <w:lang w:eastAsia="en-GB"/>
        </w:rPr>
        <w:fldChar w:fldCharType="end"/>
      </w:r>
      <w:r w:rsidRPr="009D7F5F">
        <w:rPr>
          <w:lang w:eastAsia="en-GB"/>
        </w:rPr>
        <w:t>.</w:t>
      </w:r>
      <w:r w:rsidR="00BB581D">
        <w:rPr>
          <w:lang w:eastAsia="en-GB"/>
        </w:rPr>
        <w:t xml:space="preserve"> </w:t>
      </w:r>
      <w:r w:rsidRPr="009D7F5F">
        <w:rPr>
          <w:lang w:eastAsia="en-GB"/>
        </w:rPr>
        <w:t>However, updating techniques only adapt one previous model to the current data. In this sense, the concept of model aggregation is analogous to meta-analysis since it aims to synthesise all previous research in the development of the CPM.</w:t>
      </w:r>
      <w:r w:rsidR="0053783D" w:rsidRPr="009D7F5F">
        <w:rPr>
          <w:lang w:eastAsia="en-GB"/>
        </w:rPr>
        <w:t xml:space="preserve"> </w:t>
      </w:r>
      <w:r w:rsidR="00EB7C97">
        <w:rPr>
          <w:lang w:eastAsia="en-GB"/>
        </w:rPr>
        <w:t>Moreover, CPMs often perform poorly in high-risk patients.</w:t>
      </w:r>
      <w:r w:rsidR="00DF795E">
        <w:rPr>
          <w:lang w:eastAsia="en-GB"/>
        </w:rPr>
        <w:t xml:space="preserve"> I</w:t>
      </w:r>
      <w:r w:rsidR="00EB7C97">
        <w:rPr>
          <w:lang w:eastAsia="en-GB"/>
        </w:rPr>
        <w:t xml:space="preserve">f there are relatively low proportions of high-risk patients in a given population, then the development/ </w:t>
      </w:r>
      <w:r w:rsidR="00DF795E">
        <w:rPr>
          <w:lang w:eastAsia="en-GB"/>
        </w:rPr>
        <w:t>update</w:t>
      </w:r>
      <w:r w:rsidR="00EB7C97">
        <w:rPr>
          <w:lang w:eastAsia="en-GB"/>
        </w:rPr>
        <w:t xml:space="preserve"> of a CPM to this population can result in such high-risk, poorly predicted patients becoming more prevalent since parameter estimates occur for the population average. In such situations, one should pay close attention to the residuals of the model; machine-learning </w:t>
      </w:r>
      <w:r w:rsidR="00EB7C97" w:rsidRPr="00037273">
        <w:rPr>
          <w:lang w:eastAsia="en-GB"/>
        </w:rPr>
        <w:t>method</w:t>
      </w:r>
      <w:r w:rsidR="00EB7C97">
        <w:rPr>
          <w:lang w:eastAsia="en-GB"/>
        </w:rPr>
        <w:t xml:space="preserve">s such as </w:t>
      </w:r>
      <w:r w:rsidR="00EB7C97">
        <w:rPr>
          <w:color w:val="000000"/>
        </w:rPr>
        <w:t>Boosting are</w:t>
      </w:r>
      <w:r w:rsidR="00EB7C97">
        <w:rPr>
          <w:lang w:eastAsia="en-GB"/>
        </w:rPr>
        <w:t xml:space="preserve"> a formal approach to this.</w:t>
      </w:r>
    </w:p>
    <w:p w14:paraId="6EF03199" w14:textId="77777777" w:rsidR="00DF795E" w:rsidRDefault="00FD6C28" w:rsidP="00FD6C28">
      <w:pPr>
        <w:ind w:firstLine="720"/>
        <w:rPr>
          <w:lang w:eastAsia="en-GB"/>
        </w:rPr>
      </w:pPr>
      <w:r w:rsidRPr="009D7F5F">
        <w:rPr>
          <w:lang w:eastAsia="en-GB"/>
        </w:rPr>
        <w:t xml:space="preserve">Since the aim of this study was to examine the benefits of aggregation over independently deriving a CPM, this study compared each approach separately to solely extract the benefit of either method. </w:t>
      </w:r>
      <w:r w:rsidR="00570D52">
        <w:rPr>
          <w:lang w:eastAsia="en-GB"/>
        </w:rPr>
        <w:t>However, m</w:t>
      </w:r>
      <w:r w:rsidRPr="009D7F5F">
        <w:rPr>
          <w:lang w:eastAsia="en-GB"/>
        </w:rPr>
        <w:t>eta-analysis methods that simult</w:t>
      </w:r>
      <w:r w:rsidR="00346116" w:rsidRPr="009D7F5F">
        <w:rPr>
          <w:lang w:eastAsia="en-GB"/>
        </w:rPr>
        <w:t>aneously aggregate and re</w:t>
      </w:r>
      <w:r w:rsidRPr="009D7F5F">
        <w:rPr>
          <w:lang w:eastAsia="en-GB"/>
        </w:rPr>
        <w:t xml:space="preserve">develop CPMs have been proposed </w:t>
      </w:r>
      <w:r w:rsidRPr="007F2ED4">
        <w:rPr>
          <w:lang w:eastAsia="en-GB"/>
        </w:rPr>
        <w:fldChar w:fldCharType="begin" w:fldLock="1"/>
      </w:r>
      <w:r w:rsidR="00A23B1C">
        <w:rPr>
          <w:lang w:eastAsia="en-GB"/>
        </w:rPr>
        <w:instrText>ADDIN CSL_CITATION { "citationItems" : [ { "id" : "ITEM-1", "itemData" : { "DOI" : "10.1002/sim.5412", "ISSN" : "02776715", "PMID" : "22733546", "abstract" : "During the recent decades, interest in prediction models has substantially increased, but approaches to synthesize evidence from previously developed models have failed to keep pace. This causes researchers to ignore potentially useful past evidence when developing a novel prediction model with individual participant data (IPD) from their population of interest. We aimed to evaluate approaches to aggregate previously published prediction models with new data. We consider the situation that models are reported in the literature with predictors similar to those available in an IPD dataset. We adopt a two-stage method and explore three approaches to calculate a synthesis model, hereby relying on the principles of multivariate meta-analysis. The former approach employs a naive pooling strategy, whereas the latter accounts for within-study and between-study covariance. These approaches are applied to a collection of 15 datasets of patients with traumatic brain injury, and to five previously published models for predicting deep venous thrombosis. Here, we illustrated how the generally unrealistic assumption of consistency in the availability of evidence across included studies can be relaxed. Results from the case studies demonstrate that aggregation yields prediction models with an improved discrimination and calibration in a vast majority of scenarios, and result in equivalent performance (compared with the standard approach) in a small minority of situations. The proposed aggregation approaches are particularly useful when few participant data are at hand. Assessing the degree of heterogeneity between IPD and literature findings remains crucial to determine the optimal approach in aggregating previous evidence into new prediction models.", "author" : [ { "dropping-particle" : "", "family" : "Debray", "given" : "Thomas P.A.", "non-dropping-particle" : "", "parse-names" : false, "suffix" : "" }, { "dropping-particle" : "", "family" : "Koffijberg", "given" : "Hendrik", "non-dropping-particle" : "", "parse-names" : false, "suffix" : "" }, { "dropping-particle" : "", "family" : "Vergouwe", "given" : "Yvonne", "non-dropping-particle" : "", "parse-names" : false, "suffix" : "" }, { "dropping-particle" : "", "family" : "Moons", "given" : "Karel G.M.", "non-dropping-particle" : "", "parse-names" : false, "suffix" : "" }, { "dropping-particle" : "", "family" : "Steyerberg", "given" : "Ewout W.", "non-dropping-particle" : "", "parse-names" : false, "suffix" : "" } ], "container-title" : "Statistics in Medicine", "id" : "ITEM-1", "issue" : "23", "issued" : { "date-parts" : [ [ "2012", "10", "15" ] ] }, "note" : "Meta-analysis of risk scores to combine them", "page" : "2697-2712", "title" : "Aggregating published prediction models with individual participant data: a comparison of different approaches", "type" : "article-journal", "volume" : "31" }, "uris" : [ "http://www.mendeley.com/documents/?uuid=4a3d6b2c-e419-42bf-ad24-70185c0d3e60" ] }, { "id" : "ITEM-2", "itemData" : { "author" : [ { "dropping-particle" : "", "family" : "Steyerberg", "given" : "E W", "non-dropping-particle" : "", "parse-names" : false, "suffix" : "" }, { "dropping-particle" : "", "family" : "Eijkemans", "given" : "M J C", "non-dropping-particle" : "", "parse-names" : false, "suffix" : "" }, { "dropping-particle" : "", "family" : "Houwelingen", "given" : "J C", "non-dropping-particle" : "Van", "parse-names" : false, "suffix" : "" }, { "dropping-particle" : "", "family" : "Lee", "given" : "K L", "non-dropping-particle" : "", "parse-names" : false, "suffix" : "" }, { "dropping-particle" : "", "family" : "Habbema", "given" : "J D F", "non-dropping-particle" : "", "parse-names" : false, "suffix" : "" } ], "container-title" : "Statistics in medicine", "id" : "ITEM-2", "issued" : { "date-parts" : [ [ "2000" ] ] }, "page" : "141-160", "title" : "Prognostic models based on literature and individual patient data in logistic regression analysis", "type" : "article-journal", "volume" : "19" }, "uris" : [ "http://www.mendeley.com/documents/?uuid=606799ef-c557-4037-925a-826fa51c70ae" ] }, { "id" : "ITEM-3", "itemData" : { "DOI" : "10.1016/j.jclinepi.2006.09.009", "ISBN" : "0895-4356 (Print)", "ISSN" : "08954356", "PMID" : "17419953", "abstract" : "OBJECTIVE: Meta-analysis of individual patient data (IPD) is the \"gold-standard\" for synthesizing evidence across several studies. Some studies, however, may only provide aggregate data (AD). In this situation researchers might need to combine IPD with AD to utilize all the evidence available. Here, we review applied IPD meta-analysis articles to assess if and how AD is combined with IPD in practice.\\n\\nSTUDY DESIGN AND SETTING: A systematic review of articles identified from bibliographic databases and searches.\\n\\nRESULTS: We identified 33 applied IPD articles that combined IPD and AD and 166 that did not. For each article, we recorded the proportion of total studies providing IPD, and found that articles combining IPD and AD had, on average, IPD available in only 64% of studies (compared to 90% in articles not combining IPD and AD). Two different methods were used to combine IPD and AD, the two-stage method and analysis of partially reconstructed IPD, but a review of methodological articles identified two further methods, multilevel modeling and Bayesian hierarchical related regression. We summarize each method to aid practitioners.\\n\\nCONCLUSION: Combining IPD and AD is a relevant issue for evidence synthesis, and the further development and validation of suitable meta-analysis methods is needed.", "author" : [ { "dropping-particle" : "", "family" : "Riley", "given" : "Richard D", "non-dropping-particle" : "", "parse-names" : false, "suffix" : "" }, { "dropping-particle" : "", "family" : "Simmonds", "given" : "Mark C", "non-dropping-particle" : "", "parse-names" : false, "suffix" : "" }, { "dropping-particle" : "", "family" : "Look", "given" : "Maxime P", "non-dropping-particle" : "", "parse-names" : false, "suffix" : "" } ], "container-title" : "Journal of Clinical Epidemiology", "id" : "ITEM-3", "issue" : "5", "issued" : { "date-parts" : [ [ "2007", "5" ] ] }, "page" : "431-439", "title" : "Evidence synthesis combining individual patient data and aggregate data: a systematic review identified current practice and possible methods", "type" : "article-journal", "volume" : "60" }, "uris" : [ "http://www.mendeley.com/documents/?uuid=1943412b-22a2-4d25-b85e-4eef29822b71" ] } ], "mendeley" : { "formattedCitation" : "[18, 34, 35]", "plainTextFormattedCitation" : "[18, 34, 35]", "previouslyFormattedCitation" : "[18, 34, 35]" }, "properties" : { "noteIndex" : 0 }, "schema" : "https://github.com/citation-style-language/schema/raw/master/csl-citation.json" }</w:instrText>
      </w:r>
      <w:r w:rsidRPr="007F2ED4">
        <w:rPr>
          <w:lang w:eastAsia="en-GB"/>
        </w:rPr>
        <w:fldChar w:fldCharType="separate"/>
      </w:r>
      <w:r w:rsidR="00BB581D" w:rsidRPr="00BB581D">
        <w:rPr>
          <w:noProof/>
          <w:lang w:eastAsia="en-GB"/>
        </w:rPr>
        <w:t>[18, 34, 35]</w:t>
      </w:r>
      <w:r w:rsidRPr="007F2ED4">
        <w:rPr>
          <w:lang w:eastAsia="en-GB"/>
        </w:rPr>
        <w:fldChar w:fldCharType="end"/>
      </w:r>
      <w:r w:rsidR="00570D52">
        <w:rPr>
          <w:lang w:eastAsia="en-GB"/>
        </w:rPr>
        <w:t xml:space="preserve">; </w:t>
      </w:r>
      <w:r w:rsidR="00397730" w:rsidRPr="009D7F5F">
        <w:rPr>
          <w:lang w:eastAsia="en-GB"/>
        </w:rPr>
        <w:t>u</w:t>
      </w:r>
      <w:r w:rsidRPr="009D7F5F">
        <w:rPr>
          <w:lang w:eastAsia="en-GB"/>
        </w:rPr>
        <w:t>tilising existing CPMs, expert knowledge and new data optimal</w:t>
      </w:r>
      <w:r w:rsidR="00273BFD">
        <w:rPr>
          <w:lang w:eastAsia="en-GB"/>
        </w:rPr>
        <w:t>ly</w:t>
      </w:r>
      <w:r w:rsidRPr="009D7F5F">
        <w:rPr>
          <w:lang w:eastAsia="en-GB"/>
        </w:rPr>
        <w:t xml:space="preserve"> </w:t>
      </w:r>
      <w:r w:rsidR="00346116" w:rsidRPr="009D7F5F">
        <w:rPr>
          <w:lang w:eastAsia="en-GB"/>
        </w:rPr>
        <w:t>requires</w:t>
      </w:r>
      <w:r w:rsidR="00397730" w:rsidRPr="009D7F5F">
        <w:rPr>
          <w:lang w:eastAsia="en-GB"/>
        </w:rPr>
        <w:t xml:space="preserve"> further research</w:t>
      </w:r>
      <w:r w:rsidRPr="009D7F5F">
        <w:rPr>
          <w:lang w:eastAsia="en-GB"/>
        </w:rPr>
        <w:t>.</w:t>
      </w:r>
      <w:r w:rsidR="008B71B6" w:rsidRPr="008B71B6">
        <w:rPr>
          <w:lang w:eastAsia="en-GB"/>
        </w:rPr>
        <w:t xml:space="preserve"> </w:t>
      </w:r>
      <w:r w:rsidR="00F9234E">
        <w:rPr>
          <w:lang w:eastAsia="en-GB"/>
        </w:rPr>
        <w:t>For instance, r</w:t>
      </w:r>
      <w:r w:rsidR="008B71B6">
        <w:rPr>
          <w:lang w:eastAsia="en-GB"/>
        </w:rPr>
        <w:t>isk factors may not be common across existing CPMs</w:t>
      </w:r>
      <w:r w:rsidR="007C53E2">
        <w:rPr>
          <w:lang w:eastAsia="en-GB"/>
        </w:rPr>
        <w:t xml:space="preserve">, which </w:t>
      </w:r>
      <w:r w:rsidR="008B71B6">
        <w:rPr>
          <w:lang w:eastAsia="en-GB"/>
        </w:rPr>
        <w:t>could lead to bias if one is interested in simultaneously aggregating and redeveloping CPMs</w:t>
      </w:r>
      <w:r w:rsidR="007C53E2">
        <w:rPr>
          <w:lang w:eastAsia="en-GB"/>
        </w:rPr>
        <w:t xml:space="preserve"> in the local population </w:t>
      </w:r>
      <w:r w:rsidR="008B71B6">
        <w:rPr>
          <w:lang w:eastAsia="en-GB"/>
        </w:rPr>
        <w:fldChar w:fldCharType="begin" w:fldLock="1"/>
      </w:r>
      <w:r w:rsidR="00A23B1C">
        <w:rPr>
          <w:lang w:eastAsia="en-GB"/>
        </w:rPr>
        <w:instrText>ADDIN CSL_CITATION { "citationItems" : [ { "id" : "ITEM-1", "itemData" : { "DOI" : "10.1186/s12874-015-0087-x", "ISSN" : "1471-2288", "abstract" : "Recently, increased development of clinical prediction models has been reported in the medical literature. However, evidence synthesis methodologies for these prediction models have not been sufficiently studied, especially for practical situations such as a meta-analyses where only aggregated summaries of important predictors are available. Also, in general, the covariate sets involved in the prediction models are not common across studies. As in ordinary model misspecification problems, dropping relevant covariates would raise potentially serious biases to the prediction models, and consequently to the synthesized results.", "author" : [ { "dropping-particle" : "", "family" : "Yoneoka", "given" : "Daisuke", "non-dropping-particle" : "", "parse-names" : false, "suffix" : "" }, { "dropping-particle" : "", "family" : "Henmi", "given" : "Masayuki", "non-dropping-particle" : "", "parse-names" : false, "suffix" : "" }, { "dropping-particle" : "", "family" : "Sawada", "given" : "Norie", "non-dropping-particle" : "", "parse-names" : false, "suffix" : "" }, { "dropping-particle" : "", "family" : "Inoue", "given" : "Manami", "non-dropping-particle" : "", "parse-names" : false, "suffix" : "" } ], "container-title" : "BMC Medical Research Methodology", "id" : "ITEM-1", "issue" : "1", "issued" : { "date-parts" : [ [ "2015", "12", "19" ] ] }, "page" : "101", "publisher" : "BMC Medical Research Methodology", "title" : "Synthesis of clinical prediction models under different sets of covariates with one individual patient data", "type" : "article-journal", "volume" : "15" }, "uris" : [ "http://www.mendeley.com/documents/?uuid=36e7d249-7cde-46b5-959d-cc76e64285e0" ] } ], "mendeley" : { "formattedCitation" : "[36]", "plainTextFormattedCitation" : "[36]", "previouslyFormattedCitation" : "[36]" }, "properties" : { "noteIndex" : 0 }, "schema" : "https://github.com/citation-style-language/schema/raw/master/csl-citation.json" }</w:instrText>
      </w:r>
      <w:r w:rsidR="008B71B6">
        <w:rPr>
          <w:lang w:eastAsia="en-GB"/>
        </w:rPr>
        <w:fldChar w:fldCharType="separate"/>
      </w:r>
      <w:r w:rsidR="00BB581D" w:rsidRPr="00BB581D">
        <w:rPr>
          <w:noProof/>
          <w:lang w:eastAsia="en-GB"/>
        </w:rPr>
        <w:t>[36]</w:t>
      </w:r>
      <w:r w:rsidR="008B71B6">
        <w:rPr>
          <w:lang w:eastAsia="en-GB"/>
        </w:rPr>
        <w:fldChar w:fldCharType="end"/>
      </w:r>
      <w:r w:rsidR="008B71B6">
        <w:rPr>
          <w:lang w:eastAsia="en-GB"/>
        </w:rPr>
        <w:t>.</w:t>
      </w:r>
      <w:r w:rsidR="007C53E2">
        <w:rPr>
          <w:lang w:eastAsia="en-GB"/>
        </w:rPr>
        <w:t xml:space="preserve"> Previous methodology</w:t>
      </w:r>
      <w:r w:rsidR="00570D52">
        <w:rPr>
          <w:lang w:eastAsia="en-GB"/>
        </w:rPr>
        <w:t xml:space="preserve"> of</w:t>
      </w:r>
      <w:r w:rsidR="007C53E2">
        <w:rPr>
          <w:lang w:eastAsia="en-GB"/>
        </w:rPr>
        <w:t xml:space="preserve"> CPM meta-analysis with individual patient data has </w:t>
      </w:r>
      <w:r w:rsidR="00DF795E">
        <w:rPr>
          <w:lang w:eastAsia="en-GB"/>
        </w:rPr>
        <w:t>largely</w:t>
      </w:r>
      <w:r w:rsidR="00EB7C97">
        <w:rPr>
          <w:lang w:eastAsia="en-GB"/>
        </w:rPr>
        <w:t xml:space="preserve"> </w:t>
      </w:r>
      <w:r w:rsidR="007C53E2">
        <w:rPr>
          <w:lang w:eastAsia="en-GB"/>
        </w:rPr>
        <w:t xml:space="preserve">been limited to assuming that models share similar risk predictors </w:t>
      </w:r>
      <w:r w:rsidR="007C53E2">
        <w:rPr>
          <w:lang w:eastAsia="en-GB"/>
        </w:rPr>
        <w:fldChar w:fldCharType="begin" w:fldLock="1"/>
      </w:r>
      <w:r w:rsidR="00BB581D">
        <w:rPr>
          <w:lang w:eastAsia="en-GB"/>
        </w:rPr>
        <w:instrText>ADDIN CSL_CITATION { "citationItems" : [ { "id" : "ITEM-1", "itemData" : { "DOI" : "10.1177/0962280215626466", "ISBN" : "0962-2802 1477-0334", "ISSN" : "0962-2802", "PMID" : "27460537", "author" : [ { "dropping-particle" : "", "family" : "Su", "given" : "T.-L.", "non-dropping-particle" : "", "parse-names" : false, "suffix" : "" }, { "dropping-particle" : "", "family" : "Jaki", "given" : "Thomas", "non-dropping-particle" : "", "parse-names" : false, "suffix" : "" }, { "dropping-particle" : "", "family" : "Hickey", "given" : "Graeme L", "non-dropping-particle" : "", "parse-names" : false, "suffix" : "" }, { "dropping-particle" : "", "family" : "Buchan", "given" : "Iain", "non-dropping-particle" : "", "parse-names" : false, "suffix" : "" }, { "dropping-particle" : "", "family" : "Sperrin", "given" : "Matthew", "non-dropping-particle" : "", "parse-names" : false, "suffix" : "" } ], "container-title" : "Statistical Methods in Medical Research", "id" : "ITEM-1", "issued" : { "date-parts" : [ [ "2016", "7", "26" ] ] }, "page" : "In press.", "title" : "A review of statistical updating methods for clinical prediction models", "type" : "article-journal" }, "uris" : [ "http://www.mendeley.com/documents/?uuid=504ca1af-b886-4e69-8b1f-43e7460b29a9" ] }, { "id" : "ITEM-2", "itemData" : { "DOI" : "10.1002/sim.5412", "ISSN" : "02776715", "PMID" : "22733546", "abstract" : "During the recent decades, interest in prediction models has substantially increased, but approaches to synthesize evidence from previously developed models have failed to keep pace. This causes researchers to ignore potentially useful past evidence when developing a novel prediction model with individual participant data (IPD) from their population of interest. We aimed to evaluate approaches to aggregate previously published prediction models with new data. We consider the situation that models are reported in the literature with predictors similar to those available in an IPD dataset. We adopt a two-stage method and explore three approaches to calculate a synthesis model, hereby relying on the principles of multivariate meta-analysis. The former approach employs a naive pooling strategy, whereas the latter accounts for within-study and between-study covariance. These approaches are applied to a collection of 15 datasets of patients with traumatic brain injury, and to five previously published models for predicting deep venous thrombosis. Here, we illustrated how the generally unrealistic assumption of consistency in the availability of evidence across included studies can be relaxed. Results from the case studies demonstrate that aggregation yields prediction models with an improved discrimination and calibration in a vast majority of scenarios, and result in equivalent performance (compared with the standard approach) in a small minority of situations. The proposed aggregation approaches are particularly useful when few participant data are at hand. Assessing the degree of heterogeneity between IPD and literature findings remains crucial to determine the optimal approach in aggregating previous evidence into new prediction models.", "author" : [ { "dropping-particle" : "", "family" : "Debray", "given" : "Thomas P.A.", "non-dropping-particle" : "", "parse-names" : false, "suffix" : "" }, { "dropping-particle" : "", "family" : "Koffijberg", "given" : "Hendrik", "non-dropping-particle" : "", "parse-names" : false, "suffix" : "" }, { "dropping-particle" : "", "family" : "Vergouwe", "given" : "Yvonne", "non-dropping-particle" : "", "parse-names" : false, "suffix" : "" }, { "dropping-particle" : "", "family" : "Moons", "given" : "Karel G.M.", "non-dropping-particle" : "", "parse-names" : false, "suffix" : "" }, { "dropping-particle" : "", "family" : "Steyerberg", "given" : "Ewout W.", "non-dropping-particle" : "", "parse-names" : false, "suffix" : "" } ], "container-title" : "Statistics in Medicine", "id" : "ITEM-2", "issue" : "23", "issued" : { "date-parts" : [ [ "2012", "10", "15" ] ] }, "note" : "Meta-analysis of risk scores to combine them", "page" : "2697-2712", "title" : "Aggregating published prediction models with individual participant data: a comparison of different approaches", "type" : "article-journal", "volume" : "31" }, "uris" : [ "http://www.mendeley.com/documents/?uuid=4a3d6b2c-e419-42bf-ad24-70185c0d3e60" ] } ], "mendeley" : { "formattedCitation" : "[10, 18]", "plainTextFormattedCitation" : "[10, 18]", "previouslyFormattedCitation" : "[10, 18]" }, "properties" : { "noteIndex" : 0 }, "schema" : "https://github.com/citation-style-language/schema/raw/master/csl-citation.json" }</w:instrText>
      </w:r>
      <w:r w:rsidR="007C53E2">
        <w:rPr>
          <w:lang w:eastAsia="en-GB"/>
        </w:rPr>
        <w:fldChar w:fldCharType="separate"/>
      </w:r>
      <w:r w:rsidR="00BB581D" w:rsidRPr="00BB581D">
        <w:rPr>
          <w:noProof/>
          <w:lang w:eastAsia="en-GB"/>
        </w:rPr>
        <w:t>[10, 18]</w:t>
      </w:r>
      <w:r w:rsidR="007C53E2">
        <w:rPr>
          <w:lang w:eastAsia="en-GB"/>
        </w:rPr>
        <w:fldChar w:fldCharType="end"/>
      </w:r>
      <w:r w:rsidR="007C53E2">
        <w:rPr>
          <w:lang w:eastAsia="en-GB"/>
        </w:rPr>
        <w:t>. Conversely</w:t>
      </w:r>
      <w:r w:rsidR="00A75D9E">
        <w:rPr>
          <w:lang w:eastAsia="en-GB"/>
        </w:rPr>
        <w:t xml:space="preserve">, </w:t>
      </w:r>
      <w:r w:rsidR="007C53E2">
        <w:rPr>
          <w:lang w:eastAsia="en-GB"/>
        </w:rPr>
        <w:t xml:space="preserve">SR, PCA </w:t>
      </w:r>
      <w:r w:rsidR="00EB7C97">
        <w:rPr>
          <w:lang w:eastAsia="en-GB"/>
        </w:rPr>
        <w:t>and</w:t>
      </w:r>
      <w:r w:rsidR="007C53E2">
        <w:rPr>
          <w:lang w:eastAsia="en-GB"/>
        </w:rPr>
        <w:t xml:space="preserve"> PLS </w:t>
      </w:r>
      <w:r w:rsidR="00EB7C97">
        <w:rPr>
          <w:lang w:eastAsia="en-GB"/>
        </w:rPr>
        <w:t xml:space="preserve">relax this assumption </w:t>
      </w:r>
      <w:r w:rsidR="00EB7C97">
        <w:rPr>
          <w:lang w:eastAsia="en-GB"/>
        </w:rPr>
        <w:fldChar w:fldCharType="begin" w:fldLock="1"/>
      </w:r>
      <w:r w:rsidR="000862FF">
        <w:rPr>
          <w:lang w:eastAsia="en-GB"/>
        </w:rPr>
        <w:instrText>ADDIN CSL_CITATION { "citationItems" : [ { "id" : "ITEM-1", "itemData" : { "DOI" : "10.1002/sim.6080", "ISSN" : "02776715", "PMID" : "24752993", "abstract" : "Published clinical prediction models are often ignored during the development of novel prediction models despite similarities in populations and intended usage. The plethora of prediction models that arise from this practice may still perform poorly when applied in other populations. Incorporating prior evidence might improve the accuracy of prediction models and make them potentially better generalizable. Unfortunately, aggregation of prediction models is not straightforward, and methods to combine differently specified models are currently lacking. We propose two approaches for aggregating previously published prediction models when a validation dataset is available: model averaging and stacked regressions. These approaches yield user-friendly stand-alone models that are adjusted for the new validation data. Both approaches rely on weighting to account for model performance and between-study heterogeneity but adopt a different rationale (averaging versus combination) to combine the models. We illustrate their implementation in a clinical example and compare them with established methods for prediction modeling in a series of simulation studies. Results from the clinical datasets and simulation studies demonstrate that aggregation yields prediction models with better discrimination and calibration in a vast majority of scenarios, and results in equivalent performance (compared to developing a novel model from scratch) when validation datasets are relatively large. In conclusion, model aggregation is a promising strategy when several prediction models are available from the literature and a validation dataset is at hand. The aggregation methods do not require existing models to have similar predictors and can be applied when relatively few data are at hand.", "author" : [ { "dropping-particle" : "", "family" : "Debray", "given" : "Thomas P.A.", "non-dropping-particle" : "", "parse-names" : false, "suffix" : "" }, { "dropping-particle" : "", "family" : "Koffijberg", "given" : "Hendrik", "non-dropping-particle" : "", "parse-names" : false, "suffix" : "" }, { "dropping-particle" : "", "family" : "Nieboer", "given" : "Daan", "non-dropping-particle" : "", "parse-names" : false, "suffix" : "" }, { "dropping-particle" : "", "family" : "Vergouwe", "given" : "Yvonne", "non-dropping-particle" : "", "parse-names" : false, "suffix" : "" }, { "dropping-particle" : "", "family" : "Steyerberg", "given" : "Ewout W", "non-dropping-particle" : "", "parse-names" : false, "suffix" : "" }, { "dropping-particle" : "", "family" : "Moons", "given" : "Karel G.M.", "non-dropping-particle" : "", "parse-names" : false, "suffix" : "" } ], "container-title" : "Statistics in Medicine", "id" : "ITEM-1", "issue" : "14", "issued" : { "date-parts" : [ [ "2014", "6", "30" ] ] }, "page" : "2341-2362", "title" : "Meta-analysis and aggregation of multiple published prediction models", "type" : "article-journal", "volume" : "33" }, "uris" : [ "http://www.mendeley.com/documents/?uuid=e405c6d2-e449-4dc5-87b2-293ccf89a23a" ] } ], "mendeley" : { "formattedCitation" : "[9]", "plainTextFormattedCitation" : "[9]", "previouslyFormattedCitation" : "[9]" }, "properties" : { "noteIndex" : 0 }, "schema" : "https://github.com/citation-style-language/schema/raw/master/csl-citation.json" }</w:instrText>
      </w:r>
      <w:r w:rsidR="00EB7C97">
        <w:rPr>
          <w:lang w:eastAsia="en-GB"/>
        </w:rPr>
        <w:fldChar w:fldCharType="separate"/>
      </w:r>
      <w:r w:rsidR="00EB7C97" w:rsidRPr="00EB7C97">
        <w:rPr>
          <w:noProof/>
          <w:lang w:eastAsia="en-GB"/>
        </w:rPr>
        <w:t>[9]</w:t>
      </w:r>
      <w:r w:rsidR="00EB7C97">
        <w:rPr>
          <w:lang w:eastAsia="en-GB"/>
        </w:rPr>
        <w:fldChar w:fldCharType="end"/>
      </w:r>
      <w:r w:rsidR="007C53E2">
        <w:rPr>
          <w:lang w:eastAsia="en-GB"/>
        </w:rPr>
        <w:t xml:space="preserve">. Indeed, the simulation design of this study allowed the existing CPMs to be heterogeneous in their risk predictor set. </w:t>
      </w:r>
    </w:p>
    <w:p w14:paraId="43C0F20D" w14:textId="7E791176" w:rsidR="00A37834" w:rsidRPr="009D7F5F" w:rsidRDefault="00442C6F" w:rsidP="00DF795E">
      <w:pPr>
        <w:ind w:firstLine="720"/>
      </w:pPr>
      <w:r>
        <w:rPr>
          <w:lang w:eastAsia="en-GB"/>
        </w:rPr>
        <w:t>Nevertheless, t</w:t>
      </w:r>
      <w:r w:rsidR="00FD6C28" w:rsidRPr="009D7F5F">
        <w:rPr>
          <w:lang w:eastAsia="en-GB"/>
        </w:rPr>
        <w:t>here are potential problems of aggregating CPMs that require attention. First</w:t>
      </w:r>
      <w:r w:rsidR="004A6B38">
        <w:rPr>
          <w:lang w:eastAsia="en-GB"/>
        </w:rPr>
        <w:t>ly</w:t>
      </w:r>
      <w:r w:rsidR="00FD6C28" w:rsidRPr="009D7F5F">
        <w:rPr>
          <w:lang w:eastAsia="en-GB"/>
        </w:rPr>
        <w:t>, each</w:t>
      </w:r>
      <w:r w:rsidR="004A6B38">
        <w:rPr>
          <w:lang w:eastAsia="en-GB"/>
        </w:rPr>
        <w:t xml:space="preserve"> existing CPM</w:t>
      </w:r>
      <w:r w:rsidR="00FD6C28" w:rsidRPr="009D7F5F">
        <w:rPr>
          <w:lang w:eastAsia="en-GB"/>
        </w:rPr>
        <w:t xml:space="preserve"> aims to predict the same outcome and most include very similar subset of predictors, thus inducing a high level of correlation between the multiple CPMs. </w:t>
      </w:r>
      <w:r w:rsidR="000862FF">
        <w:rPr>
          <w:lang w:eastAsia="en-GB"/>
        </w:rPr>
        <w:t xml:space="preserve">Although </w:t>
      </w:r>
      <w:r>
        <w:rPr>
          <w:lang w:eastAsia="en-GB"/>
        </w:rPr>
        <w:t>the weights in</w:t>
      </w:r>
      <w:r w:rsidR="000862FF">
        <w:rPr>
          <w:lang w:eastAsia="en-GB"/>
        </w:rPr>
        <w:t xml:space="preserve"> SR</w:t>
      </w:r>
      <w:r w:rsidR="00FD6C28" w:rsidRPr="009D7F5F">
        <w:rPr>
          <w:lang w:eastAsia="en-GB"/>
        </w:rPr>
        <w:t xml:space="preserve"> are restricted to be non-negative to avoid </w:t>
      </w:r>
      <w:r>
        <w:rPr>
          <w:lang w:eastAsia="en-GB"/>
        </w:rPr>
        <w:t xml:space="preserve">situations of </w:t>
      </w:r>
      <w:r w:rsidR="00FD6C28" w:rsidRPr="009D7F5F">
        <w:rPr>
          <w:lang w:eastAsia="en-GB"/>
        </w:rPr>
        <w:t>negative coefficient</w:t>
      </w:r>
      <w:r>
        <w:rPr>
          <w:lang w:eastAsia="en-GB"/>
        </w:rPr>
        <w:t>s</w:t>
      </w:r>
      <w:r w:rsidR="00FD6C28" w:rsidRPr="009D7F5F">
        <w:rPr>
          <w:lang w:eastAsia="en-GB"/>
        </w:rPr>
        <w:t xml:space="preserve"> caused by inclusion of two correlated models</w:t>
      </w:r>
      <w:r w:rsidR="000862FF">
        <w:rPr>
          <w:lang w:eastAsia="en-GB"/>
        </w:rPr>
        <w:t xml:space="preserve">, further work </w:t>
      </w:r>
      <w:r>
        <w:rPr>
          <w:lang w:eastAsia="en-GB"/>
        </w:rPr>
        <w:t>examining the collinearity issues</w:t>
      </w:r>
      <w:r w:rsidR="000862FF">
        <w:rPr>
          <w:lang w:eastAsia="en-GB"/>
        </w:rPr>
        <w:t xml:space="preserve"> is required </w:t>
      </w:r>
      <w:r w:rsidR="000862FF">
        <w:rPr>
          <w:lang w:eastAsia="en-GB"/>
        </w:rPr>
        <w:fldChar w:fldCharType="begin" w:fldLock="1"/>
      </w:r>
      <w:r w:rsidR="00DF795E">
        <w:rPr>
          <w:lang w:eastAsia="en-GB"/>
        </w:rPr>
        <w:instrText>ADDIN CSL_CITATION { "citationItems" : [ { "id" : "ITEM-1", "itemData" : { "DOI" : "10.1177/0962280215626466", "ISBN" : "0962-2802 1477-0334", "ISSN" : "0962-2802", "PMID" : "27460537", "author" : [ { "dropping-particle" : "", "family" : "Su", "given" : "T.-L.", "non-dropping-particle" : "", "parse-names" : false, "suffix" : "" }, { "dropping-particle" : "", "family" : "Jaki", "given" : "Thomas", "non-dropping-particle" : "", "parse-names" : false, "suffix" : "" }, { "dropping-particle" : "", "family" : "Hickey", "given" : "Graeme L", "non-dropping-particle" : "", "parse-names" : false, "suffix" : "" }, { "dropping-particle" : "", "family" : "Buchan", "given" : "Iain", "non-dropping-particle" : "", "parse-names" : false, "suffix" : "" }, { "dropping-particle" : "", "family" : "Sperrin", "given" : "Matthew", "non-dropping-particle" : "", "parse-names" : false, "suffix" : "" } ], "container-title" : "Statistical Methods in Medical Research", "id" : "ITEM-1", "issued" : { "date-parts" : [ [ "2016", "7", "26" ] ] }, "page" : "In press.", "title" : "A review of statistical updating methods for clinical prediction models", "type" : "article-journal" }, "uris" : [ "http://www.mendeley.com/documents/?uuid=504ca1af-b886-4e69-8b1f-43e7460b29a9" ] } ], "mendeley" : { "formattedCitation" : "[10]", "plainTextFormattedCitation" : "[10]", "previouslyFormattedCitation" : "[10]" }, "properties" : { "noteIndex" : 0 }, "schema" : "https://github.com/citation-style-language/schema/raw/master/csl-citation.json" }</w:instrText>
      </w:r>
      <w:r w:rsidR="000862FF">
        <w:rPr>
          <w:lang w:eastAsia="en-GB"/>
        </w:rPr>
        <w:fldChar w:fldCharType="separate"/>
      </w:r>
      <w:r w:rsidR="000862FF" w:rsidRPr="000862FF">
        <w:rPr>
          <w:noProof/>
          <w:lang w:eastAsia="en-GB"/>
        </w:rPr>
        <w:t>[10]</w:t>
      </w:r>
      <w:r w:rsidR="000862FF">
        <w:rPr>
          <w:lang w:eastAsia="en-GB"/>
        </w:rPr>
        <w:fldChar w:fldCharType="end"/>
      </w:r>
      <w:r w:rsidR="00FD6C28" w:rsidRPr="009D7F5F">
        <w:rPr>
          <w:lang w:eastAsia="en-GB"/>
        </w:rPr>
        <w:t>. Second</w:t>
      </w:r>
      <w:r w:rsidR="00EB7C97">
        <w:rPr>
          <w:lang w:eastAsia="en-GB"/>
        </w:rPr>
        <w:t>ly</w:t>
      </w:r>
      <w:r w:rsidR="00FD6C28" w:rsidRPr="009D7F5F">
        <w:rPr>
          <w:lang w:eastAsia="en-GB"/>
        </w:rPr>
        <w:t xml:space="preserve">, differences in risk factor definitions between existing CPMs could potentially weaken the performance of </w:t>
      </w:r>
      <w:r w:rsidR="004A6B38">
        <w:rPr>
          <w:lang w:eastAsia="en-GB"/>
        </w:rPr>
        <w:t>SR, PCA or PLS</w:t>
      </w:r>
      <w:r w:rsidR="00FD6C28" w:rsidRPr="009D7F5F">
        <w:rPr>
          <w:lang w:eastAsia="en-GB"/>
        </w:rPr>
        <w:t xml:space="preserve">. </w:t>
      </w:r>
      <w:r>
        <w:rPr>
          <w:lang w:eastAsia="en-GB"/>
        </w:rPr>
        <w:t>The current</w:t>
      </w:r>
      <w:r w:rsidR="00FD6C28" w:rsidRPr="009D7F5F">
        <w:rPr>
          <w:lang w:eastAsia="en-GB"/>
        </w:rPr>
        <w:t xml:space="preserve"> study aimed to replicate this practical limitation by generating predictors within c</w:t>
      </w:r>
      <w:r w:rsidR="00031EDB">
        <w:rPr>
          <w:lang w:eastAsia="en-GB"/>
        </w:rPr>
        <w:t xml:space="preserve">lusters of correlated variables; here, </w:t>
      </w:r>
      <w:r w:rsidR="00FD6C28" w:rsidRPr="009D7F5F">
        <w:rPr>
          <w:lang w:eastAsia="en-GB"/>
        </w:rPr>
        <w:t>given a moderate degree of correlation between the multiple similarly defined risk factors, the aggregation methods still performed well.</w:t>
      </w:r>
      <w:r w:rsidR="008B71B6">
        <w:rPr>
          <w:lang w:eastAsia="en-GB"/>
        </w:rPr>
        <w:t xml:space="preserve"> </w:t>
      </w:r>
      <w:r w:rsidR="00DF795E">
        <w:rPr>
          <w:lang w:eastAsia="en-GB"/>
        </w:rPr>
        <w:t xml:space="preserve">Finally, </w:t>
      </w:r>
      <w:r w:rsidR="00DF795E">
        <w:t>datasets across populations frequently collect different variables, potentially meaning a variable included in an existing CPM is not available</w:t>
      </w:r>
      <w:r w:rsidR="00DF795E">
        <w:rPr>
          <w:lang w:eastAsia="en-GB"/>
        </w:rPr>
        <w:t xml:space="preserve"> in the local population. In such circumstances of systematically missing covariates</w:t>
      </w:r>
      <w:r w:rsidR="004A6B38">
        <w:rPr>
          <w:lang w:eastAsia="en-GB"/>
        </w:rPr>
        <w:t>,</w:t>
      </w:r>
      <w:r w:rsidR="00DF795E">
        <w:rPr>
          <w:lang w:eastAsia="en-GB"/>
        </w:rPr>
        <w:t xml:space="preserve"> it is unclear how one should calculate the linear predictor for patients in the </w:t>
      </w:r>
      <w:r>
        <w:rPr>
          <w:lang w:eastAsia="en-GB"/>
        </w:rPr>
        <w:t xml:space="preserve">new </w:t>
      </w:r>
      <w:r w:rsidR="00DF795E">
        <w:rPr>
          <w:lang w:eastAsia="en-GB"/>
        </w:rPr>
        <w:t xml:space="preserve">local population </w:t>
      </w:r>
      <w:r w:rsidR="00DF795E">
        <w:rPr>
          <w:lang w:eastAsia="en-GB"/>
        </w:rPr>
        <w:fldChar w:fldCharType="begin" w:fldLock="1"/>
      </w:r>
      <w:r w:rsidR="00DF795E">
        <w:rPr>
          <w:lang w:eastAsia="en-GB"/>
        </w:rPr>
        <w:instrText>ADDIN CSL_CITATION { "citationItems" : [ { "id" : "ITEM-1", "itemData" : { "DOI" : "10.1093/aje/kwv346", "ISSN" : "0002-9262", "author" : [ { "dropping-particle" : "", "family" : "Held", "given" : "Ulrike", "non-dropping-particle" : "", "parse-names" : false, "suffix" : "" }, { "dropping-particle" : "", "family" : "Kessels", "given" : "Alfons", "non-dropping-particle" : "", "parse-names" : false, "suffix" : "" }, { "dropping-particle" : "", "family" : "Garcia Aymerich", "given" : "Judith", "non-dropping-particle" : "", "parse-names" : false, "suffix" : "" }, { "dropping-particle" : "", "family" : "Basaga\u00f1a", "given" : "Xavier", "non-dropping-particle" : "", "parse-names" : false, "suffix" : "" }, { "dropping-particle" : "", "family" : "Riet", "given" : "Gerben", "non-dropping-particle" : "ter", "parse-names" : false, "suffix" : "" }, { "dropping-particle" : "", "family" : "Moons", "given" : "Karel G. M.", "non-dropping-particle" : "", "parse-names" : false, "suffix" : "" }, { "dropping-particle" : "", "family" : "Puhan", "given" : "Milo A.", "non-dropping-particle" : "", "parse-names" : false, "suffix" : "" } ], "container-title" : "American Journal of Epidemiology", "id" : "ITEM-1", "issued" : { "date-parts" : [ [ "2016", "9", "14" ] ] }, "title" : "Methods for Handling Missing Variables in Risk Prediction Models", "type" : "article-journal" }, "uris" : [ "http://www.mendeley.com/documents/?uuid=94369a05-1c9d-4e0a-a83c-5a0f5d5808db" ] } ], "mendeley" : { "formattedCitation" : "[37]", "plainTextFormattedCitation" : "[37]", "previouslyFormattedCitation" : "[37]" }, "properties" : { "noteIndex" : 0 }, "schema" : "https://github.com/citation-style-language/schema/raw/master/csl-citation.json" }</w:instrText>
      </w:r>
      <w:r w:rsidR="00DF795E">
        <w:rPr>
          <w:lang w:eastAsia="en-GB"/>
        </w:rPr>
        <w:fldChar w:fldCharType="separate"/>
      </w:r>
      <w:r w:rsidR="00DF795E" w:rsidRPr="00CB0225">
        <w:rPr>
          <w:noProof/>
          <w:lang w:eastAsia="en-GB"/>
        </w:rPr>
        <w:t>[37]</w:t>
      </w:r>
      <w:r w:rsidR="00DF795E">
        <w:rPr>
          <w:lang w:eastAsia="en-GB"/>
        </w:rPr>
        <w:fldChar w:fldCharType="end"/>
      </w:r>
      <w:r w:rsidR="00DF795E">
        <w:rPr>
          <w:lang w:eastAsia="en-GB"/>
        </w:rPr>
        <w:t xml:space="preserve">. In turn, if systematically missing risk factors are not handled appropriately, then the aggregate CPM </w:t>
      </w:r>
      <w:r>
        <w:rPr>
          <w:lang w:eastAsia="en-GB"/>
        </w:rPr>
        <w:t>could be biased.</w:t>
      </w:r>
    </w:p>
    <w:p w14:paraId="1B932625" w14:textId="1442FDD9" w:rsidR="00FD6C28" w:rsidRPr="009D7F5F" w:rsidRDefault="004A1C61" w:rsidP="00FD6C28">
      <w:pPr>
        <w:ind w:firstLine="720"/>
      </w:pPr>
      <w:r w:rsidRPr="009D7F5F">
        <w:rPr>
          <w:lang w:eastAsia="en-GB"/>
        </w:rPr>
        <w:t>The main strength of this work is that we perform a simulation study under a range of realistic scenarios and</w:t>
      </w:r>
      <w:r w:rsidR="00CB0D90" w:rsidRPr="009D7F5F">
        <w:rPr>
          <w:lang w:eastAsia="en-GB"/>
        </w:rPr>
        <w:t xml:space="preserve"> consider multiple </w:t>
      </w:r>
      <w:r w:rsidRPr="009D7F5F">
        <w:rPr>
          <w:lang w:eastAsia="en-GB"/>
        </w:rPr>
        <w:t>performance measures, thereby allowing a comprehensive and systematic examination of the aggregation approaches. Conversely, t</w:t>
      </w:r>
      <w:r w:rsidR="00FD6C28" w:rsidRPr="009D7F5F">
        <w:rPr>
          <w:lang w:eastAsia="en-GB"/>
        </w:rPr>
        <w:t xml:space="preserve">he main limitation is that we simulate only a crude reflection of real between-population-heterogeneity. Over-arching variance of model parameters does not necessarily reflect the complex differences in data-generating processes that may vary between populations. However, without a comprehensive set of joint probability </w:t>
      </w:r>
      <w:r w:rsidR="00FD6C28" w:rsidRPr="009D7F5F">
        <w:t>distributions for the covariates of a given model, accurately modelling population heterogeneity is difficult to achieve.</w:t>
      </w:r>
      <w:r w:rsidR="00FD6C28" w:rsidRPr="009D7F5F">
        <w:rPr>
          <w:lang w:eastAsia="en-GB"/>
        </w:rPr>
        <w:t xml:space="preserve"> Hence, confirmation of our findings will be required from studies in observational datasets.</w:t>
      </w:r>
      <w:r w:rsidR="0065127C" w:rsidRPr="009D7F5F">
        <w:rPr>
          <w:lang w:eastAsia="en-GB"/>
        </w:rPr>
        <w:t xml:space="preserve"> A further limitation is that</w:t>
      </w:r>
      <w:r w:rsidR="00FD6C28" w:rsidRPr="009D7F5F">
        <w:rPr>
          <w:lang w:eastAsia="en-GB"/>
        </w:rPr>
        <w:t xml:space="preserve"> publication bias is known to impact prognostic research </w:t>
      </w:r>
      <w:r w:rsidR="00FD6C28" w:rsidRPr="007F2ED4">
        <w:rPr>
          <w:lang w:eastAsia="en-GB"/>
        </w:rPr>
        <w:fldChar w:fldCharType="begin" w:fldLock="1"/>
      </w:r>
      <w:r w:rsidR="00A23B1C">
        <w:rPr>
          <w:lang w:eastAsia="en-GB"/>
        </w:rPr>
        <w:instrText>ADDIN CSL_CITATION { "citationItems" : [ { "id" : "ITEM-1", "itemData" : { "DOI" : "10.1136/bmj.b4184", "ISSN" : "0959-8138", "PMID" : "20042483", "author" : [ { "dropping-particle" : "", "family" : "Hemingway", "given" : "Harry", "non-dropping-particle" : "", "parse-names" : false, "suffix" : "" }, { "dropping-particle" : "", "family" : "Riley", "given" : "Richard D", "non-dropping-particle" : "", "parse-names" : false, "suffix" : "" }, { "dropping-particle" : "", "family" : "Altman", "given" : "Douglas G", "non-dropping-particle" : "", "parse-names" : false, "suffix" : "" } ], "container-title" : "BMJ", "id" : "ITEM-1", "issued" : { "date-parts" : [ [ "2009", "12", "30" ] ] }, "page" : "b4184", "title" : "Ten steps towards improving prognosis research", "type" : "article-journal", "volume" : "339" }, "uris" : [ "http://www.mendeley.com/documents/?uuid=5b67cfa6-3e8e-4cce-8fde-50c34ea0e59c" ] } ], "mendeley" : { "formattedCitation" : "[38]", "plainTextFormattedCitation" : "[38]", "previouslyFormattedCitation" : "[38]" }, "properties" : { "noteIndex" : 0 }, "schema" : "https://github.com/citation-style-language/schema/raw/master/csl-citation.json" }</w:instrText>
      </w:r>
      <w:r w:rsidR="00FD6C28" w:rsidRPr="007F2ED4">
        <w:rPr>
          <w:lang w:eastAsia="en-GB"/>
        </w:rPr>
        <w:fldChar w:fldCharType="separate"/>
      </w:r>
      <w:r w:rsidR="00CB0225" w:rsidRPr="00CB0225">
        <w:rPr>
          <w:noProof/>
          <w:lang w:eastAsia="en-GB"/>
        </w:rPr>
        <w:t>[38]</w:t>
      </w:r>
      <w:r w:rsidR="00FD6C28" w:rsidRPr="007F2ED4">
        <w:rPr>
          <w:lang w:eastAsia="en-GB"/>
        </w:rPr>
        <w:fldChar w:fldCharType="end"/>
      </w:r>
      <w:r w:rsidR="00FD6C28" w:rsidRPr="009D7F5F">
        <w:rPr>
          <w:lang w:eastAsia="en-GB"/>
        </w:rPr>
        <w:t>, but its effects were not analysed in this study; such bias would lead to overestimation of aggregated regression coefficients. Finally, the aggregation methods assume that each population is a random sample from an over-arching common population. The data-generating mechanisms in this simulation directly match</w:t>
      </w:r>
      <w:r w:rsidR="00C046D6">
        <w:rPr>
          <w:lang w:eastAsia="en-GB"/>
        </w:rPr>
        <w:t>ed</w:t>
      </w:r>
      <w:r w:rsidR="00FD6C28" w:rsidRPr="009D7F5F">
        <w:rPr>
          <w:lang w:eastAsia="en-GB"/>
        </w:rPr>
        <w:t xml:space="preserve"> this assumption by simulating generating model coefficients as a random sample from a common distribution. Similarly, the </w:t>
      </w:r>
      <w:r w:rsidR="00FD6C28" w:rsidRPr="009D7F5F">
        <w:t xml:space="preserve">distributions of the </w:t>
      </w:r>
      <w:r w:rsidR="003F2014" w:rsidRPr="009D7F5F">
        <w:t>risk predictors</w:t>
      </w:r>
      <w:r w:rsidR="00FD6C28" w:rsidRPr="009D7F5F">
        <w:t xml:space="preserve"> were assumed the same between populations</w:t>
      </w:r>
      <w:r w:rsidR="00FD6C28" w:rsidRPr="009D7F5F">
        <w:rPr>
          <w:lang w:eastAsia="en-GB"/>
        </w:rPr>
        <w:t>.</w:t>
      </w:r>
    </w:p>
    <w:p w14:paraId="772B2C89" w14:textId="207F2A45" w:rsidR="00FD6C28" w:rsidRPr="009D7F5F" w:rsidRDefault="00442C6F" w:rsidP="00FD6C28">
      <w:pPr>
        <w:ind w:firstLine="720"/>
        <w:rPr>
          <w:lang w:eastAsia="en-GB"/>
        </w:rPr>
      </w:pPr>
      <w:r>
        <w:rPr>
          <w:lang w:eastAsia="en-GB"/>
        </w:rPr>
        <w:t>Overall, t</w:t>
      </w:r>
      <w:r w:rsidR="00FD6C28" w:rsidRPr="009D7F5F">
        <w:rPr>
          <w:lang w:eastAsia="en-GB"/>
        </w:rPr>
        <w:t xml:space="preserve">he current work suggests a framework of modelling strategy when developing a model for a </w:t>
      </w:r>
      <w:r w:rsidR="003F2014" w:rsidRPr="009D7F5F">
        <w:rPr>
          <w:lang w:eastAsia="en-GB"/>
        </w:rPr>
        <w:t>local</w:t>
      </w:r>
      <w:r w:rsidR="00B12B88">
        <w:rPr>
          <w:lang w:eastAsia="en-GB"/>
        </w:rPr>
        <w:t>/ defined</w:t>
      </w:r>
      <w:r w:rsidR="00FD6C28" w:rsidRPr="009D7F5F">
        <w:rPr>
          <w:lang w:eastAsia="en-GB"/>
        </w:rPr>
        <w:t xml:space="preserve"> population. In practice, an estimate of the between-population-heterogeneity could be approximated by examining the differences in coefficients between existing CPMs, exploiting clinical knowledge between networks of modelling teams and by examining the distribution of the linear predictors between populations </w:t>
      </w:r>
      <w:r w:rsidR="00FD6C28" w:rsidRPr="007F2ED4">
        <w:rPr>
          <w:lang w:eastAsia="en-GB"/>
        </w:rPr>
        <w:fldChar w:fldCharType="begin" w:fldLock="1"/>
      </w:r>
      <w:r w:rsidR="00CB0225">
        <w:rPr>
          <w:lang w:eastAsia="en-GB"/>
        </w:rPr>
        <w:instrText>ADDIN CSL_CITATION { "citationItems" : [ { "id" : "ITEM-1", "itemData" : { "DOI" : "10.1016/j.jclinepi.2014.06.018", "ISSN" : "08954356", "PMID" : "25179855", "abstract" : "OBJECTIVES: It is widely acknowledged that the performance of diagnostic and prognostic prediction models should be assessed in external validation studies with independent data from \"different but related\" samples as compared with that of the development sample. We developed a framework of methodological steps and statistical methods for analyzing and enhancing the interpretation of results from external validation studies of prediction models. STUDY DESIGN AND SETTING: We propose to quantify the degree of relatedness between development and validation samples on a scale ranging from reproducibility to transportability by evaluating their corresponding case-mix differences. We subsequently assess the models' performance in the validation sample and interpret the performance in view of the case-mix differences. Finally, we may adjust the model to the validation setting. RESULTS: We illustrate this three-step framework with a prediction model for diagnosing deep venous thrombosis using three validation samples with varying case mix. While one external validation sample merely assessed the model's reproducibility, two other samples rather assessed model transportability. The performance in all validation samples was adequate, and the model did not require extensive updating to correct for miscalibration or poor fit to the validation settings. CONCLUSION: The proposed framework enhances the interpretation of findings at external validation of prediction models.", "author" : [ { "dropping-particle" : "", "family" : "Debray", "given" : "Thomas P.A.", "non-dropping-particle" : "", "parse-names" : false, "suffix" : "" }, { "dropping-particle" : "", "family" : "Vergouwe", "given" : "Yvonne", "non-dropping-particle" : "", "parse-names" : false, "suffix" : "" }, { "dropping-particle" : "", "family" : "Koffijberg", "given" : "Hendrik", "non-dropping-particle" : "", "parse-names" : false, "suffix" : "" }, { "dropping-particle" : "", "family" : "Nieboer", "given" : "Daan", "non-dropping-particle" : "", "parse-names" : false, "suffix" : "" }, { "dropping-particle" : "", "family" : "Steyerberg", "given" : "Ewout W", "non-dropping-particle" : "", "parse-names" : false, "suffix" : "" }, { "dropping-particle" : "", "family" : "Moons", "given" : "Karel G.M.", "non-dropping-particle" : "", "parse-names" : false, "suffix" : "" } ], "container-title" : "Journal of Clinical Epidemiology", "id" : "ITEM-1", "issue" : "3", "issued" : { "date-parts" : [ [ "2015", "3", "29" ] ] }, "page" : "279-289", "publisher" : "Elsevier Inc", "title" : "A new framework to enhance the interpretation of external validation studies of clinical prediction models", "type" : "article-journal", "volume" : "68" }, "uris" : [ "http://www.mendeley.com/documents/?uuid=0d3bd6c1-7452-4d42-bf06-23f546f98b52" ] } ], "mendeley" : { "formattedCitation" : "[39]", "plainTextFormattedCitation" : "[39]", "previouslyFormattedCitation" : "[39]" }, "properties" : { "noteIndex" : 0 }, "schema" : "https://github.com/citation-style-language/schema/raw/master/csl-citation.json" }</w:instrText>
      </w:r>
      <w:r w:rsidR="00FD6C28" w:rsidRPr="007F2ED4">
        <w:rPr>
          <w:lang w:eastAsia="en-GB"/>
        </w:rPr>
        <w:fldChar w:fldCharType="separate"/>
      </w:r>
      <w:r w:rsidR="00CB0225" w:rsidRPr="00CB0225">
        <w:rPr>
          <w:noProof/>
          <w:lang w:eastAsia="en-GB"/>
        </w:rPr>
        <w:t>[39]</w:t>
      </w:r>
      <w:r w:rsidR="00FD6C28" w:rsidRPr="007F2ED4">
        <w:rPr>
          <w:lang w:eastAsia="en-GB"/>
        </w:rPr>
        <w:fldChar w:fldCharType="end"/>
      </w:r>
      <w:r w:rsidR="00FD6C28" w:rsidRPr="009D7F5F">
        <w:rPr>
          <w:lang w:eastAsia="en-GB"/>
        </w:rPr>
        <w:t xml:space="preserve">. In </w:t>
      </w:r>
      <w:r w:rsidR="004A6B38" w:rsidRPr="009D7F5F">
        <w:rPr>
          <w:lang w:eastAsia="en-GB"/>
        </w:rPr>
        <w:t>many</w:t>
      </w:r>
      <w:r w:rsidR="00FD6C28" w:rsidRPr="009D7F5F">
        <w:rPr>
          <w:lang w:eastAsia="en-GB"/>
        </w:rPr>
        <w:t xml:space="preserve"> practical scenarios, the variability between populations will be low</w:t>
      </w:r>
      <w:r w:rsidR="004A6B38">
        <w:rPr>
          <w:lang w:eastAsia="en-GB"/>
        </w:rPr>
        <w:t>; thus</w:t>
      </w:r>
      <w:r w:rsidR="00FD6C28" w:rsidRPr="009D7F5F">
        <w:rPr>
          <w:lang w:eastAsia="en-GB"/>
        </w:rPr>
        <w:t xml:space="preserve"> the situations of </w:t>
      </w:r>
      <m:oMath>
        <m:r>
          <w:rPr>
            <w:rFonts w:ascii="Cambria Math" w:hAnsi="Cambria Math"/>
            <w:lang w:eastAsia="en-GB"/>
          </w:rPr>
          <m:t>σ=0</m:t>
        </m:r>
      </m:oMath>
      <w:r w:rsidR="004A6B38">
        <w:rPr>
          <w:lang w:eastAsia="en-GB"/>
        </w:rPr>
        <w:t xml:space="preserve"> </w:t>
      </w:r>
      <w:r w:rsidR="00FD6C28" w:rsidRPr="009D7F5F">
        <w:rPr>
          <w:lang w:eastAsia="en-GB"/>
        </w:rPr>
        <w:t xml:space="preserve">to </w:t>
      </w:r>
      <m:oMath>
        <m:r>
          <w:rPr>
            <w:rFonts w:ascii="Cambria Math" w:hAnsi="Cambria Math"/>
            <w:lang w:eastAsia="en-GB"/>
          </w:rPr>
          <m:t xml:space="preserve">σ=0.375 </m:t>
        </m:r>
      </m:oMath>
      <w:r w:rsidR="00FD6C28" w:rsidRPr="009D7F5F">
        <w:rPr>
          <w:lang w:eastAsia="en-GB"/>
        </w:rPr>
        <w:t xml:space="preserve">in the current study likely closely represent clinical practice. If the size of the local data is &lt;10% of that </w:t>
      </w:r>
      <w:r>
        <w:rPr>
          <w:lang w:eastAsia="en-GB"/>
        </w:rPr>
        <w:t xml:space="preserve">the </w:t>
      </w:r>
      <w:r w:rsidR="00FD6C28" w:rsidRPr="009D7F5F">
        <w:rPr>
          <w:lang w:eastAsia="en-GB"/>
        </w:rPr>
        <w:t xml:space="preserve">existing CPMs were derived on, and if the multiple populations share clinically similar demographic and procedural characteristics, then we recommend aggregating existing models. Secondly, if the size of local data matches or exceeds that of existing model derivations, then deriving a </w:t>
      </w:r>
      <w:r w:rsidR="00FD6C28" w:rsidRPr="009D7F5F">
        <w:rPr>
          <w:szCs w:val="24"/>
          <w:lang w:eastAsia="en-GB"/>
        </w:rPr>
        <w:t xml:space="preserve">new CPM could be appropriate, </w:t>
      </w:r>
      <w:r w:rsidR="0053783D" w:rsidRPr="009D7F5F">
        <w:rPr>
          <w:szCs w:val="24"/>
          <w:lang w:eastAsia="en-GB"/>
        </w:rPr>
        <w:t>although t</w:t>
      </w:r>
      <w:r w:rsidR="00FD6C28" w:rsidRPr="009D7F5F">
        <w:rPr>
          <w:szCs w:val="24"/>
          <w:lang w:eastAsia="en-GB"/>
        </w:rPr>
        <w:t xml:space="preserve">he existing CPMs could still provide useful prior information about likely covariate-outcome associations. Finally, in all other circumstances, one should consider either aggregation, redevelopment or a combination of the two </w:t>
      </w:r>
      <w:r w:rsidR="00FD6C28" w:rsidRPr="007F2ED4">
        <w:fldChar w:fldCharType="begin" w:fldLock="1"/>
      </w:r>
      <w:r w:rsidR="00BB581D">
        <w:instrText>ADDIN CSL_CITATION { "citationItems" : [ { "id" : "ITEM-1", "itemData" : { "DOI" : "10.1002/sim.5412", "ISSN" : "02776715", "PMID" : "22733546", "abstract" : "During the recent decades, interest in prediction models has substantially increased, but approaches to synthesize evidence from previously developed models have failed to keep pace. This causes researchers to ignore potentially useful past evidence when developing a novel prediction model with individual participant data (IPD) from their population of interest. We aimed to evaluate approaches to aggregate previously published prediction models with new data. We consider the situation that models are reported in the literature with predictors similar to those available in an IPD dataset. We adopt a two-stage method and explore three approaches to calculate a synthesis model, hereby relying on the principles of multivariate meta-analysis. The former approach employs a naive pooling strategy, whereas the latter accounts for within-study and between-study covariance. These approaches are applied to a collection of 15 datasets of patients with traumatic brain injury, and to five previously published models for predicting deep venous thrombosis. Here, we illustrated how the generally unrealistic assumption of consistency in the availability of evidence across included studies can be relaxed. Results from the case studies demonstrate that aggregation yields prediction models with an improved discrimination and calibration in a vast majority of scenarios, and result in equivalent performance (compared with the standard approach) in a small minority of situations. The proposed aggregation approaches are particularly useful when few participant data are at hand. Assessing the degree of heterogeneity between IPD and literature findings remains crucial to determine the optimal approach in aggregating previous evidence into new prediction models.", "author" : [ { "dropping-particle" : "", "family" : "Debray", "given" : "Thomas P.A.", "non-dropping-particle" : "", "parse-names" : false, "suffix" : "" }, { "dropping-particle" : "", "family" : "Koffijberg", "given" : "Hendrik", "non-dropping-particle" : "", "parse-names" : false, "suffix" : "" }, { "dropping-particle" : "", "family" : "Vergouwe", "given" : "Yvonne", "non-dropping-particle" : "", "parse-names" : false, "suffix" : "" }, { "dropping-particle" : "", "family" : "Moons", "given" : "Karel G.M.", "non-dropping-particle" : "", "parse-names" : false, "suffix" : "" }, { "dropping-particle" : "", "family" : "Steyerberg", "given" : "Ewout W.", "non-dropping-particle" : "", "parse-names" : false, "suffix" : "" } ], "container-title" : "Statistics in Medicine", "id" : "ITEM-1", "issue" : "23", "issued" : { "date-parts" : [ [ "2012", "10", "15" ] ] }, "note" : "Meta-analysis of risk scores to combine them", "page" : "2697-2712", "title" : "Aggregating published prediction models with individual participant data: a comparison of different approaches", "type" : "article-journal", "volume" : "31" }, "uris" : [ "http://www.mendeley.com/documents/?uuid=4a3d6b2c-e419-42bf-ad24-70185c0d3e60" ] } ], "mendeley" : { "formattedCitation" : "[18]", "plainTextFormattedCitation" : "[18]", "previouslyFormattedCitation" : "[18]" }, "properties" : { "noteIndex" : 0 }, "schema" : "https://github.com/citation-style-language/schema/raw/master/csl-citation.json" }</w:instrText>
      </w:r>
      <w:r w:rsidR="00FD6C28" w:rsidRPr="007F2ED4">
        <w:fldChar w:fldCharType="separate"/>
      </w:r>
      <w:r w:rsidR="00BB581D" w:rsidRPr="00BB581D">
        <w:rPr>
          <w:noProof/>
        </w:rPr>
        <w:t>[18]</w:t>
      </w:r>
      <w:r w:rsidR="00FD6C28" w:rsidRPr="007F2ED4">
        <w:fldChar w:fldCharType="end"/>
      </w:r>
      <w:r w:rsidR="00FD6C28" w:rsidRPr="009D7F5F">
        <w:rPr>
          <w:szCs w:val="24"/>
          <w:lang w:eastAsia="en-GB"/>
        </w:rPr>
        <w:t xml:space="preserve">. Here, the sample sizes relative to the number of predictors per event </w:t>
      </w:r>
      <w:r w:rsidR="00FD6C28" w:rsidRPr="007F2ED4">
        <w:rPr>
          <w:szCs w:val="24"/>
          <w:lang w:eastAsia="en-GB"/>
        </w:rPr>
        <w:fldChar w:fldCharType="begin" w:fldLock="1"/>
      </w:r>
      <w:r w:rsidR="00BB581D">
        <w:rPr>
          <w:szCs w:val="24"/>
          <w:lang w:eastAsia="en-GB"/>
        </w:rPr>
        <w:instrText>ADDIN CSL_CITATION { "citationItems" : [ { "id" : "ITEM-1", "itemData" : { "DOI" : "10.1016/S0895-4356(99)00103-1", "ISBN" : "0895-4356 (Print)\\r0895-4356 (Linking)", "ISSN" : "08954356", "PMID" : "10513756", "abstract" : "Stepwise selection methods are widely applied to identify covariables for inclusion in regression models. One of the problems of stepwise selection is biased estimation of the regression coefficients. We illustrate this 'selection bias' with logistic regression in the GUSTO-I trial (40,830 patients with an acute myocardial infarction). Random samples were drawn that included 3, 5, 10, 20, or 40 events per variable (EPV). Backward stepwise selection was applied in models containing 8 or 16 pre-specified predictors of 30-day mortality. We found a considerable overestimation of regression coefficients of selected covariables. The selection bias decreased with increasing EPV. For EPV 3, 10, or 40, the bias exceeded 25% for 7, 3, and 1 in the 8-predictor model respectively, when a conventional selection criterion was used (?? = 0.05). For these EPV values, the bias was less than 20% for all covariables when no selection was applied. We conclude that stepwise selection may result in a substantial bias of estimated regression coefficients.", "author" : [ { "dropping-particle" : "", "family" : "Steyerberg", "given" : "E", "non-dropping-particle" : "", "parse-names" : false, "suffix" : "" } ], "container-title" : "Journal of Clinical Epidemiology", "id" : "ITEM-1", "issue" : "10", "issued" : { "date-parts" : [ [ "1999", "10" ] ] }, "page" : "935-942", "title" : "Stepwise Selection in Small Data Sets A Simulation Study of Bias in Logistic Regression Analysis", "type" : "article-journal", "volume" : "52" }, "uris" : [ "http://www.mendeley.com/documents/?uuid=650b0c0f-128a-49ff-bf29-f0cba32a63ea" ] } ], "mendeley" : { "formattedCitation" : "[31]", "plainTextFormattedCitation" : "[31]", "previouslyFormattedCitation" : "[31]" }, "properties" : { "noteIndex" : 0 }, "schema" : "https://github.com/citation-style-language/schema/raw/master/csl-citation.json" }</w:instrText>
      </w:r>
      <w:r w:rsidR="00FD6C28" w:rsidRPr="007F2ED4">
        <w:rPr>
          <w:szCs w:val="24"/>
          <w:lang w:eastAsia="en-GB"/>
        </w:rPr>
        <w:fldChar w:fldCharType="separate"/>
      </w:r>
      <w:r w:rsidR="00BB581D" w:rsidRPr="00BB581D">
        <w:rPr>
          <w:noProof/>
          <w:szCs w:val="24"/>
          <w:lang w:eastAsia="en-GB"/>
        </w:rPr>
        <w:t>[31]</w:t>
      </w:r>
      <w:r w:rsidR="00FD6C28" w:rsidRPr="007F2ED4">
        <w:rPr>
          <w:szCs w:val="24"/>
          <w:lang w:eastAsia="en-GB"/>
        </w:rPr>
        <w:fldChar w:fldCharType="end"/>
      </w:r>
      <w:r w:rsidR="00FD6C28" w:rsidRPr="009D7F5F">
        <w:rPr>
          <w:szCs w:val="24"/>
          <w:lang w:eastAsia="en-GB"/>
        </w:rPr>
        <w:t xml:space="preserve">, the estimated population heterogeneity, </w:t>
      </w:r>
      <w:r w:rsidR="00FD6C28" w:rsidRPr="009D7F5F">
        <w:t>the quality of the existing CPMs and the availability of variables should drive the chosen method.</w:t>
      </w:r>
    </w:p>
    <w:p w14:paraId="4E586E78" w14:textId="77777777" w:rsidR="00FD6C28" w:rsidRPr="009D7F5F" w:rsidRDefault="00FD6C28" w:rsidP="00FD6C28">
      <w:pPr>
        <w:pStyle w:val="Heading1"/>
        <w:rPr>
          <w:lang w:eastAsia="en-GB"/>
        </w:rPr>
      </w:pPr>
      <w:r w:rsidRPr="009D7F5F">
        <w:rPr>
          <w:lang w:eastAsia="en-GB"/>
        </w:rPr>
        <w:t>Conclusions</w:t>
      </w:r>
    </w:p>
    <w:p w14:paraId="3192BE3F" w14:textId="7C8C483D" w:rsidR="00FD6C28" w:rsidRDefault="00FD6C28" w:rsidP="00FD6C28">
      <w:pPr>
        <w:ind w:firstLine="720"/>
        <w:rPr>
          <w:szCs w:val="24"/>
          <w:lang w:eastAsia="en-GB"/>
        </w:rPr>
      </w:pPr>
      <w:r w:rsidRPr="009D7F5F">
        <w:rPr>
          <w:szCs w:val="24"/>
          <w:lang w:eastAsia="en-GB"/>
        </w:rPr>
        <w:t>Aggregating existing CPMs is beneficial in the development of a CPM for healthcare predictions</w:t>
      </w:r>
      <w:r w:rsidR="00C50C3F">
        <w:rPr>
          <w:szCs w:val="24"/>
          <w:lang w:eastAsia="en-GB"/>
        </w:rPr>
        <w:t xml:space="preserve"> in defined populations</w:t>
      </w:r>
      <w:r w:rsidRPr="009D7F5F">
        <w:rPr>
          <w:szCs w:val="24"/>
          <w:lang w:eastAsia="en-GB"/>
        </w:rPr>
        <w:t xml:space="preserve">. In the majority of situations, modellers should consider existing CPMs before developing models anew, with their aggregation potentially providing optimal performance given low sample sizes relative to that of previous model derivations. Deriving a new CPM independent of previous research was only recommended in the unusual situation of having more data available than used to derive existing models, </w:t>
      </w:r>
      <w:r w:rsidR="003F2014" w:rsidRPr="009D7F5F">
        <w:rPr>
          <w:szCs w:val="24"/>
          <w:lang w:eastAsia="en-GB"/>
        </w:rPr>
        <w:t xml:space="preserve">or a </w:t>
      </w:r>
      <w:r w:rsidRPr="009D7F5F">
        <w:rPr>
          <w:szCs w:val="24"/>
          <w:lang w:eastAsia="en-GB"/>
        </w:rPr>
        <w:t xml:space="preserve">local context </w:t>
      </w:r>
      <w:r w:rsidR="003F2014" w:rsidRPr="009D7F5F">
        <w:rPr>
          <w:szCs w:val="24"/>
          <w:lang w:eastAsia="en-GB"/>
        </w:rPr>
        <w:t xml:space="preserve">that is </w:t>
      </w:r>
      <w:r w:rsidR="00CE1779" w:rsidRPr="009D7F5F">
        <w:rPr>
          <w:szCs w:val="24"/>
          <w:lang w:eastAsia="en-GB"/>
        </w:rPr>
        <w:t>markedly</w:t>
      </w:r>
      <w:r w:rsidR="003F2014" w:rsidRPr="009D7F5F">
        <w:rPr>
          <w:szCs w:val="24"/>
          <w:lang w:eastAsia="en-GB"/>
        </w:rPr>
        <w:t xml:space="preserve"> different to those of existing CPMs</w:t>
      </w:r>
      <w:r w:rsidRPr="009D7F5F">
        <w:rPr>
          <w:szCs w:val="24"/>
          <w:lang w:eastAsia="en-GB"/>
        </w:rPr>
        <w:t>.</w:t>
      </w:r>
    </w:p>
    <w:p w14:paraId="31F636EE" w14:textId="77777777" w:rsidR="0065169A" w:rsidRDefault="0065169A" w:rsidP="00FD6C28">
      <w:pPr>
        <w:ind w:firstLine="720"/>
        <w:rPr>
          <w:szCs w:val="24"/>
          <w:lang w:eastAsia="en-GB"/>
        </w:rPr>
        <w:sectPr w:rsidR="0065169A" w:rsidSect="00B94D9C">
          <w:footerReference w:type="default" r:id="rId9"/>
          <w:pgSz w:w="11906" w:h="16838"/>
          <w:pgMar w:top="1440" w:right="1440" w:bottom="1440" w:left="1440" w:header="708" w:footer="708" w:gutter="0"/>
          <w:lnNumType w:countBy="1"/>
          <w:cols w:space="708"/>
          <w:docGrid w:linePitch="360"/>
        </w:sectPr>
      </w:pPr>
    </w:p>
    <w:p w14:paraId="45F6A96B" w14:textId="5369F0A5" w:rsidR="00404A86" w:rsidRDefault="002E78E2" w:rsidP="00404A86">
      <w:pPr>
        <w:pStyle w:val="Heading1"/>
        <w:rPr>
          <w:lang w:eastAsia="en-GB"/>
        </w:rPr>
      </w:pPr>
      <w:r>
        <w:rPr>
          <w:lang w:eastAsia="en-GB"/>
        </w:rPr>
        <w:t>T</w:t>
      </w:r>
      <w:r w:rsidR="00404A86">
        <w:rPr>
          <w:lang w:eastAsia="en-GB"/>
        </w:rPr>
        <w:t>ables</w:t>
      </w:r>
    </w:p>
    <w:p w14:paraId="2A472F80" w14:textId="5604D98B" w:rsidR="00404A86" w:rsidRPr="009D7F5F" w:rsidRDefault="00404A86" w:rsidP="00404A86">
      <w:r w:rsidRPr="009D7F5F">
        <w:rPr>
          <w:b/>
        </w:rPr>
        <w:t>Table 1</w:t>
      </w:r>
      <w:r w:rsidR="00F26EA9">
        <w:rPr>
          <w:b/>
        </w:rPr>
        <w:t xml:space="preserve">: </w:t>
      </w:r>
      <w:r w:rsidR="00F26EA9" w:rsidRPr="00F26EA9">
        <w:rPr>
          <w:b/>
        </w:rPr>
        <w:t>Summary measures of the difference in generating coefficients values across all simulated populations.</w:t>
      </w:r>
      <w:r w:rsidRPr="009D7F5F">
        <w:rPr>
          <w: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366"/>
        <w:gridCol w:w="821"/>
        <w:gridCol w:w="691"/>
        <w:gridCol w:w="821"/>
        <w:gridCol w:w="691"/>
        <w:gridCol w:w="691"/>
        <w:gridCol w:w="691"/>
        <w:gridCol w:w="2011"/>
        <w:gridCol w:w="1009"/>
      </w:tblGrid>
      <w:tr w:rsidR="00404A86" w:rsidRPr="009D7F5F" w14:paraId="489A7E56" w14:textId="77777777" w:rsidTr="00F913C7">
        <w:tc>
          <w:tcPr>
            <w:tcW w:w="784" w:type="pct"/>
            <w:vMerge w:val="restart"/>
            <w:tcBorders>
              <w:top w:val="single" w:sz="4" w:space="0" w:color="auto"/>
            </w:tcBorders>
          </w:tcPr>
          <w:p w14:paraId="07F60B1F" w14:textId="77777777" w:rsidR="00404A86" w:rsidRPr="007F2ED4" w:rsidRDefault="00404A86" w:rsidP="00F913C7">
            <w:pPr>
              <w:spacing w:line="259" w:lineRule="auto"/>
              <w:rPr>
                <w:b/>
                <w:lang w:val="en-GB"/>
              </w:rPr>
            </w:pPr>
          </w:p>
        </w:tc>
        <w:tc>
          <w:tcPr>
            <w:tcW w:w="2582" w:type="pct"/>
            <w:gridSpan w:val="7"/>
            <w:tcBorders>
              <w:top w:val="single" w:sz="4" w:space="0" w:color="auto"/>
            </w:tcBorders>
          </w:tcPr>
          <w:p w14:paraId="05155648" w14:textId="77777777" w:rsidR="00404A86" w:rsidRPr="007F2ED4" w:rsidRDefault="00404A86" w:rsidP="00F913C7">
            <w:pPr>
              <w:spacing w:line="259" w:lineRule="auto"/>
              <w:jc w:val="center"/>
              <w:rPr>
                <w:b/>
                <w:lang w:val="en-GB"/>
              </w:rPr>
            </w:pPr>
            <m:oMathPara>
              <m:oMath>
                <m:r>
                  <m:rPr>
                    <m:sty m:val="bi"/>
                  </m:rPr>
                  <w:rPr>
                    <w:rFonts w:ascii="Cambria Math" w:hAnsi="Cambria Math"/>
                  </w:rPr>
                  <m:t>σ</m:t>
                </m:r>
              </m:oMath>
            </m:oMathPara>
          </w:p>
        </w:tc>
        <w:tc>
          <w:tcPr>
            <w:tcW w:w="1088" w:type="pct"/>
            <w:vMerge w:val="restart"/>
            <w:tcBorders>
              <w:top w:val="single" w:sz="4" w:space="0" w:color="auto"/>
            </w:tcBorders>
          </w:tcPr>
          <w:p w14:paraId="1E9BB1DB" w14:textId="77777777" w:rsidR="00404A86" w:rsidRPr="007F2ED4" w:rsidRDefault="00404A86" w:rsidP="00F913C7">
            <w:pPr>
              <w:spacing w:line="259" w:lineRule="auto"/>
              <w:jc w:val="center"/>
              <w:rPr>
                <w:b/>
                <w:lang w:val="en-GB"/>
              </w:rPr>
            </w:pPr>
            <w:r w:rsidRPr="007F2ED4">
              <w:rPr>
                <w:b/>
                <w:lang w:val="en-GB"/>
              </w:rPr>
              <w:t>LES, ESII, STS, German AV</w:t>
            </w:r>
          </w:p>
        </w:tc>
        <w:tc>
          <w:tcPr>
            <w:tcW w:w="546" w:type="pct"/>
            <w:vMerge w:val="restart"/>
            <w:tcBorders>
              <w:top w:val="single" w:sz="4" w:space="0" w:color="auto"/>
            </w:tcBorders>
          </w:tcPr>
          <w:p w14:paraId="5602E866" w14:textId="77777777" w:rsidR="00404A86" w:rsidRPr="007F2ED4" w:rsidRDefault="00404A86" w:rsidP="00F913C7">
            <w:pPr>
              <w:spacing w:line="259" w:lineRule="auto"/>
              <w:jc w:val="center"/>
              <w:rPr>
                <w:b/>
                <w:lang w:val="en-GB"/>
              </w:rPr>
            </w:pPr>
            <w:r w:rsidRPr="009D7F5F">
              <w:rPr>
                <w:b/>
              </w:rPr>
              <w:t>LES, ESII</w:t>
            </w:r>
          </w:p>
        </w:tc>
      </w:tr>
      <w:tr w:rsidR="00404A86" w:rsidRPr="009D7F5F" w14:paraId="54796FC8" w14:textId="77777777" w:rsidTr="00F913C7">
        <w:tc>
          <w:tcPr>
            <w:tcW w:w="784" w:type="pct"/>
            <w:vMerge/>
            <w:tcBorders>
              <w:bottom w:val="single" w:sz="4" w:space="0" w:color="auto"/>
            </w:tcBorders>
          </w:tcPr>
          <w:p w14:paraId="69ED9357" w14:textId="77777777" w:rsidR="00404A86" w:rsidRPr="009D7F5F" w:rsidRDefault="00404A86" w:rsidP="00F913C7">
            <w:pPr>
              <w:spacing w:line="259" w:lineRule="auto"/>
              <w:rPr>
                <w:b/>
                <w:lang w:val="en-GB"/>
              </w:rPr>
            </w:pPr>
          </w:p>
        </w:tc>
        <w:tc>
          <w:tcPr>
            <w:tcW w:w="198" w:type="pct"/>
            <w:tcBorders>
              <w:bottom w:val="single" w:sz="4" w:space="0" w:color="auto"/>
            </w:tcBorders>
            <w:vAlign w:val="center"/>
          </w:tcPr>
          <w:p w14:paraId="5A3A523C" w14:textId="77777777" w:rsidR="00404A86" w:rsidRPr="009D7F5F" w:rsidRDefault="00404A86" w:rsidP="00F913C7">
            <w:pPr>
              <w:spacing w:line="259" w:lineRule="auto"/>
              <w:jc w:val="center"/>
              <w:rPr>
                <w:b/>
                <w:lang w:val="en-GB"/>
              </w:rPr>
            </w:pPr>
            <w:r w:rsidRPr="009D7F5F">
              <w:rPr>
                <w:b/>
              </w:rPr>
              <w:t>0</w:t>
            </w:r>
          </w:p>
        </w:tc>
        <w:tc>
          <w:tcPr>
            <w:tcW w:w="444" w:type="pct"/>
            <w:tcBorders>
              <w:bottom w:val="single" w:sz="4" w:space="0" w:color="auto"/>
            </w:tcBorders>
            <w:vAlign w:val="center"/>
          </w:tcPr>
          <w:p w14:paraId="0A71BBA4" w14:textId="77777777" w:rsidR="00404A86" w:rsidRPr="009D7F5F" w:rsidRDefault="00404A86" w:rsidP="00F913C7">
            <w:pPr>
              <w:spacing w:line="259" w:lineRule="auto"/>
              <w:jc w:val="center"/>
              <w:rPr>
                <w:b/>
                <w:lang w:val="en-GB"/>
              </w:rPr>
            </w:pPr>
            <w:r w:rsidRPr="009D7F5F">
              <w:rPr>
                <w:b/>
              </w:rPr>
              <w:t>0.125</w:t>
            </w:r>
          </w:p>
        </w:tc>
        <w:tc>
          <w:tcPr>
            <w:tcW w:w="374" w:type="pct"/>
            <w:tcBorders>
              <w:bottom w:val="single" w:sz="4" w:space="0" w:color="auto"/>
            </w:tcBorders>
            <w:vAlign w:val="center"/>
          </w:tcPr>
          <w:p w14:paraId="48382F03" w14:textId="77777777" w:rsidR="00404A86" w:rsidRPr="009D7F5F" w:rsidRDefault="00404A86" w:rsidP="00F913C7">
            <w:pPr>
              <w:spacing w:line="259" w:lineRule="auto"/>
              <w:jc w:val="center"/>
              <w:rPr>
                <w:b/>
                <w:lang w:val="en-GB"/>
              </w:rPr>
            </w:pPr>
            <w:r w:rsidRPr="009D7F5F">
              <w:rPr>
                <w:b/>
              </w:rPr>
              <w:t>0.25</w:t>
            </w:r>
          </w:p>
        </w:tc>
        <w:tc>
          <w:tcPr>
            <w:tcW w:w="444" w:type="pct"/>
            <w:tcBorders>
              <w:bottom w:val="single" w:sz="4" w:space="0" w:color="auto"/>
            </w:tcBorders>
            <w:vAlign w:val="center"/>
          </w:tcPr>
          <w:p w14:paraId="2E7054EA" w14:textId="77777777" w:rsidR="00404A86" w:rsidRPr="009D7F5F" w:rsidRDefault="00404A86" w:rsidP="00F913C7">
            <w:pPr>
              <w:spacing w:line="259" w:lineRule="auto"/>
              <w:jc w:val="center"/>
              <w:rPr>
                <w:b/>
                <w:lang w:val="en-GB"/>
              </w:rPr>
            </w:pPr>
            <w:r w:rsidRPr="009D7F5F">
              <w:rPr>
                <w:b/>
              </w:rPr>
              <w:t>0.375</w:t>
            </w:r>
          </w:p>
        </w:tc>
        <w:tc>
          <w:tcPr>
            <w:tcW w:w="374" w:type="pct"/>
            <w:tcBorders>
              <w:bottom w:val="single" w:sz="4" w:space="0" w:color="auto"/>
            </w:tcBorders>
            <w:vAlign w:val="center"/>
          </w:tcPr>
          <w:p w14:paraId="26767225" w14:textId="77777777" w:rsidR="00404A86" w:rsidRPr="009D7F5F" w:rsidRDefault="00404A86" w:rsidP="00F913C7">
            <w:pPr>
              <w:spacing w:line="259" w:lineRule="auto"/>
              <w:jc w:val="center"/>
              <w:rPr>
                <w:b/>
                <w:lang w:val="en-GB"/>
              </w:rPr>
            </w:pPr>
            <w:r w:rsidRPr="009D7F5F">
              <w:rPr>
                <w:b/>
              </w:rPr>
              <w:t>0.5</w:t>
            </w:r>
          </w:p>
        </w:tc>
        <w:tc>
          <w:tcPr>
            <w:tcW w:w="374" w:type="pct"/>
            <w:tcBorders>
              <w:bottom w:val="single" w:sz="4" w:space="0" w:color="auto"/>
            </w:tcBorders>
            <w:vAlign w:val="center"/>
          </w:tcPr>
          <w:p w14:paraId="2905C6D1" w14:textId="77777777" w:rsidR="00404A86" w:rsidRPr="009D7F5F" w:rsidRDefault="00404A86" w:rsidP="00F913C7">
            <w:pPr>
              <w:spacing w:line="259" w:lineRule="auto"/>
              <w:jc w:val="center"/>
              <w:rPr>
                <w:b/>
                <w:lang w:val="en-GB"/>
              </w:rPr>
            </w:pPr>
            <w:r w:rsidRPr="009D7F5F">
              <w:rPr>
                <w:b/>
              </w:rPr>
              <w:t>0.75</w:t>
            </w:r>
          </w:p>
        </w:tc>
        <w:tc>
          <w:tcPr>
            <w:tcW w:w="374" w:type="pct"/>
            <w:tcBorders>
              <w:bottom w:val="single" w:sz="4" w:space="0" w:color="auto"/>
            </w:tcBorders>
            <w:vAlign w:val="center"/>
          </w:tcPr>
          <w:p w14:paraId="5DA8FD71" w14:textId="77777777" w:rsidR="00404A86" w:rsidRPr="009D7F5F" w:rsidRDefault="00404A86" w:rsidP="00F913C7">
            <w:pPr>
              <w:spacing w:line="259" w:lineRule="auto"/>
              <w:jc w:val="center"/>
              <w:rPr>
                <w:b/>
                <w:lang w:val="en-GB"/>
              </w:rPr>
            </w:pPr>
            <w:r w:rsidRPr="009D7F5F">
              <w:rPr>
                <w:b/>
              </w:rPr>
              <w:t>1</w:t>
            </w:r>
          </w:p>
        </w:tc>
        <w:tc>
          <w:tcPr>
            <w:tcW w:w="1088" w:type="pct"/>
            <w:vMerge/>
            <w:tcBorders>
              <w:bottom w:val="single" w:sz="4" w:space="0" w:color="auto"/>
            </w:tcBorders>
          </w:tcPr>
          <w:p w14:paraId="370FB6C3" w14:textId="77777777" w:rsidR="00404A86" w:rsidRPr="007F2ED4" w:rsidRDefault="00404A86" w:rsidP="00F913C7">
            <w:pPr>
              <w:spacing w:line="259" w:lineRule="auto"/>
              <w:jc w:val="center"/>
              <w:rPr>
                <w:b/>
                <w:lang w:val="en-GB"/>
              </w:rPr>
            </w:pPr>
          </w:p>
        </w:tc>
        <w:tc>
          <w:tcPr>
            <w:tcW w:w="546" w:type="pct"/>
            <w:vMerge/>
            <w:tcBorders>
              <w:bottom w:val="single" w:sz="4" w:space="0" w:color="auto"/>
            </w:tcBorders>
          </w:tcPr>
          <w:p w14:paraId="70E32117" w14:textId="77777777" w:rsidR="00404A86" w:rsidRPr="009D7F5F" w:rsidRDefault="00404A86" w:rsidP="00F913C7">
            <w:pPr>
              <w:spacing w:line="259" w:lineRule="auto"/>
              <w:jc w:val="center"/>
              <w:rPr>
                <w:b/>
                <w:lang w:val="en-GB"/>
              </w:rPr>
            </w:pPr>
          </w:p>
        </w:tc>
      </w:tr>
      <w:tr w:rsidR="00404A86" w:rsidRPr="009D7F5F" w14:paraId="79D94F53" w14:textId="77777777" w:rsidTr="00F913C7">
        <w:tc>
          <w:tcPr>
            <w:tcW w:w="784" w:type="pct"/>
            <w:tcBorders>
              <w:top w:val="single" w:sz="4" w:space="0" w:color="auto"/>
            </w:tcBorders>
          </w:tcPr>
          <w:p w14:paraId="51C23262" w14:textId="77777777" w:rsidR="00404A86" w:rsidRPr="009D7F5F" w:rsidRDefault="00404A86" w:rsidP="00F913C7">
            <w:pPr>
              <w:spacing w:line="259" w:lineRule="auto"/>
              <w:rPr>
                <w:lang w:val="en-GB"/>
              </w:rPr>
            </w:pPr>
            <w:r w:rsidRPr="009D7F5F">
              <w:t>Lower Quartile</w:t>
            </w:r>
            <w:r w:rsidRPr="009D7F5F">
              <w:rPr>
                <w:vertAlign w:val="superscript"/>
              </w:rPr>
              <w:t>*</w:t>
            </w:r>
          </w:p>
        </w:tc>
        <w:tc>
          <w:tcPr>
            <w:tcW w:w="198" w:type="pct"/>
            <w:tcBorders>
              <w:top w:val="single" w:sz="4" w:space="0" w:color="auto"/>
            </w:tcBorders>
            <w:vAlign w:val="center"/>
          </w:tcPr>
          <w:p w14:paraId="2213B491" w14:textId="77777777" w:rsidR="00404A86" w:rsidRPr="009D7F5F" w:rsidRDefault="00404A86" w:rsidP="00F913C7">
            <w:pPr>
              <w:spacing w:line="259" w:lineRule="auto"/>
              <w:jc w:val="center"/>
              <w:rPr>
                <w:lang w:val="en-GB"/>
              </w:rPr>
            </w:pPr>
            <w:r w:rsidRPr="009D7F5F">
              <w:t>0</w:t>
            </w:r>
          </w:p>
        </w:tc>
        <w:tc>
          <w:tcPr>
            <w:tcW w:w="444" w:type="pct"/>
            <w:tcBorders>
              <w:top w:val="single" w:sz="4" w:space="0" w:color="auto"/>
            </w:tcBorders>
            <w:vAlign w:val="center"/>
          </w:tcPr>
          <w:p w14:paraId="6902E5C8" w14:textId="77777777" w:rsidR="00404A86" w:rsidRPr="009D7F5F" w:rsidRDefault="00404A86" w:rsidP="00F913C7">
            <w:pPr>
              <w:spacing w:line="259" w:lineRule="auto"/>
              <w:jc w:val="center"/>
              <w:rPr>
                <w:lang w:val="en-GB"/>
              </w:rPr>
            </w:pPr>
            <w:r w:rsidRPr="009D7F5F">
              <w:t>0.29</w:t>
            </w:r>
          </w:p>
        </w:tc>
        <w:tc>
          <w:tcPr>
            <w:tcW w:w="374" w:type="pct"/>
            <w:tcBorders>
              <w:top w:val="single" w:sz="4" w:space="0" w:color="auto"/>
            </w:tcBorders>
            <w:vAlign w:val="center"/>
          </w:tcPr>
          <w:p w14:paraId="2F3611F5" w14:textId="77777777" w:rsidR="00404A86" w:rsidRPr="009D7F5F" w:rsidRDefault="00404A86" w:rsidP="00F913C7">
            <w:pPr>
              <w:spacing w:line="259" w:lineRule="auto"/>
              <w:jc w:val="center"/>
              <w:rPr>
                <w:lang w:val="en-GB"/>
              </w:rPr>
            </w:pPr>
            <w:r w:rsidRPr="009D7F5F">
              <w:t>0.58</w:t>
            </w:r>
          </w:p>
        </w:tc>
        <w:tc>
          <w:tcPr>
            <w:tcW w:w="444" w:type="pct"/>
            <w:tcBorders>
              <w:top w:val="single" w:sz="4" w:space="0" w:color="auto"/>
            </w:tcBorders>
            <w:vAlign w:val="center"/>
          </w:tcPr>
          <w:p w14:paraId="485BB7D9" w14:textId="77777777" w:rsidR="00404A86" w:rsidRPr="009D7F5F" w:rsidRDefault="00404A86" w:rsidP="00F913C7">
            <w:pPr>
              <w:spacing w:line="259" w:lineRule="auto"/>
              <w:jc w:val="center"/>
              <w:rPr>
                <w:lang w:val="en-GB"/>
              </w:rPr>
            </w:pPr>
            <w:r w:rsidRPr="009D7F5F">
              <w:t>0.86</w:t>
            </w:r>
          </w:p>
        </w:tc>
        <w:tc>
          <w:tcPr>
            <w:tcW w:w="374" w:type="pct"/>
            <w:tcBorders>
              <w:top w:val="single" w:sz="4" w:space="0" w:color="auto"/>
            </w:tcBorders>
            <w:vAlign w:val="center"/>
          </w:tcPr>
          <w:p w14:paraId="01A8E37E" w14:textId="77777777" w:rsidR="00404A86" w:rsidRPr="009D7F5F" w:rsidRDefault="00404A86" w:rsidP="00F913C7">
            <w:pPr>
              <w:spacing w:line="259" w:lineRule="auto"/>
              <w:jc w:val="center"/>
              <w:rPr>
                <w:lang w:val="en-GB"/>
              </w:rPr>
            </w:pPr>
            <w:r w:rsidRPr="009D7F5F">
              <w:t>1.16</w:t>
            </w:r>
          </w:p>
        </w:tc>
        <w:tc>
          <w:tcPr>
            <w:tcW w:w="374" w:type="pct"/>
            <w:tcBorders>
              <w:top w:val="single" w:sz="4" w:space="0" w:color="auto"/>
            </w:tcBorders>
            <w:vAlign w:val="center"/>
          </w:tcPr>
          <w:p w14:paraId="472BFC37" w14:textId="77777777" w:rsidR="00404A86" w:rsidRPr="009D7F5F" w:rsidRDefault="00404A86" w:rsidP="00F913C7">
            <w:pPr>
              <w:spacing w:line="259" w:lineRule="auto"/>
              <w:jc w:val="center"/>
              <w:rPr>
                <w:lang w:val="en-GB"/>
              </w:rPr>
            </w:pPr>
            <w:r w:rsidRPr="009D7F5F">
              <w:t>1.74</w:t>
            </w:r>
          </w:p>
        </w:tc>
        <w:tc>
          <w:tcPr>
            <w:tcW w:w="374" w:type="pct"/>
            <w:tcBorders>
              <w:top w:val="single" w:sz="4" w:space="0" w:color="auto"/>
            </w:tcBorders>
            <w:vAlign w:val="center"/>
          </w:tcPr>
          <w:p w14:paraId="7D77A098" w14:textId="77777777" w:rsidR="00404A86" w:rsidRPr="009D7F5F" w:rsidRDefault="00404A86" w:rsidP="00F913C7">
            <w:pPr>
              <w:spacing w:line="259" w:lineRule="auto"/>
              <w:jc w:val="center"/>
              <w:rPr>
                <w:lang w:val="en-GB"/>
              </w:rPr>
            </w:pPr>
            <w:r w:rsidRPr="009D7F5F">
              <w:t>2.31</w:t>
            </w:r>
          </w:p>
        </w:tc>
        <w:tc>
          <w:tcPr>
            <w:tcW w:w="1088" w:type="pct"/>
            <w:tcBorders>
              <w:top w:val="single" w:sz="4" w:space="0" w:color="auto"/>
            </w:tcBorders>
            <w:vAlign w:val="center"/>
          </w:tcPr>
          <w:p w14:paraId="7158F1FC" w14:textId="77777777" w:rsidR="00404A86" w:rsidRPr="009D7F5F" w:rsidRDefault="00404A86" w:rsidP="00F913C7">
            <w:pPr>
              <w:spacing w:line="259" w:lineRule="auto"/>
              <w:jc w:val="center"/>
              <w:rPr>
                <w:lang w:val="en-GB"/>
              </w:rPr>
            </w:pPr>
            <w:r w:rsidRPr="009D7F5F">
              <w:t>0.37</w:t>
            </w:r>
          </w:p>
        </w:tc>
        <w:tc>
          <w:tcPr>
            <w:tcW w:w="546" w:type="pct"/>
            <w:tcBorders>
              <w:top w:val="single" w:sz="4" w:space="0" w:color="auto"/>
            </w:tcBorders>
            <w:vAlign w:val="center"/>
          </w:tcPr>
          <w:p w14:paraId="7C4839AB" w14:textId="77777777" w:rsidR="00404A86" w:rsidRPr="009D7F5F" w:rsidRDefault="00404A86" w:rsidP="00F913C7">
            <w:pPr>
              <w:spacing w:line="259" w:lineRule="auto"/>
              <w:jc w:val="center"/>
              <w:rPr>
                <w:lang w:val="en-GB"/>
              </w:rPr>
            </w:pPr>
            <w:r w:rsidRPr="009D7F5F">
              <w:t>0.14</w:t>
            </w:r>
          </w:p>
        </w:tc>
      </w:tr>
      <w:tr w:rsidR="00404A86" w:rsidRPr="009D7F5F" w14:paraId="5A047DDA" w14:textId="77777777" w:rsidTr="00F913C7">
        <w:tc>
          <w:tcPr>
            <w:tcW w:w="784" w:type="pct"/>
          </w:tcPr>
          <w:p w14:paraId="20C52D3F" w14:textId="77777777" w:rsidR="00404A86" w:rsidRPr="009D7F5F" w:rsidRDefault="00404A86" w:rsidP="00F913C7">
            <w:pPr>
              <w:spacing w:line="259" w:lineRule="auto"/>
              <w:rPr>
                <w:lang w:val="en-GB"/>
              </w:rPr>
            </w:pPr>
            <w:r w:rsidRPr="009D7F5F">
              <w:t>Median</w:t>
            </w:r>
            <w:r w:rsidRPr="009D7F5F">
              <w:rPr>
                <w:vertAlign w:val="superscript"/>
              </w:rPr>
              <w:t>*</w:t>
            </w:r>
          </w:p>
        </w:tc>
        <w:tc>
          <w:tcPr>
            <w:tcW w:w="198" w:type="pct"/>
            <w:vAlign w:val="center"/>
          </w:tcPr>
          <w:p w14:paraId="47659ABC" w14:textId="77777777" w:rsidR="00404A86" w:rsidRPr="009D7F5F" w:rsidRDefault="00404A86" w:rsidP="00F913C7">
            <w:pPr>
              <w:spacing w:line="259" w:lineRule="auto"/>
              <w:jc w:val="center"/>
              <w:rPr>
                <w:lang w:val="en-GB"/>
              </w:rPr>
            </w:pPr>
            <w:r w:rsidRPr="009D7F5F">
              <w:t>0</w:t>
            </w:r>
          </w:p>
        </w:tc>
        <w:tc>
          <w:tcPr>
            <w:tcW w:w="444" w:type="pct"/>
            <w:vAlign w:val="center"/>
          </w:tcPr>
          <w:p w14:paraId="1FEDF7C3" w14:textId="77777777" w:rsidR="00404A86" w:rsidRPr="009D7F5F" w:rsidRDefault="00404A86" w:rsidP="00F913C7">
            <w:pPr>
              <w:spacing w:line="259" w:lineRule="auto"/>
              <w:jc w:val="center"/>
              <w:rPr>
                <w:lang w:val="en-GB"/>
              </w:rPr>
            </w:pPr>
            <w:r w:rsidRPr="009D7F5F">
              <w:t>0.31</w:t>
            </w:r>
          </w:p>
        </w:tc>
        <w:tc>
          <w:tcPr>
            <w:tcW w:w="374" w:type="pct"/>
            <w:vAlign w:val="center"/>
          </w:tcPr>
          <w:p w14:paraId="0746C909" w14:textId="77777777" w:rsidR="00404A86" w:rsidRPr="009D7F5F" w:rsidRDefault="00404A86" w:rsidP="00F913C7">
            <w:pPr>
              <w:spacing w:line="259" w:lineRule="auto"/>
              <w:jc w:val="center"/>
              <w:rPr>
                <w:lang w:val="en-GB"/>
              </w:rPr>
            </w:pPr>
            <w:r w:rsidRPr="009D7F5F">
              <w:t>0.63</w:t>
            </w:r>
          </w:p>
        </w:tc>
        <w:tc>
          <w:tcPr>
            <w:tcW w:w="444" w:type="pct"/>
            <w:vAlign w:val="center"/>
          </w:tcPr>
          <w:p w14:paraId="419B25E7" w14:textId="77777777" w:rsidR="00404A86" w:rsidRPr="009D7F5F" w:rsidRDefault="00404A86" w:rsidP="00F913C7">
            <w:pPr>
              <w:spacing w:line="259" w:lineRule="auto"/>
              <w:jc w:val="center"/>
              <w:rPr>
                <w:lang w:val="en-GB"/>
              </w:rPr>
            </w:pPr>
            <w:r w:rsidRPr="009D7F5F">
              <w:t>0.95</w:t>
            </w:r>
          </w:p>
        </w:tc>
        <w:tc>
          <w:tcPr>
            <w:tcW w:w="374" w:type="pct"/>
            <w:vAlign w:val="center"/>
          </w:tcPr>
          <w:p w14:paraId="7809DB44" w14:textId="77777777" w:rsidR="00404A86" w:rsidRPr="009D7F5F" w:rsidRDefault="00404A86" w:rsidP="00F913C7">
            <w:pPr>
              <w:spacing w:line="259" w:lineRule="auto"/>
              <w:jc w:val="center"/>
              <w:rPr>
                <w:lang w:val="en-GB"/>
              </w:rPr>
            </w:pPr>
            <w:r w:rsidRPr="009D7F5F">
              <w:t>1.27</w:t>
            </w:r>
          </w:p>
        </w:tc>
        <w:tc>
          <w:tcPr>
            <w:tcW w:w="374" w:type="pct"/>
            <w:vAlign w:val="center"/>
          </w:tcPr>
          <w:p w14:paraId="2D2DC36E" w14:textId="77777777" w:rsidR="00404A86" w:rsidRPr="009D7F5F" w:rsidRDefault="00404A86" w:rsidP="00F913C7">
            <w:pPr>
              <w:spacing w:line="259" w:lineRule="auto"/>
              <w:jc w:val="center"/>
              <w:rPr>
                <w:lang w:val="en-GB"/>
              </w:rPr>
            </w:pPr>
            <w:r w:rsidRPr="009D7F5F">
              <w:t>1.90</w:t>
            </w:r>
          </w:p>
        </w:tc>
        <w:tc>
          <w:tcPr>
            <w:tcW w:w="374" w:type="pct"/>
            <w:vAlign w:val="center"/>
          </w:tcPr>
          <w:p w14:paraId="4FAF1306" w14:textId="77777777" w:rsidR="00404A86" w:rsidRPr="009D7F5F" w:rsidRDefault="00404A86" w:rsidP="00F913C7">
            <w:pPr>
              <w:spacing w:line="259" w:lineRule="auto"/>
              <w:jc w:val="center"/>
              <w:rPr>
                <w:lang w:val="en-GB"/>
              </w:rPr>
            </w:pPr>
            <w:r w:rsidRPr="009D7F5F">
              <w:t>2.52</w:t>
            </w:r>
          </w:p>
        </w:tc>
        <w:tc>
          <w:tcPr>
            <w:tcW w:w="1088" w:type="pct"/>
            <w:vAlign w:val="center"/>
          </w:tcPr>
          <w:p w14:paraId="0A79B2A3" w14:textId="77777777" w:rsidR="00404A86" w:rsidRPr="009D7F5F" w:rsidRDefault="00404A86" w:rsidP="00F913C7">
            <w:pPr>
              <w:spacing w:line="259" w:lineRule="auto"/>
              <w:jc w:val="center"/>
              <w:rPr>
                <w:lang w:val="en-GB"/>
              </w:rPr>
            </w:pPr>
            <w:r w:rsidRPr="009D7F5F">
              <w:t>0.57</w:t>
            </w:r>
          </w:p>
        </w:tc>
        <w:tc>
          <w:tcPr>
            <w:tcW w:w="546" w:type="pct"/>
            <w:vAlign w:val="center"/>
          </w:tcPr>
          <w:p w14:paraId="79C6C871" w14:textId="77777777" w:rsidR="00404A86" w:rsidRPr="009D7F5F" w:rsidRDefault="00404A86" w:rsidP="00F913C7">
            <w:pPr>
              <w:spacing w:line="259" w:lineRule="auto"/>
              <w:jc w:val="center"/>
              <w:rPr>
                <w:lang w:val="en-GB"/>
              </w:rPr>
            </w:pPr>
            <w:r w:rsidRPr="009D7F5F">
              <w:t>0.31</w:t>
            </w:r>
          </w:p>
        </w:tc>
      </w:tr>
      <w:tr w:rsidR="00404A86" w:rsidRPr="009D7F5F" w14:paraId="237E7CB6" w14:textId="77777777" w:rsidTr="00F913C7">
        <w:tc>
          <w:tcPr>
            <w:tcW w:w="784" w:type="pct"/>
          </w:tcPr>
          <w:p w14:paraId="795CF620" w14:textId="77777777" w:rsidR="00404A86" w:rsidRPr="009D7F5F" w:rsidRDefault="00404A86" w:rsidP="00F913C7">
            <w:pPr>
              <w:spacing w:line="259" w:lineRule="auto"/>
              <w:rPr>
                <w:lang w:val="en-GB"/>
              </w:rPr>
            </w:pPr>
            <w:r w:rsidRPr="009D7F5F">
              <w:t>Mean</w:t>
            </w:r>
            <w:r w:rsidRPr="009D7F5F">
              <w:rPr>
                <w:vertAlign w:val="superscript"/>
              </w:rPr>
              <w:t>*</w:t>
            </w:r>
          </w:p>
        </w:tc>
        <w:tc>
          <w:tcPr>
            <w:tcW w:w="198" w:type="pct"/>
            <w:vAlign w:val="center"/>
          </w:tcPr>
          <w:p w14:paraId="7E5B12F9" w14:textId="77777777" w:rsidR="00404A86" w:rsidRPr="009D7F5F" w:rsidRDefault="00404A86" w:rsidP="00F913C7">
            <w:pPr>
              <w:spacing w:line="259" w:lineRule="auto"/>
              <w:jc w:val="center"/>
              <w:rPr>
                <w:lang w:val="en-GB"/>
              </w:rPr>
            </w:pPr>
            <w:r w:rsidRPr="009D7F5F">
              <w:t>0</w:t>
            </w:r>
          </w:p>
        </w:tc>
        <w:tc>
          <w:tcPr>
            <w:tcW w:w="444" w:type="pct"/>
            <w:vAlign w:val="center"/>
          </w:tcPr>
          <w:p w14:paraId="06F3C349" w14:textId="77777777" w:rsidR="00404A86" w:rsidRPr="009D7F5F" w:rsidRDefault="00404A86" w:rsidP="00F913C7">
            <w:pPr>
              <w:spacing w:line="259" w:lineRule="auto"/>
              <w:jc w:val="center"/>
              <w:rPr>
                <w:lang w:val="en-GB"/>
              </w:rPr>
            </w:pPr>
            <w:r w:rsidRPr="009D7F5F">
              <w:t>0.32</w:t>
            </w:r>
          </w:p>
        </w:tc>
        <w:tc>
          <w:tcPr>
            <w:tcW w:w="374" w:type="pct"/>
            <w:vAlign w:val="center"/>
          </w:tcPr>
          <w:p w14:paraId="50977F7E" w14:textId="77777777" w:rsidR="00404A86" w:rsidRPr="009D7F5F" w:rsidRDefault="00404A86" w:rsidP="00F913C7">
            <w:pPr>
              <w:spacing w:line="259" w:lineRule="auto"/>
              <w:jc w:val="center"/>
              <w:rPr>
                <w:lang w:val="en-GB"/>
              </w:rPr>
            </w:pPr>
            <w:r w:rsidRPr="009D7F5F">
              <w:t>0.63</w:t>
            </w:r>
          </w:p>
        </w:tc>
        <w:tc>
          <w:tcPr>
            <w:tcW w:w="444" w:type="pct"/>
            <w:vAlign w:val="center"/>
          </w:tcPr>
          <w:p w14:paraId="5F02D28C" w14:textId="77777777" w:rsidR="00404A86" w:rsidRPr="009D7F5F" w:rsidRDefault="00404A86" w:rsidP="00F913C7">
            <w:pPr>
              <w:spacing w:line="259" w:lineRule="auto"/>
              <w:jc w:val="center"/>
              <w:rPr>
                <w:lang w:val="en-GB"/>
              </w:rPr>
            </w:pPr>
            <w:r w:rsidRPr="009D7F5F">
              <w:t>0.95</w:t>
            </w:r>
          </w:p>
        </w:tc>
        <w:tc>
          <w:tcPr>
            <w:tcW w:w="374" w:type="pct"/>
            <w:vAlign w:val="center"/>
          </w:tcPr>
          <w:p w14:paraId="0A543388" w14:textId="77777777" w:rsidR="00404A86" w:rsidRPr="009D7F5F" w:rsidRDefault="00404A86" w:rsidP="00F913C7">
            <w:pPr>
              <w:spacing w:line="259" w:lineRule="auto"/>
              <w:jc w:val="center"/>
              <w:rPr>
                <w:lang w:val="en-GB"/>
              </w:rPr>
            </w:pPr>
            <w:r w:rsidRPr="009D7F5F">
              <w:t>1.27</w:t>
            </w:r>
          </w:p>
        </w:tc>
        <w:tc>
          <w:tcPr>
            <w:tcW w:w="374" w:type="pct"/>
            <w:vAlign w:val="center"/>
          </w:tcPr>
          <w:p w14:paraId="5B49A6BF" w14:textId="77777777" w:rsidR="00404A86" w:rsidRPr="009D7F5F" w:rsidRDefault="00404A86" w:rsidP="00F913C7">
            <w:pPr>
              <w:spacing w:line="259" w:lineRule="auto"/>
              <w:jc w:val="center"/>
              <w:rPr>
                <w:lang w:val="en-GB"/>
              </w:rPr>
            </w:pPr>
            <w:r w:rsidRPr="009D7F5F">
              <w:t>1.90</w:t>
            </w:r>
          </w:p>
        </w:tc>
        <w:tc>
          <w:tcPr>
            <w:tcW w:w="374" w:type="pct"/>
            <w:vAlign w:val="center"/>
          </w:tcPr>
          <w:p w14:paraId="338ECC06" w14:textId="77777777" w:rsidR="00404A86" w:rsidRPr="009D7F5F" w:rsidRDefault="00404A86" w:rsidP="00F913C7">
            <w:pPr>
              <w:spacing w:line="259" w:lineRule="auto"/>
              <w:jc w:val="center"/>
              <w:rPr>
                <w:lang w:val="en-GB"/>
              </w:rPr>
            </w:pPr>
            <w:r w:rsidRPr="009D7F5F">
              <w:t>2.53</w:t>
            </w:r>
          </w:p>
        </w:tc>
        <w:tc>
          <w:tcPr>
            <w:tcW w:w="1088" w:type="pct"/>
            <w:vAlign w:val="center"/>
          </w:tcPr>
          <w:p w14:paraId="0835C578" w14:textId="77777777" w:rsidR="00404A86" w:rsidRPr="009D7F5F" w:rsidRDefault="00404A86" w:rsidP="00F913C7">
            <w:pPr>
              <w:spacing w:line="259" w:lineRule="auto"/>
              <w:jc w:val="center"/>
              <w:rPr>
                <w:lang w:val="en-GB"/>
              </w:rPr>
            </w:pPr>
            <w:r w:rsidRPr="009D7F5F">
              <w:t>0.70</w:t>
            </w:r>
          </w:p>
        </w:tc>
        <w:tc>
          <w:tcPr>
            <w:tcW w:w="546" w:type="pct"/>
            <w:vAlign w:val="center"/>
          </w:tcPr>
          <w:p w14:paraId="11E5446B" w14:textId="77777777" w:rsidR="00404A86" w:rsidRPr="009D7F5F" w:rsidRDefault="00404A86" w:rsidP="00F913C7">
            <w:pPr>
              <w:spacing w:line="259" w:lineRule="auto"/>
              <w:jc w:val="center"/>
              <w:rPr>
                <w:lang w:val="en-GB"/>
              </w:rPr>
            </w:pPr>
            <w:r w:rsidRPr="009D7F5F">
              <w:t>0.37</w:t>
            </w:r>
          </w:p>
        </w:tc>
      </w:tr>
      <w:tr w:rsidR="00404A86" w:rsidRPr="009D7F5F" w14:paraId="0E0F14C5" w14:textId="77777777" w:rsidTr="00F913C7">
        <w:tc>
          <w:tcPr>
            <w:tcW w:w="784" w:type="pct"/>
          </w:tcPr>
          <w:p w14:paraId="468322AA" w14:textId="77777777" w:rsidR="00404A86" w:rsidRPr="009D7F5F" w:rsidRDefault="00404A86" w:rsidP="00F913C7">
            <w:pPr>
              <w:spacing w:line="259" w:lineRule="auto"/>
              <w:rPr>
                <w:lang w:val="en-GB"/>
              </w:rPr>
            </w:pPr>
            <w:r w:rsidRPr="009D7F5F">
              <w:t>Upper Quartile</w:t>
            </w:r>
            <w:r w:rsidRPr="009D7F5F">
              <w:rPr>
                <w:vertAlign w:val="superscript"/>
              </w:rPr>
              <w:t>*</w:t>
            </w:r>
          </w:p>
        </w:tc>
        <w:tc>
          <w:tcPr>
            <w:tcW w:w="198" w:type="pct"/>
            <w:vAlign w:val="center"/>
          </w:tcPr>
          <w:p w14:paraId="2FD5B7B7" w14:textId="77777777" w:rsidR="00404A86" w:rsidRPr="009D7F5F" w:rsidRDefault="00404A86" w:rsidP="00F913C7">
            <w:pPr>
              <w:spacing w:line="259" w:lineRule="auto"/>
              <w:jc w:val="center"/>
              <w:rPr>
                <w:lang w:val="en-GB"/>
              </w:rPr>
            </w:pPr>
            <w:r w:rsidRPr="009D7F5F">
              <w:t>0</w:t>
            </w:r>
          </w:p>
        </w:tc>
        <w:tc>
          <w:tcPr>
            <w:tcW w:w="444" w:type="pct"/>
            <w:vAlign w:val="center"/>
          </w:tcPr>
          <w:p w14:paraId="34F5A6CC" w14:textId="77777777" w:rsidR="00404A86" w:rsidRPr="009D7F5F" w:rsidRDefault="00404A86" w:rsidP="00F913C7">
            <w:pPr>
              <w:spacing w:line="259" w:lineRule="auto"/>
              <w:jc w:val="center"/>
              <w:rPr>
                <w:lang w:val="en-GB"/>
              </w:rPr>
            </w:pPr>
            <w:r w:rsidRPr="009D7F5F">
              <w:t>0.34</w:t>
            </w:r>
          </w:p>
        </w:tc>
        <w:tc>
          <w:tcPr>
            <w:tcW w:w="374" w:type="pct"/>
            <w:vAlign w:val="center"/>
          </w:tcPr>
          <w:p w14:paraId="4F0CA63E" w14:textId="77777777" w:rsidR="00404A86" w:rsidRPr="009D7F5F" w:rsidRDefault="00404A86" w:rsidP="00F913C7">
            <w:pPr>
              <w:spacing w:line="259" w:lineRule="auto"/>
              <w:jc w:val="center"/>
              <w:rPr>
                <w:lang w:val="en-GB"/>
              </w:rPr>
            </w:pPr>
            <w:r w:rsidRPr="009D7F5F">
              <w:t>0.68</w:t>
            </w:r>
          </w:p>
        </w:tc>
        <w:tc>
          <w:tcPr>
            <w:tcW w:w="444" w:type="pct"/>
            <w:vAlign w:val="center"/>
          </w:tcPr>
          <w:p w14:paraId="335272F7" w14:textId="77777777" w:rsidR="00404A86" w:rsidRPr="009D7F5F" w:rsidRDefault="00404A86" w:rsidP="00F913C7">
            <w:pPr>
              <w:spacing w:line="259" w:lineRule="auto"/>
              <w:jc w:val="center"/>
              <w:rPr>
                <w:lang w:val="en-GB"/>
              </w:rPr>
            </w:pPr>
            <w:r w:rsidRPr="009D7F5F">
              <w:t>1.03</w:t>
            </w:r>
          </w:p>
        </w:tc>
        <w:tc>
          <w:tcPr>
            <w:tcW w:w="374" w:type="pct"/>
            <w:vAlign w:val="center"/>
          </w:tcPr>
          <w:p w14:paraId="7D112A6B" w14:textId="77777777" w:rsidR="00404A86" w:rsidRPr="009D7F5F" w:rsidRDefault="00404A86" w:rsidP="00F913C7">
            <w:pPr>
              <w:spacing w:line="259" w:lineRule="auto"/>
              <w:jc w:val="center"/>
              <w:rPr>
                <w:lang w:val="en-GB"/>
              </w:rPr>
            </w:pPr>
            <w:r w:rsidRPr="009D7F5F">
              <w:t>1.38</w:t>
            </w:r>
          </w:p>
        </w:tc>
        <w:tc>
          <w:tcPr>
            <w:tcW w:w="374" w:type="pct"/>
            <w:vAlign w:val="center"/>
          </w:tcPr>
          <w:p w14:paraId="16955006" w14:textId="77777777" w:rsidR="00404A86" w:rsidRPr="009D7F5F" w:rsidRDefault="00404A86" w:rsidP="00F913C7">
            <w:pPr>
              <w:spacing w:line="259" w:lineRule="auto"/>
              <w:jc w:val="center"/>
              <w:rPr>
                <w:lang w:val="en-GB"/>
              </w:rPr>
            </w:pPr>
            <w:r w:rsidRPr="009D7F5F">
              <w:t>2.06</w:t>
            </w:r>
          </w:p>
        </w:tc>
        <w:tc>
          <w:tcPr>
            <w:tcW w:w="374" w:type="pct"/>
            <w:vAlign w:val="center"/>
          </w:tcPr>
          <w:p w14:paraId="792BA11C" w14:textId="77777777" w:rsidR="00404A86" w:rsidRPr="009D7F5F" w:rsidRDefault="00404A86" w:rsidP="00F913C7">
            <w:pPr>
              <w:spacing w:line="259" w:lineRule="auto"/>
              <w:jc w:val="center"/>
              <w:rPr>
                <w:lang w:val="en-GB"/>
              </w:rPr>
            </w:pPr>
            <w:r w:rsidRPr="009D7F5F">
              <w:t>2.74</w:t>
            </w:r>
          </w:p>
        </w:tc>
        <w:tc>
          <w:tcPr>
            <w:tcW w:w="1088" w:type="pct"/>
            <w:vAlign w:val="center"/>
          </w:tcPr>
          <w:p w14:paraId="19D0B273" w14:textId="77777777" w:rsidR="00404A86" w:rsidRPr="009D7F5F" w:rsidRDefault="00404A86" w:rsidP="00F913C7">
            <w:pPr>
              <w:spacing w:line="259" w:lineRule="auto"/>
              <w:jc w:val="center"/>
              <w:rPr>
                <w:lang w:val="en-GB"/>
              </w:rPr>
            </w:pPr>
            <w:r w:rsidRPr="009D7F5F">
              <w:t>0.85</w:t>
            </w:r>
          </w:p>
        </w:tc>
        <w:tc>
          <w:tcPr>
            <w:tcW w:w="546" w:type="pct"/>
            <w:vAlign w:val="center"/>
          </w:tcPr>
          <w:p w14:paraId="765AA23E" w14:textId="77777777" w:rsidR="00404A86" w:rsidRPr="009D7F5F" w:rsidRDefault="00404A86" w:rsidP="00F913C7">
            <w:pPr>
              <w:spacing w:line="259" w:lineRule="auto"/>
              <w:jc w:val="center"/>
              <w:rPr>
                <w:lang w:val="en-GB"/>
              </w:rPr>
            </w:pPr>
            <w:r w:rsidRPr="009D7F5F">
              <w:t>0.54</w:t>
            </w:r>
          </w:p>
        </w:tc>
      </w:tr>
      <w:tr w:rsidR="00404A86" w:rsidRPr="009D7F5F" w14:paraId="1533E544" w14:textId="77777777" w:rsidTr="00F913C7">
        <w:tc>
          <w:tcPr>
            <w:tcW w:w="784" w:type="pct"/>
            <w:tcBorders>
              <w:bottom w:val="single" w:sz="4" w:space="0" w:color="auto"/>
            </w:tcBorders>
          </w:tcPr>
          <w:p w14:paraId="739C80F0" w14:textId="77777777" w:rsidR="00404A86" w:rsidRPr="007F2ED4" w:rsidRDefault="00404A86" w:rsidP="00F913C7">
            <w:pPr>
              <w:spacing w:line="259" w:lineRule="auto"/>
              <w:rPr>
                <w:vertAlign w:val="superscript"/>
                <w:lang w:val="en-GB"/>
              </w:rPr>
            </w:pPr>
            <w:r w:rsidRPr="009D7F5F">
              <w:t>SD</w:t>
            </w:r>
            <w:r w:rsidRPr="009D7F5F">
              <w:rPr>
                <w:vertAlign w:val="superscript"/>
              </w:rPr>
              <w:t>†</w:t>
            </w:r>
          </w:p>
        </w:tc>
        <w:tc>
          <w:tcPr>
            <w:tcW w:w="198" w:type="pct"/>
            <w:tcBorders>
              <w:bottom w:val="single" w:sz="4" w:space="0" w:color="auto"/>
            </w:tcBorders>
            <w:vAlign w:val="center"/>
          </w:tcPr>
          <w:p w14:paraId="560B59F1" w14:textId="77777777" w:rsidR="00404A86" w:rsidRPr="007F2ED4" w:rsidRDefault="00404A86" w:rsidP="00F913C7">
            <w:pPr>
              <w:spacing w:line="259" w:lineRule="auto"/>
              <w:jc w:val="center"/>
              <w:rPr>
                <w:lang w:val="en-GB"/>
              </w:rPr>
            </w:pPr>
            <w:r w:rsidRPr="009D7F5F">
              <w:t>0</w:t>
            </w:r>
          </w:p>
        </w:tc>
        <w:tc>
          <w:tcPr>
            <w:tcW w:w="444" w:type="pct"/>
            <w:tcBorders>
              <w:bottom w:val="single" w:sz="4" w:space="0" w:color="auto"/>
            </w:tcBorders>
            <w:vAlign w:val="center"/>
          </w:tcPr>
          <w:p w14:paraId="0C865BFA" w14:textId="77777777" w:rsidR="00404A86" w:rsidRPr="007F2ED4" w:rsidRDefault="00404A86" w:rsidP="00F913C7">
            <w:pPr>
              <w:spacing w:line="259" w:lineRule="auto"/>
              <w:jc w:val="center"/>
              <w:rPr>
                <w:lang w:val="en-GB"/>
              </w:rPr>
            </w:pPr>
            <w:r w:rsidRPr="009D7F5F">
              <w:t>0.12</w:t>
            </w:r>
          </w:p>
        </w:tc>
        <w:tc>
          <w:tcPr>
            <w:tcW w:w="374" w:type="pct"/>
            <w:tcBorders>
              <w:bottom w:val="single" w:sz="4" w:space="0" w:color="auto"/>
            </w:tcBorders>
            <w:vAlign w:val="center"/>
          </w:tcPr>
          <w:p w14:paraId="19834F1A" w14:textId="77777777" w:rsidR="00404A86" w:rsidRPr="007F2ED4" w:rsidRDefault="00404A86" w:rsidP="00F913C7">
            <w:pPr>
              <w:spacing w:line="259" w:lineRule="auto"/>
              <w:jc w:val="center"/>
              <w:rPr>
                <w:lang w:val="en-GB"/>
              </w:rPr>
            </w:pPr>
            <w:r w:rsidRPr="009D7F5F">
              <w:t>0.24</w:t>
            </w:r>
          </w:p>
        </w:tc>
        <w:tc>
          <w:tcPr>
            <w:tcW w:w="444" w:type="pct"/>
            <w:tcBorders>
              <w:bottom w:val="single" w:sz="4" w:space="0" w:color="auto"/>
            </w:tcBorders>
            <w:vAlign w:val="center"/>
          </w:tcPr>
          <w:p w14:paraId="5D7E64A5" w14:textId="77777777" w:rsidR="00404A86" w:rsidRPr="007F2ED4" w:rsidRDefault="00404A86" w:rsidP="00F913C7">
            <w:pPr>
              <w:spacing w:line="259" w:lineRule="auto"/>
              <w:jc w:val="center"/>
              <w:rPr>
                <w:lang w:val="en-GB"/>
              </w:rPr>
            </w:pPr>
            <w:r w:rsidRPr="009D7F5F">
              <w:t>0.36</w:t>
            </w:r>
          </w:p>
        </w:tc>
        <w:tc>
          <w:tcPr>
            <w:tcW w:w="374" w:type="pct"/>
            <w:tcBorders>
              <w:bottom w:val="single" w:sz="4" w:space="0" w:color="auto"/>
            </w:tcBorders>
            <w:vAlign w:val="center"/>
          </w:tcPr>
          <w:p w14:paraId="54E803BA" w14:textId="77777777" w:rsidR="00404A86" w:rsidRPr="007F2ED4" w:rsidRDefault="00404A86" w:rsidP="00F913C7">
            <w:pPr>
              <w:spacing w:line="259" w:lineRule="auto"/>
              <w:jc w:val="center"/>
              <w:rPr>
                <w:lang w:val="en-GB"/>
              </w:rPr>
            </w:pPr>
            <w:r w:rsidRPr="009D7F5F">
              <w:t>0.48</w:t>
            </w:r>
          </w:p>
        </w:tc>
        <w:tc>
          <w:tcPr>
            <w:tcW w:w="374" w:type="pct"/>
            <w:tcBorders>
              <w:bottom w:val="single" w:sz="4" w:space="0" w:color="auto"/>
            </w:tcBorders>
            <w:vAlign w:val="center"/>
          </w:tcPr>
          <w:p w14:paraId="63E3E516" w14:textId="77777777" w:rsidR="00404A86" w:rsidRPr="007F2ED4" w:rsidRDefault="00404A86" w:rsidP="00F913C7">
            <w:pPr>
              <w:spacing w:line="259" w:lineRule="auto"/>
              <w:jc w:val="center"/>
              <w:rPr>
                <w:lang w:val="en-GB"/>
              </w:rPr>
            </w:pPr>
            <w:r w:rsidRPr="009D7F5F">
              <w:t>0.71</w:t>
            </w:r>
          </w:p>
        </w:tc>
        <w:tc>
          <w:tcPr>
            <w:tcW w:w="374" w:type="pct"/>
            <w:tcBorders>
              <w:bottom w:val="single" w:sz="4" w:space="0" w:color="auto"/>
            </w:tcBorders>
            <w:vAlign w:val="center"/>
          </w:tcPr>
          <w:p w14:paraId="38D87A20" w14:textId="77777777" w:rsidR="00404A86" w:rsidRPr="007F2ED4" w:rsidRDefault="00404A86" w:rsidP="00F913C7">
            <w:pPr>
              <w:spacing w:line="259" w:lineRule="auto"/>
              <w:jc w:val="center"/>
              <w:rPr>
                <w:lang w:val="en-GB"/>
              </w:rPr>
            </w:pPr>
            <w:r w:rsidRPr="009D7F5F">
              <w:t>0.95</w:t>
            </w:r>
          </w:p>
        </w:tc>
        <w:tc>
          <w:tcPr>
            <w:tcW w:w="1088" w:type="pct"/>
            <w:tcBorders>
              <w:bottom w:val="single" w:sz="4" w:space="0" w:color="auto"/>
            </w:tcBorders>
            <w:vAlign w:val="center"/>
          </w:tcPr>
          <w:p w14:paraId="63D1DE23" w14:textId="77777777" w:rsidR="00404A86" w:rsidRPr="007F2ED4" w:rsidRDefault="00404A86" w:rsidP="00F913C7">
            <w:pPr>
              <w:spacing w:line="259" w:lineRule="auto"/>
              <w:jc w:val="center"/>
              <w:rPr>
                <w:lang w:val="en-GB"/>
              </w:rPr>
            </w:pPr>
            <w:r w:rsidRPr="009D7F5F">
              <w:t>0.33</w:t>
            </w:r>
          </w:p>
        </w:tc>
        <w:tc>
          <w:tcPr>
            <w:tcW w:w="546" w:type="pct"/>
            <w:tcBorders>
              <w:bottom w:val="single" w:sz="4" w:space="0" w:color="auto"/>
            </w:tcBorders>
            <w:vAlign w:val="center"/>
          </w:tcPr>
          <w:p w14:paraId="0543CD9E" w14:textId="77777777" w:rsidR="00404A86" w:rsidRPr="007F2ED4" w:rsidRDefault="00404A86" w:rsidP="00F913C7">
            <w:pPr>
              <w:spacing w:line="259" w:lineRule="auto"/>
              <w:jc w:val="center"/>
              <w:rPr>
                <w:lang w:val="en-GB"/>
              </w:rPr>
            </w:pPr>
            <w:r w:rsidRPr="009D7F5F">
              <w:t>0.26</w:t>
            </w:r>
          </w:p>
        </w:tc>
      </w:tr>
    </w:tbl>
    <w:p w14:paraId="02EF2465" w14:textId="77777777" w:rsidR="00404A86" w:rsidRDefault="00404A86" w:rsidP="00404A86">
      <w:pPr>
        <w:jc w:val="center"/>
        <w:rPr>
          <w:i/>
          <w:sz w:val="22"/>
        </w:rPr>
      </w:pPr>
      <w:r w:rsidRPr="009D7F5F">
        <w:rPr>
          <w:i/>
          <w:sz w:val="22"/>
        </w:rPr>
        <w:t>*: values represent summary measures across all iterations of the average difference between the largest coefficient and smallest coefficient across populations. †: the average standard deviation (SD) of each coefficient across all populations. All values aim to guide the between-population heterogeneity induced through different σ values. Note: the values for the LES, ESII, STS and German AV are approximate, since variable definitions vary between CPMs.</w:t>
      </w:r>
    </w:p>
    <w:p w14:paraId="4ED252E8" w14:textId="77777777" w:rsidR="001C71F9" w:rsidRDefault="001C71F9" w:rsidP="00404A86">
      <w:pPr>
        <w:jc w:val="center"/>
        <w:rPr>
          <w:i/>
          <w:sz w:val="22"/>
        </w:rPr>
      </w:pPr>
    </w:p>
    <w:p w14:paraId="3628F0D0" w14:textId="77777777" w:rsidR="001C71F9" w:rsidRDefault="001C71F9" w:rsidP="00404A86">
      <w:pPr>
        <w:jc w:val="center"/>
        <w:rPr>
          <w:i/>
          <w:sz w:val="22"/>
        </w:rPr>
      </w:pPr>
    </w:p>
    <w:p w14:paraId="43EF7B91" w14:textId="77777777" w:rsidR="00404A86" w:rsidRPr="009D7F5F" w:rsidRDefault="00404A86" w:rsidP="00404A86">
      <w:r w:rsidRPr="009D7F5F">
        <w:rPr>
          <w:b/>
        </w:rPr>
        <w:t>Table</w:t>
      </w:r>
      <w:r w:rsidRPr="009D7F5F">
        <w:t xml:space="preserve"> </w:t>
      </w:r>
      <w:r w:rsidRPr="009D7F5F">
        <w:rPr>
          <w:b/>
        </w:rPr>
        <w:t xml:space="preserve">2: </w:t>
      </w:r>
      <w:r w:rsidRPr="00F26EA9">
        <w:rPr>
          <w:b/>
        </w:rPr>
        <w:t>Modelling strategy recommendations when the mean incidence of adverse outcome was 20%.</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1519"/>
        <w:gridCol w:w="1519"/>
        <w:gridCol w:w="1242"/>
        <w:gridCol w:w="1240"/>
        <w:gridCol w:w="1240"/>
        <w:gridCol w:w="1237"/>
      </w:tblGrid>
      <w:tr w:rsidR="00404A86" w:rsidRPr="009D7F5F" w14:paraId="04A56D77" w14:textId="77777777" w:rsidTr="00F913C7">
        <w:trPr>
          <w:jc w:val="center"/>
        </w:trPr>
        <w:tc>
          <w:tcPr>
            <w:tcW w:w="673" w:type="pct"/>
            <w:tcBorders>
              <w:top w:val="single" w:sz="4" w:space="0" w:color="auto"/>
            </w:tcBorders>
          </w:tcPr>
          <w:p w14:paraId="5564331B" w14:textId="77777777" w:rsidR="00404A86" w:rsidRPr="009D7F5F" w:rsidRDefault="00404A86" w:rsidP="00F913C7">
            <w:pPr>
              <w:spacing w:line="259" w:lineRule="auto"/>
              <w:jc w:val="center"/>
              <w:rPr>
                <w:lang w:val="en-GB"/>
              </w:rPr>
            </w:pPr>
            <w:r w:rsidRPr="009D7F5F">
              <w:rPr>
                <w:b/>
              </w:rPr>
              <w:t>σ</w:t>
            </w:r>
          </w:p>
        </w:tc>
        <w:tc>
          <w:tcPr>
            <w:tcW w:w="4327" w:type="pct"/>
            <w:gridSpan w:val="6"/>
            <w:tcBorders>
              <w:top w:val="single" w:sz="4" w:space="0" w:color="auto"/>
            </w:tcBorders>
          </w:tcPr>
          <w:p w14:paraId="00096CF4" w14:textId="77777777" w:rsidR="00404A86" w:rsidRPr="009D7F5F" w:rsidRDefault="00404A86" w:rsidP="00F913C7">
            <w:pPr>
              <w:spacing w:line="259" w:lineRule="auto"/>
              <w:jc w:val="center"/>
              <w:rPr>
                <w:b/>
                <w:i/>
                <w:lang w:val="en-GB"/>
              </w:rPr>
            </w:pPr>
            <w:r w:rsidRPr="009D7F5F">
              <w:rPr>
                <w:b/>
                <w:i/>
              </w:rPr>
              <w:t>n</w:t>
            </w:r>
            <w:r w:rsidRPr="009D7F5F">
              <w:rPr>
                <w:b/>
                <w:i/>
                <w:vertAlign w:val="subscript"/>
              </w:rPr>
              <w:t>train</w:t>
            </w:r>
          </w:p>
        </w:tc>
      </w:tr>
      <w:tr w:rsidR="00404A86" w:rsidRPr="009D7F5F" w14:paraId="224532D7" w14:textId="77777777" w:rsidTr="00F913C7">
        <w:trPr>
          <w:jc w:val="center"/>
        </w:trPr>
        <w:tc>
          <w:tcPr>
            <w:tcW w:w="673" w:type="pct"/>
            <w:tcBorders>
              <w:bottom w:val="single" w:sz="4" w:space="0" w:color="auto"/>
            </w:tcBorders>
          </w:tcPr>
          <w:p w14:paraId="596510C6" w14:textId="77777777" w:rsidR="00404A86" w:rsidRPr="009D7F5F" w:rsidRDefault="00404A86" w:rsidP="00F913C7">
            <w:pPr>
              <w:spacing w:line="259" w:lineRule="auto"/>
              <w:jc w:val="center"/>
              <w:rPr>
                <w:lang w:val="en-GB"/>
              </w:rPr>
            </w:pPr>
          </w:p>
        </w:tc>
        <w:tc>
          <w:tcPr>
            <w:tcW w:w="822" w:type="pct"/>
            <w:tcBorders>
              <w:bottom w:val="single" w:sz="4" w:space="0" w:color="auto"/>
            </w:tcBorders>
          </w:tcPr>
          <w:p w14:paraId="15415950" w14:textId="77777777" w:rsidR="00404A86" w:rsidRPr="009D7F5F" w:rsidRDefault="00404A86" w:rsidP="00F913C7">
            <w:pPr>
              <w:spacing w:line="259" w:lineRule="auto"/>
              <w:jc w:val="center"/>
              <w:rPr>
                <w:b/>
                <w:lang w:val="en-GB"/>
              </w:rPr>
            </w:pPr>
            <w:r w:rsidRPr="009D7F5F">
              <w:rPr>
                <w:b/>
              </w:rPr>
              <w:t>150</w:t>
            </w:r>
          </w:p>
        </w:tc>
        <w:tc>
          <w:tcPr>
            <w:tcW w:w="822" w:type="pct"/>
            <w:tcBorders>
              <w:bottom w:val="single" w:sz="4" w:space="0" w:color="auto"/>
            </w:tcBorders>
          </w:tcPr>
          <w:p w14:paraId="070C0A1D" w14:textId="77777777" w:rsidR="00404A86" w:rsidRPr="009D7F5F" w:rsidRDefault="00404A86" w:rsidP="00F913C7">
            <w:pPr>
              <w:spacing w:line="259" w:lineRule="auto"/>
              <w:jc w:val="center"/>
              <w:rPr>
                <w:b/>
                <w:lang w:val="en-GB"/>
              </w:rPr>
            </w:pPr>
            <w:r w:rsidRPr="009D7F5F">
              <w:rPr>
                <w:b/>
              </w:rPr>
              <w:t>250</w:t>
            </w:r>
          </w:p>
        </w:tc>
        <w:tc>
          <w:tcPr>
            <w:tcW w:w="672" w:type="pct"/>
            <w:tcBorders>
              <w:bottom w:val="single" w:sz="4" w:space="0" w:color="auto"/>
            </w:tcBorders>
          </w:tcPr>
          <w:p w14:paraId="73ECA8EA" w14:textId="77777777" w:rsidR="00404A86" w:rsidRPr="009D7F5F" w:rsidRDefault="00404A86" w:rsidP="00F913C7">
            <w:pPr>
              <w:spacing w:line="259" w:lineRule="auto"/>
              <w:jc w:val="center"/>
              <w:rPr>
                <w:b/>
                <w:lang w:val="en-GB"/>
              </w:rPr>
            </w:pPr>
            <w:r w:rsidRPr="009D7F5F">
              <w:rPr>
                <w:b/>
              </w:rPr>
              <w:t>500</w:t>
            </w:r>
          </w:p>
        </w:tc>
        <w:tc>
          <w:tcPr>
            <w:tcW w:w="671" w:type="pct"/>
            <w:tcBorders>
              <w:bottom w:val="single" w:sz="4" w:space="0" w:color="auto"/>
            </w:tcBorders>
          </w:tcPr>
          <w:p w14:paraId="5919038E" w14:textId="77777777" w:rsidR="00404A86" w:rsidRPr="009D7F5F" w:rsidRDefault="00404A86" w:rsidP="00F913C7">
            <w:pPr>
              <w:spacing w:line="259" w:lineRule="auto"/>
              <w:jc w:val="center"/>
              <w:rPr>
                <w:b/>
                <w:lang w:val="en-GB"/>
              </w:rPr>
            </w:pPr>
            <w:r w:rsidRPr="009D7F5F">
              <w:rPr>
                <w:b/>
              </w:rPr>
              <w:t>1000</w:t>
            </w:r>
          </w:p>
        </w:tc>
        <w:tc>
          <w:tcPr>
            <w:tcW w:w="671" w:type="pct"/>
            <w:tcBorders>
              <w:bottom w:val="single" w:sz="4" w:space="0" w:color="auto"/>
            </w:tcBorders>
          </w:tcPr>
          <w:p w14:paraId="2FAA43D1" w14:textId="77777777" w:rsidR="00404A86" w:rsidRPr="009D7F5F" w:rsidRDefault="00404A86" w:rsidP="00F913C7">
            <w:pPr>
              <w:spacing w:line="259" w:lineRule="auto"/>
              <w:jc w:val="center"/>
              <w:rPr>
                <w:b/>
                <w:lang w:val="en-GB"/>
              </w:rPr>
            </w:pPr>
            <w:r w:rsidRPr="009D7F5F">
              <w:rPr>
                <w:b/>
              </w:rPr>
              <w:t>5000</w:t>
            </w:r>
          </w:p>
        </w:tc>
        <w:tc>
          <w:tcPr>
            <w:tcW w:w="669" w:type="pct"/>
            <w:tcBorders>
              <w:bottom w:val="single" w:sz="4" w:space="0" w:color="auto"/>
            </w:tcBorders>
          </w:tcPr>
          <w:p w14:paraId="31F86B9D" w14:textId="77777777" w:rsidR="00404A86" w:rsidRPr="009D7F5F" w:rsidRDefault="00404A86" w:rsidP="00F913C7">
            <w:pPr>
              <w:spacing w:line="259" w:lineRule="auto"/>
              <w:jc w:val="center"/>
              <w:rPr>
                <w:b/>
                <w:lang w:val="en-GB"/>
              </w:rPr>
            </w:pPr>
            <w:r w:rsidRPr="009D7F5F">
              <w:rPr>
                <w:b/>
              </w:rPr>
              <w:t>10000</w:t>
            </w:r>
          </w:p>
        </w:tc>
      </w:tr>
      <w:tr w:rsidR="00404A86" w:rsidRPr="009D7F5F" w14:paraId="7AEB6AA5" w14:textId="77777777" w:rsidTr="00F913C7">
        <w:trPr>
          <w:jc w:val="center"/>
        </w:trPr>
        <w:tc>
          <w:tcPr>
            <w:tcW w:w="673" w:type="pct"/>
            <w:tcBorders>
              <w:top w:val="single" w:sz="4" w:space="0" w:color="auto"/>
            </w:tcBorders>
          </w:tcPr>
          <w:p w14:paraId="53BC1C8C" w14:textId="77777777" w:rsidR="00404A86" w:rsidRPr="009D7F5F" w:rsidRDefault="00404A86" w:rsidP="00F913C7">
            <w:pPr>
              <w:spacing w:line="259" w:lineRule="auto"/>
              <w:jc w:val="center"/>
              <w:rPr>
                <w:lang w:val="en-GB"/>
              </w:rPr>
            </w:pPr>
            <w:r w:rsidRPr="009D7F5F">
              <w:t>0</w:t>
            </w:r>
          </w:p>
        </w:tc>
        <w:tc>
          <w:tcPr>
            <w:tcW w:w="822" w:type="pct"/>
            <w:tcBorders>
              <w:top w:val="single" w:sz="4" w:space="0" w:color="auto"/>
            </w:tcBorders>
          </w:tcPr>
          <w:p w14:paraId="72A01AC5" w14:textId="77777777" w:rsidR="00404A86" w:rsidRPr="009D7F5F" w:rsidRDefault="00404A86" w:rsidP="00F913C7">
            <w:pPr>
              <w:spacing w:line="259" w:lineRule="auto"/>
              <w:jc w:val="center"/>
              <w:rPr>
                <w:lang w:val="en-GB"/>
              </w:rPr>
            </w:pPr>
            <w:r w:rsidRPr="009D7F5F">
              <w:t>SR</w:t>
            </w:r>
          </w:p>
        </w:tc>
        <w:tc>
          <w:tcPr>
            <w:tcW w:w="822" w:type="pct"/>
            <w:tcBorders>
              <w:top w:val="single" w:sz="4" w:space="0" w:color="auto"/>
            </w:tcBorders>
          </w:tcPr>
          <w:p w14:paraId="032FF7B3" w14:textId="77777777" w:rsidR="00404A86" w:rsidRPr="009D7F5F" w:rsidRDefault="00404A86" w:rsidP="00F913C7">
            <w:pPr>
              <w:spacing w:line="259" w:lineRule="auto"/>
              <w:jc w:val="center"/>
              <w:rPr>
                <w:lang w:val="en-GB"/>
              </w:rPr>
            </w:pPr>
            <w:r w:rsidRPr="009D7F5F">
              <w:t>SR</w:t>
            </w:r>
          </w:p>
        </w:tc>
        <w:tc>
          <w:tcPr>
            <w:tcW w:w="672" w:type="pct"/>
            <w:tcBorders>
              <w:top w:val="single" w:sz="4" w:space="0" w:color="auto"/>
            </w:tcBorders>
          </w:tcPr>
          <w:p w14:paraId="623E3284" w14:textId="77777777" w:rsidR="00404A86" w:rsidRPr="009D7F5F" w:rsidRDefault="00404A86" w:rsidP="00F913C7">
            <w:pPr>
              <w:spacing w:line="259" w:lineRule="auto"/>
              <w:jc w:val="center"/>
              <w:rPr>
                <w:lang w:val="en-GB"/>
              </w:rPr>
            </w:pPr>
            <w:r w:rsidRPr="009D7F5F">
              <w:t xml:space="preserve">Either </w:t>
            </w:r>
          </w:p>
        </w:tc>
        <w:tc>
          <w:tcPr>
            <w:tcW w:w="671" w:type="pct"/>
            <w:tcBorders>
              <w:top w:val="single" w:sz="4" w:space="0" w:color="auto"/>
            </w:tcBorders>
          </w:tcPr>
          <w:p w14:paraId="0724DD68" w14:textId="77777777" w:rsidR="00404A86" w:rsidRPr="009D7F5F" w:rsidRDefault="00404A86" w:rsidP="00F913C7">
            <w:pPr>
              <w:spacing w:line="259" w:lineRule="auto"/>
              <w:jc w:val="center"/>
              <w:rPr>
                <w:lang w:val="en-GB"/>
              </w:rPr>
            </w:pPr>
            <w:r w:rsidRPr="009D7F5F">
              <w:t>Either</w:t>
            </w:r>
          </w:p>
        </w:tc>
        <w:tc>
          <w:tcPr>
            <w:tcW w:w="671" w:type="pct"/>
            <w:tcBorders>
              <w:top w:val="single" w:sz="4" w:space="0" w:color="auto"/>
            </w:tcBorders>
          </w:tcPr>
          <w:p w14:paraId="2C4E9508" w14:textId="77777777" w:rsidR="00404A86" w:rsidRPr="009D7F5F" w:rsidRDefault="00404A86" w:rsidP="00F913C7">
            <w:pPr>
              <w:spacing w:line="259" w:lineRule="auto"/>
              <w:jc w:val="center"/>
              <w:rPr>
                <w:lang w:val="en-GB"/>
              </w:rPr>
            </w:pPr>
            <w:r w:rsidRPr="009D7F5F">
              <w:t>Either</w:t>
            </w:r>
          </w:p>
        </w:tc>
        <w:tc>
          <w:tcPr>
            <w:tcW w:w="669" w:type="pct"/>
            <w:tcBorders>
              <w:top w:val="single" w:sz="4" w:space="0" w:color="auto"/>
            </w:tcBorders>
          </w:tcPr>
          <w:p w14:paraId="5DB81ADD" w14:textId="77777777" w:rsidR="00404A86" w:rsidRPr="009D7F5F" w:rsidRDefault="00404A86" w:rsidP="00F913C7">
            <w:pPr>
              <w:spacing w:line="259" w:lineRule="auto"/>
              <w:jc w:val="center"/>
              <w:rPr>
                <w:lang w:val="en-GB"/>
              </w:rPr>
            </w:pPr>
            <w:r w:rsidRPr="009D7F5F">
              <w:t>Either</w:t>
            </w:r>
          </w:p>
        </w:tc>
      </w:tr>
      <w:tr w:rsidR="00404A86" w:rsidRPr="009D7F5F" w14:paraId="48628B4A" w14:textId="77777777" w:rsidTr="00F913C7">
        <w:trPr>
          <w:jc w:val="center"/>
        </w:trPr>
        <w:tc>
          <w:tcPr>
            <w:tcW w:w="673" w:type="pct"/>
          </w:tcPr>
          <w:p w14:paraId="34673E65" w14:textId="77777777" w:rsidR="00404A86" w:rsidRPr="009D7F5F" w:rsidRDefault="00404A86" w:rsidP="00F913C7">
            <w:pPr>
              <w:spacing w:line="259" w:lineRule="auto"/>
              <w:jc w:val="center"/>
              <w:rPr>
                <w:lang w:val="en-GB"/>
              </w:rPr>
            </w:pPr>
            <w:r w:rsidRPr="009D7F5F">
              <w:t>0.125</w:t>
            </w:r>
          </w:p>
        </w:tc>
        <w:tc>
          <w:tcPr>
            <w:tcW w:w="822" w:type="pct"/>
          </w:tcPr>
          <w:p w14:paraId="77D1654E" w14:textId="77777777" w:rsidR="00404A86" w:rsidRPr="009D7F5F" w:rsidRDefault="00404A86" w:rsidP="00F913C7">
            <w:pPr>
              <w:spacing w:line="259" w:lineRule="auto"/>
              <w:jc w:val="center"/>
              <w:rPr>
                <w:lang w:val="en-GB"/>
              </w:rPr>
            </w:pPr>
            <w:r w:rsidRPr="009D7F5F">
              <w:t>SR</w:t>
            </w:r>
          </w:p>
        </w:tc>
        <w:tc>
          <w:tcPr>
            <w:tcW w:w="822" w:type="pct"/>
          </w:tcPr>
          <w:p w14:paraId="37285F84" w14:textId="77777777" w:rsidR="00404A86" w:rsidRPr="009D7F5F" w:rsidRDefault="00404A86" w:rsidP="00F913C7">
            <w:pPr>
              <w:spacing w:line="259" w:lineRule="auto"/>
              <w:jc w:val="center"/>
              <w:rPr>
                <w:lang w:val="en-GB"/>
              </w:rPr>
            </w:pPr>
            <w:r w:rsidRPr="009D7F5F">
              <w:t>SR</w:t>
            </w:r>
          </w:p>
        </w:tc>
        <w:tc>
          <w:tcPr>
            <w:tcW w:w="672" w:type="pct"/>
          </w:tcPr>
          <w:p w14:paraId="22E5204C" w14:textId="77777777" w:rsidR="00404A86" w:rsidRPr="009D7F5F" w:rsidRDefault="00404A86" w:rsidP="00F913C7">
            <w:pPr>
              <w:spacing w:line="259" w:lineRule="auto"/>
              <w:jc w:val="center"/>
              <w:rPr>
                <w:lang w:val="en-GB"/>
              </w:rPr>
            </w:pPr>
            <w:r w:rsidRPr="009D7F5F">
              <w:t>Either</w:t>
            </w:r>
          </w:p>
        </w:tc>
        <w:tc>
          <w:tcPr>
            <w:tcW w:w="671" w:type="pct"/>
          </w:tcPr>
          <w:p w14:paraId="4B14D92D" w14:textId="77777777" w:rsidR="00404A86" w:rsidRPr="009D7F5F" w:rsidRDefault="00404A86" w:rsidP="00F913C7">
            <w:pPr>
              <w:spacing w:line="259" w:lineRule="auto"/>
              <w:jc w:val="center"/>
              <w:rPr>
                <w:lang w:val="en-GB"/>
              </w:rPr>
            </w:pPr>
            <w:r w:rsidRPr="009D7F5F">
              <w:t>Either</w:t>
            </w:r>
          </w:p>
        </w:tc>
        <w:tc>
          <w:tcPr>
            <w:tcW w:w="671" w:type="pct"/>
          </w:tcPr>
          <w:p w14:paraId="79DC7DD1" w14:textId="77777777" w:rsidR="00404A86" w:rsidRPr="009D7F5F" w:rsidRDefault="00404A86" w:rsidP="00F913C7">
            <w:pPr>
              <w:spacing w:line="259" w:lineRule="auto"/>
              <w:jc w:val="center"/>
              <w:rPr>
                <w:lang w:val="en-GB"/>
              </w:rPr>
            </w:pPr>
            <w:r w:rsidRPr="009D7F5F">
              <w:t>Either</w:t>
            </w:r>
          </w:p>
        </w:tc>
        <w:tc>
          <w:tcPr>
            <w:tcW w:w="669" w:type="pct"/>
          </w:tcPr>
          <w:p w14:paraId="1AD3BF67" w14:textId="77777777" w:rsidR="00404A86" w:rsidRPr="009D7F5F" w:rsidRDefault="00404A86" w:rsidP="00F913C7">
            <w:pPr>
              <w:spacing w:line="259" w:lineRule="auto"/>
              <w:jc w:val="center"/>
              <w:rPr>
                <w:lang w:val="en-GB"/>
              </w:rPr>
            </w:pPr>
            <w:r w:rsidRPr="009D7F5F">
              <w:t>Either</w:t>
            </w:r>
          </w:p>
        </w:tc>
      </w:tr>
      <w:tr w:rsidR="00404A86" w:rsidRPr="009D7F5F" w14:paraId="36B7D2E3" w14:textId="77777777" w:rsidTr="00F913C7">
        <w:trPr>
          <w:jc w:val="center"/>
        </w:trPr>
        <w:tc>
          <w:tcPr>
            <w:tcW w:w="673" w:type="pct"/>
          </w:tcPr>
          <w:p w14:paraId="07866A8E" w14:textId="77777777" w:rsidR="00404A86" w:rsidRPr="009D7F5F" w:rsidRDefault="00404A86" w:rsidP="00F913C7">
            <w:pPr>
              <w:spacing w:line="259" w:lineRule="auto"/>
              <w:jc w:val="center"/>
              <w:rPr>
                <w:lang w:val="en-GB"/>
              </w:rPr>
            </w:pPr>
            <w:r w:rsidRPr="009D7F5F">
              <w:t>0.25</w:t>
            </w:r>
          </w:p>
        </w:tc>
        <w:tc>
          <w:tcPr>
            <w:tcW w:w="822" w:type="pct"/>
          </w:tcPr>
          <w:p w14:paraId="4AB286CD" w14:textId="77777777" w:rsidR="00404A86" w:rsidRPr="009D7F5F" w:rsidRDefault="00404A86" w:rsidP="00F913C7">
            <w:pPr>
              <w:spacing w:line="259" w:lineRule="auto"/>
              <w:jc w:val="center"/>
              <w:rPr>
                <w:lang w:val="en-GB"/>
              </w:rPr>
            </w:pPr>
            <w:r w:rsidRPr="009D7F5F">
              <w:t>SR</w:t>
            </w:r>
          </w:p>
        </w:tc>
        <w:tc>
          <w:tcPr>
            <w:tcW w:w="822" w:type="pct"/>
          </w:tcPr>
          <w:p w14:paraId="3DEA4FAC" w14:textId="77777777" w:rsidR="00404A86" w:rsidRPr="009D7F5F" w:rsidRDefault="00404A86" w:rsidP="00F913C7">
            <w:pPr>
              <w:spacing w:line="259" w:lineRule="auto"/>
              <w:jc w:val="center"/>
              <w:rPr>
                <w:lang w:val="en-GB"/>
              </w:rPr>
            </w:pPr>
            <w:r w:rsidRPr="009D7F5F">
              <w:t>SR</w:t>
            </w:r>
          </w:p>
        </w:tc>
        <w:tc>
          <w:tcPr>
            <w:tcW w:w="672" w:type="pct"/>
          </w:tcPr>
          <w:p w14:paraId="60FF5439" w14:textId="77777777" w:rsidR="00404A86" w:rsidRPr="009D7F5F" w:rsidRDefault="00404A86" w:rsidP="00F913C7">
            <w:pPr>
              <w:spacing w:line="259" w:lineRule="auto"/>
              <w:jc w:val="center"/>
              <w:rPr>
                <w:lang w:val="en-GB"/>
              </w:rPr>
            </w:pPr>
            <w:r w:rsidRPr="009D7F5F">
              <w:t>Either</w:t>
            </w:r>
          </w:p>
        </w:tc>
        <w:tc>
          <w:tcPr>
            <w:tcW w:w="671" w:type="pct"/>
          </w:tcPr>
          <w:p w14:paraId="3E4EE746" w14:textId="77777777" w:rsidR="00404A86" w:rsidRPr="009D7F5F" w:rsidRDefault="00404A86" w:rsidP="00F913C7">
            <w:pPr>
              <w:spacing w:line="259" w:lineRule="auto"/>
              <w:jc w:val="center"/>
              <w:rPr>
                <w:lang w:val="en-GB"/>
              </w:rPr>
            </w:pPr>
            <w:r w:rsidRPr="009D7F5F">
              <w:t>Either</w:t>
            </w:r>
          </w:p>
        </w:tc>
        <w:tc>
          <w:tcPr>
            <w:tcW w:w="671" w:type="pct"/>
          </w:tcPr>
          <w:p w14:paraId="740B36BA" w14:textId="77777777" w:rsidR="00404A86" w:rsidRPr="009D7F5F" w:rsidRDefault="00404A86" w:rsidP="00F913C7">
            <w:pPr>
              <w:spacing w:line="259" w:lineRule="auto"/>
              <w:jc w:val="center"/>
              <w:rPr>
                <w:lang w:val="en-GB"/>
              </w:rPr>
            </w:pPr>
            <w:r w:rsidRPr="009D7F5F">
              <w:t>Either</w:t>
            </w:r>
          </w:p>
        </w:tc>
        <w:tc>
          <w:tcPr>
            <w:tcW w:w="669" w:type="pct"/>
          </w:tcPr>
          <w:p w14:paraId="6D3F76A7" w14:textId="77777777" w:rsidR="00404A86" w:rsidRPr="009D7F5F" w:rsidRDefault="00404A86" w:rsidP="00F913C7">
            <w:pPr>
              <w:spacing w:line="259" w:lineRule="auto"/>
              <w:jc w:val="center"/>
              <w:rPr>
                <w:lang w:val="en-GB"/>
              </w:rPr>
            </w:pPr>
            <w:r w:rsidRPr="009D7F5F">
              <w:t>Either</w:t>
            </w:r>
          </w:p>
        </w:tc>
      </w:tr>
      <w:tr w:rsidR="00404A86" w:rsidRPr="009D7F5F" w14:paraId="26842866" w14:textId="77777777" w:rsidTr="00F913C7">
        <w:trPr>
          <w:jc w:val="center"/>
        </w:trPr>
        <w:tc>
          <w:tcPr>
            <w:tcW w:w="673" w:type="pct"/>
          </w:tcPr>
          <w:p w14:paraId="45222FCC" w14:textId="77777777" w:rsidR="00404A86" w:rsidRPr="009D7F5F" w:rsidRDefault="00404A86" w:rsidP="00F913C7">
            <w:pPr>
              <w:spacing w:line="259" w:lineRule="auto"/>
              <w:jc w:val="center"/>
              <w:rPr>
                <w:lang w:val="en-GB"/>
              </w:rPr>
            </w:pPr>
            <w:r w:rsidRPr="009D7F5F">
              <w:t>0.375</w:t>
            </w:r>
          </w:p>
        </w:tc>
        <w:tc>
          <w:tcPr>
            <w:tcW w:w="822" w:type="pct"/>
          </w:tcPr>
          <w:p w14:paraId="4B907D13" w14:textId="77777777" w:rsidR="00404A86" w:rsidRPr="009D7F5F" w:rsidRDefault="00404A86" w:rsidP="00F913C7">
            <w:pPr>
              <w:spacing w:line="259" w:lineRule="auto"/>
              <w:jc w:val="center"/>
              <w:rPr>
                <w:lang w:val="en-GB"/>
              </w:rPr>
            </w:pPr>
            <w:r w:rsidRPr="009D7F5F">
              <w:t>SR</w:t>
            </w:r>
          </w:p>
        </w:tc>
        <w:tc>
          <w:tcPr>
            <w:tcW w:w="822" w:type="pct"/>
          </w:tcPr>
          <w:p w14:paraId="011B2530" w14:textId="77777777" w:rsidR="00404A86" w:rsidRPr="009D7F5F" w:rsidRDefault="00404A86" w:rsidP="00F913C7">
            <w:pPr>
              <w:spacing w:line="259" w:lineRule="auto"/>
              <w:jc w:val="center"/>
              <w:rPr>
                <w:lang w:val="en-GB"/>
              </w:rPr>
            </w:pPr>
            <w:r w:rsidRPr="009D7F5F">
              <w:t>SR</w:t>
            </w:r>
          </w:p>
        </w:tc>
        <w:tc>
          <w:tcPr>
            <w:tcW w:w="672" w:type="pct"/>
          </w:tcPr>
          <w:p w14:paraId="096E4967" w14:textId="77777777" w:rsidR="00404A86" w:rsidRPr="009D7F5F" w:rsidRDefault="00404A86" w:rsidP="00F913C7">
            <w:pPr>
              <w:spacing w:line="259" w:lineRule="auto"/>
              <w:jc w:val="center"/>
              <w:rPr>
                <w:lang w:val="en-GB"/>
              </w:rPr>
            </w:pPr>
            <w:r w:rsidRPr="009D7F5F">
              <w:t>Either</w:t>
            </w:r>
          </w:p>
        </w:tc>
        <w:tc>
          <w:tcPr>
            <w:tcW w:w="671" w:type="pct"/>
          </w:tcPr>
          <w:p w14:paraId="6702B947" w14:textId="77777777" w:rsidR="00404A86" w:rsidRPr="009D7F5F" w:rsidRDefault="00404A86" w:rsidP="00F913C7">
            <w:pPr>
              <w:spacing w:line="259" w:lineRule="auto"/>
              <w:jc w:val="center"/>
              <w:rPr>
                <w:lang w:val="en-GB"/>
              </w:rPr>
            </w:pPr>
            <w:r w:rsidRPr="009D7F5F">
              <w:t>Either</w:t>
            </w:r>
          </w:p>
        </w:tc>
        <w:tc>
          <w:tcPr>
            <w:tcW w:w="671" w:type="pct"/>
          </w:tcPr>
          <w:p w14:paraId="6E8ABB5C" w14:textId="77777777" w:rsidR="00404A86" w:rsidRPr="009D7F5F" w:rsidRDefault="00404A86" w:rsidP="00F913C7">
            <w:pPr>
              <w:spacing w:line="259" w:lineRule="auto"/>
              <w:jc w:val="center"/>
              <w:rPr>
                <w:lang w:val="en-GB"/>
              </w:rPr>
            </w:pPr>
            <w:r w:rsidRPr="009D7F5F">
              <w:t>Ridge</w:t>
            </w:r>
          </w:p>
        </w:tc>
        <w:tc>
          <w:tcPr>
            <w:tcW w:w="669" w:type="pct"/>
          </w:tcPr>
          <w:p w14:paraId="5B42A36B" w14:textId="77777777" w:rsidR="00404A86" w:rsidRPr="009D7F5F" w:rsidRDefault="00404A86" w:rsidP="00F913C7">
            <w:pPr>
              <w:spacing w:line="259" w:lineRule="auto"/>
              <w:jc w:val="center"/>
              <w:rPr>
                <w:lang w:val="en-GB"/>
              </w:rPr>
            </w:pPr>
            <w:r w:rsidRPr="009D7F5F">
              <w:t>Ridge</w:t>
            </w:r>
          </w:p>
        </w:tc>
      </w:tr>
      <w:tr w:rsidR="00404A86" w:rsidRPr="009D7F5F" w14:paraId="1AC3440B" w14:textId="77777777" w:rsidTr="00F913C7">
        <w:trPr>
          <w:jc w:val="center"/>
        </w:trPr>
        <w:tc>
          <w:tcPr>
            <w:tcW w:w="673" w:type="pct"/>
          </w:tcPr>
          <w:p w14:paraId="370E9371" w14:textId="77777777" w:rsidR="00404A86" w:rsidRPr="009D7F5F" w:rsidRDefault="00404A86" w:rsidP="00F913C7">
            <w:pPr>
              <w:spacing w:line="259" w:lineRule="auto"/>
              <w:jc w:val="center"/>
              <w:rPr>
                <w:lang w:val="en-GB"/>
              </w:rPr>
            </w:pPr>
            <w:r w:rsidRPr="009D7F5F">
              <w:t>0.5</w:t>
            </w:r>
          </w:p>
        </w:tc>
        <w:tc>
          <w:tcPr>
            <w:tcW w:w="822" w:type="pct"/>
          </w:tcPr>
          <w:p w14:paraId="453B2D58" w14:textId="77777777" w:rsidR="00404A86" w:rsidRPr="009D7F5F" w:rsidRDefault="00404A86" w:rsidP="00F913C7">
            <w:pPr>
              <w:spacing w:line="259" w:lineRule="auto"/>
              <w:jc w:val="center"/>
              <w:rPr>
                <w:lang w:val="en-GB"/>
              </w:rPr>
            </w:pPr>
            <w:r w:rsidRPr="009D7F5F">
              <w:t>SR</w:t>
            </w:r>
          </w:p>
        </w:tc>
        <w:tc>
          <w:tcPr>
            <w:tcW w:w="822" w:type="pct"/>
          </w:tcPr>
          <w:p w14:paraId="0A4753E7" w14:textId="77777777" w:rsidR="00404A86" w:rsidRPr="009D7F5F" w:rsidRDefault="00404A86" w:rsidP="00F913C7">
            <w:pPr>
              <w:spacing w:line="259" w:lineRule="auto"/>
              <w:jc w:val="center"/>
              <w:rPr>
                <w:lang w:val="en-GB"/>
              </w:rPr>
            </w:pPr>
            <w:r w:rsidRPr="009D7F5F">
              <w:t>SR</w:t>
            </w:r>
          </w:p>
        </w:tc>
        <w:tc>
          <w:tcPr>
            <w:tcW w:w="672" w:type="pct"/>
          </w:tcPr>
          <w:p w14:paraId="6D6A6A9B" w14:textId="77777777" w:rsidR="00404A86" w:rsidRPr="009D7F5F" w:rsidRDefault="00404A86" w:rsidP="00F913C7">
            <w:pPr>
              <w:spacing w:line="259" w:lineRule="auto"/>
              <w:jc w:val="center"/>
              <w:rPr>
                <w:lang w:val="en-GB"/>
              </w:rPr>
            </w:pPr>
            <w:r w:rsidRPr="009D7F5F">
              <w:t>Either</w:t>
            </w:r>
          </w:p>
        </w:tc>
        <w:tc>
          <w:tcPr>
            <w:tcW w:w="671" w:type="pct"/>
          </w:tcPr>
          <w:p w14:paraId="2688A429" w14:textId="77777777" w:rsidR="00404A86" w:rsidRPr="009D7F5F" w:rsidRDefault="00404A86" w:rsidP="00F913C7">
            <w:pPr>
              <w:spacing w:line="259" w:lineRule="auto"/>
              <w:jc w:val="center"/>
              <w:rPr>
                <w:lang w:val="en-GB"/>
              </w:rPr>
            </w:pPr>
            <w:r w:rsidRPr="009D7F5F">
              <w:t>Ridge</w:t>
            </w:r>
          </w:p>
        </w:tc>
        <w:tc>
          <w:tcPr>
            <w:tcW w:w="671" w:type="pct"/>
          </w:tcPr>
          <w:p w14:paraId="630E8971" w14:textId="77777777" w:rsidR="00404A86" w:rsidRPr="009D7F5F" w:rsidRDefault="00404A86" w:rsidP="00F913C7">
            <w:pPr>
              <w:spacing w:line="259" w:lineRule="auto"/>
              <w:jc w:val="center"/>
              <w:rPr>
                <w:lang w:val="en-GB"/>
              </w:rPr>
            </w:pPr>
            <w:r w:rsidRPr="009D7F5F">
              <w:t>Ridge</w:t>
            </w:r>
          </w:p>
        </w:tc>
        <w:tc>
          <w:tcPr>
            <w:tcW w:w="669" w:type="pct"/>
          </w:tcPr>
          <w:p w14:paraId="3FBB9801" w14:textId="77777777" w:rsidR="00404A86" w:rsidRPr="009D7F5F" w:rsidRDefault="00404A86" w:rsidP="00F913C7">
            <w:pPr>
              <w:spacing w:line="259" w:lineRule="auto"/>
              <w:jc w:val="center"/>
              <w:rPr>
                <w:lang w:val="en-GB"/>
              </w:rPr>
            </w:pPr>
            <w:r w:rsidRPr="009D7F5F">
              <w:t>Ridge</w:t>
            </w:r>
          </w:p>
        </w:tc>
      </w:tr>
      <w:tr w:rsidR="00404A86" w:rsidRPr="009D7F5F" w14:paraId="66E87FEC" w14:textId="77777777" w:rsidTr="00F913C7">
        <w:trPr>
          <w:jc w:val="center"/>
        </w:trPr>
        <w:tc>
          <w:tcPr>
            <w:tcW w:w="673" w:type="pct"/>
          </w:tcPr>
          <w:p w14:paraId="50162021" w14:textId="77777777" w:rsidR="00404A86" w:rsidRPr="009D7F5F" w:rsidRDefault="00404A86" w:rsidP="00F913C7">
            <w:pPr>
              <w:spacing w:line="259" w:lineRule="auto"/>
              <w:jc w:val="center"/>
              <w:rPr>
                <w:lang w:val="en-GB"/>
              </w:rPr>
            </w:pPr>
            <w:r w:rsidRPr="009D7F5F">
              <w:t>0.75</w:t>
            </w:r>
          </w:p>
        </w:tc>
        <w:tc>
          <w:tcPr>
            <w:tcW w:w="822" w:type="pct"/>
          </w:tcPr>
          <w:p w14:paraId="7BDB6C6C" w14:textId="77777777" w:rsidR="00404A86" w:rsidRPr="009D7F5F" w:rsidRDefault="00404A86" w:rsidP="00F913C7">
            <w:pPr>
              <w:spacing w:line="259" w:lineRule="auto"/>
              <w:jc w:val="center"/>
              <w:rPr>
                <w:lang w:val="en-GB"/>
              </w:rPr>
            </w:pPr>
            <w:r w:rsidRPr="009D7F5F">
              <w:t>SR</w:t>
            </w:r>
          </w:p>
        </w:tc>
        <w:tc>
          <w:tcPr>
            <w:tcW w:w="822" w:type="pct"/>
          </w:tcPr>
          <w:p w14:paraId="2BDB74A8" w14:textId="77777777" w:rsidR="00404A86" w:rsidRPr="009D7F5F" w:rsidRDefault="00404A86" w:rsidP="00F913C7">
            <w:pPr>
              <w:spacing w:line="259" w:lineRule="auto"/>
              <w:jc w:val="center"/>
              <w:rPr>
                <w:lang w:val="en-GB"/>
              </w:rPr>
            </w:pPr>
            <w:r w:rsidRPr="009D7F5F">
              <w:t>SR</w:t>
            </w:r>
          </w:p>
        </w:tc>
        <w:tc>
          <w:tcPr>
            <w:tcW w:w="672" w:type="pct"/>
          </w:tcPr>
          <w:p w14:paraId="1D17099B" w14:textId="77777777" w:rsidR="00404A86" w:rsidRPr="009D7F5F" w:rsidRDefault="00404A86" w:rsidP="00F913C7">
            <w:pPr>
              <w:spacing w:line="259" w:lineRule="auto"/>
              <w:jc w:val="center"/>
              <w:rPr>
                <w:lang w:val="en-GB"/>
              </w:rPr>
            </w:pPr>
            <w:r w:rsidRPr="009D7F5F">
              <w:t>Ridge</w:t>
            </w:r>
          </w:p>
        </w:tc>
        <w:tc>
          <w:tcPr>
            <w:tcW w:w="671" w:type="pct"/>
          </w:tcPr>
          <w:p w14:paraId="17D8381B" w14:textId="77777777" w:rsidR="00404A86" w:rsidRPr="009D7F5F" w:rsidRDefault="00404A86" w:rsidP="00F913C7">
            <w:pPr>
              <w:spacing w:line="259" w:lineRule="auto"/>
              <w:jc w:val="center"/>
              <w:rPr>
                <w:lang w:val="en-GB"/>
              </w:rPr>
            </w:pPr>
            <w:r w:rsidRPr="009D7F5F">
              <w:t>Ridge</w:t>
            </w:r>
          </w:p>
        </w:tc>
        <w:tc>
          <w:tcPr>
            <w:tcW w:w="671" w:type="pct"/>
          </w:tcPr>
          <w:p w14:paraId="5CED3182" w14:textId="77777777" w:rsidR="00404A86" w:rsidRPr="009D7F5F" w:rsidRDefault="00404A86" w:rsidP="00F913C7">
            <w:pPr>
              <w:spacing w:line="259" w:lineRule="auto"/>
              <w:jc w:val="center"/>
              <w:rPr>
                <w:lang w:val="en-GB"/>
              </w:rPr>
            </w:pPr>
            <w:r w:rsidRPr="009D7F5F">
              <w:t>Ridge</w:t>
            </w:r>
          </w:p>
        </w:tc>
        <w:tc>
          <w:tcPr>
            <w:tcW w:w="669" w:type="pct"/>
          </w:tcPr>
          <w:p w14:paraId="12912FEE" w14:textId="77777777" w:rsidR="00404A86" w:rsidRPr="009D7F5F" w:rsidRDefault="00404A86" w:rsidP="00F913C7">
            <w:pPr>
              <w:spacing w:line="259" w:lineRule="auto"/>
              <w:jc w:val="center"/>
              <w:rPr>
                <w:lang w:val="en-GB"/>
              </w:rPr>
            </w:pPr>
            <w:r w:rsidRPr="009D7F5F">
              <w:t>Ridge</w:t>
            </w:r>
          </w:p>
        </w:tc>
      </w:tr>
      <w:tr w:rsidR="00404A86" w:rsidRPr="009D7F5F" w14:paraId="05EEF447" w14:textId="77777777" w:rsidTr="00F913C7">
        <w:trPr>
          <w:jc w:val="center"/>
        </w:trPr>
        <w:tc>
          <w:tcPr>
            <w:tcW w:w="673" w:type="pct"/>
            <w:tcBorders>
              <w:bottom w:val="single" w:sz="4" w:space="0" w:color="auto"/>
            </w:tcBorders>
          </w:tcPr>
          <w:p w14:paraId="00805F00" w14:textId="77777777" w:rsidR="00404A86" w:rsidRPr="009D7F5F" w:rsidRDefault="00404A86" w:rsidP="00F913C7">
            <w:pPr>
              <w:spacing w:line="259" w:lineRule="auto"/>
              <w:jc w:val="center"/>
              <w:rPr>
                <w:lang w:val="en-GB"/>
              </w:rPr>
            </w:pPr>
            <w:r w:rsidRPr="009D7F5F">
              <w:t>1.00</w:t>
            </w:r>
          </w:p>
        </w:tc>
        <w:tc>
          <w:tcPr>
            <w:tcW w:w="822" w:type="pct"/>
            <w:tcBorders>
              <w:bottom w:val="single" w:sz="4" w:space="0" w:color="auto"/>
            </w:tcBorders>
          </w:tcPr>
          <w:p w14:paraId="57C92371" w14:textId="77777777" w:rsidR="00404A86" w:rsidRPr="009D7F5F" w:rsidRDefault="00404A86" w:rsidP="00F913C7">
            <w:pPr>
              <w:spacing w:line="259" w:lineRule="auto"/>
              <w:jc w:val="center"/>
              <w:rPr>
                <w:lang w:val="en-GB"/>
              </w:rPr>
            </w:pPr>
            <w:r w:rsidRPr="009D7F5F">
              <w:t>SR</w:t>
            </w:r>
          </w:p>
        </w:tc>
        <w:tc>
          <w:tcPr>
            <w:tcW w:w="822" w:type="pct"/>
            <w:tcBorders>
              <w:bottom w:val="single" w:sz="4" w:space="0" w:color="auto"/>
            </w:tcBorders>
          </w:tcPr>
          <w:p w14:paraId="5A6198D7" w14:textId="77777777" w:rsidR="00404A86" w:rsidRPr="009D7F5F" w:rsidRDefault="00404A86" w:rsidP="00F913C7">
            <w:pPr>
              <w:spacing w:line="259" w:lineRule="auto"/>
              <w:jc w:val="center"/>
              <w:rPr>
                <w:lang w:val="en-GB"/>
              </w:rPr>
            </w:pPr>
            <w:r w:rsidRPr="009D7F5F">
              <w:t>SR</w:t>
            </w:r>
          </w:p>
        </w:tc>
        <w:tc>
          <w:tcPr>
            <w:tcW w:w="672" w:type="pct"/>
            <w:tcBorders>
              <w:bottom w:val="single" w:sz="4" w:space="0" w:color="auto"/>
            </w:tcBorders>
          </w:tcPr>
          <w:p w14:paraId="6D315FE5" w14:textId="77777777" w:rsidR="00404A86" w:rsidRPr="009D7F5F" w:rsidRDefault="00404A86" w:rsidP="00F913C7">
            <w:pPr>
              <w:spacing w:line="259" w:lineRule="auto"/>
              <w:jc w:val="center"/>
              <w:rPr>
                <w:lang w:val="en-GB"/>
              </w:rPr>
            </w:pPr>
            <w:r w:rsidRPr="009D7F5F">
              <w:t>Ridge</w:t>
            </w:r>
          </w:p>
        </w:tc>
        <w:tc>
          <w:tcPr>
            <w:tcW w:w="671" w:type="pct"/>
            <w:tcBorders>
              <w:bottom w:val="single" w:sz="4" w:space="0" w:color="auto"/>
            </w:tcBorders>
          </w:tcPr>
          <w:p w14:paraId="1A38D4B2" w14:textId="77777777" w:rsidR="00404A86" w:rsidRPr="009D7F5F" w:rsidRDefault="00404A86" w:rsidP="00F913C7">
            <w:pPr>
              <w:spacing w:line="259" w:lineRule="auto"/>
              <w:jc w:val="center"/>
              <w:rPr>
                <w:lang w:val="en-GB"/>
              </w:rPr>
            </w:pPr>
            <w:r w:rsidRPr="009D7F5F">
              <w:t>Ridge</w:t>
            </w:r>
          </w:p>
        </w:tc>
        <w:tc>
          <w:tcPr>
            <w:tcW w:w="671" w:type="pct"/>
            <w:tcBorders>
              <w:bottom w:val="single" w:sz="4" w:space="0" w:color="auto"/>
            </w:tcBorders>
          </w:tcPr>
          <w:p w14:paraId="114477ED" w14:textId="77777777" w:rsidR="00404A86" w:rsidRPr="009D7F5F" w:rsidRDefault="00404A86" w:rsidP="00F913C7">
            <w:pPr>
              <w:spacing w:line="259" w:lineRule="auto"/>
              <w:jc w:val="center"/>
              <w:rPr>
                <w:lang w:val="en-GB"/>
              </w:rPr>
            </w:pPr>
            <w:r w:rsidRPr="009D7F5F">
              <w:t>Ridge</w:t>
            </w:r>
          </w:p>
        </w:tc>
        <w:tc>
          <w:tcPr>
            <w:tcW w:w="669" w:type="pct"/>
            <w:tcBorders>
              <w:bottom w:val="single" w:sz="4" w:space="0" w:color="auto"/>
            </w:tcBorders>
          </w:tcPr>
          <w:p w14:paraId="0AB9689D" w14:textId="77777777" w:rsidR="00404A86" w:rsidRPr="009D7F5F" w:rsidRDefault="00404A86" w:rsidP="00F913C7">
            <w:pPr>
              <w:spacing w:line="259" w:lineRule="auto"/>
              <w:jc w:val="center"/>
              <w:rPr>
                <w:lang w:val="en-GB"/>
              </w:rPr>
            </w:pPr>
            <w:r w:rsidRPr="009D7F5F">
              <w:t>Ridge</w:t>
            </w:r>
          </w:p>
        </w:tc>
      </w:tr>
    </w:tbl>
    <w:p w14:paraId="7653AF0B" w14:textId="77777777" w:rsidR="00404A86" w:rsidRDefault="00404A86" w:rsidP="002E78E2">
      <w:pPr>
        <w:rPr>
          <w:i/>
          <w:sz w:val="22"/>
        </w:rPr>
      </w:pPr>
    </w:p>
    <w:p w14:paraId="798C0878" w14:textId="77777777" w:rsidR="00404A86" w:rsidRPr="009D7F5F" w:rsidRDefault="00404A86" w:rsidP="00404A86">
      <w:r w:rsidRPr="009D7F5F">
        <w:rPr>
          <w:b/>
        </w:rPr>
        <w:t>Table</w:t>
      </w:r>
      <w:r w:rsidRPr="009D7F5F">
        <w:t xml:space="preserve"> </w:t>
      </w:r>
      <w:r w:rsidRPr="009D7F5F">
        <w:rPr>
          <w:b/>
        </w:rPr>
        <w:t xml:space="preserve">3: </w:t>
      </w:r>
      <w:r w:rsidRPr="00F26EA9">
        <w:rPr>
          <w:b/>
        </w:rPr>
        <w:t>Modelling strategy recommendations when the mean incidence of adverse outcome was 50%.</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1519"/>
        <w:gridCol w:w="1519"/>
        <w:gridCol w:w="1242"/>
        <w:gridCol w:w="1240"/>
        <w:gridCol w:w="1240"/>
        <w:gridCol w:w="1237"/>
      </w:tblGrid>
      <w:tr w:rsidR="00404A86" w:rsidRPr="009D7F5F" w14:paraId="1A9EA121" w14:textId="77777777" w:rsidTr="00F913C7">
        <w:trPr>
          <w:jc w:val="center"/>
        </w:trPr>
        <w:tc>
          <w:tcPr>
            <w:tcW w:w="673" w:type="pct"/>
            <w:tcBorders>
              <w:top w:val="single" w:sz="4" w:space="0" w:color="auto"/>
            </w:tcBorders>
          </w:tcPr>
          <w:p w14:paraId="0C2DE72C" w14:textId="77777777" w:rsidR="00404A86" w:rsidRPr="009D7F5F" w:rsidRDefault="00404A86" w:rsidP="00F913C7">
            <w:pPr>
              <w:spacing w:line="259" w:lineRule="auto"/>
              <w:jc w:val="center"/>
              <w:rPr>
                <w:lang w:val="en-GB"/>
              </w:rPr>
            </w:pPr>
            <w:r w:rsidRPr="009D7F5F">
              <w:rPr>
                <w:b/>
              </w:rPr>
              <w:t>σ</w:t>
            </w:r>
          </w:p>
        </w:tc>
        <w:tc>
          <w:tcPr>
            <w:tcW w:w="4327" w:type="pct"/>
            <w:gridSpan w:val="6"/>
            <w:tcBorders>
              <w:top w:val="single" w:sz="4" w:space="0" w:color="auto"/>
            </w:tcBorders>
          </w:tcPr>
          <w:p w14:paraId="580A34F6" w14:textId="77777777" w:rsidR="00404A86" w:rsidRPr="009D7F5F" w:rsidRDefault="00404A86" w:rsidP="00F913C7">
            <w:pPr>
              <w:spacing w:line="259" w:lineRule="auto"/>
              <w:jc w:val="center"/>
              <w:rPr>
                <w:b/>
                <w:i/>
                <w:lang w:val="en-GB"/>
              </w:rPr>
            </w:pPr>
            <w:r w:rsidRPr="009D7F5F">
              <w:rPr>
                <w:b/>
                <w:i/>
              </w:rPr>
              <w:t>n</w:t>
            </w:r>
            <w:r w:rsidRPr="009D7F5F">
              <w:rPr>
                <w:b/>
                <w:i/>
                <w:vertAlign w:val="subscript"/>
              </w:rPr>
              <w:t>train</w:t>
            </w:r>
          </w:p>
        </w:tc>
      </w:tr>
      <w:tr w:rsidR="00404A86" w:rsidRPr="009D7F5F" w14:paraId="63D702DC" w14:textId="77777777" w:rsidTr="00F913C7">
        <w:trPr>
          <w:jc w:val="center"/>
        </w:trPr>
        <w:tc>
          <w:tcPr>
            <w:tcW w:w="673" w:type="pct"/>
            <w:tcBorders>
              <w:bottom w:val="single" w:sz="4" w:space="0" w:color="auto"/>
            </w:tcBorders>
          </w:tcPr>
          <w:p w14:paraId="529827B5" w14:textId="77777777" w:rsidR="00404A86" w:rsidRPr="009D7F5F" w:rsidRDefault="00404A86" w:rsidP="00F913C7">
            <w:pPr>
              <w:spacing w:line="259" w:lineRule="auto"/>
              <w:jc w:val="center"/>
              <w:rPr>
                <w:lang w:val="en-GB"/>
              </w:rPr>
            </w:pPr>
          </w:p>
        </w:tc>
        <w:tc>
          <w:tcPr>
            <w:tcW w:w="822" w:type="pct"/>
            <w:tcBorders>
              <w:bottom w:val="single" w:sz="4" w:space="0" w:color="auto"/>
            </w:tcBorders>
          </w:tcPr>
          <w:p w14:paraId="323837DA" w14:textId="77777777" w:rsidR="00404A86" w:rsidRPr="009D7F5F" w:rsidRDefault="00404A86" w:rsidP="00F913C7">
            <w:pPr>
              <w:spacing w:line="259" w:lineRule="auto"/>
              <w:jc w:val="center"/>
              <w:rPr>
                <w:b/>
                <w:lang w:val="en-GB"/>
              </w:rPr>
            </w:pPr>
            <w:r w:rsidRPr="009D7F5F">
              <w:rPr>
                <w:b/>
              </w:rPr>
              <w:t>150</w:t>
            </w:r>
          </w:p>
        </w:tc>
        <w:tc>
          <w:tcPr>
            <w:tcW w:w="822" w:type="pct"/>
            <w:tcBorders>
              <w:bottom w:val="single" w:sz="4" w:space="0" w:color="auto"/>
            </w:tcBorders>
          </w:tcPr>
          <w:p w14:paraId="31C36BA8" w14:textId="77777777" w:rsidR="00404A86" w:rsidRPr="009D7F5F" w:rsidRDefault="00404A86" w:rsidP="00F913C7">
            <w:pPr>
              <w:spacing w:line="259" w:lineRule="auto"/>
              <w:jc w:val="center"/>
              <w:rPr>
                <w:b/>
                <w:lang w:val="en-GB"/>
              </w:rPr>
            </w:pPr>
            <w:r w:rsidRPr="009D7F5F">
              <w:rPr>
                <w:b/>
              </w:rPr>
              <w:t>250</w:t>
            </w:r>
          </w:p>
        </w:tc>
        <w:tc>
          <w:tcPr>
            <w:tcW w:w="672" w:type="pct"/>
            <w:tcBorders>
              <w:bottom w:val="single" w:sz="4" w:space="0" w:color="auto"/>
            </w:tcBorders>
          </w:tcPr>
          <w:p w14:paraId="3105CE1F" w14:textId="77777777" w:rsidR="00404A86" w:rsidRPr="009D7F5F" w:rsidRDefault="00404A86" w:rsidP="00F913C7">
            <w:pPr>
              <w:spacing w:line="259" w:lineRule="auto"/>
              <w:jc w:val="center"/>
              <w:rPr>
                <w:b/>
                <w:lang w:val="en-GB"/>
              </w:rPr>
            </w:pPr>
            <w:r w:rsidRPr="009D7F5F">
              <w:rPr>
                <w:b/>
              </w:rPr>
              <w:t>500</w:t>
            </w:r>
          </w:p>
        </w:tc>
        <w:tc>
          <w:tcPr>
            <w:tcW w:w="671" w:type="pct"/>
            <w:tcBorders>
              <w:bottom w:val="single" w:sz="4" w:space="0" w:color="auto"/>
            </w:tcBorders>
          </w:tcPr>
          <w:p w14:paraId="46C136AE" w14:textId="77777777" w:rsidR="00404A86" w:rsidRPr="009D7F5F" w:rsidRDefault="00404A86" w:rsidP="00F913C7">
            <w:pPr>
              <w:spacing w:line="259" w:lineRule="auto"/>
              <w:jc w:val="center"/>
              <w:rPr>
                <w:b/>
                <w:lang w:val="en-GB"/>
              </w:rPr>
            </w:pPr>
            <w:r w:rsidRPr="009D7F5F">
              <w:rPr>
                <w:b/>
              </w:rPr>
              <w:t>1000</w:t>
            </w:r>
          </w:p>
        </w:tc>
        <w:tc>
          <w:tcPr>
            <w:tcW w:w="671" w:type="pct"/>
            <w:tcBorders>
              <w:bottom w:val="single" w:sz="4" w:space="0" w:color="auto"/>
            </w:tcBorders>
          </w:tcPr>
          <w:p w14:paraId="7D5B8C9F" w14:textId="77777777" w:rsidR="00404A86" w:rsidRPr="009D7F5F" w:rsidRDefault="00404A86" w:rsidP="00F913C7">
            <w:pPr>
              <w:spacing w:line="259" w:lineRule="auto"/>
              <w:jc w:val="center"/>
              <w:rPr>
                <w:b/>
                <w:lang w:val="en-GB"/>
              </w:rPr>
            </w:pPr>
            <w:r w:rsidRPr="009D7F5F">
              <w:rPr>
                <w:b/>
              </w:rPr>
              <w:t>5000</w:t>
            </w:r>
          </w:p>
        </w:tc>
        <w:tc>
          <w:tcPr>
            <w:tcW w:w="669" w:type="pct"/>
            <w:tcBorders>
              <w:bottom w:val="single" w:sz="4" w:space="0" w:color="auto"/>
            </w:tcBorders>
          </w:tcPr>
          <w:p w14:paraId="3C2EA0AE" w14:textId="77777777" w:rsidR="00404A86" w:rsidRPr="009D7F5F" w:rsidRDefault="00404A86" w:rsidP="00F913C7">
            <w:pPr>
              <w:spacing w:line="259" w:lineRule="auto"/>
              <w:jc w:val="center"/>
              <w:rPr>
                <w:b/>
                <w:lang w:val="en-GB"/>
              </w:rPr>
            </w:pPr>
            <w:r w:rsidRPr="009D7F5F">
              <w:rPr>
                <w:b/>
              </w:rPr>
              <w:t>10000</w:t>
            </w:r>
          </w:p>
        </w:tc>
      </w:tr>
      <w:tr w:rsidR="00404A86" w:rsidRPr="009D7F5F" w14:paraId="567ABCF7" w14:textId="77777777" w:rsidTr="00F913C7">
        <w:trPr>
          <w:jc w:val="center"/>
        </w:trPr>
        <w:tc>
          <w:tcPr>
            <w:tcW w:w="673" w:type="pct"/>
            <w:tcBorders>
              <w:top w:val="single" w:sz="4" w:space="0" w:color="auto"/>
            </w:tcBorders>
          </w:tcPr>
          <w:p w14:paraId="4A958EFC" w14:textId="77777777" w:rsidR="00404A86" w:rsidRPr="009D7F5F" w:rsidRDefault="00404A86" w:rsidP="00F913C7">
            <w:pPr>
              <w:spacing w:line="259" w:lineRule="auto"/>
              <w:jc w:val="center"/>
              <w:rPr>
                <w:lang w:val="en-GB"/>
              </w:rPr>
            </w:pPr>
            <w:r w:rsidRPr="009D7F5F">
              <w:t>0</w:t>
            </w:r>
          </w:p>
        </w:tc>
        <w:tc>
          <w:tcPr>
            <w:tcW w:w="822" w:type="pct"/>
            <w:tcBorders>
              <w:top w:val="single" w:sz="4" w:space="0" w:color="auto"/>
            </w:tcBorders>
          </w:tcPr>
          <w:p w14:paraId="669B23F3" w14:textId="77777777" w:rsidR="00404A86" w:rsidRPr="009D7F5F" w:rsidRDefault="00404A86" w:rsidP="00F913C7">
            <w:pPr>
              <w:spacing w:line="259" w:lineRule="auto"/>
              <w:jc w:val="center"/>
              <w:rPr>
                <w:lang w:val="en-GB"/>
              </w:rPr>
            </w:pPr>
            <w:r w:rsidRPr="009D7F5F">
              <w:t>SR</w:t>
            </w:r>
          </w:p>
        </w:tc>
        <w:tc>
          <w:tcPr>
            <w:tcW w:w="822" w:type="pct"/>
            <w:tcBorders>
              <w:top w:val="single" w:sz="4" w:space="0" w:color="auto"/>
            </w:tcBorders>
          </w:tcPr>
          <w:p w14:paraId="68BF0947" w14:textId="77777777" w:rsidR="00404A86" w:rsidRPr="009D7F5F" w:rsidRDefault="00404A86" w:rsidP="00F913C7">
            <w:pPr>
              <w:spacing w:line="259" w:lineRule="auto"/>
              <w:jc w:val="center"/>
              <w:rPr>
                <w:lang w:val="en-GB"/>
              </w:rPr>
            </w:pPr>
            <w:r w:rsidRPr="009D7F5F">
              <w:t>SR</w:t>
            </w:r>
          </w:p>
        </w:tc>
        <w:tc>
          <w:tcPr>
            <w:tcW w:w="672" w:type="pct"/>
            <w:tcBorders>
              <w:top w:val="single" w:sz="4" w:space="0" w:color="auto"/>
            </w:tcBorders>
          </w:tcPr>
          <w:p w14:paraId="03D3C722" w14:textId="77777777" w:rsidR="00404A86" w:rsidRPr="009D7F5F" w:rsidRDefault="00404A86" w:rsidP="00F913C7">
            <w:pPr>
              <w:spacing w:line="259" w:lineRule="auto"/>
              <w:jc w:val="center"/>
              <w:rPr>
                <w:lang w:val="en-GB"/>
              </w:rPr>
            </w:pPr>
            <w:r w:rsidRPr="009D7F5F">
              <w:t xml:space="preserve">Either </w:t>
            </w:r>
          </w:p>
        </w:tc>
        <w:tc>
          <w:tcPr>
            <w:tcW w:w="671" w:type="pct"/>
            <w:tcBorders>
              <w:top w:val="single" w:sz="4" w:space="0" w:color="auto"/>
            </w:tcBorders>
          </w:tcPr>
          <w:p w14:paraId="6E8B0AC3" w14:textId="77777777" w:rsidR="00404A86" w:rsidRPr="009D7F5F" w:rsidRDefault="00404A86" w:rsidP="00F913C7">
            <w:pPr>
              <w:spacing w:line="259" w:lineRule="auto"/>
              <w:jc w:val="center"/>
              <w:rPr>
                <w:lang w:val="en-GB"/>
              </w:rPr>
            </w:pPr>
            <w:r w:rsidRPr="009D7F5F">
              <w:t>Either</w:t>
            </w:r>
          </w:p>
        </w:tc>
        <w:tc>
          <w:tcPr>
            <w:tcW w:w="671" w:type="pct"/>
            <w:tcBorders>
              <w:top w:val="single" w:sz="4" w:space="0" w:color="auto"/>
            </w:tcBorders>
          </w:tcPr>
          <w:p w14:paraId="6728C982" w14:textId="77777777" w:rsidR="00404A86" w:rsidRPr="009D7F5F" w:rsidRDefault="00404A86" w:rsidP="00F913C7">
            <w:pPr>
              <w:spacing w:line="259" w:lineRule="auto"/>
              <w:jc w:val="center"/>
              <w:rPr>
                <w:lang w:val="en-GB"/>
              </w:rPr>
            </w:pPr>
            <w:r w:rsidRPr="009D7F5F">
              <w:t>Either</w:t>
            </w:r>
          </w:p>
        </w:tc>
        <w:tc>
          <w:tcPr>
            <w:tcW w:w="669" w:type="pct"/>
            <w:tcBorders>
              <w:top w:val="single" w:sz="4" w:space="0" w:color="auto"/>
            </w:tcBorders>
          </w:tcPr>
          <w:p w14:paraId="22C76502" w14:textId="77777777" w:rsidR="00404A86" w:rsidRPr="009D7F5F" w:rsidRDefault="00404A86" w:rsidP="00F913C7">
            <w:pPr>
              <w:spacing w:line="259" w:lineRule="auto"/>
              <w:jc w:val="center"/>
              <w:rPr>
                <w:lang w:val="en-GB"/>
              </w:rPr>
            </w:pPr>
            <w:r w:rsidRPr="009D7F5F">
              <w:t>Either</w:t>
            </w:r>
          </w:p>
        </w:tc>
      </w:tr>
      <w:tr w:rsidR="00404A86" w:rsidRPr="009D7F5F" w14:paraId="2EC50463" w14:textId="77777777" w:rsidTr="00F913C7">
        <w:trPr>
          <w:jc w:val="center"/>
        </w:trPr>
        <w:tc>
          <w:tcPr>
            <w:tcW w:w="673" w:type="pct"/>
          </w:tcPr>
          <w:p w14:paraId="3DB03542" w14:textId="77777777" w:rsidR="00404A86" w:rsidRPr="009D7F5F" w:rsidRDefault="00404A86" w:rsidP="00F913C7">
            <w:pPr>
              <w:spacing w:line="259" w:lineRule="auto"/>
              <w:jc w:val="center"/>
              <w:rPr>
                <w:lang w:val="en-GB"/>
              </w:rPr>
            </w:pPr>
            <w:r w:rsidRPr="009D7F5F">
              <w:t>0.125</w:t>
            </w:r>
          </w:p>
        </w:tc>
        <w:tc>
          <w:tcPr>
            <w:tcW w:w="822" w:type="pct"/>
          </w:tcPr>
          <w:p w14:paraId="2BF8038A" w14:textId="77777777" w:rsidR="00404A86" w:rsidRPr="009D7F5F" w:rsidRDefault="00404A86" w:rsidP="00F913C7">
            <w:pPr>
              <w:spacing w:line="259" w:lineRule="auto"/>
              <w:jc w:val="center"/>
              <w:rPr>
                <w:lang w:val="en-GB"/>
              </w:rPr>
            </w:pPr>
            <w:r w:rsidRPr="009D7F5F">
              <w:t>SR</w:t>
            </w:r>
          </w:p>
        </w:tc>
        <w:tc>
          <w:tcPr>
            <w:tcW w:w="822" w:type="pct"/>
          </w:tcPr>
          <w:p w14:paraId="64AC8173" w14:textId="77777777" w:rsidR="00404A86" w:rsidRPr="009D7F5F" w:rsidRDefault="00404A86" w:rsidP="00F913C7">
            <w:pPr>
              <w:spacing w:line="259" w:lineRule="auto"/>
              <w:jc w:val="center"/>
              <w:rPr>
                <w:lang w:val="en-GB"/>
              </w:rPr>
            </w:pPr>
            <w:r w:rsidRPr="009D7F5F">
              <w:t>SR</w:t>
            </w:r>
          </w:p>
        </w:tc>
        <w:tc>
          <w:tcPr>
            <w:tcW w:w="672" w:type="pct"/>
          </w:tcPr>
          <w:p w14:paraId="48EEFB15" w14:textId="77777777" w:rsidR="00404A86" w:rsidRPr="009D7F5F" w:rsidRDefault="00404A86" w:rsidP="00F913C7">
            <w:pPr>
              <w:spacing w:line="259" w:lineRule="auto"/>
              <w:jc w:val="center"/>
              <w:rPr>
                <w:lang w:val="en-GB"/>
              </w:rPr>
            </w:pPr>
            <w:r w:rsidRPr="009D7F5F">
              <w:t>Either</w:t>
            </w:r>
          </w:p>
        </w:tc>
        <w:tc>
          <w:tcPr>
            <w:tcW w:w="671" w:type="pct"/>
          </w:tcPr>
          <w:p w14:paraId="13233A76" w14:textId="77777777" w:rsidR="00404A86" w:rsidRPr="009D7F5F" w:rsidRDefault="00404A86" w:rsidP="00F913C7">
            <w:pPr>
              <w:spacing w:line="259" w:lineRule="auto"/>
              <w:jc w:val="center"/>
              <w:rPr>
                <w:lang w:val="en-GB"/>
              </w:rPr>
            </w:pPr>
            <w:r w:rsidRPr="009D7F5F">
              <w:t>Either</w:t>
            </w:r>
          </w:p>
        </w:tc>
        <w:tc>
          <w:tcPr>
            <w:tcW w:w="671" w:type="pct"/>
          </w:tcPr>
          <w:p w14:paraId="49866E93" w14:textId="77777777" w:rsidR="00404A86" w:rsidRPr="009D7F5F" w:rsidRDefault="00404A86" w:rsidP="00F913C7">
            <w:pPr>
              <w:spacing w:line="259" w:lineRule="auto"/>
              <w:jc w:val="center"/>
              <w:rPr>
                <w:lang w:val="en-GB"/>
              </w:rPr>
            </w:pPr>
            <w:r w:rsidRPr="009D7F5F">
              <w:t>Either</w:t>
            </w:r>
          </w:p>
        </w:tc>
        <w:tc>
          <w:tcPr>
            <w:tcW w:w="669" w:type="pct"/>
          </w:tcPr>
          <w:p w14:paraId="454CCF99" w14:textId="77777777" w:rsidR="00404A86" w:rsidRPr="009D7F5F" w:rsidRDefault="00404A86" w:rsidP="00F913C7">
            <w:pPr>
              <w:spacing w:line="259" w:lineRule="auto"/>
              <w:jc w:val="center"/>
              <w:rPr>
                <w:lang w:val="en-GB"/>
              </w:rPr>
            </w:pPr>
            <w:r w:rsidRPr="009D7F5F">
              <w:t>Either</w:t>
            </w:r>
          </w:p>
        </w:tc>
      </w:tr>
      <w:tr w:rsidR="00404A86" w:rsidRPr="009D7F5F" w14:paraId="5706C575" w14:textId="77777777" w:rsidTr="00F913C7">
        <w:trPr>
          <w:jc w:val="center"/>
        </w:trPr>
        <w:tc>
          <w:tcPr>
            <w:tcW w:w="673" w:type="pct"/>
          </w:tcPr>
          <w:p w14:paraId="574621B4" w14:textId="77777777" w:rsidR="00404A86" w:rsidRPr="009D7F5F" w:rsidRDefault="00404A86" w:rsidP="00F913C7">
            <w:pPr>
              <w:spacing w:line="259" w:lineRule="auto"/>
              <w:jc w:val="center"/>
              <w:rPr>
                <w:lang w:val="en-GB"/>
              </w:rPr>
            </w:pPr>
            <w:r w:rsidRPr="009D7F5F">
              <w:t>0.25</w:t>
            </w:r>
          </w:p>
        </w:tc>
        <w:tc>
          <w:tcPr>
            <w:tcW w:w="822" w:type="pct"/>
          </w:tcPr>
          <w:p w14:paraId="3887EB21" w14:textId="77777777" w:rsidR="00404A86" w:rsidRPr="009D7F5F" w:rsidRDefault="00404A86" w:rsidP="00F913C7">
            <w:pPr>
              <w:spacing w:line="259" w:lineRule="auto"/>
              <w:jc w:val="center"/>
              <w:rPr>
                <w:lang w:val="en-GB"/>
              </w:rPr>
            </w:pPr>
            <w:r w:rsidRPr="009D7F5F">
              <w:t>SR</w:t>
            </w:r>
          </w:p>
        </w:tc>
        <w:tc>
          <w:tcPr>
            <w:tcW w:w="822" w:type="pct"/>
          </w:tcPr>
          <w:p w14:paraId="51542AAD" w14:textId="77777777" w:rsidR="00404A86" w:rsidRPr="009D7F5F" w:rsidRDefault="00404A86" w:rsidP="00F913C7">
            <w:pPr>
              <w:spacing w:line="259" w:lineRule="auto"/>
              <w:jc w:val="center"/>
              <w:rPr>
                <w:lang w:val="en-GB"/>
              </w:rPr>
            </w:pPr>
            <w:r w:rsidRPr="009D7F5F">
              <w:t>SR</w:t>
            </w:r>
          </w:p>
        </w:tc>
        <w:tc>
          <w:tcPr>
            <w:tcW w:w="672" w:type="pct"/>
          </w:tcPr>
          <w:p w14:paraId="24F618F3" w14:textId="77777777" w:rsidR="00404A86" w:rsidRPr="009D7F5F" w:rsidRDefault="00404A86" w:rsidP="00F913C7">
            <w:pPr>
              <w:spacing w:line="259" w:lineRule="auto"/>
              <w:jc w:val="center"/>
              <w:rPr>
                <w:lang w:val="en-GB"/>
              </w:rPr>
            </w:pPr>
            <w:r w:rsidRPr="009D7F5F">
              <w:t>Either</w:t>
            </w:r>
          </w:p>
        </w:tc>
        <w:tc>
          <w:tcPr>
            <w:tcW w:w="671" w:type="pct"/>
          </w:tcPr>
          <w:p w14:paraId="1027DD8D" w14:textId="77777777" w:rsidR="00404A86" w:rsidRPr="009D7F5F" w:rsidRDefault="00404A86" w:rsidP="00F913C7">
            <w:pPr>
              <w:spacing w:line="259" w:lineRule="auto"/>
              <w:jc w:val="center"/>
              <w:rPr>
                <w:lang w:val="en-GB"/>
              </w:rPr>
            </w:pPr>
            <w:r w:rsidRPr="009D7F5F">
              <w:t>Either</w:t>
            </w:r>
          </w:p>
        </w:tc>
        <w:tc>
          <w:tcPr>
            <w:tcW w:w="671" w:type="pct"/>
          </w:tcPr>
          <w:p w14:paraId="646B1155" w14:textId="77777777" w:rsidR="00404A86" w:rsidRPr="009D7F5F" w:rsidRDefault="00404A86" w:rsidP="00F913C7">
            <w:pPr>
              <w:spacing w:line="259" w:lineRule="auto"/>
              <w:jc w:val="center"/>
              <w:rPr>
                <w:lang w:val="en-GB"/>
              </w:rPr>
            </w:pPr>
            <w:r w:rsidRPr="009D7F5F">
              <w:t>Either</w:t>
            </w:r>
          </w:p>
        </w:tc>
        <w:tc>
          <w:tcPr>
            <w:tcW w:w="669" w:type="pct"/>
          </w:tcPr>
          <w:p w14:paraId="7A84E309" w14:textId="77777777" w:rsidR="00404A86" w:rsidRPr="009D7F5F" w:rsidRDefault="00404A86" w:rsidP="00F913C7">
            <w:pPr>
              <w:spacing w:line="259" w:lineRule="auto"/>
              <w:jc w:val="center"/>
              <w:rPr>
                <w:lang w:val="en-GB"/>
              </w:rPr>
            </w:pPr>
            <w:r w:rsidRPr="009D7F5F">
              <w:t>Either</w:t>
            </w:r>
          </w:p>
        </w:tc>
      </w:tr>
      <w:tr w:rsidR="00404A86" w:rsidRPr="009D7F5F" w14:paraId="0CF3043F" w14:textId="77777777" w:rsidTr="00F913C7">
        <w:trPr>
          <w:jc w:val="center"/>
        </w:trPr>
        <w:tc>
          <w:tcPr>
            <w:tcW w:w="673" w:type="pct"/>
          </w:tcPr>
          <w:p w14:paraId="39D1F6A4" w14:textId="77777777" w:rsidR="00404A86" w:rsidRPr="009D7F5F" w:rsidRDefault="00404A86" w:rsidP="00F913C7">
            <w:pPr>
              <w:spacing w:line="259" w:lineRule="auto"/>
              <w:jc w:val="center"/>
              <w:rPr>
                <w:lang w:val="en-GB"/>
              </w:rPr>
            </w:pPr>
            <w:r w:rsidRPr="009D7F5F">
              <w:t>0.375</w:t>
            </w:r>
          </w:p>
        </w:tc>
        <w:tc>
          <w:tcPr>
            <w:tcW w:w="822" w:type="pct"/>
          </w:tcPr>
          <w:p w14:paraId="46EFC2F3" w14:textId="77777777" w:rsidR="00404A86" w:rsidRPr="009D7F5F" w:rsidRDefault="00404A86" w:rsidP="00F913C7">
            <w:pPr>
              <w:spacing w:line="259" w:lineRule="auto"/>
              <w:jc w:val="center"/>
              <w:rPr>
                <w:lang w:val="en-GB"/>
              </w:rPr>
            </w:pPr>
            <w:r w:rsidRPr="009D7F5F">
              <w:t>SR</w:t>
            </w:r>
          </w:p>
        </w:tc>
        <w:tc>
          <w:tcPr>
            <w:tcW w:w="822" w:type="pct"/>
          </w:tcPr>
          <w:p w14:paraId="7716C827" w14:textId="77777777" w:rsidR="00404A86" w:rsidRPr="009D7F5F" w:rsidRDefault="00404A86" w:rsidP="00F913C7">
            <w:pPr>
              <w:spacing w:line="259" w:lineRule="auto"/>
              <w:jc w:val="center"/>
              <w:rPr>
                <w:lang w:val="en-GB"/>
              </w:rPr>
            </w:pPr>
            <w:r w:rsidRPr="009D7F5F">
              <w:t>SR</w:t>
            </w:r>
          </w:p>
        </w:tc>
        <w:tc>
          <w:tcPr>
            <w:tcW w:w="672" w:type="pct"/>
          </w:tcPr>
          <w:p w14:paraId="4009853E" w14:textId="77777777" w:rsidR="00404A86" w:rsidRPr="009D7F5F" w:rsidRDefault="00404A86" w:rsidP="00F913C7">
            <w:pPr>
              <w:spacing w:line="259" w:lineRule="auto"/>
              <w:jc w:val="center"/>
              <w:rPr>
                <w:lang w:val="en-GB"/>
              </w:rPr>
            </w:pPr>
            <w:r w:rsidRPr="009D7F5F">
              <w:t>Either</w:t>
            </w:r>
          </w:p>
        </w:tc>
        <w:tc>
          <w:tcPr>
            <w:tcW w:w="671" w:type="pct"/>
          </w:tcPr>
          <w:p w14:paraId="484965C7" w14:textId="77777777" w:rsidR="00404A86" w:rsidRPr="009D7F5F" w:rsidRDefault="00404A86" w:rsidP="00F913C7">
            <w:pPr>
              <w:spacing w:line="259" w:lineRule="auto"/>
              <w:jc w:val="center"/>
              <w:rPr>
                <w:lang w:val="en-GB"/>
              </w:rPr>
            </w:pPr>
            <w:r w:rsidRPr="009D7F5F">
              <w:t>Ridge</w:t>
            </w:r>
          </w:p>
        </w:tc>
        <w:tc>
          <w:tcPr>
            <w:tcW w:w="671" w:type="pct"/>
          </w:tcPr>
          <w:p w14:paraId="42D25D5B" w14:textId="77777777" w:rsidR="00404A86" w:rsidRPr="009D7F5F" w:rsidRDefault="00404A86" w:rsidP="00F913C7">
            <w:pPr>
              <w:spacing w:line="259" w:lineRule="auto"/>
              <w:jc w:val="center"/>
              <w:rPr>
                <w:lang w:val="en-GB"/>
              </w:rPr>
            </w:pPr>
            <w:r w:rsidRPr="009D7F5F">
              <w:t>Ridge</w:t>
            </w:r>
          </w:p>
        </w:tc>
        <w:tc>
          <w:tcPr>
            <w:tcW w:w="669" w:type="pct"/>
          </w:tcPr>
          <w:p w14:paraId="1B5452A3" w14:textId="77777777" w:rsidR="00404A86" w:rsidRPr="009D7F5F" w:rsidRDefault="00404A86" w:rsidP="00F913C7">
            <w:pPr>
              <w:spacing w:line="259" w:lineRule="auto"/>
              <w:jc w:val="center"/>
              <w:rPr>
                <w:lang w:val="en-GB"/>
              </w:rPr>
            </w:pPr>
            <w:r w:rsidRPr="009D7F5F">
              <w:t>Ridge</w:t>
            </w:r>
          </w:p>
        </w:tc>
      </w:tr>
      <w:tr w:rsidR="00404A86" w:rsidRPr="009D7F5F" w14:paraId="031CCECE" w14:textId="77777777" w:rsidTr="00F913C7">
        <w:trPr>
          <w:jc w:val="center"/>
        </w:trPr>
        <w:tc>
          <w:tcPr>
            <w:tcW w:w="673" w:type="pct"/>
          </w:tcPr>
          <w:p w14:paraId="61F68DDF" w14:textId="77777777" w:rsidR="00404A86" w:rsidRPr="009D7F5F" w:rsidRDefault="00404A86" w:rsidP="00F913C7">
            <w:pPr>
              <w:spacing w:line="259" w:lineRule="auto"/>
              <w:jc w:val="center"/>
              <w:rPr>
                <w:lang w:val="en-GB"/>
              </w:rPr>
            </w:pPr>
            <w:r w:rsidRPr="009D7F5F">
              <w:t>0.5</w:t>
            </w:r>
          </w:p>
        </w:tc>
        <w:tc>
          <w:tcPr>
            <w:tcW w:w="822" w:type="pct"/>
          </w:tcPr>
          <w:p w14:paraId="4AAD8B90" w14:textId="77777777" w:rsidR="00404A86" w:rsidRPr="009D7F5F" w:rsidRDefault="00404A86" w:rsidP="00F913C7">
            <w:pPr>
              <w:spacing w:line="259" w:lineRule="auto"/>
              <w:jc w:val="center"/>
              <w:rPr>
                <w:lang w:val="en-GB"/>
              </w:rPr>
            </w:pPr>
            <w:r w:rsidRPr="009D7F5F">
              <w:t>SR</w:t>
            </w:r>
          </w:p>
        </w:tc>
        <w:tc>
          <w:tcPr>
            <w:tcW w:w="822" w:type="pct"/>
          </w:tcPr>
          <w:p w14:paraId="7ECFEE32" w14:textId="77777777" w:rsidR="00404A86" w:rsidRPr="009D7F5F" w:rsidRDefault="00404A86" w:rsidP="00F913C7">
            <w:pPr>
              <w:spacing w:line="259" w:lineRule="auto"/>
              <w:jc w:val="center"/>
              <w:rPr>
                <w:lang w:val="en-GB"/>
              </w:rPr>
            </w:pPr>
            <w:r w:rsidRPr="009D7F5F">
              <w:t>Ridge</w:t>
            </w:r>
          </w:p>
        </w:tc>
        <w:tc>
          <w:tcPr>
            <w:tcW w:w="672" w:type="pct"/>
          </w:tcPr>
          <w:p w14:paraId="09F20108" w14:textId="77777777" w:rsidR="00404A86" w:rsidRPr="009D7F5F" w:rsidRDefault="00404A86" w:rsidP="00F913C7">
            <w:pPr>
              <w:spacing w:line="259" w:lineRule="auto"/>
              <w:jc w:val="center"/>
              <w:rPr>
                <w:lang w:val="en-GB"/>
              </w:rPr>
            </w:pPr>
            <w:r w:rsidRPr="009D7F5F">
              <w:t>Ridge</w:t>
            </w:r>
          </w:p>
        </w:tc>
        <w:tc>
          <w:tcPr>
            <w:tcW w:w="671" w:type="pct"/>
          </w:tcPr>
          <w:p w14:paraId="241E55F7" w14:textId="77777777" w:rsidR="00404A86" w:rsidRPr="009D7F5F" w:rsidRDefault="00404A86" w:rsidP="00F913C7">
            <w:pPr>
              <w:spacing w:line="259" w:lineRule="auto"/>
              <w:jc w:val="center"/>
              <w:rPr>
                <w:lang w:val="en-GB"/>
              </w:rPr>
            </w:pPr>
            <w:r w:rsidRPr="009D7F5F">
              <w:t>Ridge</w:t>
            </w:r>
          </w:p>
        </w:tc>
        <w:tc>
          <w:tcPr>
            <w:tcW w:w="671" w:type="pct"/>
          </w:tcPr>
          <w:p w14:paraId="3AD4B834" w14:textId="77777777" w:rsidR="00404A86" w:rsidRPr="009D7F5F" w:rsidRDefault="00404A86" w:rsidP="00F913C7">
            <w:pPr>
              <w:spacing w:line="259" w:lineRule="auto"/>
              <w:jc w:val="center"/>
              <w:rPr>
                <w:lang w:val="en-GB"/>
              </w:rPr>
            </w:pPr>
            <w:r w:rsidRPr="009D7F5F">
              <w:t>Ridge</w:t>
            </w:r>
          </w:p>
        </w:tc>
        <w:tc>
          <w:tcPr>
            <w:tcW w:w="669" w:type="pct"/>
          </w:tcPr>
          <w:p w14:paraId="0DAB63B5" w14:textId="77777777" w:rsidR="00404A86" w:rsidRPr="009D7F5F" w:rsidRDefault="00404A86" w:rsidP="00F913C7">
            <w:pPr>
              <w:spacing w:line="259" w:lineRule="auto"/>
              <w:jc w:val="center"/>
              <w:rPr>
                <w:lang w:val="en-GB"/>
              </w:rPr>
            </w:pPr>
            <w:r w:rsidRPr="009D7F5F">
              <w:t>Ridge</w:t>
            </w:r>
          </w:p>
        </w:tc>
      </w:tr>
      <w:tr w:rsidR="00404A86" w:rsidRPr="009D7F5F" w14:paraId="5C4B2CE9" w14:textId="77777777" w:rsidTr="00F913C7">
        <w:trPr>
          <w:jc w:val="center"/>
        </w:trPr>
        <w:tc>
          <w:tcPr>
            <w:tcW w:w="673" w:type="pct"/>
          </w:tcPr>
          <w:p w14:paraId="03366338" w14:textId="77777777" w:rsidR="00404A86" w:rsidRPr="009D7F5F" w:rsidRDefault="00404A86" w:rsidP="00F913C7">
            <w:pPr>
              <w:spacing w:line="259" w:lineRule="auto"/>
              <w:jc w:val="center"/>
              <w:rPr>
                <w:lang w:val="en-GB"/>
              </w:rPr>
            </w:pPr>
            <w:r w:rsidRPr="009D7F5F">
              <w:t>0.75</w:t>
            </w:r>
          </w:p>
        </w:tc>
        <w:tc>
          <w:tcPr>
            <w:tcW w:w="822" w:type="pct"/>
          </w:tcPr>
          <w:p w14:paraId="58891F88" w14:textId="77777777" w:rsidR="00404A86" w:rsidRPr="009D7F5F" w:rsidRDefault="00404A86" w:rsidP="00F913C7">
            <w:pPr>
              <w:spacing w:line="259" w:lineRule="auto"/>
              <w:jc w:val="center"/>
              <w:rPr>
                <w:lang w:val="en-GB"/>
              </w:rPr>
            </w:pPr>
            <w:r w:rsidRPr="009D7F5F">
              <w:t>Ridge</w:t>
            </w:r>
          </w:p>
        </w:tc>
        <w:tc>
          <w:tcPr>
            <w:tcW w:w="822" w:type="pct"/>
          </w:tcPr>
          <w:p w14:paraId="1F8B7A1F" w14:textId="77777777" w:rsidR="00404A86" w:rsidRPr="009D7F5F" w:rsidRDefault="00404A86" w:rsidP="00F913C7">
            <w:pPr>
              <w:spacing w:line="259" w:lineRule="auto"/>
              <w:jc w:val="center"/>
              <w:rPr>
                <w:lang w:val="en-GB"/>
              </w:rPr>
            </w:pPr>
            <w:r w:rsidRPr="009D7F5F">
              <w:t>Ridge</w:t>
            </w:r>
          </w:p>
        </w:tc>
        <w:tc>
          <w:tcPr>
            <w:tcW w:w="672" w:type="pct"/>
          </w:tcPr>
          <w:p w14:paraId="44D8C1AA" w14:textId="77777777" w:rsidR="00404A86" w:rsidRPr="009D7F5F" w:rsidRDefault="00404A86" w:rsidP="00F913C7">
            <w:pPr>
              <w:spacing w:line="259" w:lineRule="auto"/>
              <w:jc w:val="center"/>
              <w:rPr>
                <w:lang w:val="en-GB"/>
              </w:rPr>
            </w:pPr>
            <w:r w:rsidRPr="009D7F5F">
              <w:t>Ridge</w:t>
            </w:r>
          </w:p>
        </w:tc>
        <w:tc>
          <w:tcPr>
            <w:tcW w:w="671" w:type="pct"/>
          </w:tcPr>
          <w:p w14:paraId="4A8A7EC2" w14:textId="77777777" w:rsidR="00404A86" w:rsidRPr="009D7F5F" w:rsidRDefault="00404A86" w:rsidP="00F913C7">
            <w:pPr>
              <w:spacing w:line="259" w:lineRule="auto"/>
              <w:jc w:val="center"/>
              <w:rPr>
                <w:lang w:val="en-GB"/>
              </w:rPr>
            </w:pPr>
            <w:r w:rsidRPr="009D7F5F">
              <w:t>Ridge</w:t>
            </w:r>
          </w:p>
        </w:tc>
        <w:tc>
          <w:tcPr>
            <w:tcW w:w="671" w:type="pct"/>
          </w:tcPr>
          <w:p w14:paraId="3E2DB6D0" w14:textId="77777777" w:rsidR="00404A86" w:rsidRPr="009D7F5F" w:rsidRDefault="00404A86" w:rsidP="00F913C7">
            <w:pPr>
              <w:spacing w:line="259" w:lineRule="auto"/>
              <w:jc w:val="center"/>
              <w:rPr>
                <w:lang w:val="en-GB"/>
              </w:rPr>
            </w:pPr>
            <w:r w:rsidRPr="009D7F5F">
              <w:t>Ridge</w:t>
            </w:r>
          </w:p>
        </w:tc>
        <w:tc>
          <w:tcPr>
            <w:tcW w:w="669" w:type="pct"/>
          </w:tcPr>
          <w:p w14:paraId="7ACB1756" w14:textId="77777777" w:rsidR="00404A86" w:rsidRPr="009D7F5F" w:rsidRDefault="00404A86" w:rsidP="00F913C7">
            <w:pPr>
              <w:spacing w:line="259" w:lineRule="auto"/>
              <w:jc w:val="center"/>
              <w:rPr>
                <w:lang w:val="en-GB"/>
              </w:rPr>
            </w:pPr>
            <w:r w:rsidRPr="009D7F5F">
              <w:t>Ridge</w:t>
            </w:r>
          </w:p>
        </w:tc>
      </w:tr>
      <w:tr w:rsidR="00404A86" w:rsidRPr="009D7F5F" w14:paraId="6E1B443D" w14:textId="77777777" w:rsidTr="00F913C7">
        <w:trPr>
          <w:jc w:val="center"/>
        </w:trPr>
        <w:tc>
          <w:tcPr>
            <w:tcW w:w="673" w:type="pct"/>
            <w:tcBorders>
              <w:bottom w:val="single" w:sz="4" w:space="0" w:color="auto"/>
            </w:tcBorders>
          </w:tcPr>
          <w:p w14:paraId="4B06CB6C" w14:textId="77777777" w:rsidR="00404A86" w:rsidRPr="009D7F5F" w:rsidRDefault="00404A86" w:rsidP="00F913C7">
            <w:pPr>
              <w:spacing w:line="259" w:lineRule="auto"/>
              <w:jc w:val="center"/>
              <w:rPr>
                <w:lang w:val="en-GB"/>
              </w:rPr>
            </w:pPr>
            <w:r w:rsidRPr="009D7F5F">
              <w:t>1.00</w:t>
            </w:r>
          </w:p>
        </w:tc>
        <w:tc>
          <w:tcPr>
            <w:tcW w:w="822" w:type="pct"/>
            <w:tcBorders>
              <w:bottom w:val="single" w:sz="4" w:space="0" w:color="auto"/>
            </w:tcBorders>
          </w:tcPr>
          <w:p w14:paraId="5EB6D3D6" w14:textId="77777777" w:rsidR="00404A86" w:rsidRPr="009D7F5F" w:rsidRDefault="00404A86" w:rsidP="00F913C7">
            <w:pPr>
              <w:spacing w:line="259" w:lineRule="auto"/>
              <w:jc w:val="center"/>
              <w:rPr>
                <w:lang w:val="en-GB"/>
              </w:rPr>
            </w:pPr>
            <w:r w:rsidRPr="009D7F5F">
              <w:t>Ridge</w:t>
            </w:r>
          </w:p>
        </w:tc>
        <w:tc>
          <w:tcPr>
            <w:tcW w:w="822" w:type="pct"/>
            <w:tcBorders>
              <w:bottom w:val="single" w:sz="4" w:space="0" w:color="auto"/>
            </w:tcBorders>
          </w:tcPr>
          <w:p w14:paraId="26E99E46" w14:textId="77777777" w:rsidR="00404A86" w:rsidRPr="009D7F5F" w:rsidRDefault="00404A86" w:rsidP="00F913C7">
            <w:pPr>
              <w:spacing w:line="259" w:lineRule="auto"/>
              <w:jc w:val="center"/>
              <w:rPr>
                <w:lang w:val="en-GB"/>
              </w:rPr>
            </w:pPr>
            <w:r w:rsidRPr="009D7F5F">
              <w:t>Ridge</w:t>
            </w:r>
          </w:p>
        </w:tc>
        <w:tc>
          <w:tcPr>
            <w:tcW w:w="672" w:type="pct"/>
            <w:tcBorders>
              <w:bottom w:val="single" w:sz="4" w:space="0" w:color="auto"/>
            </w:tcBorders>
          </w:tcPr>
          <w:p w14:paraId="6B699BA0" w14:textId="77777777" w:rsidR="00404A86" w:rsidRPr="009D7F5F" w:rsidRDefault="00404A86" w:rsidP="00F913C7">
            <w:pPr>
              <w:spacing w:line="259" w:lineRule="auto"/>
              <w:jc w:val="center"/>
              <w:rPr>
                <w:lang w:val="en-GB"/>
              </w:rPr>
            </w:pPr>
            <w:r w:rsidRPr="009D7F5F">
              <w:t>Ridge</w:t>
            </w:r>
          </w:p>
        </w:tc>
        <w:tc>
          <w:tcPr>
            <w:tcW w:w="671" w:type="pct"/>
            <w:tcBorders>
              <w:bottom w:val="single" w:sz="4" w:space="0" w:color="auto"/>
            </w:tcBorders>
          </w:tcPr>
          <w:p w14:paraId="4D842BCE" w14:textId="77777777" w:rsidR="00404A86" w:rsidRPr="009D7F5F" w:rsidRDefault="00404A86" w:rsidP="00F913C7">
            <w:pPr>
              <w:spacing w:line="259" w:lineRule="auto"/>
              <w:jc w:val="center"/>
              <w:rPr>
                <w:lang w:val="en-GB"/>
              </w:rPr>
            </w:pPr>
            <w:r w:rsidRPr="009D7F5F">
              <w:t>Ridge</w:t>
            </w:r>
          </w:p>
        </w:tc>
        <w:tc>
          <w:tcPr>
            <w:tcW w:w="671" w:type="pct"/>
            <w:tcBorders>
              <w:bottom w:val="single" w:sz="4" w:space="0" w:color="auto"/>
            </w:tcBorders>
          </w:tcPr>
          <w:p w14:paraId="62916037" w14:textId="77777777" w:rsidR="00404A86" w:rsidRPr="009D7F5F" w:rsidRDefault="00404A86" w:rsidP="00F913C7">
            <w:pPr>
              <w:spacing w:line="259" w:lineRule="auto"/>
              <w:jc w:val="center"/>
              <w:rPr>
                <w:lang w:val="en-GB"/>
              </w:rPr>
            </w:pPr>
            <w:r w:rsidRPr="009D7F5F">
              <w:t>Ridge</w:t>
            </w:r>
          </w:p>
        </w:tc>
        <w:tc>
          <w:tcPr>
            <w:tcW w:w="669" w:type="pct"/>
            <w:tcBorders>
              <w:bottom w:val="single" w:sz="4" w:space="0" w:color="auto"/>
            </w:tcBorders>
          </w:tcPr>
          <w:p w14:paraId="7E250AC6" w14:textId="77777777" w:rsidR="00404A86" w:rsidRPr="009D7F5F" w:rsidRDefault="00404A86" w:rsidP="00F913C7">
            <w:pPr>
              <w:spacing w:line="259" w:lineRule="auto"/>
              <w:jc w:val="center"/>
              <w:rPr>
                <w:lang w:val="en-GB"/>
              </w:rPr>
            </w:pPr>
            <w:r w:rsidRPr="009D7F5F">
              <w:t>Ridge</w:t>
            </w:r>
          </w:p>
        </w:tc>
      </w:tr>
    </w:tbl>
    <w:p w14:paraId="2715D12C" w14:textId="77777777" w:rsidR="00404A86" w:rsidRDefault="00404A86" w:rsidP="00404A86"/>
    <w:p w14:paraId="659949C1" w14:textId="77777777" w:rsidR="00FD6C28" w:rsidRPr="009D7F5F" w:rsidRDefault="00FD6C28" w:rsidP="00FD6C28">
      <w:pPr>
        <w:pStyle w:val="Heading1"/>
      </w:pPr>
      <w:r w:rsidRPr="009D7F5F">
        <w:t>List of Abbreviations</w:t>
      </w:r>
    </w:p>
    <w:p w14:paraId="44AF6D45" w14:textId="77777777" w:rsidR="00FD6C28" w:rsidRPr="009D7F5F" w:rsidRDefault="00FD6C28" w:rsidP="00FD6C28">
      <w:r w:rsidRPr="009D7F5F">
        <w:t>CPM: Clinical Prediction Model</w:t>
      </w:r>
    </w:p>
    <w:p w14:paraId="18FFC915" w14:textId="77777777" w:rsidR="00FD6C28" w:rsidRPr="009D7F5F" w:rsidRDefault="00FD6C28" w:rsidP="00FD6C28">
      <w:r w:rsidRPr="009D7F5F">
        <w:t>ESII: EuroSCORE II</w:t>
      </w:r>
    </w:p>
    <w:p w14:paraId="27D1FC61" w14:textId="77777777" w:rsidR="00FD6C28" w:rsidRPr="009D7F5F" w:rsidRDefault="00FD6C28" w:rsidP="00FD6C28">
      <w:r w:rsidRPr="009D7F5F">
        <w:t>German AV: German Aortic Valve Model</w:t>
      </w:r>
    </w:p>
    <w:p w14:paraId="3DCBCF3C" w14:textId="77777777" w:rsidR="00FD6C28" w:rsidRPr="009D7F5F" w:rsidRDefault="00FD6C28" w:rsidP="00FD6C28">
      <w:r w:rsidRPr="009D7F5F">
        <w:t>LES: Logistic EuroSCORE</w:t>
      </w:r>
    </w:p>
    <w:p w14:paraId="1B7B3C0C" w14:textId="77777777" w:rsidR="00FD6C28" w:rsidRPr="009D7F5F" w:rsidRDefault="00FD6C28" w:rsidP="00FD6C28">
      <w:r w:rsidRPr="009D7F5F">
        <w:t>MSE: Mean Square Error</w:t>
      </w:r>
    </w:p>
    <w:p w14:paraId="61BB60D0" w14:textId="77777777" w:rsidR="00FD6C28" w:rsidRPr="009D7F5F" w:rsidRDefault="00FD6C28" w:rsidP="00FD6C28">
      <w:r w:rsidRPr="009D7F5F">
        <w:t>PCA: Principal Component Analysis</w:t>
      </w:r>
    </w:p>
    <w:p w14:paraId="6C7DFE33" w14:textId="77777777" w:rsidR="00FD6C28" w:rsidRPr="009D7F5F" w:rsidRDefault="00FD6C28" w:rsidP="00FD6C28">
      <w:r w:rsidRPr="009D7F5F">
        <w:t>PLS: Partial Least Squares</w:t>
      </w:r>
    </w:p>
    <w:p w14:paraId="388DE749" w14:textId="77777777" w:rsidR="00FD6C28" w:rsidRPr="009D7F5F" w:rsidRDefault="00FD6C28" w:rsidP="00FD6C28">
      <w:r w:rsidRPr="009D7F5F">
        <w:t>SR: Stacked Regression</w:t>
      </w:r>
    </w:p>
    <w:p w14:paraId="36EE9FA1" w14:textId="77777777" w:rsidR="00FD6C28" w:rsidRPr="009D7F5F" w:rsidRDefault="00FD6C28" w:rsidP="00FD6C28">
      <w:pPr>
        <w:pStyle w:val="Heading1"/>
      </w:pPr>
      <w:r w:rsidRPr="009D7F5F">
        <w:t>Declarations</w:t>
      </w:r>
    </w:p>
    <w:p w14:paraId="7B6EC198" w14:textId="77777777" w:rsidR="00FD6C28" w:rsidRPr="009D7F5F" w:rsidRDefault="00FD6C28" w:rsidP="00FD6C28">
      <w:pPr>
        <w:pStyle w:val="Heading2"/>
      </w:pPr>
      <w:r w:rsidRPr="009D7F5F">
        <w:t>Ethics Approval and Consent to Participate</w:t>
      </w:r>
    </w:p>
    <w:p w14:paraId="6305E9D0" w14:textId="77777777" w:rsidR="00FD6C28" w:rsidRPr="009D7F5F" w:rsidRDefault="00FD6C28" w:rsidP="00FD6C28">
      <w:r w:rsidRPr="009D7F5F">
        <w:t>Not applicable</w:t>
      </w:r>
    </w:p>
    <w:p w14:paraId="74E7CBAB" w14:textId="77777777" w:rsidR="00FD6C28" w:rsidRPr="009D7F5F" w:rsidRDefault="00FD6C28" w:rsidP="00FD6C28">
      <w:pPr>
        <w:pStyle w:val="Heading2"/>
      </w:pPr>
      <w:r w:rsidRPr="009D7F5F">
        <w:t>Consent for Publication</w:t>
      </w:r>
    </w:p>
    <w:p w14:paraId="7B7D49AA" w14:textId="77777777" w:rsidR="00FD6C28" w:rsidRPr="009D7F5F" w:rsidRDefault="00FD6C28" w:rsidP="00FD6C28">
      <w:r w:rsidRPr="009D7F5F">
        <w:t>Not applicable</w:t>
      </w:r>
    </w:p>
    <w:p w14:paraId="10800A5A" w14:textId="77777777" w:rsidR="00FD6C28" w:rsidRPr="009D7F5F" w:rsidRDefault="00FD6C28" w:rsidP="00FD6C28">
      <w:pPr>
        <w:pStyle w:val="Heading2"/>
      </w:pPr>
      <w:r w:rsidRPr="009D7F5F">
        <w:t>Availability of Data and Material</w:t>
      </w:r>
    </w:p>
    <w:p w14:paraId="1B19E176" w14:textId="326C19BA" w:rsidR="00FD6C28" w:rsidRPr="009D7F5F" w:rsidRDefault="00FD6C28" w:rsidP="00FD6C28">
      <w:r w:rsidRPr="009D7F5F">
        <w:t xml:space="preserve">The data on which the conclusions of this manuscript rely can be reproduced using the R code available in the online </w:t>
      </w:r>
      <w:r w:rsidR="00CB3F5D">
        <w:t>Additional Material 1</w:t>
      </w:r>
      <w:r w:rsidRPr="009D7F5F">
        <w:t>.</w:t>
      </w:r>
    </w:p>
    <w:p w14:paraId="4AEB1946" w14:textId="77777777" w:rsidR="00FD6C28" w:rsidRPr="009D7F5F" w:rsidRDefault="00FD6C28" w:rsidP="00FD6C28">
      <w:pPr>
        <w:pStyle w:val="Heading2"/>
      </w:pPr>
      <w:r w:rsidRPr="009D7F5F">
        <w:t>Competing Interests</w:t>
      </w:r>
    </w:p>
    <w:p w14:paraId="38356F1E" w14:textId="77777777" w:rsidR="00FD6C28" w:rsidRPr="009D7F5F" w:rsidRDefault="00FD6C28" w:rsidP="00FD6C28">
      <w:pPr>
        <w:spacing w:after="0" w:line="259" w:lineRule="auto"/>
        <w:rPr>
          <w:szCs w:val="24"/>
        </w:rPr>
      </w:pPr>
      <w:r w:rsidRPr="009D7F5F">
        <w:rPr>
          <w:szCs w:val="24"/>
        </w:rPr>
        <w:t>The authors declare that they have no competing interests.</w:t>
      </w:r>
    </w:p>
    <w:p w14:paraId="74F49FD2" w14:textId="77777777" w:rsidR="00FD6C28" w:rsidRPr="009D7F5F" w:rsidRDefault="00FD6C28" w:rsidP="00FD6C28">
      <w:pPr>
        <w:pStyle w:val="Heading2"/>
      </w:pPr>
      <w:r w:rsidRPr="009D7F5F">
        <w:t>Funding</w:t>
      </w:r>
    </w:p>
    <w:p w14:paraId="67A437E5" w14:textId="77777777" w:rsidR="00FD6C28" w:rsidRPr="009D7F5F" w:rsidRDefault="00FD6C28" w:rsidP="00FD6C28">
      <w:r w:rsidRPr="009D7F5F">
        <w:t>This work was funded by the Medical Research Council through the Health e-Research Centre, University of Manchester [MR/K006665/1]</w:t>
      </w:r>
    </w:p>
    <w:p w14:paraId="220128BB" w14:textId="77777777" w:rsidR="00FD6C28" w:rsidRPr="009D7F5F" w:rsidRDefault="00FD6C28" w:rsidP="00FD6C28">
      <w:pPr>
        <w:pStyle w:val="Heading2"/>
        <w:rPr>
          <w:rFonts w:eastAsia="Calibri"/>
        </w:rPr>
      </w:pPr>
      <w:r w:rsidRPr="009D7F5F">
        <w:rPr>
          <w:rFonts w:eastAsia="Calibri"/>
        </w:rPr>
        <w:t>Authors’ Contributions</w:t>
      </w:r>
    </w:p>
    <w:p w14:paraId="6F93EC97" w14:textId="5643B125" w:rsidR="0004245E" w:rsidRDefault="00404A86" w:rsidP="00FD6C28">
      <w:r>
        <w:t xml:space="preserve">GPM and MS designed the study and </w:t>
      </w:r>
      <w:r w:rsidRPr="009D7F5F">
        <w:t>drafted the initial version of the manuscript</w:t>
      </w:r>
      <w:r>
        <w:t xml:space="preserve">. </w:t>
      </w:r>
      <w:r w:rsidRPr="009D7F5F">
        <w:t>GPM wrote the simulation R code</w:t>
      </w:r>
      <w:r>
        <w:t xml:space="preserve">. GPM, MAM, NP, IB and MS analysed/ interpreted the results and revised the manuscript critically for important intellectual content. All of the authors </w:t>
      </w:r>
      <w:r w:rsidR="00FD6C28" w:rsidRPr="009D7F5F">
        <w:t>approved the final version</w:t>
      </w:r>
      <w:r>
        <w:t xml:space="preserve"> and agreed to be accountable for all aspects of the work</w:t>
      </w:r>
      <w:r w:rsidR="00FD6C28" w:rsidRPr="009D7F5F">
        <w:t>.</w:t>
      </w:r>
    </w:p>
    <w:p w14:paraId="54A25BBA" w14:textId="1A6A6D94" w:rsidR="002E78CF" w:rsidRDefault="003F6D58" w:rsidP="003F6D58">
      <w:pPr>
        <w:pStyle w:val="Heading2"/>
      </w:pPr>
      <w:r>
        <w:t>Acknowledgements</w:t>
      </w:r>
    </w:p>
    <w:p w14:paraId="4FDB488B" w14:textId="6B350D22" w:rsidR="003F6D58" w:rsidRDefault="00404A86" w:rsidP="003F6D58">
      <w:r>
        <w:t>Not applicable</w:t>
      </w:r>
    </w:p>
    <w:p w14:paraId="21473444" w14:textId="77777777" w:rsidR="0065169A" w:rsidRDefault="0065169A" w:rsidP="003F6D58">
      <w:pPr>
        <w:sectPr w:rsidR="0065169A" w:rsidSect="00B94D9C">
          <w:pgSz w:w="11906" w:h="16838"/>
          <w:pgMar w:top="1440" w:right="1440" w:bottom="1440" w:left="1440" w:header="708" w:footer="708" w:gutter="0"/>
          <w:lnNumType w:countBy="1"/>
          <w:cols w:space="708"/>
          <w:docGrid w:linePitch="360"/>
        </w:sectPr>
      </w:pPr>
    </w:p>
    <w:p w14:paraId="6BAE3537" w14:textId="5B9EF4C6" w:rsidR="00FD6C28" w:rsidRPr="009D7F5F" w:rsidRDefault="0065169A" w:rsidP="00FD6C28">
      <w:pPr>
        <w:pStyle w:val="Heading1"/>
      </w:pPr>
      <w:r>
        <w:t>Figure</w:t>
      </w:r>
      <w:r w:rsidR="00FD6C28" w:rsidRPr="009D7F5F">
        <w:t>s</w:t>
      </w:r>
    </w:p>
    <w:p w14:paraId="153C810F" w14:textId="471E8C77" w:rsidR="00FD6C28" w:rsidRDefault="00FD6C28" w:rsidP="00FD6C28">
      <w:r w:rsidRPr="009D7F5F">
        <w:rPr>
          <w:b/>
        </w:rPr>
        <w:t>Figure 1</w:t>
      </w:r>
      <w:r w:rsidR="00C4709D">
        <w:rPr>
          <w:b/>
        </w:rPr>
        <w:t xml:space="preserve"> Simulation Procedure</w:t>
      </w:r>
      <w:r w:rsidRPr="009D7F5F">
        <w:rPr>
          <w:b/>
        </w:rPr>
        <w:t>:</w:t>
      </w:r>
      <w:r w:rsidRPr="009D7F5F">
        <w:t xml:space="preserve"> A pictorial representation of the simulation procedure for a given value of population heterogeneity, </w:t>
      </w:r>
      <m:oMath>
        <m:r>
          <w:rPr>
            <w:rFonts w:ascii="Cambria Math" w:hAnsi="Cambria Math"/>
          </w:rPr>
          <m:t>σ</m:t>
        </m:r>
      </m:oMath>
      <w:r w:rsidRPr="009D7F5F">
        <w:t xml:space="preserve">, and a given development sample size, </w:t>
      </w:r>
      <m:oMath>
        <m:sSub>
          <m:sSubPr>
            <m:ctrlPr>
              <w:rPr>
                <w:rFonts w:ascii="Cambria Math" w:hAnsi="Cambria Math"/>
                <w:i/>
              </w:rPr>
            </m:ctrlPr>
          </m:sSubPr>
          <m:e>
            <m:r>
              <w:rPr>
                <w:rFonts w:ascii="Cambria Math" w:hAnsi="Cambria Math"/>
              </w:rPr>
              <m:t>n</m:t>
            </m:r>
          </m:e>
          <m:sub>
            <m:r>
              <w:rPr>
                <w:rFonts w:ascii="Cambria Math" w:hAnsi="Cambria Math"/>
              </w:rPr>
              <m:t>train</m:t>
            </m:r>
          </m:sub>
        </m:sSub>
      </m:oMath>
      <w:r w:rsidRPr="009D7F5F">
        <w:t xml:space="preserve">. This process was then repeated across all combinations of </w:t>
      </w:r>
      <m:oMath>
        <m:r>
          <w:rPr>
            <w:rFonts w:ascii="Cambria Math" w:hAnsi="Cambria Math"/>
          </w:rPr>
          <m:t>σ</m:t>
        </m:r>
      </m:oMath>
      <w:r w:rsidRPr="009D7F5F">
        <w:t xml:space="preserve"> and </w:t>
      </w:r>
      <m:oMath>
        <m:sSub>
          <m:sSubPr>
            <m:ctrlPr>
              <w:rPr>
                <w:rFonts w:ascii="Cambria Math" w:hAnsi="Cambria Math"/>
                <w:i/>
              </w:rPr>
            </m:ctrlPr>
          </m:sSubPr>
          <m:e>
            <m:r>
              <w:rPr>
                <w:rFonts w:ascii="Cambria Math" w:hAnsi="Cambria Math"/>
              </w:rPr>
              <m:t>n</m:t>
            </m:r>
          </m:e>
          <m:sub>
            <m:r>
              <w:rPr>
                <w:rFonts w:ascii="Cambria Math" w:hAnsi="Cambria Math"/>
              </w:rPr>
              <m:t>train</m:t>
            </m:r>
          </m:sub>
        </m:sSub>
      </m:oMath>
      <w:r w:rsidRPr="009D7F5F">
        <w:t xml:space="preserve">. </w:t>
      </w:r>
    </w:p>
    <w:p w14:paraId="7C212DF6" w14:textId="19B50E65" w:rsidR="0065169A" w:rsidRDefault="0065169A" w:rsidP="00FD6C28">
      <w:r>
        <w:rPr>
          <w:noProof/>
          <w:lang w:val="en-US"/>
        </w:rPr>
        <w:drawing>
          <wp:inline distT="0" distB="0" distL="0" distR="0" wp14:anchorId="503EE8EF" wp14:editId="1541D5D5">
            <wp:extent cx="5730875" cy="3980815"/>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980815"/>
                    </a:xfrm>
                    <a:prstGeom prst="rect">
                      <a:avLst/>
                    </a:prstGeom>
                    <a:noFill/>
                  </pic:spPr>
                </pic:pic>
              </a:graphicData>
            </a:graphic>
          </wp:inline>
        </w:drawing>
      </w:r>
    </w:p>
    <w:p w14:paraId="74F5C240" w14:textId="77777777" w:rsidR="0065169A" w:rsidRDefault="0065169A" w:rsidP="00FD6C28">
      <w:pPr>
        <w:sectPr w:rsidR="0065169A" w:rsidSect="00B94D9C">
          <w:pgSz w:w="11906" w:h="16838"/>
          <w:pgMar w:top="1440" w:right="1440" w:bottom="1440" w:left="1440" w:header="708" w:footer="708" w:gutter="0"/>
          <w:lnNumType w:countBy="1"/>
          <w:cols w:space="708"/>
          <w:docGrid w:linePitch="360"/>
        </w:sectPr>
      </w:pPr>
    </w:p>
    <w:p w14:paraId="5E5F2D28" w14:textId="78F0B98A" w:rsidR="00FD6C28" w:rsidRDefault="00FD6C28" w:rsidP="00FD6C28">
      <w:pPr>
        <w:jc w:val="left"/>
      </w:pPr>
      <w:r w:rsidRPr="009D7F5F">
        <w:rPr>
          <w:b/>
        </w:rPr>
        <w:t xml:space="preserve">Figure </w:t>
      </w:r>
      <w:r w:rsidR="00B064C9" w:rsidRPr="009D7F5F">
        <w:rPr>
          <w:b/>
        </w:rPr>
        <w:t>2</w:t>
      </w:r>
      <w:r w:rsidR="00C4709D">
        <w:rPr>
          <w:b/>
        </w:rPr>
        <w:t xml:space="preserve"> Calibration Intercept</w:t>
      </w:r>
      <w:r w:rsidRPr="009D7F5F">
        <w:t xml:space="preserve">: Calibration intercept in the validation </w:t>
      </w:r>
      <w:r w:rsidR="002024C3" w:rsidRPr="009D7F5F">
        <w:t>set</w:t>
      </w:r>
      <w:r w:rsidRPr="009D7F5F">
        <w:t xml:space="preserve"> for the SR, PCA and the two newly derived models across all simulation situations. The PLS results were nearly identical to SR/PCA and so are omitted for clarity. Note: σ=1 was removed from the plot </w:t>
      </w:r>
      <w:r w:rsidR="002024C3" w:rsidRPr="009D7F5F">
        <w:t xml:space="preserve">for clarity </w:t>
      </w:r>
      <w:r w:rsidRPr="009D7F5F">
        <w:t>since the results quantitatively similar to σ=0.75.</w:t>
      </w:r>
    </w:p>
    <w:p w14:paraId="420A31DB" w14:textId="17903140" w:rsidR="0065169A" w:rsidRDefault="0065169A" w:rsidP="00FD6C28">
      <w:pPr>
        <w:jc w:val="left"/>
      </w:pPr>
      <w:r>
        <w:rPr>
          <w:noProof/>
          <w:lang w:val="en-US"/>
        </w:rPr>
        <w:drawing>
          <wp:inline distT="0" distB="0" distL="0" distR="0" wp14:anchorId="4B3AE067" wp14:editId="1D27B67A">
            <wp:extent cx="5487035" cy="5487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5487035"/>
                    </a:xfrm>
                    <a:prstGeom prst="rect">
                      <a:avLst/>
                    </a:prstGeom>
                    <a:noFill/>
                  </pic:spPr>
                </pic:pic>
              </a:graphicData>
            </a:graphic>
          </wp:inline>
        </w:drawing>
      </w:r>
    </w:p>
    <w:p w14:paraId="38CAF107" w14:textId="77777777" w:rsidR="0065169A" w:rsidRDefault="0065169A" w:rsidP="00FD6C28">
      <w:pPr>
        <w:jc w:val="left"/>
        <w:sectPr w:rsidR="0065169A" w:rsidSect="00B94D9C">
          <w:pgSz w:w="11906" w:h="16838"/>
          <w:pgMar w:top="1440" w:right="1440" w:bottom="1440" w:left="1440" w:header="708" w:footer="708" w:gutter="0"/>
          <w:lnNumType w:countBy="1"/>
          <w:cols w:space="708"/>
          <w:docGrid w:linePitch="360"/>
        </w:sectPr>
      </w:pPr>
    </w:p>
    <w:p w14:paraId="7899E4BD" w14:textId="30825206" w:rsidR="00FD6C28" w:rsidRDefault="00FD6C28" w:rsidP="00B12B88">
      <w:r w:rsidRPr="009D7F5F">
        <w:rPr>
          <w:b/>
        </w:rPr>
        <w:t xml:space="preserve">Figure </w:t>
      </w:r>
      <w:r w:rsidR="00B064C9" w:rsidRPr="009D7F5F">
        <w:rPr>
          <w:b/>
        </w:rPr>
        <w:t>3</w:t>
      </w:r>
      <w:r w:rsidR="00C4709D">
        <w:rPr>
          <w:b/>
        </w:rPr>
        <w:t xml:space="preserve"> Calibration Slope</w:t>
      </w:r>
      <w:r w:rsidRPr="009D7F5F">
        <w:rPr>
          <w:b/>
        </w:rPr>
        <w:t xml:space="preserve">: </w:t>
      </w:r>
      <w:r w:rsidRPr="009D7F5F">
        <w:t xml:space="preserve">Calibration slope in the validation </w:t>
      </w:r>
      <w:r w:rsidR="002024C3" w:rsidRPr="009D7F5F">
        <w:t>set</w:t>
      </w:r>
      <w:r w:rsidRPr="009D7F5F">
        <w:t xml:space="preserve"> for the SR, PCA and the two newly derived models across all simulation situations. The PLS results were nearly identical to SR/PCA and so are omitted for clarity. Note: σ=1 was removed from the plot </w:t>
      </w:r>
      <w:r w:rsidR="002024C3" w:rsidRPr="009D7F5F">
        <w:t xml:space="preserve">for clarity </w:t>
      </w:r>
      <w:r w:rsidRPr="009D7F5F">
        <w:t>since the results quantitatively simila</w:t>
      </w:r>
      <w:r w:rsidR="00B12B88">
        <w:t xml:space="preserve">r to σ=0.75. </w:t>
      </w:r>
    </w:p>
    <w:p w14:paraId="4EBD14CE" w14:textId="67B7FB49" w:rsidR="0065169A" w:rsidRDefault="0065169A" w:rsidP="00B12B88">
      <w:r>
        <w:rPr>
          <w:noProof/>
          <w:lang w:val="en-US"/>
        </w:rPr>
        <w:drawing>
          <wp:inline distT="0" distB="0" distL="0" distR="0" wp14:anchorId="4CCFFA18" wp14:editId="1F10EF45">
            <wp:extent cx="5487035" cy="5487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5487035"/>
                    </a:xfrm>
                    <a:prstGeom prst="rect">
                      <a:avLst/>
                    </a:prstGeom>
                    <a:noFill/>
                  </pic:spPr>
                </pic:pic>
              </a:graphicData>
            </a:graphic>
          </wp:inline>
        </w:drawing>
      </w:r>
    </w:p>
    <w:p w14:paraId="4FF1F59D" w14:textId="77777777" w:rsidR="0065169A" w:rsidRDefault="0065169A" w:rsidP="00B12B88">
      <w:pPr>
        <w:sectPr w:rsidR="0065169A" w:rsidSect="00B94D9C">
          <w:pgSz w:w="11906" w:h="16838"/>
          <w:pgMar w:top="1440" w:right="1440" w:bottom="1440" w:left="1440" w:header="708" w:footer="708" w:gutter="0"/>
          <w:lnNumType w:countBy="1"/>
          <w:cols w:space="708"/>
          <w:docGrid w:linePitch="360"/>
        </w:sectPr>
      </w:pPr>
    </w:p>
    <w:p w14:paraId="7B1A7DA7" w14:textId="5177438E" w:rsidR="00FD6C28" w:rsidRDefault="00FD6C28" w:rsidP="00FD6C28">
      <w:r w:rsidRPr="009D7F5F">
        <w:rPr>
          <w:b/>
        </w:rPr>
        <w:t xml:space="preserve">Figure </w:t>
      </w:r>
      <w:r w:rsidR="00B064C9" w:rsidRPr="009D7F5F">
        <w:rPr>
          <w:b/>
        </w:rPr>
        <w:t>4</w:t>
      </w:r>
      <w:r w:rsidR="00C4709D">
        <w:rPr>
          <w:b/>
        </w:rPr>
        <w:t xml:space="preserve"> </w:t>
      </w:r>
      <w:r w:rsidR="008915E6">
        <w:rPr>
          <w:b/>
        </w:rPr>
        <w:t>Discrimination</w:t>
      </w:r>
      <w:r w:rsidRPr="009D7F5F">
        <w:rPr>
          <w:b/>
        </w:rPr>
        <w:t xml:space="preserve">: </w:t>
      </w:r>
      <w:r w:rsidRPr="009D7F5F">
        <w:t xml:space="preserve">Area under receiver operating characteristic curve (AUC) in the validation </w:t>
      </w:r>
      <w:r w:rsidR="002024C3" w:rsidRPr="009D7F5F">
        <w:t>set</w:t>
      </w:r>
      <w:r w:rsidRPr="009D7F5F">
        <w:t xml:space="preserve"> for SR, PCA and the two newly derived models across all scenarios. The PLS results were nearly identical to SR/PCA and so are omitted for clarity. Note: σ=1 was removed from the plot </w:t>
      </w:r>
      <w:r w:rsidR="002024C3" w:rsidRPr="009D7F5F">
        <w:t xml:space="preserve">for clarity </w:t>
      </w:r>
      <w:r w:rsidRPr="009D7F5F">
        <w:t>since the results quantitatively similar to σ=0.75.</w:t>
      </w:r>
    </w:p>
    <w:p w14:paraId="30A0405B" w14:textId="691DD550" w:rsidR="0065169A" w:rsidRDefault="0065169A" w:rsidP="00FD6C28">
      <w:r>
        <w:rPr>
          <w:noProof/>
          <w:lang w:val="en-US"/>
        </w:rPr>
        <w:drawing>
          <wp:inline distT="0" distB="0" distL="0" distR="0" wp14:anchorId="227B65E9" wp14:editId="23AAC394">
            <wp:extent cx="5487035" cy="5487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5487035"/>
                    </a:xfrm>
                    <a:prstGeom prst="rect">
                      <a:avLst/>
                    </a:prstGeom>
                    <a:noFill/>
                  </pic:spPr>
                </pic:pic>
              </a:graphicData>
            </a:graphic>
          </wp:inline>
        </w:drawing>
      </w:r>
    </w:p>
    <w:p w14:paraId="73BCA51F" w14:textId="77777777" w:rsidR="0065169A" w:rsidRDefault="0065169A" w:rsidP="00FD6C28"/>
    <w:p w14:paraId="55CEDCC7" w14:textId="77777777" w:rsidR="002E78E2" w:rsidRDefault="002E78E2" w:rsidP="00FD6C28"/>
    <w:p w14:paraId="2BB91BC9" w14:textId="35A90FD0" w:rsidR="00404A86" w:rsidRDefault="00F26EA9" w:rsidP="00404A86">
      <w:pPr>
        <w:pStyle w:val="Heading1"/>
      </w:pPr>
      <w:r>
        <w:t>Additional File</w:t>
      </w:r>
    </w:p>
    <w:p w14:paraId="0E265642" w14:textId="6F082AEC" w:rsidR="00404A86" w:rsidRDefault="00F26EA9" w:rsidP="00404A86">
      <w:r w:rsidRPr="00F26EA9">
        <w:rPr>
          <w:b/>
        </w:rPr>
        <w:t>Additional File 1</w:t>
      </w:r>
      <w:r>
        <w:t>: D</w:t>
      </w:r>
      <w:r w:rsidR="002E78E2">
        <w:t xml:space="preserve">etails of the Partial Least Squared regression methodology, additional details of the simulation design, additional tables and the </w:t>
      </w:r>
      <w:r w:rsidR="00CB3F5D">
        <w:t xml:space="preserve">simulation </w:t>
      </w:r>
      <w:r w:rsidR="002E78E2">
        <w:t>R code.</w:t>
      </w:r>
    </w:p>
    <w:p w14:paraId="7149B41B" w14:textId="77777777" w:rsidR="0065169A" w:rsidRDefault="0065169A" w:rsidP="00404A86">
      <w:pPr>
        <w:sectPr w:rsidR="0065169A" w:rsidSect="00B94D9C">
          <w:pgSz w:w="11906" w:h="16838"/>
          <w:pgMar w:top="1440" w:right="1440" w:bottom="1440" w:left="1440" w:header="708" w:footer="708" w:gutter="0"/>
          <w:lnNumType w:countBy="1"/>
          <w:cols w:space="708"/>
          <w:docGrid w:linePitch="360"/>
        </w:sectPr>
      </w:pPr>
    </w:p>
    <w:p w14:paraId="63464D95" w14:textId="77777777" w:rsidR="00FD6C28" w:rsidRPr="009D7F5F" w:rsidRDefault="00FD6C28" w:rsidP="00FD6C28">
      <w:pPr>
        <w:pStyle w:val="Heading1"/>
        <w:rPr>
          <w:noProof/>
        </w:rPr>
      </w:pPr>
      <w:r w:rsidRPr="009D7F5F">
        <w:rPr>
          <w:noProof/>
        </w:rPr>
        <w:t>References</w:t>
      </w:r>
    </w:p>
    <w:p w14:paraId="5F488878" w14:textId="55F161D4" w:rsidR="00DF795E" w:rsidRPr="00DF795E" w:rsidRDefault="00FD6C28" w:rsidP="00DF795E">
      <w:pPr>
        <w:widowControl w:val="0"/>
        <w:autoSpaceDE w:val="0"/>
        <w:autoSpaceDN w:val="0"/>
        <w:adjustRightInd w:val="0"/>
        <w:spacing w:before="100" w:after="100"/>
        <w:rPr>
          <w:noProof/>
          <w:szCs w:val="24"/>
        </w:rPr>
      </w:pPr>
      <w:r w:rsidRPr="007F2ED4">
        <w:fldChar w:fldCharType="begin" w:fldLock="1"/>
      </w:r>
      <w:r w:rsidRPr="009D7F5F">
        <w:instrText xml:space="preserve">ADDIN Mendeley Bibliography CSL_BIBLIOGRAPHY </w:instrText>
      </w:r>
      <w:r w:rsidRPr="007F2ED4">
        <w:fldChar w:fldCharType="separate"/>
      </w:r>
      <w:r w:rsidR="00DF795E" w:rsidRPr="00DF795E">
        <w:rPr>
          <w:noProof/>
          <w:szCs w:val="24"/>
        </w:rPr>
        <w:t xml:space="preserve">1. Kappen TH, Vergouwe Y, van Klei W a., van Wolfswinkel L, Kalkman CJ, Moons KGM: </w:t>
      </w:r>
      <w:r w:rsidR="00DF795E" w:rsidRPr="00DF795E">
        <w:rPr>
          <w:b/>
          <w:bCs/>
          <w:noProof/>
          <w:szCs w:val="24"/>
        </w:rPr>
        <w:t>Adaptation of Clinical Prediction Models for Application in Local Settings</w:t>
      </w:r>
      <w:r w:rsidR="00DF795E" w:rsidRPr="00DF795E">
        <w:rPr>
          <w:noProof/>
          <w:szCs w:val="24"/>
        </w:rPr>
        <w:t xml:space="preserve">. </w:t>
      </w:r>
      <w:r w:rsidR="00DF795E" w:rsidRPr="00DF795E">
        <w:rPr>
          <w:i/>
          <w:iCs/>
          <w:noProof/>
          <w:szCs w:val="24"/>
        </w:rPr>
        <w:t>Med Decis Mak</w:t>
      </w:r>
      <w:r w:rsidR="00DF795E" w:rsidRPr="00DF795E">
        <w:rPr>
          <w:noProof/>
          <w:szCs w:val="24"/>
        </w:rPr>
        <w:t xml:space="preserve"> 2012, </w:t>
      </w:r>
      <w:r w:rsidR="00DF795E" w:rsidRPr="00DF795E">
        <w:rPr>
          <w:b/>
          <w:bCs/>
          <w:noProof/>
          <w:szCs w:val="24"/>
        </w:rPr>
        <w:t>32</w:t>
      </w:r>
      <w:r w:rsidR="00DF795E" w:rsidRPr="00DF795E">
        <w:rPr>
          <w:noProof/>
          <w:szCs w:val="24"/>
        </w:rPr>
        <w:t>:E1–E10.</w:t>
      </w:r>
    </w:p>
    <w:p w14:paraId="7CA85149"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 Damen JAAG, Hooft L, Schuit E, Debray TPA, Collins GS, Tzoulaki I, Lassale CM, Siontis GCM, Chiocchia V, Roberts C, Schlüssel MM, Gerry S, Black JA, Heus P, van der Schouw YT, Peelen LM, Moons KGM: </w:t>
      </w:r>
      <w:r w:rsidRPr="00DF795E">
        <w:rPr>
          <w:b/>
          <w:bCs/>
          <w:noProof/>
          <w:szCs w:val="24"/>
        </w:rPr>
        <w:t>Prediction models for cardiovascular disease risk in the general population: systematic review</w:t>
      </w:r>
      <w:r w:rsidRPr="00DF795E">
        <w:rPr>
          <w:noProof/>
          <w:szCs w:val="24"/>
        </w:rPr>
        <w:t xml:space="preserve">. </w:t>
      </w:r>
      <w:r w:rsidRPr="00DF795E">
        <w:rPr>
          <w:i/>
          <w:iCs/>
          <w:noProof/>
          <w:szCs w:val="24"/>
        </w:rPr>
        <w:t>BMJ</w:t>
      </w:r>
      <w:r w:rsidRPr="00DF795E">
        <w:rPr>
          <w:noProof/>
          <w:szCs w:val="24"/>
        </w:rPr>
        <w:t xml:space="preserve"> 2016, </w:t>
      </w:r>
      <w:r w:rsidRPr="00DF795E">
        <w:rPr>
          <w:b/>
          <w:bCs/>
          <w:noProof/>
          <w:szCs w:val="24"/>
        </w:rPr>
        <w:t>353</w:t>
      </w:r>
      <w:r w:rsidRPr="00DF795E">
        <w:rPr>
          <w:noProof/>
          <w:szCs w:val="24"/>
        </w:rPr>
        <w:t>:i2416.</w:t>
      </w:r>
    </w:p>
    <w:p w14:paraId="60435AB9" w14:textId="28584774"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 Altman DG, Vergouwe Y, Royston P, Moons KGM: </w:t>
      </w:r>
      <w:r w:rsidRPr="00DF795E">
        <w:rPr>
          <w:b/>
          <w:bCs/>
          <w:noProof/>
          <w:szCs w:val="24"/>
        </w:rPr>
        <w:t>Prognosis and prognostic research: validating a prognostic model</w:t>
      </w:r>
      <w:r w:rsidRPr="00DF795E">
        <w:rPr>
          <w:noProof/>
          <w:szCs w:val="24"/>
        </w:rPr>
        <w:t xml:space="preserve">. </w:t>
      </w:r>
      <w:r w:rsidRPr="00DF795E">
        <w:rPr>
          <w:i/>
          <w:iCs/>
          <w:noProof/>
          <w:szCs w:val="24"/>
        </w:rPr>
        <w:t>BMJ</w:t>
      </w:r>
      <w:r w:rsidRPr="00DF795E">
        <w:rPr>
          <w:noProof/>
          <w:szCs w:val="24"/>
        </w:rPr>
        <w:t xml:space="preserve"> 2009, </w:t>
      </w:r>
      <w:r w:rsidRPr="00DF795E">
        <w:rPr>
          <w:b/>
          <w:bCs/>
          <w:noProof/>
          <w:szCs w:val="24"/>
        </w:rPr>
        <w:t>338</w:t>
      </w:r>
      <w:r w:rsidRPr="00DF795E">
        <w:rPr>
          <w:noProof/>
          <w:szCs w:val="24"/>
        </w:rPr>
        <w:t>:b605–b605.</w:t>
      </w:r>
    </w:p>
    <w:p w14:paraId="12FC5921" w14:textId="356740DE"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4. Royston P, Moons KGM, Altman DG, Vergouwe Y: </w:t>
      </w:r>
      <w:r w:rsidRPr="00DF795E">
        <w:rPr>
          <w:b/>
          <w:bCs/>
          <w:noProof/>
          <w:szCs w:val="24"/>
        </w:rPr>
        <w:t>Prognosis and prognostic research: Developing a prognostic model</w:t>
      </w:r>
      <w:r w:rsidRPr="00DF795E">
        <w:rPr>
          <w:noProof/>
          <w:szCs w:val="24"/>
        </w:rPr>
        <w:t xml:space="preserve">. </w:t>
      </w:r>
      <w:r w:rsidRPr="00DF795E">
        <w:rPr>
          <w:i/>
          <w:iCs/>
          <w:noProof/>
          <w:szCs w:val="24"/>
        </w:rPr>
        <w:t>BMJ</w:t>
      </w:r>
      <w:r w:rsidRPr="00DF795E">
        <w:rPr>
          <w:noProof/>
          <w:szCs w:val="24"/>
        </w:rPr>
        <w:t xml:space="preserve"> 2009, </w:t>
      </w:r>
      <w:r w:rsidRPr="00DF795E">
        <w:rPr>
          <w:b/>
          <w:bCs/>
          <w:noProof/>
          <w:szCs w:val="24"/>
        </w:rPr>
        <w:t>338</w:t>
      </w:r>
      <w:r w:rsidRPr="00DF795E">
        <w:rPr>
          <w:noProof/>
          <w:szCs w:val="24"/>
        </w:rPr>
        <w:t>:b604–b604.</w:t>
      </w:r>
    </w:p>
    <w:p w14:paraId="75F40C5E" w14:textId="4E2CA351"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5. Moons KGM, Altman DG, Vergouwe Y, Royston P: </w:t>
      </w:r>
      <w:r w:rsidRPr="00DF795E">
        <w:rPr>
          <w:b/>
          <w:bCs/>
          <w:noProof/>
          <w:szCs w:val="24"/>
        </w:rPr>
        <w:t>Prognosis and prognostic research: application and impact of prognostic models in clinical practice</w:t>
      </w:r>
      <w:r w:rsidRPr="00DF795E">
        <w:rPr>
          <w:noProof/>
          <w:szCs w:val="24"/>
        </w:rPr>
        <w:t xml:space="preserve">. </w:t>
      </w:r>
      <w:r w:rsidRPr="00DF795E">
        <w:rPr>
          <w:i/>
          <w:iCs/>
          <w:noProof/>
          <w:szCs w:val="24"/>
        </w:rPr>
        <w:t>BMJ</w:t>
      </w:r>
      <w:r w:rsidRPr="00DF795E">
        <w:rPr>
          <w:noProof/>
          <w:szCs w:val="24"/>
        </w:rPr>
        <w:t xml:space="preserve"> 2009, </w:t>
      </w:r>
      <w:r w:rsidRPr="00DF795E">
        <w:rPr>
          <w:b/>
          <w:bCs/>
          <w:noProof/>
          <w:szCs w:val="24"/>
        </w:rPr>
        <w:t>338</w:t>
      </w:r>
      <w:r w:rsidRPr="00DF795E">
        <w:rPr>
          <w:noProof/>
          <w:szCs w:val="24"/>
        </w:rPr>
        <w:t>:b606–b606.</w:t>
      </w:r>
    </w:p>
    <w:p w14:paraId="2E8B79FF"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6. Riley RD, Ensor J, Snell KIE, Debray TPA, Altman DG, Moons KGM, Collins GS: </w:t>
      </w:r>
      <w:r w:rsidRPr="00DF795E">
        <w:rPr>
          <w:b/>
          <w:bCs/>
          <w:noProof/>
          <w:szCs w:val="24"/>
        </w:rPr>
        <w:t>External validation of clinical prediction models using big datasets from e-health records or IPD meta-analysis: opportunities and challenges</w:t>
      </w:r>
      <w:r w:rsidRPr="00DF795E">
        <w:rPr>
          <w:noProof/>
          <w:szCs w:val="24"/>
        </w:rPr>
        <w:t xml:space="preserve">. </w:t>
      </w:r>
      <w:r w:rsidRPr="00DF795E">
        <w:rPr>
          <w:i/>
          <w:iCs/>
          <w:noProof/>
          <w:szCs w:val="24"/>
        </w:rPr>
        <w:t>BMJ</w:t>
      </w:r>
      <w:r w:rsidRPr="00DF795E">
        <w:rPr>
          <w:noProof/>
          <w:szCs w:val="24"/>
        </w:rPr>
        <w:t xml:space="preserve"> 2016, </w:t>
      </w:r>
      <w:r w:rsidRPr="00DF795E">
        <w:rPr>
          <w:b/>
          <w:bCs/>
          <w:noProof/>
          <w:szCs w:val="24"/>
        </w:rPr>
        <w:t>353</w:t>
      </w:r>
      <w:r w:rsidRPr="00DF795E">
        <w:rPr>
          <w:noProof/>
          <w:szCs w:val="24"/>
        </w:rPr>
        <w:t>:i3140.</w:t>
      </w:r>
    </w:p>
    <w:p w14:paraId="37D3EB40"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7. Janssen KJM, Moons KGM, Kalkman CJ, Grobbee DE, Vergouwe Y: </w:t>
      </w:r>
      <w:r w:rsidRPr="00DF795E">
        <w:rPr>
          <w:b/>
          <w:bCs/>
          <w:noProof/>
          <w:szCs w:val="24"/>
        </w:rPr>
        <w:t>Updating methods improved the performance of a clinical prediction model in new patients</w:t>
      </w:r>
      <w:r w:rsidRPr="00DF795E">
        <w:rPr>
          <w:noProof/>
          <w:szCs w:val="24"/>
        </w:rPr>
        <w:t xml:space="preserve">. </w:t>
      </w:r>
      <w:r w:rsidRPr="00DF795E">
        <w:rPr>
          <w:i/>
          <w:iCs/>
          <w:noProof/>
          <w:szCs w:val="24"/>
        </w:rPr>
        <w:t>J Clin Epidemiol</w:t>
      </w:r>
      <w:r w:rsidRPr="00DF795E">
        <w:rPr>
          <w:noProof/>
          <w:szCs w:val="24"/>
        </w:rPr>
        <w:t xml:space="preserve"> 2008, </w:t>
      </w:r>
      <w:r w:rsidRPr="00DF795E">
        <w:rPr>
          <w:b/>
          <w:bCs/>
          <w:noProof/>
          <w:szCs w:val="24"/>
        </w:rPr>
        <w:t>61</w:t>
      </w:r>
      <w:r w:rsidRPr="00DF795E">
        <w:rPr>
          <w:noProof/>
          <w:szCs w:val="24"/>
        </w:rPr>
        <w:t>:76–86.</w:t>
      </w:r>
    </w:p>
    <w:p w14:paraId="57F4D841"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8. Steyerberg EW, Borsboom GJJM, van Houwelingen HC, Eijkemans MJC, Habbema JDF: </w:t>
      </w:r>
      <w:r w:rsidRPr="00DF795E">
        <w:rPr>
          <w:b/>
          <w:bCs/>
          <w:noProof/>
          <w:szCs w:val="24"/>
        </w:rPr>
        <w:t>Validation and updating of predictive logistic regression models: a study on sample size and shrinkage</w:t>
      </w:r>
      <w:r w:rsidRPr="00DF795E">
        <w:rPr>
          <w:noProof/>
          <w:szCs w:val="24"/>
        </w:rPr>
        <w:t xml:space="preserve">. </w:t>
      </w:r>
      <w:r w:rsidRPr="00DF795E">
        <w:rPr>
          <w:i/>
          <w:iCs/>
          <w:noProof/>
          <w:szCs w:val="24"/>
        </w:rPr>
        <w:t>Stat Med</w:t>
      </w:r>
      <w:r w:rsidRPr="00DF795E">
        <w:rPr>
          <w:noProof/>
          <w:szCs w:val="24"/>
        </w:rPr>
        <w:t xml:space="preserve"> 2004, </w:t>
      </w:r>
      <w:r w:rsidRPr="00DF795E">
        <w:rPr>
          <w:b/>
          <w:bCs/>
          <w:noProof/>
          <w:szCs w:val="24"/>
        </w:rPr>
        <w:t>23</w:t>
      </w:r>
      <w:r w:rsidRPr="00DF795E">
        <w:rPr>
          <w:noProof/>
          <w:szCs w:val="24"/>
        </w:rPr>
        <w:t>:2567–2586.</w:t>
      </w:r>
    </w:p>
    <w:p w14:paraId="671925EE"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9. Debray TPA, Koffijberg H, Nieboer D, Vergouwe Y, Steyerberg EW, Moons KGM: </w:t>
      </w:r>
      <w:r w:rsidRPr="00DF795E">
        <w:rPr>
          <w:b/>
          <w:bCs/>
          <w:noProof/>
          <w:szCs w:val="24"/>
        </w:rPr>
        <w:t>Meta-analysis and aggregation of multiple published prediction models</w:t>
      </w:r>
      <w:r w:rsidRPr="00DF795E">
        <w:rPr>
          <w:noProof/>
          <w:szCs w:val="24"/>
        </w:rPr>
        <w:t xml:space="preserve">. </w:t>
      </w:r>
      <w:r w:rsidRPr="00DF795E">
        <w:rPr>
          <w:i/>
          <w:iCs/>
          <w:noProof/>
          <w:szCs w:val="24"/>
        </w:rPr>
        <w:t>Stat Med</w:t>
      </w:r>
      <w:r w:rsidRPr="00DF795E">
        <w:rPr>
          <w:noProof/>
          <w:szCs w:val="24"/>
        </w:rPr>
        <w:t xml:space="preserve"> 2014, </w:t>
      </w:r>
      <w:r w:rsidRPr="00DF795E">
        <w:rPr>
          <w:b/>
          <w:bCs/>
          <w:noProof/>
          <w:szCs w:val="24"/>
        </w:rPr>
        <w:t>33</w:t>
      </w:r>
      <w:r w:rsidRPr="00DF795E">
        <w:rPr>
          <w:noProof/>
          <w:szCs w:val="24"/>
        </w:rPr>
        <w:t>:2341–2362.</w:t>
      </w:r>
    </w:p>
    <w:p w14:paraId="4AD10004" w14:textId="1212E42C"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10. Su T-L, Jaki T, Hickey GL, Buchan I, Sperrin M: </w:t>
      </w:r>
      <w:r w:rsidRPr="00DF795E">
        <w:rPr>
          <w:b/>
          <w:bCs/>
          <w:noProof/>
          <w:szCs w:val="24"/>
        </w:rPr>
        <w:t>A review of statistical updating methods for clinical prediction models</w:t>
      </w:r>
      <w:r w:rsidRPr="00DF795E">
        <w:rPr>
          <w:noProof/>
          <w:szCs w:val="24"/>
        </w:rPr>
        <w:t xml:space="preserve">. </w:t>
      </w:r>
      <w:r w:rsidRPr="00DF795E">
        <w:rPr>
          <w:i/>
          <w:iCs/>
          <w:noProof/>
          <w:szCs w:val="24"/>
        </w:rPr>
        <w:t>Stat Methods Med Res</w:t>
      </w:r>
      <w:r w:rsidR="00A646FC">
        <w:rPr>
          <w:noProof/>
          <w:szCs w:val="24"/>
        </w:rPr>
        <w:t xml:space="preserve"> 2016; doi: </w:t>
      </w:r>
      <w:r w:rsidR="00A646FC" w:rsidRPr="00C045BF">
        <w:rPr>
          <w:noProof/>
          <w:szCs w:val="24"/>
        </w:rPr>
        <w:t>10.1177/0962280215626466</w:t>
      </w:r>
      <w:r w:rsidR="00A646FC">
        <w:rPr>
          <w:noProof/>
          <w:szCs w:val="24"/>
        </w:rPr>
        <w:t>.</w:t>
      </w:r>
    </w:p>
    <w:p w14:paraId="4EFA6A26"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11. Altman DG: </w:t>
      </w:r>
      <w:r w:rsidRPr="00DF795E">
        <w:rPr>
          <w:b/>
          <w:bCs/>
          <w:noProof/>
          <w:szCs w:val="24"/>
        </w:rPr>
        <w:t>Prognostic Models: A Methodological Framework and Review of Models for Breast Cancer</w:t>
      </w:r>
      <w:r w:rsidRPr="00DF795E">
        <w:rPr>
          <w:noProof/>
          <w:szCs w:val="24"/>
        </w:rPr>
        <w:t xml:space="preserve">. </w:t>
      </w:r>
      <w:r w:rsidRPr="00DF795E">
        <w:rPr>
          <w:i/>
          <w:iCs/>
          <w:noProof/>
          <w:szCs w:val="24"/>
        </w:rPr>
        <w:t>Cancer Invest</w:t>
      </w:r>
      <w:r w:rsidRPr="00DF795E">
        <w:rPr>
          <w:noProof/>
          <w:szCs w:val="24"/>
        </w:rPr>
        <w:t xml:space="preserve"> 2009, </w:t>
      </w:r>
      <w:r w:rsidRPr="00DF795E">
        <w:rPr>
          <w:b/>
          <w:bCs/>
          <w:noProof/>
          <w:szCs w:val="24"/>
        </w:rPr>
        <w:t>27</w:t>
      </w:r>
      <w:r w:rsidRPr="00DF795E">
        <w:rPr>
          <w:noProof/>
          <w:szCs w:val="24"/>
        </w:rPr>
        <w:t>:235–243.</w:t>
      </w:r>
    </w:p>
    <w:p w14:paraId="77C725B1"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12. Nashef SAM, Roques F, Sharples LD, Nilsson J, Smith C, Goldstone AR, Lockowandt U: </w:t>
      </w:r>
      <w:r w:rsidRPr="00DF795E">
        <w:rPr>
          <w:b/>
          <w:bCs/>
          <w:noProof/>
          <w:szCs w:val="24"/>
        </w:rPr>
        <w:t>EuroSCORE II</w:t>
      </w:r>
      <w:r w:rsidRPr="00DF795E">
        <w:rPr>
          <w:noProof/>
          <w:szCs w:val="24"/>
        </w:rPr>
        <w:t xml:space="preserve">. </w:t>
      </w:r>
      <w:r w:rsidRPr="00DF795E">
        <w:rPr>
          <w:i/>
          <w:iCs/>
          <w:noProof/>
          <w:szCs w:val="24"/>
        </w:rPr>
        <w:t>Eur J Cardio-Thoracic Surg</w:t>
      </w:r>
      <w:r w:rsidRPr="00DF795E">
        <w:rPr>
          <w:noProof/>
          <w:szCs w:val="24"/>
        </w:rPr>
        <w:t xml:space="preserve"> 2012, </w:t>
      </w:r>
      <w:r w:rsidRPr="00DF795E">
        <w:rPr>
          <w:b/>
          <w:bCs/>
          <w:noProof/>
          <w:szCs w:val="24"/>
        </w:rPr>
        <w:t>41</w:t>
      </w:r>
      <w:r w:rsidRPr="00DF795E">
        <w:rPr>
          <w:noProof/>
          <w:szCs w:val="24"/>
        </w:rPr>
        <w:t>:734–745.</w:t>
      </w:r>
    </w:p>
    <w:p w14:paraId="2DFDFB1A"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13. Roques F: </w:t>
      </w:r>
      <w:r w:rsidRPr="00DF795E">
        <w:rPr>
          <w:b/>
          <w:bCs/>
          <w:noProof/>
          <w:szCs w:val="24"/>
        </w:rPr>
        <w:t>The logistic EuroSCORE</w:t>
      </w:r>
      <w:r w:rsidRPr="00DF795E">
        <w:rPr>
          <w:noProof/>
          <w:szCs w:val="24"/>
        </w:rPr>
        <w:t xml:space="preserve">. </w:t>
      </w:r>
      <w:r w:rsidRPr="00DF795E">
        <w:rPr>
          <w:i/>
          <w:iCs/>
          <w:noProof/>
          <w:szCs w:val="24"/>
        </w:rPr>
        <w:t>Eur Heart J</w:t>
      </w:r>
      <w:r w:rsidRPr="00DF795E">
        <w:rPr>
          <w:noProof/>
          <w:szCs w:val="24"/>
        </w:rPr>
        <w:t xml:space="preserve"> 2003, </w:t>
      </w:r>
      <w:r w:rsidRPr="00DF795E">
        <w:rPr>
          <w:b/>
          <w:bCs/>
          <w:noProof/>
          <w:szCs w:val="24"/>
        </w:rPr>
        <w:t>24</w:t>
      </w:r>
      <w:r w:rsidRPr="00DF795E">
        <w:rPr>
          <w:noProof/>
          <w:szCs w:val="24"/>
        </w:rPr>
        <w:t>:882.</w:t>
      </w:r>
    </w:p>
    <w:p w14:paraId="0396DB68"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14. O’Brien SM, Shahian DM, Filardo G, Ferraris VA, Haan CK, Rich JB, Normand S-LT, DeLong ER, Shewan CM, Dokholyan RS, Peterson ED, Edwards FH, Anderson RP: </w:t>
      </w:r>
      <w:r w:rsidRPr="00DF795E">
        <w:rPr>
          <w:b/>
          <w:bCs/>
          <w:noProof/>
          <w:szCs w:val="24"/>
        </w:rPr>
        <w:t>The Society of Thoracic Surgeons 2008 Cardiac Surgery Risk Models: Part 2—Isolated Valve Surgery</w:t>
      </w:r>
      <w:r w:rsidRPr="00DF795E">
        <w:rPr>
          <w:noProof/>
          <w:szCs w:val="24"/>
        </w:rPr>
        <w:t xml:space="preserve">. </w:t>
      </w:r>
      <w:r w:rsidRPr="00DF795E">
        <w:rPr>
          <w:i/>
          <w:iCs/>
          <w:noProof/>
          <w:szCs w:val="24"/>
        </w:rPr>
        <w:t>Ann Thorac Surg</w:t>
      </w:r>
      <w:r w:rsidRPr="00DF795E">
        <w:rPr>
          <w:noProof/>
          <w:szCs w:val="24"/>
        </w:rPr>
        <w:t xml:space="preserve"> 2009, </w:t>
      </w:r>
      <w:r w:rsidRPr="00DF795E">
        <w:rPr>
          <w:b/>
          <w:bCs/>
          <w:noProof/>
          <w:szCs w:val="24"/>
        </w:rPr>
        <w:t>88</w:t>
      </w:r>
      <w:r w:rsidRPr="00DF795E">
        <w:rPr>
          <w:noProof/>
          <w:szCs w:val="24"/>
        </w:rPr>
        <w:t>:S23–S42.</w:t>
      </w:r>
    </w:p>
    <w:p w14:paraId="4D6BD8C8"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15. Shahian DM, O’Brien SM, Filardo G, Ferraris VA, Haan CK, Rich JB, Normand S-LT, DeLong ER, Shewan CM, Dokholyan RS, Peterson ED, Edwards FH, Anderson RP: </w:t>
      </w:r>
      <w:r w:rsidRPr="00DF795E">
        <w:rPr>
          <w:b/>
          <w:bCs/>
          <w:noProof/>
          <w:szCs w:val="24"/>
        </w:rPr>
        <w:t>The Society of Thoracic Surgeons 2008 Cardiac Surgery Risk Models: Part 3—Valve Plus Coronary Artery Bypass Grafting Surgery</w:t>
      </w:r>
      <w:r w:rsidRPr="00DF795E">
        <w:rPr>
          <w:noProof/>
          <w:szCs w:val="24"/>
        </w:rPr>
        <w:t xml:space="preserve">. </w:t>
      </w:r>
      <w:r w:rsidRPr="00DF795E">
        <w:rPr>
          <w:i/>
          <w:iCs/>
          <w:noProof/>
          <w:szCs w:val="24"/>
        </w:rPr>
        <w:t>Ann Thorac Surg</w:t>
      </w:r>
      <w:r w:rsidRPr="00DF795E">
        <w:rPr>
          <w:noProof/>
          <w:szCs w:val="24"/>
        </w:rPr>
        <w:t xml:space="preserve"> 2009, </w:t>
      </w:r>
      <w:r w:rsidRPr="00DF795E">
        <w:rPr>
          <w:b/>
          <w:bCs/>
          <w:noProof/>
          <w:szCs w:val="24"/>
        </w:rPr>
        <w:t>88</w:t>
      </w:r>
      <w:r w:rsidRPr="00DF795E">
        <w:rPr>
          <w:noProof/>
          <w:szCs w:val="24"/>
        </w:rPr>
        <w:t>:S43–S62.</w:t>
      </w:r>
    </w:p>
    <w:p w14:paraId="3D684CBE"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16. Kotting J, Schiller W, Beckmann A, Schafer E, Dobler K, Hamm C, Veit C, Welz A: </w:t>
      </w:r>
      <w:r w:rsidRPr="00DF795E">
        <w:rPr>
          <w:b/>
          <w:bCs/>
          <w:noProof/>
          <w:szCs w:val="24"/>
        </w:rPr>
        <w:t>German Aortic Valve Score: a new scoring system for prediction of mortality related to aortic valve procedures in adults</w:t>
      </w:r>
      <w:r w:rsidRPr="00DF795E">
        <w:rPr>
          <w:noProof/>
          <w:szCs w:val="24"/>
        </w:rPr>
        <w:t xml:space="preserve">. </w:t>
      </w:r>
      <w:r w:rsidRPr="00DF795E">
        <w:rPr>
          <w:i/>
          <w:iCs/>
          <w:noProof/>
          <w:szCs w:val="24"/>
        </w:rPr>
        <w:t>Eur J Cardio-Thoracic Surg</w:t>
      </w:r>
      <w:r w:rsidRPr="00DF795E">
        <w:rPr>
          <w:noProof/>
          <w:szCs w:val="24"/>
        </w:rPr>
        <w:t xml:space="preserve"> 2013, </w:t>
      </w:r>
      <w:r w:rsidRPr="00DF795E">
        <w:rPr>
          <w:b/>
          <w:bCs/>
          <w:noProof/>
          <w:szCs w:val="24"/>
        </w:rPr>
        <w:t>43</w:t>
      </w:r>
      <w:r w:rsidRPr="00DF795E">
        <w:rPr>
          <w:noProof/>
          <w:szCs w:val="24"/>
        </w:rPr>
        <w:t>:971–977.</w:t>
      </w:r>
    </w:p>
    <w:p w14:paraId="6554F7ED"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17. Breiman L: </w:t>
      </w:r>
      <w:r w:rsidRPr="00DF795E">
        <w:rPr>
          <w:b/>
          <w:bCs/>
          <w:noProof/>
          <w:szCs w:val="24"/>
        </w:rPr>
        <w:t>Stacked Regression</w:t>
      </w:r>
      <w:r w:rsidRPr="00DF795E">
        <w:rPr>
          <w:noProof/>
          <w:szCs w:val="24"/>
        </w:rPr>
        <w:t xml:space="preserve">. </w:t>
      </w:r>
      <w:r w:rsidRPr="00DF795E">
        <w:rPr>
          <w:i/>
          <w:iCs/>
          <w:noProof/>
          <w:szCs w:val="24"/>
        </w:rPr>
        <w:t>Mach Learn</w:t>
      </w:r>
      <w:r w:rsidRPr="00DF795E">
        <w:rPr>
          <w:noProof/>
          <w:szCs w:val="24"/>
        </w:rPr>
        <w:t xml:space="preserve"> 1996, </w:t>
      </w:r>
      <w:r w:rsidRPr="00DF795E">
        <w:rPr>
          <w:b/>
          <w:bCs/>
          <w:noProof/>
          <w:szCs w:val="24"/>
        </w:rPr>
        <w:t>24</w:t>
      </w:r>
      <w:r w:rsidRPr="00DF795E">
        <w:rPr>
          <w:noProof/>
          <w:szCs w:val="24"/>
        </w:rPr>
        <w:t>:49–64.</w:t>
      </w:r>
    </w:p>
    <w:p w14:paraId="07B83650"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18. Debray TPA, Koffijberg H, Vergouwe Y, Moons KGM, Steyerberg EW: </w:t>
      </w:r>
      <w:r w:rsidRPr="00DF795E">
        <w:rPr>
          <w:b/>
          <w:bCs/>
          <w:noProof/>
          <w:szCs w:val="24"/>
        </w:rPr>
        <w:t>Aggregating published prediction models with individual participant data: a comparison of different approaches</w:t>
      </w:r>
      <w:r w:rsidRPr="00DF795E">
        <w:rPr>
          <w:noProof/>
          <w:szCs w:val="24"/>
        </w:rPr>
        <w:t xml:space="preserve">. </w:t>
      </w:r>
      <w:r w:rsidRPr="00DF795E">
        <w:rPr>
          <w:i/>
          <w:iCs/>
          <w:noProof/>
          <w:szCs w:val="24"/>
        </w:rPr>
        <w:t>Stat Med</w:t>
      </w:r>
      <w:r w:rsidRPr="00DF795E">
        <w:rPr>
          <w:noProof/>
          <w:szCs w:val="24"/>
        </w:rPr>
        <w:t xml:space="preserve"> 2012, </w:t>
      </w:r>
      <w:r w:rsidRPr="00DF795E">
        <w:rPr>
          <w:b/>
          <w:bCs/>
          <w:noProof/>
          <w:szCs w:val="24"/>
        </w:rPr>
        <w:t>31</w:t>
      </w:r>
      <w:r w:rsidRPr="00DF795E">
        <w:rPr>
          <w:noProof/>
          <w:szCs w:val="24"/>
        </w:rPr>
        <w:t>:2697–2712.</w:t>
      </w:r>
    </w:p>
    <w:p w14:paraId="41084E2A"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19. Hotelling H: </w:t>
      </w:r>
      <w:r w:rsidRPr="00DF795E">
        <w:rPr>
          <w:b/>
          <w:bCs/>
          <w:noProof/>
          <w:szCs w:val="24"/>
        </w:rPr>
        <w:t>Analysis of a complex of statistical variables into principal components.</w:t>
      </w:r>
      <w:r w:rsidRPr="00DF795E">
        <w:rPr>
          <w:noProof/>
          <w:szCs w:val="24"/>
        </w:rPr>
        <w:t xml:space="preserve"> </w:t>
      </w:r>
      <w:r w:rsidRPr="00DF795E">
        <w:rPr>
          <w:i/>
          <w:iCs/>
          <w:noProof/>
          <w:szCs w:val="24"/>
        </w:rPr>
        <w:t>J Educ Psychol</w:t>
      </w:r>
      <w:r w:rsidRPr="00DF795E">
        <w:rPr>
          <w:noProof/>
          <w:szCs w:val="24"/>
        </w:rPr>
        <w:t xml:space="preserve"> 1933, </w:t>
      </w:r>
      <w:r w:rsidRPr="00DF795E">
        <w:rPr>
          <w:b/>
          <w:bCs/>
          <w:noProof/>
          <w:szCs w:val="24"/>
        </w:rPr>
        <w:t>24</w:t>
      </w:r>
      <w:r w:rsidRPr="00DF795E">
        <w:rPr>
          <w:noProof/>
          <w:szCs w:val="24"/>
        </w:rPr>
        <w:t>:417–441.</w:t>
      </w:r>
    </w:p>
    <w:p w14:paraId="76AB7673" w14:textId="1877A7C0"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20. Merz CJ, Pazzani MJ: </w:t>
      </w:r>
      <w:r w:rsidRPr="00DF795E">
        <w:rPr>
          <w:b/>
          <w:bCs/>
          <w:noProof/>
          <w:szCs w:val="24"/>
        </w:rPr>
        <w:t>A Principal Components Approach to Combining Regression Estimates</w:t>
      </w:r>
      <w:r w:rsidRPr="00DF795E">
        <w:rPr>
          <w:noProof/>
          <w:szCs w:val="24"/>
        </w:rPr>
        <w:t xml:space="preserve">. </w:t>
      </w:r>
      <w:r w:rsidRPr="00DF795E">
        <w:rPr>
          <w:i/>
          <w:iCs/>
          <w:noProof/>
          <w:szCs w:val="24"/>
        </w:rPr>
        <w:t>Mach Learn</w:t>
      </w:r>
      <w:r w:rsidRPr="00DF795E">
        <w:rPr>
          <w:noProof/>
          <w:szCs w:val="24"/>
        </w:rPr>
        <w:t xml:space="preserve"> 1999, </w:t>
      </w:r>
      <w:r w:rsidRPr="00DF795E">
        <w:rPr>
          <w:b/>
          <w:bCs/>
          <w:noProof/>
          <w:szCs w:val="24"/>
        </w:rPr>
        <w:t>36</w:t>
      </w:r>
      <w:r w:rsidRPr="00DF795E">
        <w:rPr>
          <w:noProof/>
          <w:szCs w:val="24"/>
        </w:rPr>
        <w:t>:9–32.</w:t>
      </w:r>
    </w:p>
    <w:p w14:paraId="2AEC07C6"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21. Vergouwe Y, Steyerberg EW, Eijkemans MJC, Habbema JDF: </w:t>
      </w:r>
      <w:r w:rsidRPr="00DF795E">
        <w:rPr>
          <w:b/>
          <w:bCs/>
          <w:noProof/>
          <w:szCs w:val="24"/>
        </w:rPr>
        <w:t>Substantial effective sample sizes were required for external validation studies of predictive logistic regression models</w:t>
      </w:r>
      <w:r w:rsidRPr="00DF795E">
        <w:rPr>
          <w:noProof/>
          <w:szCs w:val="24"/>
        </w:rPr>
        <w:t xml:space="preserve">. </w:t>
      </w:r>
      <w:r w:rsidRPr="00DF795E">
        <w:rPr>
          <w:i/>
          <w:iCs/>
          <w:noProof/>
          <w:szCs w:val="24"/>
        </w:rPr>
        <w:t>J Clin Epidemiol</w:t>
      </w:r>
      <w:r w:rsidRPr="00DF795E">
        <w:rPr>
          <w:noProof/>
          <w:szCs w:val="24"/>
        </w:rPr>
        <w:t xml:space="preserve"> 2005, </w:t>
      </w:r>
      <w:r w:rsidRPr="00DF795E">
        <w:rPr>
          <w:b/>
          <w:bCs/>
          <w:noProof/>
          <w:szCs w:val="24"/>
        </w:rPr>
        <w:t>58</w:t>
      </w:r>
      <w:r w:rsidRPr="00DF795E">
        <w:rPr>
          <w:noProof/>
          <w:szCs w:val="24"/>
        </w:rPr>
        <w:t>:475–483.</w:t>
      </w:r>
    </w:p>
    <w:p w14:paraId="3BF30348"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22. Collins GS, Ogundimu EO, Altman DG: </w:t>
      </w:r>
      <w:r w:rsidRPr="00DF795E">
        <w:rPr>
          <w:b/>
          <w:bCs/>
          <w:noProof/>
          <w:szCs w:val="24"/>
        </w:rPr>
        <w:t>Sample size considerations for the external validation of a multivariable prognostic model: a resampling study</w:t>
      </w:r>
      <w:r w:rsidRPr="00DF795E">
        <w:rPr>
          <w:noProof/>
          <w:szCs w:val="24"/>
        </w:rPr>
        <w:t xml:space="preserve">. </w:t>
      </w:r>
      <w:r w:rsidRPr="00DF795E">
        <w:rPr>
          <w:i/>
          <w:iCs/>
          <w:noProof/>
          <w:szCs w:val="24"/>
        </w:rPr>
        <w:t>Stat Med</w:t>
      </w:r>
      <w:r w:rsidRPr="00DF795E">
        <w:rPr>
          <w:noProof/>
          <w:szCs w:val="24"/>
        </w:rPr>
        <w:t xml:space="preserve"> 2016, </w:t>
      </w:r>
      <w:r w:rsidRPr="00DF795E">
        <w:rPr>
          <w:b/>
          <w:bCs/>
          <w:noProof/>
          <w:szCs w:val="24"/>
        </w:rPr>
        <w:t>35</w:t>
      </w:r>
      <w:r w:rsidRPr="00DF795E">
        <w:rPr>
          <w:noProof/>
          <w:szCs w:val="24"/>
        </w:rPr>
        <w:t>:214–226.</w:t>
      </w:r>
    </w:p>
    <w:p w14:paraId="74D1BE84"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23. Peek N, Arts DGT, Bosman RJ, van der Voort PHJ, de Keizer NF: </w:t>
      </w:r>
      <w:r w:rsidRPr="00DF795E">
        <w:rPr>
          <w:b/>
          <w:bCs/>
          <w:noProof/>
          <w:szCs w:val="24"/>
        </w:rPr>
        <w:t>External validation of prognostic models for critically ill patients required substantial sample sizes</w:t>
      </w:r>
      <w:r w:rsidRPr="00DF795E">
        <w:rPr>
          <w:noProof/>
          <w:szCs w:val="24"/>
        </w:rPr>
        <w:t xml:space="preserve">. </w:t>
      </w:r>
      <w:r w:rsidRPr="00DF795E">
        <w:rPr>
          <w:i/>
          <w:iCs/>
          <w:noProof/>
          <w:szCs w:val="24"/>
        </w:rPr>
        <w:t>J Clin Epidemiol</w:t>
      </w:r>
      <w:r w:rsidRPr="00DF795E">
        <w:rPr>
          <w:noProof/>
          <w:szCs w:val="24"/>
        </w:rPr>
        <w:t xml:space="preserve"> 2007, </w:t>
      </w:r>
      <w:r w:rsidRPr="00DF795E">
        <w:rPr>
          <w:b/>
          <w:bCs/>
          <w:noProof/>
          <w:szCs w:val="24"/>
        </w:rPr>
        <w:t>60</w:t>
      </w:r>
      <w:r w:rsidRPr="00DF795E">
        <w:rPr>
          <w:noProof/>
          <w:szCs w:val="24"/>
        </w:rPr>
        <w:t>:491–501.</w:t>
      </w:r>
    </w:p>
    <w:p w14:paraId="2D86B43B" w14:textId="7D91065D"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24. Austin PC, Steyerberg EW: </w:t>
      </w:r>
      <w:r w:rsidRPr="00DF795E">
        <w:rPr>
          <w:b/>
          <w:bCs/>
          <w:noProof/>
          <w:szCs w:val="24"/>
        </w:rPr>
        <w:t>Events per variable (EPV) and the relative performance of different strategies for estimating the out-of-sample validity of logistic regression models</w:t>
      </w:r>
      <w:r w:rsidRPr="00DF795E">
        <w:rPr>
          <w:noProof/>
          <w:szCs w:val="24"/>
        </w:rPr>
        <w:t xml:space="preserve">. </w:t>
      </w:r>
      <w:r w:rsidRPr="00DF795E">
        <w:rPr>
          <w:i/>
          <w:iCs/>
          <w:noProof/>
          <w:szCs w:val="24"/>
        </w:rPr>
        <w:t>Stat Methods Med Res</w:t>
      </w:r>
      <w:r w:rsidRPr="00DF795E">
        <w:rPr>
          <w:noProof/>
          <w:szCs w:val="24"/>
        </w:rPr>
        <w:t xml:space="preserve"> 2014</w:t>
      </w:r>
      <w:r w:rsidR="00A646FC">
        <w:rPr>
          <w:noProof/>
          <w:szCs w:val="24"/>
        </w:rPr>
        <w:t xml:space="preserve">; doi: </w:t>
      </w:r>
      <w:r w:rsidR="00A646FC" w:rsidRPr="00C045BF">
        <w:rPr>
          <w:noProof/>
          <w:szCs w:val="24"/>
        </w:rPr>
        <w:t>10.1177/0962280214558972</w:t>
      </w:r>
      <w:r w:rsidR="00A646FC" w:rsidRPr="00A23B1C">
        <w:rPr>
          <w:noProof/>
          <w:szCs w:val="24"/>
        </w:rPr>
        <w:t>.</w:t>
      </w:r>
      <w:r w:rsidRPr="00DF795E">
        <w:rPr>
          <w:noProof/>
          <w:szCs w:val="24"/>
        </w:rPr>
        <w:t>.</w:t>
      </w:r>
    </w:p>
    <w:p w14:paraId="23BD1307"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25. R Core Team R: </w:t>
      </w:r>
      <w:r w:rsidRPr="00DF795E">
        <w:rPr>
          <w:b/>
          <w:bCs/>
          <w:noProof/>
          <w:szCs w:val="24"/>
        </w:rPr>
        <w:t>R: A Language and Environment for Statistical Computing</w:t>
      </w:r>
      <w:r w:rsidRPr="00DF795E">
        <w:rPr>
          <w:noProof/>
          <w:szCs w:val="24"/>
        </w:rPr>
        <w:t xml:space="preserve">. </w:t>
      </w:r>
      <w:r w:rsidRPr="00DF795E">
        <w:rPr>
          <w:i/>
          <w:iCs/>
          <w:noProof/>
          <w:szCs w:val="24"/>
        </w:rPr>
        <w:t>R Foundation for Statistical Computing</w:t>
      </w:r>
      <w:r w:rsidRPr="00DF795E">
        <w:rPr>
          <w:noProof/>
          <w:szCs w:val="24"/>
        </w:rPr>
        <w:t xml:space="preserve"> 2016. [</w:t>
      </w:r>
      <w:r w:rsidRPr="00DF795E">
        <w:rPr>
          <w:i/>
          <w:iCs/>
          <w:noProof/>
          <w:szCs w:val="24"/>
        </w:rPr>
        <w:t>R Foundation for Statistical Computing</w:t>
      </w:r>
      <w:r w:rsidRPr="00DF795E">
        <w:rPr>
          <w:noProof/>
          <w:szCs w:val="24"/>
        </w:rPr>
        <w:t>]</w:t>
      </w:r>
    </w:p>
    <w:p w14:paraId="278FB3FC"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26. Robin X, Turck N, Hainard A, Tiberti N, Lisacek F, Sanchez J-C, Müller M: </w:t>
      </w:r>
      <w:r w:rsidRPr="00DF795E">
        <w:rPr>
          <w:b/>
          <w:bCs/>
          <w:noProof/>
          <w:szCs w:val="24"/>
        </w:rPr>
        <w:t>pROC: an open-source package for R and S+ to analyze and compare ROC curves</w:t>
      </w:r>
      <w:r w:rsidRPr="00DF795E">
        <w:rPr>
          <w:noProof/>
          <w:szCs w:val="24"/>
        </w:rPr>
        <w:t xml:space="preserve">. </w:t>
      </w:r>
      <w:r w:rsidRPr="00DF795E">
        <w:rPr>
          <w:i/>
          <w:iCs/>
          <w:noProof/>
          <w:szCs w:val="24"/>
        </w:rPr>
        <w:t>BMC Bioinformatics</w:t>
      </w:r>
      <w:r w:rsidRPr="00DF795E">
        <w:rPr>
          <w:noProof/>
          <w:szCs w:val="24"/>
        </w:rPr>
        <w:t xml:space="preserve"> 2011, </w:t>
      </w:r>
      <w:r w:rsidRPr="00DF795E">
        <w:rPr>
          <w:b/>
          <w:bCs/>
          <w:noProof/>
          <w:szCs w:val="24"/>
        </w:rPr>
        <w:t>12</w:t>
      </w:r>
      <w:r w:rsidRPr="00DF795E">
        <w:rPr>
          <w:noProof/>
          <w:szCs w:val="24"/>
        </w:rPr>
        <w:t>:77.</w:t>
      </w:r>
    </w:p>
    <w:p w14:paraId="4EF8861D"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27. Bertrand F, Meyer N, Maumy-Bertrand M: </w:t>
      </w:r>
      <w:r w:rsidRPr="00DF795E">
        <w:rPr>
          <w:b/>
          <w:bCs/>
          <w:noProof/>
          <w:szCs w:val="24"/>
        </w:rPr>
        <w:t>Partial Least Squares Regression for Generalized Linear Models</w:t>
      </w:r>
      <w:r w:rsidRPr="00DF795E">
        <w:rPr>
          <w:noProof/>
          <w:szCs w:val="24"/>
        </w:rPr>
        <w:t>. 2014.</w:t>
      </w:r>
    </w:p>
    <w:p w14:paraId="2F3DEFE3"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28. Friedman J, Hastie T, Tibshirani R: </w:t>
      </w:r>
      <w:r w:rsidRPr="00DF795E">
        <w:rPr>
          <w:b/>
          <w:bCs/>
          <w:noProof/>
          <w:szCs w:val="24"/>
        </w:rPr>
        <w:t>Regularization Paths for Generalized Linear Models via Coordinate Descent</w:t>
      </w:r>
      <w:r w:rsidRPr="00DF795E">
        <w:rPr>
          <w:noProof/>
          <w:szCs w:val="24"/>
        </w:rPr>
        <w:t xml:space="preserve">. </w:t>
      </w:r>
      <w:r w:rsidRPr="00DF795E">
        <w:rPr>
          <w:i/>
          <w:iCs/>
          <w:noProof/>
          <w:szCs w:val="24"/>
        </w:rPr>
        <w:t>J Stat Softw</w:t>
      </w:r>
      <w:r w:rsidRPr="00DF795E">
        <w:rPr>
          <w:noProof/>
          <w:szCs w:val="24"/>
        </w:rPr>
        <w:t xml:space="preserve"> 2010, </w:t>
      </w:r>
      <w:r w:rsidRPr="00DF795E">
        <w:rPr>
          <w:b/>
          <w:bCs/>
          <w:noProof/>
          <w:szCs w:val="24"/>
        </w:rPr>
        <w:t>33</w:t>
      </w:r>
      <w:r w:rsidRPr="00DF795E">
        <w:rPr>
          <w:noProof/>
          <w:szCs w:val="24"/>
        </w:rPr>
        <w:t>:1–22.</w:t>
      </w:r>
    </w:p>
    <w:p w14:paraId="762899C6"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29. Sperrin M, Jaki T: </w:t>
      </w:r>
      <w:r w:rsidRPr="00DF795E">
        <w:rPr>
          <w:b/>
          <w:bCs/>
          <w:noProof/>
          <w:szCs w:val="24"/>
        </w:rPr>
        <w:t>Recovering Independent Associations in Genetics: A Comparison</w:t>
      </w:r>
      <w:r w:rsidRPr="00DF795E">
        <w:rPr>
          <w:noProof/>
          <w:szCs w:val="24"/>
        </w:rPr>
        <w:t xml:space="preserve">. </w:t>
      </w:r>
      <w:r w:rsidRPr="00DF795E">
        <w:rPr>
          <w:i/>
          <w:iCs/>
          <w:noProof/>
          <w:szCs w:val="24"/>
        </w:rPr>
        <w:t>J Comput Biol</w:t>
      </w:r>
      <w:r w:rsidRPr="00DF795E">
        <w:rPr>
          <w:noProof/>
          <w:szCs w:val="24"/>
        </w:rPr>
        <w:t xml:space="preserve"> 2012, </w:t>
      </w:r>
      <w:r w:rsidRPr="00DF795E">
        <w:rPr>
          <w:b/>
          <w:bCs/>
          <w:noProof/>
          <w:szCs w:val="24"/>
        </w:rPr>
        <w:t>19</w:t>
      </w:r>
      <w:r w:rsidRPr="00DF795E">
        <w:rPr>
          <w:noProof/>
          <w:szCs w:val="24"/>
        </w:rPr>
        <w:t>:978–987.</w:t>
      </w:r>
    </w:p>
    <w:p w14:paraId="0EA0379F"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30. Cox D: </w:t>
      </w:r>
      <w:r w:rsidRPr="00DF795E">
        <w:rPr>
          <w:b/>
          <w:bCs/>
          <w:noProof/>
          <w:szCs w:val="24"/>
        </w:rPr>
        <w:t>Two further applications of a model for binary regression</w:t>
      </w:r>
      <w:r w:rsidRPr="00DF795E">
        <w:rPr>
          <w:noProof/>
          <w:szCs w:val="24"/>
        </w:rPr>
        <w:t xml:space="preserve">. </w:t>
      </w:r>
      <w:r w:rsidRPr="00DF795E">
        <w:rPr>
          <w:i/>
          <w:iCs/>
          <w:noProof/>
          <w:szCs w:val="24"/>
        </w:rPr>
        <w:t>Biometrika</w:t>
      </w:r>
      <w:r w:rsidRPr="00DF795E">
        <w:rPr>
          <w:noProof/>
          <w:szCs w:val="24"/>
        </w:rPr>
        <w:t xml:space="preserve"> 1958, </w:t>
      </w:r>
      <w:r w:rsidRPr="00DF795E">
        <w:rPr>
          <w:b/>
          <w:bCs/>
          <w:noProof/>
          <w:szCs w:val="24"/>
        </w:rPr>
        <w:t>45</w:t>
      </w:r>
      <w:r w:rsidRPr="00DF795E">
        <w:rPr>
          <w:noProof/>
          <w:szCs w:val="24"/>
        </w:rPr>
        <w:t>:562–565.</w:t>
      </w:r>
    </w:p>
    <w:p w14:paraId="33827773"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31. Steyerberg E: </w:t>
      </w:r>
      <w:r w:rsidRPr="00DF795E">
        <w:rPr>
          <w:b/>
          <w:bCs/>
          <w:noProof/>
          <w:szCs w:val="24"/>
        </w:rPr>
        <w:t>Stepwise Selection in Small Data Sets A Simulation Study of Bias in Logistic Regression Analysis</w:t>
      </w:r>
      <w:r w:rsidRPr="00DF795E">
        <w:rPr>
          <w:noProof/>
          <w:szCs w:val="24"/>
        </w:rPr>
        <w:t xml:space="preserve">. </w:t>
      </w:r>
      <w:r w:rsidRPr="00DF795E">
        <w:rPr>
          <w:i/>
          <w:iCs/>
          <w:noProof/>
          <w:szCs w:val="24"/>
        </w:rPr>
        <w:t>J Clin Epidemiol</w:t>
      </w:r>
      <w:r w:rsidRPr="00DF795E">
        <w:rPr>
          <w:noProof/>
          <w:szCs w:val="24"/>
        </w:rPr>
        <w:t xml:space="preserve"> 1999, </w:t>
      </w:r>
      <w:r w:rsidRPr="00DF795E">
        <w:rPr>
          <w:b/>
          <w:bCs/>
          <w:noProof/>
          <w:szCs w:val="24"/>
        </w:rPr>
        <w:t>52</w:t>
      </w:r>
      <w:r w:rsidRPr="00DF795E">
        <w:rPr>
          <w:noProof/>
          <w:szCs w:val="24"/>
        </w:rPr>
        <w:t>:935–942.</w:t>
      </w:r>
    </w:p>
    <w:p w14:paraId="2F2D4275"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32. Steyerberg EW, Eijkemans MJC, Harrell FE, Habbema JDF: </w:t>
      </w:r>
      <w:r w:rsidRPr="00DF795E">
        <w:rPr>
          <w:b/>
          <w:bCs/>
          <w:noProof/>
          <w:szCs w:val="24"/>
        </w:rPr>
        <w:t>Prognostic Modeling with Logistic Regression Analysis: In Search of a Sensible Strategy in Small Data Sets</w:t>
      </w:r>
      <w:r w:rsidRPr="00DF795E">
        <w:rPr>
          <w:noProof/>
          <w:szCs w:val="24"/>
        </w:rPr>
        <w:t xml:space="preserve">. </w:t>
      </w:r>
      <w:r w:rsidRPr="00DF795E">
        <w:rPr>
          <w:i/>
          <w:iCs/>
          <w:noProof/>
          <w:szCs w:val="24"/>
        </w:rPr>
        <w:t>Med Decis Mak</w:t>
      </w:r>
      <w:r w:rsidRPr="00DF795E">
        <w:rPr>
          <w:noProof/>
          <w:szCs w:val="24"/>
        </w:rPr>
        <w:t xml:space="preserve"> 2001, </w:t>
      </w:r>
      <w:r w:rsidRPr="00DF795E">
        <w:rPr>
          <w:b/>
          <w:bCs/>
          <w:noProof/>
          <w:szCs w:val="24"/>
        </w:rPr>
        <w:t>21</w:t>
      </w:r>
      <w:r w:rsidRPr="00DF795E">
        <w:rPr>
          <w:noProof/>
          <w:szCs w:val="24"/>
        </w:rPr>
        <w:t>:45–56.</w:t>
      </w:r>
    </w:p>
    <w:p w14:paraId="765B4783"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33. Toll DB, Janssen KJM, Vergouwe Y, Moons KGM: </w:t>
      </w:r>
      <w:r w:rsidRPr="00DF795E">
        <w:rPr>
          <w:b/>
          <w:bCs/>
          <w:noProof/>
          <w:szCs w:val="24"/>
        </w:rPr>
        <w:t>Validation, updating and impact of clinical prediction rules: A review</w:t>
      </w:r>
      <w:r w:rsidRPr="00DF795E">
        <w:rPr>
          <w:noProof/>
          <w:szCs w:val="24"/>
        </w:rPr>
        <w:t xml:space="preserve">. </w:t>
      </w:r>
      <w:r w:rsidRPr="00DF795E">
        <w:rPr>
          <w:i/>
          <w:iCs/>
          <w:noProof/>
          <w:szCs w:val="24"/>
        </w:rPr>
        <w:t>J Clin Epidemiol</w:t>
      </w:r>
      <w:r w:rsidRPr="00DF795E">
        <w:rPr>
          <w:noProof/>
          <w:szCs w:val="24"/>
        </w:rPr>
        <w:t xml:space="preserve"> 2008, </w:t>
      </w:r>
      <w:r w:rsidRPr="00DF795E">
        <w:rPr>
          <w:b/>
          <w:bCs/>
          <w:noProof/>
          <w:szCs w:val="24"/>
        </w:rPr>
        <w:t>61</w:t>
      </w:r>
      <w:r w:rsidRPr="00DF795E">
        <w:rPr>
          <w:noProof/>
          <w:szCs w:val="24"/>
        </w:rPr>
        <w:t>:1085–1094.</w:t>
      </w:r>
    </w:p>
    <w:p w14:paraId="26D35198"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34. Steyerberg EW, Eijkemans MJC, Van Houwelingen JC, Lee KL, Habbema JDF: </w:t>
      </w:r>
      <w:r w:rsidRPr="00DF795E">
        <w:rPr>
          <w:b/>
          <w:bCs/>
          <w:noProof/>
          <w:szCs w:val="24"/>
        </w:rPr>
        <w:t>Prognostic models based on literature and individual patient data in logistic regression analysis</w:t>
      </w:r>
      <w:r w:rsidRPr="00DF795E">
        <w:rPr>
          <w:noProof/>
          <w:szCs w:val="24"/>
        </w:rPr>
        <w:t xml:space="preserve">. </w:t>
      </w:r>
      <w:r w:rsidRPr="00DF795E">
        <w:rPr>
          <w:i/>
          <w:iCs/>
          <w:noProof/>
          <w:szCs w:val="24"/>
        </w:rPr>
        <w:t>Stat Med</w:t>
      </w:r>
      <w:r w:rsidRPr="00DF795E">
        <w:rPr>
          <w:noProof/>
          <w:szCs w:val="24"/>
        </w:rPr>
        <w:t xml:space="preserve"> 2000, </w:t>
      </w:r>
      <w:r w:rsidRPr="00DF795E">
        <w:rPr>
          <w:b/>
          <w:bCs/>
          <w:noProof/>
          <w:szCs w:val="24"/>
        </w:rPr>
        <w:t>19</w:t>
      </w:r>
      <w:r w:rsidRPr="00DF795E">
        <w:rPr>
          <w:noProof/>
          <w:szCs w:val="24"/>
        </w:rPr>
        <w:t>:141–160.</w:t>
      </w:r>
    </w:p>
    <w:p w14:paraId="13EE085E"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35. Riley RD, Simmonds MC, Look MP: </w:t>
      </w:r>
      <w:r w:rsidRPr="00DF795E">
        <w:rPr>
          <w:b/>
          <w:bCs/>
          <w:noProof/>
          <w:szCs w:val="24"/>
        </w:rPr>
        <w:t>Evidence synthesis combining individual patient data and aggregate data: a systematic review identified current practice and possible methods</w:t>
      </w:r>
      <w:r w:rsidRPr="00DF795E">
        <w:rPr>
          <w:noProof/>
          <w:szCs w:val="24"/>
        </w:rPr>
        <w:t xml:space="preserve">. </w:t>
      </w:r>
      <w:r w:rsidRPr="00DF795E">
        <w:rPr>
          <w:i/>
          <w:iCs/>
          <w:noProof/>
          <w:szCs w:val="24"/>
        </w:rPr>
        <w:t>J Clin Epidemiol</w:t>
      </w:r>
      <w:r w:rsidRPr="00DF795E">
        <w:rPr>
          <w:noProof/>
          <w:szCs w:val="24"/>
        </w:rPr>
        <w:t xml:space="preserve"> 2007, </w:t>
      </w:r>
      <w:r w:rsidRPr="00DF795E">
        <w:rPr>
          <w:b/>
          <w:bCs/>
          <w:noProof/>
          <w:szCs w:val="24"/>
        </w:rPr>
        <w:t>60</w:t>
      </w:r>
      <w:r w:rsidRPr="00DF795E">
        <w:rPr>
          <w:noProof/>
          <w:szCs w:val="24"/>
        </w:rPr>
        <w:t>:431–439.</w:t>
      </w:r>
    </w:p>
    <w:p w14:paraId="2DC3B0F4"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36. Yoneoka D, Henmi M, Sawada N, Inoue M: </w:t>
      </w:r>
      <w:r w:rsidRPr="00DF795E">
        <w:rPr>
          <w:b/>
          <w:bCs/>
          <w:noProof/>
          <w:szCs w:val="24"/>
        </w:rPr>
        <w:t>Synthesis of clinical prediction models under different sets of covariates with one individual patient data</w:t>
      </w:r>
      <w:r w:rsidRPr="00DF795E">
        <w:rPr>
          <w:noProof/>
          <w:szCs w:val="24"/>
        </w:rPr>
        <w:t xml:space="preserve">. </w:t>
      </w:r>
      <w:r w:rsidRPr="00DF795E">
        <w:rPr>
          <w:i/>
          <w:iCs/>
          <w:noProof/>
          <w:szCs w:val="24"/>
        </w:rPr>
        <w:t>BMC Med Res Methodol</w:t>
      </w:r>
      <w:r w:rsidRPr="00DF795E">
        <w:rPr>
          <w:noProof/>
          <w:szCs w:val="24"/>
        </w:rPr>
        <w:t xml:space="preserve"> 2015, </w:t>
      </w:r>
      <w:r w:rsidRPr="00DF795E">
        <w:rPr>
          <w:b/>
          <w:bCs/>
          <w:noProof/>
          <w:szCs w:val="24"/>
        </w:rPr>
        <w:t>15</w:t>
      </w:r>
      <w:r w:rsidRPr="00DF795E">
        <w:rPr>
          <w:noProof/>
          <w:szCs w:val="24"/>
        </w:rPr>
        <w:t>:101.</w:t>
      </w:r>
    </w:p>
    <w:p w14:paraId="476839F6" w14:textId="6485432C"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37. Held U, Kessels A, Garcia Aymerich J, Basagaña X, ter Riet G, Moons KGM, Puhan MA: </w:t>
      </w:r>
      <w:r w:rsidRPr="00DF795E">
        <w:rPr>
          <w:b/>
          <w:bCs/>
          <w:noProof/>
          <w:szCs w:val="24"/>
        </w:rPr>
        <w:t>Methods for Handling Missing Variables in Risk Prediction Models</w:t>
      </w:r>
      <w:r w:rsidRPr="00DF795E">
        <w:rPr>
          <w:noProof/>
          <w:szCs w:val="24"/>
        </w:rPr>
        <w:t xml:space="preserve">. </w:t>
      </w:r>
      <w:r w:rsidRPr="00DF795E">
        <w:rPr>
          <w:i/>
          <w:iCs/>
          <w:noProof/>
          <w:szCs w:val="24"/>
        </w:rPr>
        <w:t>Am J Epidemiol</w:t>
      </w:r>
      <w:r w:rsidRPr="00DF795E">
        <w:rPr>
          <w:noProof/>
          <w:szCs w:val="24"/>
        </w:rPr>
        <w:t xml:space="preserve"> 2016</w:t>
      </w:r>
      <w:r w:rsidR="00786201">
        <w:rPr>
          <w:noProof/>
          <w:szCs w:val="24"/>
        </w:rPr>
        <w:t xml:space="preserve">; doi: </w:t>
      </w:r>
      <w:r w:rsidR="00786201" w:rsidRPr="00C045BF">
        <w:rPr>
          <w:noProof/>
          <w:szCs w:val="24"/>
        </w:rPr>
        <w:t>10.1093/aje/kwv346</w:t>
      </w:r>
      <w:r w:rsidR="00786201" w:rsidRPr="00A23B1C">
        <w:rPr>
          <w:noProof/>
          <w:szCs w:val="24"/>
        </w:rPr>
        <w:t>.</w:t>
      </w:r>
    </w:p>
    <w:p w14:paraId="04846A7D" w14:textId="77777777" w:rsidR="00DF795E" w:rsidRPr="00DF795E" w:rsidRDefault="00DF795E" w:rsidP="00DF795E">
      <w:pPr>
        <w:widowControl w:val="0"/>
        <w:autoSpaceDE w:val="0"/>
        <w:autoSpaceDN w:val="0"/>
        <w:adjustRightInd w:val="0"/>
        <w:spacing w:before="100" w:after="100"/>
        <w:rPr>
          <w:noProof/>
          <w:szCs w:val="24"/>
        </w:rPr>
      </w:pPr>
      <w:r w:rsidRPr="00DF795E">
        <w:rPr>
          <w:noProof/>
          <w:szCs w:val="24"/>
        </w:rPr>
        <w:t xml:space="preserve">38. Hemingway H, Riley RD, Altman DG: </w:t>
      </w:r>
      <w:r w:rsidRPr="00DF795E">
        <w:rPr>
          <w:b/>
          <w:bCs/>
          <w:noProof/>
          <w:szCs w:val="24"/>
        </w:rPr>
        <w:t>Ten steps towards improving prognosis research</w:t>
      </w:r>
      <w:r w:rsidRPr="00DF795E">
        <w:rPr>
          <w:noProof/>
          <w:szCs w:val="24"/>
        </w:rPr>
        <w:t xml:space="preserve">. </w:t>
      </w:r>
      <w:r w:rsidRPr="00DF795E">
        <w:rPr>
          <w:i/>
          <w:iCs/>
          <w:noProof/>
          <w:szCs w:val="24"/>
        </w:rPr>
        <w:t>BMJ</w:t>
      </w:r>
      <w:r w:rsidRPr="00DF795E">
        <w:rPr>
          <w:noProof/>
          <w:szCs w:val="24"/>
        </w:rPr>
        <w:t xml:space="preserve"> 2009, </w:t>
      </w:r>
      <w:r w:rsidRPr="00DF795E">
        <w:rPr>
          <w:b/>
          <w:bCs/>
          <w:noProof/>
          <w:szCs w:val="24"/>
        </w:rPr>
        <w:t>339</w:t>
      </w:r>
      <w:r w:rsidRPr="00DF795E">
        <w:rPr>
          <w:noProof/>
          <w:szCs w:val="24"/>
        </w:rPr>
        <w:t>:b4184.</w:t>
      </w:r>
    </w:p>
    <w:p w14:paraId="66F5E1E6" w14:textId="77777777" w:rsidR="00DF795E" w:rsidRPr="00DF795E" w:rsidRDefault="00DF795E" w:rsidP="00DF795E">
      <w:pPr>
        <w:widowControl w:val="0"/>
        <w:autoSpaceDE w:val="0"/>
        <w:autoSpaceDN w:val="0"/>
        <w:adjustRightInd w:val="0"/>
        <w:spacing w:before="100" w:after="100"/>
        <w:rPr>
          <w:noProof/>
        </w:rPr>
      </w:pPr>
      <w:r w:rsidRPr="00DF795E">
        <w:rPr>
          <w:noProof/>
          <w:szCs w:val="24"/>
        </w:rPr>
        <w:t xml:space="preserve">39. Debray TPA, Vergouwe Y, Koffijberg H, Nieboer D, Steyerberg EW, Moons KGM: </w:t>
      </w:r>
      <w:r w:rsidRPr="00DF795E">
        <w:rPr>
          <w:b/>
          <w:bCs/>
          <w:noProof/>
          <w:szCs w:val="24"/>
        </w:rPr>
        <w:t>A new framework to enhance the interpretation of external validation studies of clinical prediction models</w:t>
      </w:r>
      <w:r w:rsidRPr="00DF795E">
        <w:rPr>
          <w:noProof/>
          <w:szCs w:val="24"/>
        </w:rPr>
        <w:t xml:space="preserve">. </w:t>
      </w:r>
      <w:r w:rsidRPr="00DF795E">
        <w:rPr>
          <w:i/>
          <w:iCs/>
          <w:noProof/>
          <w:szCs w:val="24"/>
        </w:rPr>
        <w:t>J Clin Epidemiol</w:t>
      </w:r>
      <w:r w:rsidRPr="00DF795E">
        <w:rPr>
          <w:noProof/>
          <w:szCs w:val="24"/>
        </w:rPr>
        <w:t xml:space="preserve"> 2015, </w:t>
      </w:r>
      <w:r w:rsidRPr="00DF795E">
        <w:rPr>
          <w:b/>
          <w:bCs/>
          <w:noProof/>
          <w:szCs w:val="24"/>
        </w:rPr>
        <w:t>68</w:t>
      </w:r>
      <w:r w:rsidRPr="00DF795E">
        <w:rPr>
          <w:noProof/>
          <w:szCs w:val="24"/>
        </w:rPr>
        <w:t>:279–289.</w:t>
      </w:r>
    </w:p>
    <w:p w14:paraId="0FCFC822" w14:textId="00864479" w:rsidR="005A0FAD" w:rsidRPr="009D7F5F" w:rsidRDefault="00FD6C28" w:rsidP="008B71B6">
      <w:pPr>
        <w:widowControl w:val="0"/>
        <w:autoSpaceDE w:val="0"/>
        <w:autoSpaceDN w:val="0"/>
        <w:adjustRightInd w:val="0"/>
        <w:spacing w:before="100" w:after="100"/>
      </w:pPr>
      <w:r w:rsidRPr="007F2ED4">
        <w:fldChar w:fldCharType="end"/>
      </w:r>
    </w:p>
    <w:sectPr w:rsidR="005A0FAD" w:rsidRPr="009D7F5F" w:rsidSect="00B94D9C">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BDEA7" w14:textId="77777777" w:rsidR="00236DBD" w:rsidRDefault="00236DBD">
      <w:pPr>
        <w:spacing w:after="0" w:line="240" w:lineRule="auto"/>
      </w:pPr>
      <w:r>
        <w:separator/>
      </w:r>
    </w:p>
  </w:endnote>
  <w:endnote w:type="continuationSeparator" w:id="0">
    <w:p w14:paraId="5CFCCC1D" w14:textId="77777777" w:rsidR="00236DBD" w:rsidRDefault="00236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Segoe UI">
    <w:charset w:val="00"/>
    <w:family w:val="swiss"/>
    <w:pitch w:val="variable"/>
    <w:sig w:usb0="E4002EFF" w:usb1="C000E47F"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552112"/>
      <w:docPartObj>
        <w:docPartGallery w:val="Page Numbers (Bottom of Page)"/>
        <w:docPartUnique/>
      </w:docPartObj>
    </w:sdtPr>
    <w:sdtEndPr>
      <w:rPr>
        <w:noProof/>
      </w:rPr>
    </w:sdtEndPr>
    <w:sdtContent>
      <w:p w14:paraId="07D4E217" w14:textId="46BA3BF6" w:rsidR="0091778A" w:rsidRDefault="0091778A">
        <w:pPr>
          <w:pStyle w:val="Footer"/>
          <w:jc w:val="center"/>
        </w:pPr>
        <w:r>
          <w:fldChar w:fldCharType="begin"/>
        </w:r>
        <w:r>
          <w:instrText xml:space="preserve"> PAGE   \* MERGEFORMAT </w:instrText>
        </w:r>
        <w:r>
          <w:fldChar w:fldCharType="separate"/>
        </w:r>
        <w:r w:rsidR="00BF0CB4">
          <w:rPr>
            <w:noProof/>
          </w:rPr>
          <w:t>2</w:t>
        </w:r>
        <w:r>
          <w:rPr>
            <w:noProof/>
          </w:rPr>
          <w:fldChar w:fldCharType="end"/>
        </w:r>
      </w:p>
    </w:sdtContent>
  </w:sdt>
  <w:p w14:paraId="0CF235A5" w14:textId="77777777" w:rsidR="0091778A" w:rsidRDefault="009177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A62F4" w14:textId="77777777" w:rsidR="00236DBD" w:rsidRDefault="00236DBD">
      <w:pPr>
        <w:spacing w:after="0" w:line="240" w:lineRule="auto"/>
      </w:pPr>
      <w:r>
        <w:separator/>
      </w:r>
    </w:p>
  </w:footnote>
  <w:footnote w:type="continuationSeparator" w:id="0">
    <w:p w14:paraId="327EBB99" w14:textId="77777777" w:rsidR="00236DBD" w:rsidRDefault="00236DB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465B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3B9E581A"/>
    <w:multiLevelType w:val="multilevel"/>
    <w:tmpl w:val="6BA29E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3CDC172D"/>
    <w:multiLevelType w:val="hybridMultilevel"/>
    <w:tmpl w:val="471A2D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4A43B4"/>
    <w:multiLevelType w:val="multilevel"/>
    <w:tmpl w:val="05143B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3F874CA6"/>
    <w:multiLevelType w:val="hybridMultilevel"/>
    <w:tmpl w:val="7DC673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CC84CC2"/>
    <w:multiLevelType w:val="hybridMultilevel"/>
    <w:tmpl w:val="A8265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2CF08D8"/>
    <w:multiLevelType w:val="hybridMultilevel"/>
    <w:tmpl w:val="C4687DF6"/>
    <w:lvl w:ilvl="0" w:tplc="681EBC84">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864216"/>
    <w:multiLevelType w:val="hybridMultilevel"/>
    <w:tmpl w:val="18B2E41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6E883259"/>
    <w:multiLevelType w:val="hybridMultilevel"/>
    <w:tmpl w:val="ED7EB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9E40597"/>
    <w:multiLevelType w:val="hybridMultilevel"/>
    <w:tmpl w:val="37B48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1"/>
  </w:num>
  <w:num w:numId="9">
    <w:abstractNumId w:val="9"/>
  </w:num>
  <w:num w:numId="10">
    <w:abstractNumId w:val="7"/>
  </w:num>
  <w:num w:numId="11">
    <w:abstractNumId w:val="8"/>
  </w:num>
  <w:num w:numId="12">
    <w:abstractNumId w:val="2"/>
  </w:num>
  <w:num w:numId="13">
    <w:abstractNumId w:val="5"/>
  </w:num>
  <w:num w:numId="14">
    <w:abstractNumId w:val="0"/>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28"/>
    <w:rsid w:val="00001015"/>
    <w:rsid w:val="00010060"/>
    <w:rsid w:val="00013AFF"/>
    <w:rsid w:val="00031EDB"/>
    <w:rsid w:val="00037273"/>
    <w:rsid w:val="0004245E"/>
    <w:rsid w:val="00073ABD"/>
    <w:rsid w:val="000862FF"/>
    <w:rsid w:val="000A1B8A"/>
    <w:rsid w:val="000B504A"/>
    <w:rsid w:val="000D02B1"/>
    <w:rsid w:val="000D3E81"/>
    <w:rsid w:val="000D6B6A"/>
    <w:rsid w:val="000E0809"/>
    <w:rsid w:val="000F0262"/>
    <w:rsid w:val="000F5982"/>
    <w:rsid w:val="001142BC"/>
    <w:rsid w:val="001210C9"/>
    <w:rsid w:val="00131644"/>
    <w:rsid w:val="00143EC1"/>
    <w:rsid w:val="00173E15"/>
    <w:rsid w:val="001A36BD"/>
    <w:rsid w:val="001C67B4"/>
    <w:rsid w:val="001C71F9"/>
    <w:rsid w:val="001C7FA1"/>
    <w:rsid w:val="001D1E01"/>
    <w:rsid w:val="001D2C8A"/>
    <w:rsid w:val="001D75A6"/>
    <w:rsid w:val="001E0671"/>
    <w:rsid w:val="001E296C"/>
    <w:rsid w:val="001E57DF"/>
    <w:rsid w:val="002024C3"/>
    <w:rsid w:val="00203BF2"/>
    <w:rsid w:val="00203E40"/>
    <w:rsid w:val="002112CF"/>
    <w:rsid w:val="00220D13"/>
    <w:rsid w:val="00234ED6"/>
    <w:rsid w:val="00236DBD"/>
    <w:rsid w:val="0023708D"/>
    <w:rsid w:val="00243821"/>
    <w:rsid w:val="0027243D"/>
    <w:rsid w:val="00273BFD"/>
    <w:rsid w:val="002749EF"/>
    <w:rsid w:val="00275DDD"/>
    <w:rsid w:val="00284F8C"/>
    <w:rsid w:val="0028531A"/>
    <w:rsid w:val="0028548C"/>
    <w:rsid w:val="00293438"/>
    <w:rsid w:val="002975C6"/>
    <w:rsid w:val="002B6C0D"/>
    <w:rsid w:val="002B7E18"/>
    <w:rsid w:val="002C2068"/>
    <w:rsid w:val="002C432F"/>
    <w:rsid w:val="002D1CA2"/>
    <w:rsid w:val="002D2B1A"/>
    <w:rsid w:val="002E46AC"/>
    <w:rsid w:val="002E78CF"/>
    <w:rsid w:val="002E78E2"/>
    <w:rsid w:val="002F3486"/>
    <w:rsid w:val="002F7BC5"/>
    <w:rsid w:val="003071A2"/>
    <w:rsid w:val="0032158A"/>
    <w:rsid w:val="003226D4"/>
    <w:rsid w:val="00323230"/>
    <w:rsid w:val="0032777F"/>
    <w:rsid w:val="00346116"/>
    <w:rsid w:val="0037006D"/>
    <w:rsid w:val="0037434B"/>
    <w:rsid w:val="0037493C"/>
    <w:rsid w:val="0037700B"/>
    <w:rsid w:val="00390753"/>
    <w:rsid w:val="00397730"/>
    <w:rsid w:val="003A1EA2"/>
    <w:rsid w:val="003B6815"/>
    <w:rsid w:val="003E1690"/>
    <w:rsid w:val="003F1231"/>
    <w:rsid w:val="003F2014"/>
    <w:rsid w:val="003F6D58"/>
    <w:rsid w:val="00404A86"/>
    <w:rsid w:val="00404C74"/>
    <w:rsid w:val="00411B7D"/>
    <w:rsid w:val="00411E28"/>
    <w:rsid w:val="00414246"/>
    <w:rsid w:val="00422033"/>
    <w:rsid w:val="00426EA4"/>
    <w:rsid w:val="00442C6F"/>
    <w:rsid w:val="00451F40"/>
    <w:rsid w:val="00452B40"/>
    <w:rsid w:val="0046086B"/>
    <w:rsid w:val="004676F4"/>
    <w:rsid w:val="00470A9B"/>
    <w:rsid w:val="00490528"/>
    <w:rsid w:val="00493083"/>
    <w:rsid w:val="00493233"/>
    <w:rsid w:val="004A1C61"/>
    <w:rsid w:val="004A6B38"/>
    <w:rsid w:val="004B0232"/>
    <w:rsid w:val="004E55A3"/>
    <w:rsid w:val="00534C71"/>
    <w:rsid w:val="0053783D"/>
    <w:rsid w:val="00552F4B"/>
    <w:rsid w:val="00561AB3"/>
    <w:rsid w:val="00570D52"/>
    <w:rsid w:val="0057682F"/>
    <w:rsid w:val="00585A6B"/>
    <w:rsid w:val="005A0FAD"/>
    <w:rsid w:val="005A4347"/>
    <w:rsid w:val="005A5D0B"/>
    <w:rsid w:val="005B6DB6"/>
    <w:rsid w:val="005D64F1"/>
    <w:rsid w:val="005F3778"/>
    <w:rsid w:val="00632155"/>
    <w:rsid w:val="00642536"/>
    <w:rsid w:val="0065127C"/>
    <w:rsid w:val="0065169A"/>
    <w:rsid w:val="00681E21"/>
    <w:rsid w:val="006A03EB"/>
    <w:rsid w:val="006A664B"/>
    <w:rsid w:val="006B34F1"/>
    <w:rsid w:val="006B53E3"/>
    <w:rsid w:val="006B60E6"/>
    <w:rsid w:val="006C73ED"/>
    <w:rsid w:val="006D1464"/>
    <w:rsid w:val="006E0BB0"/>
    <w:rsid w:val="00703BD2"/>
    <w:rsid w:val="007078BE"/>
    <w:rsid w:val="007270E7"/>
    <w:rsid w:val="00727461"/>
    <w:rsid w:val="00736A82"/>
    <w:rsid w:val="00786201"/>
    <w:rsid w:val="0079007E"/>
    <w:rsid w:val="007952FF"/>
    <w:rsid w:val="007A13DF"/>
    <w:rsid w:val="007B3F52"/>
    <w:rsid w:val="007C53E2"/>
    <w:rsid w:val="007F2ED4"/>
    <w:rsid w:val="007F4DE7"/>
    <w:rsid w:val="00810D58"/>
    <w:rsid w:val="00812D05"/>
    <w:rsid w:val="0081426C"/>
    <w:rsid w:val="0082355D"/>
    <w:rsid w:val="00832F7E"/>
    <w:rsid w:val="00832F96"/>
    <w:rsid w:val="008343B5"/>
    <w:rsid w:val="008529F1"/>
    <w:rsid w:val="008561FE"/>
    <w:rsid w:val="00861709"/>
    <w:rsid w:val="008664E8"/>
    <w:rsid w:val="008845B7"/>
    <w:rsid w:val="00886DE3"/>
    <w:rsid w:val="008915E6"/>
    <w:rsid w:val="00892468"/>
    <w:rsid w:val="008B14A5"/>
    <w:rsid w:val="008B1524"/>
    <w:rsid w:val="008B1989"/>
    <w:rsid w:val="008B5CB1"/>
    <w:rsid w:val="008B71B6"/>
    <w:rsid w:val="008E44B7"/>
    <w:rsid w:val="008F3579"/>
    <w:rsid w:val="00905F2F"/>
    <w:rsid w:val="0091195E"/>
    <w:rsid w:val="0091778A"/>
    <w:rsid w:val="00946883"/>
    <w:rsid w:val="0094728C"/>
    <w:rsid w:val="00960303"/>
    <w:rsid w:val="00992905"/>
    <w:rsid w:val="009B5B7E"/>
    <w:rsid w:val="009C1AF1"/>
    <w:rsid w:val="009D41D7"/>
    <w:rsid w:val="009D7F5F"/>
    <w:rsid w:val="009E4E5D"/>
    <w:rsid w:val="009E535E"/>
    <w:rsid w:val="009E5F37"/>
    <w:rsid w:val="009F3F4A"/>
    <w:rsid w:val="00A05FD5"/>
    <w:rsid w:val="00A06DC3"/>
    <w:rsid w:val="00A13259"/>
    <w:rsid w:val="00A15571"/>
    <w:rsid w:val="00A20775"/>
    <w:rsid w:val="00A23B1C"/>
    <w:rsid w:val="00A357DE"/>
    <w:rsid w:val="00A37834"/>
    <w:rsid w:val="00A40780"/>
    <w:rsid w:val="00A50E4A"/>
    <w:rsid w:val="00A646FC"/>
    <w:rsid w:val="00A6559B"/>
    <w:rsid w:val="00A75D9E"/>
    <w:rsid w:val="00A75E9E"/>
    <w:rsid w:val="00AA7A12"/>
    <w:rsid w:val="00B064C9"/>
    <w:rsid w:val="00B07F45"/>
    <w:rsid w:val="00B115BF"/>
    <w:rsid w:val="00B12B88"/>
    <w:rsid w:val="00B203CD"/>
    <w:rsid w:val="00B2352D"/>
    <w:rsid w:val="00B24B39"/>
    <w:rsid w:val="00B304ED"/>
    <w:rsid w:val="00B33DA7"/>
    <w:rsid w:val="00B47131"/>
    <w:rsid w:val="00B53821"/>
    <w:rsid w:val="00B55491"/>
    <w:rsid w:val="00B67192"/>
    <w:rsid w:val="00B74BFC"/>
    <w:rsid w:val="00B87C90"/>
    <w:rsid w:val="00B94D9C"/>
    <w:rsid w:val="00BA1EE2"/>
    <w:rsid w:val="00BB581D"/>
    <w:rsid w:val="00BC3D8C"/>
    <w:rsid w:val="00BE774F"/>
    <w:rsid w:val="00BF0CB4"/>
    <w:rsid w:val="00BF5B9D"/>
    <w:rsid w:val="00C045BF"/>
    <w:rsid w:val="00C046D6"/>
    <w:rsid w:val="00C13E1F"/>
    <w:rsid w:val="00C17C45"/>
    <w:rsid w:val="00C33F33"/>
    <w:rsid w:val="00C44DC2"/>
    <w:rsid w:val="00C4709D"/>
    <w:rsid w:val="00C50C3F"/>
    <w:rsid w:val="00C57ADB"/>
    <w:rsid w:val="00C60FB1"/>
    <w:rsid w:val="00C6237E"/>
    <w:rsid w:val="00C66EBE"/>
    <w:rsid w:val="00C73C18"/>
    <w:rsid w:val="00C77CEE"/>
    <w:rsid w:val="00C906A5"/>
    <w:rsid w:val="00CA1ED7"/>
    <w:rsid w:val="00CA4CA1"/>
    <w:rsid w:val="00CB0225"/>
    <w:rsid w:val="00CB0D90"/>
    <w:rsid w:val="00CB3F5D"/>
    <w:rsid w:val="00CE1779"/>
    <w:rsid w:val="00CE2CEA"/>
    <w:rsid w:val="00CF0A56"/>
    <w:rsid w:val="00D04140"/>
    <w:rsid w:val="00D1016D"/>
    <w:rsid w:val="00D10E80"/>
    <w:rsid w:val="00D43D81"/>
    <w:rsid w:val="00D51B61"/>
    <w:rsid w:val="00D54967"/>
    <w:rsid w:val="00D556B4"/>
    <w:rsid w:val="00D65B00"/>
    <w:rsid w:val="00D6700E"/>
    <w:rsid w:val="00D739C4"/>
    <w:rsid w:val="00DA7EC7"/>
    <w:rsid w:val="00DC688E"/>
    <w:rsid w:val="00DF795E"/>
    <w:rsid w:val="00E05157"/>
    <w:rsid w:val="00E26F51"/>
    <w:rsid w:val="00E358E6"/>
    <w:rsid w:val="00E60A0A"/>
    <w:rsid w:val="00E8298D"/>
    <w:rsid w:val="00EA7104"/>
    <w:rsid w:val="00EB5598"/>
    <w:rsid w:val="00EB7C97"/>
    <w:rsid w:val="00EC370B"/>
    <w:rsid w:val="00EC5EAC"/>
    <w:rsid w:val="00ED5D9D"/>
    <w:rsid w:val="00EE17F5"/>
    <w:rsid w:val="00EE3D3F"/>
    <w:rsid w:val="00EE3F25"/>
    <w:rsid w:val="00F0305D"/>
    <w:rsid w:val="00F24731"/>
    <w:rsid w:val="00F26EA9"/>
    <w:rsid w:val="00F52826"/>
    <w:rsid w:val="00F56612"/>
    <w:rsid w:val="00F72BB6"/>
    <w:rsid w:val="00F76752"/>
    <w:rsid w:val="00F84CE8"/>
    <w:rsid w:val="00F9086C"/>
    <w:rsid w:val="00F913C7"/>
    <w:rsid w:val="00F9234E"/>
    <w:rsid w:val="00F927AE"/>
    <w:rsid w:val="00F97F8E"/>
    <w:rsid w:val="00FA3A3E"/>
    <w:rsid w:val="00FD6C28"/>
    <w:rsid w:val="00FE2C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0CE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28"/>
    <w:pPr>
      <w:spacing w:after="40" w:line="48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2749EF"/>
    <w:pPr>
      <w:keepNext/>
      <w:keepLines/>
      <w:spacing w:before="240" w:after="0"/>
      <w:outlineLvl w:val="0"/>
    </w:pPr>
    <w:rPr>
      <w:rFonts w:eastAsia="Times New Roman" w:cstheme="minorBidi"/>
      <w:b/>
      <w:sz w:val="28"/>
      <w:szCs w:val="32"/>
    </w:rPr>
  </w:style>
  <w:style w:type="paragraph" w:styleId="Heading2">
    <w:name w:val="heading 2"/>
    <w:basedOn w:val="Normal"/>
    <w:next w:val="Normal"/>
    <w:link w:val="Heading2Char"/>
    <w:uiPriority w:val="9"/>
    <w:unhideWhenUsed/>
    <w:qFormat/>
    <w:rsid w:val="002749EF"/>
    <w:pPr>
      <w:keepNext/>
      <w:spacing w:before="240" w:after="60"/>
      <w:outlineLvl w:val="1"/>
    </w:pPr>
    <w:rPr>
      <w:rFonts w:eastAsia="Times New Roman"/>
      <w:b/>
      <w:bCs/>
      <w:iCs/>
      <w:szCs w:val="28"/>
    </w:rPr>
  </w:style>
  <w:style w:type="paragraph" w:styleId="Heading3">
    <w:name w:val="heading 3"/>
    <w:basedOn w:val="Normal"/>
    <w:next w:val="Normal"/>
    <w:link w:val="Heading3Char"/>
    <w:uiPriority w:val="9"/>
    <w:unhideWhenUsed/>
    <w:qFormat/>
    <w:rsid w:val="002749EF"/>
    <w:pPr>
      <w:keepNext/>
      <w:spacing w:before="240" w:after="60"/>
      <w:outlineLvl w:val="2"/>
    </w:pPr>
    <w:rPr>
      <w:rFonts w:eastAsia="Times New Roman"/>
      <w:bCs/>
      <w:i/>
      <w:szCs w:val="26"/>
    </w:rPr>
  </w:style>
  <w:style w:type="paragraph" w:styleId="Heading4">
    <w:name w:val="heading 4"/>
    <w:basedOn w:val="Normal"/>
    <w:next w:val="Normal"/>
    <w:link w:val="Heading4Char"/>
    <w:uiPriority w:val="9"/>
    <w:semiHidden/>
    <w:unhideWhenUsed/>
    <w:qFormat/>
    <w:rsid w:val="00FD6C28"/>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D6C28"/>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D6C28"/>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D6C28"/>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D6C28"/>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6C28"/>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749EF"/>
    <w:rPr>
      <w:rFonts w:ascii="Times New Roman" w:eastAsia="Times New Roman" w:hAnsi="Times New Roman"/>
      <w:b/>
      <w:sz w:val="28"/>
      <w:szCs w:val="32"/>
    </w:rPr>
  </w:style>
  <w:style w:type="character" w:customStyle="1" w:styleId="Heading2Char">
    <w:name w:val="Heading 2 Char"/>
    <w:link w:val="Heading2"/>
    <w:uiPriority w:val="9"/>
    <w:rsid w:val="002749EF"/>
    <w:rPr>
      <w:rFonts w:ascii="Times New Roman" w:eastAsia="Times New Roman" w:hAnsi="Times New Roman" w:cs="Times New Roman"/>
      <w:b/>
      <w:bCs/>
      <w:iCs/>
      <w:sz w:val="24"/>
      <w:szCs w:val="28"/>
    </w:rPr>
  </w:style>
  <w:style w:type="character" w:customStyle="1" w:styleId="Heading3Char">
    <w:name w:val="Heading 3 Char"/>
    <w:link w:val="Heading3"/>
    <w:uiPriority w:val="9"/>
    <w:rsid w:val="002749EF"/>
    <w:rPr>
      <w:rFonts w:ascii="Times New Roman" w:eastAsia="Times New Roman" w:hAnsi="Times New Roman" w:cs="Times New Roman"/>
      <w:bCs/>
      <w:i/>
      <w:sz w:val="24"/>
      <w:szCs w:val="26"/>
    </w:rPr>
  </w:style>
  <w:style w:type="paragraph" w:styleId="Title">
    <w:name w:val="Title"/>
    <w:basedOn w:val="Normal"/>
    <w:next w:val="Normal"/>
    <w:link w:val="TitleChar"/>
    <w:uiPriority w:val="10"/>
    <w:qFormat/>
    <w:rsid w:val="002749EF"/>
    <w:pPr>
      <w:spacing w:after="0" w:line="240" w:lineRule="auto"/>
      <w:contextualSpacing/>
      <w:jc w:val="left"/>
    </w:pPr>
    <w:rPr>
      <w:rFonts w:eastAsia="Times New Roman" w:cstheme="minorBidi"/>
      <w:b/>
      <w:spacing w:val="-10"/>
      <w:kern w:val="28"/>
      <w:sz w:val="28"/>
      <w:szCs w:val="56"/>
      <w:u w:val="single"/>
    </w:rPr>
  </w:style>
  <w:style w:type="character" w:customStyle="1" w:styleId="TitleChar">
    <w:name w:val="Title Char"/>
    <w:link w:val="Title"/>
    <w:uiPriority w:val="10"/>
    <w:rsid w:val="002749EF"/>
    <w:rPr>
      <w:rFonts w:ascii="Times New Roman" w:eastAsia="Times New Roman" w:hAnsi="Times New Roman"/>
      <w:b/>
      <w:spacing w:val="-10"/>
      <w:kern w:val="28"/>
      <w:sz w:val="28"/>
      <w:szCs w:val="56"/>
      <w:u w:val="single"/>
    </w:rPr>
  </w:style>
  <w:style w:type="character" w:customStyle="1" w:styleId="Heading4Char">
    <w:name w:val="Heading 4 Char"/>
    <w:basedOn w:val="DefaultParagraphFont"/>
    <w:link w:val="Heading4"/>
    <w:uiPriority w:val="9"/>
    <w:semiHidden/>
    <w:rsid w:val="00FD6C28"/>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D6C28"/>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D6C2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D6C2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D6C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6C28"/>
    <w:rPr>
      <w:rFonts w:asciiTheme="majorHAnsi" w:eastAsiaTheme="majorEastAsia" w:hAnsiTheme="majorHAnsi" w:cstheme="majorBidi"/>
      <w:i/>
      <w:iCs/>
      <w:color w:val="272727" w:themeColor="text1" w:themeTint="D8"/>
      <w:sz w:val="21"/>
      <w:szCs w:val="21"/>
    </w:rPr>
  </w:style>
  <w:style w:type="character" w:styleId="HTMLTypewriter">
    <w:name w:val="HTML Typewriter"/>
    <w:uiPriority w:val="99"/>
    <w:semiHidden/>
    <w:unhideWhenUsed/>
    <w:rsid w:val="00FD6C28"/>
    <w:rPr>
      <w:rFonts w:ascii="Courier New" w:eastAsia="Times New Roman" w:hAnsi="Courier New" w:cs="Courier New"/>
      <w:sz w:val="20"/>
      <w:szCs w:val="20"/>
    </w:rPr>
  </w:style>
  <w:style w:type="character" w:styleId="Hyperlink">
    <w:name w:val="Hyperlink"/>
    <w:basedOn w:val="DefaultParagraphFont"/>
    <w:uiPriority w:val="99"/>
    <w:unhideWhenUsed/>
    <w:rsid w:val="00FD6C28"/>
    <w:rPr>
      <w:color w:val="0563C1" w:themeColor="hyperlink"/>
      <w:u w:val="single"/>
    </w:rPr>
  </w:style>
  <w:style w:type="paragraph" w:styleId="ListParagraph">
    <w:name w:val="List Paragraph"/>
    <w:basedOn w:val="Normal"/>
    <w:uiPriority w:val="34"/>
    <w:qFormat/>
    <w:rsid w:val="00FD6C28"/>
    <w:pPr>
      <w:ind w:left="720"/>
      <w:contextualSpacing/>
    </w:pPr>
  </w:style>
  <w:style w:type="character" w:styleId="CommentReference">
    <w:name w:val="annotation reference"/>
    <w:basedOn w:val="DefaultParagraphFont"/>
    <w:uiPriority w:val="99"/>
    <w:semiHidden/>
    <w:unhideWhenUsed/>
    <w:rsid w:val="00FD6C28"/>
    <w:rPr>
      <w:sz w:val="16"/>
      <w:szCs w:val="16"/>
    </w:rPr>
  </w:style>
  <w:style w:type="paragraph" w:styleId="CommentText">
    <w:name w:val="annotation text"/>
    <w:basedOn w:val="Normal"/>
    <w:link w:val="CommentTextChar"/>
    <w:uiPriority w:val="99"/>
    <w:unhideWhenUsed/>
    <w:rsid w:val="00FD6C28"/>
    <w:pPr>
      <w:spacing w:after="218" w:line="240" w:lineRule="auto"/>
      <w:ind w:left="10" w:hanging="10"/>
    </w:pPr>
    <w:rPr>
      <w:rFonts w:ascii="Cambria" w:eastAsia="Cambria" w:hAnsi="Cambria" w:cs="Cambria"/>
      <w:color w:val="000000"/>
      <w:sz w:val="20"/>
      <w:szCs w:val="20"/>
      <w:lang w:eastAsia="en-GB"/>
    </w:rPr>
  </w:style>
  <w:style w:type="character" w:customStyle="1" w:styleId="CommentTextChar">
    <w:name w:val="Comment Text Char"/>
    <w:basedOn w:val="DefaultParagraphFont"/>
    <w:link w:val="CommentText"/>
    <w:uiPriority w:val="99"/>
    <w:rsid w:val="00FD6C28"/>
    <w:rPr>
      <w:rFonts w:ascii="Cambria" w:eastAsia="Cambria" w:hAnsi="Cambria" w:cs="Cambria"/>
      <w:color w:val="000000"/>
      <w:sz w:val="20"/>
      <w:szCs w:val="20"/>
      <w:lang w:eastAsia="en-GB"/>
    </w:rPr>
  </w:style>
  <w:style w:type="paragraph" w:styleId="BalloonText">
    <w:name w:val="Balloon Text"/>
    <w:basedOn w:val="Normal"/>
    <w:link w:val="BalloonTextChar"/>
    <w:uiPriority w:val="99"/>
    <w:semiHidden/>
    <w:unhideWhenUsed/>
    <w:rsid w:val="00FD6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C28"/>
    <w:rPr>
      <w:rFonts w:ascii="Segoe UI" w:hAnsi="Segoe UI" w:cs="Segoe UI"/>
      <w:sz w:val="18"/>
      <w:szCs w:val="18"/>
    </w:rPr>
  </w:style>
  <w:style w:type="character" w:styleId="PlaceholderText">
    <w:name w:val="Placeholder Text"/>
    <w:basedOn w:val="DefaultParagraphFont"/>
    <w:uiPriority w:val="99"/>
    <w:semiHidden/>
    <w:rsid w:val="00FD6C28"/>
    <w:rPr>
      <w:color w:val="808080"/>
    </w:rPr>
  </w:style>
  <w:style w:type="paragraph" w:styleId="Caption">
    <w:name w:val="caption"/>
    <w:basedOn w:val="Normal"/>
    <w:next w:val="Normal"/>
    <w:uiPriority w:val="35"/>
    <w:unhideWhenUsed/>
    <w:qFormat/>
    <w:rsid w:val="00FD6C28"/>
    <w:pPr>
      <w:spacing w:after="200" w:line="240" w:lineRule="auto"/>
    </w:pPr>
    <w:rPr>
      <w:i/>
      <w:iCs/>
      <w:color w:val="44546A" w:themeColor="text2"/>
      <w:sz w:val="18"/>
      <w:szCs w:val="18"/>
    </w:rPr>
  </w:style>
  <w:style w:type="table" w:styleId="TableGrid">
    <w:name w:val="Table Grid"/>
    <w:basedOn w:val="TableNormal"/>
    <w:uiPriority w:val="39"/>
    <w:rsid w:val="00FD6C28"/>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FD6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D6C28"/>
    <w:rPr>
      <w:rFonts w:ascii="Courier New" w:eastAsia="Times New Roman" w:hAnsi="Courier New" w:cs="Courier New"/>
      <w:sz w:val="20"/>
      <w:szCs w:val="20"/>
      <w:lang w:eastAsia="en-GB"/>
    </w:rPr>
  </w:style>
  <w:style w:type="paragraph" w:styleId="CommentSubject">
    <w:name w:val="annotation subject"/>
    <w:basedOn w:val="CommentText"/>
    <w:next w:val="CommentText"/>
    <w:link w:val="CommentSubjectChar"/>
    <w:uiPriority w:val="99"/>
    <w:semiHidden/>
    <w:unhideWhenUsed/>
    <w:rsid w:val="00FD6C28"/>
    <w:pPr>
      <w:spacing w:after="40"/>
      <w:ind w:left="0" w:firstLine="0"/>
    </w:pPr>
    <w:rPr>
      <w:rFonts w:ascii="Times New Roman" w:eastAsia="Calibri" w:hAnsi="Times New Roman" w:cs="Times New Roman"/>
      <w:b/>
      <w:bCs/>
      <w:color w:val="auto"/>
      <w:lang w:eastAsia="en-US"/>
    </w:rPr>
  </w:style>
  <w:style w:type="character" w:customStyle="1" w:styleId="CommentSubjectChar">
    <w:name w:val="Comment Subject Char"/>
    <w:basedOn w:val="CommentTextChar"/>
    <w:link w:val="CommentSubject"/>
    <w:uiPriority w:val="99"/>
    <w:semiHidden/>
    <w:rsid w:val="00FD6C28"/>
    <w:rPr>
      <w:rFonts w:ascii="Times New Roman" w:eastAsia="Cambria" w:hAnsi="Times New Roman" w:cs="Times New Roman"/>
      <w:b/>
      <w:bCs/>
      <w:color w:val="000000"/>
      <w:sz w:val="20"/>
      <w:szCs w:val="20"/>
      <w:lang w:eastAsia="en-GB"/>
    </w:rPr>
  </w:style>
  <w:style w:type="table" w:customStyle="1" w:styleId="TableGrid0">
    <w:name w:val="TableGrid"/>
    <w:rsid w:val="00FD6C28"/>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st">
    <w:name w:val="st"/>
    <w:basedOn w:val="DefaultParagraphFont"/>
    <w:rsid w:val="00FD6C28"/>
  </w:style>
  <w:style w:type="paragraph" w:styleId="Header">
    <w:name w:val="header"/>
    <w:basedOn w:val="Normal"/>
    <w:link w:val="HeaderChar"/>
    <w:uiPriority w:val="99"/>
    <w:unhideWhenUsed/>
    <w:rsid w:val="00FD6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C28"/>
    <w:rPr>
      <w:rFonts w:ascii="Times New Roman" w:hAnsi="Times New Roman" w:cs="Times New Roman"/>
      <w:sz w:val="24"/>
    </w:rPr>
  </w:style>
  <w:style w:type="paragraph" w:styleId="Footer">
    <w:name w:val="footer"/>
    <w:basedOn w:val="Normal"/>
    <w:link w:val="FooterChar"/>
    <w:uiPriority w:val="99"/>
    <w:unhideWhenUsed/>
    <w:rsid w:val="00FD6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C28"/>
    <w:rPr>
      <w:rFonts w:ascii="Times New Roman" w:hAnsi="Times New Roman" w:cs="Times New Roman"/>
      <w:sz w:val="24"/>
    </w:rPr>
  </w:style>
  <w:style w:type="paragraph" w:styleId="NormalWeb">
    <w:name w:val="Normal (Web)"/>
    <w:basedOn w:val="Normal"/>
    <w:uiPriority w:val="99"/>
    <w:unhideWhenUsed/>
    <w:rsid w:val="00FD6C28"/>
    <w:pPr>
      <w:spacing w:before="100" w:beforeAutospacing="1" w:after="100" w:afterAutospacing="1" w:line="240" w:lineRule="auto"/>
    </w:pPr>
    <w:rPr>
      <w:rFonts w:eastAsiaTheme="minorEastAsia"/>
      <w:szCs w:val="24"/>
      <w:lang w:eastAsia="en-GB"/>
    </w:rPr>
  </w:style>
  <w:style w:type="character" w:styleId="LineNumber">
    <w:name w:val="line number"/>
    <w:basedOn w:val="DefaultParagraphFont"/>
    <w:uiPriority w:val="99"/>
    <w:semiHidden/>
    <w:unhideWhenUsed/>
    <w:rsid w:val="00FD6C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28"/>
    <w:pPr>
      <w:spacing w:after="40" w:line="48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2749EF"/>
    <w:pPr>
      <w:keepNext/>
      <w:keepLines/>
      <w:spacing w:before="240" w:after="0"/>
      <w:outlineLvl w:val="0"/>
    </w:pPr>
    <w:rPr>
      <w:rFonts w:eastAsia="Times New Roman" w:cstheme="minorBidi"/>
      <w:b/>
      <w:sz w:val="28"/>
      <w:szCs w:val="32"/>
    </w:rPr>
  </w:style>
  <w:style w:type="paragraph" w:styleId="Heading2">
    <w:name w:val="heading 2"/>
    <w:basedOn w:val="Normal"/>
    <w:next w:val="Normal"/>
    <w:link w:val="Heading2Char"/>
    <w:uiPriority w:val="9"/>
    <w:unhideWhenUsed/>
    <w:qFormat/>
    <w:rsid w:val="002749EF"/>
    <w:pPr>
      <w:keepNext/>
      <w:spacing w:before="240" w:after="60"/>
      <w:outlineLvl w:val="1"/>
    </w:pPr>
    <w:rPr>
      <w:rFonts w:eastAsia="Times New Roman"/>
      <w:b/>
      <w:bCs/>
      <w:iCs/>
      <w:szCs w:val="28"/>
    </w:rPr>
  </w:style>
  <w:style w:type="paragraph" w:styleId="Heading3">
    <w:name w:val="heading 3"/>
    <w:basedOn w:val="Normal"/>
    <w:next w:val="Normal"/>
    <w:link w:val="Heading3Char"/>
    <w:uiPriority w:val="9"/>
    <w:unhideWhenUsed/>
    <w:qFormat/>
    <w:rsid w:val="002749EF"/>
    <w:pPr>
      <w:keepNext/>
      <w:spacing w:before="240" w:after="60"/>
      <w:outlineLvl w:val="2"/>
    </w:pPr>
    <w:rPr>
      <w:rFonts w:eastAsia="Times New Roman"/>
      <w:bCs/>
      <w:i/>
      <w:szCs w:val="26"/>
    </w:rPr>
  </w:style>
  <w:style w:type="paragraph" w:styleId="Heading4">
    <w:name w:val="heading 4"/>
    <w:basedOn w:val="Normal"/>
    <w:next w:val="Normal"/>
    <w:link w:val="Heading4Char"/>
    <w:uiPriority w:val="9"/>
    <w:semiHidden/>
    <w:unhideWhenUsed/>
    <w:qFormat/>
    <w:rsid w:val="00FD6C28"/>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D6C28"/>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D6C28"/>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D6C28"/>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D6C28"/>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6C28"/>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749EF"/>
    <w:rPr>
      <w:rFonts w:ascii="Times New Roman" w:eastAsia="Times New Roman" w:hAnsi="Times New Roman"/>
      <w:b/>
      <w:sz w:val="28"/>
      <w:szCs w:val="32"/>
    </w:rPr>
  </w:style>
  <w:style w:type="character" w:customStyle="1" w:styleId="Heading2Char">
    <w:name w:val="Heading 2 Char"/>
    <w:link w:val="Heading2"/>
    <w:uiPriority w:val="9"/>
    <w:rsid w:val="002749EF"/>
    <w:rPr>
      <w:rFonts w:ascii="Times New Roman" w:eastAsia="Times New Roman" w:hAnsi="Times New Roman" w:cs="Times New Roman"/>
      <w:b/>
      <w:bCs/>
      <w:iCs/>
      <w:sz w:val="24"/>
      <w:szCs w:val="28"/>
    </w:rPr>
  </w:style>
  <w:style w:type="character" w:customStyle="1" w:styleId="Heading3Char">
    <w:name w:val="Heading 3 Char"/>
    <w:link w:val="Heading3"/>
    <w:uiPriority w:val="9"/>
    <w:rsid w:val="002749EF"/>
    <w:rPr>
      <w:rFonts w:ascii="Times New Roman" w:eastAsia="Times New Roman" w:hAnsi="Times New Roman" w:cs="Times New Roman"/>
      <w:bCs/>
      <w:i/>
      <w:sz w:val="24"/>
      <w:szCs w:val="26"/>
    </w:rPr>
  </w:style>
  <w:style w:type="paragraph" w:styleId="Title">
    <w:name w:val="Title"/>
    <w:basedOn w:val="Normal"/>
    <w:next w:val="Normal"/>
    <w:link w:val="TitleChar"/>
    <w:uiPriority w:val="10"/>
    <w:qFormat/>
    <w:rsid w:val="002749EF"/>
    <w:pPr>
      <w:spacing w:after="0" w:line="240" w:lineRule="auto"/>
      <w:contextualSpacing/>
      <w:jc w:val="left"/>
    </w:pPr>
    <w:rPr>
      <w:rFonts w:eastAsia="Times New Roman" w:cstheme="minorBidi"/>
      <w:b/>
      <w:spacing w:val="-10"/>
      <w:kern w:val="28"/>
      <w:sz w:val="28"/>
      <w:szCs w:val="56"/>
      <w:u w:val="single"/>
    </w:rPr>
  </w:style>
  <w:style w:type="character" w:customStyle="1" w:styleId="TitleChar">
    <w:name w:val="Title Char"/>
    <w:link w:val="Title"/>
    <w:uiPriority w:val="10"/>
    <w:rsid w:val="002749EF"/>
    <w:rPr>
      <w:rFonts w:ascii="Times New Roman" w:eastAsia="Times New Roman" w:hAnsi="Times New Roman"/>
      <w:b/>
      <w:spacing w:val="-10"/>
      <w:kern w:val="28"/>
      <w:sz w:val="28"/>
      <w:szCs w:val="56"/>
      <w:u w:val="single"/>
    </w:rPr>
  </w:style>
  <w:style w:type="character" w:customStyle="1" w:styleId="Heading4Char">
    <w:name w:val="Heading 4 Char"/>
    <w:basedOn w:val="DefaultParagraphFont"/>
    <w:link w:val="Heading4"/>
    <w:uiPriority w:val="9"/>
    <w:semiHidden/>
    <w:rsid w:val="00FD6C28"/>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D6C28"/>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D6C2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D6C2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D6C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6C28"/>
    <w:rPr>
      <w:rFonts w:asciiTheme="majorHAnsi" w:eastAsiaTheme="majorEastAsia" w:hAnsiTheme="majorHAnsi" w:cstheme="majorBidi"/>
      <w:i/>
      <w:iCs/>
      <w:color w:val="272727" w:themeColor="text1" w:themeTint="D8"/>
      <w:sz w:val="21"/>
      <w:szCs w:val="21"/>
    </w:rPr>
  </w:style>
  <w:style w:type="character" w:styleId="HTMLTypewriter">
    <w:name w:val="HTML Typewriter"/>
    <w:uiPriority w:val="99"/>
    <w:semiHidden/>
    <w:unhideWhenUsed/>
    <w:rsid w:val="00FD6C28"/>
    <w:rPr>
      <w:rFonts w:ascii="Courier New" w:eastAsia="Times New Roman" w:hAnsi="Courier New" w:cs="Courier New"/>
      <w:sz w:val="20"/>
      <w:szCs w:val="20"/>
    </w:rPr>
  </w:style>
  <w:style w:type="character" w:styleId="Hyperlink">
    <w:name w:val="Hyperlink"/>
    <w:basedOn w:val="DefaultParagraphFont"/>
    <w:uiPriority w:val="99"/>
    <w:unhideWhenUsed/>
    <w:rsid w:val="00FD6C28"/>
    <w:rPr>
      <w:color w:val="0563C1" w:themeColor="hyperlink"/>
      <w:u w:val="single"/>
    </w:rPr>
  </w:style>
  <w:style w:type="paragraph" w:styleId="ListParagraph">
    <w:name w:val="List Paragraph"/>
    <w:basedOn w:val="Normal"/>
    <w:uiPriority w:val="34"/>
    <w:qFormat/>
    <w:rsid w:val="00FD6C28"/>
    <w:pPr>
      <w:ind w:left="720"/>
      <w:contextualSpacing/>
    </w:pPr>
  </w:style>
  <w:style w:type="character" w:styleId="CommentReference">
    <w:name w:val="annotation reference"/>
    <w:basedOn w:val="DefaultParagraphFont"/>
    <w:uiPriority w:val="99"/>
    <w:semiHidden/>
    <w:unhideWhenUsed/>
    <w:rsid w:val="00FD6C28"/>
    <w:rPr>
      <w:sz w:val="16"/>
      <w:szCs w:val="16"/>
    </w:rPr>
  </w:style>
  <w:style w:type="paragraph" w:styleId="CommentText">
    <w:name w:val="annotation text"/>
    <w:basedOn w:val="Normal"/>
    <w:link w:val="CommentTextChar"/>
    <w:uiPriority w:val="99"/>
    <w:unhideWhenUsed/>
    <w:rsid w:val="00FD6C28"/>
    <w:pPr>
      <w:spacing w:after="218" w:line="240" w:lineRule="auto"/>
      <w:ind w:left="10" w:hanging="10"/>
    </w:pPr>
    <w:rPr>
      <w:rFonts w:ascii="Cambria" w:eastAsia="Cambria" w:hAnsi="Cambria" w:cs="Cambria"/>
      <w:color w:val="000000"/>
      <w:sz w:val="20"/>
      <w:szCs w:val="20"/>
      <w:lang w:eastAsia="en-GB"/>
    </w:rPr>
  </w:style>
  <w:style w:type="character" w:customStyle="1" w:styleId="CommentTextChar">
    <w:name w:val="Comment Text Char"/>
    <w:basedOn w:val="DefaultParagraphFont"/>
    <w:link w:val="CommentText"/>
    <w:uiPriority w:val="99"/>
    <w:rsid w:val="00FD6C28"/>
    <w:rPr>
      <w:rFonts w:ascii="Cambria" w:eastAsia="Cambria" w:hAnsi="Cambria" w:cs="Cambria"/>
      <w:color w:val="000000"/>
      <w:sz w:val="20"/>
      <w:szCs w:val="20"/>
      <w:lang w:eastAsia="en-GB"/>
    </w:rPr>
  </w:style>
  <w:style w:type="paragraph" w:styleId="BalloonText">
    <w:name w:val="Balloon Text"/>
    <w:basedOn w:val="Normal"/>
    <w:link w:val="BalloonTextChar"/>
    <w:uiPriority w:val="99"/>
    <w:semiHidden/>
    <w:unhideWhenUsed/>
    <w:rsid w:val="00FD6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C28"/>
    <w:rPr>
      <w:rFonts w:ascii="Segoe UI" w:hAnsi="Segoe UI" w:cs="Segoe UI"/>
      <w:sz w:val="18"/>
      <w:szCs w:val="18"/>
    </w:rPr>
  </w:style>
  <w:style w:type="character" w:styleId="PlaceholderText">
    <w:name w:val="Placeholder Text"/>
    <w:basedOn w:val="DefaultParagraphFont"/>
    <w:uiPriority w:val="99"/>
    <w:semiHidden/>
    <w:rsid w:val="00FD6C28"/>
    <w:rPr>
      <w:color w:val="808080"/>
    </w:rPr>
  </w:style>
  <w:style w:type="paragraph" w:styleId="Caption">
    <w:name w:val="caption"/>
    <w:basedOn w:val="Normal"/>
    <w:next w:val="Normal"/>
    <w:uiPriority w:val="35"/>
    <w:unhideWhenUsed/>
    <w:qFormat/>
    <w:rsid w:val="00FD6C28"/>
    <w:pPr>
      <w:spacing w:after="200" w:line="240" w:lineRule="auto"/>
    </w:pPr>
    <w:rPr>
      <w:i/>
      <w:iCs/>
      <w:color w:val="44546A" w:themeColor="text2"/>
      <w:sz w:val="18"/>
      <w:szCs w:val="18"/>
    </w:rPr>
  </w:style>
  <w:style w:type="table" w:styleId="TableGrid">
    <w:name w:val="Table Grid"/>
    <w:basedOn w:val="TableNormal"/>
    <w:uiPriority w:val="39"/>
    <w:rsid w:val="00FD6C28"/>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FD6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D6C28"/>
    <w:rPr>
      <w:rFonts w:ascii="Courier New" w:eastAsia="Times New Roman" w:hAnsi="Courier New" w:cs="Courier New"/>
      <w:sz w:val="20"/>
      <w:szCs w:val="20"/>
      <w:lang w:eastAsia="en-GB"/>
    </w:rPr>
  </w:style>
  <w:style w:type="paragraph" w:styleId="CommentSubject">
    <w:name w:val="annotation subject"/>
    <w:basedOn w:val="CommentText"/>
    <w:next w:val="CommentText"/>
    <w:link w:val="CommentSubjectChar"/>
    <w:uiPriority w:val="99"/>
    <w:semiHidden/>
    <w:unhideWhenUsed/>
    <w:rsid w:val="00FD6C28"/>
    <w:pPr>
      <w:spacing w:after="40"/>
      <w:ind w:left="0" w:firstLine="0"/>
    </w:pPr>
    <w:rPr>
      <w:rFonts w:ascii="Times New Roman" w:eastAsia="Calibri" w:hAnsi="Times New Roman" w:cs="Times New Roman"/>
      <w:b/>
      <w:bCs/>
      <w:color w:val="auto"/>
      <w:lang w:eastAsia="en-US"/>
    </w:rPr>
  </w:style>
  <w:style w:type="character" w:customStyle="1" w:styleId="CommentSubjectChar">
    <w:name w:val="Comment Subject Char"/>
    <w:basedOn w:val="CommentTextChar"/>
    <w:link w:val="CommentSubject"/>
    <w:uiPriority w:val="99"/>
    <w:semiHidden/>
    <w:rsid w:val="00FD6C28"/>
    <w:rPr>
      <w:rFonts w:ascii="Times New Roman" w:eastAsia="Cambria" w:hAnsi="Times New Roman" w:cs="Times New Roman"/>
      <w:b/>
      <w:bCs/>
      <w:color w:val="000000"/>
      <w:sz w:val="20"/>
      <w:szCs w:val="20"/>
      <w:lang w:eastAsia="en-GB"/>
    </w:rPr>
  </w:style>
  <w:style w:type="table" w:customStyle="1" w:styleId="TableGrid0">
    <w:name w:val="TableGrid"/>
    <w:rsid w:val="00FD6C28"/>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st">
    <w:name w:val="st"/>
    <w:basedOn w:val="DefaultParagraphFont"/>
    <w:rsid w:val="00FD6C28"/>
  </w:style>
  <w:style w:type="paragraph" w:styleId="Header">
    <w:name w:val="header"/>
    <w:basedOn w:val="Normal"/>
    <w:link w:val="HeaderChar"/>
    <w:uiPriority w:val="99"/>
    <w:unhideWhenUsed/>
    <w:rsid w:val="00FD6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C28"/>
    <w:rPr>
      <w:rFonts w:ascii="Times New Roman" w:hAnsi="Times New Roman" w:cs="Times New Roman"/>
      <w:sz w:val="24"/>
    </w:rPr>
  </w:style>
  <w:style w:type="paragraph" w:styleId="Footer">
    <w:name w:val="footer"/>
    <w:basedOn w:val="Normal"/>
    <w:link w:val="FooterChar"/>
    <w:uiPriority w:val="99"/>
    <w:unhideWhenUsed/>
    <w:rsid w:val="00FD6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C28"/>
    <w:rPr>
      <w:rFonts w:ascii="Times New Roman" w:hAnsi="Times New Roman" w:cs="Times New Roman"/>
      <w:sz w:val="24"/>
    </w:rPr>
  </w:style>
  <w:style w:type="paragraph" w:styleId="NormalWeb">
    <w:name w:val="Normal (Web)"/>
    <w:basedOn w:val="Normal"/>
    <w:uiPriority w:val="99"/>
    <w:unhideWhenUsed/>
    <w:rsid w:val="00FD6C28"/>
    <w:pPr>
      <w:spacing w:before="100" w:beforeAutospacing="1" w:after="100" w:afterAutospacing="1" w:line="240" w:lineRule="auto"/>
    </w:pPr>
    <w:rPr>
      <w:rFonts w:eastAsiaTheme="minorEastAsia"/>
      <w:szCs w:val="24"/>
      <w:lang w:eastAsia="en-GB"/>
    </w:rPr>
  </w:style>
  <w:style w:type="character" w:styleId="LineNumber">
    <w:name w:val="line number"/>
    <w:basedOn w:val="DefaultParagraphFont"/>
    <w:uiPriority w:val="99"/>
    <w:semiHidden/>
    <w:unhideWhenUsed/>
    <w:rsid w:val="00FD6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017C4A8-47E3-4B44-A96D-70264029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25713</Words>
  <Characters>146566</Characters>
  <Application>Microsoft Macintosh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171936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c:creator>
  <cp:keywords/>
  <dc:description/>
  <cp:lastModifiedBy>mamas mamas</cp:lastModifiedBy>
  <cp:revision>2</cp:revision>
  <dcterms:created xsi:type="dcterms:W3CDTF">2016-12-15T11:26:00Z</dcterms:created>
  <dcterms:modified xsi:type="dcterms:W3CDTF">2016-12-15T11:26:00Z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http://www.zotero.org/styles/biomed-central</vt:lpwstr>
  </property>
  <property fmtid="{D5CDD505-2E9C-101B-9397-08002B2CF9AE}" pid="4" name="Mendeley Recent Style Id 0_1">
    <vt:lpwstr>http://www.zotero.org/styles/american-heart-journal</vt:lpwstr>
  </property>
  <property fmtid="{D5CDD505-2E9C-101B-9397-08002B2CF9AE}" pid="5" name="Mendeley Recent Style Name 0_1">
    <vt:lpwstr>American Heart Journal</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http://www.zotero.org/styles/biomed-central</vt:lpwstr>
  </property>
  <property fmtid="{D5CDD505-2E9C-101B-9397-08002B2CF9AE}" pid="11" name="Mendeley Recent Style Name 3_1">
    <vt:lpwstr>BioMed Central</vt:lpwstr>
  </property>
  <property fmtid="{D5CDD505-2E9C-101B-9397-08002B2CF9AE}" pid="12" name="Mendeley Recent Style Id 4_1">
    <vt:lpwstr>http://www.zotero.org/styles/circulation</vt:lpwstr>
  </property>
  <property fmtid="{D5CDD505-2E9C-101B-9397-08002B2CF9AE}" pid="13" name="Mendeley Recent Style Name 4_1">
    <vt:lpwstr>Circulation</vt:lpwstr>
  </property>
  <property fmtid="{D5CDD505-2E9C-101B-9397-08002B2CF9AE}" pid="14" name="Mendeley Recent Style Id 5_1">
    <vt:lpwstr>http://www.zotero.org/styles/jacc-cardiovascular-imaging</vt:lpwstr>
  </property>
  <property fmtid="{D5CDD505-2E9C-101B-9397-08002B2CF9AE}" pid="15" name="Mendeley Recent Style Name 5_1">
    <vt:lpwstr>JACC: Cardiovascular Imaging</vt:lpwstr>
  </property>
  <property fmtid="{D5CDD505-2E9C-101B-9397-08002B2CF9AE}" pid="16" name="Mendeley Recent Style Id 6_1">
    <vt:lpwstr>http://www.zotero.org/styles/jama</vt:lpwstr>
  </property>
  <property fmtid="{D5CDD505-2E9C-101B-9397-08002B2CF9AE}" pid="17" name="Mendeley Recent Style Name 6_1">
    <vt:lpwstr>JAMA (The Journal of the American Medical Association)</vt:lpwstr>
  </property>
  <property fmtid="{D5CDD505-2E9C-101B-9397-08002B2CF9AE}" pid="18" name="Mendeley Recent Style Id 7_1">
    <vt:lpwstr>http://www.zotero.org/styles/jamia</vt:lpwstr>
  </property>
  <property fmtid="{D5CDD505-2E9C-101B-9397-08002B2CF9AE}" pid="19" name="Mendeley Recent Style Name 7_1">
    <vt:lpwstr>JAMIA</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http://www.zotero.org/styles/statistics</vt:lpwstr>
  </property>
  <property fmtid="{D5CDD505-2E9C-101B-9397-08002B2CF9AE}" pid="23" name="Mendeley Recent Style Name 9_1">
    <vt:lpwstr>Statistics</vt:lpwstr>
  </property>
  <property fmtid="{D5CDD505-2E9C-101B-9397-08002B2CF9AE}" pid="24" name="Mendeley Unique User Id_1">
    <vt:lpwstr>02afbd35-bc8c-37b5-8284-f6a681c4f1b8</vt:lpwstr>
  </property>
</Properties>
</file>