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C3411" w14:textId="77777777" w:rsidR="00246068" w:rsidRPr="00F141C1" w:rsidRDefault="00246068" w:rsidP="00246068">
      <w:pPr>
        <w:pStyle w:val="Heading1"/>
      </w:pPr>
      <w:r w:rsidRPr="00F141C1">
        <w:t xml:space="preserve">Visual statistical learning in deaf and hearing </w:t>
      </w:r>
      <w:r>
        <w:t xml:space="preserve">infants and </w:t>
      </w:r>
      <w:r w:rsidRPr="00F141C1">
        <w:t>toddlers</w:t>
      </w:r>
    </w:p>
    <w:p w14:paraId="32061A4A" w14:textId="77777777" w:rsidR="00246068" w:rsidRPr="00EB1DA2" w:rsidRDefault="00246068" w:rsidP="00246068">
      <w:pPr>
        <w:autoSpaceDE w:val="0"/>
        <w:autoSpaceDN w:val="0"/>
        <w:adjustRightInd w:val="0"/>
        <w:jc w:val="center"/>
      </w:pPr>
      <w:r>
        <w:t xml:space="preserve">Claire </w:t>
      </w:r>
      <w:r w:rsidRPr="00EB1DA2">
        <w:t>Monroy</w:t>
      </w:r>
      <w:r w:rsidRPr="00EB1DA2">
        <w:rPr>
          <w:vertAlign w:val="superscript"/>
        </w:rPr>
        <w:t>1</w:t>
      </w:r>
      <w:r>
        <w:rPr>
          <w:vertAlign w:val="superscript"/>
        </w:rPr>
        <w:t>,3</w:t>
      </w:r>
      <w:r w:rsidRPr="00EB1DA2">
        <w:t>, Chen Yu</w:t>
      </w:r>
      <w:r>
        <w:rPr>
          <w:vertAlign w:val="superscript"/>
        </w:rPr>
        <w:t>2</w:t>
      </w:r>
      <w:r>
        <w:t>, &amp;</w:t>
      </w:r>
      <w:r>
        <w:rPr>
          <w:vertAlign w:val="superscript"/>
        </w:rPr>
        <w:t xml:space="preserve"> </w:t>
      </w:r>
      <w:r w:rsidRPr="00EB1DA2">
        <w:t>Derek Houston</w:t>
      </w:r>
      <w:r w:rsidRPr="00092C9B">
        <w:rPr>
          <w:vertAlign w:val="superscript"/>
        </w:rPr>
        <w:t>3,4</w:t>
      </w:r>
    </w:p>
    <w:p w14:paraId="2F2B5681" w14:textId="77777777" w:rsidR="00246068" w:rsidRDefault="00246068" w:rsidP="00246068">
      <w:pPr>
        <w:contextualSpacing/>
        <w:jc w:val="center"/>
      </w:pPr>
      <w:r w:rsidRPr="00092C9B">
        <w:rPr>
          <w:vertAlign w:val="superscript"/>
        </w:rPr>
        <w:t>1</w:t>
      </w:r>
      <w:r w:rsidRPr="00092C9B">
        <w:t xml:space="preserve">School of Psychology, </w:t>
      </w:r>
      <w:r>
        <w:t>Keele University</w:t>
      </w:r>
    </w:p>
    <w:p w14:paraId="2CA26074" w14:textId="77777777" w:rsidR="00246068" w:rsidRDefault="00246068" w:rsidP="00246068">
      <w:pPr>
        <w:contextualSpacing/>
        <w:jc w:val="center"/>
      </w:pPr>
      <w:r>
        <w:rPr>
          <w:vertAlign w:val="superscript"/>
        </w:rPr>
        <w:t>2</w:t>
      </w:r>
      <w:r w:rsidRPr="00EB1DA2">
        <w:t>Department of Psychological and Brain Sciences,</w:t>
      </w:r>
      <w:r w:rsidRPr="00EB1DA2">
        <w:rPr>
          <w:vertAlign w:val="superscript"/>
        </w:rPr>
        <w:t xml:space="preserve"> </w:t>
      </w:r>
      <w:r w:rsidRPr="00EB1DA2">
        <w:t>University</w:t>
      </w:r>
      <w:r>
        <w:t xml:space="preserve"> of Texas at Austin</w:t>
      </w:r>
    </w:p>
    <w:p w14:paraId="6C5B0C34" w14:textId="77777777" w:rsidR="00246068" w:rsidRDefault="00246068" w:rsidP="00246068">
      <w:pPr>
        <w:contextualSpacing/>
        <w:jc w:val="center"/>
      </w:pPr>
      <w:r>
        <w:rPr>
          <w:vertAlign w:val="superscript"/>
        </w:rPr>
        <w:t>3</w:t>
      </w:r>
      <w:r>
        <w:t>D</w:t>
      </w:r>
      <w:r w:rsidRPr="00EB1DA2">
        <w:t xml:space="preserve">epartment of Otolaryngology, </w:t>
      </w:r>
      <w:r>
        <w:t xml:space="preserve">The </w:t>
      </w:r>
      <w:r w:rsidRPr="00EB1DA2">
        <w:t>Ohio State University Wexner Medical Center</w:t>
      </w:r>
    </w:p>
    <w:p w14:paraId="7BF02913" w14:textId="77777777" w:rsidR="00246068" w:rsidRPr="00750E75" w:rsidRDefault="00246068" w:rsidP="00246068">
      <w:pPr>
        <w:contextualSpacing/>
        <w:jc w:val="center"/>
      </w:pPr>
      <w:r w:rsidRPr="00092C9B">
        <w:rPr>
          <w:vertAlign w:val="superscript"/>
        </w:rPr>
        <w:t>4</w:t>
      </w:r>
      <w:r w:rsidRPr="00EB1DA2">
        <w:t>Nationwide Children’s Hospital, Columbus, Ohio, United States</w:t>
      </w:r>
    </w:p>
    <w:p w14:paraId="4764C200" w14:textId="77777777" w:rsidR="00246068" w:rsidRPr="00186DFF" w:rsidRDefault="00246068" w:rsidP="00246068">
      <w:pPr>
        <w:autoSpaceDE w:val="0"/>
        <w:autoSpaceDN w:val="0"/>
        <w:adjustRightInd w:val="0"/>
        <w:ind w:firstLine="0"/>
        <w:rPr>
          <w:b/>
        </w:rPr>
      </w:pPr>
      <w:r w:rsidRPr="00186DFF">
        <w:rPr>
          <w:b/>
        </w:rPr>
        <w:t>Corresponding author:</w:t>
      </w:r>
    </w:p>
    <w:p w14:paraId="7F735CD4" w14:textId="77777777" w:rsidR="00246068" w:rsidRPr="00EB1DA2" w:rsidRDefault="00246068" w:rsidP="00246068">
      <w:pPr>
        <w:autoSpaceDE w:val="0"/>
        <w:autoSpaceDN w:val="0"/>
        <w:adjustRightInd w:val="0"/>
        <w:ind w:firstLine="0"/>
      </w:pPr>
      <w:r w:rsidRPr="00EB1DA2">
        <w:t>Claire Monroy, PhD</w:t>
      </w:r>
    </w:p>
    <w:p w14:paraId="07BD2143" w14:textId="77777777" w:rsidR="00246068" w:rsidRPr="00EB1DA2" w:rsidRDefault="00246068" w:rsidP="00246068">
      <w:pPr>
        <w:autoSpaceDE w:val="0"/>
        <w:autoSpaceDN w:val="0"/>
        <w:adjustRightInd w:val="0"/>
        <w:ind w:firstLine="0"/>
      </w:pPr>
      <w:r>
        <w:t>Keele University</w:t>
      </w:r>
    </w:p>
    <w:p w14:paraId="7DB1BEB5" w14:textId="15E16995" w:rsidR="00246068" w:rsidRPr="00EB1DA2" w:rsidRDefault="00246068" w:rsidP="00246068">
      <w:pPr>
        <w:autoSpaceDE w:val="0"/>
        <w:autoSpaceDN w:val="0"/>
        <w:adjustRightInd w:val="0"/>
        <w:ind w:firstLine="0"/>
      </w:pPr>
      <w:r w:rsidRPr="00EB1DA2">
        <w:t xml:space="preserve">Email: </w:t>
      </w:r>
      <w:hyperlink r:id="rId11" w:history="1">
        <w:r w:rsidRPr="004142BB">
          <w:rPr>
            <w:rStyle w:val="Hyperlink"/>
          </w:rPr>
          <w:t>c.d.monroy@keele.ac.uk</w:t>
        </w:r>
      </w:hyperlink>
      <w:r>
        <w:t xml:space="preserve"> </w:t>
      </w:r>
    </w:p>
    <w:p w14:paraId="26EE2EE0" w14:textId="77777777" w:rsidR="00246068" w:rsidRPr="00EB1DA2" w:rsidRDefault="00246068" w:rsidP="00246068">
      <w:pPr>
        <w:ind w:firstLine="0"/>
        <w:jc w:val="both"/>
      </w:pPr>
      <w:r>
        <w:rPr>
          <w:b/>
          <w:bCs/>
        </w:rPr>
        <w:t>Data Availability Sta</w:t>
      </w:r>
      <w:r w:rsidRPr="00EB1DA2">
        <w:rPr>
          <w:b/>
          <w:bCs/>
        </w:rPr>
        <w:t>tement</w:t>
      </w:r>
      <w:r w:rsidRPr="00EB1DA2">
        <w:t xml:space="preserve">: </w:t>
      </w:r>
      <w:r w:rsidRPr="00186DFF">
        <w:rPr>
          <w:bCs/>
        </w:rPr>
        <w:t xml:space="preserve">The data that support the findings of this study are available </w:t>
      </w:r>
      <w:r>
        <w:rPr>
          <w:bCs/>
        </w:rPr>
        <w:t xml:space="preserve">at </w:t>
      </w:r>
      <w:hyperlink r:id="rId12" w:history="1">
        <w:r w:rsidRPr="0046025A">
          <w:rPr>
            <w:rStyle w:val="Hyperlink"/>
          </w:rPr>
          <w:t>https://osf.io/u8k29</w:t>
        </w:r>
      </w:hyperlink>
      <w:r>
        <w:rPr>
          <w:bCs/>
        </w:rPr>
        <w:t xml:space="preserve">. </w:t>
      </w:r>
    </w:p>
    <w:p w14:paraId="1A890A70" w14:textId="77777777" w:rsidR="00246068" w:rsidRPr="00EB1DA2" w:rsidRDefault="00246068" w:rsidP="00246068">
      <w:pPr>
        <w:ind w:firstLine="0"/>
        <w:jc w:val="both"/>
      </w:pPr>
      <w:r w:rsidRPr="00EB1DA2">
        <w:rPr>
          <w:b/>
          <w:bCs/>
        </w:rPr>
        <w:t>Conflict of Interest Statement</w:t>
      </w:r>
      <w:r w:rsidRPr="00EB1DA2">
        <w:t xml:space="preserve">: </w:t>
      </w:r>
      <w:r w:rsidRPr="00B947A1">
        <w:t xml:space="preserve">The authors declare no conflicts of interest </w:t>
      </w:r>
      <w:proofErr w:type="gramStart"/>
      <w:r w:rsidRPr="00B947A1">
        <w:t>with regard to</w:t>
      </w:r>
      <w:proofErr w:type="gramEnd"/>
      <w:r w:rsidRPr="00B947A1">
        <w:t xml:space="preserve"> the funding source for this study</w:t>
      </w:r>
      <w:r>
        <w:t>.</w:t>
      </w:r>
    </w:p>
    <w:p w14:paraId="166233F8" w14:textId="50224111" w:rsidR="00246068" w:rsidRDefault="00246068" w:rsidP="00246068">
      <w:pPr>
        <w:ind w:firstLine="0"/>
        <w:jc w:val="both"/>
      </w:pPr>
      <w:r w:rsidRPr="00EB1DA2">
        <w:rPr>
          <w:b/>
          <w:bCs/>
        </w:rPr>
        <w:t>Acknowledgements</w:t>
      </w:r>
      <w:r>
        <w:t>: This work</w:t>
      </w:r>
      <w:r w:rsidRPr="00EB1DA2">
        <w:t xml:space="preserve"> was </w:t>
      </w:r>
      <w:r>
        <w:t>funded</w:t>
      </w:r>
      <w:r w:rsidRPr="00EB1DA2">
        <w:t xml:space="preserve"> by the National Institute on Deafness and Other Communication Disorders under award number F32DC017076 to C</w:t>
      </w:r>
      <w:r>
        <w:t>M.</w:t>
      </w:r>
      <w:r w:rsidRPr="00EB1DA2">
        <w:t xml:space="preserve"> </w:t>
      </w:r>
      <w:r>
        <w:t>Thank you</w:t>
      </w:r>
      <w:r w:rsidRPr="00EB1DA2">
        <w:t xml:space="preserve"> to </w:t>
      </w:r>
      <w:r>
        <w:t xml:space="preserve">Alexis Allard and Grace de Luca </w:t>
      </w:r>
      <w:r w:rsidRPr="00EB1DA2">
        <w:t xml:space="preserve">for </w:t>
      </w:r>
      <w:r>
        <w:t>help with coding the data, to Jeffrey Skidmore for help with model implementation, and to Brandon Koch for assistance with the power analyses. Thanks to two anonymous reviewers for helpful comments on this manuscript. We also thank the clinicians at Nationwide Children’s Hospital for their support, and especially all the families who participated in our study.</w:t>
      </w:r>
    </w:p>
    <w:p w14:paraId="4D26FED1" w14:textId="77777777" w:rsidR="00246068" w:rsidRDefault="00246068" w:rsidP="00246068">
      <w:pPr>
        <w:ind w:firstLine="0"/>
        <w:jc w:val="both"/>
      </w:pPr>
    </w:p>
    <w:p w14:paraId="74734026" w14:textId="79D662A4" w:rsidR="00F141C1" w:rsidRPr="00EE238C" w:rsidRDefault="00F141C1" w:rsidP="00EE238C">
      <w:pPr>
        <w:pStyle w:val="Heading2"/>
      </w:pPr>
      <w:r w:rsidRPr="00EE238C">
        <w:lastRenderedPageBreak/>
        <w:t>Research Highlights:</w:t>
      </w:r>
    </w:p>
    <w:p w14:paraId="0470DB62" w14:textId="0F4180C9" w:rsidR="00F141C1" w:rsidRPr="00276E8C" w:rsidRDefault="00F141C1" w:rsidP="00F141C1">
      <w:pPr>
        <w:pStyle w:val="ListParagraph"/>
        <w:numPr>
          <w:ilvl w:val="0"/>
          <w:numId w:val="4"/>
        </w:numPr>
        <w:ind w:left="360"/>
        <w:contextualSpacing w:val="0"/>
        <w:rPr>
          <w:iCs/>
        </w:rPr>
      </w:pPr>
      <w:r w:rsidRPr="00276E8C">
        <w:rPr>
          <w:iCs/>
        </w:rPr>
        <w:t xml:space="preserve">We </w:t>
      </w:r>
      <w:r>
        <w:rPr>
          <w:iCs/>
        </w:rPr>
        <w:t>compared action sequence learning in deaf vs. hearing infants and toddlers</w:t>
      </w:r>
      <w:r w:rsidRPr="00276E8C">
        <w:rPr>
          <w:iCs/>
        </w:rPr>
        <w:t>.</w:t>
      </w:r>
    </w:p>
    <w:p w14:paraId="789CEF87" w14:textId="40850F95" w:rsidR="00F141C1" w:rsidRPr="00276E8C" w:rsidRDefault="00F141C1" w:rsidP="00F141C1">
      <w:pPr>
        <w:pStyle w:val="ListParagraph"/>
        <w:numPr>
          <w:ilvl w:val="0"/>
          <w:numId w:val="4"/>
        </w:numPr>
        <w:ind w:left="360"/>
        <w:contextualSpacing w:val="0"/>
        <w:rPr>
          <w:iCs/>
        </w:rPr>
      </w:pPr>
      <w:r>
        <w:rPr>
          <w:iCs/>
        </w:rPr>
        <w:t>Before cochlear implantation, deaf infants did not learn, while hearing infants did</w:t>
      </w:r>
      <w:r w:rsidRPr="00276E8C">
        <w:rPr>
          <w:iCs/>
        </w:rPr>
        <w:t>.</w:t>
      </w:r>
    </w:p>
    <w:p w14:paraId="379DFF56" w14:textId="1BC5E735" w:rsidR="00F141C1" w:rsidRPr="00276E8C" w:rsidRDefault="00F141C1" w:rsidP="00F141C1">
      <w:pPr>
        <w:pStyle w:val="ListParagraph"/>
        <w:numPr>
          <w:ilvl w:val="0"/>
          <w:numId w:val="4"/>
        </w:numPr>
        <w:ind w:left="360"/>
        <w:contextualSpacing w:val="0"/>
        <w:rPr>
          <w:iCs/>
        </w:rPr>
      </w:pPr>
      <w:r>
        <w:rPr>
          <w:iCs/>
        </w:rPr>
        <w:t>After cochlear implantation, deaf and hearing toddlers both demonstrated similar learning.</w:t>
      </w:r>
    </w:p>
    <w:p w14:paraId="4359524B" w14:textId="4D9C03BA" w:rsidR="00F141C1" w:rsidRPr="00276E8C" w:rsidRDefault="00F141C1" w:rsidP="00F141C1">
      <w:pPr>
        <w:pStyle w:val="ListParagraph"/>
        <w:numPr>
          <w:ilvl w:val="0"/>
          <w:numId w:val="4"/>
        </w:numPr>
        <w:ind w:left="360"/>
        <w:contextualSpacing w:val="0"/>
        <w:rPr>
          <w:iCs/>
        </w:rPr>
      </w:pPr>
      <w:r>
        <w:rPr>
          <w:iCs/>
        </w:rPr>
        <w:t>Learning performance was positively correlated with language scores in the deaf toddlers.</w:t>
      </w:r>
    </w:p>
    <w:p w14:paraId="79DCD3B0" w14:textId="77777777" w:rsidR="00483198" w:rsidRPr="00F141C1" w:rsidRDefault="00483198" w:rsidP="00EE238C">
      <w:pPr>
        <w:pStyle w:val="Heading2"/>
      </w:pPr>
      <w:r w:rsidRPr="00F141C1">
        <w:t>Abstract</w:t>
      </w:r>
    </w:p>
    <w:p w14:paraId="756F4EE3" w14:textId="51DF494D" w:rsidR="00483198" w:rsidRDefault="00483198" w:rsidP="00282AEF">
      <w:r w:rsidRPr="00612195">
        <w:t xml:space="preserve">Congenital hearing loss offers a unique opportunity to examine the role of sound in cognitive, </w:t>
      </w:r>
      <w:r w:rsidR="00F11787" w:rsidRPr="00612195">
        <w:t>social,</w:t>
      </w:r>
      <w:r w:rsidRPr="00612195">
        <w:t xml:space="preserve"> and linguistic </w:t>
      </w:r>
      <w:r w:rsidR="009E5AD9">
        <w:t>development</w:t>
      </w:r>
      <w:r w:rsidRPr="00612195">
        <w:t xml:space="preserve">. </w:t>
      </w:r>
      <w:r w:rsidR="009E5AD9">
        <w:t>Children</w:t>
      </w:r>
      <w:r w:rsidRPr="00612195">
        <w:t xml:space="preserve"> with hearing loss demonstrate atypical performance across a range of general cognitive skills. </w:t>
      </w:r>
      <w:r w:rsidR="009E5AD9">
        <w:t xml:space="preserve">For instance, </w:t>
      </w:r>
      <w:r w:rsidRPr="00612195">
        <w:t xml:space="preserve">research has shown that deaf </w:t>
      </w:r>
      <w:r w:rsidR="009E5AD9">
        <w:t xml:space="preserve">school-age </w:t>
      </w:r>
      <w:r w:rsidRPr="00612195">
        <w:t xml:space="preserve">children underperform on visual statistical learning (VSL) tasks. However, the evidence for </w:t>
      </w:r>
      <w:r w:rsidR="009E5AD9">
        <w:t>these deficits</w:t>
      </w:r>
      <w:r w:rsidRPr="00612195">
        <w:t xml:space="preserve"> </w:t>
      </w:r>
      <w:r w:rsidR="009E5AD9">
        <w:t>has been challenged</w:t>
      </w:r>
      <w:r w:rsidRPr="00612195">
        <w:t>, with mixed findings</w:t>
      </w:r>
      <w:r w:rsidR="009E5AD9">
        <w:t xml:space="preserve"> emerging in recent years</w:t>
      </w:r>
      <w:r w:rsidRPr="00612195">
        <w:t xml:space="preserve">. </w:t>
      </w:r>
      <w:r w:rsidR="009E5AD9">
        <w:t>Here</w:t>
      </w:r>
      <w:r w:rsidRPr="00612195">
        <w:t>, we used a</w:t>
      </w:r>
      <w:r w:rsidR="009E5AD9">
        <w:t xml:space="preserve"> novel </w:t>
      </w:r>
      <w:r w:rsidRPr="00612195">
        <w:t xml:space="preserve">approach to examine VSL in the action domain </w:t>
      </w:r>
      <w:r w:rsidR="009E5AD9">
        <w:t>early in development</w:t>
      </w:r>
      <w:r w:rsidRPr="00612195">
        <w:t xml:space="preserve">. </w:t>
      </w:r>
      <w:r w:rsidR="004978B6">
        <w:t>W</w:t>
      </w:r>
      <w:r w:rsidRPr="00612195">
        <w:t xml:space="preserve">e compared learning between deaf and hearing </w:t>
      </w:r>
      <w:r w:rsidR="009E5AD9">
        <w:t xml:space="preserve">infants, </w:t>
      </w:r>
      <w:r w:rsidRPr="00612195">
        <w:t>prior to cochlear implantation</w:t>
      </w:r>
      <w:r w:rsidR="0046515E">
        <w:t xml:space="preserve"> (pre-CI)</w:t>
      </w:r>
      <w:r w:rsidR="009E5AD9">
        <w:t>,</w:t>
      </w:r>
      <w:r w:rsidRPr="00612195">
        <w:t xml:space="preserve"> and a group of toddlers</w:t>
      </w:r>
      <w:r w:rsidR="00F11787" w:rsidRPr="00612195">
        <w:t xml:space="preserve"> </w:t>
      </w:r>
      <w:r w:rsidR="009E5AD9">
        <w:t xml:space="preserve">post </w:t>
      </w:r>
      <w:r w:rsidRPr="00612195">
        <w:t>implantation</w:t>
      </w:r>
      <w:r w:rsidR="0046515E">
        <w:t xml:space="preserve"> (post-CI)</w:t>
      </w:r>
      <w:r w:rsidRPr="00612195">
        <w:t xml:space="preserve">. </w:t>
      </w:r>
      <w:r w:rsidRPr="00505ED2">
        <w:t xml:space="preserve">Findings revealed </w:t>
      </w:r>
      <w:r w:rsidR="00846072" w:rsidRPr="00505ED2">
        <w:t>a significant difference between deaf and hearing infants</w:t>
      </w:r>
      <w:r w:rsidR="0046515E">
        <w:t xml:space="preserve"> pre-CI</w:t>
      </w:r>
      <w:r w:rsidR="00846072" w:rsidRPr="00505ED2">
        <w:t xml:space="preserve">, </w:t>
      </w:r>
      <w:r w:rsidR="00505ED2" w:rsidRPr="00505ED2">
        <w:t>with evidence for</w:t>
      </w:r>
      <w:r w:rsidR="00846072" w:rsidRPr="00505ED2">
        <w:t xml:space="preserve"> learning only in the hearing </w:t>
      </w:r>
      <w:r w:rsidR="009E5AD9">
        <w:t>infants</w:t>
      </w:r>
      <w:r w:rsidR="00846072" w:rsidRPr="00505ED2">
        <w:t xml:space="preserve">. </w:t>
      </w:r>
      <w:r w:rsidR="00505ED2" w:rsidRPr="00505ED2">
        <w:t>However, there were no significant group differences between deaf and hearing toddlers</w:t>
      </w:r>
      <w:r w:rsidR="001D16C5">
        <w:t xml:space="preserve"> post</w:t>
      </w:r>
      <w:r w:rsidR="0046515E">
        <w:t>-CI</w:t>
      </w:r>
      <w:r w:rsidR="00505ED2">
        <w:t xml:space="preserve">, </w:t>
      </w:r>
      <w:r w:rsidR="00505ED2" w:rsidRPr="00505ED2">
        <w:t xml:space="preserve">with both groups demonstrating learning. </w:t>
      </w:r>
      <w:r w:rsidR="00505ED2">
        <w:t xml:space="preserve">Further, </w:t>
      </w:r>
      <w:r w:rsidR="00505ED2" w:rsidRPr="00505ED2">
        <w:t>VSL</w:t>
      </w:r>
      <w:r w:rsidRPr="00505ED2">
        <w:t xml:space="preserve"> performance </w:t>
      </w:r>
      <w:r w:rsidR="00505ED2">
        <w:t xml:space="preserve">was positively </w:t>
      </w:r>
      <w:r w:rsidRPr="00505ED2">
        <w:t>correlated with language scores for the deaf toddlers, adding to the body of</w:t>
      </w:r>
      <w:r w:rsidRPr="00612195">
        <w:t xml:space="preserve"> evidence suggesting that</w:t>
      </w:r>
      <w:r w:rsidR="00282AEF">
        <w:t xml:space="preserve"> </w:t>
      </w:r>
      <w:r w:rsidRPr="00612195">
        <w:t xml:space="preserve">statistical learning is </w:t>
      </w:r>
      <w:r w:rsidR="00F11787" w:rsidRPr="00612195">
        <w:t xml:space="preserve">associated with </w:t>
      </w:r>
      <w:r w:rsidRPr="00612195">
        <w:t>language abilities. We discuss these findings in the context of previous evidence for group differences in VSL skills, and the role that auditory experiences play in infant cognitive development.</w:t>
      </w:r>
    </w:p>
    <w:p w14:paraId="121623F1" w14:textId="77777777" w:rsidR="000B76F0" w:rsidRDefault="009E5AD9" w:rsidP="000B76F0">
      <w:pPr>
        <w:rPr>
          <w:i/>
        </w:rPr>
      </w:pPr>
      <w:r w:rsidRPr="00276E8C">
        <w:rPr>
          <w:i/>
        </w:rPr>
        <w:t>Keywords:</w:t>
      </w:r>
      <w:r>
        <w:rPr>
          <w:i/>
        </w:rPr>
        <w:t xml:space="preserve"> visual statistical learning</w:t>
      </w:r>
      <w:r w:rsidRPr="00276E8C">
        <w:rPr>
          <w:i/>
        </w:rPr>
        <w:t xml:space="preserve">, </w:t>
      </w:r>
      <w:r w:rsidR="004C6D10">
        <w:rPr>
          <w:i/>
        </w:rPr>
        <w:t>hearing loss</w:t>
      </w:r>
      <w:r>
        <w:rPr>
          <w:i/>
        </w:rPr>
        <w:t xml:space="preserve">, </w:t>
      </w:r>
      <w:r w:rsidRPr="00276E8C">
        <w:rPr>
          <w:i/>
        </w:rPr>
        <w:t>cognitive development</w:t>
      </w:r>
      <w:r>
        <w:rPr>
          <w:i/>
        </w:rPr>
        <w:t xml:space="preserve">, </w:t>
      </w:r>
      <w:r w:rsidR="004C6D10">
        <w:rPr>
          <w:i/>
        </w:rPr>
        <w:t>language</w:t>
      </w:r>
      <w:r>
        <w:rPr>
          <w:i/>
        </w:rPr>
        <w:t>, mobile eye-tracking</w:t>
      </w:r>
    </w:p>
    <w:p w14:paraId="62DBE9A2" w14:textId="053D91CD" w:rsidR="000B76F0" w:rsidRDefault="00EE238C" w:rsidP="000B76F0">
      <w:pPr>
        <w:pStyle w:val="Heading2"/>
      </w:pPr>
      <w:bookmarkStart w:id="0" w:name="_Hlk92711534"/>
      <w:r w:rsidRPr="00F141C1">
        <w:lastRenderedPageBreak/>
        <w:t xml:space="preserve">Visual </w:t>
      </w:r>
      <w:r w:rsidR="00E643E3">
        <w:t>statistical</w:t>
      </w:r>
      <w:r w:rsidRPr="00F141C1">
        <w:t xml:space="preserve"> learning in deaf and hearing </w:t>
      </w:r>
      <w:r w:rsidR="00242815">
        <w:t xml:space="preserve">infants and </w:t>
      </w:r>
      <w:r w:rsidRPr="00F141C1">
        <w:t>toddlers</w:t>
      </w:r>
    </w:p>
    <w:bookmarkEnd w:id="0"/>
    <w:p w14:paraId="04BB5E11" w14:textId="4F03E102" w:rsidR="00483198" w:rsidRPr="000B76F0" w:rsidRDefault="00EE238C" w:rsidP="000B76F0">
      <w:pPr>
        <w:pStyle w:val="Heading2"/>
        <w:rPr>
          <w:i/>
        </w:rPr>
      </w:pPr>
      <w:r>
        <w:t xml:space="preserve">1.0 </w:t>
      </w:r>
      <w:r w:rsidR="00483198" w:rsidRPr="00727A15">
        <w:t>Introduction</w:t>
      </w:r>
    </w:p>
    <w:p w14:paraId="231459D1" w14:textId="6C864F47" w:rsidR="00483198" w:rsidRPr="00612195" w:rsidRDefault="00036CC3" w:rsidP="00DE4644">
      <w:r w:rsidRPr="00612195">
        <w:t xml:space="preserve">Infants and toddlers spend most of their waking hours actively exploring their environment, as they observe the world with fascination and experience the sights and sounds of their own motor actions. These early sensory experiences guide the normal development of social and cognitive skills. </w:t>
      </w:r>
      <w:r w:rsidR="00483198" w:rsidRPr="00612195">
        <w:t>Atypical development in one sensory modality can</w:t>
      </w:r>
      <w:r w:rsidR="004978B6">
        <w:t xml:space="preserve"> therefore</w:t>
      </w:r>
      <w:r w:rsidR="00483198" w:rsidRPr="00612195">
        <w:t xml:space="preserve"> have profound consequences for </w:t>
      </w:r>
      <w:r w:rsidR="004978B6">
        <w:t>other sensory and</w:t>
      </w:r>
      <w:r w:rsidR="00483198" w:rsidRPr="00612195">
        <w:t xml:space="preserve"> cognitive functions. For instance, children with hearing loss demonstrate differences in performance across a range of </w:t>
      </w:r>
      <w:r w:rsidR="00843B04" w:rsidRPr="00612195">
        <w:t xml:space="preserve">domain-general </w:t>
      </w:r>
      <w:r w:rsidR="00483198" w:rsidRPr="00612195">
        <w:t xml:space="preserve">cognitive tasks, </w:t>
      </w:r>
      <w:r w:rsidR="00D81791" w:rsidRPr="00612195">
        <w:t>including</w:t>
      </w:r>
      <w:r w:rsidR="00483198" w:rsidRPr="00612195">
        <w:t xml:space="preserve"> habituation </w:t>
      </w:r>
      <w:r w:rsidR="00483198" w:rsidRPr="00612195">
        <w:fldChar w:fldCharType="begin" w:fldLock="1"/>
      </w:r>
      <w:r w:rsidR="00D864BD">
        <w:instrText>ADDIN CSL_CITATION {"citationItems":[{"id":"ITEM-1","itemData":{"DOI":"10.1371/journal.pone.0209265","ISBN":"1111111111","ISSN":"19326203","abstract":"Early cognitive development relies on the sensory experiences that infants acquire as they explore their environment. Atypical experience in one sensory modality from birth may result in fundamental differences in general cognitive abilities. The primary aim of the current study was to compare visual habituation in infants with profound hearing loss, prior to receiving cochlear implants (CIs), and age-matched peers with typical hearing. Two complementary measures of cognitive function and attention maintenance were assessed: the length of time to habituate to a visual stimulus, and look-away rate during habituation. Findings revealed that deaf infants were slower to habituate to a visual stimulus and demonstrated a lower look-away rate than hearing infants. For deaf infants, habituation measures correlated with language outcomes on standardized assessments before cochlear implantation. These findings are consistent with prior evidence suggesting that habituation and look-away rates reflect efficiency of information processing and may suggest that deaf infants take longer to process visual stimuli relative to the hearing infants. Taken together, these findings are consistent with the hypothesis that hearing loss early in infancy influences aspects of general cognitive functioning.","author":[{"dropping-particle":"","family":"Monroy","given":"C.","non-dropping-particle":"","parse-names":false,"suffix":""},{"dropping-particle":"","family":"Shafto","given":"Carissa","non-dropping-particle":"","parse-names":false,"suffix":""},{"dropping-particle":"","family":"Castellanos","given":"Irina","non-dropping-particle":"","parse-names":false,"suffix":""},{"dropping-particle":"","family":"Bergeson","given":"Tonya","non-dropping-particle":"","parse-names":false,"suffix":""},{"dropping-particle":"","family":"Houston","given":"Derek","non-dropping-particle":"","parse-names":false,"suffix":""}],"container-title":"PLoS ONE","id":"ITEM-1","issue":"2","issued":{"date-parts":[["2019"]]},"title":"Visual habituation in deaf and hearing infants","type":"article-journal","volume":"14"},"uris":["http://www.mendeley.com/documents/?uuid=b7ff29e8-b7b5-37f9-9e9d-26b148e84e35"]}],"mendeley":{"formattedCitation":"(Monroy, Shafto, et al., 2019)","manualFormatting":"(Monroy et al., 2019a)","plainTextFormattedCitation":"(Monroy, Shafto, et al., 2019)","previouslyFormattedCitation":"(Monroy, Shafto, et al., 2019)"},"properties":{"noteIndex":0},"schema":"https://github.com/citation-style-language/schema/raw/master/csl-citation.json"}</w:instrText>
      </w:r>
      <w:r w:rsidR="00483198" w:rsidRPr="00612195">
        <w:fldChar w:fldCharType="separate"/>
      </w:r>
      <w:r w:rsidR="00470221" w:rsidRPr="00727A15">
        <w:rPr>
          <w:noProof/>
        </w:rPr>
        <w:t>(Monroy</w:t>
      </w:r>
      <w:r w:rsidR="001A3D50">
        <w:rPr>
          <w:noProof/>
        </w:rPr>
        <w:t xml:space="preserve"> </w:t>
      </w:r>
      <w:r w:rsidR="00470221" w:rsidRPr="00727A15">
        <w:rPr>
          <w:noProof/>
        </w:rPr>
        <w:t>et al., 2019</w:t>
      </w:r>
      <w:r w:rsidR="00D864BD">
        <w:rPr>
          <w:noProof/>
        </w:rPr>
        <w:t>a</w:t>
      </w:r>
      <w:r w:rsidR="00470221" w:rsidRPr="00727A15">
        <w:rPr>
          <w:noProof/>
        </w:rPr>
        <w:t>)</w:t>
      </w:r>
      <w:r w:rsidR="00483198" w:rsidRPr="00612195">
        <w:fldChar w:fldCharType="end"/>
      </w:r>
      <w:r w:rsidR="00D81791" w:rsidRPr="00612195">
        <w:t xml:space="preserve">, </w:t>
      </w:r>
      <w:r w:rsidR="00483198" w:rsidRPr="00612195">
        <w:t xml:space="preserve">attention </w:t>
      </w:r>
      <w:r w:rsidR="00483198" w:rsidRPr="00612195">
        <w:fldChar w:fldCharType="begin" w:fldLock="1"/>
      </w:r>
      <w:r w:rsidR="00483198" w:rsidRPr="00612195">
        <w:instrText>ADDIN CSL_CITATION {"citationItems":[{"id":"ITEM-1","itemData":{"DOI":"10.1371/journal.pone.0005640","ISBN":"1932-6203 (Electronic)\\r1932-6203 (Linking)","ISSN":"19326203","PMID":"19462009","abstract":"Background: Early deafness leads to enhanced attention in the visual periphery. Yet, whether this enhancement confers advantages in everyday life remains unknown, as deaf individuals have been shown to be more distracted by irrelevant information in the periphery than their hearing peers. Here, we show that, in a complex attentional task, a performance advantage results for deaf individuals. Methodology/Principal Findings: We employed the Useful Field of View (UFOV) which requires central target identification concurrent with peripheral target localization in the presence of distractors - a divided, selective attention task. First, the comparison of deaf and hearing adults with or without sign language skills establishes that deafness and not sign language use drives UFOV enhancement. Second, UFOV performance was enhanced in deaf children, but only after 11 years of age. Conclusions/Significance: This work demonstrates that, following early auditory deprivation, visual attention resources toward the periphery slowly get augmented to eventually result in a clear behavioral advantage by pre-adolescence on a selective visual attention task. © 2009 Dye et al.","author":[{"dropping-particle":"","family":"Dye","given":"Matthew W.G.","non-dropping-particle":"","parse-names":false,"suffix":""},{"dropping-particle":"","family":"Hauser","given":"Peter C.","non-dropping-particle":"","parse-names":false,"suffix":""},{"dropping-particle":"","family":"Bavelier","given":"Daphne","non-dropping-particle":"","parse-names":false,"suffix":""}],"container-title":"PLoS ONE","editor":[{"dropping-particle":"","family":"Baker","given":"Chris I.","non-dropping-particle":"","parse-names":false,"suffix":""}],"id":"ITEM-1","issue":"5","issued":{"date-parts":[["2009","5","20"]]},"page":"e5640","publisher":"Public Library of Science","title":"Is visual selective attention in deaf individuals enhanced or deficient? The case of the useful field of view","type":"article-journal","volume":"4"},"uris":["http://www.mendeley.com/documents/?uuid=25ca1006-43e2-30d0-b4de-3aa0d63d8691"]}],"mendeley":{"formattedCitation":"(Dye, Hauser, &amp; Bavelier, 2009)","plainTextFormattedCitation":"(Dye, Hauser, &amp; Bavelier, 2009)","previouslyFormattedCitation":"(Dye, Hauser, &amp; Bavelier, 2009)"},"properties":{"noteIndex":0},"schema":"https://github.com/citation-style-language/schema/raw/master/csl-citation.json"}</w:instrText>
      </w:r>
      <w:r w:rsidR="00483198" w:rsidRPr="00612195">
        <w:fldChar w:fldCharType="separate"/>
      </w:r>
      <w:r w:rsidR="00483198" w:rsidRPr="00727A15">
        <w:rPr>
          <w:noProof/>
        </w:rPr>
        <w:t>(Dye, Hauser, &amp; Bavelier, 2009)</w:t>
      </w:r>
      <w:r w:rsidR="00483198" w:rsidRPr="00612195">
        <w:fldChar w:fldCharType="end"/>
      </w:r>
      <w:r w:rsidR="00483198" w:rsidRPr="00612195">
        <w:t xml:space="preserve">, memory </w:t>
      </w:r>
      <w:r w:rsidR="00483198" w:rsidRPr="00612195">
        <w:fldChar w:fldCharType="begin" w:fldLock="1"/>
      </w:r>
      <w:r w:rsidR="00FC2A7A">
        <w:instrText>ADDIN CSL_CITATION {"citationItems":[{"id":"ITEM-1","itemData":{"DOI":"10.3389/fpsyg.2016.00493","ISSN":"1664-1078","abstract":"At the present time, there is no question that cochlear implants work and often work very well in quiet listening conditions for many profoundly deaf children and adults. The speech and language outcomes data published over the last two decades document quite extensively the clinically significant benefits of cochlear implants. Although there now is a large body of evidence supporting the \"efficacy\" of cochlear implants as a medical intervention for profound hearing loss in both children and adults, there still remain a number of challenging unresolved clinical and theoretical issues that deal with the \"effectiveness\" of cochlear implants in individual patients that have not yet been successfully resolved. In this paper, we review recent findings on learning and memory, two central topics in the field of cognition that have been seriously neglected in research on cochlear implants. Our research findings on sequence learning, memory and organization processes, and retrieval strategies used in verbal learning and memory of categorized word lists suggests that basic domain-general learning abilities may be the missing piece of the puzzle in terms of understanding the cognitive factors that underlie the enormous individual differences and variability routinely observed in speech and language outcomes following cochlear implantation.","author":[{"dropping-particle":"","family":"Pisoni","given":"David B.","non-dropping-particle":"","parse-names":false,"suffix":""},{"dropping-particle":"","family":"Kronenberger","given":"William G.","non-dropping-particle":"","parse-names":false,"suffix":""},{"dropping-particle":"","family":"Chandramouli","given":"Suyog H.","non-dropping-particle":"","parse-names":false,"suffix":""},{"dropping-particle":"","family":"Conway","given":"Christopher M.","non-dropping-particle":"","parse-names":false,"suffix":""}],"container-title":"Frontiers in Psychology","id":"ITEM-1","issued":{"date-parts":[["2016"]]},"page":"1-19","title":"Learning and memory processes following cochlear implantation: The missing piece of the puzzle","type":"article-journal","volume":"7"},"uris":["http://www.mendeley.com/documents/?uuid=89aa4e14-7eb9-380f-85bb-5ef2bcf3646c"]}],"mendeley":{"formattedCitation":"(Pisoni et al., 2016)","manualFormatting":"(Pisoni et al., 2016)","plainTextFormattedCitation":"(Pisoni et al., 2016)","previouslyFormattedCitation":"(Pisoni et al., 2016)"},"properties":{"noteIndex":0},"schema":"https://github.com/citation-style-language/schema/raw/master/csl-citation.json"}</w:instrText>
      </w:r>
      <w:r w:rsidR="00483198" w:rsidRPr="00612195">
        <w:fldChar w:fldCharType="separate"/>
      </w:r>
      <w:r w:rsidR="00253CAD" w:rsidRPr="00727A15">
        <w:rPr>
          <w:noProof/>
        </w:rPr>
        <w:t>(Pisoni et al., 2016)</w:t>
      </w:r>
      <w:r w:rsidR="00483198" w:rsidRPr="00612195">
        <w:fldChar w:fldCharType="end"/>
      </w:r>
      <w:r w:rsidR="00D81791" w:rsidRPr="00612195">
        <w:t>, sequence processing</w:t>
      </w:r>
      <w:r w:rsidR="00483198" w:rsidRPr="00612195">
        <w:t xml:space="preserve"> </w:t>
      </w:r>
      <w:r w:rsidR="00D81791" w:rsidRPr="00612195">
        <w:fldChar w:fldCharType="begin" w:fldLock="1"/>
      </w:r>
      <w:r w:rsidR="00843B04" w:rsidRPr="00612195">
        <w:instrText>ADDIN CSL_CITATION {"citationItems":[{"id":"ITEM-1","itemData":{"DOI":"10.1016/j.ijporl.2016.03.036","ISSN":"0165-5876","author":[{"dropping-particle":"V","family":"Bharadwaj","given":"Sneha","non-dropping-particle":"","parse-names":false,"suffix":""},{"dropping-particle":"","family":"Mehta","given":"Jyutika A","non-dropping-particle":"","parse-names":false,"suffix":""}],"container-title":"International Journal of Pediatric Otorhinolaryngology","id":"ITEM-1","issued":{"date-parts":[["2016"]]},"page":"158-165","title":"An exploratory study of visual sequential processing in children with cochlear implants","type":"article-journal","volume":"85"},"uris":["http://www.mendeley.com/documents/?uuid=74e74308-d1f5-3b14-b439-4a002052fa7b"]}],"mendeley":{"formattedCitation":"(Bharadwaj &amp; Mehta, 2016)","plainTextFormattedCitation":"(Bharadwaj &amp; Mehta, 2016)","previouslyFormattedCitation":"(Bharadwaj &amp; Mehta, 2016)"},"properties":{"noteIndex":0},"schema":"https://github.com/citation-style-language/schema/raw/master/csl-citation.json"}</w:instrText>
      </w:r>
      <w:r w:rsidR="00D81791" w:rsidRPr="00612195">
        <w:fldChar w:fldCharType="separate"/>
      </w:r>
      <w:r w:rsidR="00D81791" w:rsidRPr="00727A15">
        <w:rPr>
          <w:noProof/>
        </w:rPr>
        <w:t>(Bharadwaj &amp; Mehta, 2016)</w:t>
      </w:r>
      <w:r w:rsidR="00D81791" w:rsidRPr="00612195">
        <w:fldChar w:fldCharType="end"/>
      </w:r>
      <w:r w:rsidR="00843B04" w:rsidRPr="00612195">
        <w:t xml:space="preserve">, and statistical learning </w:t>
      </w:r>
      <w:r w:rsidR="00843B04" w:rsidRPr="00612195">
        <w:fldChar w:fldCharType="begin" w:fldLock="1"/>
      </w:r>
      <w:r w:rsidR="001C5E63">
        <w:instrText>ADDIN CSL_CITATION {"citationItems":[{"id":"ITEM-1","itemData":{"DOI":"10.1111/j.1467-7687.2010.00960.x","ISBN":"1467-7687 (Electronic)\\r1363-755X (Linking)","PMID":"21159089","abstract":"Deaf children with cochlear implants (CIs) represent an intriguing opportunity to study neurocognitive plasticity and reorganization when sound is introduced following a period of auditory deprivation early in development. Although it is common to consider deafness as affecting hearing alone, it may be the case that auditory deprivation leads to more global changes in neurocognitive function. In this paper, we investigate implicit sequence learning abilities in deaf children with CIs using a novel task that measured learning through improvement to immediate serial recall for statistically consistent visual sequences. The results demonstrated two key findings. First, the deaf children with CIs showed disturbances in their visual sequence learning abilities relative to the typically developing normal-hearing children. Second, sequence learning was significantly correlated with a standardized measure of language outcome in the CI children. These findings suggest that a period of auditory deprivation has secondary effects related to general sequencing deficits, and that disturbances in sequence learning may at least partially explain why some deaf children still struggle with language following cochlear implantation.","author":[{"dropping-particle":"","family":"Conway","given":"C","non-dropping-particle":"","parse-names":false,"suffix":""},{"dropping-particle":"","family":"Pisoni","given":"D","non-dropping-particle":"","parse-names":false,"suffix":""},{"dropping-particle":"","family":"Anaya","given":"E","non-dropping-particle":"","parse-names":false,"suffix":""},{"dropping-particle":"","family":"Karpicke","given":"J","non-dropping-particle":"","parse-names":false,"suffix":""},{"dropping-particle":"","family":"Henning","given":"S","non-dropping-particle":"","parse-names":false,"suffix":""}],"container-title":"Developmental Science","id":"ITEM-1","issue":"1","issued":{"date-parts":[["2011"]]},"page":"69-82","title":"Implicit sequence learning in deaf children with cochlear implants","type":"article-journal","volume":"14"},"uris":["http://www.mendeley.com/documents/?uuid=380a8e5a-e5a4-310d-8c8a-6be2fc10b46f"]}],"mendeley":{"formattedCitation":"(Conway et al., 2011)","manualFormatting":"(Conway et al., 2011)","plainTextFormattedCitation":"(Conway et al., 2011)","previouslyFormattedCitation":"(Conway et al., 2011)"},"properties":{"noteIndex":0},"schema":"https://github.com/citation-style-language/schema/raw/master/csl-citation.json"}</w:instrText>
      </w:r>
      <w:r w:rsidR="00843B04" w:rsidRPr="00612195">
        <w:fldChar w:fldCharType="separate"/>
      </w:r>
      <w:r w:rsidR="00CB49F5">
        <w:rPr>
          <w:noProof/>
        </w:rPr>
        <w:t>(</w:t>
      </w:r>
      <w:r w:rsidR="00CB49F5" w:rsidRPr="00CB49F5">
        <w:rPr>
          <w:noProof/>
        </w:rPr>
        <w:t>Conway et al., 2011)</w:t>
      </w:r>
      <w:r w:rsidR="00843B04" w:rsidRPr="00612195">
        <w:fldChar w:fldCharType="end"/>
      </w:r>
      <w:r w:rsidR="00843B04" w:rsidRPr="00612195">
        <w:t>.</w:t>
      </w:r>
    </w:p>
    <w:p w14:paraId="5EC65DC6" w14:textId="5A9C399B" w:rsidR="00483198" w:rsidRPr="00612195" w:rsidRDefault="00483198" w:rsidP="00512ED8">
      <w:r w:rsidRPr="00612195">
        <w:t xml:space="preserve">Statistical learning is a </w:t>
      </w:r>
      <w:r w:rsidR="00D24E3A">
        <w:t xml:space="preserve">learning </w:t>
      </w:r>
      <w:r w:rsidRPr="00612195">
        <w:t xml:space="preserve">mechanism that is considered foundational to infant cognitive development. From the first days of life, infants are sensitive to the regularities in their environment and can detect statistical associations between syllables </w:t>
      </w:r>
      <w:r w:rsidRPr="00612195">
        <w:fldChar w:fldCharType="begin" w:fldLock="1"/>
      </w:r>
      <w:r w:rsidR="0095005A" w:rsidRPr="00612195">
        <w:instrText>ADDIN CSL_CITATION {"citationItems":[{"id":"ITEM-1","itemData":{"DOI":"10.1126/science.274.5294.1926","author":[{"dropping-particle":"","family":"Saffran","given":"JR","non-dropping-particle":"","parse-names":false,"suffix":""},{"dropping-particle":"","family":"Aslin","given":"RN","non-dropping-particle":"","parse-names":false,"suffix":""},{"dropping-particle":"","family":"Newport","given":"EL","non-dropping-particle":"","parse-names":false,"suffix":""}],"container-title":"Science","id":"ITEM-1","issue":"5294","issued":{"date-parts":[["1996"]]},"page":"1926","title":"Statistical learning by 8-month-old infants","type":"article-journal","volume":"274"},"uris":["http://www.mendeley.com/documents/?uuid=e96f441a-197d-4d51-8532-e14eb186bf7d"]}],"mendeley":{"formattedCitation":"(J. Saffran, Aslin, &amp; Newport, 1996)","manualFormatting":"(Saffran, Aslin, &amp; Newport, 1996)","plainTextFormattedCitation":"(J. Saffran, Aslin, &amp; Newport, 1996)","previouslyFormattedCitation":"(J. Saffran, Aslin, &amp; Newport, 1996)"},"properties":{"noteIndex":0},"schema":"https://github.com/citation-style-language/schema/raw/master/csl-citation.json"}</w:instrText>
      </w:r>
      <w:r w:rsidRPr="00612195">
        <w:fldChar w:fldCharType="separate"/>
      </w:r>
      <w:r w:rsidR="0095005A" w:rsidRPr="00727A15">
        <w:rPr>
          <w:noProof/>
        </w:rPr>
        <w:t>(Saffran, Aslin, &amp; Newport, 1996)</w:t>
      </w:r>
      <w:r w:rsidRPr="00612195">
        <w:fldChar w:fldCharType="end"/>
      </w:r>
      <w:r w:rsidRPr="00612195">
        <w:t xml:space="preserve">, visual shapes </w:t>
      </w:r>
      <w:r w:rsidRPr="00612195">
        <w:fldChar w:fldCharType="begin" w:fldLock="1"/>
      </w:r>
      <w:r w:rsidRPr="00612195">
        <w:instrText>ADDIN CSL_CITATION {"citationItems":[{"id":"ITEM-1","itemData":{"DOI":"10.1016/S0010-0277(02)00004-5","ISSN":"00100277","abstract":"The rapidity with which infants come to understand language and events in their surroundings has prompted speculation concerning innate knowledge structures that guide language acquisition and object knowledge. Recently, however, evidence has emerged that by 8 months, infants can extract statistical patterns in auditory input that are based on transitional probabilities defining the sequencing of the input's components (Science 274 (1996) 1926). This finding suggests powerful learning mechanisms that are functional in infancy, and raises questions about the domain generality of such mechanisms. We habituated 2-, 5-, and 8-month-old infants to sequences of discrete visual stimuli whose ordering followed a statistically predictable pattern. The infants subsequently viewed the familiar pattern alternating with a novel sequence of identical stimulus components, and exhibited significantly greater interest in the novel sequence at all ages. These results provide support for the likelihood of domain general statistical learning in infancy, and imply that mechanisms designed to detect structure inherent in the environment may play an important role in cognitive development.","author":[{"dropping-particle":"","family":"Kirkham","given":"Natasha Z","non-dropping-particle":"","parse-names":false,"suffix":""},{"dropping-particle":"","family":"Slemmer","given":"Jonathan","non-dropping-particle":"","parse-names":false,"suffix":""},{"dropping-particle":"","family":"Johnson","given":"Scott P.","non-dropping-particle":"","parse-names":false,"suffix":""}],"container-title":"Cognition","id":"ITEM-1","issue":"2","issued":{"date-parts":[["2002"]]},"page":"B35-B42","title":"Visual statistical learning in infancy: Evidence for a domain general learning mechanism","type":"article-journal","volume":"83"},"uris":["http://www.mendeley.com/documents/?uuid=e7a40c85-10ee-48cb-a9f4-72023e0d6c46"]}],"mendeley":{"formattedCitation":"(Kirkham, Slemmer, &amp; Johnson, 2002)","plainTextFormattedCitation":"(Kirkham, Slemmer, &amp; Johnson, 2002)","previouslyFormattedCitation":"(Kirkham, Slemmer, &amp; Johnson, 2002)"},"properties":{"noteIndex":0},"schema":"https://github.com/citation-style-language/schema/raw/master/csl-citation.json"}</w:instrText>
      </w:r>
      <w:r w:rsidRPr="00612195">
        <w:fldChar w:fldCharType="separate"/>
      </w:r>
      <w:r w:rsidRPr="00727A15">
        <w:rPr>
          <w:noProof/>
        </w:rPr>
        <w:t>(Kirkham, Slemmer, &amp; Johnson, 2002)</w:t>
      </w:r>
      <w:r w:rsidRPr="00612195">
        <w:fldChar w:fldCharType="end"/>
      </w:r>
      <w:r w:rsidRPr="00612195">
        <w:t xml:space="preserve">, movement sequences </w:t>
      </w:r>
      <w:r w:rsidRPr="00612195">
        <w:fldChar w:fldCharType="begin" w:fldLock="1"/>
      </w:r>
      <w:r w:rsidR="00D81791" w:rsidRPr="00612195">
        <w:instrText>ADDIN CSL_CITATION {"citationItems":[{"id":"ITEM-1","itemData":{"DOI":"10.1111/cdev.12247","ISBN":"0009-3920","ISSN":"14678624","PMID":"24749627","abstract":"Throughout their 1st year, infants adeptly detect statistical structure in their environment. However, little is known about whether statistical learning is a primary mechanism for event segmentation. This study directly tests whether statistical learning alone is sufficient to segment continuous events. Twenty-eight 7- to 9-month-old infants viewed a sequence of continuous actions performed by a novel agent in which there were no transitional movements that could have constrained the possible upcoming actions. At test, infants distinguished statistically intact units from less predictable ones. The ability to segment events using statistical structure may help infants discover other cues to event boundaries, such as intentions, and carve up the world of continuous motion in meaningful ways.","author":[{"dropping-particle":"","family":"Stahl","given":"Aimee E.","non-dropping-particle":"","parse-names":false,"suffix":""},{"dropping-particle":"","family":"Romberg","given":"Alexa R.","non-dropping-particle":"","parse-names":false,"suffix":""},{"dropping-particle":"","family":"Roseberry","given":"Sarah","non-dropping-particle":"","parse-names":false,"suffix":""},{"dropping-particle":"","family":"Golinkoff","given":"Roberta Michnick","non-dropping-particle":"","parse-names":false,"suffix":""},{"dropping-particle":"","family":"Hirsh-Pasek","given":"Kathryn","non-dropping-particle":"","parse-names":false,"suffix":""}],"container-title":"Child Development","id":"ITEM-1","issue":"5","issued":{"date-parts":[["2014","4"]]},"page":"1821-1826","title":"Infants segment continuous events using transitional probabilities","type":"article-journal","volume":"85"},"uris":["http://www.mendeley.com/documents/?uuid=69078074-43db-4226-96d5-fe1692768c5b"]}],"mendeley":{"formattedCitation":"(Stahl et al., 2014)","plainTextFormattedCitation":"(Stahl et al., 2014)","previouslyFormattedCitation":"(Stahl et al., 2014)"},"properties":{"noteIndex":0},"schema":"https://github.com/citation-style-language/schema/raw/master/csl-citation.json"}</w:instrText>
      </w:r>
      <w:r w:rsidRPr="00612195">
        <w:fldChar w:fldCharType="separate"/>
      </w:r>
      <w:r w:rsidR="00470221" w:rsidRPr="00727A15">
        <w:rPr>
          <w:noProof/>
        </w:rPr>
        <w:t>(Stahl et al., 2014)</w:t>
      </w:r>
      <w:r w:rsidRPr="00612195">
        <w:fldChar w:fldCharType="end"/>
      </w:r>
      <w:r w:rsidRPr="00612195">
        <w:t xml:space="preserve">, and human actions </w:t>
      </w:r>
      <w:r w:rsidRPr="00612195">
        <w:fldChar w:fldCharType="begin" w:fldLock="1"/>
      </w:r>
      <w:r w:rsidR="00D864BD">
        <w:instrText>ADDIN CSL_CITATION {"citationItems":[{"id":"ITEM-1","itemData":{"DOI":"10.1016/j.jecp.2016.12.004","ISSN":"00220965","author":[{"dropping-particle":"","family":"Monroy","given":"C.","non-dropping-particle":"","parse-names":false,"suffix":""},{"dropping-particle":"","family":"Gerson","given":"Sarah","non-dropping-particle":"","parse-names":false,"suffix":""},{"dropping-particle":"","family":"Hunnius","given":"Sabine","non-dropping-particle":"","parse-names":false,"suffix":""}],"container-title":"Journal of Experimental Child Psychology","id":"ITEM-1","issued":{"date-parts":[["2017"]]},"page":"14-28","title":"Toddlers' action prediction: Statistical learning of continuous action sequences","type":"article-journal","volume":"157"},"uris":["http://www.mendeley.com/documents/?uuid=78854e76-459c-3482-aca3-30e348719024"]}],"mendeley":{"formattedCitation":"(Monroy, Gerson, &amp; Hunnius, 2017)","plainTextFormattedCitation":"(Monroy, Gerson, &amp; Hunnius, 2017)","previouslyFormattedCitation":"(Monroy, Gerson, &amp; Hunnius, 2017)"},"properties":{"noteIndex":0},"schema":"https://github.com/citation-style-language/schema/raw/master/csl-citation.json"}</w:instrText>
      </w:r>
      <w:r w:rsidRPr="00612195">
        <w:fldChar w:fldCharType="separate"/>
      </w:r>
      <w:r w:rsidR="001C5E63" w:rsidRPr="001C5E63">
        <w:rPr>
          <w:noProof/>
        </w:rPr>
        <w:t>(Monroy, Gerson, &amp; Hunnius, 2017)</w:t>
      </w:r>
      <w:r w:rsidRPr="00612195">
        <w:fldChar w:fldCharType="end"/>
      </w:r>
      <w:r w:rsidRPr="00612195">
        <w:t>. These skills are thought to be an important mechanism through which young infants begin to construct a model of their environment</w:t>
      </w:r>
      <w:r w:rsidR="0095005A" w:rsidRPr="008020FD">
        <w:t xml:space="preserve"> </w:t>
      </w:r>
      <w:r w:rsidR="0095005A" w:rsidRPr="00393D13">
        <w:fldChar w:fldCharType="begin" w:fldLock="1"/>
      </w:r>
      <w:r w:rsidR="0095005A" w:rsidRPr="00393D13">
        <w:instrText>ADDIN CSL_CITATION {"citationItems":[{"id":"ITEM-1","itemData":{"DOI":"10.1146/annurev-psych-122216-011805","ISSN":"15452085","PMID":"28793812","abstract":"Perception involves making sense of a dynamic, multimodal environment. In the absence of mechanisms capable of exploiting the statistical patterns in the natural world, infants would face an insurmountable computational problem. Infant statistical learning mechanisms facilitate the detection of structure. These abilities allow the infant to compute across elements in their environmental input, extracting patterns for further processing and subsequent learning. In this selective review, we summarize findings that show that statistical learning is both a broad and flexible mechanism (supporting learning from different modalities across many different content areas) and input specific (shifting computations depending on the type of input and goal of learning). We suggest that statistical learning not only provides a framework for studying language development and object knowledge in constrained laboratory settings, but also allows researchers to tackle real-world problems, such as multilingualism, the role of ever-changing learning environments, and differential developmental trajectories.","author":[{"dropping-particle":"","family":"Saffran","given":"Jenny R.","non-dropping-particle":"","parse-names":false,"suffix":""},{"dropping-particle":"","family":"Kirkham","given":"Natasha Z.","non-dropping-particle":"","parse-names":false,"suffix":""}],"container-title":"Annual Review of Psychology","id":"ITEM-1","issued":{"date-parts":[["2018","1","4"]]},"page":"181-203","publisher":"Annual Reviews Inc.","title":"Infant Statistical Learning","type":"article","volume":"69"},"uris":["http://www.mendeley.com/documents/?uuid=3699f724-cd9e-3cbf-92e9-e0b8a460592d"]}],"mendeley":{"formattedCitation":"(J. R. Saffran &amp; Kirkham, 2018)","manualFormatting":"(Saffran &amp; Kirkham, 2018)","plainTextFormattedCitation":"(J. R. Saffran &amp; Kirkham, 2018)","previouslyFormattedCitation":"(J. R. Saffran &amp; Kirkham, 2018)"},"properties":{"noteIndex":0},"schema":"https://github.com/citation-style-language/schema/raw/master/csl-citation.json"}</w:instrText>
      </w:r>
      <w:r w:rsidR="0095005A" w:rsidRPr="00393D13">
        <w:fldChar w:fldCharType="separate"/>
      </w:r>
      <w:r w:rsidR="0095005A" w:rsidRPr="00393D13">
        <w:rPr>
          <w:noProof/>
        </w:rPr>
        <w:t>(Saffran &amp; Kirkham, 2018)</w:t>
      </w:r>
      <w:r w:rsidR="0095005A" w:rsidRPr="00393D13">
        <w:fldChar w:fldCharType="end"/>
      </w:r>
      <w:r w:rsidRPr="00393D13">
        <w:t xml:space="preserve">.  </w:t>
      </w:r>
      <w:r w:rsidR="00393D13" w:rsidRPr="00393D13">
        <w:t xml:space="preserve">A substantial body of research with typically developing infants suggests that SL mechanisms </w:t>
      </w:r>
      <w:r w:rsidR="00393D13">
        <w:t>directly contributes to language acquisition</w:t>
      </w:r>
      <w:r w:rsidRPr="00393D13">
        <w:t xml:space="preserve">, </w:t>
      </w:r>
      <w:r w:rsidR="00136D42" w:rsidRPr="00393D13">
        <w:t xml:space="preserve">allowing infants to recognize </w:t>
      </w:r>
      <w:r w:rsidR="00136D42">
        <w:t>statistical regularities</w:t>
      </w:r>
      <w:r w:rsidR="00136D42" w:rsidRPr="00393D13">
        <w:t xml:space="preserve"> within natural speech and predict upcoming sounds </w:t>
      </w:r>
      <w:r w:rsidRPr="00393D13">
        <w:fldChar w:fldCharType="begin" w:fldLock="1"/>
      </w:r>
      <w:r w:rsidR="001C5E63" w:rsidRPr="00393D13">
        <w:instrText>ADDIN CSL_CITATION {"citationItems":[{"id":"ITEM-1","itemData":{"DOI":"10.1111/j.1467-8624.2009.01290.x","ISBN":"0009-3920\\r1467-8624","ISSN":"00093920","PMID":"19489896","abstract":"Numerous studies over the past decade support the claim that infants are equipped with powerful statistical language learning mechanisms. The primary evidence for statistical language learning in word segmentation comes from studies using artificial languages, continuous streams of synthesized syllables that are highly simplified relative to real speech. To what extent can these conclusions be scaled up to natural language learning? In the current experiments, English-learning 8-month-old infants' ability to track transitional probabilities in fluent infant-directed Italian speech was tested (N = 72). The results suggest that infants are sensitive to transitional probability cues in unfamiliar natural language stimuli, and support the claim that statistical learning is sufficiently robust to support aspects of real-world language acquisition.","author":[{"dropping-particle":"","family":"Pelucchi","given":"Bruna","non-dropping-particle":"","parse-names":false,"suffix":""},{"dropping-particle":"","family":"Hay","given":"Jessica","non-dropping-particle":"","parse-names":false,"suffix":""},{"dropping-particle":"","family":"Saffran","given":"Jenny","non-dropping-particle":"","parse-names":false,"suffix":""}],"container-title":"Child Development","id":"ITEM-1","issue":"3","issued":{"date-parts":[["2009","5"]]},"page":"674-685","publisher":"Blackwell Publishing Ltd","title":"Statistical learning in a natural language by 8-month-old infants","type":"article-journal","volume":"80"},"uris":["http://www.mendeley.com/documents/?uuid=98bf2eff-46f5-3eb8-b9ea-835e8f37cfae"]}],"mendeley":{"formattedCitation":"(Pelucchi, Hay, &amp; Saffran, 2009)","plainTextFormattedCitation":"(Pelucchi, Hay, &amp; Saffran, 2009)","previouslyFormattedCitation":"(Pelucchi, Hay, &amp; Saffran, 2009)"},"properties":{"noteIndex":0},"schema":"https://github.com/citation-style-language/schema/raw/master/csl-citation.json"}</w:instrText>
      </w:r>
      <w:r w:rsidRPr="00393D13">
        <w:fldChar w:fldCharType="separate"/>
      </w:r>
      <w:r w:rsidRPr="00393D13">
        <w:rPr>
          <w:noProof/>
        </w:rPr>
        <w:t>(Pelucchi, Hay, &amp; Saffran, 2009)</w:t>
      </w:r>
      <w:r w:rsidRPr="00393D13">
        <w:fldChar w:fldCharType="end"/>
      </w:r>
      <w:r w:rsidRPr="00393D13">
        <w:t>.</w:t>
      </w:r>
      <w:r w:rsidR="0036405B">
        <w:t xml:space="preserve"> </w:t>
      </w:r>
      <w:r w:rsidR="001B1D3D">
        <w:t xml:space="preserve">Evidence for this </w:t>
      </w:r>
      <w:r w:rsidR="003B118E">
        <w:t>link comes from studies show</w:t>
      </w:r>
      <w:r w:rsidR="004B6C5B">
        <w:t>ing</w:t>
      </w:r>
      <w:r w:rsidR="003B118E">
        <w:t xml:space="preserve"> a positive association between domain-general statistical learning </w:t>
      </w:r>
      <w:r w:rsidR="00D478A9">
        <w:t xml:space="preserve">skills and language development. For instance, </w:t>
      </w:r>
      <w:r w:rsidR="004B64B5">
        <w:t xml:space="preserve">performance on a </w:t>
      </w:r>
      <w:r w:rsidR="00D478A9">
        <w:t>v</w:t>
      </w:r>
      <w:r w:rsidR="00A55603">
        <w:t xml:space="preserve">isual statistical learning (VSL) </w:t>
      </w:r>
      <w:r w:rsidR="004B64B5">
        <w:t xml:space="preserve">task </w:t>
      </w:r>
      <w:r w:rsidR="001B1D3D">
        <w:t xml:space="preserve">in </w:t>
      </w:r>
      <w:r w:rsidR="00E835E2">
        <w:t>6</w:t>
      </w:r>
      <w:r w:rsidR="004C5CD7">
        <w:t>-month-</w:t>
      </w:r>
      <w:r w:rsidR="004C5CD7">
        <w:lastRenderedPageBreak/>
        <w:t xml:space="preserve">old </w:t>
      </w:r>
      <w:r w:rsidR="001B1D3D">
        <w:t xml:space="preserve">infants </w:t>
      </w:r>
      <w:r w:rsidR="004C5CD7">
        <w:t>was shown to</w:t>
      </w:r>
      <w:r w:rsidR="00A55603">
        <w:t xml:space="preserve"> </w:t>
      </w:r>
      <w:r w:rsidR="00E835E2">
        <w:t>predict</w:t>
      </w:r>
      <w:r w:rsidR="001B1D3D">
        <w:t xml:space="preserve"> receptive </w:t>
      </w:r>
      <w:r w:rsidR="00E835E2">
        <w:t xml:space="preserve">and expressive </w:t>
      </w:r>
      <w:r w:rsidR="001B1D3D">
        <w:t>vocabulary siz</w:t>
      </w:r>
      <w:r w:rsidR="00D478A9">
        <w:t xml:space="preserve">e </w:t>
      </w:r>
      <w:r w:rsidR="00E835E2">
        <w:t xml:space="preserve">at 22 months, </w:t>
      </w:r>
      <w:r w:rsidR="00C31239">
        <w:t>regardless of maternal speech quality and general cognitive ability</w:t>
      </w:r>
      <w:r w:rsidR="001B1D3D">
        <w:t xml:space="preserve"> </w:t>
      </w:r>
      <w:r w:rsidR="00C31239">
        <w:t>(</w:t>
      </w:r>
      <w:r w:rsidR="00C31239">
        <w:rPr>
          <w:noProof/>
        </w:rPr>
        <w:t>Ellis, Gonzalez, &amp; Deák, 2014</w:t>
      </w:r>
      <w:r w:rsidR="001B1D3D">
        <w:t>)</w:t>
      </w:r>
      <w:r w:rsidR="00C31239">
        <w:t>. I</w:t>
      </w:r>
      <w:r w:rsidR="00F3724C">
        <w:t xml:space="preserve">n </w:t>
      </w:r>
      <w:r w:rsidR="004B6C5B">
        <w:t xml:space="preserve">another study, </w:t>
      </w:r>
      <w:r w:rsidR="00F3724C">
        <w:t>VSL performance</w:t>
      </w:r>
      <w:r w:rsidR="001C6AA7">
        <w:t>—but not an explicit test of word learning—</w:t>
      </w:r>
      <w:r w:rsidR="004B6C5B">
        <w:t xml:space="preserve">was also shown to </w:t>
      </w:r>
      <w:r w:rsidR="001C6AA7">
        <w:t>p</w:t>
      </w:r>
      <w:r w:rsidR="00F3724C">
        <w:t>redict grammar abilit</w:t>
      </w:r>
      <w:r w:rsidR="001C6AA7">
        <w:t xml:space="preserve">ies </w:t>
      </w:r>
      <w:r w:rsidR="004B6C5B">
        <w:t xml:space="preserve">in children </w:t>
      </w:r>
      <w:r w:rsidR="001C6AA7">
        <w:t xml:space="preserve">(Kidd, 2012). </w:t>
      </w:r>
      <w:r w:rsidR="004B6C5B">
        <w:t>T</w:t>
      </w:r>
      <w:r w:rsidR="00D47D3F">
        <w:t xml:space="preserve">hese findings </w:t>
      </w:r>
      <w:r w:rsidR="004B6C5B">
        <w:t xml:space="preserve">are examples of the </w:t>
      </w:r>
      <w:r w:rsidR="00D47D3F">
        <w:t>body of evidence suggesti</w:t>
      </w:r>
      <w:r w:rsidR="004B6C5B">
        <w:t>ng</w:t>
      </w:r>
      <w:r w:rsidR="00D47D3F">
        <w:t xml:space="preserve"> that domain-general SL mechanisms </w:t>
      </w:r>
      <w:r w:rsidR="004B6C5B">
        <w:t>form a core component of language learning</w:t>
      </w:r>
      <w:r w:rsidR="00DC6670">
        <w:t xml:space="preserve"> (Deocampo et al., 2018)</w:t>
      </w:r>
      <w:r w:rsidR="00D846F7">
        <w:t>.</w:t>
      </w:r>
    </w:p>
    <w:p w14:paraId="7B084D44" w14:textId="0339C7FD" w:rsidR="00483198" w:rsidRPr="00612195" w:rsidRDefault="00483198" w:rsidP="00DE4644">
      <w:r w:rsidRPr="00612195">
        <w:t>A few studies have provided evidence for differences in visual statistical learning (VSL) in children with hearing loss, relative to their peers</w:t>
      </w:r>
      <w:r w:rsidR="004978B6">
        <w:t xml:space="preserve"> with normal hearing</w:t>
      </w:r>
      <w:r w:rsidRPr="00612195">
        <w:t xml:space="preserve">. </w:t>
      </w:r>
      <w:r w:rsidR="000B73AF">
        <w:t xml:space="preserve">Conway </w:t>
      </w:r>
      <w:r w:rsidR="000B73AF">
        <w:fldChar w:fldCharType="begin" w:fldLock="1"/>
      </w:r>
      <w:r w:rsidR="001C5E63">
        <w:instrText>ADDIN CSL_CITATION {"citationItems":[{"id":"ITEM-1","itemData":{"DOI":"10.1111/j.1467-7687.2010.00960.x","ISBN":"1467-7687 (Electronic)\\r1363-755X (Linking)","PMID":"21159089","abstract":"Deaf children with cochlear implants (CIs) represent an intriguing opportunity to study neurocognitive plasticity and reorganization when sound is introduced following a period of auditory deprivation early in development. Although it is common to consider deafness as affecting hearing alone, it may be the case that auditory deprivation leads to more global changes in neurocognitive function. In this paper, we investigate implicit sequence learning abilities in deaf children with CIs using a novel task that measured learning through improvement to immediate serial recall for statistically consistent visual sequences. The results demonstrated two key findings. First, the deaf children with CIs showed disturbances in their visual sequence learning abilities relative to the typically developing normal-hearing children. Second, sequence learning was significantly correlated with a standardized measure of language outcome in the CI children. These findings suggest that a period of auditory deprivation has secondary effects related to general sequencing deficits, and that disturbances in sequence learning may at least partially explain why some deaf children still struggle with language following cochlear implantation.","author":[{"dropping-particle":"","family":"Conway","given":"C","non-dropping-particle":"","parse-names":false,"suffix":""},{"dropping-particle":"","family":"Pisoni","given":"D","non-dropping-particle":"","parse-names":false,"suffix":""},{"dropping-particle":"","family":"Anaya","given":"E","non-dropping-particle":"","parse-names":false,"suffix":""},{"dropping-particle":"","family":"Karpicke","given":"J","non-dropping-particle":"","parse-names":false,"suffix":""},{"dropping-particle":"","family":"Henning","given":"S","non-dropping-particle":"","parse-names":false,"suffix":""}],"container-title":"Developmental Science","id":"ITEM-1","issue":"1","issued":{"date-parts":[["2011"]]},"page":"69-82","title":"Implicit sequence learning in deaf children with cochlear implants","type":"article-journal","volume":"14"},"uris":["http://www.mendeley.com/documents/?uuid=380a8e5a-e5a4-310d-8c8a-6be2fc10b46f"]}],"mendeley":{"formattedCitation":"(Conway et al., 2011)","manualFormatting":"and colleagues (2011)","plainTextFormattedCitation":"(Conway et al., 2011)","previouslyFormattedCitation":"(Conway et al., 2011)"},"properties":{"noteIndex":0},"schema":"https://github.com/citation-style-language/schema/raw/master/csl-citation.json"}</w:instrText>
      </w:r>
      <w:r w:rsidR="000B73AF">
        <w:fldChar w:fldCharType="separate"/>
      </w:r>
      <w:r w:rsidR="000B73AF">
        <w:rPr>
          <w:noProof/>
        </w:rPr>
        <w:t>and colleagues (</w:t>
      </w:r>
      <w:r w:rsidR="000B73AF" w:rsidRPr="000B73AF">
        <w:rPr>
          <w:noProof/>
        </w:rPr>
        <w:t>2011)</w:t>
      </w:r>
      <w:r w:rsidR="000B73AF">
        <w:fldChar w:fldCharType="end"/>
      </w:r>
      <w:r w:rsidR="001C2E96" w:rsidRPr="00612195">
        <w:t xml:space="preserve"> </w:t>
      </w:r>
      <w:r w:rsidRPr="00612195">
        <w:t xml:space="preserve">tested implicit visual sequence learning in </w:t>
      </w:r>
      <w:r w:rsidR="000A3A8E">
        <w:t xml:space="preserve">5-10 year old </w:t>
      </w:r>
      <w:r w:rsidRPr="00612195">
        <w:t>deaf children with cochlear implants (</w:t>
      </w:r>
      <w:r w:rsidR="000A3A8E">
        <w:t>CIs</w:t>
      </w:r>
      <w:r w:rsidRPr="00612195">
        <w:t xml:space="preserve">) and found no evidence for learning, while an age-matched group of hearing children did show learning. </w:t>
      </w:r>
      <w:r w:rsidR="00673834" w:rsidRPr="00612195">
        <w:t>Their study featured</w:t>
      </w:r>
      <w:r w:rsidRPr="00612195">
        <w:t xml:space="preserve"> a standard implicit learning task, in which participants are shown spatiotemporal sequences of colored shapes on a screen and are asked to replicate the sequences. In a more recent study, </w:t>
      </w:r>
      <w:proofErr w:type="spellStart"/>
      <w:r w:rsidRPr="00612195">
        <w:t>Gremp</w:t>
      </w:r>
      <w:proofErr w:type="spellEnd"/>
      <w:r w:rsidRPr="00612195">
        <w:t xml:space="preserve"> and colleagues (</w:t>
      </w:r>
      <w:r w:rsidRPr="00612195">
        <w:fldChar w:fldCharType="begin" w:fldLock="1"/>
      </w:r>
      <w:r w:rsidR="005B0143">
        <w:instrText>ADDIN CSL_CITATION {"citationItems":[{"id":"ITEM-1","itemData":{"DOI":"10.1017/S0305000918000569","ISSN":"0305-0009","abstract":"This study investigated the role of sequential processing in spoken language outcomes for children who are deaf or hard of hearing (DHH), ages 5;3–11;4, by comparing them to children with typical hearing (TH), ages 6;3–9;7, on sequential learning and memory tasks involving easily nameable and difficult-to-name visual stimuli. Children who are DHH performed more poorly on easily nameable sequencing tasks, which positively predicted receptive vocabulary scores. Results suggest sequential learning and memory may underlie delayed language skills of many children who are DHH. Implications for language development in children who are DHH are discussed.","author":[{"dropping-particle":"","family":"Gremp","given":"Michelle","non-dropping-particle":"","parse-names":false,"suffix":""},{"dropping-particle":"","family":"Deocampo","given":"Joanne","non-dropping-particle":"","parse-names":false,"suffix":""},{"dropping-particle":"","family":"Walk","given":"Anne","non-dropping-particle":"","parse-names":false,"suffix":""},{"dropping-particle":"","family":"Conway","given":"Christopher","non-dropping-particle":"","parse-names":false,"suffix":""}],"container-title":"Journal of Child Language","id":"ITEM-1","issue":"4","issued":{"date-parts":[["2019","2","26"]]},"page":"785-799","publisher":"Cambridge University Press","title":"Visual sequential processing and language ability in children who are deaf or hard of hearing","type":"article-journal","volume":"46"},"uris":["http://www.mendeley.com/documents/?uuid=d923a596-b3a4-3e0d-a908-5f71afb49545"]}],"mendeley":{"formattedCitation":"(Gremp et al., 2019)","manualFormatting":"2019)","plainTextFormattedCitation":"(Gremp et al., 2019)","previouslyFormattedCitation":"(Gremp et al., 2019)"},"properties":{"noteIndex":0},"schema":"https://github.com/citation-style-language/schema/raw/master/csl-citation.json"}</w:instrText>
      </w:r>
      <w:r w:rsidRPr="00612195">
        <w:fldChar w:fldCharType="separate"/>
      </w:r>
      <w:r w:rsidRPr="00727A15">
        <w:rPr>
          <w:noProof/>
        </w:rPr>
        <w:t>2019)</w:t>
      </w:r>
      <w:r w:rsidRPr="00612195">
        <w:fldChar w:fldCharType="end"/>
      </w:r>
      <w:r w:rsidRPr="00612195">
        <w:t xml:space="preserve"> </w:t>
      </w:r>
      <w:r w:rsidR="00673834" w:rsidRPr="00612195">
        <w:t>implemented</w:t>
      </w:r>
      <w:r w:rsidRPr="008020FD">
        <w:t xml:space="preserve"> a serial repetition learning </w:t>
      </w:r>
      <w:r w:rsidR="00997116" w:rsidRPr="00612195">
        <w:t>p</w:t>
      </w:r>
      <w:r w:rsidRPr="00612195">
        <w:t>aradigm and also found better performance in hearing children compared to children with hearing loss (5-11-year-olds</w:t>
      </w:r>
      <w:r w:rsidRPr="00612195">
        <w:rPr>
          <w:rStyle w:val="FootnoteReference"/>
        </w:rPr>
        <w:footnoteReference w:id="2"/>
      </w:r>
      <w:r w:rsidRPr="00612195">
        <w:t xml:space="preserve">). </w:t>
      </w:r>
    </w:p>
    <w:p w14:paraId="0D99E2EB" w14:textId="00E23EE1" w:rsidR="00EE238C" w:rsidRDefault="00411C0E" w:rsidP="00DE4644">
      <w:r w:rsidRPr="008020FD">
        <w:t xml:space="preserve">To explain these findings, </w:t>
      </w:r>
      <w:r w:rsidR="0095005A" w:rsidRPr="00612195">
        <w:fldChar w:fldCharType="begin" w:fldLock="1"/>
      </w:r>
      <w:r w:rsidR="001C5E63">
        <w:instrText>ADDIN CSL_CITATION {"citationItems":[{"id":"ITEM-1","itemData":{"DOI":"10.1111/j.1467-8721.2009.01651.x","ISBN":"1467-8721 (Electronic)\\r0963-7214 (Linking)","ISSN":"09637214","PMID":"20725604","abstract":"Sound is inherently a temporal and sequential signal. Experience with sound therefore may help bootstrap - i.e., provide a kind of \"scaffolding\" for - the development of general cognitive abilities related to representing temporal or sequential patterns. Accordingly, the absence of sound early in development may result in disturbances to these sequencing skills. In support of this hypothesis we present two types of findings. First, normal-hearing adults do best on sequencing tasks when the sense of hearing, rather than vision, can be used. Second, recent findings suggest that deaf children have disturbances on exactly these same kinds of tasks that involve learning and manipulation of serial order information. We suggest that sound provides an \"auditory scaffolding\" for time and serial order behavior, possibly mediated through neural connections between the temporal and frontal lobes of the brain. Under conditions of auditory deprivation, auditory scaffolding is absent, resulting in neural reorganization and a disturbance to cognitive sequencing abilities.","author":[{"dropping-particle":"","family":"Conway","given":"C.","non-dropping-particle":"","parse-names":false,"suffix":""},{"dropping-particle":"","family":"Pisoni","given":"David B.","non-dropping-particle":"","parse-names":false,"suffix":""},{"dropping-particle":"","family":"Kronenberger","given":"William G.","non-dropping-particle":"","parse-names":false,"suffix":""}],"container-title":"Current Directions in Psychological Science","id":"ITEM-1","issue":"5","issued":{"date-parts":[["2009","10"]]},"page":"275-279","publisher":"NIH Public Access","title":"The importance of sound for cognitive sequencing abilities: The auditory scaffolding hypothesis","type":"article-journal","volume":"18"},"uris":["http://www.mendeley.com/documents/?uuid=d13d7aef-6c9b-4826-a9d0-43298cc82f70"]}],"mendeley":{"formattedCitation":"(Conway, Pisoni, &amp; Kronenberger, 2009)","manualFormatting":"Conway, Pisoni, &amp; Kronenberger (2009)","plainTextFormattedCitation":"(Conway, Pisoni, &amp; Kronenberger, 2009)","previouslyFormattedCitation":"(Conway, Pisoni, &amp; Kronenberger, 2009)"},"properties":{"noteIndex":0},"schema":"https://github.com/citation-style-language/schema/raw/master/csl-citation.json"}</w:instrText>
      </w:r>
      <w:r w:rsidR="0095005A" w:rsidRPr="00612195">
        <w:fldChar w:fldCharType="separate"/>
      </w:r>
      <w:r w:rsidR="0095005A" w:rsidRPr="00727A15">
        <w:rPr>
          <w:noProof/>
        </w:rPr>
        <w:t>Conway, Pisoni, &amp; Kronenberger (2009)</w:t>
      </w:r>
      <w:r w:rsidR="0095005A" w:rsidRPr="00612195">
        <w:fldChar w:fldCharType="end"/>
      </w:r>
      <w:r w:rsidR="0095005A" w:rsidRPr="00612195">
        <w:t xml:space="preserve"> </w:t>
      </w:r>
      <w:r w:rsidR="00673834" w:rsidRPr="00612195">
        <w:t xml:space="preserve">proposed the </w:t>
      </w:r>
      <w:r w:rsidR="00673834" w:rsidRPr="008020FD">
        <w:rPr>
          <w:i/>
          <w:iCs/>
        </w:rPr>
        <w:t>auditory scaffolding hypothesis</w:t>
      </w:r>
      <w:r w:rsidR="00673834" w:rsidRPr="00612195">
        <w:t xml:space="preserve">. This hypothesis </w:t>
      </w:r>
      <w:r w:rsidRPr="00612195">
        <w:t>proposes</w:t>
      </w:r>
      <w:r w:rsidR="00483198" w:rsidRPr="00612195">
        <w:t xml:space="preserve"> that infants with congenital hearing loss, who have no access to sound </w:t>
      </w:r>
      <w:r w:rsidRPr="00612195">
        <w:t>at birth</w:t>
      </w:r>
      <w:r w:rsidR="00483198" w:rsidRPr="00612195">
        <w:t xml:space="preserve">, experience delays in </w:t>
      </w:r>
      <w:r w:rsidR="005430C8">
        <w:t>domain-</w:t>
      </w:r>
      <w:r w:rsidR="00483198" w:rsidRPr="00612195">
        <w:t xml:space="preserve">general statistical learning mechanisms that may spread to other cognitive domains. </w:t>
      </w:r>
      <w:r w:rsidR="00673834" w:rsidRPr="00612195">
        <w:t xml:space="preserve">Specifically, sound is a temporally organized signal </w:t>
      </w:r>
      <w:r w:rsidR="00377C9B" w:rsidRPr="00612195">
        <w:t>which</w:t>
      </w:r>
      <w:r w:rsidR="00673834" w:rsidRPr="00612195">
        <w:t xml:space="preserve"> provides critical sensory input for the normal development of sequence processing abilities. </w:t>
      </w:r>
      <w:r w:rsidR="00377C9B" w:rsidRPr="00612195">
        <w:t xml:space="preserve">In other words, sound enters our auditory system </w:t>
      </w:r>
      <w:r w:rsidR="000D36B3" w:rsidRPr="00612195">
        <w:t>as a transitory se</w:t>
      </w:r>
      <w:r w:rsidR="00E85AE7" w:rsidRPr="00612195">
        <w:t xml:space="preserve">quence of </w:t>
      </w:r>
      <w:r w:rsidR="00E85AE7" w:rsidRPr="00612195">
        <w:lastRenderedPageBreak/>
        <w:t>acoustic frequencies—</w:t>
      </w:r>
      <w:r w:rsidR="000D36B3" w:rsidRPr="00612195">
        <w:t xml:space="preserve">as opposed to vision, which </w:t>
      </w:r>
      <w:r w:rsidR="0046515E">
        <w:t>is spatiotemporal</w:t>
      </w:r>
      <w:r w:rsidR="00E85AE7" w:rsidRPr="00612195">
        <w:t>—that facilitates the brain’s general ability to process</w:t>
      </w:r>
      <w:r w:rsidR="00BA4F4D">
        <w:t xml:space="preserve"> and learn</w:t>
      </w:r>
      <w:r w:rsidR="00E85AE7" w:rsidRPr="00612195">
        <w:t xml:space="preserve"> sequential information.</w:t>
      </w:r>
      <w:r w:rsidR="00377C9B" w:rsidRPr="00612195">
        <w:t xml:space="preserve"> </w:t>
      </w:r>
      <w:r w:rsidR="005C7BE9" w:rsidRPr="00612195">
        <w:t>Delayed access to</w:t>
      </w:r>
      <w:r w:rsidR="00673834" w:rsidRPr="00612195">
        <w:t xml:space="preserve"> soun</w:t>
      </w:r>
      <w:r w:rsidR="005C7BE9" w:rsidRPr="00612195">
        <w:t xml:space="preserve">d interferes with </w:t>
      </w:r>
      <w:r w:rsidR="00950A25" w:rsidRPr="00612195">
        <w:t xml:space="preserve">the development of </w:t>
      </w:r>
      <w:r w:rsidR="00CF6FB9" w:rsidRPr="00612195">
        <w:t>this ability</w:t>
      </w:r>
      <w:r w:rsidR="00950A25" w:rsidRPr="00612195">
        <w:t xml:space="preserve">, </w:t>
      </w:r>
      <w:r w:rsidR="00CF6FB9" w:rsidRPr="00612195">
        <w:t>disrupting other abilities that depend on sequence processing</w:t>
      </w:r>
      <w:r w:rsidR="00F63CB5" w:rsidRPr="00612195">
        <w:t xml:space="preserve">. These include </w:t>
      </w:r>
      <w:r w:rsidR="00B36B38">
        <w:t xml:space="preserve">(visual) </w:t>
      </w:r>
      <w:r w:rsidR="00F63CB5" w:rsidRPr="00612195">
        <w:t xml:space="preserve">statistical learning, </w:t>
      </w:r>
      <w:r w:rsidR="00C11CA4" w:rsidRPr="00612195">
        <w:t xml:space="preserve">working memory, </w:t>
      </w:r>
      <w:r w:rsidR="00F63CB5" w:rsidRPr="00612195">
        <w:t>language acquisition</w:t>
      </w:r>
      <w:r w:rsidR="007D05CC" w:rsidRPr="00612195">
        <w:t>,</w:t>
      </w:r>
      <w:r w:rsidR="00F63CB5" w:rsidRPr="00612195">
        <w:t xml:space="preserve"> and even motor skills. Additional evidence for this hypothesis comes from</w:t>
      </w:r>
      <w:r w:rsidR="007D05CC" w:rsidRPr="00612195">
        <w:t xml:space="preserve"> </w:t>
      </w:r>
      <w:r w:rsidR="007B5322" w:rsidRPr="00612195">
        <w:fldChar w:fldCharType="begin" w:fldLock="1"/>
      </w:r>
      <w:r w:rsidR="00C24DC5" w:rsidRPr="00612195">
        <w:instrText>ADDIN CSL_CITATION {"citationItems":[{"id":"ITEM-1","itemData":{"DOI":"10.1016/j.ijporl.2016.03.036","ISSN":"0165-5876","author":[{"dropping-particle":"V","family":"Bharadwaj","given":"Sneha","non-dropping-particle":"","parse-names":false,"suffix":""},{"dropping-particle":"","family":"Mehta","given":"Jyutika A","non-dropping-particle":"","parse-names":false,"suffix":""}],"container-title":"International Journal of Pediatric Otorhinolaryngology","id":"ITEM-1","issued":{"date-parts":[["2016"]]},"page":"158-165","title":"An exploratory study of visual sequential processing in children with cochlear implants","type":"article-journal","volume":"85"},"uris":["http://www.mendeley.com/documents/?uuid=74e74308-d1f5-3b14-b439-4a002052fa7b"]}],"mendeley":{"formattedCitation":"(Bharadwaj &amp; Mehta, 2016)","manualFormatting":"Bharadwaj &amp; Mehta (2016)","plainTextFormattedCitation":"(Bharadwaj &amp; Mehta, 2016)","previouslyFormattedCitation":"(Bharadwaj &amp; Mehta, 2016)"},"properties":{"noteIndex":0},"schema":"https://github.com/citation-style-language/schema/raw/master/csl-citation.json"}</w:instrText>
      </w:r>
      <w:r w:rsidR="007B5322" w:rsidRPr="00612195">
        <w:fldChar w:fldCharType="separate"/>
      </w:r>
      <w:r w:rsidR="007B5322" w:rsidRPr="00727A15">
        <w:rPr>
          <w:noProof/>
        </w:rPr>
        <w:t>Bharadwaj &amp; Mehta (2016)</w:t>
      </w:r>
      <w:r w:rsidR="007B5322" w:rsidRPr="00612195">
        <w:fldChar w:fldCharType="end"/>
      </w:r>
      <w:r w:rsidR="007B5322" w:rsidRPr="00612195">
        <w:t xml:space="preserve">, who examined visual sequence </w:t>
      </w:r>
      <w:r w:rsidR="007B5322" w:rsidRPr="00B36B38">
        <w:t>processing</w:t>
      </w:r>
      <w:r w:rsidR="00B36B38">
        <w:t xml:space="preserve"> in </w:t>
      </w:r>
      <w:r w:rsidR="0071224C">
        <w:t xml:space="preserve">children with </w:t>
      </w:r>
      <w:r w:rsidR="000A3A8E">
        <w:t>CIs</w:t>
      </w:r>
      <w:r w:rsidR="007B5322" w:rsidRPr="008020FD">
        <w:t xml:space="preserve">, and </w:t>
      </w:r>
      <w:r w:rsidR="00E30531" w:rsidRPr="00612195">
        <w:fldChar w:fldCharType="begin" w:fldLock="1"/>
      </w:r>
      <w:r w:rsidR="0013217E">
        <w:instrText>ADDIN CSL_CITATION {"citationItems":[{"id":"ITEM-1","itemData":{"DOI":"10.1097/01.mlg.0000230404.84242.4c","ISBN":"0023-852X (Print)\\r0023-852X (Linking)","ISSN":"0023852X","PMID":"16885761","abstract":"OBJECTIVE: The objective of this study was to assess relations between fine and gross motor development and spoken language processing skills in pediatric cochlear implant users. STUDY DESIGN: The authors conducted a retrospective analysis of longitudinal data. METHODS: Prelingually deaf children who received a cochlear implant before age 5 and had no known developmental delay or cognitive impairment were included in the study. Fine and gross motor development were assessed before implantation using the Vineland Adaptive Behavioral Scales, a standardized parental report of adaptive behavior. Fine and gross motor scores reflected a given child's motor functioning with respect to a normative sample of typically developing, normal-hearing children. Relations between these preimplant scores and postimplant spoken language outcomes were assessed. RESULTS: In general, gross motor scores were found to be positively related to chronologic age, whereas the opposite trend was observed for fine motor scores. Fine motor scores were more strongly correlated with postimplant expressive and receptive language scores than gross motor scores. CONCLUSIONS: Our findings suggest a disassociation between fine and gross motor development in prelingually deaf children: fine motor skills, in contrast to gross motor skills, tend to be delayed as the prelingually deaf children get older. These findings provide new knowledge about the links between motor and spoken language development and suggest that auditory deprivation may lead to atypical development of certain motor and language skills that share common cortical processing resources.","author":[{"dropping-particle":"","family":"Horn","given":"David L.","non-dropping-particle":"","parse-names":false,"suffix":""},{"dropping-particle":"","family":"Pisoni","given":"David B.","non-dropping-particle":"","parse-names":false,"suffix":""},{"dropping-particle":"","family":"Miyamoto","given":"Richard T.","non-dropping-particle":"","parse-names":false,"suffix":""}],"container-title":"Laryngoscope","id":"ITEM-1","issue":"8","issued":{"date-parts":[["2006","8","1"]]},"page":"1500-1506","publisher":"John Wiley &amp; Sons, Inc.","title":"Divergence of fine and gross motor skills in prelingually deaf children: Implications for cochlear implantation","type":"article-journal","volume":"116"},"uris":["http://www.mendeley.com/documents/?uuid=d0c7c69c-de9d-4d1d-8c94-bdb2181a9514"]}],"mendeley":{"formattedCitation":"(Horn, Pisoni, &amp; Miyamoto, 2006)","manualFormatting":"Horn, Pisoni, &amp; Miyamoto (2006)","plainTextFormattedCitation":"(Horn, Pisoni, &amp; Miyamoto, 2006)","previouslyFormattedCitation":"(Horn, Pisoni, &amp; Miyamoto, 2006)"},"properties":{"noteIndex":0},"schema":"https://github.com/citation-style-language/schema/raw/master/csl-citation.json"}</w:instrText>
      </w:r>
      <w:r w:rsidR="00E30531" w:rsidRPr="00612195">
        <w:fldChar w:fldCharType="separate"/>
      </w:r>
      <w:r w:rsidR="00E30531" w:rsidRPr="00727A15">
        <w:rPr>
          <w:noProof/>
        </w:rPr>
        <w:t>Horn, Pisoni, &amp; Miyamoto (2006)</w:t>
      </w:r>
      <w:r w:rsidR="00E30531" w:rsidRPr="00612195">
        <w:fldChar w:fldCharType="end"/>
      </w:r>
      <w:r w:rsidR="00E30531" w:rsidRPr="00612195">
        <w:t xml:space="preserve"> </w:t>
      </w:r>
      <w:r w:rsidR="00C11CA4" w:rsidRPr="00612195">
        <w:t>who</w:t>
      </w:r>
      <w:r w:rsidR="00E0224E" w:rsidRPr="008020FD">
        <w:t xml:space="preserve"> </w:t>
      </w:r>
      <w:r w:rsidR="00F63CB5" w:rsidRPr="00612195">
        <w:t xml:space="preserve">reported </w:t>
      </w:r>
      <w:r w:rsidR="00B44411" w:rsidRPr="00612195">
        <w:t xml:space="preserve">lower performance among children with </w:t>
      </w:r>
      <w:r w:rsidR="000A3A8E">
        <w:t>CIs</w:t>
      </w:r>
      <w:r w:rsidR="00B44411" w:rsidRPr="00612195">
        <w:t xml:space="preserve"> on a </w:t>
      </w:r>
      <w:r w:rsidR="007B5322" w:rsidRPr="00612195">
        <w:t xml:space="preserve">motor sequencing </w:t>
      </w:r>
      <w:r w:rsidR="00B44411" w:rsidRPr="00612195">
        <w:t>task</w:t>
      </w:r>
      <w:r w:rsidR="007B5322" w:rsidRPr="00612195">
        <w:t>.</w:t>
      </w:r>
      <w:r w:rsidR="00D1538F">
        <w:t xml:space="preserve"> </w:t>
      </w:r>
    </w:p>
    <w:p w14:paraId="5D969076" w14:textId="1FED8060" w:rsidR="0001664F" w:rsidRDefault="005B0143" w:rsidP="005B0143">
      <w:r>
        <w:t>O</w:t>
      </w:r>
      <w:r w:rsidR="00483198" w:rsidRPr="00612195">
        <w:t xml:space="preserve">ther researchers have </w:t>
      </w:r>
      <w:r w:rsidR="00C11CA4" w:rsidRPr="00612195">
        <w:t>not been able to replicate the</w:t>
      </w:r>
      <w:r w:rsidR="005E7E63" w:rsidRPr="00612195">
        <w:t xml:space="preserve"> findings of Conway and colleagues</w:t>
      </w:r>
      <w:r w:rsidR="00483198" w:rsidRPr="00612195">
        <w:t xml:space="preserve">. </w:t>
      </w:r>
      <w:r w:rsidR="006C1B36">
        <w:fldChar w:fldCharType="begin" w:fldLock="1"/>
      </w:r>
      <w:r w:rsidR="006C1B36">
        <w:instrText>ADDIN CSL_CITATION {"citationItems":[{"id":"ITEM-1","itemData":{"DOI":"10.1016/j.cognition.2017.09.017","ISSN":"0010-0277","abstract":"To understand the interaction between sensory experiences and cognition, it is critical to investigate the possibility that deprivation in one sensory modality might affect cognition in other modalities. Here we are concerned with the hypothesis that early experience with sound is vital to the development of domain-general sequential processing skills. In line with this hypothesis, a seminal empirical study found that prelingually deaf children had impaired sequence learning in the visual modality. In order to assess the limits of this hypothesis, the current study employed a different visual sequence learning task in an investigation of prelingually deaf children with cochlear implants and normal hearing children. Results showed statistically significant learning in each of the two groups, and no significant difference in the amount of learning between groups. Moreover, there was no association between the age at which the child received their implant (and thus access to electric hearing) and their performance on the sequential learning task. We discuss key differences between our study and the previous study, and argue that the field must reconsider claims about domain-general cognitive impairment resulting from early auditory deprivation.","author":[{"dropping-particle":"","family":"Torkildsen","given":"Janne von Koss","non-dropping-particle":"","parse-names":false,"suffix":""},{"dropping-particle":"","family":"Arciuli","given":"Joanne","non-dropping-particle":"","parse-names":false,"suffix":""},{"dropping-particle":"","family":"Haukedal","given":"Christiane Lingås","non-dropping-particle":"","parse-names":false,"suffix":""},{"dropping-particle":"","family":"Wie","given":"Ona Bø","non-dropping-particle":"","parse-names":false,"suffix":""},{"dropping-particle":"","family":"Koss Torkildsen","given":"Janne","non-dropping-particle":"von","parse-names":false,"suffix":""},{"dropping-particle":"","family":"Arciuli","given":"Joanne","non-dropping-particle":"","parse-names":false,"suffix":""},{"dropping-particle":"","family":"Haukedal","given":"Christiane Lingås","non-dropping-particle":"","parse-names":false,"suffix":""},{"dropping-particle":"","family":"Wie","given":"Ona Bø","non-dropping-particle":"","parse-names":false,"suffix":""}],"container-title":"Cognition","id":"ITEM-1","issued":{"date-parts":[["2018","1","1"]]},"page":"123-129","publisher":"Elsevier","title":"Does a lack of auditory experience affect sequential learning?","type":"article-journal","volume":"170"},"uris":["http://www.mendeley.com/documents/?uuid=74777558-d2d7-4cfc-9744-95852e48b6d8"]}],"mendeley":{"formattedCitation":"(Torkildsen et al., 2018)","manualFormatting":"Torkildsen et al. (2018)","plainTextFormattedCitation":"(Torkildsen et al., 2018)","previouslyFormattedCitation":"(Torkildsen et al., 2018)"},"properties":{"noteIndex":0},"schema":"https://github.com/citation-style-language/schema/raw/master/csl-citation.json"}</w:instrText>
      </w:r>
      <w:r w:rsidR="006C1B36">
        <w:fldChar w:fldCharType="separate"/>
      </w:r>
      <w:r w:rsidR="006C1B36" w:rsidRPr="006C1B36">
        <w:rPr>
          <w:noProof/>
        </w:rPr>
        <w:t>Torkildsen et al.</w:t>
      </w:r>
      <w:r w:rsidR="006C1B36">
        <w:rPr>
          <w:noProof/>
        </w:rPr>
        <w:t xml:space="preserve"> (</w:t>
      </w:r>
      <w:r w:rsidR="006C1B36" w:rsidRPr="006C1B36">
        <w:rPr>
          <w:noProof/>
        </w:rPr>
        <w:t>2018)</w:t>
      </w:r>
      <w:r w:rsidR="006C1B36">
        <w:fldChar w:fldCharType="end"/>
      </w:r>
      <w:r w:rsidR="006C1B36">
        <w:t xml:space="preserve"> </w:t>
      </w:r>
      <w:r w:rsidR="00483198" w:rsidRPr="00612195">
        <w:t xml:space="preserve">compared learning in 7-12-year-old children with cochlear implants and children with normal hearing and found no differences between the two groups on a standard VSL task. These researchers suggest that the observed inconsistences among these experimental findings may be due to task differences. Specifically, the VSL paradigms used in each study differed in the extent to which participants could recruit verbal rehearsal strategies, which </w:t>
      </w:r>
      <w:r w:rsidR="005E7E63" w:rsidRPr="00612195">
        <w:t xml:space="preserve">are </w:t>
      </w:r>
      <w:r w:rsidR="00483198" w:rsidRPr="00612195">
        <w:t>expected to be harder for children with hearing loss</w:t>
      </w:r>
      <w:r w:rsidR="007B5322" w:rsidRPr="00612195">
        <w:t>.</w:t>
      </w:r>
      <w:r w:rsidR="00F127DD">
        <w:t xml:space="preserve"> Another study by </w:t>
      </w:r>
      <w:r w:rsidR="006C1B36">
        <w:fldChar w:fldCharType="begin" w:fldLock="1"/>
      </w:r>
      <w:r w:rsidR="00D04DA0">
        <w:instrText>ADDIN CSL_CITATION {"citationItems":[{"id":"ITEM-1","itemData":{"DOI":"10.1111/desc.12575","ISSN":"14677687","PMID":"28557278","abstract":"Developmental psychology plays a central role in shaping evidence-based best practices for prelingually deaf children. The Auditory Scaffolding Hypothesis (Conway et al., 2009) asserts that a lack of auditory stimulation in deaf children leads to impoverished implicit sequence learning abilities, measured via an artificial grammar learning (AGL) task. However, prior research is confounded by a lack of both auditory and language input. The current study examines implicit learning in deaf children who were (Deaf native signers) or were not (oral cochlear implant users) exposed to language from birth, and in hearing children, using both AGL and Serial Reaction Time (SRT) tasks. Neither deaf nor hearing children across the three groups show evidence of implicit learning on the AGL task, but all three groups show robust implicit learning on the SRT task. These findings argue against the Auditory Scaffolding Hypothesis, and suggest that implicit sequence learning may be resilient to both auditory and language deprivation, within the tested limits. A video abstract of this article can be viewed at: https://youtu.be/EeqfQqlVHLI [Correction added on 07 August 2017, after first online publication: The video abstract link was added.].","author":[{"dropping-particle":"","family":"Hall","given":"Matthew L.","non-dropping-particle":"","parse-names":false,"suffix":""},{"dropping-particle":"","family":"Eigsti","given":"Inge Marie","non-dropping-particle":"","parse-names":false,"suffix":""},{"dropping-particle":"","family":"Bortfeld","given":"Heather","non-dropping-particle":"","parse-names":false,"suffix":""},{"dropping-particle":"","family":"Lillo-Martin","given":"Diane","non-dropping-particle":"","parse-names":false,"suffix":""}],"container-title":"Developmental Science","id":"ITEM-1","issued":{"date-parts":[["2017","5","30"]]},"page":"e12575","title":"Auditory access, language access, and implicit sequence learning in deaf children","type":"article-journal"},"uris":["http://www.mendeley.com/documents/?uuid=2698c446-2311-3b71-8d3e-f97a7db5da92"]}],"mendeley":{"formattedCitation":"(Hall et al., 2017)","manualFormatting":"Hall et al. (2017)","plainTextFormattedCitation":"(Hall et al., 2017)","previouslyFormattedCitation":"(Hall et al., 2017)"},"properties":{"noteIndex":0},"schema":"https://github.com/citation-style-language/schema/raw/master/csl-citation.json"}</w:instrText>
      </w:r>
      <w:r w:rsidR="006C1B36">
        <w:fldChar w:fldCharType="separate"/>
      </w:r>
      <w:r w:rsidR="006C1B36" w:rsidRPr="006C1B36">
        <w:rPr>
          <w:noProof/>
        </w:rPr>
        <w:t xml:space="preserve">Hall et al. </w:t>
      </w:r>
      <w:r w:rsidR="006C1B36">
        <w:rPr>
          <w:noProof/>
        </w:rPr>
        <w:t>(</w:t>
      </w:r>
      <w:r w:rsidR="006C1B36" w:rsidRPr="006C1B36">
        <w:rPr>
          <w:noProof/>
        </w:rPr>
        <w:t>2017)</w:t>
      </w:r>
      <w:r w:rsidR="006C1B36">
        <w:fldChar w:fldCharType="end"/>
      </w:r>
      <w:r w:rsidR="006C1B36">
        <w:t xml:space="preserve"> </w:t>
      </w:r>
      <w:r w:rsidR="00F127DD">
        <w:t xml:space="preserve">compared VSL between three groups: deaf native ASL signers, deaf children with CIs, and hearing children. They found no group differences across two VSL tasks, </w:t>
      </w:r>
      <w:r>
        <w:t xml:space="preserve">claiming </w:t>
      </w:r>
      <w:r w:rsidR="00F127DD">
        <w:t>evidence against the auditory scaffolding hypothesis</w:t>
      </w:r>
      <w:r w:rsidR="00281980">
        <w:t>.</w:t>
      </w:r>
      <w:r>
        <w:t xml:space="preserve"> </w:t>
      </w:r>
      <w:bookmarkStart w:id="1" w:name="_Hlk92705113"/>
      <w:r w:rsidR="0001664F">
        <w:t xml:space="preserve">However, </w:t>
      </w:r>
      <w:r>
        <w:t>participants in Hall et al. (201</w:t>
      </w:r>
      <w:r w:rsidR="006C1B36">
        <w:t>7</w:t>
      </w:r>
      <w:r>
        <w:t>) failed to learn at all, suggesting that there are methodological differences in how the SL task was implemented in this study. Both studies (Hall et al., 201</w:t>
      </w:r>
      <w:r w:rsidR="006C1B36">
        <w:t>7</w:t>
      </w:r>
      <w:r>
        <w:t xml:space="preserve"> and </w:t>
      </w:r>
      <w:proofErr w:type="spellStart"/>
      <w:r>
        <w:t>Torkildson</w:t>
      </w:r>
      <w:proofErr w:type="spellEnd"/>
      <w:r>
        <w:t xml:space="preserve"> et al., 2018) </w:t>
      </w:r>
      <w:r w:rsidRPr="0001664F">
        <w:t xml:space="preserve">suffer from </w:t>
      </w:r>
      <w:r>
        <w:t>substantial</w:t>
      </w:r>
      <w:r w:rsidRPr="0001664F">
        <w:t xml:space="preserve"> methodological limitations</w:t>
      </w:r>
      <w:r>
        <w:t xml:space="preserve"> that undermine the strength of their evidence in </w:t>
      </w:r>
      <w:r w:rsidR="0001664F" w:rsidRPr="0001664F">
        <w:t>understanding the role of auditory experience in VSL development</w:t>
      </w:r>
      <w:r>
        <w:t xml:space="preserve"> and highlight the need for additional research (for further discussion see </w:t>
      </w:r>
      <w:r>
        <w:fldChar w:fldCharType="begin" w:fldLock="1"/>
      </w:r>
      <w:r w:rsidR="006C1B36">
        <w:instrText>ADDIN CSL_CITATION {"citationItems":[{"id":"ITEM-1","itemData":{"DOI":"10.1044/2018_lshss-stlt1-17-0138","ISSN":"0161-1461","PMID":"2109279605","abstract":"Purpose: Statistical learning-the ability to learn patterns in environmental input-is increasingly recognized as a foundational mechanism necessary for the successful acquisition of spoken language. Spoken language is a complex, serially presented signal that contains embedded statistical relations among linguistic units, such as phonemes, morphemes, and words, which represent the phonotactic and syntactic rules of language. In this review article, we first review recent work that demonstrates that, in typical language development, individuals who display better nonlinguistic statistical learning abilities also show better performance on different measures of language. We next review research findings that suggest that children who are deaf and use cochlear implants may have difficulties learning sequential input patterns, possibly due to auditory and/or linguistic deprivation early in development, and that the children who show better sequence learning abilities also display improved spoken language outcomes. Finally, we present recent findings suggesting that it may be possible to improve core statistical learning abilities with specialized training and interventions and that such improvements can potentially impact and facilitate the acquisition and processing of spoken language. Method: We conducted a literature search through various online databases including PsychINFO and PubMed, as well as including relevant review articles gleaned from the reference sections of other review articles used in this review. Search terms included various combinations of the following: sequential learning, sequence learning, statistical learning, sequence processing, procedural learning, procedural memory, implicit learning, language, computerized training, working memory training, statistical learning training, deaf, deafness, hearing impairment, hearing impaired, DHH, hard of hearing, cochlear implant(s), hearing aid(s), and auditory deprivation. To keep this review concise and clear, we limited inclusion to the foundational and most recent (2005-2018) relevant studies that explicitly included research or theoretical perspectives on statistical or sequential learning. We here summarize and synthesize the most recent and relevant literature to understanding and treating language delays in children using cochlear implants through the lens of statistical learning. Conclusions: We suggest that understanding how statistical learning contributes to spoken language develo…","author":[{"dropping-particle":"","family":"Deocampo","given":"Joanne","non-dropping-particle":"","parse-names":false,"suffix":""},{"dropping-particle":"","family":"Conway","given":"Christopher","non-dropping-particle":"","parse-names":false,"suffix":""},{"dropping-particle":"","family":"Kronenberger","given":"William","non-dropping-particle":"","parse-names":false,"suffix":""},{"dropping-particle":"","family":"Pisoni","given":"David","non-dropping-particle":"","parse-names":false,"suffix":""},{"dropping-particle":"","family":"Smith","given":"Gretchen","non-dropping-particle":"","parse-names":false,"suffix":""}],"container-title":"Language, Speech, and Hearing Services in Schools","id":"ITEM-1","issue":"3S","issued":{"date-parts":[["2018","8","14"]]},"page":"723-739","title":"The Role of Statistical Learning in Understanding and Treating Spoken Language Outcomes in Deaf Children With Cochlear Implants","type":"article-journal","volume":"49"},"uris":["http://www.mendeley.com/documents/?uuid=3213f8c5-d12a-3b42-bf81-6a37ff9dc301"]}],"mendeley":{"formattedCitation":"(Deocampo et al., 2018)","manualFormatting":"Deocampo et al., 2018","plainTextFormattedCitation":"(Deocampo et al., 2018)","previouslyFormattedCitation":"(Deocampo et al., 2018)"},"properties":{"noteIndex":0},"schema":"https://github.com/citation-style-language/schema/raw/master/csl-citation.json"}</w:instrText>
      </w:r>
      <w:r>
        <w:fldChar w:fldCharType="separate"/>
      </w:r>
      <w:r w:rsidRPr="005B0143">
        <w:rPr>
          <w:noProof/>
        </w:rPr>
        <w:t>Deocampo et al., 2018</w:t>
      </w:r>
      <w:r>
        <w:fldChar w:fldCharType="end"/>
      </w:r>
      <w:r>
        <w:t>)</w:t>
      </w:r>
      <w:r w:rsidR="0001664F">
        <w:t xml:space="preserve">. </w:t>
      </w:r>
    </w:p>
    <w:bookmarkEnd w:id="1"/>
    <w:p w14:paraId="2C92A67B" w14:textId="13F8A36B" w:rsidR="00D9733D" w:rsidRPr="00612195" w:rsidRDefault="006C1B36" w:rsidP="00DE4644">
      <w:r>
        <w:lastRenderedPageBreak/>
        <w:t>One</w:t>
      </w:r>
      <w:r w:rsidR="0001664F">
        <w:t xml:space="preserve"> important</w:t>
      </w:r>
      <w:r w:rsidR="0001664F" w:rsidRPr="00612195">
        <w:t xml:space="preserve"> </w:t>
      </w:r>
      <w:r w:rsidR="00483198" w:rsidRPr="00612195">
        <w:t xml:space="preserve">limitation of the </w:t>
      </w:r>
      <w:r w:rsidR="008831D2">
        <w:t>current body of research</w:t>
      </w:r>
      <w:r w:rsidR="00AB4590">
        <w:t xml:space="preserve"> on VSL in </w:t>
      </w:r>
      <w:r w:rsidR="007A6C7A">
        <w:t>the deaf population</w:t>
      </w:r>
      <w:r w:rsidR="008831D2">
        <w:t xml:space="preserve"> is that it has focused on</w:t>
      </w:r>
      <w:r w:rsidR="00483198" w:rsidRPr="00612195">
        <w:t xml:space="preserve"> school-age children from a wide age range (e.g., 5 to 10 years of age</w:t>
      </w:r>
      <w:r w:rsidR="008831D2">
        <w:t xml:space="preserve"> in both the Conway et al. and </w:t>
      </w:r>
      <w:proofErr w:type="spellStart"/>
      <w:r w:rsidR="008831D2">
        <w:t>Torkildson</w:t>
      </w:r>
      <w:proofErr w:type="spellEnd"/>
      <w:r w:rsidR="008831D2">
        <w:t xml:space="preserve"> et al. studies</w:t>
      </w:r>
      <w:r w:rsidR="00483198" w:rsidRPr="00612195">
        <w:t>)</w:t>
      </w:r>
      <w:r w:rsidR="0085191C">
        <w:t>. N</w:t>
      </w:r>
      <w:r w:rsidR="009438C1" w:rsidRPr="00612195">
        <w:t xml:space="preserve">o study has examined </w:t>
      </w:r>
      <w:r w:rsidR="00A4512A" w:rsidRPr="0009281F">
        <w:t xml:space="preserve">VSL </w:t>
      </w:r>
      <w:r w:rsidR="009438C1" w:rsidRPr="0009281F">
        <w:t>early in life</w:t>
      </w:r>
      <w:r w:rsidR="0085191C" w:rsidRPr="0009281F">
        <w:t xml:space="preserve">, even though statistical learning has been documented </w:t>
      </w:r>
      <w:r w:rsidR="008831D2">
        <w:t>from birth</w:t>
      </w:r>
      <w:r w:rsidR="0085191C" w:rsidRPr="0009281F">
        <w:t xml:space="preserve"> (</w:t>
      </w:r>
      <w:proofErr w:type="spellStart"/>
      <w:r w:rsidR="0085191C" w:rsidRPr="0009281F">
        <w:t>Teinonen</w:t>
      </w:r>
      <w:proofErr w:type="spellEnd"/>
      <w:r w:rsidR="0009281F" w:rsidRPr="0009281F">
        <w:t xml:space="preserve"> et al., 2009</w:t>
      </w:r>
      <w:r w:rsidR="0085191C" w:rsidRPr="0009281F">
        <w:t>)</w:t>
      </w:r>
      <w:r w:rsidR="009438C1" w:rsidRPr="0009281F">
        <w:t xml:space="preserve">. As a result, it remains unknown </w:t>
      </w:r>
      <w:r w:rsidR="00D9733D" w:rsidRPr="0009281F">
        <w:t>whether</w:t>
      </w:r>
      <w:r w:rsidR="009438C1" w:rsidRPr="0009281F">
        <w:t xml:space="preserve"> the</w:t>
      </w:r>
      <w:r w:rsidR="00D9733D" w:rsidRPr="0009281F">
        <w:t xml:space="preserve"> previously observed</w:t>
      </w:r>
      <w:r w:rsidR="009438C1" w:rsidRPr="0009281F">
        <w:t xml:space="preserve"> differences be</w:t>
      </w:r>
      <w:r w:rsidR="009438C1" w:rsidRPr="00612195">
        <w:t>tween deaf and hearing children emerge</w:t>
      </w:r>
      <w:r w:rsidR="00D9733D" w:rsidRPr="00612195">
        <w:t xml:space="preserve"> prior to cochlear implantation</w:t>
      </w:r>
      <w:r w:rsidR="0046515E">
        <w:t xml:space="preserve"> (CI)</w:t>
      </w:r>
      <w:r w:rsidR="00D9733D" w:rsidRPr="00612195">
        <w:t xml:space="preserve">, as the </w:t>
      </w:r>
      <w:r w:rsidR="00D9733D" w:rsidRPr="00612195">
        <w:rPr>
          <w:i/>
          <w:iCs/>
        </w:rPr>
        <w:t>auditory scaffolding hypothesis</w:t>
      </w:r>
      <w:r w:rsidR="00D9733D" w:rsidRPr="00612195">
        <w:t xml:space="preserve"> would predict, or whether they emerge later in chil</w:t>
      </w:r>
      <w:r w:rsidR="00A4512A" w:rsidRPr="00612195">
        <w:t xml:space="preserve">dhood after years of </w:t>
      </w:r>
      <w:r w:rsidR="00D9325E" w:rsidRPr="00612195">
        <w:t xml:space="preserve">divergent </w:t>
      </w:r>
      <w:r w:rsidR="00A4512A" w:rsidRPr="00612195">
        <w:t xml:space="preserve">auditory </w:t>
      </w:r>
      <w:r w:rsidR="00D9325E" w:rsidRPr="00612195">
        <w:t xml:space="preserve">and language </w:t>
      </w:r>
      <w:r w:rsidR="00A4512A" w:rsidRPr="00612195">
        <w:t>experiences</w:t>
      </w:r>
      <w:r w:rsidR="00483198" w:rsidRPr="00612195">
        <w:t xml:space="preserve">. </w:t>
      </w:r>
      <w:r w:rsidR="00D9733D" w:rsidRPr="00612195">
        <w:t xml:space="preserve">To address this </w:t>
      </w:r>
      <w:r w:rsidR="003576FE" w:rsidRPr="00612195">
        <w:t>limitation</w:t>
      </w:r>
      <w:r w:rsidR="00D9733D" w:rsidRPr="00612195">
        <w:t xml:space="preserve">, the current study </w:t>
      </w:r>
      <w:r w:rsidR="003576FE" w:rsidRPr="00612195">
        <w:t>tested VSL</w:t>
      </w:r>
      <w:r w:rsidR="00C75972" w:rsidRPr="00612195">
        <w:t xml:space="preserve"> in </w:t>
      </w:r>
      <w:r w:rsidR="002E0BA4" w:rsidRPr="00612195">
        <w:t xml:space="preserve">deaf </w:t>
      </w:r>
      <w:r w:rsidR="00C75972" w:rsidRPr="00612195">
        <w:t xml:space="preserve">infants </w:t>
      </w:r>
      <w:r w:rsidR="0046515E">
        <w:t xml:space="preserve">(pre-CI) </w:t>
      </w:r>
      <w:r w:rsidR="00C75972" w:rsidRPr="00612195">
        <w:t xml:space="preserve">and </w:t>
      </w:r>
      <w:r w:rsidR="0046515E">
        <w:t xml:space="preserve">deaf </w:t>
      </w:r>
      <w:r w:rsidR="00C75972" w:rsidRPr="00612195">
        <w:t>toddlers</w:t>
      </w:r>
      <w:r w:rsidR="0046515E">
        <w:t xml:space="preserve"> (post-CI)</w:t>
      </w:r>
      <w:r w:rsidR="00C75972" w:rsidRPr="00612195">
        <w:t xml:space="preserve"> </w:t>
      </w:r>
      <w:r w:rsidR="00D9733D" w:rsidRPr="00612195">
        <w:t xml:space="preserve">with </w:t>
      </w:r>
      <w:r w:rsidR="002E0BA4" w:rsidRPr="00612195">
        <w:t>profound bilateral sensorineural hearing</w:t>
      </w:r>
      <w:r w:rsidR="00D9733D" w:rsidRPr="00612195">
        <w:t xml:space="preserve"> loss and </w:t>
      </w:r>
      <w:r w:rsidR="00C75972" w:rsidRPr="00612195">
        <w:t>age-matched peers</w:t>
      </w:r>
      <w:r w:rsidR="00D9733D" w:rsidRPr="00612195">
        <w:t xml:space="preserve"> with </w:t>
      </w:r>
      <w:r w:rsidR="002E0BA4" w:rsidRPr="00612195">
        <w:t>normal</w:t>
      </w:r>
      <w:r w:rsidR="00D9733D" w:rsidRPr="00612195">
        <w:t xml:space="preserve"> hearing. </w:t>
      </w:r>
    </w:p>
    <w:p w14:paraId="4B66F3A9" w14:textId="66444D8B" w:rsidR="00483198" w:rsidRPr="00612195" w:rsidRDefault="00483198" w:rsidP="00DE4644">
      <w:r w:rsidRPr="00612195">
        <w:t>To assess VSL</w:t>
      </w:r>
      <w:r w:rsidR="002E0BA4" w:rsidRPr="00612195">
        <w:t xml:space="preserve"> in young infants and toddlers</w:t>
      </w:r>
      <w:r w:rsidR="005A5463" w:rsidRPr="00612195">
        <w:t>,</w:t>
      </w:r>
      <w:r w:rsidR="002E0BA4" w:rsidRPr="00612195">
        <w:t xml:space="preserve"> </w:t>
      </w:r>
      <w:r w:rsidRPr="00612195">
        <w:t>we developed a novel paradigm in which</w:t>
      </w:r>
      <w:r w:rsidR="00DA5F77">
        <w:t xml:space="preserve"> participants observed</w:t>
      </w:r>
      <w:r w:rsidRPr="00612195">
        <w:t xml:space="preserve"> an experimenter </w:t>
      </w:r>
      <w:r w:rsidR="00AE57A3" w:rsidRPr="00612195">
        <w:t>demonstrat</w:t>
      </w:r>
      <w:r w:rsidR="00AE57A3">
        <w:t>ing</w:t>
      </w:r>
      <w:r w:rsidR="00AE57A3" w:rsidRPr="00612195">
        <w:t xml:space="preserve"> </w:t>
      </w:r>
      <w:r w:rsidRPr="00612195">
        <w:t xml:space="preserve">a live action sequence. </w:t>
      </w:r>
      <w:r w:rsidR="00F105C0">
        <w:t>O</w:t>
      </w:r>
      <w:r w:rsidR="00DA5F77">
        <w:t xml:space="preserve">ur </w:t>
      </w:r>
      <w:r w:rsidR="00F105C0">
        <w:t>primary aim</w:t>
      </w:r>
      <w:r w:rsidR="00CA1DA1" w:rsidRPr="00612195">
        <w:t xml:space="preserve"> </w:t>
      </w:r>
      <w:r w:rsidR="00DA5F77">
        <w:t xml:space="preserve">was to </w:t>
      </w:r>
      <w:r w:rsidR="00CA1DA1" w:rsidRPr="00612195">
        <w:t>compar</w:t>
      </w:r>
      <w:r w:rsidR="00DA5F77">
        <w:t>e</w:t>
      </w:r>
      <w:r w:rsidR="003576FE" w:rsidRPr="00612195">
        <w:t xml:space="preserve"> learning performance</w:t>
      </w:r>
      <w:r w:rsidR="00DA5F77">
        <w:t xml:space="preserve"> in real time</w:t>
      </w:r>
      <w:r w:rsidR="003576FE" w:rsidRPr="00612195">
        <w:t xml:space="preserve"> between </w:t>
      </w:r>
      <w:r w:rsidR="00DA5F77">
        <w:t xml:space="preserve">deaf </w:t>
      </w:r>
      <w:r w:rsidR="00F105C0">
        <w:t xml:space="preserve">and </w:t>
      </w:r>
      <w:r w:rsidR="00DA5F77">
        <w:t>hearing</w:t>
      </w:r>
      <w:r w:rsidR="00F105C0">
        <w:t xml:space="preserve"> infants</w:t>
      </w:r>
      <w:r w:rsidR="00521B35">
        <w:t xml:space="preserve"> </w:t>
      </w:r>
      <w:r w:rsidR="003A6B5D">
        <w:t>(Siegelman et al., 2018)</w:t>
      </w:r>
      <w:r w:rsidR="00F105C0">
        <w:t>. Therefore, w</w:t>
      </w:r>
      <w:r w:rsidR="00F105C0" w:rsidRPr="00612195">
        <w:t xml:space="preserve">e </w:t>
      </w:r>
      <w:r w:rsidR="00F105C0">
        <w:t>designed the action sequence</w:t>
      </w:r>
      <w:r w:rsidR="00F105C0" w:rsidRPr="00612195">
        <w:t xml:space="preserve"> </w:t>
      </w:r>
      <w:r w:rsidR="00F105C0">
        <w:t>to feature a very simple statistical structure,</w:t>
      </w:r>
      <w:r w:rsidR="00F105C0" w:rsidRPr="00612195">
        <w:t xml:space="preserve"> to maximize the likelihood that </w:t>
      </w:r>
      <w:r w:rsidR="00F105C0">
        <w:t>learning would occur</w:t>
      </w:r>
      <w:r w:rsidR="0020410D" w:rsidRPr="00612195">
        <w:t>.</w:t>
      </w:r>
      <w:r w:rsidR="004D2172" w:rsidRPr="00612195">
        <w:t xml:space="preserve"> </w:t>
      </w:r>
      <w:r w:rsidR="00DA5F77">
        <w:t>Participants</w:t>
      </w:r>
      <w:r w:rsidR="003576FE" w:rsidRPr="00612195">
        <w:t xml:space="preserve"> </w:t>
      </w:r>
      <w:r w:rsidR="004D2172" w:rsidRPr="00612195">
        <w:t xml:space="preserve">observed the experimenter perform a repeating three-step action sequence </w:t>
      </w:r>
      <w:r w:rsidR="003576FE" w:rsidRPr="00612195">
        <w:t>with</w:t>
      </w:r>
      <w:r w:rsidR="001431F8">
        <w:t xml:space="preserve"> three</w:t>
      </w:r>
      <w:r w:rsidR="00773DEF" w:rsidRPr="00612195">
        <w:t xml:space="preserve"> novel objects. We recorded and a</w:t>
      </w:r>
      <w:r w:rsidR="004D2172" w:rsidRPr="00612195">
        <w:t xml:space="preserve">nalyzed </w:t>
      </w:r>
      <w:r w:rsidR="003576FE" w:rsidRPr="00612195">
        <w:t xml:space="preserve">anticipatory </w:t>
      </w:r>
      <w:r w:rsidR="004D2172" w:rsidRPr="00612195">
        <w:t xml:space="preserve">gaze latencies to the </w:t>
      </w:r>
      <w:r w:rsidR="003576FE" w:rsidRPr="00612195">
        <w:t>action steps</w:t>
      </w:r>
      <w:r w:rsidR="004D2172" w:rsidRPr="00612195">
        <w:t xml:space="preserve">. </w:t>
      </w:r>
      <w:r w:rsidR="00DA5F77">
        <w:t>W</w:t>
      </w:r>
      <w:r w:rsidR="004D2172" w:rsidRPr="00612195">
        <w:t>e expected gaze shifts to</w:t>
      </w:r>
      <w:r w:rsidR="00060992" w:rsidRPr="00612195">
        <w:t xml:space="preserve"> each</w:t>
      </w:r>
      <w:r w:rsidR="004D2172" w:rsidRPr="00612195">
        <w:t xml:space="preserve"> </w:t>
      </w:r>
      <w:r w:rsidR="003576FE" w:rsidRPr="00612195">
        <w:t>step</w:t>
      </w:r>
      <w:r w:rsidR="004D2172" w:rsidRPr="00612195">
        <w:t xml:space="preserve"> to become faster over the course of the </w:t>
      </w:r>
      <w:r w:rsidR="003576FE" w:rsidRPr="00612195">
        <w:t>demonstration</w:t>
      </w:r>
      <w:r w:rsidR="00DA5F77">
        <w:t xml:space="preserve">, as both infants and toddlers have been shown to track statistical regularities within action sequences and predict upcoming actions </w:t>
      </w:r>
      <w:r w:rsidR="00E23FC1">
        <w:fldChar w:fldCharType="begin" w:fldLock="1"/>
      </w:r>
      <w:r w:rsidR="005B0143">
        <w:instrText>ADDIN CSL_CITATION {"citationItems":[{"id":"ITEM-1","itemData":{"DOI":"10.1016/j.jecp.2016.12.004","ISSN":"00220965","author":[{"dropping-particle":"","family":"Monroy","given":"C.","non-dropping-particle":"","parse-names":false,"suffix":""},{"dropping-particle":"","family":"Gerson","given":"Sarah","non-dropping-particle":"","parse-names":false,"suffix":""},{"dropping-particle":"","family":"Hunnius","given":"Sabine","non-dropping-particle":"","parse-names":false,"suffix":""}],"container-title":"Journal of Experimental Child Psychology","id":"ITEM-1","issued":{"date-parts":[["2017"]]},"page":"14-28","title":"Toddlers' action prediction: Statistical learning of continuous action sequences","type":"article-journal","volume":"157"},"uris":["http://www.mendeley.com/documents/?uuid=78854e76-459c-3482-aca3-30e348719024"]},{"id":"ITEM-2","itemData":{"DOI":"10.1016/j.neuropsychologia.2017.05.007","ISSN":"18733514","abstract":"© 2017 Elsevier Ltd.Infants are sensitive to structure and patterns within continuous streams of sensory input. This sensitivity relies on statistical learning, the ability to detect predictable regularities in spatial and temporal sequences. Recent evidence has shown that infants can detect statistical regularities in action sequences they observe, but little is known about the neural process that give rise to this ability. In the current experiment, we combined electroencephalography (EEG) with eye-tracking to identify electrophysiological markers that indicate whether 8-11-month-old infants detect violations to learned regularities in action sequences, and to relate these markers to behavioral measures of anticipation during learning. In a learning phase, infants observed an actor performing a sequence featuring two deterministic pairs embedded within an otherwise random sequence. Thus, the first action of each pair was predictive of what would occur next. One of the pairs caused an action-effect, whereas the second did not. In a subsequent test phase, infants observed another sequence that included deviant pairs, violating the previously observed action pairs. Event-related potential (ERP) responses were analyzed and compared between the deviant and the original action pairs. Findings reveal that infants demonstrated a greater Negative central (Nc) ERP response to the deviant actions for the pair that caused the action-effect, which was consistent with their visual anticipations during the learning phase. Findings are discussed in terms of the neural and behavioral processes underlying perception and learning of structured action sequences.","author":[{"dropping-particle":"","family":"Monroy","given":"C.","non-dropping-particle":"","parse-names":false,"suffix":""},{"dropping-particle":"","family":"Gerson","given":"S.A.","non-dropping-particle":"","parse-names":false,"suffix":""},{"dropping-particle":"","family":"Domínguez-Martínez","given":"E.","non-dropping-particle":"","parse-names":false,"suffix":""},{"dropping-particle":"","family":"Kaduk","given":"K.","non-dropping-particle":"","parse-names":false,"suffix":""},{"dropping-particle":"","family":"Hunnius","given":"S.","non-dropping-particle":"","parse-names":false,"suffix":""},{"dropping-particle":"","family":"Reid","given":"V.","non-dropping-particle":"","parse-names":false,"suffix":""}],"container-title":"Neuropsychologia","id":"ITEM-2","issued":{"date-parts":[["2019"]]},"page":"92-101","title":"Sensitivity to structure in action sequences: An infant event-related potential study","type":"article-journal","volume":"126"},"uris":["http://www.mendeley.com/documents/?uuid=22ef7c60-acfa-30c6-9423-b19181c38f51"]}],"mendeley":{"formattedCitation":"(Monroy, Gerson, et al., 2019; Monroy et al., 2017)","manualFormatting":"(Monroy et al., 2019b; Monroy, Gerson, &amp; Hunnius, 2017)","plainTextFormattedCitation":"(Monroy, Gerson, et al., 2019; Monroy et al., 2017)","previouslyFormattedCitation":"(Monroy, Gerson, et al., 2019; Monroy et al., 2017)"},"properties":{"noteIndex":0},"schema":"https://github.com/citation-style-language/schema/raw/master/csl-citation.json"}</w:instrText>
      </w:r>
      <w:r w:rsidR="00E23FC1">
        <w:fldChar w:fldCharType="separate"/>
      </w:r>
      <w:r w:rsidR="00E23FC1">
        <w:rPr>
          <w:noProof/>
        </w:rPr>
        <w:t>(Monroy</w:t>
      </w:r>
      <w:r w:rsidR="00E23FC1" w:rsidRPr="00E23FC1">
        <w:rPr>
          <w:noProof/>
        </w:rPr>
        <w:t xml:space="preserve"> et al., 2019</w:t>
      </w:r>
      <w:r w:rsidR="00A83850">
        <w:rPr>
          <w:noProof/>
        </w:rPr>
        <w:t>b</w:t>
      </w:r>
      <w:r w:rsidR="00E23FC1" w:rsidRPr="00E23FC1">
        <w:rPr>
          <w:noProof/>
        </w:rPr>
        <w:t>; Monroy, Gerson, &amp; Hunnius, 2017)</w:t>
      </w:r>
      <w:r w:rsidR="00E23FC1">
        <w:fldChar w:fldCharType="end"/>
      </w:r>
      <w:r w:rsidR="004D2172" w:rsidRPr="00612195">
        <w:t>.</w:t>
      </w:r>
      <w:r w:rsidR="00E94511" w:rsidRPr="00612195">
        <w:t xml:space="preserve"> </w:t>
      </w:r>
      <w:r w:rsidR="007B5322" w:rsidRPr="00612195">
        <w:t>Based on the findings of Conway and colleagues</w:t>
      </w:r>
      <w:r w:rsidR="000B73AF">
        <w:t xml:space="preserve"> (2011</w:t>
      </w:r>
      <w:r w:rsidR="00060992" w:rsidRPr="00612195">
        <w:t>)</w:t>
      </w:r>
      <w:r w:rsidR="007B5322" w:rsidRPr="00612195">
        <w:t xml:space="preserve">, </w:t>
      </w:r>
      <w:r w:rsidR="00C87EBB">
        <w:t xml:space="preserve">we would expect </w:t>
      </w:r>
      <w:r w:rsidR="007B5322" w:rsidRPr="00612195">
        <w:t xml:space="preserve">deaf toddlers </w:t>
      </w:r>
      <w:r w:rsidR="0046515E">
        <w:t>(post-CI)</w:t>
      </w:r>
      <w:r w:rsidR="007B5322" w:rsidRPr="00612195">
        <w:t xml:space="preserve"> </w:t>
      </w:r>
      <w:r w:rsidR="00C87EBB">
        <w:t>to</w:t>
      </w:r>
      <w:r w:rsidR="007B5322" w:rsidRPr="00612195">
        <w:t xml:space="preserve"> demonstrate weaker learning than toddlers</w:t>
      </w:r>
      <w:r w:rsidR="00060992" w:rsidRPr="00612195">
        <w:t xml:space="preserve"> with normal hearing</w:t>
      </w:r>
      <w:r w:rsidR="007B5322" w:rsidRPr="00612195">
        <w:t xml:space="preserve">. </w:t>
      </w:r>
      <w:r w:rsidR="00C87EBB">
        <w:t>I</w:t>
      </w:r>
      <w:r w:rsidR="007B5322" w:rsidRPr="00612195">
        <w:t xml:space="preserve">f the auditory scaffolding hypothesis is correct, we </w:t>
      </w:r>
      <w:r w:rsidR="00CA1DA1" w:rsidRPr="00612195">
        <w:lastRenderedPageBreak/>
        <w:t>would also expect to</w:t>
      </w:r>
      <w:r w:rsidR="007B5322" w:rsidRPr="00612195">
        <w:t xml:space="preserve"> observe </w:t>
      </w:r>
      <w:r w:rsidR="00C45541">
        <w:t>weaker</w:t>
      </w:r>
      <w:r w:rsidR="007B5322" w:rsidRPr="00612195">
        <w:t xml:space="preserve"> learning in deaf infants </w:t>
      </w:r>
      <w:r w:rsidR="00C87EBB">
        <w:t>(</w:t>
      </w:r>
      <w:r w:rsidR="0046515E">
        <w:t>pre-CI</w:t>
      </w:r>
      <w:r w:rsidR="00C87EBB">
        <w:t>)</w:t>
      </w:r>
      <w:r w:rsidR="007B5322" w:rsidRPr="00612195">
        <w:t xml:space="preserve"> compared </w:t>
      </w:r>
      <w:r w:rsidR="00C87EBB">
        <w:t>to hearing</w:t>
      </w:r>
      <w:r w:rsidR="007B5322" w:rsidRPr="00612195">
        <w:t xml:space="preserve"> infants. </w:t>
      </w:r>
    </w:p>
    <w:p w14:paraId="479E7522" w14:textId="4D20BAF1" w:rsidR="00483198" w:rsidRPr="00612195" w:rsidRDefault="00483198" w:rsidP="00C062A5">
      <w:r w:rsidRPr="00612195">
        <w:t>To obtain a sensitive measure of learning, it was crucial to only include gaze data when infants</w:t>
      </w:r>
      <w:r w:rsidR="001F34F3" w:rsidRPr="00612195">
        <w:t xml:space="preserve"> were attentive to the </w:t>
      </w:r>
      <w:r w:rsidR="003576FE" w:rsidRPr="00612195">
        <w:t>demonstration</w:t>
      </w:r>
      <w:r w:rsidR="001F34F3" w:rsidRPr="00612195">
        <w:t>. As infants are known to look away or decrease their looking times when they habituate to a stimulus (</w:t>
      </w:r>
      <w:proofErr w:type="spellStart"/>
      <w:r w:rsidR="001F34F3" w:rsidRPr="00612195">
        <w:t>Fantz</w:t>
      </w:r>
      <w:proofErr w:type="spellEnd"/>
      <w:r w:rsidR="001F34F3" w:rsidRPr="00612195">
        <w:t xml:space="preserve">, 1964), </w:t>
      </w:r>
      <w:r w:rsidR="007B5322" w:rsidRPr="00612195">
        <w:t>it was important to exclude</w:t>
      </w:r>
      <w:r w:rsidRPr="00612195">
        <w:t xml:space="preserve"> data points that occurred after the infant habituated to the </w:t>
      </w:r>
      <w:r w:rsidR="00A27383" w:rsidRPr="00612195">
        <w:t>demonstration</w:t>
      </w:r>
      <w:r w:rsidRPr="00612195">
        <w:t xml:space="preserve"> and </w:t>
      </w:r>
      <w:r w:rsidR="00CA1DA1" w:rsidRPr="00612195">
        <w:t>was</w:t>
      </w:r>
      <w:r w:rsidRPr="00612195">
        <w:t xml:space="preserve"> </w:t>
      </w:r>
      <w:r w:rsidR="00CA1DA1" w:rsidRPr="00612195">
        <w:t>no longer engaged with the task</w:t>
      </w:r>
      <w:r w:rsidRPr="00612195">
        <w:t xml:space="preserve">. Habituation has traditionally been assessed by using a 50% decrement criterion, in which the infants’ first three trials are averaged and </w:t>
      </w:r>
      <w:r w:rsidR="00CA1DA1" w:rsidRPr="00612195">
        <w:t xml:space="preserve">the criterion </w:t>
      </w:r>
      <w:r w:rsidR="005A5463" w:rsidRPr="00612195">
        <w:t>is</w:t>
      </w:r>
      <w:r w:rsidR="00CA1DA1" w:rsidRPr="00612195">
        <w:t xml:space="preserve"> </w:t>
      </w:r>
      <w:r w:rsidRPr="00612195">
        <w:t>reached when a subsequent window of three trials has an average that falls bel</w:t>
      </w:r>
      <w:r w:rsidR="009B509E">
        <w:t>ow 50% of the initial average (Oakes, 2010</w:t>
      </w:r>
      <w:r w:rsidRPr="00612195">
        <w:t xml:space="preserve">). However, Thomas &amp; Gilmore (2004) established a model-based alternative approach to quantify the habituation behavior of individual infants, which formalizes the theoretical assumptions that underlie habituation and </w:t>
      </w:r>
      <w:r w:rsidR="003042BE" w:rsidRPr="00612195">
        <w:t xml:space="preserve">that </w:t>
      </w:r>
      <w:r w:rsidRPr="00612195">
        <w:t>are agreed upon by most researchers. We implemented this model-based approach to identify a habituation threshold for each infant, and then included only the trials prior to habituation in our analysis of gaze latencies</w:t>
      </w:r>
      <w:r w:rsidR="00CA1DA1" w:rsidRPr="00612195">
        <w:t xml:space="preserve"> (</w:t>
      </w:r>
      <w:r w:rsidR="00822D18" w:rsidRPr="00612195">
        <w:fldChar w:fldCharType="begin" w:fldLock="1"/>
      </w:r>
      <w:r w:rsidR="005B0143">
        <w:instrText>ADDIN CSL_CITATION {"citationItems":[{"id":"ITEM-1","itemData":{"DOI":"10.1002/icd.756","ISSN":"15227227","author":[{"dropping-particle":"","family":"Fassbender","given":"Ina","non-dropping-particle":"","parse-names":false,"suffix":""},{"dropping-particle":"","family":"Lohaus","given":"Arnold","non-dropping-particle":"","parse-names":false,"suffix":""},{"dropping-particle":"","family":"Thomas","given":"Hoben","non-dropping-particle":"","parse-names":false,"suffix":""},{"dropping-particle":"","family":"Teubert","given":"Manuel","non-dropping-particle":"","parse-names":false,"suffix":""},{"dropping-particle":"","family":"Vierhaus","given":"Marc","non-dropping-particle":"","parse-names":false,"suffix":""},{"dropping-particle":"","family":"Spangler","given":"Sibylle M.","non-dropping-particle":"","parse-names":false,"suffix":""},{"dropping-particle":"","family":"Kolling","given":"Thorsten","non-dropping-particle":"","parse-names":false,"suffix":""},{"dropping-particle":"","family":"Goertz","given":"Claudia","non-dropping-particle":"","parse-names":false,"suffix":""},{"dropping-particle":"","family":"Graf","given":"Frauke","non-dropping-particle":"","parse-names":false,"suffix":""},{"dropping-particle":"","family":"Lamm","given":"Bettina","non-dropping-particle":"","parse-names":false,"suffix":""},{"dropping-particle":"","family":"Gudi","given":"Helene","non-dropping-particle":"","parse-names":false,"suffix":""},{"dropping-particle":"","family":"Freitag","given":"Claudia","non-dropping-particle":"","parse-names":false,"suffix":""},{"dropping-particle":"","family":"Keller","given":"Heidi","non-dropping-particle":"","parse-names":false,"suffix":""},{"dropping-particle":"","family":"Knopf","given":"Monika","non-dropping-particle":"","parse-names":false,"suffix":""},{"dropping-particle":"","family":"Schwarzer","given":"Gudrun","non-dropping-particle":"","parse-names":false,"suffix":""}],"container-title":"Infant and Child Development","id":"ITEM-1","issue":"4","issued":{"date-parts":[["2012","7","1"]]},"page":"325-337","publisher":"John Wiley &amp; Sons, Ltd","title":"Association learning with own- and other-race faces in three- and six-month old infants - a longitudinal study","type":"article-journal","volume":"21"},"uris":["http://www.mendeley.com/documents/?uuid=7bbb77a9-9d68-412f-b7bd-8d10d66c49f8"]},{"id":"ITEM-2","itemData":{"DOI":"10.1177/0022022114537555","ISSN":"15525422","abstract":"This article focuses on sequence learning on the Visual Expectation Paradigm (VExP) using human faces as stimulus material. For a sample of 133 Caucasian German infants assessed longitudinally at 3 and 6 months of age, a previous study has shown that the response latency of 6-month-old infants was shorter when the infants solved the task with Caucasian own-race faces in contrast to African other-race faces. The advantage for own-race faces occurs at the same age the Other-Race-Effect (ORE) has been reported to emerge. As studies on ORE development have shown the phenomenon in infants from various cultural backgrounds, the follow-up question to be answered here is whether the performance differences on the VExP can also be found in other than Caucasian infants. As a complement to the German sample, 30 African infants from Cameroon were assessed longitudinally with the same VExP task at ages 3 and 6 months. Our results indicate that perception differences between own-race and other-race faces influence performance on the VExP in both samples. As expected, the Cameroonian infants improved performance on the VExP from 3 to 6 months only in their own-race African faces condition. © The Author(s) 2014.","author":[{"dropping-particle":"","family":"Fassbender","given":"Ina","non-dropping-particle":"","parse-names":false,"suffix":""},{"dropping-particle":"","family":"Lohaus","given":"Arnold","non-dropping-particle":"","parse-names":false,"suffix":""},{"dropping-particle":"","family":"Thomas","given":"Hoben","non-dropping-particle":"","parse-names":false,"suffix":""},{"dropping-particle":"","family":"Teubert","given":"Manuel","non-dropping-particle":"","parse-names":false,"suffix":""},{"dropping-particle":"","family":"Vierhaus","given":"Marc","non-dropping-particle":"","parse-names":false,"suffix":""},{"dropping-particle":"","family":"Lamm","given":"Bettina","non-dropping-particle":"","parse-names":false,"suffix":""},{"dropping-particle":"","family":"Freitag","given":"Claudia","non-dropping-particle":"","parse-names":false,"suffix":""},{"dropping-particle":"","family":"Graf","given":"Frauke","non-dropping-particle":"","parse-names":false,"suffix":""},{"dropping-particle":"","family":"Keller","given":"Heidi","non-dropping-particle":"","parse-names":false,"suffix":""},{"dropping-particle":"","family":"Schwarzer","given":"Gudrun","non-dropping-particle":"","parse-names":false,"suffix":""},{"dropping-particle":"","family":"Knopf","given":"Monika","non-dropping-particle":"","parse-names":false,"suffix":""}],"container-title":"Journal of Cross-Cultural Psychology","id":"ITEM-2","issue":"8","issued":{"date-parts":[["2014"]]},"page":"1273-1287","publisher":"SAGE Publications Inc.","title":"African versus caucasian faces in a visual expectation paradigm: a longitudinal study with german and cameroonian infants","type":"article-journal","volume":"45"},"uris":["http://www.mendeley.com/documents/?uuid=01683ecd-98b6-3057-b1db-a771fc5ea453"]},{"id":"ITEM-3","itemData":{"DOI":"10.1177/0165025412445017","ISSN":"14640651","abstract":"This longitudinal study examined the influence of stimulus material on attention and expectation learning in the visual expectation paradigm. Female faces were used as attention-attracting stimuli, and non-meaningful visual stimuli of comparable complexity (Greebles) were used as low attention-attracting stimuli. Expectation learning performance was operationalized using the average reaction time and number of anticipations. For the measurement of attention, the percentage of trials with on-task attention behavior was calculated. To analyze attention and differences in performance, a total of 108 German infants (3-6 months of age) were assessed. Significant differences were found between the two types of stimuli concerning the infants' rate of attention and anticipations. The results indicate learning material to influence attentional processes and expectation learning. © The Author(s) 2012.","author":[{"dropping-particle":"","family":"Teubert","given":"Manuel","non-dropping-particle":"","parse-names":false,"suffix":""},{"dropping-particle":"","family":"Lohaus","given":"Arnold","non-dropping-particle":"","parse-names":false,"suffix":""},{"dropping-particle":"","family":"Fassbender","given":"Ina","non-dropping-particle":"","parse-names":false,"suffix":""},{"dropping-particle":"","family":"Vierhaus","given":"Marc","non-dropping-particle":"","parse-names":false,"suffix":""},{"dropping-particle":"","family":"Spangler","given":"Sibylle","non-dropping-particle":"","parse-names":false,"suffix":""},{"dropping-particle":"","family":"Borchert","given":"Sonja","non-dropping-particle":"","parse-names":false,"suffix":""},{"dropping-particle":"","family":"Freitag","given":"Claudia","non-dropping-particle":"","parse-names":false,"suffix":""},{"dropping-particle":"","family":"Goertz","given":"Claudia","non-dropping-particle":"","parse-names":false,"suffix":""},{"dropping-particle":"","family":"Graf","given":"Frauke","non-dropping-particle":"","parse-names":false,"suffix":""},{"dropping-particle":"","family":"Gudi","given":"Helene","non-dropping-particle":"","parse-names":false,"suffix":""},{"dropping-particle":"","family":"Kolling","given":"Thorsten","non-dropping-particle":"","parse-names":false,"suffix":""},{"dropping-particle":"","family":"Lamm","given":"Bettina","non-dropping-particle":"","parse-names":false,"suffix":""},{"dropping-particle":"","family":"Keller","given":"Heidi","non-dropping-particle":"","parse-names":false,"suffix":""},{"dropping-particle":"","family":"Knopf","given":"Monika","non-dropping-particle":"","parse-names":false,"suffix":""},{"dropping-particle":"","family":"Schwarzer","given":"Gudrun","non-dropping-particle":"","parse-names":false,"suffix":""}],"container-title":"International Journal of Behavioral Development","id":"ITEM-3","issue":"5","issued":{"date-parts":[["2012","9","26"]]},"page":"374-380","publisher":"SAGE PublicationsSage UK: London, England","title":"The influence of stimulus material on attention and performance in the visual expectation paradigm: A longitudinal study with 3- and 6-month-old infants","type":"article-journal","volume":"36"},"uris":["http://www.mendeley.com/documents/?uuid=7e87b377-5a82-3b18-bfbe-e96138ff299d"]},{"id":"ITEM-4","itemData":{"DOI":"10.1080/15248371003699977","ISSN":"15248372","abstract":"Habituation of looking time has become the standard method for studying cognitive processes in infancy. This method has a long history and derives from the study of memory and habituation itself. Often, however, it is not clear how researchers make decisions about how to implement habituation as a tool to study processes such as categorization, object representation, and memory. This article describes the challenges for implementing this tool and describes a set of best practices for its use to study perception and cognition in infancy. © 2010 Taylor &amp; Francis Group, LLC.","author":[{"dropping-particle":"","family":"Oakes","given":"Lisa","non-dropping-particle":"","parse-names":false,"suffix":""}],"container-title":"Journal of Cognition and Development","id":"ITEM-4","issue":"3","issued":{"date-parts":[["2010"]]},"page":"255-268","title":"Using habituation of looking time to assess mental processes in infancy","type":"article-journal","volume":"11"},"uris":["http://www.mendeley.com/documents/?uuid=42533abd-319a-3e4c-8546-b77d99bab3fb"]}],"mendeley":{"formattedCitation":"(Fassbender et al., 2012, 2014; Oakes, 2010; Teubert et al., 2012)","manualFormatting":"Fassbender et al., 2012, 2014; Teubert et al., 2012; see also Oakes, 2010 for a discussion of best practices in habituation methodology)","plainTextFormattedCitation":"(Fassbender et al., 2012, 2014; Oakes, 2010; Teubert et al., 2012)","previouslyFormattedCitation":"(Fassbender et al., 2012, 2014; Oakes, 2010; Teubert et al., 2012)"},"properties":{"noteIndex":0},"schema":"https://github.com/citation-style-language/schema/raw/master/csl-citation.json"}</w:instrText>
      </w:r>
      <w:r w:rsidR="00822D18" w:rsidRPr="00612195">
        <w:fldChar w:fldCharType="separate"/>
      </w:r>
      <w:r w:rsidR="00822D18" w:rsidRPr="00727A15">
        <w:rPr>
          <w:noProof/>
        </w:rPr>
        <w:t xml:space="preserve">Fassbender et al., 2012, 2014; Teubert et al., 2012; see </w:t>
      </w:r>
      <w:r w:rsidR="004E3474" w:rsidRPr="00727A15">
        <w:rPr>
          <w:noProof/>
        </w:rPr>
        <w:t>also Oakes, 2010</w:t>
      </w:r>
      <w:r w:rsidR="00CA1DA1" w:rsidRPr="00727A15">
        <w:rPr>
          <w:noProof/>
        </w:rPr>
        <w:t xml:space="preserve"> for a discussion of best practices in habituation methodology</w:t>
      </w:r>
      <w:r w:rsidR="00822D18" w:rsidRPr="00727A15">
        <w:rPr>
          <w:noProof/>
        </w:rPr>
        <w:t>)</w:t>
      </w:r>
      <w:r w:rsidR="00822D18" w:rsidRPr="00612195">
        <w:fldChar w:fldCharType="end"/>
      </w:r>
      <w:r w:rsidR="004E3474" w:rsidRPr="00612195">
        <w:t>.</w:t>
      </w:r>
      <w:r w:rsidR="00CA1DA1" w:rsidRPr="00612195">
        <w:t xml:space="preserve"> These trials were then analyzed to as</w:t>
      </w:r>
      <w:r w:rsidR="00CA1DA1" w:rsidRPr="008020FD">
        <w:t>sess whether deaf and hearing infants and toddlers differed in the extent to which they demonstrated learning, as evidenced by a decrease in gaze latencies over the course of the action sequence</w:t>
      </w:r>
      <w:r w:rsidR="00D91832">
        <w:t xml:space="preserve"> </w:t>
      </w:r>
      <w:r w:rsidR="00B44767">
        <w:t>(</w:t>
      </w:r>
      <w:proofErr w:type="spellStart"/>
      <w:r w:rsidR="004C6FBA">
        <w:t>Kayhan</w:t>
      </w:r>
      <w:proofErr w:type="spellEnd"/>
      <w:r w:rsidR="004C6FBA">
        <w:t xml:space="preserve"> et al., 2019)</w:t>
      </w:r>
      <w:r w:rsidR="00CA1DA1" w:rsidRPr="008020FD">
        <w:t>.</w:t>
      </w:r>
      <w:r w:rsidR="00C062A5">
        <w:t xml:space="preserve"> </w:t>
      </w:r>
      <w:r w:rsidR="00C062A5" w:rsidRPr="00C062A5">
        <w:t xml:space="preserve">The data presented in the study and analysis files are available </w:t>
      </w:r>
      <w:r w:rsidR="00C062A5">
        <w:t xml:space="preserve">at </w:t>
      </w:r>
      <w:hyperlink r:id="rId13" w:history="1">
        <w:r w:rsidR="00B9185E" w:rsidRPr="004142BB">
          <w:rPr>
            <w:rStyle w:val="Hyperlink"/>
          </w:rPr>
          <w:t>https://osf.io/</w:t>
        </w:r>
        <w:r w:rsidR="00B9185E" w:rsidRPr="004142BB">
          <w:rPr>
            <w:rStyle w:val="Hyperlink"/>
          </w:rPr>
          <w:t>u</w:t>
        </w:r>
        <w:r w:rsidR="00B9185E" w:rsidRPr="004142BB">
          <w:rPr>
            <w:rStyle w:val="Hyperlink"/>
          </w:rPr>
          <w:t>8k29</w:t>
        </w:r>
      </w:hyperlink>
      <w:r w:rsidR="00846EBE">
        <w:t>.</w:t>
      </w:r>
    </w:p>
    <w:p w14:paraId="61F5500F" w14:textId="065A2A34" w:rsidR="00F7670D" w:rsidRPr="00727A15" w:rsidRDefault="00EE238C" w:rsidP="00EE238C">
      <w:pPr>
        <w:pStyle w:val="Heading2"/>
      </w:pPr>
      <w:r>
        <w:lastRenderedPageBreak/>
        <w:t xml:space="preserve">2.0 </w:t>
      </w:r>
      <w:r w:rsidR="00F7670D" w:rsidRPr="00727A15">
        <w:t>Method</w:t>
      </w:r>
    </w:p>
    <w:p w14:paraId="72C5F1C0" w14:textId="5C129FCD" w:rsidR="00F7670D" w:rsidRPr="00EE238C" w:rsidRDefault="00EE238C" w:rsidP="00EE238C">
      <w:pPr>
        <w:pStyle w:val="Heading3"/>
      </w:pPr>
      <w:r w:rsidRPr="00EE238C">
        <w:t xml:space="preserve">2.1 </w:t>
      </w:r>
      <w:r w:rsidR="00F7670D" w:rsidRPr="00EE238C">
        <w:t>Participants</w:t>
      </w:r>
    </w:p>
    <w:p w14:paraId="6878EC77" w14:textId="356AE2D5" w:rsidR="00732739" w:rsidRPr="00EE238C" w:rsidRDefault="00EE238C" w:rsidP="00EE238C">
      <w:pPr>
        <w:pStyle w:val="Heading4"/>
      </w:pPr>
      <w:r w:rsidRPr="00EE238C">
        <w:t xml:space="preserve">2.1.1 </w:t>
      </w:r>
      <w:r w:rsidR="008F4382" w:rsidRPr="00EE238C">
        <w:t xml:space="preserve">Deaf </w:t>
      </w:r>
      <w:r w:rsidR="00D74255" w:rsidRPr="00EE238C">
        <w:t>participants</w:t>
      </w:r>
    </w:p>
    <w:p w14:paraId="21B942E9" w14:textId="2DE9B546" w:rsidR="00E35104" w:rsidRPr="0002105C" w:rsidRDefault="003F210B" w:rsidP="00DE4644">
      <w:r w:rsidRPr="00612195">
        <w:t>Deaf infants</w:t>
      </w:r>
      <w:r w:rsidR="00D74255" w:rsidRPr="00612195">
        <w:t xml:space="preserve"> and toddlers</w:t>
      </w:r>
      <w:r w:rsidRPr="00612195">
        <w:t xml:space="preserve"> were diagnosed with bilateral severe-to-profound sensorineural hearing loss. All </w:t>
      </w:r>
      <w:r w:rsidR="00D74255" w:rsidRPr="00612195">
        <w:t xml:space="preserve">infants </w:t>
      </w:r>
      <w:r w:rsidRPr="00612195">
        <w:t xml:space="preserve">were scheduled to receive a </w:t>
      </w:r>
      <w:r w:rsidR="00D74255" w:rsidRPr="00612195">
        <w:t>cochlear implant (</w:t>
      </w:r>
      <w:r w:rsidRPr="00612195">
        <w:t>CI</w:t>
      </w:r>
      <w:r w:rsidR="00D74255" w:rsidRPr="00612195">
        <w:t>)</w:t>
      </w:r>
      <w:r w:rsidRPr="00612195">
        <w:t xml:space="preserve"> </w:t>
      </w:r>
      <w:r w:rsidR="00D74255" w:rsidRPr="00612195">
        <w:t>and all toddlers had received a CI before 18 months of age</w:t>
      </w:r>
      <w:r w:rsidRPr="00612195">
        <w:t xml:space="preserve">. All parents of deaf </w:t>
      </w:r>
      <w:r w:rsidR="00D74255" w:rsidRPr="00612195">
        <w:t>participants</w:t>
      </w:r>
      <w:r w:rsidRPr="00612195">
        <w:t xml:space="preserve"> had self-reported </w:t>
      </w:r>
      <w:r w:rsidR="00D74255" w:rsidRPr="00612195">
        <w:t>normal</w:t>
      </w:r>
      <w:r w:rsidRPr="00612195">
        <w:t xml:space="preserve"> hearing</w:t>
      </w:r>
      <w:r w:rsidR="00BC02A8" w:rsidRPr="00612195">
        <w:t>, and families indicated a goal of spoken language acquisition for their child</w:t>
      </w:r>
      <w:r w:rsidRPr="00612195">
        <w:t xml:space="preserve">. </w:t>
      </w:r>
      <w:r w:rsidRPr="0002105C">
        <w:t xml:space="preserve">Our final sample consisted of </w:t>
      </w:r>
      <w:r w:rsidR="0002105C">
        <w:t>8</w:t>
      </w:r>
      <w:r w:rsidRPr="0002105C">
        <w:t xml:space="preserve"> infants </w:t>
      </w:r>
      <w:r w:rsidR="000A7FA3" w:rsidRPr="0002105C">
        <w:t xml:space="preserve">and </w:t>
      </w:r>
      <w:r w:rsidR="0002105C">
        <w:t>10</w:t>
      </w:r>
      <w:r w:rsidR="000A7FA3" w:rsidRPr="0002105C">
        <w:t xml:space="preserve"> toddlers</w:t>
      </w:r>
      <w:r w:rsidR="00C715E3" w:rsidRPr="0002105C">
        <w:rPr>
          <w:rStyle w:val="FootnoteReference"/>
        </w:rPr>
        <w:footnoteReference w:id="3"/>
      </w:r>
      <w:r w:rsidR="000A7FA3" w:rsidRPr="0002105C">
        <w:t>; see Table 1 for characteristics</w:t>
      </w:r>
      <w:r w:rsidRPr="0002105C">
        <w:t>.</w:t>
      </w:r>
      <w:r w:rsidR="00CB1F5F" w:rsidRPr="0002105C">
        <w:t xml:space="preserve"> </w:t>
      </w:r>
      <w:r w:rsidR="005F18A0" w:rsidRPr="0002105C">
        <w:t>The etiology of hearing loss</w:t>
      </w:r>
      <w:r w:rsidR="008E4325" w:rsidRPr="0002105C">
        <w:t xml:space="preserve"> ranged from:</w:t>
      </w:r>
      <w:r w:rsidR="00A30483" w:rsidRPr="0002105C">
        <w:t xml:space="preserve"> Connexin 29</w:t>
      </w:r>
      <w:r w:rsidR="008E4325" w:rsidRPr="0002105C">
        <w:t xml:space="preserve"> (</w:t>
      </w:r>
      <w:r w:rsidR="008E4325" w:rsidRPr="0002105C">
        <w:rPr>
          <w:i/>
          <w:iCs/>
        </w:rPr>
        <w:t>n</w:t>
      </w:r>
      <w:r w:rsidR="008E4325" w:rsidRPr="0002105C">
        <w:t xml:space="preserve"> = 1)</w:t>
      </w:r>
      <w:r w:rsidR="00A30483" w:rsidRPr="0002105C">
        <w:t xml:space="preserve">, </w:t>
      </w:r>
      <w:r w:rsidR="005F18A0" w:rsidRPr="0002105C">
        <w:t>a diagnosis of Noonan syndrome</w:t>
      </w:r>
      <w:r w:rsidR="008E4325" w:rsidRPr="0002105C">
        <w:t xml:space="preserve"> (</w:t>
      </w:r>
      <w:r w:rsidR="008E4325" w:rsidRPr="0002105C">
        <w:rPr>
          <w:i/>
          <w:iCs/>
        </w:rPr>
        <w:t>n</w:t>
      </w:r>
      <w:r w:rsidR="008E4325" w:rsidRPr="0002105C">
        <w:t xml:space="preserve"> = 1)</w:t>
      </w:r>
      <w:r w:rsidR="005F18A0" w:rsidRPr="0002105C">
        <w:t>, a diagnosis of EVA (enlarged vestibular aqueduct</w:t>
      </w:r>
      <w:r w:rsidR="008E4325" w:rsidRPr="0002105C">
        <w:t>; n = 1</w:t>
      </w:r>
      <w:r w:rsidR="005F18A0" w:rsidRPr="0002105C">
        <w:t xml:space="preserve">), </w:t>
      </w:r>
      <w:r w:rsidR="008E4325" w:rsidRPr="0002105C">
        <w:t xml:space="preserve">or </w:t>
      </w:r>
      <w:r w:rsidR="0002105C" w:rsidRPr="0002105C">
        <w:t>genetic causes</w:t>
      </w:r>
      <w:r w:rsidR="008E4325" w:rsidRPr="0002105C">
        <w:t xml:space="preserve"> (</w:t>
      </w:r>
      <w:r w:rsidR="008E4325" w:rsidRPr="0002105C">
        <w:rPr>
          <w:i/>
          <w:iCs/>
        </w:rPr>
        <w:t>n</w:t>
      </w:r>
      <w:r w:rsidR="008E4325" w:rsidRPr="0002105C">
        <w:t xml:space="preserve"> = </w:t>
      </w:r>
      <w:r w:rsidR="0002105C" w:rsidRPr="0002105C">
        <w:t>2</w:t>
      </w:r>
      <w:r w:rsidR="008E4325" w:rsidRPr="0002105C">
        <w:t>)</w:t>
      </w:r>
      <w:r w:rsidRPr="0002105C">
        <w:t xml:space="preserve">. </w:t>
      </w:r>
      <w:r w:rsidR="005F18A0" w:rsidRPr="0002105C">
        <w:t>For the rest of the deaf participants</w:t>
      </w:r>
      <w:r w:rsidR="00BC02A8" w:rsidRPr="0002105C">
        <w:t xml:space="preserve"> (</w:t>
      </w:r>
      <w:r w:rsidR="00BC02A8" w:rsidRPr="0002105C">
        <w:rPr>
          <w:i/>
          <w:iCs/>
        </w:rPr>
        <w:t>n</w:t>
      </w:r>
      <w:r w:rsidR="00BC02A8" w:rsidRPr="0002105C">
        <w:t xml:space="preserve"> = </w:t>
      </w:r>
      <w:r w:rsidR="0002105C" w:rsidRPr="0002105C">
        <w:t>8</w:t>
      </w:r>
      <w:r w:rsidR="00BC02A8" w:rsidRPr="0002105C">
        <w:t>)</w:t>
      </w:r>
      <w:r w:rsidR="005F18A0" w:rsidRPr="0002105C">
        <w:t xml:space="preserve"> the etiology of hearing loss was unknown.</w:t>
      </w:r>
    </w:p>
    <w:p w14:paraId="445237B3" w14:textId="59AC58B4" w:rsidR="00281786" w:rsidRPr="00EE238C" w:rsidRDefault="00281786" w:rsidP="00281786">
      <w:pPr>
        <w:pStyle w:val="Heading4"/>
        <w:spacing w:line="240" w:lineRule="auto"/>
        <w:ind w:firstLine="0"/>
        <w:rPr>
          <w:b/>
          <w:bCs/>
          <w:i w:val="0"/>
          <w:iCs w:val="0"/>
          <w:shd w:val="clear" w:color="auto" w:fill="FFFFFF"/>
        </w:rPr>
      </w:pPr>
      <w:r w:rsidRPr="00EE238C">
        <w:rPr>
          <w:rStyle w:val="label"/>
          <w:b/>
          <w:bCs/>
          <w:i w:val="0"/>
          <w:iCs w:val="0"/>
          <w:bdr w:val="none" w:sz="0" w:space="0" w:color="auto" w:frame="1"/>
          <w:shd w:val="clear" w:color="auto" w:fill="FFFFFF"/>
        </w:rPr>
        <w:t>Table 1. </w:t>
      </w:r>
      <w:r w:rsidR="00AE07DF">
        <w:rPr>
          <w:b/>
          <w:bCs/>
          <w:i w:val="0"/>
          <w:iCs w:val="0"/>
          <w:shd w:val="clear" w:color="auto" w:fill="FFFFFF"/>
        </w:rPr>
        <w:t>Participant c</w:t>
      </w:r>
      <w:r w:rsidR="00AE07DF" w:rsidRPr="00EE238C">
        <w:rPr>
          <w:b/>
          <w:bCs/>
          <w:i w:val="0"/>
          <w:iCs w:val="0"/>
          <w:shd w:val="clear" w:color="auto" w:fill="FFFFFF"/>
        </w:rPr>
        <w:t>haracteristics</w:t>
      </w:r>
      <w:r>
        <w:rPr>
          <w:b/>
          <w:bCs/>
          <w:i w:val="0"/>
          <w:iCs w:val="0"/>
          <w:shd w:val="clear" w:color="auto" w:fill="FFFFFF"/>
        </w:rPr>
        <w:t>.</w:t>
      </w:r>
    </w:p>
    <w:tbl>
      <w:tblPr>
        <w:tblW w:w="8933" w:type="dxa"/>
        <w:tblBorders>
          <w:top w:val="single" w:sz="4" w:space="0" w:color="auto"/>
          <w:bottom w:val="single" w:sz="8" w:space="0" w:color="auto"/>
        </w:tblBorders>
        <w:tblLook w:val="04A0" w:firstRow="1" w:lastRow="0" w:firstColumn="1" w:lastColumn="0" w:noHBand="0" w:noVBand="1"/>
      </w:tblPr>
      <w:tblGrid>
        <w:gridCol w:w="4624"/>
        <w:gridCol w:w="1177"/>
        <w:gridCol w:w="990"/>
        <w:gridCol w:w="2142"/>
      </w:tblGrid>
      <w:tr w:rsidR="00E420BA" w:rsidRPr="00EE238C" w14:paraId="411BAD30" w14:textId="77777777" w:rsidTr="00AE07DF">
        <w:trPr>
          <w:trHeight w:val="275"/>
        </w:trPr>
        <w:tc>
          <w:tcPr>
            <w:tcW w:w="4624" w:type="dxa"/>
            <w:tcBorders>
              <w:top w:val="single" w:sz="4" w:space="0" w:color="auto"/>
              <w:bottom w:val="single" w:sz="4" w:space="0" w:color="auto"/>
            </w:tcBorders>
            <w:shd w:val="clear" w:color="auto" w:fill="auto"/>
            <w:noWrap/>
            <w:vAlign w:val="center"/>
            <w:hideMark/>
          </w:tcPr>
          <w:p w14:paraId="212FAC97" w14:textId="77777777" w:rsidR="00281786" w:rsidRPr="00EE238C" w:rsidRDefault="00281786" w:rsidP="00282AEF">
            <w:pPr>
              <w:spacing w:line="240" w:lineRule="auto"/>
            </w:pPr>
            <w:r w:rsidRPr="00EE238C">
              <w:t> </w:t>
            </w:r>
          </w:p>
        </w:tc>
        <w:tc>
          <w:tcPr>
            <w:tcW w:w="0" w:type="auto"/>
            <w:tcBorders>
              <w:top w:val="single" w:sz="4" w:space="0" w:color="auto"/>
              <w:bottom w:val="single" w:sz="4" w:space="0" w:color="auto"/>
            </w:tcBorders>
            <w:shd w:val="clear" w:color="auto" w:fill="auto"/>
            <w:noWrap/>
            <w:vAlign w:val="center"/>
            <w:hideMark/>
          </w:tcPr>
          <w:p w14:paraId="3CFCD92C" w14:textId="77777777" w:rsidR="00281786" w:rsidRPr="00EE238C" w:rsidRDefault="00281786" w:rsidP="00282AEF">
            <w:pPr>
              <w:spacing w:line="240" w:lineRule="auto"/>
              <w:ind w:firstLine="0"/>
            </w:pPr>
            <w:r w:rsidRPr="00EE238C">
              <w:t>M</w:t>
            </w:r>
          </w:p>
        </w:tc>
        <w:tc>
          <w:tcPr>
            <w:tcW w:w="0" w:type="auto"/>
            <w:tcBorders>
              <w:top w:val="single" w:sz="4" w:space="0" w:color="auto"/>
              <w:bottom w:val="single" w:sz="4" w:space="0" w:color="auto"/>
            </w:tcBorders>
            <w:shd w:val="clear" w:color="auto" w:fill="auto"/>
            <w:noWrap/>
            <w:vAlign w:val="center"/>
            <w:hideMark/>
          </w:tcPr>
          <w:p w14:paraId="4B244F4A" w14:textId="77777777" w:rsidR="00281786" w:rsidRPr="00EE238C" w:rsidRDefault="00281786" w:rsidP="00282AEF">
            <w:pPr>
              <w:spacing w:line="240" w:lineRule="auto"/>
              <w:ind w:firstLine="0"/>
            </w:pPr>
            <w:r w:rsidRPr="00EE238C">
              <w:t>SD</w:t>
            </w:r>
          </w:p>
        </w:tc>
        <w:tc>
          <w:tcPr>
            <w:tcW w:w="0" w:type="auto"/>
            <w:tcBorders>
              <w:top w:val="single" w:sz="4" w:space="0" w:color="auto"/>
              <w:bottom w:val="single" w:sz="4" w:space="0" w:color="auto"/>
            </w:tcBorders>
            <w:shd w:val="clear" w:color="auto" w:fill="auto"/>
            <w:noWrap/>
            <w:vAlign w:val="center"/>
            <w:hideMark/>
          </w:tcPr>
          <w:p w14:paraId="4B02AFB6" w14:textId="77777777" w:rsidR="00281786" w:rsidRPr="00EE238C" w:rsidRDefault="00281786" w:rsidP="00282AEF">
            <w:pPr>
              <w:spacing w:line="240" w:lineRule="auto"/>
              <w:ind w:firstLine="0"/>
            </w:pPr>
            <w:r w:rsidRPr="00EE238C">
              <w:t>Range</w:t>
            </w:r>
          </w:p>
        </w:tc>
      </w:tr>
      <w:tr w:rsidR="00E420BA" w:rsidRPr="00EE238C" w14:paraId="0C306E07" w14:textId="77777777" w:rsidTr="00AE07DF">
        <w:trPr>
          <w:trHeight w:val="275"/>
        </w:trPr>
        <w:tc>
          <w:tcPr>
            <w:tcW w:w="4624" w:type="dxa"/>
            <w:tcBorders>
              <w:top w:val="single" w:sz="4" w:space="0" w:color="auto"/>
              <w:bottom w:val="nil"/>
            </w:tcBorders>
            <w:shd w:val="clear" w:color="auto" w:fill="auto"/>
            <w:noWrap/>
            <w:vAlign w:val="center"/>
          </w:tcPr>
          <w:p w14:paraId="5DCFDCA2" w14:textId="6701B1C8" w:rsidR="00281786" w:rsidRPr="00EE238C" w:rsidRDefault="00AE07DF" w:rsidP="00282AEF">
            <w:pPr>
              <w:spacing w:line="240" w:lineRule="auto"/>
              <w:ind w:firstLine="0"/>
            </w:pPr>
            <w:r>
              <w:t xml:space="preserve">Deaf </w:t>
            </w:r>
            <w:r w:rsidR="00281786" w:rsidRPr="00EE238C">
              <w:t xml:space="preserve">Infants (n = </w:t>
            </w:r>
            <w:r w:rsidR="007F649C">
              <w:t>8</w:t>
            </w:r>
            <w:r>
              <w:t xml:space="preserve">, </w:t>
            </w:r>
            <w:proofErr w:type="spellStart"/>
            <w:r>
              <w:rPr>
                <w:i/>
                <w:iCs/>
              </w:rPr>
              <w:t>n</w:t>
            </w:r>
            <w:r w:rsidRPr="00AE07DF">
              <w:rPr>
                <w:i/>
                <w:iCs/>
                <w:vertAlign w:val="subscript"/>
              </w:rPr>
              <w:t>male</w:t>
            </w:r>
            <w:proofErr w:type="spellEnd"/>
            <w:r>
              <w:t xml:space="preserve"> = </w:t>
            </w:r>
            <w:r w:rsidR="00EC6A4F">
              <w:t>8</w:t>
            </w:r>
            <w:r w:rsidR="00281786" w:rsidRPr="00EE238C">
              <w:t>)</w:t>
            </w:r>
          </w:p>
        </w:tc>
        <w:tc>
          <w:tcPr>
            <w:tcW w:w="0" w:type="auto"/>
            <w:tcBorders>
              <w:top w:val="single" w:sz="4" w:space="0" w:color="auto"/>
              <w:bottom w:val="nil"/>
            </w:tcBorders>
            <w:shd w:val="clear" w:color="auto" w:fill="auto"/>
            <w:noWrap/>
            <w:vAlign w:val="center"/>
          </w:tcPr>
          <w:p w14:paraId="0A5016A9" w14:textId="77777777" w:rsidR="00281786" w:rsidRPr="00EE238C" w:rsidRDefault="00281786" w:rsidP="00282AEF">
            <w:pPr>
              <w:spacing w:line="240" w:lineRule="auto"/>
              <w:ind w:firstLine="0"/>
            </w:pPr>
          </w:p>
        </w:tc>
        <w:tc>
          <w:tcPr>
            <w:tcW w:w="0" w:type="auto"/>
            <w:tcBorders>
              <w:top w:val="single" w:sz="4" w:space="0" w:color="auto"/>
              <w:bottom w:val="nil"/>
            </w:tcBorders>
            <w:shd w:val="clear" w:color="auto" w:fill="auto"/>
            <w:noWrap/>
            <w:vAlign w:val="center"/>
          </w:tcPr>
          <w:p w14:paraId="3D8202C6" w14:textId="77777777" w:rsidR="00281786" w:rsidRPr="00EE238C" w:rsidRDefault="00281786" w:rsidP="00282AEF">
            <w:pPr>
              <w:spacing w:line="240" w:lineRule="auto"/>
              <w:ind w:firstLine="0"/>
            </w:pPr>
          </w:p>
        </w:tc>
        <w:tc>
          <w:tcPr>
            <w:tcW w:w="0" w:type="auto"/>
            <w:tcBorders>
              <w:top w:val="single" w:sz="4" w:space="0" w:color="auto"/>
              <w:bottom w:val="nil"/>
            </w:tcBorders>
            <w:shd w:val="clear" w:color="auto" w:fill="auto"/>
            <w:noWrap/>
            <w:vAlign w:val="center"/>
          </w:tcPr>
          <w:p w14:paraId="3FB1344E" w14:textId="77777777" w:rsidR="00281786" w:rsidRPr="00EE238C" w:rsidRDefault="00281786" w:rsidP="00282AEF">
            <w:pPr>
              <w:spacing w:line="240" w:lineRule="auto"/>
              <w:ind w:firstLine="0"/>
            </w:pPr>
          </w:p>
        </w:tc>
      </w:tr>
      <w:tr w:rsidR="00E420BA" w:rsidRPr="00EE238C" w14:paraId="75E47AD9" w14:textId="77777777" w:rsidTr="00AE07DF">
        <w:trPr>
          <w:trHeight w:val="275"/>
        </w:trPr>
        <w:tc>
          <w:tcPr>
            <w:tcW w:w="4624" w:type="dxa"/>
            <w:tcBorders>
              <w:top w:val="nil"/>
            </w:tcBorders>
            <w:shd w:val="clear" w:color="auto" w:fill="auto"/>
            <w:noWrap/>
            <w:vAlign w:val="center"/>
            <w:hideMark/>
          </w:tcPr>
          <w:p w14:paraId="38F9C647" w14:textId="2289053A" w:rsidR="00281786" w:rsidRPr="00EE238C" w:rsidRDefault="00281786" w:rsidP="00AE07DF">
            <w:pPr>
              <w:spacing w:line="240" w:lineRule="auto"/>
              <w:ind w:firstLine="322"/>
            </w:pPr>
            <w:r w:rsidRPr="00EE238C">
              <w:t>Age at Test (m</w:t>
            </w:r>
            <w:r w:rsidR="007F649C">
              <w:t>onths</w:t>
            </w:r>
            <w:r w:rsidRPr="00EE238C">
              <w:t>)</w:t>
            </w:r>
          </w:p>
        </w:tc>
        <w:tc>
          <w:tcPr>
            <w:tcW w:w="0" w:type="auto"/>
            <w:tcBorders>
              <w:top w:val="nil"/>
            </w:tcBorders>
            <w:shd w:val="clear" w:color="auto" w:fill="auto"/>
            <w:noWrap/>
            <w:vAlign w:val="center"/>
            <w:hideMark/>
          </w:tcPr>
          <w:p w14:paraId="6138736C" w14:textId="60247BB1" w:rsidR="00281786" w:rsidRPr="00EE238C" w:rsidRDefault="00281786" w:rsidP="00282AEF">
            <w:pPr>
              <w:spacing w:line="240" w:lineRule="auto"/>
              <w:ind w:firstLine="0"/>
            </w:pPr>
            <w:r w:rsidRPr="00EE238C">
              <w:t>11.</w:t>
            </w:r>
            <w:r w:rsidR="00E420BA">
              <w:t>11</w:t>
            </w:r>
          </w:p>
        </w:tc>
        <w:tc>
          <w:tcPr>
            <w:tcW w:w="0" w:type="auto"/>
            <w:tcBorders>
              <w:top w:val="nil"/>
            </w:tcBorders>
            <w:shd w:val="clear" w:color="auto" w:fill="auto"/>
            <w:noWrap/>
            <w:vAlign w:val="center"/>
            <w:hideMark/>
          </w:tcPr>
          <w:p w14:paraId="4DB0EA13" w14:textId="3CA5F699" w:rsidR="00281786" w:rsidRPr="00EE238C" w:rsidRDefault="00281786" w:rsidP="00282AEF">
            <w:pPr>
              <w:spacing w:line="240" w:lineRule="auto"/>
              <w:ind w:firstLine="0"/>
            </w:pPr>
            <w:r w:rsidRPr="00EE238C">
              <w:t>2.</w:t>
            </w:r>
            <w:r w:rsidR="00E420BA" w:rsidRPr="00EE238C">
              <w:t>3</w:t>
            </w:r>
            <w:r w:rsidR="00E420BA">
              <w:t>4</w:t>
            </w:r>
          </w:p>
        </w:tc>
        <w:tc>
          <w:tcPr>
            <w:tcW w:w="0" w:type="auto"/>
            <w:tcBorders>
              <w:top w:val="nil"/>
            </w:tcBorders>
            <w:shd w:val="clear" w:color="auto" w:fill="auto"/>
            <w:noWrap/>
            <w:vAlign w:val="center"/>
            <w:hideMark/>
          </w:tcPr>
          <w:p w14:paraId="1710ADB3" w14:textId="7D058770" w:rsidR="00281786" w:rsidRPr="00EE238C" w:rsidRDefault="00281786" w:rsidP="00282AEF">
            <w:pPr>
              <w:spacing w:line="240" w:lineRule="auto"/>
              <w:ind w:firstLine="0"/>
            </w:pPr>
            <w:r w:rsidRPr="00EE238C">
              <w:t>8.</w:t>
            </w:r>
            <w:r w:rsidR="00E420BA">
              <w:t>1</w:t>
            </w:r>
            <w:r w:rsidRPr="00EE238C">
              <w:t>-</w:t>
            </w:r>
            <w:r w:rsidR="00E420BA">
              <w:t>15.13</w:t>
            </w:r>
          </w:p>
        </w:tc>
      </w:tr>
      <w:tr w:rsidR="00E420BA" w:rsidRPr="00EE238C" w14:paraId="1FB2DBFC" w14:textId="77777777" w:rsidTr="00AE07DF">
        <w:trPr>
          <w:trHeight w:val="275"/>
        </w:trPr>
        <w:tc>
          <w:tcPr>
            <w:tcW w:w="4624" w:type="dxa"/>
            <w:tcBorders>
              <w:top w:val="nil"/>
            </w:tcBorders>
            <w:shd w:val="clear" w:color="auto" w:fill="auto"/>
            <w:noWrap/>
            <w:vAlign w:val="center"/>
          </w:tcPr>
          <w:p w14:paraId="5949DA54" w14:textId="77777777" w:rsidR="00281786" w:rsidRPr="00EE238C" w:rsidRDefault="00281786" w:rsidP="00AE07DF">
            <w:pPr>
              <w:spacing w:line="240" w:lineRule="auto"/>
              <w:ind w:firstLine="322"/>
            </w:pPr>
            <w:r w:rsidRPr="00EE238C">
              <w:t>Age at CI Activation</w:t>
            </w:r>
          </w:p>
        </w:tc>
        <w:tc>
          <w:tcPr>
            <w:tcW w:w="0" w:type="auto"/>
            <w:tcBorders>
              <w:top w:val="nil"/>
            </w:tcBorders>
            <w:shd w:val="clear" w:color="auto" w:fill="auto"/>
            <w:noWrap/>
            <w:vAlign w:val="center"/>
          </w:tcPr>
          <w:p w14:paraId="0149C055" w14:textId="32001A31" w:rsidR="00281786" w:rsidRPr="00EE238C" w:rsidRDefault="00E420BA" w:rsidP="00282AEF">
            <w:pPr>
              <w:spacing w:line="240" w:lineRule="auto"/>
              <w:ind w:firstLine="0"/>
            </w:pPr>
            <w:r>
              <w:t>11.69</w:t>
            </w:r>
          </w:p>
        </w:tc>
        <w:tc>
          <w:tcPr>
            <w:tcW w:w="0" w:type="auto"/>
            <w:tcBorders>
              <w:top w:val="nil"/>
            </w:tcBorders>
            <w:shd w:val="clear" w:color="auto" w:fill="auto"/>
            <w:noWrap/>
            <w:vAlign w:val="center"/>
          </w:tcPr>
          <w:p w14:paraId="05641B01" w14:textId="0008A47C" w:rsidR="00281786" w:rsidRPr="00EE238C" w:rsidRDefault="00E420BA" w:rsidP="00282AEF">
            <w:pPr>
              <w:spacing w:line="240" w:lineRule="auto"/>
              <w:ind w:firstLine="0"/>
            </w:pPr>
            <w:r>
              <w:t>2.25</w:t>
            </w:r>
          </w:p>
        </w:tc>
        <w:tc>
          <w:tcPr>
            <w:tcW w:w="0" w:type="auto"/>
            <w:tcBorders>
              <w:top w:val="nil"/>
            </w:tcBorders>
            <w:shd w:val="clear" w:color="auto" w:fill="auto"/>
            <w:noWrap/>
            <w:vAlign w:val="center"/>
          </w:tcPr>
          <w:p w14:paraId="6C6CA996" w14:textId="66CD977E" w:rsidR="00281786" w:rsidRPr="00EE238C" w:rsidRDefault="00E420BA" w:rsidP="00282AEF">
            <w:pPr>
              <w:spacing w:line="240" w:lineRule="auto"/>
              <w:ind w:firstLine="0"/>
            </w:pPr>
            <w:r>
              <w:t>8.6-15.7</w:t>
            </w:r>
          </w:p>
        </w:tc>
      </w:tr>
      <w:tr w:rsidR="00E420BA" w:rsidRPr="00EE238C" w14:paraId="21B0B7D6" w14:textId="77777777" w:rsidTr="00AE07DF">
        <w:trPr>
          <w:trHeight w:val="275"/>
        </w:trPr>
        <w:tc>
          <w:tcPr>
            <w:tcW w:w="4624" w:type="dxa"/>
            <w:shd w:val="clear" w:color="auto" w:fill="auto"/>
            <w:noWrap/>
            <w:vAlign w:val="center"/>
          </w:tcPr>
          <w:p w14:paraId="1B95C8D7" w14:textId="154914A1" w:rsidR="00AE07DF" w:rsidRPr="00EE238C" w:rsidRDefault="00AE07DF" w:rsidP="00AE07DF">
            <w:pPr>
              <w:spacing w:line="240" w:lineRule="auto"/>
              <w:ind w:firstLine="0"/>
            </w:pPr>
            <w:r>
              <w:t>Hearing Infants (</w:t>
            </w:r>
            <w:r w:rsidR="00CA7324">
              <w:t xml:space="preserve">n = </w:t>
            </w:r>
            <w:r w:rsidR="00E420BA">
              <w:t>8</w:t>
            </w:r>
            <w:r w:rsidR="00CA7324">
              <w:t xml:space="preserve">, </w:t>
            </w:r>
            <w:proofErr w:type="spellStart"/>
            <w:r>
              <w:rPr>
                <w:i/>
                <w:iCs/>
              </w:rPr>
              <w:t>n</w:t>
            </w:r>
            <w:r w:rsidRPr="00AE07DF">
              <w:rPr>
                <w:i/>
                <w:iCs/>
                <w:vertAlign w:val="subscript"/>
              </w:rPr>
              <w:t>male</w:t>
            </w:r>
            <w:proofErr w:type="spellEnd"/>
            <w:r>
              <w:t xml:space="preserve"> =</w:t>
            </w:r>
            <w:r w:rsidR="00483D07">
              <w:t xml:space="preserve"> </w:t>
            </w:r>
            <w:r w:rsidR="00EC6A4F">
              <w:t>7</w:t>
            </w:r>
            <w:r>
              <w:t>)</w:t>
            </w:r>
          </w:p>
        </w:tc>
        <w:tc>
          <w:tcPr>
            <w:tcW w:w="0" w:type="auto"/>
            <w:shd w:val="clear" w:color="auto" w:fill="auto"/>
            <w:noWrap/>
            <w:vAlign w:val="center"/>
          </w:tcPr>
          <w:p w14:paraId="5C46B200" w14:textId="6F9E5627" w:rsidR="00AE07DF" w:rsidRPr="00EE238C" w:rsidRDefault="00AE07DF" w:rsidP="00282AEF">
            <w:pPr>
              <w:spacing w:line="240" w:lineRule="auto"/>
              <w:ind w:firstLine="0"/>
            </w:pPr>
          </w:p>
        </w:tc>
        <w:tc>
          <w:tcPr>
            <w:tcW w:w="0" w:type="auto"/>
            <w:shd w:val="clear" w:color="auto" w:fill="auto"/>
            <w:noWrap/>
            <w:vAlign w:val="center"/>
          </w:tcPr>
          <w:p w14:paraId="1F27984C" w14:textId="77777777" w:rsidR="00AE07DF" w:rsidRPr="00EE238C" w:rsidRDefault="00AE07DF" w:rsidP="00282AEF">
            <w:pPr>
              <w:spacing w:line="240" w:lineRule="auto"/>
              <w:ind w:firstLine="0"/>
            </w:pPr>
          </w:p>
        </w:tc>
        <w:tc>
          <w:tcPr>
            <w:tcW w:w="0" w:type="auto"/>
            <w:shd w:val="clear" w:color="auto" w:fill="auto"/>
            <w:noWrap/>
            <w:vAlign w:val="center"/>
          </w:tcPr>
          <w:p w14:paraId="4D0A5D79" w14:textId="77777777" w:rsidR="00AE07DF" w:rsidRPr="00EE238C" w:rsidRDefault="00AE07DF" w:rsidP="00282AEF">
            <w:pPr>
              <w:spacing w:line="240" w:lineRule="auto"/>
              <w:ind w:firstLine="0"/>
            </w:pPr>
          </w:p>
        </w:tc>
      </w:tr>
      <w:tr w:rsidR="00E420BA" w:rsidRPr="00EE238C" w14:paraId="0E6DDF8E" w14:textId="77777777" w:rsidTr="00AE07DF">
        <w:trPr>
          <w:trHeight w:val="275"/>
        </w:trPr>
        <w:tc>
          <w:tcPr>
            <w:tcW w:w="4624" w:type="dxa"/>
            <w:shd w:val="clear" w:color="auto" w:fill="auto"/>
            <w:noWrap/>
            <w:vAlign w:val="center"/>
          </w:tcPr>
          <w:p w14:paraId="36F22572" w14:textId="77CF52A7" w:rsidR="00AE07DF" w:rsidRPr="00EE238C" w:rsidRDefault="00AE07DF" w:rsidP="00AE07DF">
            <w:pPr>
              <w:spacing w:line="240" w:lineRule="auto"/>
              <w:ind w:firstLine="322"/>
            </w:pPr>
            <w:r>
              <w:t>Age at Test</w:t>
            </w:r>
          </w:p>
        </w:tc>
        <w:tc>
          <w:tcPr>
            <w:tcW w:w="0" w:type="auto"/>
            <w:shd w:val="clear" w:color="auto" w:fill="auto"/>
            <w:noWrap/>
            <w:vAlign w:val="center"/>
          </w:tcPr>
          <w:p w14:paraId="02936A73" w14:textId="071E5EB6" w:rsidR="00AE07DF" w:rsidRPr="00EE238C" w:rsidRDefault="00B75016" w:rsidP="00282AEF">
            <w:pPr>
              <w:spacing w:line="240" w:lineRule="auto"/>
              <w:ind w:firstLine="0"/>
            </w:pPr>
            <w:r>
              <w:t>11.</w:t>
            </w:r>
            <w:r w:rsidR="00E420BA">
              <w:t>20</w:t>
            </w:r>
          </w:p>
        </w:tc>
        <w:tc>
          <w:tcPr>
            <w:tcW w:w="0" w:type="auto"/>
            <w:shd w:val="clear" w:color="auto" w:fill="auto"/>
            <w:noWrap/>
            <w:vAlign w:val="center"/>
          </w:tcPr>
          <w:p w14:paraId="6C676B55" w14:textId="46C3F346" w:rsidR="00AE07DF" w:rsidRPr="00EE238C" w:rsidRDefault="00483D07" w:rsidP="00282AEF">
            <w:pPr>
              <w:spacing w:line="240" w:lineRule="auto"/>
              <w:ind w:firstLine="0"/>
            </w:pPr>
            <w:r>
              <w:t>2.</w:t>
            </w:r>
            <w:r w:rsidR="00E420BA">
              <w:t>37</w:t>
            </w:r>
          </w:p>
        </w:tc>
        <w:tc>
          <w:tcPr>
            <w:tcW w:w="0" w:type="auto"/>
            <w:shd w:val="clear" w:color="auto" w:fill="auto"/>
            <w:noWrap/>
            <w:vAlign w:val="center"/>
          </w:tcPr>
          <w:p w14:paraId="568D8681" w14:textId="593209E5" w:rsidR="00AE07DF" w:rsidRPr="00EE238C" w:rsidRDefault="00E420BA" w:rsidP="00282AEF">
            <w:pPr>
              <w:spacing w:line="240" w:lineRule="auto"/>
              <w:ind w:firstLine="0"/>
            </w:pPr>
            <w:r>
              <w:t>7.57-14.83</w:t>
            </w:r>
          </w:p>
        </w:tc>
      </w:tr>
      <w:tr w:rsidR="00E420BA" w:rsidRPr="00EE238C" w14:paraId="735AC560" w14:textId="77777777" w:rsidTr="00AE07DF">
        <w:trPr>
          <w:trHeight w:val="288"/>
        </w:trPr>
        <w:tc>
          <w:tcPr>
            <w:tcW w:w="4624" w:type="dxa"/>
            <w:tcBorders>
              <w:top w:val="single" w:sz="4" w:space="0" w:color="auto"/>
            </w:tcBorders>
            <w:shd w:val="clear" w:color="auto" w:fill="auto"/>
            <w:vAlign w:val="center"/>
          </w:tcPr>
          <w:p w14:paraId="5BF101E1" w14:textId="19C1AF68" w:rsidR="00281786" w:rsidRPr="00EE238C" w:rsidRDefault="00AE07DF" w:rsidP="00282AEF">
            <w:pPr>
              <w:spacing w:line="240" w:lineRule="auto"/>
              <w:ind w:firstLine="0"/>
            </w:pPr>
            <w:r>
              <w:t xml:space="preserve">Deaf </w:t>
            </w:r>
            <w:r w:rsidR="00281786" w:rsidRPr="00EE238C">
              <w:t>Toddlers (n =</w:t>
            </w:r>
            <w:r w:rsidR="00546B3B">
              <w:t>10</w:t>
            </w:r>
            <w:r>
              <w:t xml:space="preserve">, </w:t>
            </w:r>
            <w:proofErr w:type="spellStart"/>
            <w:r>
              <w:rPr>
                <w:i/>
                <w:iCs/>
              </w:rPr>
              <w:t>n</w:t>
            </w:r>
            <w:r w:rsidRPr="00AE07DF">
              <w:rPr>
                <w:i/>
                <w:iCs/>
                <w:vertAlign w:val="subscript"/>
              </w:rPr>
              <w:t>male</w:t>
            </w:r>
            <w:proofErr w:type="spellEnd"/>
            <w:r>
              <w:t xml:space="preserve"> = </w:t>
            </w:r>
            <w:r w:rsidR="00EC6A4F">
              <w:t>5</w:t>
            </w:r>
            <w:r w:rsidR="00281786" w:rsidRPr="00EE238C">
              <w:t>)</w:t>
            </w:r>
          </w:p>
        </w:tc>
        <w:tc>
          <w:tcPr>
            <w:tcW w:w="0" w:type="auto"/>
            <w:tcBorders>
              <w:top w:val="single" w:sz="4" w:space="0" w:color="auto"/>
            </w:tcBorders>
            <w:shd w:val="clear" w:color="auto" w:fill="auto"/>
            <w:noWrap/>
            <w:vAlign w:val="center"/>
          </w:tcPr>
          <w:p w14:paraId="47E2068E" w14:textId="77777777" w:rsidR="00281786" w:rsidRPr="00EE238C" w:rsidRDefault="00281786" w:rsidP="00282AEF">
            <w:pPr>
              <w:spacing w:line="240" w:lineRule="auto"/>
              <w:ind w:firstLine="0"/>
            </w:pPr>
          </w:p>
        </w:tc>
        <w:tc>
          <w:tcPr>
            <w:tcW w:w="0" w:type="auto"/>
            <w:tcBorders>
              <w:top w:val="single" w:sz="4" w:space="0" w:color="auto"/>
            </w:tcBorders>
            <w:shd w:val="clear" w:color="auto" w:fill="auto"/>
            <w:noWrap/>
            <w:vAlign w:val="center"/>
          </w:tcPr>
          <w:p w14:paraId="45224C0E" w14:textId="77777777" w:rsidR="00281786" w:rsidRPr="00EE238C" w:rsidRDefault="00281786" w:rsidP="00282AEF">
            <w:pPr>
              <w:spacing w:line="240" w:lineRule="auto"/>
              <w:ind w:firstLine="0"/>
            </w:pPr>
          </w:p>
        </w:tc>
        <w:tc>
          <w:tcPr>
            <w:tcW w:w="0" w:type="auto"/>
            <w:tcBorders>
              <w:top w:val="single" w:sz="4" w:space="0" w:color="auto"/>
            </w:tcBorders>
            <w:shd w:val="clear" w:color="auto" w:fill="auto"/>
            <w:noWrap/>
            <w:vAlign w:val="center"/>
          </w:tcPr>
          <w:p w14:paraId="4FCC8017" w14:textId="77777777" w:rsidR="00281786" w:rsidRPr="00EE238C" w:rsidRDefault="00281786" w:rsidP="00282AEF">
            <w:pPr>
              <w:spacing w:line="240" w:lineRule="auto"/>
              <w:ind w:firstLine="0"/>
            </w:pPr>
          </w:p>
        </w:tc>
      </w:tr>
      <w:tr w:rsidR="00E420BA" w:rsidRPr="00EE238C" w14:paraId="0794A90E" w14:textId="77777777" w:rsidTr="00AE07DF">
        <w:trPr>
          <w:trHeight w:val="288"/>
        </w:trPr>
        <w:tc>
          <w:tcPr>
            <w:tcW w:w="4624" w:type="dxa"/>
            <w:shd w:val="clear" w:color="auto" w:fill="auto"/>
            <w:vAlign w:val="center"/>
          </w:tcPr>
          <w:p w14:paraId="7C52D79A" w14:textId="4F12BBFE" w:rsidR="00281786" w:rsidRPr="00EE238C" w:rsidRDefault="00281786" w:rsidP="00AE07DF">
            <w:pPr>
              <w:spacing w:line="240" w:lineRule="auto"/>
              <w:ind w:firstLine="322"/>
            </w:pPr>
            <w:r w:rsidRPr="00EE238C">
              <w:t>Age at Test</w:t>
            </w:r>
          </w:p>
        </w:tc>
        <w:tc>
          <w:tcPr>
            <w:tcW w:w="0" w:type="auto"/>
            <w:shd w:val="clear" w:color="auto" w:fill="auto"/>
            <w:noWrap/>
            <w:vAlign w:val="center"/>
          </w:tcPr>
          <w:p w14:paraId="11262629" w14:textId="1D61697A" w:rsidR="00281786" w:rsidRPr="00EE238C" w:rsidRDefault="00E420BA" w:rsidP="00282AEF">
            <w:pPr>
              <w:spacing w:line="240" w:lineRule="auto"/>
              <w:ind w:firstLine="0"/>
            </w:pPr>
            <w:r>
              <w:t>19.98</w:t>
            </w:r>
          </w:p>
        </w:tc>
        <w:tc>
          <w:tcPr>
            <w:tcW w:w="0" w:type="auto"/>
            <w:shd w:val="clear" w:color="auto" w:fill="auto"/>
            <w:noWrap/>
            <w:vAlign w:val="center"/>
          </w:tcPr>
          <w:p w14:paraId="7F92A611" w14:textId="1297548F" w:rsidR="00281786" w:rsidRPr="00EE238C" w:rsidRDefault="00E420BA" w:rsidP="00282AEF">
            <w:pPr>
              <w:spacing w:line="240" w:lineRule="auto"/>
              <w:ind w:firstLine="0"/>
            </w:pPr>
            <w:r>
              <w:t>3.87</w:t>
            </w:r>
          </w:p>
        </w:tc>
        <w:tc>
          <w:tcPr>
            <w:tcW w:w="0" w:type="auto"/>
            <w:shd w:val="clear" w:color="auto" w:fill="auto"/>
            <w:noWrap/>
            <w:vAlign w:val="center"/>
          </w:tcPr>
          <w:p w14:paraId="37F9DCB4" w14:textId="69CF2BBB" w:rsidR="00281786" w:rsidRPr="00EE238C" w:rsidRDefault="00E420BA" w:rsidP="00282AEF">
            <w:pPr>
              <w:spacing w:line="240" w:lineRule="auto"/>
              <w:ind w:firstLine="0"/>
            </w:pPr>
            <w:r>
              <w:t>14.27-25.27</w:t>
            </w:r>
          </w:p>
        </w:tc>
      </w:tr>
      <w:tr w:rsidR="00E420BA" w:rsidRPr="00EE238C" w14:paraId="4BA64015" w14:textId="77777777" w:rsidTr="00AE07DF">
        <w:trPr>
          <w:trHeight w:val="288"/>
        </w:trPr>
        <w:tc>
          <w:tcPr>
            <w:tcW w:w="4624" w:type="dxa"/>
            <w:shd w:val="clear" w:color="auto" w:fill="auto"/>
            <w:vAlign w:val="center"/>
          </w:tcPr>
          <w:p w14:paraId="6D263262" w14:textId="19762986" w:rsidR="00281786" w:rsidRPr="00EE238C" w:rsidRDefault="00281786" w:rsidP="00AE07DF">
            <w:pPr>
              <w:spacing w:line="240" w:lineRule="auto"/>
              <w:ind w:firstLine="322"/>
            </w:pPr>
            <w:r w:rsidRPr="00EE238C">
              <w:t>Age at CI Activation</w:t>
            </w:r>
          </w:p>
        </w:tc>
        <w:tc>
          <w:tcPr>
            <w:tcW w:w="0" w:type="auto"/>
            <w:shd w:val="clear" w:color="auto" w:fill="auto"/>
            <w:noWrap/>
            <w:vAlign w:val="center"/>
          </w:tcPr>
          <w:p w14:paraId="6D67D18F" w14:textId="6D8FB823" w:rsidR="00281786" w:rsidRPr="00EE238C" w:rsidRDefault="00E420BA" w:rsidP="00282AEF">
            <w:pPr>
              <w:spacing w:line="240" w:lineRule="auto"/>
              <w:ind w:firstLine="0"/>
            </w:pPr>
            <w:r>
              <w:t>12.12</w:t>
            </w:r>
          </w:p>
        </w:tc>
        <w:tc>
          <w:tcPr>
            <w:tcW w:w="0" w:type="auto"/>
            <w:shd w:val="clear" w:color="auto" w:fill="auto"/>
            <w:noWrap/>
            <w:vAlign w:val="center"/>
          </w:tcPr>
          <w:p w14:paraId="42DF53CF" w14:textId="58081C71" w:rsidR="00281786" w:rsidRPr="00EE238C" w:rsidRDefault="00E420BA" w:rsidP="00282AEF">
            <w:pPr>
              <w:spacing w:line="240" w:lineRule="auto"/>
              <w:ind w:firstLine="0"/>
            </w:pPr>
            <w:r>
              <w:t>2.34</w:t>
            </w:r>
          </w:p>
        </w:tc>
        <w:tc>
          <w:tcPr>
            <w:tcW w:w="0" w:type="auto"/>
            <w:shd w:val="clear" w:color="auto" w:fill="auto"/>
            <w:noWrap/>
            <w:vAlign w:val="center"/>
          </w:tcPr>
          <w:p w14:paraId="0C9F0598" w14:textId="121AFBED" w:rsidR="00281786" w:rsidRPr="00EE238C" w:rsidRDefault="00E420BA" w:rsidP="00282AEF">
            <w:pPr>
              <w:spacing w:line="240" w:lineRule="auto"/>
              <w:ind w:firstLine="0"/>
            </w:pPr>
            <w:r>
              <w:t>8.1-15.7</w:t>
            </w:r>
          </w:p>
        </w:tc>
      </w:tr>
      <w:tr w:rsidR="00E420BA" w:rsidRPr="00EE238C" w14:paraId="54F83E4B" w14:textId="77777777" w:rsidTr="00AE07DF">
        <w:trPr>
          <w:trHeight w:val="288"/>
        </w:trPr>
        <w:tc>
          <w:tcPr>
            <w:tcW w:w="4624" w:type="dxa"/>
            <w:shd w:val="clear" w:color="auto" w:fill="auto"/>
            <w:vAlign w:val="center"/>
          </w:tcPr>
          <w:p w14:paraId="43F53162" w14:textId="03259C02" w:rsidR="00281786" w:rsidRPr="00EE238C" w:rsidRDefault="00281786" w:rsidP="00AE07DF">
            <w:pPr>
              <w:spacing w:line="240" w:lineRule="auto"/>
              <w:ind w:firstLine="322"/>
            </w:pPr>
            <w:r w:rsidRPr="00EE238C">
              <w:t>Hearing Age</w:t>
            </w:r>
          </w:p>
        </w:tc>
        <w:tc>
          <w:tcPr>
            <w:tcW w:w="0" w:type="auto"/>
            <w:shd w:val="clear" w:color="auto" w:fill="auto"/>
            <w:noWrap/>
            <w:vAlign w:val="center"/>
          </w:tcPr>
          <w:p w14:paraId="30744895" w14:textId="142DA8D8" w:rsidR="00281786" w:rsidRPr="00EE238C" w:rsidRDefault="00281786" w:rsidP="00282AEF">
            <w:pPr>
              <w:spacing w:line="240" w:lineRule="auto"/>
              <w:ind w:firstLine="0"/>
            </w:pPr>
            <w:r w:rsidRPr="00EE238C">
              <w:t>8.</w:t>
            </w:r>
            <w:r w:rsidR="00E420BA">
              <w:t>05</w:t>
            </w:r>
          </w:p>
        </w:tc>
        <w:tc>
          <w:tcPr>
            <w:tcW w:w="0" w:type="auto"/>
            <w:shd w:val="clear" w:color="auto" w:fill="auto"/>
            <w:noWrap/>
            <w:vAlign w:val="center"/>
          </w:tcPr>
          <w:p w14:paraId="781136A5" w14:textId="362769B8" w:rsidR="00281786" w:rsidRPr="00EE238C" w:rsidRDefault="00E420BA" w:rsidP="00282AEF">
            <w:pPr>
              <w:spacing w:line="240" w:lineRule="auto"/>
              <w:ind w:firstLine="0"/>
            </w:pPr>
            <w:r>
              <w:t>2.56</w:t>
            </w:r>
          </w:p>
        </w:tc>
        <w:tc>
          <w:tcPr>
            <w:tcW w:w="0" w:type="auto"/>
            <w:shd w:val="clear" w:color="auto" w:fill="auto"/>
            <w:noWrap/>
            <w:vAlign w:val="center"/>
          </w:tcPr>
          <w:p w14:paraId="476A52D3" w14:textId="367CBFB2" w:rsidR="00281786" w:rsidRPr="00EE238C" w:rsidRDefault="00281786" w:rsidP="00282AEF">
            <w:pPr>
              <w:spacing w:line="240" w:lineRule="auto"/>
              <w:ind w:firstLine="0"/>
            </w:pPr>
            <w:r w:rsidRPr="00EE238C">
              <w:t>5.3</w:t>
            </w:r>
            <w:r w:rsidR="00E420BA">
              <w:t>3</w:t>
            </w:r>
            <w:r w:rsidRPr="00EE238C">
              <w:t>-12.</w:t>
            </w:r>
            <w:r w:rsidR="00E420BA">
              <w:t>20</w:t>
            </w:r>
          </w:p>
        </w:tc>
      </w:tr>
      <w:tr w:rsidR="00E420BA" w:rsidRPr="00EE238C" w14:paraId="314B68F8" w14:textId="77777777" w:rsidTr="00AE07DF">
        <w:trPr>
          <w:trHeight w:val="288"/>
        </w:trPr>
        <w:tc>
          <w:tcPr>
            <w:tcW w:w="4624" w:type="dxa"/>
            <w:shd w:val="clear" w:color="auto" w:fill="auto"/>
            <w:vAlign w:val="center"/>
          </w:tcPr>
          <w:p w14:paraId="527AB4B0" w14:textId="6C4CF08C" w:rsidR="00281786" w:rsidRPr="00EE238C" w:rsidRDefault="00AE07DF" w:rsidP="00AE07DF">
            <w:pPr>
              <w:spacing w:line="240" w:lineRule="auto"/>
              <w:ind w:firstLine="0"/>
            </w:pPr>
            <w:r>
              <w:t xml:space="preserve">Hearing Toddlers </w:t>
            </w:r>
            <w:r w:rsidR="00281786" w:rsidRPr="00EE238C">
              <w:t>(</w:t>
            </w:r>
            <w:r>
              <w:t xml:space="preserve">n = </w:t>
            </w:r>
            <w:r w:rsidR="00EC6A4F">
              <w:t>10</w:t>
            </w:r>
            <w:r>
              <w:t xml:space="preserve">, </w:t>
            </w:r>
            <w:proofErr w:type="spellStart"/>
            <w:r>
              <w:rPr>
                <w:i/>
                <w:iCs/>
              </w:rPr>
              <w:t>n</w:t>
            </w:r>
            <w:r w:rsidRPr="00AE07DF">
              <w:rPr>
                <w:i/>
                <w:iCs/>
                <w:vertAlign w:val="subscript"/>
              </w:rPr>
              <w:t>male</w:t>
            </w:r>
            <w:proofErr w:type="spellEnd"/>
            <w:r>
              <w:t xml:space="preserve"> =</w:t>
            </w:r>
            <w:r w:rsidR="000C17A6">
              <w:t xml:space="preserve"> </w:t>
            </w:r>
            <w:r w:rsidR="00E420BA">
              <w:t>6</w:t>
            </w:r>
            <w:r w:rsidR="00281786" w:rsidRPr="00EE238C">
              <w:t>)</w:t>
            </w:r>
          </w:p>
        </w:tc>
        <w:tc>
          <w:tcPr>
            <w:tcW w:w="0" w:type="auto"/>
            <w:shd w:val="clear" w:color="auto" w:fill="auto"/>
            <w:noWrap/>
            <w:vAlign w:val="center"/>
          </w:tcPr>
          <w:p w14:paraId="48729DED" w14:textId="34B1A6DF" w:rsidR="00281786" w:rsidRPr="00EE238C" w:rsidRDefault="00281786" w:rsidP="00282AEF">
            <w:pPr>
              <w:spacing w:line="240" w:lineRule="auto"/>
              <w:ind w:firstLine="0"/>
            </w:pPr>
          </w:p>
        </w:tc>
        <w:tc>
          <w:tcPr>
            <w:tcW w:w="0" w:type="auto"/>
            <w:shd w:val="clear" w:color="auto" w:fill="auto"/>
            <w:noWrap/>
            <w:vAlign w:val="center"/>
          </w:tcPr>
          <w:p w14:paraId="70216CB4" w14:textId="7312D63C" w:rsidR="00281786" w:rsidRPr="00EE238C" w:rsidRDefault="00281786" w:rsidP="00282AEF">
            <w:pPr>
              <w:spacing w:line="240" w:lineRule="auto"/>
              <w:ind w:firstLine="0"/>
            </w:pPr>
          </w:p>
        </w:tc>
        <w:tc>
          <w:tcPr>
            <w:tcW w:w="0" w:type="auto"/>
            <w:shd w:val="clear" w:color="auto" w:fill="auto"/>
            <w:noWrap/>
            <w:vAlign w:val="center"/>
          </w:tcPr>
          <w:p w14:paraId="4D542CE7" w14:textId="0CECCA20" w:rsidR="00281786" w:rsidRPr="00EE238C" w:rsidRDefault="00281786" w:rsidP="00282AEF">
            <w:pPr>
              <w:spacing w:line="240" w:lineRule="auto"/>
              <w:ind w:firstLine="0"/>
            </w:pPr>
          </w:p>
        </w:tc>
      </w:tr>
      <w:tr w:rsidR="00E420BA" w:rsidRPr="00EE238C" w14:paraId="5E3FB25C" w14:textId="77777777" w:rsidTr="00AE07DF">
        <w:trPr>
          <w:trHeight w:val="288"/>
        </w:trPr>
        <w:tc>
          <w:tcPr>
            <w:tcW w:w="4624" w:type="dxa"/>
            <w:shd w:val="clear" w:color="auto" w:fill="auto"/>
            <w:vAlign w:val="center"/>
          </w:tcPr>
          <w:p w14:paraId="433DC043" w14:textId="246D045C" w:rsidR="00483D07" w:rsidRPr="00EE238C" w:rsidRDefault="00483D07" w:rsidP="00483D07">
            <w:pPr>
              <w:spacing w:line="240" w:lineRule="auto"/>
              <w:ind w:firstLine="322"/>
            </w:pPr>
            <w:r>
              <w:t>Age at Test</w:t>
            </w:r>
          </w:p>
        </w:tc>
        <w:tc>
          <w:tcPr>
            <w:tcW w:w="0" w:type="auto"/>
            <w:shd w:val="clear" w:color="auto" w:fill="auto"/>
            <w:noWrap/>
            <w:vAlign w:val="center"/>
          </w:tcPr>
          <w:p w14:paraId="3305B0B1" w14:textId="2A110300" w:rsidR="00483D07" w:rsidRPr="00EE238C" w:rsidRDefault="00E420BA" w:rsidP="00483D07">
            <w:pPr>
              <w:spacing w:line="240" w:lineRule="auto"/>
              <w:ind w:firstLine="0"/>
            </w:pPr>
            <w:r>
              <w:t>20.05</w:t>
            </w:r>
          </w:p>
        </w:tc>
        <w:tc>
          <w:tcPr>
            <w:tcW w:w="0" w:type="auto"/>
            <w:shd w:val="clear" w:color="auto" w:fill="auto"/>
            <w:noWrap/>
            <w:vAlign w:val="center"/>
          </w:tcPr>
          <w:p w14:paraId="7C5854C8" w14:textId="1CBC6E25" w:rsidR="00483D07" w:rsidRPr="00EE238C" w:rsidRDefault="00E420BA" w:rsidP="00483D07">
            <w:pPr>
              <w:spacing w:line="240" w:lineRule="auto"/>
              <w:ind w:firstLine="0"/>
            </w:pPr>
            <w:r>
              <w:t>3.73</w:t>
            </w:r>
          </w:p>
        </w:tc>
        <w:tc>
          <w:tcPr>
            <w:tcW w:w="0" w:type="auto"/>
            <w:shd w:val="clear" w:color="auto" w:fill="auto"/>
            <w:noWrap/>
            <w:vAlign w:val="center"/>
          </w:tcPr>
          <w:p w14:paraId="63B97EBB" w14:textId="5C0DA951" w:rsidR="00483D07" w:rsidRPr="00EE238C" w:rsidRDefault="00E420BA" w:rsidP="00483D07">
            <w:pPr>
              <w:spacing w:line="240" w:lineRule="auto"/>
              <w:ind w:firstLine="0"/>
            </w:pPr>
            <w:r>
              <w:t>13.97-25.40</w:t>
            </w:r>
          </w:p>
        </w:tc>
      </w:tr>
    </w:tbl>
    <w:p w14:paraId="3506BDC6" w14:textId="77777777" w:rsidR="00281786" w:rsidRDefault="00281786" w:rsidP="00281786">
      <w:pPr>
        <w:ind w:firstLine="0"/>
      </w:pPr>
      <w:r w:rsidRPr="00EE238C">
        <w:rPr>
          <w:i/>
          <w:iCs/>
        </w:rPr>
        <w:t>Note.</w:t>
      </w:r>
      <w:r w:rsidRPr="00EE238C">
        <w:t xml:space="preserve"> Hearing age refers to how long the child had been experiencing access to sound, i.e., the difference between age at CI activation and the date of the test.</w:t>
      </w:r>
    </w:p>
    <w:p w14:paraId="51CC157E" w14:textId="2A72056A" w:rsidR="00732739" w:rsidRPr="00612195" w:rsidRDefault="00EE238C" w:rsidP="0002105C">
      <w:pPr>
        <w:pStyle w:val="Heading4"/>
        <w:ind w:firstLine="0"/>
      </w:pPr>
      <w:r>
        <w:lastRenderedPageBreak/>
        <w:t xml:space="preserve">2.1.2 </w:t>
      </w:r>
      <w:r w:rsidR="00732739" w:rsidRPr="00612195">
        <w:t>Hearing participants</w:t>
      </w:r>
    </w:p>
    <w:p w14:paraId="0D26E7B2" w14:textId="7F13A0C8" w:rsidR="00732739" w:rsidRPr="00612195" w:rsidRDefault="008D5565" w:rsidP="00DE4644">
      <w:r w:rsidRPr="00612195">
        <w:t>Each participant in the deaf group was matched</w:t>
      </w:r>
      <w:r w:rsidR="005A3410" w:rsidRPr="00612195">
        <w:t xml:space="preserve"> as closely as possible</w:t>
      </w:r>
      <w:r w:rsidRPr="00612195">
        <w:t xml:space="preserve"> to a </w:t>
      </w:r>
      <w:r w:rsidR="00FC1810" w:rsidRPr="00612195">
        <w:t>participant with normal hearing</w:t>
      </w:r>
      <w:r w:rsidRPr="00612195">
        <w:t xml:space="preserve"> based on developmental age</w:t>
      </w:r>
      <w:r w:rsidR="0002105C">
        <w:t xml:space="preserve"> and gender</w:t>
      </w:r>
      <w:r w:rsidRPr="00612195">
        <w:t xml:space="preserve"> (+/- 1 week</w:t>
      </w:r>
      <w:r w:rsidR="00897448">
        <w:t>, see Table 1</w:t>
      </w:r>
      <w:r w:rsidRPr="00612195">
        <w:t>)</w:t>
      </w:r>
      <w:r w:rsidRPr="00612195">
        <w:rPr>
          <w:rStyle w:val="FootnoteReference"/>
          <w:bCs/>
        </w:rPr>
        <w:footnoteReference w:id="4"/>
      </w:r>
      <w:r w:rsidRPr="00612195">
        <w:t xml:space="preserve">. All hearing </w:t>
      </w:r>
      <w:r w:rsidR="00FC1810" w:rsidRPr="00612195">
        <w:t>participants</w:t>
      </w:r>
      <w:r w:rsidRPr="00612195">
        <w:t xml:space="preserve"> passed a newborn hearing screening, had no history of recurrent acute or chronic otitis media</w:t>
      </w:r>
      <w:r w:rsidR="00FC1810" w:rsidRPr="00612195">
        <w:t xml:space="preserve"> (ear infections)</w:t>
      </w:r>
      <w:r w:rsidRPr="00612195">
        <w:t xml:space="preserve">, and had no known developmental delays. </w:t>
      </w:r>
      <w:r w:rsidR="008A1571">
        <w:t>This</w:t>
      </w:r>
      <w:r w:rsidR="008A1571" w:rsidRPr="008A1571">
        <w:t xml:space="preserve"> study was conducted according to guidelines laid down in the Declaration of Helsinki, with written informed consent obtained</w:t>
      </w:r>
      <w:r w:rsidR="008A1571">
        <w:t xml:space="preserve"> from p</w:t>
      </w:r>
      <w:r w:rsidRPr="00612195">
        <w:t xml:space="preserve">arents of all </w:t>
      </w:r>
      <w:r w:rsidR="00B606EF" w:rsidRPr="00612195">
        <w:t>participants</w:t>
      </w:r>
      <w:r w:rsidRPr="00612195">
        <w:t xml:space="preserve"> prior to </w:t>
      </w:r>
      <w:r w:rsidR="00BC02A8" w:rsidRPr="00612195">
        <w:t>enrollment</w:t>
      </w:r>
      <w:r w:rsidRPr="00612195">
        <w:t xml:space="preserve"> in the study.</w:t>
      </w:r>
      <w:r w:rsidR="008A1571">
        <w:t xml:space="preserve"> The </w:t>
      </w:r>
      <w:r w:rsidR="008A1571" w:rsidRPr="008A1571">
        <w:t xml:space="preserve">study was approved by the </w:t>
      </w:r>
      <w:r w:rsidR="008A1571">
        <w:t>Institutional Review Board</w:t>
      </w:r>
      <w:r w:rsidR="008A1571" w:rsidRPr="008A1571">
        <w:t xml:space="preserve"> committee of The Ohio State University</w:t>
      </w:r>
      <w:r w:rsidR="008A1571">
        <w:t>.</w:t>
      </w:r>
    </w:p>
    <w:p w14:paraId="682C5893" w14:textId="21EC096E" w:rsidR="00F7670D" w:rsidRPr="00612195" w:rsidRDefault="00EE238C" w:rsidP="00EE238C">
      <w:pPr>
        <w:pStyle w:val="Heading3"/>
      </w:pPr>
      <w:r>
        <w:t xml:space="preserve">2.2 </w:t>
      </w:r>
      <w:r w:rsidR="00F7670D" w:rsidRPr="00612195">
        <w:t>Procedure</w:t>
      </w:r>
    </w:p>
    <w:p w14:paraId="0B85F1B0" w14:textId="3775329E" w:rsidR="00F25EB1" w:rsidRPr="00612195" w:rsidRDefault="7B4C0428" w:rsidP="00DE4644">
      <w:r>
        <w:t xml:space="preserve">Infants were seated in a child-size chair at a small table (61cm x 91cm x 64cm). Infants were fitted with a mobile eye-tracker (Positive Science, Inc), which has an infrared camera directed towards the right eye and a head camera that records 90° of the visual field. Two additional cameras recorded third-person views of both the infant and the experimenter. All cameras recorded at 30Hz and were synchronized offline using </w:t>
      </w:r>
      <w:proofErr w:type="spellStart"/>
      <w:r>
        <w:t>ffmpeg</w:t>
      </w:r>
      <w:proofErr w:type="spellEnd"/>
      <w:r>
        <w:t xml:space="preserve"> (https://ffmpeg.org). To calibrate the eye-trackers, an experimenter drew infants’ attention by directing a laser pointer towards nine unique locations on the tabletop. These moments were used to calibrate eye gaze relative to the head camera recording offline using </w:t>
      </w:r>
      <w:proofErr w:type="spellStart"/>
      <w:r>
        <w:t>Yarbus</w:t>
      </w:r>
      <w:proofErr w:type="spellEnd"/>
      <w:r>
        <w:t xml:space="preserve"> software (Positive Science, Inc). </w:t>
      </w:r>
      <w:proofErr w:type="spellStart"/>
      <w:r>
        <w:t>Yarbus</w:t>
      </w:r>
      <w:proofErr w:type="spellEnd"/>
      <w:r>
        <w:t xml:space="preserve"> uses an algorithm to map each position of the pupil and corneal reflection from the eye-tracker recording to corresponding locations in the head camera recording. This yields a calibrated video with the estimated direction of gaze indicated by a crosshair and superimposed on the head camera recording. </w:t>
      </w:r>
    </w:p>
    <w:p w14:paraId="559A5E0E" w14:textId="7BB9796D" w:rsidR="00F7670D" w:rsidRPr="00612195" w:rsidRDefault="7B4C0428" w:rsidP="00DE4644">
      <w:r>
        <w:lastRenderedPageBreak/>
        <w:t xml:space="preserve">Following calibration, the experimenter performed </w:t>
      </w:r>
      <w:r w:rsidR="00DC4F89">
        <w:t xml:space="preserve">an </w:t>
      </w:r>
      <w:r>
        <w:t>action sequence</w:t>
      </w:r>
      <w:r w:rsidR="003E09E1">
        <w:t xml:space="preserve"> </w:t>
      </w:r>
      <w:r w:rsidR="00DC4F89">
        <w:t>involving three unique toys</w:t>
      </w:r>
      <w:r w:rsidR="006632A0">
        <w:t xml:space="preserve"> with distinct affordances</w:t>
      </w:r>
      <w:r w:rsidR="00DC4F89">
        <w:t xml:space="preserve">: a red </w:t>
      </w:r>
      <w:r w:rsidR="00477E62">
        <w:t xml:space="preserve">ball with a </w:t>
      </w:r>
      <w:r w:rsidR="0020645C">
        <w:t>tassel</w:t>
      </w:r>
      <w:r w:rsidR="006632A0">
        <w:t xml:space="preserve"> that was squeezed</w:t>
      </w:r>
      <w:r w:rsidR="00DC4F89">
        <w:t>, a green jar</w:t>
      </w:r>
      <w:r w:rsidR="00477E62">
        <w:t xml:space="preserve"> </w:t>
      </w:r>
      <w:r w:rsidR="006632A0">
        <w:t xml:space="preserve">that was shaken, and a blue </w:t>
      </w:r>
      <w:r w:rsidR="0020645C">
        <w:t>wooden rattle</w:t>
      </w:r>
      <w:r w:rsidR="006632A0">
        <w:t xml:space="preserve"> that was </w:t>
      </w:r>
      <w:r w:rsidR="0020645C">
        <w:t>rattled</w:t>
      </w:r>
      <w:r w:rsidR="006632A0">
        <w:t xml:space="preserve">. The experimenter </w:t>
      </w:r>
      <w:r w:rsidR="0020645C">
        <w:t>would</w:t>
      </w:r>
      <w:r>
        <w:t xml:space="preserve"> </w:t>
      </w:r>
      <w:r w:rsidR="0020645C">
        <w:t>act on</w:t>
      </w:r>
      <w:r>
        <w:t xml:space="preserve"> (e.g., squeez</w:t>
      </w:r>
      <w:r w:rsidR="0020645C">
        <w:t>e</w:t>
      </w:r>
      <w:r w:rsidR="00C87EBB">
        <w:t xml:space="preserve">, </w:t>
      </w:r>
      <w:r w:rsidR="008271A1">
        <w:t>shak</w:t>
      </w:r>
      <w:r w:rsidR="0020645C">
        <w:t>e</w:t>
      </w:r>
      <w:r w:rsidR="008271A1">
        <w:t>,</w:t>
      </w:r>
      <w:r w:rsidR="00C87EBB">
        <w:t xml:space="preserve"> or rattl</w:t>
      </w:r>
      <w:r w:rsidR="0020645C">
        <w:t>e</w:t>
      </w:r>
      <w:r>
        <w:t xml:space="preserve">), and then return each toy to </w:t>
      </w:r>
      <w:r w:rsidR="00635329">
        <w:t xml:space="preserve">the same </w:t>
      </w:r>
      <w:r>
        <w:t>original location with her right hand in a repeating three-step</w:t>
      </w:r>
      <w:r w:rsidR="00635329">
        <w:t>, deterministic</w:t>
      </w:r>
      <w:r>
        <w:t xml:space="preserve"> </w:t>
      </w:r>
      <w:r w:rsidR="004C7C75">
        <w:t>spatiotemporal sequence (Figure 1)</w:t>
      </w:r>
      <w:r>
        <w:t xml:space="preserve">. Between each action, the experimenter’s hand returned to a neutral position underneath the table. The demonstration was repeated until participants became fussy (e.g., started crying, attempted to escape from their chair) or a maximum of 30 individual actions. The sequence order was always the same, so that any bias to the central object would be consistent across all infants. </w:t>
      </w:r>
    </w:p>
    <w:p w14:paraId="03FA4A02" w14:textId="74EEFF7A" w:rsidR="00F25EB1" w:rsidRPr="00612195" w:rsidRDefault="00EE238C" w:rsidP="00EE238C">
      <w:pPr>
        <w:pStyle w:val="Heading3"/>
      </w:pPr>
      <w:r>
        <w:t xml:space="preserve">2.3 </w:t>
      </w:r>
      <w:r w:rsidR="00F25EB1" w:rsidRPr="00612195">
        <w:t>Data Coding</w:t>
      </w:r>
    </w:p>
    <w:p w14:paraId="37F70D35" w14:textId="476E35F2" w:rsidR="00B15ED5" w:rsidRDefault="00F25EB1" w:rsidP="00823B13">
      <w:r w:rsidRPr="00612195">
        <w:t xml:space="preserve">Infant gaze was coded frame-by-frame by </w:t>
      </w:r>
      <w:r w:rsidR="00B15ED5" w:rsidRPr="00612195">
        <w:t>a trained coder who was blind to the participant’s hearing status</w:t>
      </w:r>
      <w:r w:rsidRPr="00612195">
        <w:t xml:space="preserve">. </w:t>
      </w:r>
      <w:r w:rsidR="00B15ED5" w:rsidRPr="00612195">
        <w:t>The coder</w:t>
      </w:r>
      <w:r w:rsidRPr="00612195">
        <w:t xml:space="preserve"> used still frames that were exported from the calibrated gaze video to annotate, for every frame, whether </w:t>
      </w:r>
      <w:r w:rsidR="00B15ED5" w:rsidRPr="00612195">
        <w:t xml:space="preserve">the </w:t>
      </w:r>
      <w:r w:rsidRPr="00612195">
        <w:t>infant</w:t>
      </w:r>
      <w:r w:rsidR="00B15ED5" w:rsidRPr="00612195">
        <w:t>’s</w:t>
      </w:r>
      <w:r w:rsidRPr="00612195">
        <w:t xml:space="preserve"> gaze fell on one of </w:t>
      </w:r>
      <w:r w:rsidR="00E264A0" w:rsidRPr="00612195">
        <w:t>four regions of interest</w:t>
      </w:r>
      <w:r w:rsidR="00B15ED5" w:rsidRPr="00612195">
        <w:t xml:space="preserve"> (ROI)</w:t>
      </w:r>
      <w:r w:rsidR="00690A93">
        <w:t xml:space="preserve"> and, if so, which ROI</w:t>
      </w:r>
      <w:r w:rsidR="00E264A0" w:rsidRPr="00612195">
        <w:t>: the</w:t>
      </w:r>
      <w:r w:rsidRPr="00612195">
        <w:t xml:space="preserve"> three toys</w:t>
      </w:r>
      <w:r w:rsidR="00E264A0" w:rsidRPr="00612195">
        <w:t xml:space="preserve"> or the experimenter’s face</w:t>
      </w:r>
      <w:r w:rsidRPr="00612195">
        <w:t>.</w:t>
      </w:r>
      <w:r w:rsidR="00575ECB" w:rsidRPr="00612195">
        <w:t xml:space="preserve"> </w:t>
      </w:r>
      <w:r w:rsidR="00823B13" w:rsidRPr="00612195">
        <w:t>S</w:t>
      </w:r>
      <w:r w:rsidR="00575ECB" w:rsidRPr="00612195">
        <w:t>accades—</w:t>
      </w:r>
      <w:r w:rsidR="00823B13" w:rsidRPr="00612195">
        <w:t>when the</w:t>
      </w:r>
      <w:r w:rsidR="00B15ED5" w:rsidRPr="00612195">
        <w:t xml:space="preserve"> eye was movi</w:t>
      </w:r>
      <w:r w:rsidR="00575ECB" w:rsidRPr="00612195">
        <w:t>ng from one location to another</w:t>
      </w:r>
      <w:r w:rsidR="00FB5C3D" w:rsidRPr="00612195">
        <w:t>—w</w:t>
      </w:r>
      <w:r w:rsidR="00B15ED5" w:rsidRPr="00612195">
        <w:t>ere not coded.</w:t>
      </w:r>
      <w:r w:rsidRPr="00612195">
        <w:t xml:space="preserve"> </w:t>
      </w:r>
      <w:r w:rsidR="00823B13" w:rsidRPr="00612195">
        <w:t>Therefore, each participant yielded two data streams</w:t>
      </w:r>
      <w:r w:rsidR="006E5BA5">
        <w:t xml:space="preserve"> for infant gaze and experimenter actions, respectively</w:t>
      </w:r>
      <w:r w:rsidR="00823B13" w:rsidRPr="00612195">
        <w:t xml:space="preserve">, as shown in Figure 1. </w:t>
      </w:r>
      <w:r w:rsidR="00B15ED5" w:rsidRPr="00612195">
        <w:t>A second coder annotated</w:t>
      </w:r>
      <w:r w:rsidR="00326668">
        <w:t xml:space="preserve"> all frames from</w:t>
      </w:r>
      <w:r w:rsidR="00B15ED5" w:rsidRPr="00612195">
        <w:t xml:space="preserve"> </w:t>
      </w:r>
      <w:r w:rsidR="00D334B0" w:rsidRPr="00612195">
        <w:t>50</w:t>
      </w:r>
      <w:r w:rsidR="00B15ED5" w:rsidRPr="00612195">
        <w:t xml:space="preserve">% of </w:t>
      </w:r>
      <w:r w:rsidR="00FB5C3D" w:rsidRPr="00612195">
        <w:t xml:space="preserve">all </w:t>
      </w:r>
      <w:r w:rsidR="00B15ED5" w:rsidRPr="00612195">
        <w:t>participants</w:t>
      </w:r>
      <w:r w:rsidR="00E67C91">
        <w:t xml:space="preserve">. </w:t>
      </w:r>
      <w:r w:rsidR="004C4A15">
        <w:t>Reliability was calculat</w:t>
      </w:r>
      <w:r w:rsidR="00D77319">
        <w:t>ed by dividing</w:t>
      </w:r>
      <w:r w:rsidR="004C4A15">
        <w:t xml:space="preserve"> the </w:t>
      </w:r>
      <w:r w:rsidR="00D77319">
        <w:t xml:space="preserve">number of frames for which </w:t>
      </w:r>
      <w:r w:rsidR="00690A93">
        <w:t>the two</w:t>
      </w:r>
      <w:r w:rsidR="00D77319">
        <w:t xml:space="preserve"> coders a</w:t>
      </w:r>
      <w:r w:rsidR="00690A93">
        <w:t xml:space="preserve">ssigned the same </w:t>
      </w:r>
      <w:r w:rsidR="007D206E">
        <w:t xml:space="preserve">ROI out of the total number of </w:t>
      </w:r>
      <w:r w:rsidR="004C4A15">
        <w:t>frame</w:t>
      </w:r>
      <w:r w:rsidR="00A401C1">
        <w:t>s</w:t>
      </w:r>
      <w:r w:rsidR="007D206E">
        <w:t xml:space="preserve"> to yield a percentage of agreement</w:t>
      </w:r>
      <w:r w:rsidR="00E67C91">
        <w:t>,</w:t>
      </w:r>
      <w:r w:rsidR="00030752">
        <w:t xml:space="preserve"> which</w:t>
      </w:r>
      <w:r w:rsidR="00E67C91" w:rsidRPr="00612195">
        <w:t xml:space="preserve"> </w:t>
      </w:r>
      <w:r w:rsidR="00487EE9">
        <w:t xml:space="preserve">ranged </w:t>
      </w:r>
      <w:r w:rsidR="00E67C91" w:rsidRPr="00612195">
        <w:t xml:space="preserve">from 83-100% </w:t>
      </w:r>
      <w:r w:rsidR="00E67C91">
        <w:t xml:space="preserve">of frames </w:t>
      </w:r>
      <w:r w:rsidR="00E67C91" w:rsidRPr="00612195">
        <w:t>(mean = 91.50%).</w:t>
      </w:r>
    </w:p>
    <w:p w14:paraId="31CD0FB7" w14:textId="00DC9A50" w:rsidR="00C037DB" w:rsidRDefault="00307B43" w:rsidP="005470B9">
      <w:pPr>
        <w:ind w:firstLine="0"/>
        <w:jc w:val="center"/>
      </w:pPr>
      <w:r>
        <w:rPr>
          <w:noProof/>
        </w:rPr>
        <w:lastRenderedPageBreak/>
        <w:drawing>
          <wp:inline distT="0" distB="0" distL="0" distR="0" wp14:anchorId="2A189461" wp14:editId="2609A8B3">
            <wp:extent cx="3965267" cy="2597758"/>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4133" cy="2655977"/>
                    </a:xfrm>
                    <a:prstGeom prst="rect">
                      <a:avLst/>
                    </a:prstGeom>
                  </pic:spPr>
                </pic:pic>
              </a:graphicData>
            </a:graphic>
          </wp:inline>
        </w:drawing>
      </w:r>
    </w:p>
    <w:p w14:paraId="1E11C779" w14:textId="0EB0467D" w:rsidR="005470B9" w:rsidRPr="00DB5373" w:rsidRDefault="005470B9" w:rsidP="005470B9">
      <w:pPr>
        <w:ind w:firstLine="0"/>
        <w:rPr>
          <w:i/>
          <w:iCs/>
        </w:rPr>
      </w:pPr>
      <w:r w:rsidRPr="00DB5373">
        <w:rPr>
          <w:b/>
          <w:bCs/>
          <w:i/>
          <w:iCs/>
        </w:rPr>
        <w:t>Figure 1.</w:t>
      </w:r>
      <w:r w:rsidRPr="00DB5373">
        <w:rPr>
          <w:i/>
          <w:iCs/>
        </w:rPr>
        <w:t xml:space="preserve"> Top:</w:t>
      </w:r>
      <w:r w:rsidRPr="00DB5373">
        <w:rPr>
          <w:b/>
          <w:bCs/>
          <w:i/>
          <w:iCs/>
        </w:rPr>
        <w:t xml:space="preserve"> </w:t>
      </w:r>
      <w:r w:rsidRPr="00DB5373">
        <w:rPr>
          <w:i/>
          <w:iCs/>
        </w:rPr>
        <w:t>Objects</w:t>
      </w:r>
      <w:r w:rsidR="00BA4201" w:rsidRPr="00DB5373">
        <w:rPr>
          <w:i/>
          <w:iCs/>
        </w:rPr>
        <w:t>/actions</w:t>
      </w:r>
      <w:r w:rsidRPr="00DB5373">
        <w:rPr>
          <w:i/>
          <w:iCs/>
        </w:rPr>
        <w:t xml:space="preserve"> used in the experiment. Bottom: Example visualization of the synchronized data streams from the child eye-tracker (upper row) and the experimenter actions (lower row). </w:t>
      </w:r>
      <w:r w:rsidR="00E25D7F" w:rsidRPr="00DB5373">
        <w:rPr>
          <w:i/>
          <w:iCs/>
        </w:rPr>
        <w:t>‘L’</w:t>
      </w:r>
      <w:r w:rsidR="0066014D" w:rsidRPr="00DB5373">
        <w:rPr>
          <w:i/>
          <w:iCs/>
        </w:rPr>
        <w:t xml:space="preserve">, ‘R’, and ‘C’ indicate the position on the table of the respective objects. </w:t>
      </w:r>
      <w:r w:rsidRPr="00DB5373">
        <w:rPr>
          <w:i/>
          <w:iCs/>
        </w:rPr>
        <w:t xml:space="preserve">Anticipatory gaze latencies were calculated by subtracting the onset of a child gaze fixation from the moment the experimenter’s hand reached the object. </w:t>
      </w:r>
    </w:p>
    <w:p w14:paraId="17A07A07" w14:textId="159FC558" w:rsidR="00B30085" w:rsidRPr="00612195" w:rsidRDefault="00A74CA5" w:rsidP="001E1D01">
      <w:r w:rsidRPr="00612195">
        <w:t>Another trained coder used frames from the</w:t>
      </w:r>
      <w:r w:rsidR="00B15ED5" w:rsidRPr="00612195">
        <w:t xml:space="preserve"> infant</w:t>
      </w:r>
      <w:r w:rsidRPr="00612195">
        <w:t xml:space="preserve"> head camera images and the two third-person view cameras to </w:t>
      </w:r>
      <w:r w:rsidR="00B15ED5" w:rsidRPr="00612195">
        <w:t>code the experimenter’s actions for the frames during which the experimenter was reaching for each of the three objects.</w:t>
      </w:r>
      <w:r w:rsidRPr="00612195">
        <w:t xml:space="preserve"> </w:t>
      </w:r>
      <w:r w:rsidR="006A5146" w:rsidRPr="00612195">
        <w:t xml:space="preserve">A second coder annotated </w:t>
      </w:r>
      <w:r w:rsidR="00D334B0" w:rsidRPr="00612195">
        <w:t>25</w:t>
      </w:r>
      <w:r w:rsidR="006A5146" w:rsidRPr="00612195">
        <w:t xml:space="preserve">% of participants, with reliability ranging from </w:t>
      </w:r>
      <w:r w:rsidR="00D334B0" w:rsidRPr="00612195">
        <w:t>92-97</w:t>
      </w:r>
      <w:r w:rsidR="006A5146" w:rsidRPr="00612195">
        <w:t>% (</w:t>
      </w:r>
      <w:r w:rsidR="006C6CB3" w:rsidRPr="00612195">
        <w:t>mean = 95.07%</w:t>
      </w:r>
      <w:r w:rsidR="006A5146" w:rsidRPr="00612195">
        <w:t>).</w:t>
      </w:r>
    </w:p>
    <w:p w14:paraId="5124DB3D" w14:textId="40758581" w:rsidR="00F7670D" w:rsidRPr="00612195" w:rsidRDefault="00EE238C" w:rsidP="00EE238C">
      <w:pPr>
        <w:pStyle w:val="Heading3"/>
      </w:pPr>
      <w:r>
        <w:t xml:space="preserve">2.4 </w:t>
      </w:r>
      <w:r w:rsidR="00F7670D" w:rsidRPr="00612195">
        <w:t>Habituation</w:t>
      </w:r>
    </w:p>
    <w:p w14:paraId="507CDEC6" w14:textId="6993EF4E" w:rsidR="00F7670D" w:rsidRPr="00FD6A3B" w:rsidRDefault="007C50C4" w:rsidP="00DE4644">
      <w:r w:rsidRPr="00612195">
        <w:t>Prior to assessing whether participants learned the sequence</w:t>
      </w:r>
      <w:r w:rsidR="00F7670D" w:rsidRPr="00612195">
        <w:t xml:space="preserve">, our first step was to identify a habituation criterion for each individual infant. </w:t>
      </w:r>
      <w:r w:rsidRPr="00612195">
        <w:t>L</w:t>
      </w:r>
      <w:r w:rsidR="00F7670D" w:rsidRPr="00612195">
        <w:t>ooking times during each trial were averaged over a sliding window of three trials</w:t>
      </w:r>
      <w:r w:rsidR="00470221" w:rsidRPr="00612195">
        <w:t xml:space="preserve"> </w:t>
      </w:r>
      <w:r w:rsidR="00470221" w:rsidRPr="00612195">
        <w:fldChar w:fldCharType="begin" w:fldLock="1"/>
      </w:r>
      <w:r w:rsidR="001D16C5">
        <w:instrText>ADDIN CSL_CITATION {"citationItems":[{"id":"ITEM-1","itemData":{"DOI":"10.1080/15248371003699977","ISSN":"15248372","abstract":"Habituation of looking time has become the standard method for studying cognitive processes in infancy. This method has a long history and derives from the study of memory and habituation itself. Often, however, it is not clear how researchers make decisions about how to implement habituation as a tool to study processes such as categorization, object representation, and memory. This article describes the challenges for implementing this tool and describes a set of best practices for its use to study perception and cognition in infancy. © 2010 Taylor &amp; Francis Group, LLC.","author":[{"dropping-particle":"","family":"Oakes","given":"Lisa","non-dropping-particle":"","parse-names":false,"suffix":""}],"container-title":"Journal of Cognition and Development","id":"ITEM-1","issue":"3","issued":{"date-parts":[["2010"]]},"page":"255-268","title":"Using habituation of looking time to assess mental processes in infancy","type":"article-journal","volume":"11"},"uris":["http://www.mendeley.com/documents/?uuid=42533abd-319a-3e4c-8546-b77d99bab3fb"]}],"mendeley":{"formattedCitation":"(Oakes, 2010)","plainTextFormattedCitation":"(Oakes, 2010)","previouslyFormattedCitation":"(Oakes, 2010)"},"properties":{"noteIndex":0},"schema":"https://github.com/citation-style-language/schema/raw/master/csl-citation.json"}</w:instrText>
      </w:r>
      <w:r w:rsidR="00470221" w:rsidRPr="00612195">
        <w:fldChar w:fldCharType="separate"/>
      </w:r>
      <w:r w:rsidR="00470221" w:rsidRPr="00727A15">
        <w:rPr>
          <w:noProof/>
        </w:rPr>
        <w:t>(Oakes, 2010)</w:t>
      </w:r>
      <w:r w:rsidR="00470221" w:rsidRPr="00612195">
        <w:fldChar w:fldCharType="end"/>
      </w:r>
      <w:r w:rsidR="00F7670D" w:rsidRPr="00612195">
        <w:t xml:space="preserve">. Mean looking times for each </w:t>
      </w:r>
      <w:r w:rsidR="006C0032" w:rsidRPr="00612195">
        <w:t>window</w:t>
      </w:r>
      <w:r w:rsidR="00F7670D" w:rsidRPr="008020FD">
        <w:t xml:space="preserve"> were entered into</w:t>
      </w:r>
      <w:r w:rsidR="00470221" w:rsidRPr="008020FD">
        <w:t xml:space="preserve"> a nonlinear regression</w:t>
      </w:r>
      <w:r w:rsidR="00F7670D" w:rsidRPr="00FD6A3B">
        <w:t xml:space="preserve"> model, given by:</w:t>
      </w:r>
    </w:p>
    <w:p w14:paraId="617B258C" w14:textId="77777777" w:rsidR="00F7670D" w:rsidRPr="00612195" w:rsidRDefault="00F7670D" w:rsidP="00DE4644">
      <m:oMathPara>
        <m:oMath>
          <m:r>
            <w:rPr>
              <w:rFonts w:ascii="Cambria Math" w:hAnsi="Cambria Math"/>
            </w:rPr>
            <m:t>E</m:t>
          </m:r>
          <m:d>
            <m:dPr>
              <m:ctrlPr>
                <w:rPr>
                  <w:rFonts w:ascii="Cambria Math" w:hAnsi="Cambria Math"/>
                </w:rPr>
              </m:ctrlPr>
            </m:dPr>
            <m:e>
              <m:r>
                <w:rPr>
                  <w:rFonts w:ascii="Cambria Math" w:hAnsi="Cambria Math"/>
                </w:rPr>
                <m:t>Y</m:t>
              </m:r>
            </m:e>
            <m:e>
              <m:r>
                <w:rPr>
                  <w:rFonts w:ascii="Cambria Math" w:hAnsi="Cambria Math"/>
                </w:rPr>
                <m:t>b</m:t>
              </m:r>
            </m:e>
          </m:d>
          <m:r>
            <m:rPr>
              <m:sty m:val="p"/>
            </m:rPr>
            <w:rPr>
              <w:rFonts w:ascii="Cambria Math" w:hAnsi="Cambria Math"/>
            </w:rPr>
            <m:t xml:space="preserve">= ∝ + </m:t>
          </m:r>
          <m:r>
            <w:rPr>
              <w:rFonts w:ascii="Cambria Math" w:hAnsi="Cambria Math"/>
            </w:rPr>
            <m:t>β</m:t>
          </m:r>
          <m:r>
            <m:rPr>
              <m:sty m:val="p"/>
            </m:rPr>
            <w:rPr>
              <w:rFonts w:ascii="Cambria Math" w:hAnsi="Cambria Math"/>
            </w:rPr>
            <m:t xml:space="preserve"> exp⁡[</m:t>
          </m:r>
          <m:sSup>
            <m:sSupPr>
              <m:ctrlPr>
                <w:rPr>
                  <w:rFonts w:ascii="Cambria Math" w:hAnsi="Cambria Math"/>
                </w:rPr>
              </m:ctrlPr>
            </m:sSupPr>
            <m:e>
              <m:r>
                <m:rPr>
                  <m:sty m:val="p"/>
                </m:rPr>
                <w:rPr>
                  <w:rFonts w:ascii="Cambria Math" w:hAnsi="Cambria Math"/>
                </w:rPr>
                <m:t>-</m:t>
              </m:r>
              <m:r>
                <w:rPr>
                  <w:rFonts w:ascii="Cambria Math" w:hAnsi="Cambria Math"/>
                </w:rPr>
                <m:t>δ</m:t>
              </m:r>
              <m:d>
                <m:dPr>
                  <m:ctrlPr>
                    <w:rPr>
                      <w:rFonts w:ascii="Cambria Math" w:hAnsi="Cambria Math"/>
                    </w:rPr>
                  </m:ctrlPr>
                </m:dPr>
                <m:e>
                  <m:r>
                    <w:rPr>
                      <w:rFonts w:ascii="Cambria Math" w:hAnsi="Cambria Math"/>
                    </w:rPr>
                    <m:t>b</m:t>
                  </m:r>
                  <m:r>
                    <m:rPr>
                      <m:sty m:val="p"/>
                    </m:rPr>
                    <w:rPr>
                      <w:rFonts w:ascii="Cambria Math" w:hAnsi="Cambria Math"/>
                    </w:rPr>
                    <m:t>-1</m:t>
                  </m:r>
                </m:e>
              </m:d>
            </m:e>
            <m:sup>
              <m:r>
                <m:rPr>
                  <m:sty m:val="p"/>
                </m:rPr>
                <w:rPr>
                  <w:rFonts w:ascii="Cambria Math" w:hAnsi="Cambria Math"/>
                </w:rPr>
                <m:t>2</m:t>
              </m:r>
            </m:sup>
          </m:sSup>
          <m:r>
            <m:rPr>
              <m:sty m:val="p"/>
            </m:rPr>
            <w:rPr>
              <w:rFonts w:ascii="Cambria Math" w:hAnsi="Cambria Math"/>
            </w:rPr>
            <m:t>]</m:t>
          </m:r>
        </m:oMath>
      </m:oMathPara>
    </w:p>
    <w:p w14:paraId="00B0F617" w14:textId="7B409030" w:rsidR="00E76329" w:rsidRPr="00727A15" w:rsidRDefault="00F7670D" w:rsidP="00F11D92">
      <w:pPr>
        <w:ind w:firstLine="0"/>
      </w:pPr>
      <w:r w:rsidRPr="008020FD">
        <w:lastRenderedPageBreak/>
        <w:t>which is model 3 in Thomas &amp; Gilmore</w:t>
      </w:r>
      <w:r w:rsidR="00C909BC" w:rsidRPr="008020FD">
        <w:t xml:space="preserve"> (</w:t>
      </w:r>
      <w:r w:rsidRPr="00FD6A3B">
        <w:t>2004</w:t>
      </w:r>
      <w:r w:rsidR="00C909BC" w:rsidRPr="00FD6A3B">
        <w:t>)</w:t>
      </w:r>
      <w:r w:rsidRPr="00612195">
        <w:t>. The parameters α</w:t>
      </w:r>
      <w:r w:rsidRPr="00612195">
        <w:rPr>
          <w:rFonts w:eastAsiaTheme="minorEastAsia"/>
        </w:rPr>
        <w:t xml:space="preserve">, β, and δ reflect features of infant attention and are illustrated in Figure </w:t>
      </w:r>
      <w:r w:rsidR="00FF3EA3" w:rsidRPr="00612195">
        <w:rPr>
          <w:rFonts w:eastAsiaTheme="minorEastAsia"/>
        </w:rPr>
        <w:t>2</w:t>
      </w:r>
      <w:r w:rsidRPr="00612195">
        <w:rPr>
          <w:rFonts w:eastAsiaTheme="minorEastAsia"/>
        </w:rPr>
        <w:t xml:space="preserve">. </w:t>
      </w:r>
      <w:r w:rsidR="006C0032" w:rsidRPr="00612195">
        <w:rPr>
          <w:rFonts w:eastAsiaTheme="minorEastAsia"/>
        </w:rPr>
        <w:t xml:space="preserve">The parameter </w:t>
      </w:r>
      <w:r w:rsidRPr="00612195">
        <w:t>α represents the infants’ shortest looking time</w:t>
      </w:r>
      <w:r w:rsidR="000703EC" w:rsidRPr="00612195">
        <w:t>;</w:t>
      </w:r>
      <w:r w:rsidRPr="00612195">
        <w:t xml:space="preserve"> β represents the maximum change in looking time, or the width of their </w:t>
      </w:r>
      <w:r w:rsidR="000703EC" w:rsidRPr="00612195">
        <w:t xml:space="preserve">looking time </w:t>
      </w:r>
      <w:r w:rsidRPr="00612195">
        <w:t>function; δ represents their rate of decline in looking time and can range from zero to one. Parameter estimates used least squares methods</w:t>
      </w:r>
      <w:r w:rsidR="00FF3EA3" w:rsidRPr="00612195">
        <w:t>,</w:t>
      </w:r>
      <w:r w:rsidRPr="00612195">
        <w:t xml:space="preserve"> implemented in Matlab</w:t>
      </w:r>
      <w:r w:rsidR="000703EC" w:rsidRPr="00612195">
        <w:t xml:space="preserve"> 20</w:t>
      </w:r>
      <w:r w:rsidR="00E77623">
        <w:t>19b</w:t>
      </w:r>
      <w:r w:rsidRPr="00612195">
        <w:t xml:space="preserve"> </w:t>
      </w:r>
      <w:r w:rsidRPr="00612195">
        <w:fldChar w:fldCharType="begin" w:fldLock="1"/>
      </w:r>
      <w:r w:rsidR="00D81791" w:rsidRPr="00612195">
        <w:instrText>ADDIN CSL_CITATION {"citationItems":[{"id":"ITEM-1","itemData":{"id":"ITEM-1","issued":{"date-parts":[["0"]]},"number":"2019b","publisher":"The MathWorks, Inc.","publisher-place":"Natick, MA","title":"Matlab","type":"article"},"uris":["http://www.mendeley.com/documents/?uuid=5ca862d0-1a55-4ba9-8016-bd16de980f85"]}],"mendeley":{"formattedCitation":"(“Matlab,” n.d.)","manualFormatting":"(Mathworks, Inc)","plainTextFormattedCitation":"(“Matlab,” n.d.)","previouslyFormattedCitation":"(“Matlab,” n.d.)"},"properties":{"noteIndex":0},"schema":"https://github.com/citation-style-language/schema/raw/master/csl-citation.json"}</w:instrText>
      </w:r>
      <w:r w:rsidRPr="00612195">
        <w:fldChar w:fldCharType="separate"/>
      </w:r>
      <w:r w:rsidRPr="00727A15">
        <w:rPr>
          <w:noProof/>
        </w:rPr>
        <w:t>(Mathworks, Inc)</w:t>
      </w:r>
      <w:r w:rsidRPr="00612195">
        <w:fldChar w:fldCharType="end"/>
      </w:r>
      <w:r w:rsidR="000703EC" w:rsidRPr="00612195">
        <w:t xml:space="preserve"> using the curve-fitting toolbox</w:t>
      </w:r>
      <w:r w:rsidRPr="008020FD">
        <w:t>. After fitting the mode</w:t>
      </w:r>
      <w:r w:rsidRPr="00FD6A3B">
        <w:t>l to each individual infant</w:t>
      </w:r>
      <w:r w:rsidR="00BE70CD" w:rsidRPr="00FD6A3B">
        <w:t>’s looking times</w:t>
      </w:r>
      <w:r w:rsidRPr="00612195">
        <w:t xml:space="preserve">, we defined the habituation threshold as the </w:t>
      </w:r>
      <w:r w:rsidRPr="00612195">
        <w:rPr>
          <w:i/>
        </w:rPr>
        <w:t>settling time</w:t>
      </w:r>
      <w:r w:rsidRPr="00612195">
        <w:t xml:space="preserve">, which is commonly defined as the time it takes for the error between the </w:t>
      </w:r>
      <w:r w:rsidR="006C0032" w:rsidRPr="00612195">
        <w:t>response</w:t>
      </w:r>
      <w:r w:rsidRPr="00612195">
        <w:t xml:space="preserve"> and the steady-state response to fall within 2% of the final </w:t>
      </w:r>
      <w:r w:rsidR="006C0032" w:rsidRPr="00612195">
        <w:t>response</w:t>
      </w:r>
      <w:r w:rsidRPr="00612195">
        <w:t xml:space="preserve"> (i.e., indicated by the arrow</w:t>
      </w:r>
      <w:r w:rsidR="00C909BC" w:rsidRPr="00612195">
        <w:t xml:space="preserve"> in Figure </w:t>
      </w:r>
      <w:r w:rsidR="00FF3EA3" w:rsidRPr="00612195">
        <w:t>2</w:t>
      </w:r>
      <w:r w:rsidRPr="00612195">
        <w:t xml:space="preserve">; </w:t>
      </w:r>
      <w:r w:rsidRPr="00612195">
        <w:fldChar w:fldCharType="begin" w:fldLock="1"/>
      </w:r>
      <w:r w:rsidR="00D04DA0">
        <w:instrText>ADDIN CSL_CITATION {"citationItems":[{"id":"ITEM-1","itemData":{"ISBN":"0133496597","abstract":"Feedback Control of Dynamic Systems covers the material that every engineer, and most scientists and prospective managers, needs to know about feedback controlincluding concepts like stability, tracking, and robustness. Each chapter presents the fundamentals along with comprehensive, worked-out examples, all within a real-world context and with historical background information. The authors also provide case studies with close integration of MATLAB throughout. Teaching and Learning Experience This program will provide a better teaching and learning experiencefor you and your students. It will provide: An Understandable Introduction to Digital Control: This text is devoted to supporting students equally in their need to grasp both traditional and more modern topics of digital control. Real-world Perspective: Comprehensive Case Studies and extensive integrated MATLAB/SIMULINK examples illustrate real-world problems and applications. Focus on Design: The authors focus on design as a theme early on and throughout the entire book, rather than focusing on analysis first and design much later.","author":[{"dropping-particle":"","family":"Franklin","given":"Gene F","non-dropping-particle":"","parse-names":false,"suffix":""},{"dropping-particle":"Da","family":"Powell","given":"J","non-dropping-particle":"","parse-names":false,"suffix":""},{"dropping-particle":"","family":"Emami-Naeini","given":"Abbas","non-dropping-particle":"","parse-names":false,"suffix":""}],"edition":"7th","id":"ITEM-1","issued":{"date-parts":[["2014"]]},"publisher":"Prentice Hall Press","publisher-place":"Upper Saddle River, NJ","title":"Feedback control of dynamic systems","type":"book"},"uris":["http://www.mendeley.com/documents/?uuid=265dd9b5-3701-4d3f-8783-fbb670d748ff"]}],"mendeley":{"formattedCitation":"(Franklin, Powell, &amp; Emami-Naeini, 2014)","manualFormatting":"Franklin, Powell, &amp; Emami-Naeini, 2014)","plainTextFormattedCitation":"(Franklin, Powell, &amp; Emami-Naeini, 2014)","previouslyFormattedCitation":"(Franklin, Powell, &amp; Emami-Naeini, 2014)"},"properties":{"noteIndex":0},"schema":"https://github.com/citation-style-language/schema/raw/master/csl-citation.json"}</w:instrText>
      </w:r>
      <w:r w:rsidRPr="00612195">
        <w:fldChar w:fldCharType="separate"/>
      </w:r>
      <w:r w:rsidRPr="00727A15">
        <w:rPr>
          <w:noProof/>
        </w:rPr>
        <w:t>Franklin, Powell, &amp; Emami-Naeini, 2014)</w:t>
      </w:r>
      <w:r w:rsidRPr="00612195">
        <w:fldChar w:fldCharType="end"/>
      </w:r>
      <w:r w:rsidRPr="00612195">
        <w:t xml:space="preserve">. </w:t>
      </w:r>
      <w:r w:rsidR="00C87EBB">
        <w:t xml:space="preserve">Trials occurring after the </w:t>
      </w:r>
      <w:r w:rsidR="00941DCE">
        <w:t>settling</w:t>
      </w:r>
      <w:r w:rsidR="00C87EBB">
        <w:t xml:space="preserve"> time were excluded from further analyses.</w:t>
      </w:r>
    </w:p>
    <w:p w14:paraId="705A9B88" w14:textId="3238A8AA" w:rsidR="00765108" w:rsidRDefault="00765108" w:rsidP="00765108">
      <w:pPr>
        <w:ind w:firstLine="0"/>
        <w:jc w:val="center"/>
      </w:pPr>
      <w:r>
        <w:rPr>
          <w:noProof/>
        </w:rPr>
        <w:drawing>
          <wp:inline distT="0" distB="0" distL="0" distR="0" wp14:anchorId="426775DA" wp14:editId="0F2C26B4">
            <wp:extent cx="5739133" cy="441960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455" cy="4442180"/>
                    </a:xfrm>
                    <a:prstGeom prst="rect">
                      <a:avLst/>
                    </a:prstGeom>
                  </pic:spPr>
                </pic:pic>
              </a:graphicData>
            </a:graphic>
          </wp:inline>
        </w:drawing>
      </w:r>
    </w:p>
    <w:p w14:paraId="2CA158C6" w14:textId="5A3DE2CE" w:rsidR="00036CBD" w:rsidRPr="00DB5373" w:rsidRDefault="00F773A1" w:rsidP="00F773A1">
      <w:pPr>
        <w:ind w:firstLine="0"/>
        <w:rPr>
          <w:i/>
          <w:iCs/>
        </w:rPr>
      </w:pPr>
      <w:r w:rsidRPr="00DB5373">
        <w:rPr>
          <w:b/>
          <w:bCs/>
          <w:i/>
          <w:iCs/>
        </w:rPr>
        <w:lastRenderedPageBreak/>
        <w:t>Figure 2.</w:t>
      </w:r>
      <w:r w:rsidRPr="00DB5373">
        <w:rPr>
          <w:i/>
          <w:iCs/>
        </w:rPr>
        <w:t xml:space="preserve"> A hypothetical fitted function, with estimates for α, β, and δ. Individual infant looking time data were fitted to this function to determine when each infant habituated to the action demonstration.</w:t>
      </w:r>
    </w:p>
    <w:p w14:paraId="33A016E4" w14:textId="3D7497EE" w:rsidR="00E35104" w:rsidRPr="00612195" w:rsidRDefault="00EE238C" w:rsidP="00EE238C">
      <w:pPr>
        <w:pStyle w:val="Heading3"/>
      </w:pPr>
      <w:r>
        <w:t xml:space="preserve">2.4 </w:t>
      </w:r>
      <w:r w:rsidR="00C909BC" w:rsidRPr="00612195">
        <w:t xml:space="preserve">Anticipatory </w:t>
      </w:r>
      <w:r w:rsidR="00E35104" w:rsidRPr="00612195">
        <w:t>Gaze</w:t>
      </w:r>
    </w:p>
    <w:p w14:paraId="594EC5AA" w14:textId="32074FAE" w:rsidR="004C41C1" w:rsidRDefault="00C909BC" w:rsidP="00B30085">
      <w:r w:rsidRPr="00727A15">
        <w:t xml:space="preserve">After filtering infant gaze data based on habituation thresholds, </w:t>
      </w:r>
      <w:r w:rsidR="00911336" w:rsidRPr="00727A15">
        <w:t xml:space="preserve">the two data streams from infant gaze and </w:t>
      </w:r>
      <w:r w:rsidR="006E5BA5">
        <w:t>experimenter</w:t>
      </w:r>
      <w:r w:rsidR="006E5BA5" w:rsidRPr="00727A15">
        <w:t xml:space="preserve"> </w:t>
      </w:r>
      <w:r w:rsidR="00911336" w:rsidRPr="00727A15">
        <w:t xml:space="preserve">reaching were aligned (Figure </w:t>
      </w:r>
      <w:r w:rsidR="00FF3EA3" w:rsidRPr="00727A15">
        <w:t>1</w:t>
      </w:r>
      <w:r w:rsidR="00911336" w:rsidRPr="00727A15">
        <w:t>).</w:t>
      </w:r>
      <w:r w:rsidR="00E35104" w:rsidRPr="00727A15">
        <w:t xml:space="preserve"> </w:t>
      </w:r>
      <w:r w:rsidR="003C6CD0" w:rsidRPr="00727A15">
        <w:t xml:space="preserve">Gaze </w:t>
      </w:r>
      <w:r w:rsidR="00823B13" w:rsidRPr="00727A15">
        <w:t>fixations</w:t>
      </w:r>
      <w:r w:rsidR="003C6CD0" w:rsidRPr="00727A15">
        <w:t xml:space="preserve"> were offset by 200ms </w:t>
      </w:r>
      <w:r w:rsidR="009B4B01" w:rsidRPr="00727A15">
        <w:t>to</w:t>
      </w:r>
      <w:r w:rsidR="003C6CD0" w:rsidRPr="00727A15">
        <w:t xml:space="preserve"> account for </w:t>
      </w:r>
      <w:r w:rsidR="009B4B01" w:rsidRPr="00727A15">
        <w:t>the processing time of the oculomotor system</w:t>
      </w:r>
      <w:r w:rsidR="001D16C5">
        <w:t xml:space="preserve"> </w:t>
      </w:r>
      <w:r w:rsidR="001D16C5">
        <w:fldChar w:fldCharType="begin" w:fldLock="1"/>
      </w:r>
      <w:r w:rsidR="00FC2A7A">
        <w:instrText>ADDIN CSL_CITATION {"citationItems":[{"id":"ITEM-1","itemData":{"DOI":"10.1080/87565640903325758","ISBN":"8756564090","ISSN":"8756-5641","PMID":"20390589","abstract":"The current review offers a unique introduction to the use of corneal reflection eye tracking in infancy research. We provide a detailed description of how to calibrate, collect, and analyze infants' gaze in a series of experimental paradigms, focusing specifically on the analysis of visual tracking, point of gaze, and the latency of gaze shifts (prediction and reactive gaze shifts). The article ends with a critical discussion about the pros and cons of corneal reflection eye tracking.","author":[{"dropping-particle":"","family":"Gredebäck","given":"Gustaf","non-dropping-particle":"","parse-names":false,"suffix":""},{"dropping-particle":"","family":"Johnson","given":"Scott","non-dropping-particle":"","parse-names":false,"suffix":""},{"dropping-particle":"","family":"Hofsten","given":"Claes","non-dropping-particle":"von","parse-names":false,"suffix":""}],"container-title":"Developmental neuropsychology","id":"ITEM-1","issue":"1","issued":{"date-parts":[["2010"]]},"page":"1-19","title":"Eye tracking in infancy research.","type":"article-journal","volume":"35"},"uris":["http://www.mendeley.com/documents/?uuid=e8b545cf-97d1-3a98-9807-4ef69e0fd8f4"]}],"mendeley":{"formattedCitation":"(Gredebäck, Johnson, &amp; von Hofsten, 2010)","plainTextFormattedCitation":"(Gredebäck, Johnson, &amp; von Hofsten, 2010)","previouslyFormattedCitation":"(Gredebäck, Johnson, &amp; von Hofsten, 2010)"},"properties":{"noteIndex":0},"schema":"https://github.com/citation-style-language/schema/raw/master/csl-citation.json"}</w:instrText>
      </w:r>
      <w:r w:rsidR="001D16C5">
        <w:fldChar w:fldCharType="separate"/>
      </w:r>
      <w:r w:rsidR="001D16C5" w:rsidRPr="001D16C5">
        <w:rPr>
          <w:noProof/>
        </w:rPr>
        <w:t>(Gredebäck, Johnson, &amp; von Hofsten, 2010)</w:t>
      </w:r>
      <w:r w:rsidR="001D16C5">
        <w:fldChar w:fldCharType="end"/>
      </w:r>
      <w:r w:rsidR="003C6CD0" w:rsidRPr="00727A15">
        <w:t xml:space="preserve">. </w:t>
      </w:r>
      <w:r w:rsidRPr="00727A15">
        <w:t>G</w:t>
      </w:r>
      <w:r w:rsidR="00E35104" w:rsidRPr="00727A15">
        <w:t xml:space="preserve">aze latencies on each trial were calculated </w:t>
      </w:r>
      <w:r w:rsidRPr="00727A15">
        <w:t>by taking the</w:t>
      </w:r>
      <w:r w:rsidR="00E35104" w:rsidRPr="00727A15">
        <w:t xml:space="preserve"> difference between the </w:t>
      </w:r>
      <w:r w:rsidRPr="00727A15">
        <w:t>onset of a fixation</w:t>
      </w:r>
      <w:r w:rsidR="00E35104" w:rsidRPr="00727A15">
        <w:t xml:space="preserve"> to an object and the moment the experimenter’s hand reached that object</w:t>
      </w:r>
      <w:r w:rsidR="00911336" w:rsidRPr="00727A15">
        <w:t xml:space="preserve">. </w:t>
      </w:r>
      <w:r w:rsidR="009437E7" w:rsidRPr="00612195">
        <w:t>As before, gaze latencies were averaged over a sliding window of three trials.</w:t>
      </w:r>
    </w:p>
    <w:p w14:paraId="59041079" w14:textId="1D8E7C41" w:rsidR="005A5463" w:rsidRPr="008020FD" w:rsidRDefault="00EE238C" w:rsidP="00EE238C">
      <w:pPr>
        <w:pStyle w:val="Heading3"/>
      </w:pPr>
      <w:r>
        <w:t xml:space="preserve">2.5 </w:t>
      </w:r>
      <w:r w:rsidR="005A5463" w:rsidRPr="008020FD">
        <w:t xml:space="preserve">Language </w:t>
      </w:r>
      <w:r w:rsidR="00B454D8" w:rsidRPr="008020FD">
        <w:t>Measures</w:t>
      </w:r>
    </w:p>
    <w:p w14:paraId="2F6AF056" w14:textId="647358B2" w:rsidR="00CA0738" w:rsidRPr="00FD6A3B" w:rsidRDefault="00B454D8" w:rsidP="00CA0738">
      <w:pPr>
        <w:rPr>
          <w:color w:val="333333"/>
          <w:shd w:val="clear" w:color="auto" w:fill="FFFFFF"/>
        </w:rPr>
      </w:pPr>
      <w:r w:rsidRPr="00612195">
        <w:rPr>
          <w:color w:val="333333"/>
          <w:shd w:val="clear" w:color="auto" w:fill="FFFFFF"/>
        </w:rPr>
        <w:t>The Preschool Language Scales (PLS-5), a standard test of</w:t>
      </w:r>
      <w:r w:rsidR="001A3D50">
        <w:rPr>
          <w:color w:val="333333"/>
          <w:shd w:val="clear" w:color="auto" w:fill="FFFFFF"/>
        </w:rPr>
        <w:t xml:space="preserve"> oral</w:t>
      </w:r>
      <w:r w:rsidRPr="00612195">
        <w:rPr>
          <w:color w:val="333333"/>
          <w:shd w:val="clear" w:color="auto" w:fill="FFFFFF"/>
        </w:rPr>
        <w:t xml:space="preserve"> receptive and expressive language, was administered to </w:t>
      </w:r>
      <w:r w:rsidR="00CC7104">
        <w:rPr>
          <w:color w:val="333333"/>
          <w:shd w:val="clear" w:color="auto" w:fill="FFFFFF"/>
        </w:rPr>
        <w:t xml:space="preserve">the </w:t>
      </w:r>
      <w:r w:rsidR="00CA0738" w:rsidRPr="00612195">
        <w:rPr>
          <w:color w:val="333333"/>
          <w:shd w:val="clear" w:color="auto" w:fill="FFFFFF"/>
        </w:rPr>
        <w:t xml:space="preserve">deaf </w:t>
      </w:r>
      <w:r w:rsidR="00C87EBB">
        <w:rPr>
          <w:color w:val="333333"/>
          <w:shd w:val="clear" w:color="auto" w:fill="FFFFFF"/>
        </w:rPr>
        <w:t>toddlers</w:t>
      </w:r>
      <w:r w:rsidRPr="00612195">
        <w:rPr>
          <w:color w:val="333333"/>
          <w:shd w:val="clear" w:color="auto" w:fill="FFFFFF"/>
        </w:rPr>
        <w:t xml:space="preserve"> </w:t>
      </w:r>
      <w:r w:rsidR="00AC6DAB" w:rsidRPr="00612195">
        <w:rPr>
          <w:color w:val="333333"/>
          <w:shd w:val="clear" w:color="auto" w:fill="FFFFFF"/>
        </w:rPr>
        <w:t>by a speech-language pathologist</w:t>
      </w:r>
      <w:r w:rsidRPr="00612195">
        <w:rPr>
          <w:color w:val="333333"/>
          <w:shd w:val="clear" w:color="auto" w:fill="FFFFFF"/>
        </w:rPr>
        <w:t xml:space="preserve"> as part of their routine clinical care. </w:t>
      </w:r>
      <w:r w:rsidR="001A3D50">
        <w:rPr>
          <w:color w:val="333333"/>
          <w:shd w:val="clear" w:color="auto" w:fill="FFFFFF"/>
        </w:rPr>
        <w:t xml:space="preserve">The PLS-5 </w:t>
      </w:r>
      <w:r w:rsidR="00F13993">
        <w:rPr>
          <w:color w:val="333333"/>
          <w:shd w:val="clear" w:color="auto" w:fill="FFFFFF"/>
        </w:rPr>
        <w:t>is</w:t>
      </w:r>
      <w:r w:rsidR="001A3D50">
        <w:rPr>
          <w:color w:val="333333"/>
          <w:shd w:val="clear" w:color="auto" w:fill="FFFFFF"/>
        </w:rPr>
        <w:t xml:space="preserve"> not administered to</w:t>
      </w:r>
      <w:r w:rsidR="00C87EBB">
        <w:rPr>
          <w:color w:val="333333"/>
          <w:shd w:val="clear" w:color="auto" w:fill="FFFFFF"/>
        </w:rPr>
        <w:t xml:space="preserve"> pre-CI</w:t>
      </w:r>
      <w:r w:rsidR="001A3D50">
        <w:rPr>
          <w:color w:val="333333"/>
          <w:shd w:val="clear" w:color="auto" w:fill="FFFFFF"/>
        </w:rPr>
        <w:t xml:space="preserve"> infants, because prior to gaining access to sound deaf infants have not yet experienced sufficient opportunity to develop any oral language</w:t>
      </w:r>
      <w:r w:rsidR="00612195" w:rsidRPr="00FD6A3B">
        <w:rPr>
          <w:color w:val="333333"/>
          <w:shd w:val="clear" w:color="auto" w:fill="FFFFFF"/>
        </w:rPr>
        <w:t>.</w:t>
      </w:r>
      <w:r w:rsidR="007F649C">
        <w:rPr>
          <w:color w:val="333333"/>
          <w:shd w:val="clear" w:color="auto" w:fill="FFFFFF"/>
        </w:rPr>
        <w:t xml:space="preserve"> PLS-5 standard (age-normed) scores for auditory comprehension, expressive communication, and total language were collected from the clinical visit corresponding to the time of the experimental session. </w:t>
      </w:r>
    </w:p>
    <w:p w14:paraId="788661AC" w14:textId="3DA5401B" w:rsidR="00A542D9" w:rsidRPr="00FD6A3B" w:rsidRDefault="00EE238C" w:rsidP="00EE238C">
      <w:pPr>
        <w:pStyle w:val="Heading2"/>
      </w:pPr>
      <w:r>
        <w:t xml:space="preserve">3.0 </w:t>
      </w:r>
      <w:r w:rsidR="00A542D9" w:rsidRPr="00FD6A3B">
        <w:t>Results</w:t>
      </w:r>
    </w:p>
    <w:p w14:paraId="565E09AE" w14:textId="691DA3DB" w:rsidR="00A542D9" w:rsidRPr="00FD6A3B" w:rsidRDefault="00EE238C" w:rsidP="00EE238C">
      <w:pPr>
        <w:pStyle w:val="Heading3"/>
      </w:pPr>
      <w:r>
        <w:t xml:space="preserve">3.1 </w:t>
      </w:r>
      <w:r w:rsidR="00A542D9" w:rsidRPr="00FD6A3B">
        <w:t>Infants</w:t>
      </w:r>
    </w:p>
    <w:p w14:paraId="13DBF7BE" w14:textId="18A93EA5" w:rsidR="00711045" w:rsidRDefault="00FD6A3B" w:rsidP="005431F6">
      <w:r w:rsidRPr="008020FD">
        <w:rPr>
          <w:color w:val="333333"/>
          <w:shd w:val="clear" w:color="auto" w:fill="FFFFFF"/>
        </w:rPr>
        <w:t>Gaze latencies were analyzed with linear mixed</w:t>
      </w:r>
      <w:r w:rsidR="0072330D">
        <w:rPr>
          <w:color w:val="333333"/>
          <w:shd w:val="clear" w:color="auto" w:fill="FFFFFF"/>
        </w:rPr>
        <w:t>-effects</w:t>
      </w:r>
      <w:r w:rsidRPr="008020FD">
        <w:rPr>
          <w:color w:val="333333"/>
          <w:shd w:val="clear" w:color="auto" w:fill="FFFFFF"/>
        </w:rPr>
        <w:t xml:space="preserve"> models using the R package </w:t>
      </w:r>
      <w:r w:rsidRPr="008020FD">
        <w:rPr>
          <w:i/>
          <w:iCs/>
          <w:color w:val="333333"/>
          <w:shd w:val="clear" w:color="auto" w:fill="FFFFFF"/>
        </w:rPr>
        <w:t>lme4</w:t>
      </w:r>
      <w:r w:rsidRPr="008020FD">
        <w:rPr>
          <w:color w:val="333333"/>
          <w:shd w:val="clear" w:color="auto" w:fill="FFFFFF"/>
        </w:rPr>
        <w:t xml:space="preserve"> (Bates et al., 2015), separately for infants </w:t>
      </w:r>
      <w:r w:rsidRPr="000553DA">
        <w:rPr>
          <w:color w:val="333333"/>
          <w:shd w:val="clear" w:color="auto" w:fill="FFFFFF"/>
        </w:rPr>
        <w:t xml:space="preserve">and toddlers. </w:t>
      </w:r>
      <w:r w:rsidR="00727A15" w:rsidRPr="000553DA">
        <w:rPr>
          <w:color w:val="333333"/>
          <w:shd w:val="clear" w:color="auto" w:fill="FFFFFF"/>
        </w:rPr>
        <w:t>Each</w:t>
      </w:r>
      <w:r w:rsidRPr="000553DA">
        <w:rPr>
          <w:color w:val="333333"/>
          <w:shd w:val="clear" w:color="auto" w:fill="FFFFFF"/>
        </w:rPr>
        <w:t xml:space="preserve"> model included fixed effects of trial (1-30), group (1 = deaf, 2 = hearing), an interaction term of trial*group, and a random intercept </w:t>
      </w:r>
      <w:r w:rsidRPr="000553DA">
        <w:rPr>
          <w:color w:val="333333"/>
          <w:shd w:val="clear" w:color="auto" w:fill="FFFFFF"/>
        </w:rPr>
        <w:lastRenderedPageBreak/>
        <w:t xml:space="preserve">for participant. </w:t>
      </w:r>
      <w:r w:rsidR="00727A15" w:rsidRPr="000553DA">
        <w:rPr>
          <w:color w:val="000000"/>
          <w:shd w:val="clear" w:color="auto" w:fill="FFFFFF"/>
        </w:rPr>
        <w:t>The full model, fitted with the complete structure, was translated to </w:t>
      </w:r>
      <w:proofErr w:type="spellStart"/>
      <w:proofErr w:type="gramStart"/>
      <w:r w:rsidR="008B18C4">
        <w:rPr>
          <w:rStyle w:val="Emphasis"/>
          <w:color w:val="000000"/>
          <w:shd w:val="clear" w:color="auto" w:fill="FFFFFF"/>
        </w:rPr>
        <w:t>lmer</w:t>
      </w:r>
      <w:proofErr w:type="spellEnd"/>
      <w:r w:rsidR="008B18C4">
        <w:rPr>
          <w:rStyle w:val="Emphasis"/>
          <w:color w:val="000000"/>
          <w:shd w:val="clear" w:color="auto" w:fill="FFFFFF"/>
        </w:rPr>
        <w:t>(</w:t>
      </w:r>
      <w:proofErr w:type="gramEnd"/>
      <w:r w:rsidR="008B18C4">
        <w:rPr>
          <w:rStyle w:val="Emphasis"/>
          <w:color w:val="000000"/>
          <w:shd w:val="clear" w:color="auto" w:fill="FFFFFF"/>
        </w:rPr>
        <w:t>l</w:t>
      </w:r>
      <w:r w:rsidR="00727A15" w:rsidRPr="000553DA">
        <w:rPr>
          <w:rStyle w:val="Emphasis"/>
          <w:color w:val="000000"/>
          <w:shd w:val="clear" w:color="auto" w:fill="FFFFFF"/>
        </w:rPr>
        <w:t>atency ~ group + trial + trial*group + (1|subject), data=</w:t>
      </w:r>
      <w:r w:rsidR="00E82794">
        <w:rPr>
          <w:rStyle w:val="Emphasis"/>
          <w:color w:val="000000"/>
          <w:shd w:val="clear" w:color="auto" w:fill="FFFFFF"/>
        </w:rPr>
        <w:t>data</w:t>
      </w:r>
      <w:r w:rsidR="00727A15" w:rsidRPr="000553DA">
        <w:rPr>
          <w:rStyle w:val="Emphasis"/>
          <w:color w:val="000000"/>
          <w:shd w:val="clear" w:color="auto" w:fill="FFFFFF"/>
        </w:rPr>
        <w:t>).</w:t>
      </w:r>
      <w:r w:rsidR="00727A15" w:rsidRPr="000553DA">
        <w:rPr>
          <w:color w:val="000000"/>
          <w:shd w:val="clear" w:color="auto" w:fill="FFFFFF"/>
        </w:rPr>
        <w:t xml:space="preserve"> </w:t>
      </w:r>
      <w:r w:rsidR="00A542D9" w:rsidRPr="000553DA">
        <w:t>Results</w:t>
      </w:r>
      <w:r w:rsidR="00A542D9" w:rsidRPr="00FD6A3B">
        <w:t xml:space="preserve"> from </w:t>
      </w:r>
      <w:r w:rsidR="007B538B">
        <w:t xml:space="preserve">the </w:t>
      </w:r>
      <w:proofErr w:type="gramStart"/>
      <w:r w:rsidR="007B538B" w:rsidRPr="007B538B">
        <w:rPr>
          <w:i/>
        </w:rPr>
        <w:t>summary(</w:t>
      </w:r>
      <w:proofErr w:type="gramEnd"/>
      <w:r w:rsidR="007B538B" w:rsidRPr="007B538B">
        <w:rPr>
          <w:i/>
        </w:rPr>
        <w:t>)</w:t>
      </w:r>
      <w:r w:rsidR="007B538B">
        <w:t xml:space="preserve"> function for </w:t>
      </w:r>
      <w:r w:rsidR="00727A15">
        <w:t xml:space="preserve">both </w:t>
      </w:r>
      <w:r w:rsidR="00A542D9" w:rsidRPr="00FD6A3B">
        <w:t>model</w:t>
      </w:r>
      <w:r w:rsidR="00727A15">
        <w:t>s</w:t>
      </w:r>
      <w:r w:rsidR="00A542D9" w:rsidRPr="00FD6A3B">
        <w:t xml:space="preserve"> are reported in Table 2</w:t>
      </w:r>
      <w:r w:rsidR="00C36169">
        <w:t xml:space="preserve">. </w:t>
      </w:r>
    </w:p>
    <w:tbl>
      <w:tblPr>
        <w:tblW w:w="0" w:type="auto"/>
        <w:tblLook w:val="04A0" w:firstRow="1" w:lastRow="0" w:firstColumn="1" w:lastColumn="0" w:noHBand="0" w:noVBand="1"/>
      </w:tblPr>
      <w:tblGrid>
        <w:gridCol w:w="319"/>
        <w:gridCol w:w="2114"/>
        <w:gridCol w:w="1518"/>
        <w:gridCol w:w="1432"/>
        <w:gridCol w:w="1145"/>
        <w:gridCol w:w="996"/>
      </w:tblGrid>
      <w:tr w:rsidR="008A3DDB" w:rsidRPr="005431F6" w14:paraId="4D519D3A" w14:textId="77777777" w:rsidTr="00282AEF">
        <w:trPr>
          <w:trHeight w:val="255"/>
        </w:trPr>
        <w:tc>
          <w:tcPr>
            <w:tcW w:w="0" w:type="auto"/>
            <w:gridSpan w:val="5"/>
            <w:tcBorders>
              <w:top w:val="nil"/>
              <w:left w:val="nil"/>
              <w:bottom w:val="single" w:sz="4" w:space="0" w:color="auto"/>
              <w:right w:val="nil"/>
            </w:tcBorders>
            <w:shd w:val="clear" w:color="auto" w:fill="auto"/>
            <w:noWrap/>
            <w:vAlign w:val="center"/>
            <w:hideMark/>
          </w:tcPr>
          <w:p w14:paraId="54FD4259" w14:textId="77777777" w:rsidR="008A3DDB" w:rsidRPr="005431F6" w:rsidRDefault="008A3DDB" w:rsidP="00282AEF">
            <w:pPr>
              <w:spacing w:line="240" w:lineRule="auto"/>
              <w:ind w:firstLine="0"/>
              <w:rPr>
                <w:rFonts w:eastAsia="Times New Roman"/>
                <w:b/>
                <w:bCs/>
                <w:color w:val="000000"/>
              </w:rPr>
            </w:pPr>
            <w:r w:rsidRPr="005431F6">
              <w:rPr>
                <w:rFonts w:eastAsia="Times New Roman"/>
                <w:b/>
                <w:bCs/>
                <w:color w:val="000000"/>
              </w:rPr>
              <w:t>Table 2. Linear mixed-effects model predicting gaze latencies.</w:t>
            </w:r>
          </w:p>
        </w:tc>
        <w:tc>
          <w:tcPr>
            <w:tcW w:w="0" w:type="auto"/>
            <w:tcBorders>
              <w:top w:val="nil"/>
              <w:left w:val="nil"/>
              <w:bottom w:val="single" w:sz="4" w:space="0" w:color="auto"/>
              <w:right w:val="nil"/>
            </w:tcBorders>
          </w:tcPr>
          <w:p w14:paraId="12E74513" w14:textId="77777777" w:rsidR="008A3DDB" w:rsidRPr="005431F6" w:rsidRDefault="008A3DDB" w:rsidP="00282AEF">
            <w:pPr>
              <w:spacing w:line="240" w:lineRule="auto"/>
              <w:ind w:firstLine="0"/>
              <w:rPr>
                <w:rFonts w:eastAsia="Times New Roman"/>
                <w:color w:val="000000"/>
              </w:rPr>
            </w:pPr>
          </w:p>
        </w:tc>
      </w:tr>
      <w:tr w:rsidR="008A3DDB" w:rsidRPr="005431F6" w14:paraId="21E5B669" w14:textId="77777777" w:rsidTr="00282AEF">
        <w:trPr>
          <w:trHeight w:val="255"/>
        </w:trPr>
        <w:tc>
          <w:tcPr>
            <w:tcW w:w="0" w:type="auto"/>
            <w:gridSpan w:val="2"/>
            <w:tcBorders>
              <w:top w:val="single" w:sz="4" w:space="0" w:color="auto"/>
              <w:left w:val="nil"/>
              <w:bottom w:val="single" w:sz="4" w:space="0" w:color="auto"/>
              <w:right w:val="nil"/>
            </w:tcBorders>
            <w:shd w:val="clear" w:color="auto" w:fill="auto"/>
            <w:noWrap/>
            <w:vAlign w:val="center"/>
            <w:hideMark/>
          </w:tcPr>
          <w:p w14:paraId="4F09A42B" w14:textId="77777777" w:rsidR="008A3DDB" w:rsidRPr="005431F6" w:rsidRDefault="008A3DDB" w:rsidP="00282AEF">
            <w:pPr>
              <w:spacing w:line="240" w:lineRule="auto"/>
              <w:ind w:firstLine="0"/>
              <w:rPr>
                <w:rFonts w:eastAsia="Times New Roman"/>
                <w:color w:val="000000"/>
              </w:rPr>
            </w:pPr>
            <w:r w:rsidRPr="005431F6">
              <w:rPr>
                <w:rFonts w:eastAsia="Times New Roman"/>
                <w:color w:val="000000"/>
              </w:rPr>
              <w:t>Fixed effects</w:t>
            </w:r>
          </w:p>
        </w:tc>
        <w:tc>
          <w:tcPr>
            <w:tcW w:w="0" w:type="auto"/>
            <w:tcBorders>
              <w:top w:val="single" w:sz="4" w:space="0" w:color="auto"/>
              <w:left w:val="nil"/>
              <w:bottom w:val="single" w:sz="4" w:space="0" w:color="auto"/>
              <w:right w:val="nil"/>
            </w:tcBorders>
            <w:shd w:val="clear" w:color="auto" w:fill="auto"/>
            <w:vAlign w:val="center"/>
            <w:hideMark/>
          </w:tcPr>
          <w:p w14:paraId="3FEBE741" w14:textId="77777777" w:rsidR="008A3DDB" w:rsidRPr="005431F6" w:rsidRDefault="008A3DDB" w:rsidP="00282AEF">
            <w:pPr>
              <w:spacing w:line="240" w:lineRule="auto"/>
              <w:ind w:firstLine="0"/>
              <w:rPr>
                <w:rFonts w:eastAsia="Times New Roman"/>
                <w:color w:val="333333"/>
              </w:rPr>
            </w:pPr>
            <w:r w:rsidRPr="005431F6">
              <w:rPr>
                <w:rFonts w:eastAsia="Times New Roman"/>
                <w:color w:val="333333"/>
              </w:rPr>
              <w:t>Estimate</w:t>
            </w:r>
          </w:p>
        </w:tc>
        <w:tc>
          <w:tcPr>
            <w:tcW w:w="0" w:type="auto"/>
            <w:tcBorders>
              <w:top w:val="single" w:sz="4" w:space="0" w:color="auto"/>
              <w:left w:val="nil"/>
              <w:bottom w:val="single" w:sz="4" w:space="0" w:color="auto"/>
              <w:right w:val="nil"/>
            </w:tcBorders>
            <w:shd w:val="clear" w:color="auto" w:fill="auto"/>
            <w:vAlign w:val="center"/>
            <w:hideMark/>
          </w:tcPr>
          <w:p w14:paraId="58137617" w14:textId="77777777" w:rsidR="008A3DDB" w:rsidRPr="005431F6" w:rsidRDefault="008A3DDB" w:rsidP="00282AEF">
            <w:pPr>
              <w:spacing w:line="240" w:lineRule="auto"/>
              <w:ind w:firstLine="0"/>
              <w:rPr>
                <w:rFonts w:eastAsia="Times New Roman"/>
                <w:color w:val="333333"/>
              </w:rPr>
            </w:pPr>
            <w:r w:rsidRPr="005431F6">
              <w:rPr>
                <w:rFonts w:eastAsia="Times New Roman"/>
                <w:color w:val="333333"/>
              </w:rPr>
              <w:t>SE</w:t>
            </w:r>
          </w:p>
        </w:tc>
        <w:tc>
          <w:tcPr>
            <w:tcW w:w="0" w:type="auto"/>
            <w:tcBorders>
              <w:top w:val="single" w:sz="4" w:space="0" w:color="auto"/>
              <w:left w:val="nil"/>
              <w:bottom w:val="single" w:sz="4" w:space="0" w:color="auto"/>
              <w:right w:val="nil"/>
            </w:tcBorders>
            <w:shd w:val="clear" w:color="auto" w:fill="auto"/>
            <w:vAlign w:val="center"/>
            <w:hideMark/>
          </w:tcPr>
          <w:p w14:paraId="7DA62326" w14:textId="77777777" w:rsidR="008A3DDB" w:rsidRPr="005431F6" w:rsidRDefault="008A3DDB" w:rsidP="00282AEF">
            <w:pPr>
              <w:spacing w:line="240" w:lineRule="auto"/>
              <w:ind w:firstLine="0"/>
              <w:rPr>
                <w:rFonts w:eastAsia="Times New Roman"/>
                <w:i/>
                <w:iCs/>
                <w:color w:val="333333"/>
              </w:rPr>
            </w:pPr>
            <w:r w:rsidRPr="005431F6">
              <w:rPr>
                <w:rFonts w:eastAsia="Times New Roman"/>
                <w:i/>
                <w:iCs/>
                <w:color w:val="333333"/>
              </w:rPr>
              <w:t>t</w:t>
            </w:r>
          </w:p>
        </w:tc>
        <w:tc>
          <w:tcPr>
            <w:tcW w:w="0" w:type="auto"/>
            <w:tcBorders>
              <w:top w:val="single" w:sz="4" w:space="0" w:color="auto"/>
              <w:left w:val="nil"/>
              <w:bottom w:val="single" w:sz="4" w:space="0" w:color="auto"/>
              <w:right w:val="nil"/>
            </w:tcBorders>
          </w:tcPr>
          <w:p w14:paraId="699F5DFE" w14:textId="77777777" w:rsidR="008A3DDB" w:rsidRPr="005431F6" w:rsidRDefault="008A3DDB" w:rsidP="00282AEF">
            <w:pPr>
              <w:spacing w:line="240" w:lineRule="auto"/>
              <w:ind w:firstLine="0"/>
              <w:rPr>
                <w:rFonts w:eastAsia="Times New Roman"/>
                <w:i/>
                <w:iCs/>
                <w:color w:val="333333"/>
              </w:rPr>
            </w:pPr>
            <w:r w:rsidRPr="005431F6">
              <w:rPr>
                <w:rFonts w:eastAsia="Times New Roman"/>
                <w:i/>
                <w:iCs/>
                <w:color w:val="333333"/>
              </w:rPr>
              <w:t>p</w:t>
            </w:r>
          </w:p>
        </w:tc>
      </w:tr>
      <w:tr w:rsidR="008A3DDB" w:rsidRPr="005431F6" w14:paraId="6E6B285E" w14:textId="77777777" w:rsidTr="00282AEF">
        <w:trPr>
          <w:trHeight w:val="255"/>
        </w:trPr>
        <w:tc>
          <w:tcPr>
            <w:tcW w:w="0" w:type="auto"/>
            <w:gridSpan w:val="2"/>
            <w:tcBorders>
              <w:top w:val="single" w:sz="4" w:space="0" w:color="auto"/>
              <w:left w:val="nil"/>
              <w:bottom w:val="nil"/>
              <w:right w:val="nil"/>
            </w:tcBorders>
            <w:shd w:val="clear" w:color="auto" w:fill="auto"/>
            <w:noWrap/>
            <w:vAlign w:val="center"/>
            <w:hideMark/>
          </w:tcPr>
          <w:p w14:paraId="0493AB85" w14:textId="77777777" w:rsidR="008A3DDB" w:rsidRPr="005431F6" w:rsidRDefault="008A3DDB" w:rsidP="00282AEF">
            <w:pPr>
              <w:spacing w:line="240" w:lineRule="auto"/>
              <w:ind w:firstLine="0"/>
              <w:rPr>
                <w:rFonts w:eastAsia="Times New Roman"/>
                <w:i/>
                <w:iCs/>
                <w:color w:val="000000"/>
              </w:rPr>
            </w:pPr>
            <w:r w:rsidRPr="005431F6">
              <w:rPr>
                <w:rFonts w:eastAsia="Times New Roman"/>
                <w:i/>
                <w:iCs/>
                <w:color w:val="000000"/>
              </w:rPr>
              <w:t>Infants</w:t>
            </w:r>
          </w:p>
        </w:tc>
        <w:tc>
          <w:tcPr>
            <w:tcW w:w="0" w:type="auto"/>
            <w:tcBorders>
              <w:top w:val="single" w:sz="4" w:space="0" w:color="auto"/>
              <w:left w:val="nil"/>
              <w:bottom w:val="nil"/>
              <w:right w:val="nil"/>
            </w:tcBorders>
            <w:shd w:val="clear" w:color="auto" w:fill="auto"/>
            <w:noWrap/>
            <w:vAlign w:val="center"/>
            <w:hideMark/>
          </w:tcPr>
          <w:p w14:paraId="3027CAD5" w14:textId="77777777" w:rsidR="008A3DDB" w:rsidRPr="005431F6" w:rsidRDefault="008A3DDB" w:rsidP="00282AEF">
            <w:pPr>
              <w:spacing w:line="240" w:lineRule="auto"/>
              <w:ind w:firstLine="0"/>
              <w:rPr>
                <w:rFonts w:eastAsia="Times New Roman"/>
                <w:color w:val="000000"/>
              </w:rPr>
            </w:pPr>
          </w:p>
        </w:tc>
        <w:tc>
          <w:tcPr>
            <w:tcW w:w="0" w:type="auto"/>
            <w:tcBorders>
              <w:top w:val="single" w:sz="4" w:space="0" w:color="auto"/>
              <w:left w:val="nil"/>
              <w:bottom w:val="nil"/>
              <w:right w:val="nil"/>
            </w:tcBorders>
            <w:shd w:val="clear" w:color="auto" w:fill="auto"/>
            <w:noWrap/>
            <w:vAlign w:val="center"/>
            <w:hideMark/>
          </w:tcPr>
          <w:p w14:paraId="019D2C18" w14:textId="77777777" w:rsidR="008A3DDB" w:rsidRPr="005431F6" w:rsidRDefault="008A3DDB" w:rsidP="00282AEF">
            <w:pPr>
              <w:spacing w:line="240" w:lineRule="auto"/>
              <w:ind w:firstLine="0"/>
              <w:rPr>
                <w:rFonts w:eastAsia="Times New Roman"/>
              </w:rPr>
            </w:pPr>
          </w:p>
        </w:tc>
        <w:tc>
          <w:tcPr>
            <w:tcW w:w="0" w:type="auto"/>
            <w:tcBorders>
              <w:top w:val="single" w:sz="4" w:space="0" w:color="auto"/>
              <w:left w:val="nil"/>
              <w:bottom w:val="nil"/>
              <w:right w:val="nil"/>
            </w:tcBorders>
            <w:shd w:val="clear" w:color="auto" w:fill="auto"/>
            <w:noWrap/>
            <w:vAlign w:val="center"/>
            <w:hideMark/>
          </w:tcPr>
          <w:p w14:paraId="05B1389D" w14:textId="77777777" w:rsidR="008A3DDB" w:rsidRPr="005431F6" w:rsidRDefault="008A3DDB" w:rsidP="00282AEF">
            <w:pPr>
              <w:spacing w:line="240" w:lineRule="auto"/>
              <w:ind w:firstLine="0"/>
              <w:rPr>
                <w:rFonts w:eastAsia="Times New Roman"/>
              </w:rPr>
            </w:pPr>
          </w:p>
        </w:tc>
        <w:tc>
          <w:tcPr>
            <w:tcW w:w="0" w:type="auto"/>
            <w:tcBorders>
              <w:top w:val="single" w:sz="4" w:space="0" w:color="auto"/>
              <w:left w:val="nil"/>
              <w:bottom w:val="nil"/>
              <w:right w:val="nil"/>
            </w:tcBorders>
          </w:tcPr>
          <w:p w14:paraId="7AD592BC" w14:textId="77777777" w:rsidR="008A3DDB" w:rsidRPr="005431F6" w:rsidRDefault="008A3DDB" w:rsidP="00282AEF">
            <w:pPr>
              <w:spacing w:line="240" w:lineRule="auto"/>
              <w:ind w:firstLine="0"/>
              <w:rPr>
                <w:rFonts w:eastAsia="Times New Roman"/>
              </w:rPr>
            </w:pPr>
          </w:p>
        </w:tc>
      </w:tr>
      <w:tr w:rsidR="00F069F9" w:rsidRPr="005431F6" w14:paraId="06C2D635" w14:textId="77777777" w:rsidTr="00282AEF">
        <w:trPr>
          <w:trHeight w:val="255"/>
        </w:trPr>
        <w:tc>
          <w:tcPr>
            <w:tcW w:w="0" w:type="auto"/>
            <w:tcBorders>
              <w:top w:val="nil"/>
              <w:left w:val="nil"/>
              <w:bottom w:val="nil"/>
              <w:right w:val="nil"/>
            </w:tcBorders>
            <w:shd w:val="clear" w:color="auto" w:fill="auto"/>
            <w:noWrap/>
            <w:vAlign w:val="center"/>
            <w:hideMark/>
          </w:tcPr>
          <w:p w14:paraId="1FF898A9" w14:textId="77777777" w:rsidR="008A3DDB" w:rsidRPr="005431F6" w:rsidRDefault="008A3DDB" w:rsidP="00282AEF">
            <w:pPr>
              <w:spacing w:line="240" w:lineRule="auto"/>
              <w:ind w:firstLine="0"/>
              <w:rPr>
                <w:rFonts w:eastAsia="Times New Roman"/>
              </w:rPr>
            </w:pPr>
          </w:p>
        </w:tc>
        <w:tc>
          <w:tcPr>
            <w:tcW w:w="0" w:type="auto"/>
            <w:tcBorders>
              <w:top w:val="nil"/>
              <w:left w:val="nil"/>
              <w:bottom w:val="nil"/>
              <w:right w:val="nil"/>
            </w:tcBorders>
            <w:shd w:val="clear" w:color="auto" w:fill="auto"/>
            <w:vAlign w:val="center"/>
            <w:hideMark/>
          </w:tcPr>
          <w:p w14:paraId="1F053E46" w14:textId="77777777" w:rsidR="008A3DDB" w:rsidRPr="005431F6" w:rsidRDefault="008A3DDB" w:rsidP="00282AEF">
            <w:pPr>
              <w:spacing w:line="240" w:lineRule="auto"/>
              <w:ind w:firstLine="0"/>
              <w:rPr>
                <w:rFonts w:eastAsia="Times New Roman"/>
                <w:color w:val="333333"/>
              </w:rPr>
            </w:pPr>
            <w:r w:rsidRPr="005431F6">
              <w:rPr>
                <w:rFonts w:eastAsia="Times New Roman"/>
                <w:color w:val="000000"/>
              </w:rPr>
              <w:t>Trial</w:t>
            </w:r>
          </w:p>
        </w:tc>
        <w:tc>
          <w:tcPr>
            <w:tcW w:w="0" w:type="auto"/>
            <w:tcBorders>
              <w:top w:val="nil"/>
              <w:left w:val="nil"/>
              <w:bottom w:val="nil"/>
              <w:right w:val="nil"/>
            </w:tcBorders>
            <w:shd w:val="clear" w:color="auto" w:fill="auto"/>
            <w:vAlign w:val="center"/>
            <w:hideMark/>
          </w:tcPr>
          <w:p w14:paraId="2732C3B8" w14:textId="5C92EDEA" w:rsidR="008A3DDB" w:rsidRPr="005431F6" w:rsidRDefault="00FD3DCB" w:rsidP="00282AEF">
            <w:pPr>
              <w:spacing w:line="240" w:lineRule="auto"/>
              <w:ind w:firstLine="0"/>
              <w:rPr>
                <w:rFonts w:eastAsia="Times New Roman"/>
                <w:color w:val="333333"/>
              </w:rPr>
            </w:pPr>
            <w:r>
              <w:rPr>
                <w:rFonts w:eastAsia="Times New Roman"/>
                <w:color w:val="000000"/>
              </w:rPr>
              <w:t>1.07</w:t>
            </w:r>
          </w:p>
        </w:tc>
        <w:tc>
          <w:tcPr>
            <w:tcW w:w="0" w:type="auto"/>
            <w:tcBorders>
              <w:top w:val="nil"/>
              <w:left w:val="nil"/>
              <w:bottom w:val="nil"/>
              <w:right w:val="nil"/>
            </w:tcBorders>
            <w:shd w:val="clear" w:color="auto" w:fill="auto"/>
            <w:vAlign w:val="center"/>
            <w:hideMark/>
          </w:tcPr>
          <w:p w14:paraId="618B3DD6" w14:textId="25A9A7CA" w:rsidR="008A3DDB" w:rsidRPr="005431F6" w:rsidRDefault="00FD3DCB" w:rsidP="00282AEF">
            <w:pPr>
              <w:spacing w:line="240" w:lineRule="auto"/>
              <w:ind w:firstLine="0"/>
              <w:rPr>
                <w:rFonts w:eastAsia="Times New Roman"/>
                <w:color w:val="333333"/>
              </w:rPr>
            </w:pPr>
            <w:r>
              <w:rPr>
                <w:rFonts w:eastAsia="Times New Roman"/>
              </w:rPr>
              <w:t>4.68</w:t>
            </w:r>
          </w:p>
        </w:tc>
        <w:tc>
          <w:tcPr>
            <w:tcW w:w="0" w:type="auto"/>
            <w:tcBorders>
              <w:top w:val="nil"/>
              <w:left w:val="nil"/>
              <w:bottom w:val="nil"/>
              <w:right w:val="nil"/>
            </w:tcBorders>
            <w:shd w:val="clear" w:color="auto" w:fill="auto"/>
            <w:hideMark/>
          </w:tcPr>
          <w:p w14:paraId="35D02C56" w14:textId="55325979" w:rsidR="008A3DDB" w:rsidRPr="005431F6" w:rsidRDefault="00FD3DCB" w:rsidP="00282AEF">
            <w:pPr>
              <w:spacing w:line="240" w:lineRule="auto"/>
              <w:ind w:firstLine="0"/>
              <w:rPr>
                <w:rFonts w:eastAsia="Times New Roman"/>
                <w:color w:val="333333"/>
              </w:rPr>
            </w:pPr>
            <w:r>
              <w:rPr>
                <w:rFonts w:eastAsia="Times New Roman"/>
              </w:rPr>
              <w:t>0.23</w:t>
            </w:r>
          </w:p>
        </w:tc>
        <w:tc>
          <w:tcPr>
            <w:tcW w:w="0" w:type="auto"/>
            <w:tcBorders>
              <w:top w:val="nil"/>
              <w:left w:val="nil"/>
              <w:bottom w:val="nil"/>
              <w:right w:val="nil"/>
            </w:tcBorders>
            <w:vAlign w:val="center"/>
          </w:tcPr>
          <w:p w14:paraId="0E41A0CF" w14:textId="622F75D5" w:rsidR="008A3DDB" w:rsidRPr="005431F6" w:rsidRDefault="008A3DDB" w:rsidP="00282AEF">
            <w:pPr>
              <w:spacing w:line="240" w:lineRule="auto"/>
              <w:ind w:firstLine="0"/>
              <w:rPr>
                <w:rFonts w:eastAsia="Times New Roman"/>
                <w:color w:val="333333"/>
              </w:rPr>
            </w:pPr>
            <w:r w:rsidRPr="005431F6">
              <w:rPr>
                <w:rFonts w:eastAsia="Times New Roman"/>
              </w:rPr>
              <w:t>0.</w:t>
            </w:r>
            <w:r w:rsidR="00FD3DCB" w:rsidRPr="005431F6">
              <w:rPr>
                <w:rFonts w:eastAsia="Times New Roman"/>
              </w:rPr>
              <w:t>8</w:t>
            </w:r>
            <w:r w:rsidR="00FD3DCB">
              <w:rPr>
                <w:rFonts w:eastAsia="Times New Roman"/>
              </w:rPr>
              <w:t>2</w:t>
            </w:r>
          </w:p>
        </w:tc>
      </w:tr>
      <w:tr w:rsidR="00F069F9" w:rsidRPr="005431F6" w14:paraId="43D0DFEB" w14:textId="77777777" w:rsidTr="00282AEF">
        <w:trPr>
          <w:trHeight w:val="255"/>
        </w:trPr>
        <w:tc>
          <w:tcPr>
            <w:tcW w:w="0" w:type="auto"/>
            <w:tcBorders>
              <w:top w:val="nil"/>
              <w:left w:val="nil"/>
              <w:bottom w:val="nil"/>
              <w:right w:val="nil"/>
            </w:tcBorders>
            <w:shd w:val="clear" w:color="auto" w:fill="auto"/>
            <w:noWrap/>
            <w:vAlign w:val="center"/>
            <w:hideMark/>
          </w:tcPr>
          <w:p w14:paraId="7BA05AC9" w14:textId="77777777" w:rsidR="008A3DDB" w:rsidRPr="005431F6" w:rsidRDefault="008A3DDB" w:rsidP="00282AEF">
            <w:pPr>
              <w:spacing w:line="240" w:lineRule="auto"/>
              <w:ind w:firstLine="0"/>
              <w:rPr>
                <w:rFonts w:eastAsia="Times New Roman"/>
                <w:color w:val="333333"/>
              </w:rPr>
            </w:pPr>
          </w:p>
        </w:tc>
        <w:tc>
          <w:tcPr>
            <w:tcW w:w="0" w:type="auto"/>
            <w:tcBorders>
              <w:top w:val="nil"/>
              <w:left w:val="nil"/>
              <w:bottom w:val="nil"/>
              <w:right w:val="nil"/>
            </w:tcBorders>
            <w:shd w:val="clear" w:color="auto" w:fill="auto"/>
            <w:vAlign w:val="center"/>
            <w:hideMark/>
          </w:tcPr>
          <w:p w14:paraId="51C7BF50" w14:textId="77777777" w:rsidR="008A3DDB" w:rsidRPr="005431F6" w:rsidRDefault="008A3DDB" w:rsidP="00282AEF">
            <w:pPr>
              <w:spacing w:line="240" w:lineRule="auto"/>
              <w:ind w:firstLine="0"/>
              <w:rPr>
                <w:rFonts w:eastAsia="Times New Roman"/>
                <w:color w:val="333333"/>
              </w:rPr>
            </w:pPr>
            <w:r w:rsidRPr="005431F6">
              <w:rPr>
                <w:rFonts w:eastAsia="Times New Roman"/>
                <w:color w:val="333333"/>
              </w:rPr>
              <w:t>Group</w:t>
            </w:r>
          </w:p>
        </w:tc>
        <w:tc>
          <w:tcPr>
            <w:tcW w:w="0" w:type="auto"/>
            <w:tcBorders>
              <w:top w:val="nil"/>
              <w:left w:val="nil"/>
              <w:bottom w:val="nil"/>
              <w:right w:val="nil"/>
            </w:tcBorders>
            <w:shd w:val="clear" w:color="auto" w:fill="auto"/>
            <w:vAlign w:val="center"/>
            <w:hideMark/>
          </w:tcPr>
          <w:p w14:paraId="77034849" w14:textId="6ACD5D68" w:rsidR="008A3DDB" w:rsidRPr="005431F6" w:rsidRDefault="008A3DDB" w:rsidP="00282AEF">
            <w:pPr>
              <w:spacing w:line="240" w:lineRule="auto"/>
              <w:ind w:firstLine="0"/>
              <w:rPr>
                <w:rFonts w:eastAsia="Times New Roman"/>
                <w:color w:val="333333"/>
              </w:rPr>
            </w:pPr>
            <w:r w:rsidRPr="005431F6">
              <w:rPr>
                <w:rFonts w:eastAsia="Times New Roman"/>
                <w:color w:val="333333"/>
              </w:rPr>
              <w:t>-</w:t>
            </w:r>
            <w:r w:rsidR="00FD3DCB">
              <w:rPr>
                <w:rFonts w:eastAsia="Times New Roman"/>
                <w:color w:val="333333"/>
              </w:rPr>
              <w:t>220.88</w:t>
            </w:r>
          </w:p>
        </w:tc>
        <w:tc>
          <w:tcPr>
            <w:tcW w:w="0" w:type="auto"/>
            <w:tcBorders>
              <w:top w:val="nil"/>
              <w:left w:val="nil"/>
              <w:bottom w:val="nil"/>
              <w:right w:val="nil"/>
            </w:tcBorders>
            <w:shd w:val="clear" w:color="auto" w:fill="auto"/>
            <w:vAlign w:val="center"/>
            <w:hideMark/>
          </w:tcPr>
          <w:p w14:paraId="53F90BC2" w14:textId="17EFF3FC" w:rsidR="008A3DDB" w:rsidRPr="005431F6" w:rsidRDefault="00FD3DCB" w:rsidP="00282AEF">
            <w:pPr>
              <w:spacing w:line="240" w:lineRule="auto"/>
              <w:ind w:firstLine="0"/>
              <w:rPr>
                <w:rFonts w:eastAsia="Times New Roman"/>
                <w:color w:val="333333"/>
              </w:rPr>
            </w:pPr>
            <w:r>
              <w:rPr>
                <w:rFonts w:eastAsia="Times New Roman"/>
                <w:color w:val="333333"/>
              </w:rPr>
              <w:t>144.40</w:t>
            </w:r>
          </w:p>
        </w:tc>
        <w:tc>
          <w:tcPr>
            <w:tcW w:w="0" w:type="auto"/>
            <w:tcBorders>
              <w:top w:val="nil"/>
              <w:left w:val="nil"/>
              <w:bottom w:val="nil"/>
              <w:right w:val="nil"/>
            </w:tcBorders>
            <w:shd w:val="clear" w:color="auto" w:fill="auto"/>
            <w:hideMark/>
          </w:tcPr>
          <w:p w14:paraId="1444F968" w14:textId="7C66DD5F" w:rsidR="008A3DDB" w:rsidRPr="005431F6" w:rsidRDefault="008A3DDB" w:rsidP="00282AEF">
            <w:pPr>
              <w:spacing w:line="240" w:lineRule="auto"/>
              <w:ind w:firstLine="0"/>
              <w:rPr>
                <w:rFonts w:eastAsia="Times New Roman"/>
                <w:color w:val="333333"/>
              </w:rPr>
            </w:pPr>
            <w:r w:rsidRPr="005431F6">
              <w:rPr>
                <w:rFonts w:eastAsia="Times New Roman"/>
                <w:color w:val="333333"/>
              </w:rPr>
              <w:t>-1.</w:t>
            </w:r>
            <w:r w:rsidR="00FD3DCB">
              <w:rPr>
                <w:rFonts w:eastAsia="Times New Roman"/>
                <w:color w:val="333333"/>
              </w:rPr>
              <w:t>53</w:t>
            </w:r>
            <w:r w:rsidR="00FD3DCB" w:rsidRPr="005431F6">
              <w:rPr>
                <w:rFonts w:eastAsia="Times New Roman"/>
                <w:color w:val="333333"/>
              </w:rPr>
              <w:t>8</w:t>
            </w:r>
          </w:p>
        </w:tc>
        <w:tc>
          <w:tcPr>
            <w:tcW w:w="0" w:type="auto"/>
            <w:tcBorders>
              <w:top w:val="nil"/>
              <w:left w:val="nil"/>
              <w:bottom w:val="nil"/>
              <w:right w:val="nil"/>
            </w:tcBorders>
            <w:vAlign w:val="center"/>
          </w:tcPr>
          <w:p w14:paraId="3520BBC9" w14:textId="0D018AB2" w:rsidR="008A3DDB" w:rsidRPr="005431F6" w:rsidRDefault="008A3DDB" w:rsidP="00282AEF">
            <w:pPr>
              <w:spacing w:line="240" w:lineRule="auto"/>
              <w:ind w:firstLine="0"/>
              <w:rPr>
                <w:rFonts w:eastAsia="Times New Roman"/>
                <w:color w:val="333333"/>
              </w:rPr>
            </w:pPr>
            <w:r w:rsidRPr="005431F6">
              <w:rPr>
                <w:rFonts w:eastAsia="Times New Roman"/>
                <w:color w:val="333333"/>
              </w:rPr>
              <w:t>0.</w:t>
            </w:r>
            <w:r w:rsidR="00FD3DCB">
              <w:rPr>
                <w:rFonts w:eastAsia="Times New Roman"/>
                <w:color w:val="333333"/>
              </w:rPr>
              <w:t>14</w:t>
            </w:r>
          </w:p>
        </w:tc>
      </w:tr>
      <w:tr w:rsidR="00F069F9" w:rsidRPr="005431F6" w14:paraId="6C0186E6" w14:textId="77777777" w:rsidTr="00282AEF">
        <w:trPr>
          <w:trHeight w:val="255"/>
        </w:trPr>
        <w:tc>
          <w:tcPr>
            <w:tcW w:w="0" w:type="auto"/>
            <w:tcBorders>
              <w:top w:val="nil"/>
              <w:left w:val="nil"/>
              <w:bottom w:val="nil"/>
              <w:right w:val="nil"/>
            </w:tcBorders>
            <w:shd w:val="clear" w:color="auto" w:fill="auto"/>
            <w:noWrap/>
            <w:vAlign w:val="center"/>
            <w:hideMark/>
          </w:tcPr>
          <w:p w14:paraId="3F2B024D" w14:textId="77777777" w:rsidR="008A3DDB" w:rsidRPr="005431F6" w:rsidRDefault="008A3DDB" w:rsidP="00282AEF">
            <w:pPr>
              <w:spacing w:line="240" w:lineRule="auto"/>
              <w:ind w:firstLine="0"/>
              <w:rPr>
                <w:rFonts w:eastAsia="Times New Roman"/>
                <w:color w:val="333333"/>
              </w:rPr>
            </w:pPr>
          </w:p>
        </w:tc>
        <w:tc>
          <w:tcPr>
            <w:tcW w:w="0" w:type="auto"/>
            <w:tcBorders>
              <w:top w:val="nil"/>
              <w:left w:val="nil"/>
              <w:bottom w:val="nil"/>
              <w:right w:val="nil"/>
            </w:tcBorders>
            <w:shd w:val="clear" w:color="auto" w:fill="auto"/>
            <w:vAlign w:val="center"/>
            <w:hideMark/>
          </w:tcPr>
          <w:p w14:paraId="70042C32" w14:textId="77777777" w:rsidR="008A3DDB" w:rsidRPr="005431F6" w:rsidRDefault="008A3DDB" w:rsidP="00282AEF">
            <w:pPr>
              <w:spacing w:line="240" w:lineRule="auto"/>
              <w:ind w:firstLine="0"/>
              <w:rPr>
                <w:rFonts w:eastAsia="Times New Roman"/>
                <w:b/>
                <w:bCs/>
                <w:color w:val="333333"/>
              </w:rPr>
            </w:pPr>
            <w:r w:rsidRPr="005431F6">
              <w:rPr>
                <w:rFonts w:eastAsia="Times New Roman"/>
                <w:b/>
                <w:bCs/>
                <w:color w:val="333333"/>
              </w:rPr>
              <w:t>Trial*group</w:t>
            </w:r>
          </w:p>
        </w:tc>
        <w:tc>
          <w:tcPr>
            <w:tcW w:w="0" w:type="auto"/>
            <w:tcBorders>
              <w:top w:val="nil"/>
              <w:left w:val="nil"/>
              <w:bottom w:val="nil"/>
              <w:right w:val="nil"/>
            </w:tcBorders>
            <w:shd w:val="clear" w:color="auto" w:fill="auto"/>
            <w:vAlign w:val="center"/>
            <w:hideMark/>
          </w:tcPr>
          <w:p w14:paraId="6B206D67" w14:textId="024E163F" w:rsidR="008A3DDB" w:rsidRPr="005431F6" w:rsidRDefault="008A3DDB" w:rsidP="00282AEF">
            <w:pPr>
              <w:spacing w:line="240" w:lineRule="auto"/>
              <w:ind w:firstLine="0"/>
              <w:rPr>
                <w:rFonts w:eastAsia="Times New Roman"/>
                <w:b/>
                <w:bCs/>
                <w:color w:val="333333"/>
              </w:rPr>
            </w:pPr>
            <w:r w:rsidRPr="005431F6">
              <w:rPr>
                <w:rFonts w:eastAsia="Times New Roman"/>
                <w:b/>
                <w:bCs/>
                <w:color w:val="333333"/>
              </w:rPr>
              <w:t>-</w:t>
            </w:r>
            <w:r w:rsidR="00FD3DCB">
              <w:rPr>
                <w:rFonts w:eastAsia="Times New Roman"/>
                <w:b/>
                <w:bCs/>
                <w:color w:val="333333"/>
              </w:rPr>
              <w:t>19.37</w:t>
            </w:r>
          </w:p>
        </w:tc>
        <w:tc>
          <w:tcPr>
            <w:tcW w:w="0" w:type="auto"/>
            <w:tcBorders>
              <w:top w:val="nil"/>
              <w:left w:val="nil"/>
              <w:bottom w:val="nil"/>
              <w:right w:val="nil"/>
            </w:tcBorders>
            <w:shd w:val="clear" w:color="auto" w:fill="auto"/>
            <w:vAlign w:val="center"/>
            <w:hideMark/>
          </w:tcPr>
          <w:p w14:paraId="5611F058" w14:textId="4C56148E" w:rsidR="008A3DDB" w:rsidRPr="005431F6" w:rsidRDefault="00FD3DCB" w:rsidP="00282AEF">
            <w:pPr>
              <w:spacing w:line="240" w:lineRule="auto"/>
              <w:ind w:firstLine="0"/>
              <w:rPr>
                <w:rFonts w:eastAsia="Times New Roman"/>
                <w:b/>
                <w:bCs/>
                <w:color w:val="333333"/>
              </w:rPr>
            </w:pPr>
            <w:r>
              <w:rPr>
                <w:rFonts w:eastAsia="Times New Roman"/>
                <w:b/>
                <w:bCs/>
                <w:color w:val="333333"/>
              </w:rPr>
              <w:t>5.87</w:t>
            </w:r>
          </w:p>
        </w:tc>
        <w:tc>
          <w:tcPr>
            <w:tcW w:w="0" w:type="auto"/>
            <w:tcBorders>
              <w:top w:val="nil"/>
              <w:left w:val="nil"/>
              <w:bottom w:val="nil"/>
              <w:right w:val="nil"/>
            </w:tcBorders>
            <w:shd w:val="clear" w:color="auto" w:fill="auto"/>
            <w:hideMark/>
          </w:tcPr>
          <w:p w14:paraId="093E376A" w14:textId="227135A7" w:rsidR="008A3DDB" w:rsidRPr="005431F6" w:rsidRDefault="008A3DDB" w:rsidP="00282AEF">
            <w:pPr>
              <w:spacing w:line="240" w:lineRule="auto"/>
              <w:ind w:firstLine="0"/>
              <w:rPr>
                <w:rFonts w:eastAsia="Times New Roman"/>
                <w:b/>
                <w:bCs/>
                <w:color w:val="333333"/>
              </w:rPr>
            </w:pPr>
            <w:r w:rsidRPr="005431F6">
              <w:rPr>
                <w:rFonts w:eastAsia="Times New Roman"/>
                <w:b/>
                <w:bCs/>
                <w:color w:val="333333"/>
              </w:rPr>
              <w:t>-</w:t>
            </w:r>
            <w:r w:rsidR="00FD3DCB">
              <w:rPr>
                <w:rFonts w:eastAsia="Times New Roman"/>
                <w:b/>
                <w:bCs/>
                <w:color w:val="333333"/>
              </w:rPr>
              <w:t>3.3</w:t>
            </w:r>
          </w:p>
        </w:tc>
        <w:tc>
          <w:tcPr>
            <w:tcW w:w="0" w:type="auto"/>
            <w:tcBorders>
              <w:top w:val="nil"/>
              <w:left w:val="nil"/>
              <w:bottom w:val="nil"/>
              <w:right w:val="nil"/>
            </w:tcBorders>
            <w:vAlign w:val="center"/>
          </w:tcPr>
          <w:p w14:paraId="32E09003" w14:textId="378BD0C8" w:rsidR="008A3DDB" w:rsidRPr="005431F6" w:rsidRDefault="008A3DDB" w:rsidP="00282AEF">
            <w:pPr>
              <w:spacing w:line="240" w:lineRule="auto"/>
              <w:ind w:firstLine="0"/>
              <w:rPr>
                <w:rFonts w:eastAsia="Times New Roman"/>
                <w:b/>
                <w:bCs/>
                <w:color w:val="333333"/>
              </w:rPr>
            </w:pPr>
            <w:r w:rsidRPr="005431F6">
              <w:rPr>
                <w:rFonts w:eastAsia="Times New Roman"/>
                <w:b/>
                <w:bCs/>
                <w:color w:val="333333"/>
              </w:rPr>
              <w:t>0.0</w:t>
            </w:r>
            <w:r w:rsidR="00FD3DCB">
              <w:rPr>
                <w:rFonts w:eastAsia="Times New Roman"/>
                <w:b/>
                <w:bCs/>
                <w:color w:val="333333"/>
              </w:rPr>
              <w:t>01</w:t>
            </w:r>
            <w:r w:rsidRPr="005431F6">
              <w:rPr>
                <w:rFonts w:eastAsia="Times New Roman"/>
                <w:b/>
                <w:bCs/>
                <w:color w:val="333333"/>
              </w:rPr>
              <w:t>*</w:t>
            </w:r>
            <w:r w:rsidR="00FD3DCB">
              <w:rPr>
                <w:rFonts w:eastAsia="Times New Roman"/>
                <w:b/>
                <w:bCs/>
                <w:color w:val="333333"/>
              </w:rPr>
              <w:t>*</w:t>
            </w:r>
          </w:p>
        </w:tc>
      </w:tr>
      <w:tr w:rsidR="008A3DDB" w:rsidRPr="005431F6" w14:paraId="5D50EDF2" w14:textId="77777777" w:rsidTr="00282AEF">
        <w:trPr>
          <w:trHeight w:val="255"/>
        </w:trPr>
        <w:tc>
          <w:tcPr>
            <w:tcW w:w="0" w:type="auto"/>
            <w:gridSpan w:val="2"/>
            <w:tcBorders>
              <w:top w:val="nil"/>
              <w:left w:val="nil"/>
              <w:bottom w:val="nil"/>
              <w:right w:val="nil"/>
            </w:tcBorders>
            <w:shd w:val="clear" w:color="auto" w:fill="auto"/>
            <w:noWrap/>
            <w:vAlign w:val="center"/>
            <w:hideMark/>
          </w:tcPr>
          <w:p w14:paraId="11A10E28" w14:textId="77777777" w:rsidR="008A3DDB" w:rsidRPr="005431F6" w:rsidRDefault="008A3DDB" w:rsidP="00282AEF">
            <w:pPr>
              <w:spacing w:line="240" w:lineRule="auto"/>
              <w:ind w:firstLine="0"/>
              <w:rPr>
                <w:rFonts w:eastAsia="Times New Roman"/>
                <w:i/>
                <w:iCs/>
                <w:color w:val="000000"/>
              </w:rPr>
            </w:pPr>
            <w:r w:rsidRPr="005431F6">
              <w:rPr>
                <w:rFonts w:eastAsia="Times New Roman"/>
                <w:i/>
                <w:iCs/>
                <w:color w:val="000000"/>
              </w:rPr>
              <w:t>Toddlers</w:t>
            </w:r>
          </w:p>
        </w:tc>
        <w:tc>
          <w:tcPr>
            <w:tcW w:w="0" w:type="auto"/>
            <w:tcBorders>
              <w:top w:val="nil"/>
              <w:left w:val="nil"/>
              <w:bottom w:val="nil"/>
              <w:right w:val="nil"/>
            </w:tcBorders>
            <w:shd w:val="clear" w:color="auto" w:fill="auto"/>
            <w:noWrap/>
            <w:vAlign w:val="bottom"/>
            <w:hideMark/>
          </w:tcPr>
          <w:p w14:paraId="6AA8DDE2" w14:textId="77777777" w:rsidR="008A3DDB" w:rsidRPr="005431F6" w:rsidRDefault="008A3DDB" w:rsidP="00282AEF">
            <w:pPr>
              <w:spacing w:line="240" w:lineRule="auto"/>
              <w:ind w:firstLine="0"/>
              <w:rPr>
                <w:rFonts w:eastAsia="Times New Roman"/>
                <w:color w:val="000000"/>
              </w:rPr>
            </w:pPr>
          </w:p>
        </w:tc>
        <w:tc>
          <w:tcPr>
            <w:tcW w:w="0" w:type="auto"/>
            <w:tcBorders>
              <w:top w:val="nil"/>
              <w:left w:val="nil"/>
              <w:bottom w:val="nil"/>
              <w:right w:val="nil"/>
            </w:tcBorders>
            <w:shd w:val="clear" w:color="auto" w:fill="auto"/>
            <w:noWrap/>
            <w:vAlign w:val="bottom"/>
            <w:hideMark/>
          </w:tcPr>
          <w:p w14:paraId="6B5520A2" w14:textId="77777777" w:rsidR="008A3DDB" w:rsidRPr="005431F6" w:rsidRDefault="008A3DDB" w:rsidP="00282AEF">
            <w:pPr>
              <w:spacing w:line="240" w:lineRule="auto"/>
              <w:ind w:firstLine="0"/>
              <w:rPr>
                <w:rFonts w:eastAsia="Times New Roman"/>
              </w:rPr>
            </w:pPr>
          </w:p>
        </w:tc>
        <w:tc>
          <w:tcPr>
            <w:tcW w:w="0" w:type="auto"/>
            <w:tcBorders>
              <w:top w:val="nil"/>
              <w:left w:val="nil"/>
              <w:bottom w:val="nil"/>
              <w:right w:val="nil"/>
            </w:tcBorders>
            <w:shd w:val="clear" w:color="auto" w:fill="auto"/>
            <w:noWrap/>
            <w:vAlign w:val="bottom"/>
            <w:hideMark/>
          </w:tcPr>
          <w:p w14:paraId="3BD1D885" w14:textId="77777777" w:rsidR="008A3DDB" w:rsidRPr="005431F6" w:rsidRDefault="008A3DDB" w:rsidP="00282AEF">
            <w:pPr>
              <w:spacing w:line="240" w:lineRule="auto"/>
              <w:ind w:firstLine="0"/>
              <w:rPr>
                <w:rFonts w:eastAsia="Times New Roman"/>
              </w:rPr>
            </w:pPr>
          </w:p>
        </w:tc>
        <w:tc>
          <w:tcPr>
            <w:tcW w:w="0" w:type="auto"/>
            <w:tcBorders>
              <w:top w:val="nil"/>
              <w:left w:val="nil"/>
              <w:bottom w:val="nil"/>
              <w:right w:val="nil"/>
            </w:tcBorders>
          </w:tcPr>
          <w:p w14:paraId="7C6C2EEB" w14:textId="77777777" w:rsidR="008A3DDB" w:rsidRPr="005431F6" w:rsidRDefault="008A3DDB" w:rsidP="00282AEF">
            <w:pPr>
              <w:spacing w:line="240" w:lineRule="auto"/>
              <w:ind w:firstLine="0"/>
              <w:rPr>
                <w:rFonts w:eastAsia="Times New Roman"/>
              </w:rPr>
            </w:pPr>
          </w:p>
        </w:tc>
      </w:tr>
      <w:tr w:rsidR="00F069F9" w:rsidRPr="005431F6" w14:paraId="46B26814" w14:textId="77777777" w:rsidTr="00282AEF">
        <w:trPr>
          <w:trHeight w:val="255"/>
        </w:trPr>
        <w:tc>
          <w:tcPr>
            <w:tcW w:w="0" w:type="auto"/>
            <w:tcBorders>
              <w:top w:val="nil"/>
              <w:left w:val="nil"/>
              <w:bottom w:val="nil"/>
              <w:right w:val="nil"/>
            </w:tcBorders>
            <w:shd w:val="clear" w:color="auto" w:fill="auto"/>
            <w:noWrap/>
            <w:vAlign w:val="center"/>
            <w:hideMark/>
          </w:tcPr>
          <w:p w14:paraId="04C5516E" w14:textId="77777777" w:rsidR="008A3DDB" w:rsidRPr="005431F6" w:rsidRDefault="008A3DDB" w:rsidP="00282AEF">
            <w:pPr>
              <w:spacing w:line="240" w:lineRule="auto"/>
              <w:ind w:firstLine="0"/>
              <w:rPr>
                <w:rFonts w:eastAsia="Times New Roman"/>
              </w:rPr>
            </w:pPr>
          </w:p>
        </w:tc>
        <w:tc>
          <w:tcPr>
            <w:tcW w:w="0" w:type="auto"/>
            <w:tcBorders>
              <w:top w:val="nil"/>
              <w:left w:val="nil"/>
              <w:bottom w:val="nil"/>
              <w:right w:val="nil"/>
            </w:tcBorders>
            <w:shd w:val="clear" w:color="auto" w:fill="auto"/>
            <w:vAlign w:val="center"/>
            <w:hideMark/>
          </w:tcPr>
          <w:p w14:paraId="20D1ADBF" w14:textId="77777777" w:rsidR="008A3DDB" w:rsidRPr="005431F6" w:rsidRDefault="008A3DDB" w:rsidP="00282AEF">
            <w:pPr>
              <w:spacing w:line="240" w:lineRule="auto"/>
              <w:ind w:firstLine="0"/>
              <w:rPr>
                <w:rFonts w:eastAsia="Times New Roman"/>
                <w:b/>
                <w:bCs/>
                <w:color w:val="333333"/>
              </w:rPr>
            </w:pPr>
            <w:r w:rsidRPr="005431F6">
              <w:rPr>
                <w:rFonts w:eastAsia="Times New Roman"/>
                <w:b/>
                <w:bCs/>
                <w:color w:val="000000"/>
              </w:rPr>
              <w:t>Trial</w:t>
            </w:r>
          </w:p>
        </w:tc>
        <w:tc>
          <w:tcPr>
            <w:tcW w:w="0" w:type="auto"/>
            <w:tcBorders>
              <w:top w:val="nil"/>
              <w:left w:val="nil"/>
              <w:bottom w:val="nil"/>
              <w:right w:val="nil"/>
            </w:tcBorders>
            <w:shd w:val="clear" w:color="auto" w:fill="auto"/>
            <w:noWrap/>
            <w:vAlign w:val="bottom"/>
            <w:hideMark/>
          </w:tcPr>
          <w:p w14:paraId="2703487D" w14:textId="216DD02F" w:rsidR="008A3DDB" w:rsidRPr="005431F6" w:rsidRDefault="00F069F9" w:rsidP="00282AEF">
            <w:pPr>
              <w:spacing w:line="240" w:lineRule="auto"/>
              <w:ind w:firstLine="0"/>
              <w:rPr>
                <w:rFonts w:eastAsia="Times New Roman"/>
                <w:b/>
                <w:bCs/>
                <w:color w:val="000000"/>
              </w:rPr>
            </w:pPr>
            <w:r>
              <w:rPr>
                <w:rFonts w:eastAsia="Times New Roman"/>
                <w:b/>
                <w:bCs/>
                <w:color w:val="000000"/>
              </w:rPr>
              <w:t>-9.05</w:t>
            </w:r>
          </w:p>
        </w:tc>
        <w:tc>
          <w:tcPr>
            <w:tcW w:w="0" w:type="auto"/>
            <w:tcBorders>
              <w:top w:val="nil"/>
              <w:left w:val="nil"/>
              <w:bottom w:val="nil"/>
              <w:right w:val="nil"/>
            </w:tcBorders>
            <w:shd w:val="clear" w:color="auto" w:fill="auto"/>
            <w:noWrap/>
            <w:vAlign w:val="bottom"/>
            <w:hideMark/>
          </w:tcPr>
          <w:p w14:paraId="44009D8E" w14:textId="093C6932" w:rsidR="008A3DDB" w:rsidRPr="005431F6" w:rsidRDefault="00F069F9" w:rsidP="00282AEF">
            <w:pPr>
              <w:spacing w:line="240" w:lineRule="auto"/>
              <w:ind w:firstLine="0"/>
              <w:rPr>
                <w:rFonts w:eastAsia="Times New Roman"/>
                <w:b/>
                <w:bCs/>
                <w:color w:val="000000"/>
              </w:rPr>
            </w:pPr>
            <w:r>
              <w:rPr>
                <w:rFonts w:eastAsia="Times New Roman"/>
                <w:b/>
                <w:bCs/>
                <w:color w:val="000000"/>
              </w:rPr>
              <w:t>3.91</w:t>
            </w:r>
          </w:p>
        </w:tc>
        <w:tc>
          <w:tcPr>
            <w:tcW w:w="0" w:type="auto"/>
            <w:tcBorders>
              <w:top w:val="nil"/>
              <w:left w:val="nil"/>
              <w:bottom w:val="nil"/>
              <w:right w:val="nil"/>
            </w:tcBorders>
            <w:shd w:val="clear" w:color="auto" w:fill="auto"/>
            <w:noWrap/>
            <w:vAlign w:val="bottom"/>
            <w:hideMark/>
          </w:tcPr>
          <w:p w14:paraId="66A928A0" w14:textId="21609D7F" w:rsidR="008A3DDB" w:rsidRPr="005431F6" w:rsidRDefault="00F069F9" w:rsidP="00282AEF">
            <w:pPr>
              <w:spacing w:line="240" w:lineRule="auto"/>
              <w:ind w:firstLine="0"/>
              <w:rPr>
                <w:rFonts w:eastAsia="Times New Roman"/>
                <w:b/>
                <w:bCs/>
                <w:color w:val="000000"/>
              </w:rPr>
            </w:pPr>
            <w:r>
              <w:rPr>
                <w:rFonts w:eastAsia="Times New Roman"/>
                <w:b/>
                <w:bCs/>
                <w:color w:val="000000"/>
              </w:rPr>
              <w:t>-2.32</w:t>
            </w:r>
          </w:p>
        </w:tc>
        <w:tc>
          <w:tcPr>
            <w:tcW w:w="0" w:type="auto"/>
            <w:tcBorders>
              <w:top w:val="nil"/>
              <w:left w:val="nil"/>
              <w:bottom w:val="nil"/>
              <w:right w:val="nil"/>
            </w:tcBorders>
          </w:tcPr>
          <w:p w14:paraId="02886C61" w14:textId="6E116061" w:rsidR="008A3DDB" w:rsidRPr="005431F6" w:rsidRDefault="008A3DDB" w:rsidP="00282AEF">
            <w:pPr>
              <w:spacing w:line="240" w:lineRule="auto"/>
              <w:ind w:firstLine="0"/>
              <w:rPr>
                <w:rFonts w:eastAsia="Times New Roman"/>
                <w:b/>
                <w:bCs/>
                <w:color w:val="000000"/>
              </w:rPr>
            </w:pPr>
            <w:r w:rsidRPr="005431F6">
              <w:rPr>
                <w:rFonts w:eastAsia="Times New Roman"/>
                <w:b/>
                <w:bCs/>
                <w:color w:val="000000"/>
              </w:rPr>
              <w:t>0.</w:t>
            </w:r>
            <w:r w:rsidR="00F069F9">
              <w:rPr>
                <w:rFonts w:eastAsia="Times New Roman"/>
                <w:b/>
                <w:bCs/>
                <w:color w:val="000000"/>
              </w:rPr>
              <w:t>02*</w:t>
            </w:r>
          </w:p>
        </w:tc>
      </w:tr>
      <w:tr w:rsidR="00F069F9" w:rsidRPr="005431F6" w14:paraId="1F5ED4C5" w14:textId="77777777" w:rsidTr="00282AEF">
        <w:trPr>
          <w:trHeight w:val="255"/>
        </w:trPr>
        <w:tc>
          <w:tcPr>
            <w:tcW w:w="0" w:type="auto"/>
            <w:tcBorders>
              <w:top w:val="nil"/>
              <w:left w:val="nil"/>
              <w:bottom w:val="nil"/>
              <w:right w:val="nil"/>
            </w:tcBorders>
            <w:shd w:val="clear" w:color="auto" w:fill="auto"/>
            <w:noWrap/>
            <w:vAlign w:val="center"/>
            <w:hideMark/>
          </w:tcPr>
          <w:p w14:paraId="454FB2DD" w14:textId="77777777" w:rsidR="008A3DDB" w:rsidRPr="005431F6" w:rsidRDefault="008A3DDB" w:rsidP="00282AEF">
            <w:pPr>
              <w:spacing w:line="240" w:lineRule="auto"/>
              <w:ind w:firstLine="0"/>
              <w:rPr>
                <w:rFonts w:eastAsia="Times New Roman"/>
                <w:color w:val="000000"/>
              </w:rPr>
            </w:pPr>
          </w:p>
        </w:tc>
        <w:tc>
          <w:tcPr>
            <w:tcW w:w="0" w:type="auto"/>
            <w:tcBorders>
              <w:top w:val="nil"/>
              <w:left w:val="nil"/>
              <w:right w:val="nil"/>
            </w:tcBorders>
            <w:shd w:val="clear" w:color="auto" w:fill="auto"/>
            <w:vAlign w:val="center"/>
            <w:hideMark/>
          </w:tcPr>
          <w:p w14:paraId="1D8DB2D6" w14:textId="77777777" w:rsidR="008A3DDB" w:rsidRPr="005431F6" w:rsidRDefault="008A3DDB" w:rsidP="00282AEF">
            <w:pPr>
              <w:spacing w:line="240" w:lineRule="auto"/>
              <w:ind w:firstLine="0"/>
              <w:rPr>
                <w:rFonts w:eastAsia="Times New Roman"/>
                <w:color w:val="333333"/>
              </w:rPr>
            </w:pPr>
            <w:r w:rsidRPr="005431F6">
              <w:rPr>
                <w:rFonts w:eastAsia="Times New Roman"/>
                <w:color w:val="333333"/>
              </w:rPr>
              <w:t>Group</w:t>
            </w:r>
          </w:p>
        </w:tc>
        <w:tc>
          <w:tcPr>
            <w:tcW w:w="0" w:type="auto"/>
            <w:tcBorders>
              <w:top w:val="nil"/>
              <w:left w:val="nil"/>
              <w:right w:val="nil"/>
            </w:tcBorders>
            <w:shd w:val="clear" w:color="auto" w:fill="auto"/>
            <w:noWrap/>
            <w:vAlign w:val="bottom"/>
            <w:hideMark/>
          </w:tcPr>
          <w:p w14:paraId="60127A75" w14:textId="6717F67D" w:rsidR="008A3DDB" w:rsidRPr="005431F6" w:rsidRDefault="00F069F9" w:rsidP="00282AEF">
            <w:pPr>
              <w:spacing w:line="240" w:lineRule="auto"/>
              <w:ind w:firstLine="0"/>
              <w:rPr>
                <w:rFonts w:eastAsia="Times New Roman"/>
                <w:color w:val="000000"/>
              </w:rPr>
            </w:pPr>
            <w:r>
              <w:rPr>
                <w:rFonts w:eastAsia="Times New Roman"/>
                <w:color w:val="000000"/>
              </w:rPr>
              <w:t>1</w:t>
            </w:r>
            <w:r w:rsidR="008A3DDB" w:rsidRPr="005431F6">
              <w:rPr>
                <w:rFonts w:eastAsia="Times New Roman"/>
                <w:color w:val="000000"/>
              </w:rPr>
              <w:t>.</w:t>
            </w:r>
            <w:r>
              <w:rPr>
                <w:rFonts w:eastAsia="Times New Roman"/>
                <w:color w:val="000000"/>
              </w:rPr>
              <w:t>39</w:t>
            </w:r>
          </w:p>
        </w:tc>
        <w:tc>
          <w:tcPr>
            <w:tcW w:w="0" w:type="auto"/>
            <w:tcBorders>
              <w:top w:val="nil"/>
              <w:left w:val="nil"/>
              <w:right w:val="nil"/>
            </w:tcBorders>
            <w:shd w:val="clear" w:color="auto" w:fill="auto"/>
            <w:noWrap/>
            <w:vAlign w:val="bottom"/>
            <w:hideMark/>
          </w:tcPr>
          <w:p w14:paraId="3FF0B59E" w14:textId="4D0C41EB" w:rsidR="008A3DDB" w:rsidRPr="005431F6" w:rsidRDefault="00F069F9" w:rsidP="00282AEF">
            <w:pPr>
              <w:spacing w:line="240" w:lineRule="auto"/>
              <w:ind w:firstLine="0"/>
              <w:rPr>
                <w:rFonts w:eastAsia="Times New Roman"/>
                <w:color w:val="000000"/>
              </w:rPr>
            </w:pPr>
            <w:r>
              <w:rPr>
                <w:rFonts w:eastAsia="Times New Roman"/>
                <w:color w:val="000000"/>
              </w:rPr>
              <w:t>122</w:t>
            </w:r>
            <w:r w:rsidR="008A3DDB" w:rsidRPr="005431F6">
              <w:rPr>
                <w:rFonts w:eastAsia="Times New Roman"/>
                <w:color w:val="000000"/>
              </w:rPr>
              <w:t>.</w:t>
            </w:r>
            <w:r>
              <w:rPr>
                <w:rFonts w:eastAsia="Times New Roman"/>
                <w:color w:val="000000"/>
              </w:rPr>
              <w:t>425</w:t>
            </w:r>
          </w:p>
        </w:tc>
        <w:tc>
          <w:tcPr>
            <w:tcW w:w="0" w:type="auto"/>
            <w:tcBorders>
              <w:top w:val="nil"/>
              <w:left w:val="nil"/>
              <w:right w:val="nil"/>
            </w:tcBorders>
            <w:shd w:val="clear" w:color="auto" w:fill="auto"/>
            <w:noWrap/>
            <w:vAlign w:val="bottom"/>
            <w:hideMark/>
          </w:tcPr>
          <w:p w14:paraId="10744372" w14:textId="4BCEA908" w:rsidR="008A3DDB" w:rsidRPr="005431F6" w:rsidRDefault="008A3DDB" w:rsidP="00282AEF">
            <w:pPr>
              <w:spacing w:line="240" w:lineRule="auto"/>
              <w:ind w:firstLine="0"/>
              <w:rPr>
                <w:rFonts w:eastAsia="Times New Roman"/>
                <w:color w:val="000000"/>
              </w:rPr>
            </w:pPr>
            <w:r w:rsidRPr="005431F6">
              <w:rPr>
                <w:rFonts w:eastAsia="Times New Roman"/>
                <w:color w:val="000000"/>
              </w:rPr>
              <w:t>0.</w:t>
            </w:r>
            <w:r w:rsidR="00F069F9">
              <w:rPr>
                <w:rFonts w:eastAsia="Times New Roman"/>
                <w:color w:val="000000"/>
              </w:rPr>
              <w:t>01</w:t>
            </w:r>
          </w:p>
        </w:tc>
        <w:tc>
          <w:tcPr>
            <w:tcW w:w="0" w:type="auto"/>
            <w:tcBorders>
              <w:top w:val="nil"/>
              <w:left w:val="nil"/>
              <w:right w:val="nil"/>
            </w:tcBorders>
          </w:tcPr>
          <w:p w14:paraId="574C261C" w14:textId="39D09CFB" w:rsidR="008A3DDB" w:rsidRPr="005431F6" w:rsidRDefault="008A3DDB" w:rsidP="00282AEF">
            <w:pPr>
              <w:spacing w:line="240" w:lineRule="auto"/>
              <w:ind w:firstLine="0"/>
              <w:rPr>
                <w:rFonts w:eastAsia="Times New Roman"/>
                <w:color w:val="000000"/>
              </w:rPr>
            </w:pPr>
            <w:r w:rsidRPr="005431F6">
              <w:rPr>
                <w:rFonts w:eastAsia="Times New Roman"/>
                <w:color w:val="000000"/>
              </w:rPr>
              <w:t>0.</w:t>
            </w:r>
            <w:r w:rsidR="00F069F9">
              <w:rPr>
                <w:rFonts w:eastAsia="Times New Roman"/>
                <w:color w:val="000000"/>
              </w:rPr>
              <w:t>99</w:t>
            </w:r>
          </w:p>
        </w:tc>
      </w:tr>
      <w:tr w:rsidR="00F069F9" w:rsidRPr="005431F6" w14:paraId="167C1DEE" w14:textId="77777777" w:rsidTr="00282AEF">
        <w:trPr>
          <w:trHeight w:val="255"/>
        </w:trPr>
        <w:tc>
          <w:tcPr>
            <w:tcW w:w="0" w:type="auto"/>
            <w:tcBorders>
              <w:top w:val="nil"/>
              <w:left w:val="nil"/>
              <w:bottom w:val="nil"/>
              <w:right w:val="nil"/>
            </w:tcBorders>
            <w:shd w:val="clear" w:color="auto" w:fill="auto"/>
            <w:noWrap/>
            <w:vAlign w:val="center"/>
            <w:hideMark/>
          </w:tcPr>
          <w:p w14:paraId="14153FD1" w14:textId="77777777" w:rsidR="008A3DDB" w:rsidRPr="005431F6" w:rsidRDefault="008A3DDB" w:rsidP="00282AEF">
            <w:pPr>
              <w:spacing w:line="240" w:lineRule="auto"/>
              <w:ind w:firstLine="0"/>
              <w:rPr>
                <w:rFonts w:eastAsia="Times New Roman"/>
                <w:color w:val="000000"/>
              </w:rPr>
            </w:pPr>
          </w:p>
        </w:tc>
        <w:tc>
          <w:tcPr>
            <w:tcW w:w="0" w:type="auto"/>
            <w:tcBorders>
              <w:top w:val="nil"/>
              <w:left w:val="nil"/>
              <w:bottom w:val="single" w:sz="4" w:space="0" w:color="auto"/>
              <w:right w:val="nil"/>
            </w:tcBorders>
            <w:shd w:val="clear" w:color="auto" w:fill="auto"/>
            <w:vAlign w:val="center"/>
            <w:hideMark/>
          </w:tcPr>
          <w:p w14:paraId="0E3DFBE3" w14:textId="77777777" w:rsidR="008A3DDB" w:rsidRPr="005431F6" w:rsidRDefault="008A3DDB" w:rsidP="00282AEF">
            <w:pPr>
              <w:spacing w:line="240" w:lineRule="auto"/>
              <w:ind w:firstLine="0"/>
              <w:rPr>
                <w:rFonts w:eastAsia="Times New Roman"/>
                <w:color w:val="333333"/>
              </w:rPr>
            </w:pPr>
            <w:r w:rsidRPr="005431F6">
              <w:rPr>
                <w:rFonts w:eastAsia="Times New Roman"/>
                <w:color w:val="333333"/>
              </w:rPr>
              <w:t>Trial*group</w:t>
            </w:r>
          </w:p>
        </w:tc>
        <w:tc>
          <w:tcPr>
            <w:tcW w:w="0" w:type="auto"/>
            <w:tcBorders>
              <w:top w:val="nil"/>
              <w:left w:val="nil"/>
              <w:bottom w:val="single" w:sz="4" w:space="0" w:color="auto"/>
              <w:right w:val="nil"/>
            </w:tcBorders>
            <w:shd w:val="clear" w:color="auto" w:fill="auto"/>
            <w:noWrap/>
            <w:vAlign w:val="bottom"/>
            <w:hideMark/>
          </w:tcPr>
          <w:p w14:paraId="7AF4E776" w14:textId="52AD16B6" w:rsidR="008A3DDB" w:rsidRPr="005431F6" w:rsidRDefault="00F069F9" w:rsidP="00282AEF">
            <w:pPr>
              <w:spacing w:line="240" w:lineRule="auto"/>
              <w:ind w:firstLine="0"/>
              <w:rPr>
                <w:rFonts w:eastAsia="Times New Roman"/>
                <w:color w:val="000000"/>
              </w:rPr>
            </w:pPr>
            <w:r>
              <w:rPr>
                <w:rFonts w:eastAsia="Times New Roman"/>
                <w:color w:val="000000"/>
              </w:rPr>
              <w:t>4.99</w:t>
            </w:r>
          </w:p>
        </w:tc>
        <w:tc>
          <w:tcPr>
            <w:tcW w:w="0" w:type="auto"/>
            <w:tcBorders>
              <w:top w:val="nil"/>
              <w:left w:val="nil"/>
              <w:bottom w:val="single" w:sz="4" w:space="0" w:color="auto"/>
              <w:right w:val="nil"/>
            </w:tcBorders>
            <w:shd w:val="clear" w:color="auto" w:fill="auto"/>
            <w:noWrap/>
            <w:vAlign w:val="bottom"/>
            <w:hideMark/>
          </w:tcPr>
          <w:p w14:paraId="20609C52" w14:textId="707E6398" w:rsidR="008A3DDB" w:rsidRPr="005431F6" w:rsidRDefault="00F069F9" w:rsidP="00282AEF">
            <w:pPr>
              <w:spacing w:line="240" w:lineRule="auto"/>
              <w:ind w:firstLine="0"/>
              <w:rPr>
                <w:rFonts w:eastAsia="Times New Roman"/>
                <w:color w:val="000000"/>
              </w:rPr>
            </w:pPr>
            <w:r>
              <w:rPr>
                <w:rFonts w:eastAsia="Times New Roman"/>
                <w:color w:val="000000"/>
              </w:rPr>
              <w:t>5.96</w:t>
            </w:r>
          </w:p>
        </w:tc>
        <w:tc>
          <w:tcPr>
            <w:tcW w:w="0" w:type="auto"/>
            <w:tcBorders>
              <w:top w:val="nil"/>
              <w:left w:val="nil"/>
              <w:bottom w:val="single" w:sz="4" w:space="0" w:color="auto"/>
              <w:right w:val="nil"/>
            </w:tcBorders>
            <w:shd w:val="clear" w:color="auto" w:fill="auto"/>
            <w:noWrap/>
            <w:vAlign w:val="bottom"/>
            <w:hideMark/>
          </w:tcPr>
          <w:p w14:paraId="3559B268" w14:textId="59F4B985" w:rsidR="008A3DDB" w:rsidRPr="005431F6" w:rsidRDefault="008A3DDB" w:rsidP="00282AEF">
            <w:pPr>
              <w:spacing w:line="240" w:lineRule="auto"/>
              <w:ind w:firstLine="0"/>
              <w:rPr>
                <w:rFonts w:eastAsia="Times New Roman"/>
                <w:color w:val="000000"/>
              </w:rPr>
            </w:pPr>
            <w:r w:rsidRPr="005431F6">
              <w:rPr>
                <w:rFonts w:eastAsia="Times New Roman"/>
                <w:color w:val="000000"/>
              </w:rPr>
              <w:t>-0.</w:t>
            </w:r>
            <w:r w:rsidR="00F069F9">
              <w:rPr>
                <w:rFonts w:eastAsia="Times New Roman"/>
                <w:color w:val="000000"/>
              </w:rPr>
              <w:t>84</w:t>
            </w:r>
          </w:p>
        </w:tc>
        <w:tc>
          <w:tcPr>
            <w:tcW w:w="0" w:type="auto"/>
            <w:tcBorders>
              <w:top w:val="nil"/>
              <w:left w:val="nil"/>
              <w:bottom w:val="single" w:sz="4" w:space="0" w:color="auto"/>
              <w:right w:val="nil"/>
            </w:tcBorders>
          </w:tcPr>
          <w:p w14:paraId="4D1E1799" w14:textId="7F6A9F76" w:rsidR="008A3DDB" w:rsidRPr="005431F6" w:rsidRDefault="008A3DDB" w:rsidP="00282AEF">
            <w:pPr>
              <w:spacing w:line="240" w:lineRule="auto"/>
              <w:ind w:firstLine="0"/>
              <w:rPr>
                <w:rFonts w:eastAsia="Times New Roman"/>
                <w:color w:val="000000"/>
              </w:rPr>
            </w:pPr>
            <w:r w:rsidRPr="005431F6">
              <w:rPr>
                <w:rFonts w:eastAsia="Times New Roman"/>
                <w:color w:val="000000"/>
              </w:rPr>
              <w:t>0.</w:t>
            </w:r>
            <w:r w:rsidR="00F069F9">
              <w:rPr>
                <w:rFonts w:eastAsia="Times New Roman"/>
                <w:color w:val="000000"/>
              </w:rPr>
              <w:t>40</w:t>
            </w:r>
          </w:p>
        </w:tc>
      </w:tr>
    </w:tbl>
    <w:p w14:paraId="11C61197" w14:textId="77777777" w:rsidR="008A3DDB" w:rsidRDefault="008A3DDB" w:rsidP="008A3DDB">
      <w:pPr>
        <w:spacing w:line="240" w:lineRule="auto"/>
      </w:pPr>
    </w:p>
    <w:p w14:paraId="7E6FC5CF" w14:textId="32F3BD2E" w:rsidR="008A3DDB" w:rsidRPr="008935C5" w:rsidRDefault="00A542D9" w:rsidP="008A3DDB">
      <w:r w:rsidRPr="00A7683D">
        <w:t>For infants, the critical interaction between trial and group was significant</w:t>
      </w:r>
      <w:r w:rsidR="00127F0F" w:rsidRPr="00A7683D">
        <w:t xml:space="preserve">, </w:t>
      </w:r>
      <w:r w:rsidR="00084C97" w:rsidRPr="00A7683D">
        <w:t>χ</w:t>
      </w:r>
      <w:r w:rsidR="00084C97" w:rsidRPr="00A7683D">
        <w:rPr>
          <w:vertAlign w:val="superscript"/>
        </w:rPr>
        <w:t>2</w:t>
      </w:r>
      <w:r w:rsidR="00084C97" w:rsidRPr="00A7683D">
        <w:t xml:space="preserve"> (1, </w:t>
      </w:r>
      <w:r w:rsidR="00084C97" w:rsidRPr="00A7683D">
        <w:rPr>
          <w:i/>
          <w:iCs/>
        </w:rPr>
        <w:t>n</w:t>
      </w:r>
      <w:r w:rsidR="00084C97" w:rsidRPr="00A7683D">
        <w:t xml:space="preserve"> = </w:t>
      </w:r>
      <w:r w:rsidR="00FD3DCB">
        <w:t xml:space="preserve">323 </w:t>
      </w:r>
      <w:r w:rsidR="00322956">
        <w:t>observations</w:t>
      </w:r>
      <w:r w:rsidR="00084C97" w:rsidRPr="00A7683D">
        <w:t xml:space="preserve">) = </w:t>
      </w:r>
      <w:r w:rsidR="00FD3DCB">
        <w:t>10.89</w:t>
      </w:r>
      <w:r w:rsidR="00084C97" w:rsidRPr="00A7683D">
        <w:t xml:space="preserve">, </w:t>
      </w:r>
      <w:r w:rsidR="00084C97" w:rsidRPr="00A7683D">
        <w:rPr>
          <w:i/>
          <w:iCs/>
        </w:rPr>
        <w:t>p</w:t>
      </w:r>
      <w:r w:rsidR="00084C97" w:rsidRPr="00A7683D">
        <w:t xml:space="preserve"> </w:t>
      </w:r>
      <w:r w:rsidR="00FD3DCB">
        <w:t xml:space="preserve">&lt; </w:t>
      </w:r>
      <w:r w:rsidR="00084C97" w:rsidRPr="00A7683D">
        <w:t>.0</w:t>
      </w:r>
      <w:r w:rsidR="00FD3DCB">
        <w:t>01</w:t>
      </w:r>
      <w:r w:rsidR="00127F0F" w:rsidRPr="00A7683D">
        <w:t>; Figure 3</w:t>
      </w:r>
      <w:r w:rsidR="00687B90" w:rsidRPr="00A7683D">
        <w:t xml:space="preserve">. </w:t>
      </w:r>
      <w:r w:rsidR="008A3DDB" w:rsidRPr="00A7683D">
        <w:t xml:space="preserve">We followed up </w:t>
      </w:r>
      <w:r w:rsidR="00687B90" w:rsidRPr="00A7683D">
        <w:t>on this interaction</w:t>
      </w:r>
      <w:r w:rsidR="00127F0F" w:rsidRPr="00A7683D">
        <w:t xml:space="preserve"> effect</w:t>
      </w:r>
      <w:r w:rsidR="008A3DDB" w:rsidRPr="00A7683D">
        <w:t xml:space="preserve"> in two ways. First, </w:t>
      </w:r>
      <w:r w:rsidR="00687B90" w:rsidRPr="00A7683D">
        <w:t>we</w:t>
      </w:r>
      <w:r w:rsidR="00BE391C" w:rsidRPr="00A7683D">
        <w:t xml:space="preserve"> conducted </w:t>
      </w:r>
      <w:r w:rsidR="00127F0F" w:rsidRPr="00A7683D">
        <w:t>a pairwise comparison</w:t>
      </w:r>
      <w:r w:rsidR="00BE391C" w:rsidRPr="00A7683D">
        <w:t xml:space="preserve"> with the R package </w:t>
      </w:r>
      <w:proofErr w:type="spellStart"/>
      <w:proofErr w:type="gramStart"/>
      <w:r w:rsidR="00BE391C" w:rsidRPr="00A7683D">
        <w:rPr>
          <w:i/>
          <w:iCs/>
        </w:rPr>
        <w:t>emmeans</w:t>
      </w:r>
      <w:proofErr w:type="spellEnd"/>
      <w:r w:rsidR="00BE391C" w:rsidRPr="00A7683D">
        <w:t>(</w:t>
      </w:r>
      <w:proofErr w:type="gramEnd"/>
      <w:r w:rsidR="00BE391C" w:rsidRPr="00A7683D">
        <w:t>)</w:t>
      </w:r>
      <w:r w:rsidR="00127F0F" w:rsidRPr="00A7683D">
        <w:t xml:space="preserve">, </w:t>
      </w:r>
      <w:r w:rsidR="00BE391C" w:rsidRPr="00A7683D">
        <w:t>with group as the predictor variable</w:t>
      </w:r>
      <w:r w:rsidR="00127F0F" w:rsidRPr="00A7683D">
        <w:t>. This</w:t>
      </w:r>
      <w:r w:rsidR="00BE391C" w:rsidRPr="00A7683D">
        <w:t xml:space="preserve"> confirmed a significant difference between deaf and hearing infants across all trials </w:t>
      </w:r>
      <w:r w:rsidR="00CD07B0">
        <w:t xml:space="preserve">(estimate = </w:t>
      </w:r>
      <w:r w:rsidR="00FD3DCB">
        <w:t>467ms</w:t>
      </w:r>
      <w:r w:rsidR="00CD07B0">
        <w:t xml:space="preserve">, </w:t>
      </w:r>
      <w:proofErr w:type="gramStart"/>
      <w:r w:rsidR="008A3DDB" w:rsidRPr="00A7683D">
        <w:rPr>
          <w:i/>
          <w:iCs/>
        </w:rPr>
        <w:t>t</w:t>
      </w:r>
      <w:r w:rsidR="008A3DDB" w:rsidRPr="00A7683D">
        <w:t>(</w:t>
      </w:r>
      <w:proofErr w:type="gramEnd"/>
      <w:r w:rsidR="00FD3DCB">
        <w:t>13.9</w:t>
      </w:r>
      <w:r w:rsidR="008A3DDB" w:rsidRPr="00A7683D">
        <w:t xml:space="preserve">) = </w:t>
      </w:r>
      <w:r w:rsidR="00FD3DCB">
        <w:t>3.563</w:t>
      </w:r>
      <w:r w:rsidR="008A3DDB" w:rsidRPr="00A7683D">
        <w:t xml:space="preserve">, </w:t>
      </w:r>
      <w:r w:rsidR="008A3DDB" w:rsidRPr="00FC386D">
        <w:rPr>
          <w:i/>
          <w:iCs/>
        </w:rPr>
        <w:t>p</w:t>
      </w:r>
      <w:r w:rsidR="008A3DDB" w:rsidRPr="00A7683D">
        <w:t xml:space="preserve"> = .00</w:t>
      </w:r>
      <w:r w:rsidR="00FD3DCB">
        <w:t>3</w:t>
      </w:r>
      <w:r w:rsidR="006D02A7">
        <w:t>)</w:t>
      </w:r>
      <w:r w:rsidR="008A3DDB" w:rsidRPr="00A7683D">
        <w:t>,</w:t>
      </w:r>
      <w:r w:rsidR="00127F0F" w:rsidRPr="00A7683D">
        <w:t xml:space="preserve"> indicating a pattern of faster gaze latencies for the hearing group</w:t>
      </w:r>
      <w:r w:rsidR="008A3DDB" w:rsidRPr="00A7683D">
        <w:t xml:space="preserve"> compared to the deaf group</w:t>
      </w:r>
      <w:r w:rsidR="00127F0F" w:rsidRPr="00A7683D">
        <w:t xml:space="preserve">. </w:t>
      </w:r>
      <w:r w:rsidRPr="00A7683D">
        <w:t>Across groups, gaze latencies did not significantly change over trials</w:t>
      </w:r>
      <w:r w:rsidR="002453D0" w:rsidRPr="00A7683D">
        <w:t xml:space="preserve"> (</w:t>
      </w:r>
      <w:r w:rsidR="002453D0" w:rsidRPr="00A7683D">
        <w:rPr>
          <w:i/>
          <w:iCs/>
        </w:rPr>
        <w:t>p</w:t>
      </w:r>
      <w:r w:rsidR="002453D0" w:rsidRPr="00A7683D">
        <w:t xml:space="preserve"> = .8</w:t>
      </w:r>
      <w:r w:rsidR="00FD3DCB">
        <w:t>2</w:t>
      </w:r>
      <w:r w:rsidR="002453D0" w:rsidRPr="00A7683D">
        <w:t>)</w:t>
      </w:r>
      <w:r w:rsidRPr="00A7683D">
        <w:t xml:space="preserve">. </w:t>
      </w:r>
      <w:r w:rsidR="008935C5">
        <w:t xml:space="preserve">To quantify the relative strength of this model, we calculated Bayes factor using the R package </w:t>
      </w:r>
      <w:proofErr w:type="spellStart"/>
      <w:r w:rsidR="008935C5" w:rsidRPr="008935C5">
        <w:rPr>
          <w:i/>
          <w:iCs/>
        </w:rPr>
        <w:t>BayesFactor</w:t>
      </w:r>
      <w:proofErr w:type="spellEnd"/>
      <w:r w:rsidR="008935C5">
        <w:t xml:space="preserve"> which indicated there </w:t>
      </w:r>
      <w:r w:rsidR="008935C5" w:rsidRPr="008935C5">
        <w:t xml:space="preserve">is </w:t>
      </w:r>
      <w:r w:rsidR="008935C5">
        <w:t>“</w:t>
      </w:r>
      <w:r w:rsidR="008935C5" w:rsidRPr="008935C5">
        <w:t>strong</w:t>
      </w:r>
      <w:r w:rsidR="008935C5">
        <w:t xml:space="preserve">” </w:t>
      </w:r>
      <w:r w:rsidR="008935C5" w:rsidRPr="008935C5">
        <w:t xml:space="preserve">evidence in favor of </w:t>
      </w:r>
      <w:r w:rsidR="008935C5">
        <w:t xml:space="preserve">the alternative hypothesis </w:t>
      </w:r>
      <w:r w:rsidR="008935C5" w:rsidRPr="008935C5">
        <w:t xml:space="preserve">(BF = </w:t>
      </w:r>
      <w:r w:rsidR="008935C5">
        <w:t xml:space="preserve">25.04 </w:t>
      </w:r>
      <w:r w:rsidR="008935C5" w:rsidRPr="008935C5">
        <w:t>±1.36%</w:t>
      </w:r>
      <w:r w:rsidR="008935C5">
        <w:t>; Jeffreys, 1961</w:t>
      </w:r>
      <w:r w:rsidR="008935C5" w:rsidRPr="008935C5">
        <w:t>)</w:t>
      </w:r>
      <w:r w:rsidR="008935C5">
        <w:t>.</w:t>
      </w:r>
    </w:p>
    <w:p w14:paraId="1714805D" w14:textId="30BCFA71" w:rsidR="00765108" w:rsidRDefault="00765108" w:rsidP="00765108">
      <w:pPr>
        <w:ind w:firstLine="0"/>
      </w:pPr>
      <w:r>
        <w:rPr>
          <w:noProof/>
        </w:rPr>
        <w:lastRenderedPageBreak/>
        <w:drawing>
          <wp:inline distT="0" distB="0" distL="0" distR="0" wp14:anchorId="7B83F4E7" wp14:editId="45B913B1">
            <wp:extent cx="5943600" cy="3604260"/>
            <wp:effectExtent l="0" t="0" r="0" b="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3604260"/>
                    </a:xfrm>
                    <a:prstGeom prst="rect">
                      <a:avLst/>
                    </a:prstGeom>
                  </pic:spPr>
                </pic:pic>
              </a:graphicData>
            </a:graphic>
          </wp:inline>
        </w:drawing>
      </w:r>
    </w:p>
    <w:p w14:paraId="31BF2D56" w14:textId="55CDB91D" w:rsidR="00036CBD" w:rsidRPr="00DB5373" w:rsidRDefault="00F773A1" w:rsidP="00765108">
      <w:pPr>
        <w:ind w:firstLine="0"/>
        <w:rPr>
          <w:i/>
          <w:iCs/>
          <w:color w:val="333333"/>
          <w:shd w:val="clear" w:color="auto" w:fill="FFFFFF"/>
        </w:rPr>
      </w:pPr>
      <w:r w:rsidRPr="00DB5373">
        <w:rPr>
          <w:b/>
          <w:bCs/>
          <w:i/>
          <w:iCs/>
        </w:rPr>
        <w:t>Figure 3.</w:t>
      </w:r>
      <w:r w:rsidRPr="00DB5373">
        <w:rPr>
          <w:i/>
          <w:iCs/>
        </w:rPr>
        <w:t xml:space="preserve"> </w:t>
      </w:r>
      <w:r w:rsidRPr="00DB5373">
        <w:rPr>
          <w:i/>
          <w:iCs/>
          <w:color w:val="333333"/>
          <w:shd w:val="clear" w:color="auto" w:fill="FFFFFF"/>
        </w:rPr>
        <w:t>Scatterplot showing gaze latencies across trials for individual infants, plotted with a best-fitting linear regression line. Shaded regions indicate standard deviations.</w:t>
      </w:r>
    </w:p>
    <w:p w14:paraId="17CD4E55" w14:textId="554D28E5" w:rsidR="001E5A31" w:rsidRDefault="008A3DDB" w:rsidP="008A3DDB">
      <w:r w:rsidRPr="00A7683D">
        <w:t xml:space="preserve">Secondly, to determine whether learning occurred in one group but not the other, we </w:t>
      </w:r>
      <w:r w:rsidR="007A4D11" w:rsidRPr="00A7683D">
        <w:t>ran</w:t>
      </w:r>
      <w:r w:rsidRPr="00A7683D">
        <w:t xml:space="preserve"> separate </w:t>
      </w:r>
      <w:r w:rsidR="007A4D11" w:rsidRPr="00A7683D">
        <w:t>models for each group with trial as a fixed effect and participant as a random effect. For the hearing infants, the model revealed a significant effect of trial (estimate = -</w:t>
      </w:r>
      <w:r w:rsidR="003A3684">
        <w:t>18.47</w:t>
      </w:r>
      <w:r w:rsidR="0055594C">
        <w:t>ms</w:t>
      </w:r>
      <w:r w:rsidR="007A4D11" w:rsidRPr="00A7683D">
        <w:t>, χ</w:t>
      </w:r>
      <w:r w:rsidR="007A4D11" w:rsidRPr="00A7683D">
        <w:rPr>
          <w:vertAlign w:val="superscript"/>
        </w:rPr>
        <w:t>2</w:t>
      </w:r>
      <w:r w:rsidR="007A4D11" w:rsidRPr="00A7683D">
        <w:t xml:space="preserve"> (1, </w:t>
      </w:r>
      <w:r w:rsidR="007A4D11" w:rsidRPr="00A7683D">
        <w:rPr>
          <w:i/>
          <w:iCs/>
        </w:rPr>
        <w:t>n</w:t>
      </w:r>
      <w:r w:rsidR="007A4D11" w:rsidRPr="00A7683D">
        <w:t xml:space="preserve"> = </w:t>
      </w:r>
      <w:r w:rsidR="003A3684" w:rsidRPr="00A7683D">
        <w:t>1</w:t>
      </w:r>
      <w:r w:rsidR="003A3684">
        <w:t>9</w:t>
      </w:r>
      <w:r w:rsidR="003A3684" w:rsidRPr="00A7683D">
        <w:t>0</w:t>
      </w:r>
      <w:r w:rsidR="007A4D11" w:rsidRPr="00A7683D">
        <w:t xml:space="preserve">) = </w:t>
      </w:r>
      <w:r w:rsidR="003A3684">
        <w:t>36.95</w:t>
      </w:r>
      <w:r w:rsidR="007A4D11" w:rsidRPr="00A7683D">
        <w:t xml:space="preserve">, </w:t>
      </w:r>
      <w:r w:rsidR="007A4D11" w:rsidRPr="00A7683D">
        <w:rPr>
          <w:i/>
          <w:iCs/>
        </w:rPr>
        <w:t>p</w:t>
      </w:r>
      <w:r w:rsidR="007A4D11" w:rsidRPr="00A7683D">
        <w:t xml:space="preserve"> &lt; .0001) indicating that gaze became faster over </w:t>
      </w:r>
      <w:r w:rsidR="0052461A" w:rsidRPr="00A7683D">
        <w:t>the course of the action sequence</w:t>
      </w:r>
      <w:r w:rsidR="007A4D11" w:rsidRPr="00A7683D">
        <w:t>. For the deaf infants, the model showed no effect of trial (estimate = 0.</w:t>
      </w:r>
      <w:r w:rsidR="003A3684">
        <w:t>17</w:t>
      </w:r>
      <w:r w:rsidR="0055594C">
        <w:t>ms</w:t>
      </w:r>
      <w:r w:rsidR="007A4D11" w:rsidRPr="00A7683D">
        <w:t>, χ</w:t>
      </w:r>
      <w:r w:rsidR="007A4D11" w:rsidRPr="00A7683D">
        <w:rPr>
          <w:vertAlign w:val="superscript"/>
        </w:rPr>
        <w:t>2</w:t>
      </w:r>
      <w:r w:rsidR="007A4D11" w:rsidRPr="00A7683D">
        <w:t xml:space="preserve"> (1, </w:t>
      </w:r>
      <w:r w:rsidR="007A4D11" w:rsidRPr="00A7683D">
        <w:rPr>
          <w:i/>
          <w:iCs/>
        </w:rPr>
        <w:t>n</w:t>
      </w:r>
      <w:r w:rsidR="007A4D11" w:rsidRPr="00A7683D">
        <w:t xml:space="preserve"> = 1</w:t>
      </w:r>
      <w:r w:rsidR="003A3684">
        <w:t>33</w:t>
      </w:r>
      <w:r w:rsidR="007A4D11" w:rsidRPr="00A7683D">
        <w:t>) = .00</w:t>
      </w:r>
      <w:r w:rsidR="003A3684">
        <w:t>1</w:t>
      </w:r>
      <w:r w:rsidR="007A4D11" w:rsidRPr="00A7683D">
        <w:t xml:space="preserve">, </w:t>
      </w:r>
      <w:r w:rsidR="007A4D11" w:rsidRPr="00A7683D">
        <w:rPr>
          <w:i/>
          <w:iCs/>
        </w:rPr>
        <w:t>p</w:t>
      </w:r>
      <w:r w:rsidR="007A4D11" w:rsidRPr="00A7683D">
        <w:t xml:space="preserve"> = .9</w:t>
      </w:r>
      <w:r w:rsidR="003A3684">
        <w:t>8</w:t>
      </w:r>
      <w:r w:rsidR="007A4D11" w:rsidRPr="00A7683D">
        <w:t>) indicating no change in gaze latencies over</w:t>
      </w:r>
      <w:r w:rsidR="0052461A">
        <w:t xml:space="preserve"> </w:t>
      </w:r>
      <w:r w:rsidR="0052461A" w:rsidRPr="00A7683D">
        <w:t>trials</w:t>
      </w:r>
      <w:r w:rsidR="007A4D11" w:rsidRPr="00A7683D">
        <w:t xml:space="preserve">. In sum, these findings </w:t>
      </w:r>
      <w:r w:rsidR="00A542D9" w:rsidRPr="00A7683D">
        <w:t xml:space="preserve">reveal evidence for </w:t>
      </w:r>
      <w:r w:rsidR="007A4D11" w:rsidRPr="00A7683D">
        <w:t xml:space="preserve">visual statistical </w:t>
      </w:r>
      <w:r w:rsidR="00A542D9" w:rsidRPr="00A7683D">
        <w:t xml:space="preserve">learning in the hearing </w:t>
      </w:r>
      <w:r w:rsidR="00C87EBB" w:rsidRPr="00A7683D">
        <w:t xml:space="preserve">infants </w:t>
      </w:r>
      <w:r w:rsidRPr="00A7683D">
        <w:t>but not in th</w:t>
      </w:r>
      <w:r w:rsidR="00A542D9" w:rsidRPr="00A7683D">
        <w:t xml:space="preserve">e deaf </w:t>
      </w:r>
      <w:r w:rsidR="00C87EBB" w:rsidRPr="00A7683D">
        <w:t>infants</w:t>
      </w:r>
      <w:r w:rsidR="00A542D9" w:rsidRPr="00A7683D">
        <w:t>.</w:t>
      </w:r>
    </w:p>
    <w:p w14:paraId="2711ED6A" w14:textId="3D22EB0C" w:rsidR="00DD4030" w:rsidRPr="00A7683D" w:rsidRDefault="00DD4030" w:rsidP="00DD4030">
      <w:bookmarkStart w:id="2" w:name="_Hlk98420171"/>
      <w:r>
        <w:t xml:space="preserve">The function </w:t>
      </w:r>
      <w:proofErr w:type="spellStart"/>
      <w:r>
        <w:t>powerSim</w:t>
      </w:r>
      <w:proofErr w:type="spellEnd"/>
      <w:r>
        <w:t xml:space="preserve"> in the R package </w:t>
      </w:r>
      <w:proofErr w:type="spellStart"/>
      <w:r>
        <w:t>simr</w:t>
      </w:r>
      <w:proofErr w:type="spellEnd"/>
      <w:r>
        <w:t xml:space="preserve"> was used to calculate observed power. The estimated models in Table 2 were used as the assumed effect sizes, and 10,000 simulations were used to determine the power of the likelihood ratio test to detect significant effects at the 5% </w:t>
      </w:r>
      <w:r>
        <w:lastRenderedPageBreak/>
        <w:t>significance level. For the group</w:t>
      </w:r>
      <w:r w:rsidR="008A1571">
        <w:t>*</w:t>
      </w:r>
      <w:r>
        <w:t>trial interaction in the infant data, the power is estimated to be 90.8% with the current sample size of 16 infants.</w:t>
      </w:r>
    </w:p>
    <w:bookmarkEnd w:id="2"/>
    <w:p w14:paraId="5764E523" w14:textId="693153DF" w:rsidR="00A542D9" w:rsidRPr="00A7683D" w:rsidRDefault="00EE238C" w:rsidP="00EE238C">
      <w:pPr>
        <w:pStyle w:val="Heading3"/>
      </w:pPr>
      <w:r w:rsidRPr="00A7683D">
        <w:t xml:space="preserve">3.2 </w:t>
      </w:r>
      <w:r w:rsidR="00A542D9" w:rsidRPr="00A7683D">
        <w:t>Toddlers</w:t>
      </w:r>
    </w:p>
    <w:p w14:paraId="30F08315" w14:textId="4B501E12" w:rsidR="00765108" w:rsidRDefault="00A542D9" w:rsidP="00B04382">
      <w:r w:rsidRPr="00A7683D">
        <w:t>For toddlers, the interaction between trial and group was not significant (</w:t>
      </w:r>
      <w:r w:rsidR="00DF19ED" w:rsidRPr="00A7683D">
        <w:rPr>
          <w:i/>
          <w:iCs/>
        </w:rPr>
        <w:t>p</w:t>
      </w:r>
      <w:r w:rsidR="00DF19ED" w:rsidRPr="00A7683D">
        <w:t xml:space="preserve"> = .</w:t>
      </w:r>
      <w:r w:rsidR="003A3684">
        <w:t>4</w:t>
      </w:r>
      <w:r w:rsidR="003A3684" w:rsidRPr="00A7683D">
        <w:t>0</w:t>
      </w:r>
      <w:r w:rsidR="00DF19ED" w:rsidRPr="00A7683D">
        <w:t>)</w:t>
      </w:r>
      <w:r w:rsidRPr="00A7683D">
        <w:t xml:space="preserve">, indicating a similar </w:t>
      </w:r>
      <w:r w:rsidR="00711045" w:rsidRPr="00A7683D">
        <w:t>decrease</w:t>
      </w:r>
      <w:r w:rsidRPr="00A7683D">
        <w:t xml:space="preserve"> in gaze latencies </w:t>
      </w:r>
      <w:r w:rsidR="00084C97" w:rsidRPr="00A7683D">
        <w:t xml:space="preserve">over the course of the </w:t>
      </w:r>
      <w:r w:rsidR="0052461A">
        <w:t>action sequence</w:t>
      </w:r>
      <w:r w:rsidRPr="00A7683D">
        <w:t xml:space="preserve"> for deaf and hearing toddlers (Figure 4). </w:t>
      </w:r>
      <w:r w:rsidR="0052461A">
        <w:t xml:space="preserve">A main effect of trial indicated that </w:t>
      </w:r>
      <w:r w:rsidRPr="00A7683D">
        <w:t xml:space="preserve">gaze latencies </w:t>
      </w:r>
      <w:r w:rsidR="00711045" w:rsidRPr="00A7683D">
        <w:t xml:space="preserve">became faster </w:t>
      </w:r>
      <w:r w:rsidRPr="00A7683D">
        <w:t>over trials</w:t>
      </w:r>
      <w:r w:rsidR="003A3684">
        <w:t xml:space="preserve"> across groups</w:t>
      </w:r>
      <w:r w:rsidRPr="00A7683D">
        <w:t xml:space="preserve"> </w:t>
      </w:r>
      <w:r w:rsidRPr="002453D0">
        <w:t>(</w:t>
      </w:r>
      <w:r w:rsidR="00DF19ED" w:rsidRPr="002453D0">
        <w:t>χ</w:t>
      </w:r>
      <w:r w:rsidR="00DF19ED" w:rsidRPr="002453D0">
        <w:rPr>
          <w:vertAlign w:val="superscript"/>
        </w:rPr>
        <w:t>2</w:t>
      </w:r>
      <w:r w:rsidR="00DF19ED" w:rsidRPr="002453D0">
        <w:t xml:space="preserve"> (1, </w:t>
      </w:r>
      <w:r w:rsidR="00DF19ED" w:rsidRPr="002453D0">
        <w:rPr>
          <w:i/>
          <w:iCs/>
        </w:rPr>
        <w:t>n</w:t>
      </w:r>
      <w:r w:rsidR="00DF19ED" w:rsidRPr="002453D0">
        <w:t xml:space="preserve"> = </w:t>
      </w:r>
      <w:r w:rsidR="003A3684">
        <w:t xml:space="preserve">455 </w:t>
      </w:r>
      <w:r w:rsidR="009D7C03">
        <w:t>observations</w:t>
      </w:r>
      <w:r w:rsidR="00DF19ED" w:rsidRPr="002453D0">
        <w:t xml:space="preserve">) = </w:t>
      </w:r>
      <w:r w:rsidR="003A3684">
        <w:t>5.36</w:t>
      </w:r>
      <w:r w:rsidR="00DF19ED" w:rsidRPr="002453D0">
        <w:t xml:space="preserve">, </w:t>
      </w:r>
      <w:r w:rsidR="00DF19ED" w:rsidRPr="002453D0">
        <w:rPr>
          <w:i/>
          <w:iCs/>
        </w:rPr>
        <w:t>p</w:t>
      </w:r>
      <w:r w:rsidR="00DF19ED" w:rsidRPr="002453D0">
        <w:t xml:space="preserve"> = .</w:t>
      </w:r>
      <w:r w:rsidR="003A3684" w:rsidRPr="002453D0">
        <w:t>0</w:t>
      </w:r>
      <w:r w:rsidR="003A3684">
        <w:t>2</w:t>
      </w:r>
      <w:r w:rsidR="00DF19ED" w:rsidRPr="002453D0">
        <w:t>)</w:t>
      </w:r>
      <w:r w:rsidR="003A3684">
        <w:t>.</w:t>
      </w:r>
      <w:r w:rsidRPr="002453D0">
        <w:t xml:space="preserve"> </w:t>
      </w:r>
      <w:r w:rsidRPr="00612195">
        <w:t>Across trials, the difference in gaze latencies between groups was not significant</w:t>
      </w:r>
      <w:r w:rsidR="00DF19ED">
        <w:t xml:space="preserve">, </w:t>
      </w:r>
      <w:r w:rsidR="00DF19ED" w:rsidRPr="00DF19ED">
        <w:rPr>
          <w:i/>
          <w:iCs/>
        </w:rPr>
        <w:t xml:space="preserve">p </w:t>
      </w:r>
      <w:r w:rsidR="00DF19ED">
        <w:t>=</w:t>
      </w:r>
      <w:r w:rsidR="002453D0">
        <w:t xml:space="preserve"> .</w:t>
      </w:r>
      <w:r w:rsidR="003A3684">
        <w:t>99</w:t>
      </w:r>
      <w:r w:rsidRPr="00612195">
        <w:t xml:space="preserve">. These findings reveal evidence for learning in both groups, </w:t>
      </w:r>
      <w:r w:rsidR="00C63902">
        <w:t>with</w:t>
      </w:r>
      <w:r w:rsidRPr="00612195">
        <w:t xml:space="preserve"> no differences between groups.</w:t>
      </w:r>
      <w:r w:rsidR="00BD3695">
        <w:t xml:space="preserve"> </w:t>
      </w:r>
      <w:r w:rsidR="008935C5">
        <w:t xml:space="preserve">A Bayes factor analysis indicated “moderate” </w:t>
      </w:r>
      <w:r w:rsidR="008935C5" w:rsidRPr="008935C5">
        <w:t xml:space="preserve">evidence in </w:t>
      </w:r>
      <w:proofErr w:type="spellStart"/>
      <w:r w:rsidR="008935C5" w:rsidRPr="008935C5">
        <w:t>favour</w:t>
      </w:r>
      <w:proofErr w:type="spellEnd"/>
      <w:r w:rsidR="008935C5" w:rsidRPr="008935C5">
        <w:t xml:space="preserve"> of </w:t>
      </w:r>
      <w:r w:rsidR="008935C5">
        <w:t xml:space="preserve">the </w:t>
      </w:r>
      <w:r w:rsidR="00B123AE" w:rsidRPr="00B123AE">
        <w:rPr>
          <w:i/>
          <w:iCs/>
        </w:rPr>
        <w:t>null</w:t>
      </w:r>
      <w:r w:rsidR="008935C5">
        <w:t xml:space="preserve"> hypothesis </w:t>
      </w:r>
      <w:r w:rsidR="008935C5" w:rsidRPr="008935C5">
        <w:t xml:space="preserve">(BF = </w:t>
      </w:r>
      <w:r w:rsidR="00B123AE" w:rsidRPr="00B123AE">
        <w:t>0.2</w:t>
      </w:r>
      <w:r w:rsidR="00B123AE">
        <w:t>6</w:t>
      </w:r>
      <w:r w:rsidR="00B123AE" w:rsidRPr="00B123AE">
        <w:t xml:space="preserve"> ±4.45%</w:t>
      </w:r>
      <w:r w:rsidR="008935C5">
        <w:t>; Jeffreys, 1961</w:t>
      </w:r>
      <w:r w:rsidR="008935C5" w:rsidRPr="008935C5">
        <w:t>)</w:t>
      </w:r>
      <w:r w:rsidR="008935C5">
        <w:t>.</w:t>
      </w:r>
    </w:p>
    <w:p w14:paraId="73FAF10C" w14:textId="1231C056" w:rsidR="00716F80" w:rsidRPr="00DB5373" w:rsidRDefault="003A3684" w:rsidP="00765108">
      <w:pPr>
        <w:ind w:firstLine="0"/>
        <w:rPr>
          <w:i/>
          <w:iCs/>
          <w:color w:val="333333"/>
          <w:shd w:val="clear" w:color="auto" w:fill="FFFFFF"/>
        </w:rPr>
      </w:pPr>
      <w:r>
        <w:rPr>
          <w:noProof/>
        </w:rPr>
        <w:drawing>
          <wp:inline distT="0" distB="0" distL="0" distR="0" wp14:anchorId="72ACD546" wp14:editId="10FE2C98">
            <wp:extent cx="5600700" cy="3575832"/>
            <wp:effectExtent l="0" t="0" r="0" b="571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17"/>
                    <a:stretch>
                      <a:fillRect/>
                    </a:stretch>
                  </pic:blipFill>
                  <pic:spPr>
                    <a:xfrm>
                      <a:off x="0" y="0"/>
                      <a:ext cx="5600700" cy="3575832"/>
                    </a:xfrm>
                    <a:prstGeom prst="rect">
                      <a:avLst/>
                    </a:prstGeom>
                  </pic:spPr>
                </pic:pic>
              </a:graphicData>
            </a:graphic>
          </wp:inline>
        </w:drawing>
      </w:r>
      <w:r w:rsidR="00F773A1" w:rsidRPr="00DB5373">
        <w:rPr>
          <w:b/>
          <w:bCs/>
          <w:i/>
          <w:iCs/>
        </w:rPr>
        <w:t>Figure 4.</w:t>
      </w:r>
      <w:r w:rsidR="00F773A1" w:rsidRPr="00DB5373">
        <w:rPr>
          <w:i/>
          <w:iCs/>
        </w:rPr>
        <w:t xml:space="preserve"> </w:t>
      </w:r>
      <w:r w:rsidR="00F773A1" w:rsidRPr="00DB5373">
        <w:rPr>
          <w:i/>
          <w:iCs/>
          <w:color w:val="333333"/>
          <w:shd w:val="clear" w:color="auto" w:fill="FFFFFF"/>
        </w:rPr>
        <w:t>Scatterplot showing gaze latencies across trials for individual toddlers, plotted with a best-fitting linear regression line. Shaded regions indicate standard deviations.</w:t>
      </w:r>
    </w:p>
    <w:p w14:paraId="31D7A8E4" w14:textId="45289231" w:rsidR="009A6767" w:rsidRPr="00612195" w:rsidRDefault="00827416" w:rsidP="00F11D92">
      <w:r>
        <w:lastRenderedPageBreak/>
        <w:t>For deaf participants, a</w:t>
      </w:r>
      <w:r w:rsidR="00821DAE" w:rsidRPr="00821DAE">
        <w:t xml:space="preserve"> correlation analysis </w:t>
      </w:r>
      <w:r>
        <w:t>revealed</w:t>
      </w:r>
      <w:r w:rsidR="00821DAE" w:rsidRPr="00821DAE">
        <w:t xml:space="preserve"> a </w:t>
      </w:r>
      <w:r>
        <w:t xml:space="preserve">significant </w:t>
      </w:r>
      <w:r w:rsidR="00821DAE" w:rsidRPr="00821DAE">
        <w:t xml:space="preserve">correlation between learning (mean difference in RTs) </w:t>
      </w:r>
      <w:r>
        <w:t xml:space="preserve">and </w:t>
      </w:r>
      <w:r w:rsidR="00821DAE" w:rsidRPr="00821DAE">
        <w:t>age at activation (</w:t>
      </w:r>
      <w:r w:rsidR="00821DAE" w:rsidRPr="007612CD">
        <w:rPr>
          <w:i/>
          <w:iCs/>
        </w:rPr>
        <w:t>r</w:t>
      </w:r>
      <w:r w:rsidR="00821DAE" w:rsidRPr="00821DAE">
        <w:t xml:space="preserve"> </w:t>
      </w:r>
      <w:r w:rsidR="00F92184">
        <w:t>=</w:t>
      </w:r>
      <w:r w:rsidR="00821DAE" w:rsidRPr="00821DAE">
        <w:t>.</w:t>
      </w:r>
      <w:r w:rsidR="003A3684">
        <w:t>74</w:t>
      </w:r>
      <w:r w:rsidR="00821DAE" w:rsidRPr="00821DAE">
        <w:t xml:space="preserve">, </w:t>
      </w:r>
      <w:r w:rsidR="00821DAE" w:rsidRPr="007612CD">
        <w:rPr>
          <w:i/>
          <w:iCs/>
        </w:rPr>
        <w:t>p</w:t>
      </w:r>
      <w:r w:rsidR="00821DAE" w:rsidRPr="00821DAE">
        <w:t xml:space="preserve"> = .0</w:t>
      </w:r>
      <w:r w:rsidR="003A3684">
        <w:t>04</w:t>
      </w:r>
      <w:r w:rsidR="00821DAE" w:rsidRPr="00821DAE">
        <w:t>, CI = [.</w:t>
      </w:r>
      <w:r w:rsidR="003A3684">
        <w:t>32</w:t>
      </w:r>
      <w:r w:rsidR="00821DAE" w:rsidRPr="00821DAE">
        <w:t>-.</w:t>
      </w:r>
      <w:r w:rsidR="00D5459B">
        <w:t>9</w:t>
      </w:r>
      <w:r w:rsidR="003A3684">
        <w:t>2</w:t>
      </w:r>
      <w:r w:rsidR="00821DAE" w:rsidRPr="00821DAE">
        <w:t>])</w:t>
      </w:r>
      <w:r>
        <w:t>. T</w:t>
      </w:r>
      <w:r w:rsidR="00821DAE">
        <w:t>oddlers</w:t>
      </w:r>
      <w:r w:rsidR="00821DAE" w:rsidRPr="00821DAE">
        <w:t xml:space="preserve"> </w:t>
      </w:r>
      <w:r>
        <w:t xml:space="preserve">who were </w:t>
      </w:r>
      <w:r w:rsidR="00821DAE" w:rsidRPr="00821DAE">
        <w:t>activated earlier show</w:t>
      </w:r>
      <w:r>
        <w:t>ed</w:t>
      </w:r>
      <w:r w:rsidR="00821DAE" w:rsidRPr="00821DAE">
        <w:t xml:space="preserve"> stronger learning effects than </w:t>
      </w:r>
      <w:r w:rsidR="00821DAE">
        <w:t>toddlers</w:t>
      </w:r>
      <w:r w:rsidR="00821DAE" w:rsidRPr="00821DAE">
        <w:t xml:space="preserve"> who were activated later. However, there was no correlation with hearing age (</w:t>
      </w:r>
      <w:r w:rsidR="00821DAE" w:rsidRPr="007612CD">
        <w:rPr>
          <w:i/>
          <w:iCs/>
        </w:rPr>
        <w:t>p</w:t>
      </w:r>
      <w:r w:rsidR="00821DAE" w:rsidRPr="00821DAE">
        <w:t xml:space="preserve"> = 0.</w:t>
      </w:r>
      <w:r w:rsidR="0092578D">
        <w:t>40</w:t>
      </w:r>
      <w:r w:rsidR="00821DAE" w:rsidRPr="00821DAE">
        <w:t>)</w:t>
      </w:r>
      <w:r w:rsidR="00821DAE">
        <w:t xml:space="preserve">: </w:t>
      </w:r>
      <w:r>
        <w:t xml:space="preserve">at the time of testing, </w:t>
      </w:r>
      <w:r w:rsidR="00821DAE">
        <w:t>toddlers with longer experience with their CIs did not differ significantly from toddlers with less CI experience</w:t>
      </w:r>
      <w:r w:rsidR="00821DAE" w:rsidRPr="00821DAE">
        <w:t>.</w:t>
      </w:r>
      <w:r w:rsidR="00B33806">
        <w:t xml:space="preserve"> </w:t>
      </w:r>
      <w:r>
        <w:t>Across all participants (deaf and hearing), t</w:t>
      </w:r>
      <w:r w:rsidR="00B33806">
        <w:t xml:space="preserve">here were no correlations between learning </w:t>
      </w:r>
      <w:r w:rsidR="0077427D">
        <w:t>and chronological age in either infants (</w:t>
      </w:r>
      <w:r w:rsidR="0077427D" w:rsidRPr="007612CD">
        <w:rPr>
          <w:i/>
          <w:iCs/>
        </w:rPr>
        <w:t>p</w:t>
      </w:r>
      <w:r w:rsidR="0077427D">
        <w:t xml:space="preserve"> = .</w:t>
      </w:r>
      <w:r>
        <w:t>15</w:t>
      </w:r>
      <w:r w:rsidR="0077427D">
        <w:t>) or toddlers (</w:t>
      </w:r>
      <w:r w:rsidR="0077427D" w:rsidRPr="007612CD">
        <w:rPr>
          <w:i/>
          <w:iCs/>
        </w:rPr>
        <w:t>p</w:t>
      </w:r>
      <w:r w:rsidR="0077427D">
        <w:t xml:space="preserve"> = </w:t>
      </w:r>
      <w:r w:rsidR="007612CD">
        <w:t>.</w:t>
      </w:r>
      <w:r w:rsidR="00481FB1">
        <w:t>15</w:t>
      </w:r>
      <w:r w:rsidR="007612CD">
        <w:t>).</w:t>
      </w:r>
    </w:p>
    <w:p w14:paraId="003B2999" w14:textId="2880F5A5" w:rsidR="00A76013" w:rsidRPr="00727A15" w:rsidRDefault="00EE238C" w:rsidP="00EE238C">
      <w:pPr>
        <w:pStyle w:val="Heading3"/>
      </w:pPr>
      <w:r>
        <w:t xml:space="preserve">3.3 </w:t>
      </w:r>
      <w:r w:rsidR="00A76013" w:rsidRPr="00727A15">
        <w:t>Correlations with Language Scores</w:t>
      </w:r>
    </w:p>
    <w:p w14:paraId="32F96F09" w14:textId="2E2E0FE9" w:rsidR="002C1166" w:rsidRDefault="00932B93" w:rsidP="00DE4644">
      <w:r>
        <w:t>The m</w:t>
      </w:r>
      <w:r w:rsidR="00916BC0">
        <w:t>ean PLS</w:t>
      </w:r>
      <w:r w:rsidR="00A71455">
        <w:t>-5</w:t>
      </w:r>
      <w:r w:rsidR="00916BC0">
        <w:t xml:space="preserve"> standard score </w:t>
      </w:r>
      <w:r w:rsidR="007900F7">
        <w:t xml:space="preserve">across deaf toddlers </w:t>
      </w:r>
      <w:r w:rsidR="00AD1A3A">
        <w:t>was</w:t>
      </w:r>
      <w:r w:rsidR="0007777A">
        <w:t xml:space="preserve"> 89.</w:t>
      </w:r>
      <w:r w:rsidR="0092578D">
        <w:t xml:space="preserve">7 </w:t>
      </w:r>
      <w:r w:rsidR="00921519">
        <w:t xml:space="preserve">for </w:t>
      </w:r>
      <w:r w:rsidR="00153815">
        <w:t>auditory comprehension</w:t>
      </w:r>
      <w:r w:rsidR="00921519">
        <w:t xml:space="preserve"> (</w:t>
      </w:r>
      <w:r w:rsidR="00A871D5">
        <w:t xml:space="preserve">range = </w:t>
      </w:r>
      <w:r w:rsidR="00A52481">
        <w:t>63-117</w:t>
      </w:r>
      <w:r w:rsidR="00153815">
        <w:t xml:space="preserve">), </w:t>
      </w:r>
      <w:r w:rsidR="0092578D">
        <w:t>91.1</w:t>
      </w:r>
      <w:r w:rsidR="00153815">
        <w:t xml:space="preserve"> </w:t>
      </w:r>
      <w:r w:rsidR="00A52481">
        <w:t xml:space="preserve">for </w:t>
      </w:r>
      <w:r w:rsidR="00153815">
        <w:t>expressive communication</w:t>
      </w:r>
      <w:r w:rsidR="00A52481">
        <w:t xml:space="preserve"> (range = 69-113</w:t>
      </w:r>
      <w:r w:rsidR="00153815">
        <w:t>), and 89.</w:t>
      </w:r>
      <w:r w:rsidR="0092578D">
        <w:t>9</w:t>
      </w:r>
      <w:r w:rsidR="00153815">
        <w:t xml:space="preserve"> </w:t>
      </w:r>
      <w:r w:rsidR="00A52481">
        <w:t xml:space="preserve">for </w:t>
      </w:r>
      <w:r w:rsidR="00153815">
        <w:t>total language</w:t>
      </w:r>
      <w:r w:rsidR="00A52481">
        <w:t xml:space="preserve"> score (range = 67-116). </w:t>
      </w:r>
      <w:r w:rsidR="000271C3">
        <w:t>M</w:t>
      </w:r>
      <w:r w:rsidR="00A52481">
        <w:t>ean score</w:t>
      </w:r>
      <w:r w:rsidR="000271C3">
        <w:t>s</w:t>
      </w:r>
      <w:r w:rsidR="00A52481">
        <w:t xml:space="preserve"> are </w:t>
      </w:r>
      <w:r w:rsidR="0001664F">
        <w:t>within 1 SD of age norms for he</w:t>
      </w:r>
      <w:r w:rsidR="0089303B">
        <w:t>aring age-mat</w:t>
      </w:r>
      <w:r w:rsidR="0001664F">
        <w:t>ch</w:t>
      </w:r>
      <w:r w:rsidR="0089303B">
        <w:t>es (85 or higher)</w:t>
      </w:r>
      <w:r w:rsidR="00A52481">
        <w:t xml:space="preserve">, though </w:t>
      </w:r>
      <w:r w:rsidR="000271C3">
        <w:t>several</w:t>
      </w:r>
      <w:r w:rsidR="00A52481">
        <w:t xml:space="preserve"> </w:t>
      </w:r>
      <w:r w:rsidR="000271C3">
        <w:t>toddlers</w:t>
      </w:r>
      <w:r w:rsidR="00A52481">
        <w:t xml:space="preserve"> were below average</w:t>
      </w:r>
      <w:r w:rsidR="00153815">
        <w:t>.</w:t>
      </w:r>
      <w:r w:rsidR="00AD1A3A">
        <w:t xml:space="preserve"> </w:t>
      </w:r>
      <w:r w:rsidR="00E35104" w:rsidRPr="00612195">
        <w:t>To assess whether performance on the VSL task was associated with language growth</w:t>
      </w:r>
      <w:r w:rsidR="00925B0F" w:rsidRPr="00612195">
        <w:t xml:space="preserve"> for the </w:t>
      </w:r>
      <w:r w:rsidR="00DE4644" w:rsidRPr="00612195">
        <w:t>deaf participants</w:t>
      </w:r>
      <w:r w:rsidR="00E35104" w:rsidRPr="00612195">
        <w:t xml:space="preserve">, we conducted </w:t>
      </w:r>
      <w:r w:rsidR="00925B0F" w:rsidRPr="00612195">
        <w:t xml:space="preserve">a </w:t>
      </w:r>
      <w:r w:rsidR="00E35104" w:rsidRPr="00612195">
        <w:t>correlation analys</w:t>
      </w:r>
      <w:r w:rsidR="00925B0F" w:rsidRPr="00612195">
        <w:t>i</w:t>
      </w:r>
      <w:r w:rsidR="00E35104" w:rsidRPr="00612195">
        <w:t xml:space="preserve">s </w:t>
      </w:r>
      <w:r w:rsidR="001A3D50">
        <w:t>between</w:t>
      </w:r>
      <w:r w:rsidR="00925B0F" w:rsidRPr="00612195">
        <w:t xml:space="preserve"> PLS-5</w:t>
      </w:r>
      <w:r w:rsidR="001A3D50">
        <w:t xml:space="preserve"> </w:t>
      </w:r>
      <w:r w:rsidR="00A71455">
        <w:t xml:space="preserve">scores </w:t>
      </w:r>
      <w:r w:rsidR="001A3D50">
        <w:t xml:space="preserve">and the mean change in </w:t>
      </w:r>
      <w:r w:rsidR="002C1166">
        <w:t>gaze latencies</w:t>
      </w:r>
      <w:r w:rsidR="001A3D50">
        <w:t xml:space="preserve"> over trials</w:t>
      </w:r>
      <w:r w:rsidR="00925B0F" w:rsidRPr="00612195">
        <w:t>.</w:t>
      </w:r>
      <w:r w:rsidR="002C1166">
        <w:t xml:space="preserve"> </w:t>
      </w:r>
      <w:r w:rsidR="00925B0F" w:rsidRPr="00612195">
        <w:t xml:space="preserve"> </w:t>
      </w:r>
      <w:r w:rsidR="002C1166">
        <w:t>Mean change in gaze latencies was calculated by averaging across the difference between all adjacent trials</w:t>
      </w:r>
      <w:r w:rsidR="002430D7">
        <w:t xml:space="preserve"> to produce one learning score for each child</w:t>
      </w:r>
      <w:r w:rsidR="002C1166">
        <w:t xml:space="preserve">: </w:t>
      </w:r>
    </w:p>
    <w:p w14:paraId="345D7357" w14:textId="1C3BB394" w:rsidR="002C1166" w:rsidRPr="00932B93" w:rsidRDefault="002C1166" w:rsidP="002C1166">
      <w:pPr>
        <w:ind w:firstLine="0"/>
        <w:jc w:val="center"/>
        <w:rPr>
          <w:lang w:val="de-DE"/>
        </w:rPr>
      </w:pPr>
      <w:r w:rsidRPr="00932B93">
        <w:rPr>
          <w:i/>
          <w:iCs/>
          <w:lang w:val="de-DE"/>
        </w:rPr>
        <w:t>mean</w:t>
      </w:r>
      <w:r w:rsidRPr="00932B93">
        <w:rPr>
          <w:lang w:val="de-DE"/>
        </w:rPr>
        <w:t>((t</w:t>
      </w:r>
      <w:r w:rsidRPr="00932B93">
        <w:rPr>
          <w:vertAlign w:val="subscript"/>
          <w:lang w:val="de-DE"/>
        </w:rPr>
        <w:t>2</w:t>
      </w:r>
      <w:r w:rsidRPr="00932B93">
        <w:rPr>
          <w:lang w:val="de-DE"/>
        </w:rPr>
        <w:t>-t</w:t>
      </w:r>
      <w:r w:rsidRPr="00932B93">
        <w:rPr>
          <w:vertAlign w:val="subscript"/>
          <w:lang w:val="de-DE"/>
        </w:rPr>
        <w:t>1</w:t>
      </w:r>
      <w:r w:rsidRPr="00932B93">
        <w:rPr>
          <w:lang w:val="de-DE"/>
        </w:rPr>
        <w:t>),(t</w:t>
      </w:r>
      <w:r w:rsidRPr="00932B93">
        <w:rPr>
          <w:vertAlign w:val="subscript"/>
          <w:lang w:val="de-DE"/>
        </w:rPr>
        <w:t>3</w:t>
      </w:r>
      <w:r w:rsidRPr="00932B93">
        <w:rPr>
          <w:lang w:val="de-DE"/>
        </w:rPr>
        <w:t>-t</w:t>
      </w:r>
      <w:r w:rsidRPr="00932B93">
        <w:rPr>
          <w:vertAlign w:val="subscript"/>
          <w:lang w:val="de-DE"/>
        </w:rPr>
        <w:t>2</w:t>
      </w:r>
      <w:r w:rsidR="008271A1" w:rsidRPr="00932B93">
        <w:rPr>
          <w:lang w:val="de-DE"/>
        </w:rPr>
        <w:t>)…</w:t>
      </w:r>
      <w:r w:rsidRPr="00932B93">
        <w:rPr>
          <w:lang w:val="de-DE"/>
        </w:rPr>
        <w:t>(t</w:t>
      </w:r>
      <w:r w:rsidRPr="00932B93">
        <w:rPr>
          <w:i/>
          <w:iCs/>
          <w:vertAlign w:val="subscript"/>
          <w:lang w:val="de-DE"/>
        </w:rPr>
        <w:t>i</w:t>
      </w:r>
      <w:r w:rsidRPr="00932B93">
        <w:rPr>
          <w:lang w:val="de-DE"/>
        </w:rPr>
        <w:t>-t</w:t>
      </w:r>
      <w:r w:rsidRPr="00932B93">
        <w:rPr>
          <w:i/>
          <w:iCs/>
          <w:vertAlign w:val="subscript"/>
          <w:lang w:val="de-DE"/>
        </w:rPr>
        <w:t>i-1</w:t>
      </w:r>
      <w:r w:rsidRPr="00932B93">
        <w:rPr>
          <w:lang w:val="de-DE"/>
        </w:rPr>
        <w:t>))</w:t>
      </w:r>
    </w:p>
    <w:p w14:paraId="5DE7BF61" w14:textId="0920CE08" w:rsidR="00B04382" w:rsidRDefault="00094FE9" w:rsidP="002C1166">
      <w:pPr>
        <w:ind w:firstLine="0"/>
      </w:pPr>
      <w:r>
        <w:t xml:space="preserve">with </w:t>
      </w:r>
      <w:r w:rsidRPr="00094FE9">
        <w:rPr>
          <w:i/>
          <w:iCs/>
        </w:rPr>
        <w:t xml:space="preserve">t </w:t>
      </w:r>
      <w:r>
        <w:t>representing</w:t>
      </w:r>
      <w:r w:rsidR="00B4473D">
        <w:t xml:space="preserve"> a given</w:t>
      </w:r>
      <w:r>
        <w:t xml:space="preserve"> </w:t>
      </w:r>
      <w:r w:rsidR="00B4473D">
        <w:t>trial</w:t>
      </w:r>
      <w:r>
        <w:t xml:space="preserve"> and </w:t>
      </w:r>
      <w:proofErr w:type="spellStart"/>
      <w:r w:rsidRPr="00094FE9">
        <w:rPr>
          <w:i/>
          <w:iCs/>
        </w:rPr>
        <w:t>i</w:t>
      </w:r>
      <w:proofErr w:type="spellEnd"/>
      <w:r w:rsidRPr="00094FE9">
        <w:rPr>
          <w:i/>
          <w:iCs/>
        </w:rPr>
        <w:t xml:space="preserve"> </w:t>
      </w:r>
      <w:r>
        <w:t>representing the total number of trials for a given participant. T</w:t>
      </w:r>
      <w:r w:rsidR="00925B0F" w:rsidRPr="00612195">
        <w:t xml:space="preserve">his analysis revealed a significant correlation between </w:t>
      </w:r>
      <w:r w:rsidR="00886D60">
        <w:t>VSL</w:t>
      </w:r>
      <w:r w:rsidR="00925B0F" w:rsidRPr="00612195">
        <w:t xml:space="preserve"> and all three language subscales of the PLS-5</w:t>
      </w:r>
      <w:r w:rsidR="001A3D50">
        <w:t xml:space="preserve"> (Table </w:t>
      </w:r>
      <w:r w:rsidR="001C171E">
        <w:t>3</w:t>
      </w:r>
      <w:r w:rsidR="001A3D50">
        <w:t>)</w:t>
      </w:r>
      <w:r w:rsidR="00925B0F" w:rsidRPr="00612195">
        <w:t xml:space="preserve">. </w:t>
      </w:r>
      <w:r w:rsidR="00DD4030">
        <w:t>Toddlers</w:t>
      </w:r>
      <w:r w:rsidR="00925B0F" w:rsidRPr="00612195">
        <w:t xml:space="preserve"> </w:t>
      </w:r>
      <w:r w:rsidR="00DE4644" w:rsidRPr="00612195">
        <w:t>who demonstrated</w:t>
      </w:r>
      <w:r w:rsidR="00925B0F" w:rsidRPr="00612195">
        <w:t xml:space="preserve"> stronger learning (i.e., </w:t>
      </w:r>
      <w:r w:rsidR="00B4473D">
        <w:t xml:space="preserve">average change in gaze latency that is more negative, indicating a </w:t>
      </w:r>
      <w:r w:rsidR="00416678">
        <w:t>steeper slope</w:t>
      </w:r>
      <w:r w:rsidR="00925B0F" w:rsidRPr="00612195">
        <w:t xml:space="preserve">) also </w:t>
      </w:r>
      <w:r w:rsidR="00DE4644" w:rsidRPr="00612195">
        <w:t>had</w:t>
      </w:r>
      <w:r w:rsidR="00925B0F" w:rsidRPr="00612195">
        <w:t xml:space="preserve"> higher</w:t>
      </w:r>
      <w:r w:rsidR="00DE4644" w:rsidRPr="00612195">
        <w:t xml:space="preserve"> standardized</w:t>
      </w:r>
      <w:r w:rsidR="00925B0F" w:rsidRPr="00612195">
        <w:t xml:space="preserve"> language scores</w:t>
      </w:r>
      <w:r w:rsidR="002C1166">
        <w:t xml:space="preserve"> (Figure </w:t>
      </w:r>
      <w:r w:rsidR="005431F6">
        <w:t>5</w:t>
      </w:r>
      <w:r w:rsidR="002C1166">
        <w:t>)</w:t>
      </w:r>
      <w:r w:rsidR="00925B0F" w:rsidRPr="00612195">
        <w:t>.</w:t>
      </w:r>
      <w:r w:rsidR="002A2D91" w:rsidRPr="00727A15">
        <w:t xml:space="preserve"> </w:t>
      </w:r>
    </w:p>
    <w:tbl>
      <w:tblPr>
        <w:tblW w:w="5670" w:type="dxa"/>
        <w:jc w:val="center"/>
        <w:tblLook w:val="04A0" w:firstRow="1" w:lastRow="0" w:firstColumn="1" w:lastColumn="0" w:noHBand="0" w:noVBand="1"/>
      </w:tblPr>
      <w:tblGrid>
        <w:gridCol w:w="377"/>
        <w:gridCol w:w="1683"/>
        <w:gridCol w:w="1709"/>
        <w:gridCol w:w="1901"/>
      </w:tblGrid>
      <w:tr w:rsidR="00281786" w:rsidRPr="005431F6" w14:paraId="4968DD58" w14:textId="77777777" w:rsidTr="00B04382">
        <w:trPr>
          <w:trHeight w:val="307"/>
          <w:jc w:val="center"/>
        </w:trPr>
        <w:tc>
          <w:tcPr>
            <w:tcW w:w="5670" w:type="dxa"/>
            <w:gridSpan w:val="4"/>
            <w:tcBorders>
              <w:top w:val="nil"/>
              <w:left w:val="nil"/>
              <w:bottom w:val="single" w:sz="4" w:space="0" w:color="auto"/>
              <w:right w:val="nil"/>
            </w:tcBorders>
            <w:shd w:val="clear" w:color="auto" w:fill="auto"/>
            <w:hideMark/>
          </w:tcPr>
          <w:p w14:paraId="3B9B21B4" w14:textId="77777777" w:rsidR="00281786" w:rsidRPr="005431F6" w:rsidRDefault="00281786" w:rsidP="00282AEF">
            <w:pPr>
              <w:spacing w:line="240" w:lineRule="auto"/>
              <w:ind w:firstLine="0"/>
              <w:rPr>
                <w:rFonts w:eastAsia="Times New Roman"/>
                <w:b/>
                <w:bCs/>
                <w:color w:val="000000"/>
              </w:rPr>
            </w:pPr>
            <w:r w:rsidRPr="005431F6">
              <w:rPr>
                <w:rFonts w:eastAsia="Times New Roman"/>
                <w:b/>
                <w:bCs/>
                <w:color w:val="000000"/>
              </w:rPr>
              <w:t>Table 3. Correlations between PLS-5 scores and VSL</w:t>
            </w:r>
          </w:p>
        </w:tc>
      </w:tr>
      <w:tr w:rsidR="00281786" w:rsidRPr="005431F6" w14:paraId="4D51CC41" w14:textId="77777777" w:rsidTr="00B04382">
        <w:trPr>
          <w:trHeight w:val="394"/>
          <w:jc w:val="center"/>
        </w:trPr>
        <w:tc>
          <w:tcPr>
            <w:tcW w:w="0" w:type="auto"/>
            <w:tcBorders>
              <w:top w:val="nil"/>
              <w:left w:val="nil"/>
              <w:bottom w:val="single" w:sz="4" w:space="0" w:color="auto"/>
              <w:right w:val="nil"/>
            </w:tcBorders>
            <w:shd w:val="clear" w:color="auto" w:fill="auto"/>
            <w:hideMark/>
          </w:tcPr>
          <w:p w14:paraId="57004279" w14:textId="77777777" w:rsidR="00281786" w:rsidRPr="005431F6" w:rsidRDefault="00281786" w:rsidP="00282AEF">
            <w:pPr>
              <w:spacing w:line="240" w:lineRule="auto"/>
              <w:ind w:firstLine="0"/>
              <w:rPr>
                <w:rFonts w:eastAsia="Times New Roman"/>
                <w:color w:val="000000"/>
              </w:rPr>
            </w:pPr>
            <w:r w:rsidRPr="005431F6">
              <w:rPr>
                <w:rFonts w:eastAsia="Times New Roman"/>
                <w:color w:val="000000"/>
              </w:rPr>
              <w:lastRenderedPageBreak/>
              <w:t> </w:t>
            </w:r>
          </w:p>
        </w:tc>
        <w:tc>
          <w:tcPr>
            <w:tcW w:w="0" w:type="auto"/>
            <w:tcBorders>
              <w:top w:val="nil"/>
              <w:left w:val="nil"/>
              <w:bottom w:val="single" w:sz="4" w:space="0" w:color="auto"/>
              <w:right w:val="nil"/>
            </w:tcBorders>
            <w:shd w:val="clear" w:color="auto" w:fill="auto"/>
            <w:hideMark/>
          </w:tcPr>
          <w:p w14:paraId="4002FD10" w14:textId="77777777" w:rsidR="00281786" w:rsidRPr="005431F6" w:rsidRDefault="00281786" w:rsidP="00282AEF">
            <w:pPr>
              <w:spacing w:line="240" w:lineRule="auto"/>
              <w:ind w:firstLine="0"/>
              <w:rPr>
                <w:rFonts w:eastAsia="Times New Roman"/>
                <w:color w:val="000000"/>
              </w:rPr>
            </w:pPr>
            <w:r w:rsidRPr="005431F6">
              <w:rPr>
                <w:rFonts w:eastAsia="Times New Roman"/>
                <w:color w:val="000000"/>
              </w:rPr>
              <w:t>Auditory comprehension</w:t>
            </w:r>
          </w:p>
        </w:tc>
        <w:tc>
          <w:tcPr>
            <w:tcW w:w="0" w:type="auto"/>
            <w:tcBorders>
              <w:top w:val="nil"/>
              <w:left w:val="nil"/>
              <w:bottom w:val="single" w:sz="4" w:space="0" w:color="auto"/>
              <w:right w:val="nil"/>
            </w:tcBorders>
            <w:shd w:val="clear" w:color="auto" w:fill="auto"/>
            <w:hideMark/>
          </w:tcPr>
          <w:p w14:paraId="4DB3383C" w14:textId="77777777" w:rsidR="00281786" w:rsidRPr="005431F6" w:rsidRDefault="00281786" w:rsidP="00282AEF">
            <w:pPr>
              <w:spacing w:line="240" w:lineRule="auto"/>
              <w:ind w:firstLine="0"/>
              <w:rPr>
                <w:rFonts w:eastAsia="Times New Roman"/>
                <w:color w:val="000000"/>
              </w:rPr>
            </w:pPr>
            <w:r w:rsidRPr="005431F6">
              <w:rPr>
                <w:rFonts w:eastAsia="Times New Roman"/>
                <w:color w:val="000000"/>
              </w:rPr>
              <w:t>Expressive communication</w:t>
            </w:r>
          </w:p>
        </w:tc>
        <w:tc>
          <w:tcPr>
            <w:tcW w:w="1901" w:type="dxa"/>
            <w:tcBorders>
              <w:top w:val="single" w:sz="4" w:space="0" w:color="auto"/>
              <w:left w:val="nil"/>
              <w:bottom w:val="single" w:sz="4" w:space="0" w:color="auto"/>
              <w:right w:val="nil"/>
            </w:tcBorders>
            <w:shd w:val="clear" w:color="auto" w:fill="auto"/>
            <w:hideMark/>
          </w:tcPr>
          <w:p w14:paraId="6F814570" w14:textId="77777777" w:rsidR="00281786" w:rsidRPr="005431F6" w:rsidRDefault="00281786" w:rsidP="00282AEF">
            <w:pPr>
              <w:spacing w:line="240" w:lineRule="auto"/>
              <w:ind w:firstLine="0"/>
              <w:rPr>
                <w:rFonts w:eastAsia="Times New Roman"/>
                <w:color w:val="000000"/>
              </w:rPr>
            </w:pPr>
            <w:r w:rsidRPr="005431F6">
              <w:rPr>
                <w:rFonts w:eastAsia="Times New Roman"/>
                <w:color w:val="000000"/>
              </w:rPr>
              <w:t>Total Language</w:t>
            </w:r>
          </w:p>
        </w:tc>
      </w:tr>
      <w:tr w:rsidR="00281786" w:rsidRPr="005431F6" w14:paraId="190B637B" w14:textId="77777777" w:rsidTr="00B04382">
        <w:trPr>
          <w:trHeight w:val="307"/>
          <w:jc w:val="center"/>
        </w:trPr>
        <w:tc>
          <w:tcPr>
            <w:tcW w:w="0" w:type="auto"/>
            <w:tcBorders>
              <w:top w:val="nil"/>
              <w:left w:val="nil"/>
              <w:bottom w:val="nil"/>
              <w:right w:val="nil"/>
            </w:tcBorders>
            <w:shd w:val="clear" w:color="auto" w:fill="auto"/>
            <w:hideMark/>
          </w:tcPr>
          <w:p w14:paraId="5615A91C" w14:textId="77777777" w:rsidR="00281786" w:rsidRPr="005431F6" w:rsidRDefault="00281786" w:rsidP="00282AEF">
            <w:pPr>
              <w:spacing w:line="240" w:lineRule="auto"/>
              <w:ind w:firstLine="0"/>
              <w:rPr>
                <w:rFonts w:eastAsia="Times New Roman"/>
                <w:i/>
                <w:iCs/>
                <w:color w:val="000000"/>
              </w:rPr>
            </w:pPr>
            <w:r w:rsidRPr="005431F6">
              <w:rPr>
                <w:rFonts w:eastAsia="Times New Roman"/>
                <w:i/>
                <w:iCs/>
                <w:color w:val="000000"/>
              </w:rPr>
              <w:t>r</w:t>
            </w:r>
          </w:p>
        </w:tc>
        <w:tc>
          <w:tcPr>
            <w:tcW w:w="0" w:type="auto"/>
            <w:tcBorders>
              <w:top w:val="nil"/>
              <w:left w:val="nil"/>
              <w:bottom w:val="nil"/>
              <w:right w:val="nil"/>
            </w:tcBorders>
            <w:shd w:val="clear" w:color="auto" w:fill="auto"/>
            <w:hideMark/>
          </w:tcPr>
          <w:p w14:paraId="18058CAA" w14:textId="34DD3C7B" w:rsidR="00281786" w:rsidRPr="005431F6" w:rsidRDefault="00281786" w:rsidP="00282AEF">
            <w:pPr>
              <w:spacing w:line="240" w:lineRule="auto"/>
              <w:ind w:firstLine="0"/>
              <w:rPr>
                <w:rFonts w:eastAsia="Times New Roman"/>
                <w:color w:val="000000"/>
              </w:rPr>
            </w:pPr>
            <w:r w:rsidRPr="005431F6">
              <w:rPr>
                <w:rFonts w:eastAsia="Times New Roman"/>
                <w:color w:val="000000"/>
              </w:rPr>
              <w:t>-.8</w:t>
            </w:r>
            <w:r w:rsidR="0092578D">
              <w:rPr>
                <w:rFonts w:eastAsia="Times New Roman"/>
                <w:color w:val="000000"/>
              </w:rPr>
              <w:t>1</w:t>
            </w:r>
            <w:r w:rsidRPr="005431F6">
              <w:rPr>
                <w:rFonts w:eastAsia="Times New Roman"/>
                <w:color w:val="000000"/>
              </w:rPr>
              <w:t>0**</w:t>
            </w:r>
          </w:p>
        </w:tc>
        <w:tc>
          <w:tcPr>
            <w:tcW w:w="0" w:type="auto"/>
            <w:tcBorders>
              <w:top w:val="nil"/>
              <w:left w:val="nil"/>
              <w:bottom w:val="nil"/>
              <w:right w:val="nil"/>
            </w:tcBorders>
            <w:shd w:val="clear" w:color="auto" w:fill="auto"/>
            <w:hideMark/>
          </w:tcPr>
          <w:p w14:paraId="27F2020B" w14:textId="75430619" w:rsidR="00281786" w:rsidRPr="005431F6" w:rsidRDefault="00281786" w:rsidP="00282AEF">
            <w:pPr>
              <w:spacing w:line="240" w:lineRule="auto"/>
              <w:ind w:firstLine="0"/>
              <w:rPr>
                <w:rFonts w:eastAsia="Times New Roman"/>
                <w:color w:val="000000"/>
              </w:rPr>
            </w:pPr>
            <w:r w:rsidRPr="005431F6">
              <w:rPr>
                <w:rFonts w:eastAsia="Times New Roman"/>
                <w:color w:val="000000"/>
              </w:rPr>
              <w:t>-.6</w:t>
            </w:r>
            <w:r w:rsidR="0092578D">
              <w:rPr>
                <w:rFonts w:eastAsia="Times New Roman"/>
                <w:color w:val="000000"/>
              </w:rPr>
              <w:t>9</w:t>
            </w:r>
            <w:r w:rsidRPr="005431F6">
              <w:rPr>
                <w:rFonts w:eastAsia="Times New Roman"/>
                <w:color w:val="000000"/>
              </w:rPr>
              <w:t>0*</w:t>
            </w:r>
          </w:p>
        </w:tc>
        <w:tc>
          <w:tcPr>
            <w:tcW w:w="1901" w:type="dxa"/>
            <w:tcBorders>
              <w:top w:val="nil"/>
              <w:left w:val="nil"/>
              <w:bottom w:val="nil"/>
              <w:right w:val="nil"/>
            </w:tcBorders>
            <w:shd w:val="clear" w:color="auto" w:fill="auto"/>
            <w:hideMark/>
          </w:tcPr>
          <w:p w14:paraId="0A4520E3" w14:textId="4CD7900E" w:rsidR="00281786" w:rsidRPr="005431F6" w:rsidRDefault="00281786" w:rsidP="00282AEF">
            <w:pPr>
              <w:spacing w:line="240" w:lineRule="auto"/>
              <w:ind w:hanging="10"/>
              <w:rPr>
                <w:rFonts w:eastAsia="Times New Roman"/>
                <w:color w:val="000000"/>
              </w:rPr>
            </w:pPr>
            <w:r w:rsidRPr="005431F6">
              <w:rPr>
                <w:rFonts w:eastAsia="Times New Roman"/>
                <w:color w:val="000000"/>
              </w:rPr>
              <w:t>-.</w:t>
            </w:r>
            <w:r w:rsidR="0092578D">
              <w:rPr>
                <w:rFonts w:eastAsia="Times New Roman"/>
                <w:color w:val="000000"/>
              </w:rPr>
              <w:t>79</w:t>
            </w:r>
            <w:r w:rsidRPr="005431F6">
              <w:rPr>
                <w:rFonts w:eastAsia="Times New Roman"/>
                <w:color w:val="000000"/>
              </w:rPr>
              <w:t>**</w:t>
            </w:r>
          </w:p>
        </w:tc>
      </w:tr>
      <w:tr w:rsidR="00281786" w:rsidRPr="005431F6" w14:paraId="65C39AC8" w14:textId="77777777" w:rsidTr="00B04382">
        <w:trPr>
          <w:trHeight w:val="307"/>
          <w:jc w:val="center"/>
        </w:trPr>
        <w:tc>
          <w:tcPr>
            <w:tcW w:w="0" w:type="auto"/>
            <w:tcBorders>
              <w:top w:val="nil"/>
              <w:left w:val="nil"/>
              <w:bottom w:val="nil"/>
              <w:right w:val="nil"/>
            </w:tcBorders>
            <w:shd w:val="clear" w:color="auto" w:fill="auto"/>
            <w:hideMark/>
          </w:tcPr>
          <w:p w14:paraId="64F4364E" w14:textId="77777777" w:rsidR="00281786" w:rsidRPr="005431F6" w:rsidRDefault="00281786" w:rsidP="00282AEF">
            <w:pPr>
              <w:spacing w:line="240" w:lineRule="auto"/>
              <w:ind w:firstLine="0"/>
              <w:rPr>
                <w:rFonts w:eastAsia="Times New Roman"/>
                <w:i/>
                <w:iCs/>
                <w:color w:val="000000"/>
              </w:rPr>
            </w:pPr>
            <w:r w:rsidRPr="005431F6">
              <w:rPr>
                <w:rFonts w:eastAsia="Times New Roman"/>
                <w:i/>
                <w:iCs/>
                <w:color w:val="000000"/>
              </w:rPr>
              <w:t>p</w:t>
            </w:r>
          </w:p>
        </w:tc>
        <w:tc>
          <w:tcPr>
            <w:tcW w:w="0" w:type="auto"/>
            <w:tcBorders>
              <w:top w:val="nil"/>
              <w:left w:val="nil"/>
              <w:bottom w:val="nil"/>
              <w:right w:val="nil"/>
            </w:tcBorders>
            <w:shd w:val="clear" w:color="auto" w:fill="auto"/>
            <w:hideMark/>
          </w:tcPr>
          <w:p w14:paraId="07D43943" w14:textId="6C92CE13" w:rsidR="00281786" w:rsidRPr="005431F6" w:rsidRDefault="00281786" w:rsidP="00282AEF">
            <w:pPr>
              <w:spacing w:line="240" w:lineRule="auto"/>
              <w:ind w:firstLine="0"/>
              <w:rPr>
                <w:rFonts w:eastAsia="Times New Roman"/>
                <w:color w:val="000000"/>
              </w:rPr>
            </w:pPr>
            <w:r w:rsidRPr="005431F6">
              <w:rPr>
                <w:rFonts w:eastAsia="Times New Roman"/>
                <w:color w:val="000000"/>
              </w:rPr>
              <w:t>0.00</w:t>
            </w:r>
            <w:r w:rsidR="0092578D">
              <w:rPr>
                <w:rFonts w:eastAsia="Times New Roman"/>
                <w:color w:val="000000"/>
              </w:rPr>
              <w:t>3</w:t>
            </w:r>
          </w:p>
        </w:tc>
        <w:tc>
          <w:tcPr>
            <w:tcW w:w="0" w:type="auto"/>
            <w:tcBorders>
              <w:top w:val="nil"/>
              <w:left w:val="nil"/>
              <w:bottom w:val="nil"/>
              <w:right w:val="nil"/>
            </w:tcBorders>
            <w:shd w:val="clear" w:color="auto" w:fill="auto"/>
            <w:hideMark/>
          </w:tcPr>
          <w:p w14:paraId="73A57A88" w14:textId="1AF2B42E" w:rsidR="00281786" w:rsidRPr="005431F6" w:rsidRDefault="00281786" w:rsidP="00282AEF">
            <w:pPr>
              <w:spacing w:line="240" w:lineRule="auto"/>
              <w:ind w:firstLine="0"/>
              <w:rPr>
                <w:rFonts w:eastAsia="Times New Roman"/>
                <w:color w:val="000000"/>
              </w:rPr>
            </w:pPr>
            <w:r w:rsidRPr="005431F6">
              <w:rPr>
                <w:rFonts w:eastAsia="Times New Roman"/>
                <w:color w:val="000000"/>
              </w:rPr>
              <w:t>0.02</w:t>
            </w:r>
          </w:p>
        </w:tc>
        <w:tc>
          <w:tcPr>
            <w:tcW w:w="1901" w:type="dxa"/>
            <w:tcBorders>
              <w:top w:val="nil"/>
              <w:left w:val="nil"/>
              <w:bottom w:val="nil"/>
              <w:right w:val="nil"/>
            </w:tcBorders>
            <w:shd w:val="clear" w:color="auto" w:fill="auto"/>
            <w:hideMark/>
          </w:tcPr>
          <w:p w14:paraId="2E5AA047" w14:textId="3420EF85" w:rsidR="00281786" w:rsidRPr="005431F6" w:rsidRDefault="00281786" w:rsidP="00282AEF">
            <w:pPr>
              <w:spacing w:line="240" w:lineRule="auto"/>
              <w:ind w:hanging="10"/>
              <w:rPr>
                <w:rFonts w:eastAsia="Times New Roman"/>
                <w:color w:val="000000"/>
              </w:rPr>
            </w:pPr>
            <w:r w:rsidRPr="005431F6">
              <w:rPr>
                <w:rFonts w:eastAsia="Times New Roman"/>
                <w:color w:val="000000"/>
              </w:rPr>
              <w:t>0.00</w:t>
            </w:r>
            <w:r w:rsidR="0092578D">
              <w:rPr>
                <w:rFonts w:eastAsia="Times New Roman"/>
                <w:color w:val="000000"/>
              </w:rPr>
              <w:t>4</w:t>
            </w:r>
          </w:p>
        </w:tc>
      </w:tr>
      <w:tr w:rsidR="00281786" w:rsidRPr="005431F6" w14:paraId="4225ED89" w14:textId="77777777" w:rsidTr="00B04382">
        <w:trPr>
          <w:trHeight w:val="307"/>
          <w:jc w:val="center"/>
        </w:trPr>
        <w:tc>
          <w:tcPr>
            <w:tcW w:w="0" w:type="auto"/>
            <w:tcBorders>
              <w:top w:val="nil"/>
              <w:left w:val="nil"/>
              <w:bottom w:val="single" w:sz="4" w:space="0" w:color="auto"/>
              <w:right w:val="nil"/>
            </w:tcBorders>
            <w:shd w:val="clear" w:color="auto" w:fill="auto"/>
            <w:hideMark/>
          </w:tcPr>
          <w:p w14:paraId="1C15E671" w14:textId="77777777" w:rsidR="00281786" w:rsidRPr="005431F6" w:rsidRDefault="00281786" w:rsidP="00282AEF">
            <w:pPr>
              <w:spacing w:line="240" w:lineRule="auto"/>
              <w:ind w:firstLine="0"/>
              <w:rPr>
                <w:rFonts w:eastAsia="Times New Roman"/>
                <w:i/>
                <w:iCs/>
                <w:color w:val="000000"/>
              </w:rPr>
            </w:pPr>
            <w:r w:rsidRPr="005431F6">
              <w:rPr>
                <w:rFonts w:eastAsia="Times New Roman"/>
                <w:i/>
                <w:iCs/>
                <w:color w:val="000000"/>
              </w:rPr>
              <w:t>N</w:t>
            </w:r>
          </w:p>
        </w:tc>
        <w:tc>
          <w:tcPr>
            <w:tcW w:w="0" w:type="auto"/>
            <w:tcBorders>
              <w:top w:val="nil"/>
              <w:left w:val="nil"/>
              <w:bottom w:val="single" w:sz="4" w:space="0" w:color="auto"/>
              <w:right w:val="nil"/>
            </w:tcBorders>
            <w:shd w:val="clear" w:color="auto" w:fill="auto"/>
            <w:hideMark/>
          </w:tcPr>
          <w:p w14:paraId="0F36333A" w14:textId="011F8C58" w:rsidR="00281786" w:rsidRPr="005431F6" w:rsidRDefault="00281786" w:rsidP="00282AEF">
            <w:pPr>
              <w:spacing w:line="240" w:lineRule="auto"/>
              <w:ind w:firstLine="0"/>
              <w:rPr>
                <w:rFonts w:eastAsia="Times New Roman"/>
                <w:color w:val="000000"/>
              </w:rPr>
            </w:pPr>
            <w:r w:rsidRPr="005431F6">
              <w:rPr>
                <w:rFonts w:eastAsia="Times New Roman"/>
                <w:color w:val="000000"/>
              </w:rPr>
              <w:t>1</w:t>
            </w:r>
            <w:r w:rsidR="0092578D">
              <w:rPr>
                <w:rFonts w:eastAsia="Times New Roman"/>
                <w:color w:val="000000"/>
              </w:rPr>
              <w:t>1</w:t>
            </w:r>
          </w:p>
        </w:tc>
        <w:tc>
          <w:tcPr>
            <w:tcW w:w="0" w:type="auto"/>
            <w:tcBorders>
              <w:top w:val="nil"/>
              <w:left w:val="nil"/>
              <w:bottom w:val="single" w:sz="4" w:space="0" w:color="auto"/>
              <w:right w:val="nil"/>
            </w:tcBorders>
            <w:shd w:val="clear" w:color="auto" w:fill="auto"/>
            <w:hideMark/>
          </w:tcPr>
          <w:p w14:paraId="2D57F80F" w14:textId="5CD0F811" w:rsidR="00281786" w:rsidRPr="005431F6" w:rsidRDefault="00281786" w:rsidP="00282AEF">
            <w:pPr>
              <w:spacing w:line="240" w:lineRule="auto"/>
              <w:ind w:firstLine="0"/>
              <w:rPr>
                <w:rFonts w:eastAsia="Times New Roman"/>
                <w:color w:val="000000"/>
              </w:rPr>
            </w:pPr>
            <w:r w:rsidRPr="005431F6">
              <w:rPr>
                <w:rFonts w:eastAsia="Times New Roman"/>
                <w:color w:val="000000"/>
              </w:rPr>
              <w:t>1</w:t>
            </w:r>
            <w:r w:rsidR="0092578D">
              <w:rPr>
                <w:rFonts w:eastAsia="Times New Roman"/>
                <w:color w:val="000000"/>
              </w:rPr>
              <w:t>1</w:t>
            </w:r>
          </w:p>
        </w:tc>
        <w:tc>
          <w:tcPr>
            <w:tcW w:w="1901" w:type="dxa"/>
            <w:tcBorders>
              <w:top w:val="nil"/>
              <w:left w:val="nil"/>
              <w:bottom w:val="single" w:sz="4" w:space="0" w:color="auto"/>
              <w:right w:val="nil"/>
            </w:tcBorders>
            <w:shd w:val="clear" w:color="auto" w:fill="auto"/>
            <w:hideMark/>
          </w:tcPr>
          <w:p w14:paraId="22D435F0" w14:textId="69DDCC94" w:rsidR="00281786" w:rsidRPr="005431F6" w:rsidRDefault="00281786" w:rsidP="00282AEF">
            <w:pPr>
              <w:spacing w:line="240" w:lineRule="auto"/>
              <w:ind w:hanging="10"/>
              <w:rPr>
                <w:rFonts w:eastAsia="Times New Roman"/>
                <w:color w:val="000000"/>
              </w:rPr>
            </w:pPr>
            <w:r w:rsidRPr="005431F6">
              <w:rPr>
                <w:rFonts w:eastAsia="Times New Roman"/>
                <w:color w:val="000000"/>
              </w:rPr>
              <w:t>1</w:t>
            </w:r>
            <w:r w:rsidR="0092578D">
              <w:rPr>
                <w:rFonts w:eastAsia="Times New Roman"/>
                <w:color w:val="000000"/>
              </w:rPr>
              <w:t>1</w:t>
            </w:r>
          </w:p>
        </w:tc>
      </w:tr>
    </w:tbl>
    <w:p w14:paraId="44168732" w14:textId="78F417A2" w:rsidR="00281786" w:rsidRDefault="00281786" w:rsidP="00281786">
      <w:pPr>
        <w:ind w:firstLine="0"/>
      </w:pPr>
      <w:r w:rsidRPr="00BF77B8">
        <w:rPr>
          <w:i/>
          <w:iCs/>
        </w:rPr>
        <w:t>Note</w:t>
      </w:r>
      <w:r w:rsidRPr="00BF77B8">
        <w:t xml:space="preserve">. </w:t>
      </w:r>
      <w:r w:rsidRPr="00BF77B8">
        <w:rPr>
          <w:rFonts w:eastAsia="Times New Roman"/>
          <w:color w:val="000000"/>
        </w:rPr>
        <w:t>**p&lt; 0.01 level, * p&lt; 0.05 level</w:t>
      </w:r>
      <w:r>
        <w:t xml:space="preserve"> </w:t>
      </w:r>
    </w:p>
    <w:p w14:paraId="473BAC65" w14:textId="77777777" w:rsidR="008A1571" w:rsidRPr="00612195" w:rsidRDefault="008A1571" w:rsidP="00281786">
      <w:pPr>
        <w:ind w:firstLine="0"/>
      </w:pPr>
    </w:p>
    <w:p w14:paraId="67B2CC07" w14:textId="582BA848" w:rsidR="00C226BC" w:rsidRPr="00C226BC" w:rsidRDefault="00C226BC" w:rsidP="00281786">
      <w:pPr>
        <w:ind w:firstLine="0"/>
      </w:pPr>
      <w:r>
        <w:rPr>
          <w:noProof/>
        </w:rPr>
        <w:drawing>
          <wp:inline distT="0" distB="0" distL="0" distR="0" wp14:anchorId="4C76FEE0" wp14:editId="74CF4282">
            <wp:extent cx="6012312" cy="1666875"/>
            <wp:effectExtent l="0" t="0" r="762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19958" cy="1668995"/>
                    </a:xfrm>
                    <a:prstGeom prst="rect">
                      <a:avLst/>
                    </a:prstGeom>
                  </pic:spPr>
                </pic:pic>
              </a:graphicData>
            </a:graphic>
          </wp:inline>
        </w:drawing>
      </w:r>
    </w:p>
    <w:p w14:paraId="760CD912" w14:textId="4D8A5A46" w:rsidR="00716F80" w:rsidRPr="00DB5373" w:rsidRDefault="00F773A1" w:rsidP="00281786">
      <w:pPr>
        <w:ind w:firstLine="0"/>
        <w:rPr>
          <w:i/>
          <w:iCs/>
        </w:rPr>
      </w:pPr>
      <w:r w:rsidRPr="00DB5373">
        <w:rPr>
          <w:b/>
          <w:bCs/>
          <w:i/>
          <w:iCs/>
        </w:rPr>
        <w:t>Figure 5.</w:t>
      </w:r>
      <w:r w:rsidRPr="00DB5373">
        <w:rPr>
          <w:i/>
          <w:iCs/>
        </w:rPr>
        <w:t xml:space="preserve"> Scatterplot depicting the correlation</w:t>
      </w:r>
      <w:r w:rsidR="00B878B8">
        <w:rPr>
          <w:i/>
          <w:iCs/>
        </w:rPr>
        <w:t>s</w:t>
      </w:r>
      <w:r w:rsidRPr="00DB5373">
        <w:rPr>
          <w:i/>
          <w:iCs/>
        </w:rPr>
        <w:t xml:space="preserve"> between VSL (the mean change in latencies over trials) and language scores for the deaf toddlers.</w:t>
      </w:r>
    </w:p>
    <w:p w14:paraId="0078164F" w14:textId="250AEE51" w:rsidR="00673AED" w:rsidRPr="00727A15" w:rsidRDefault="00EE238C" w:rsidP="00EE238C">
      <w:pPr>
        <w:pStyle w:val="Heading3"/>
      </w:pPr>
      <w:r>
        <w:t xml:space="preserve">3.4 </w:t>
      </w:r>
      <w:r w:rsidR="00673AED" w:rsidRPr="00727A15">
        <w:t>Habituation</w:t>
      </w:r>
    </w:p>
    <w:p w14:paraId="28E843DB" w14:textId="12064E65" w:rsidR="002430D7" w:rsidRDefault="00E35104" w:rsidP="002430D7">
      <w:r w:rsidRPr="00612195">
        <w:t xml:space="preserve">Finally, </w:t>
      </w:r>
      <w:r w:rsidR="003A7D78" w:rsidRPr="00612195">
        <w:t xml:space="preserve">we </w:t>
      </w:r>
      <w:r w:rsidR="009A6767" w:rsidRPr="00612195">
        <w:t xml:space="preserve">compared the number of trials </w:t>
      </w:r>
      <w:r w:rsidR="002430D7">
        <w:t xml:space="preserve">it took </w:t>
      </w:r>
      <w:r w:rsidR="009A6767" w:rsidRPr="00612195">
        <w:t xml:space="preserve">to habituate </w:t>
      </w:r>
      <w:r w:rsidR="002430D7">
        <w:t>for</w:t>
      </w:r>
      <w:r w:rsidR="009A6767" w:rsidRPr="00612195">
        <w:t xml:space="preserve"> deaf and hearing participants, separately for each age group</w:t>
      </w:r>
      <w:r w:rsidR="009A6767" w:rsidRPr="0092578D">
        <w:t>. For infants, there was no</w:t>
      </w:r>
      <w:r w:rsidR="003A7D78" w:rsidRPr="0092578D">
        <w:t xml:space="preserve"> significant </w:t>
      </w:r>
      <w:r w:rsidR="009A6767" w:rsidRPr="0092578D">
        <w:t>difference in the number of habituation trials</w:t>
      </w:r>
      <w:r w:rsidR="003A7D78" w:rsidRPr="0092578D">
        <w:t xml:space="preserve"> (</w:t>
      </w:r>
      <w:r w:rsidR="003A7D78" w:rsidRPr="0092578D">
        <w:rPr>
          <w:i/>
          <w:iCs/>
        </w:rPr>
        <w:t>p</w:t>
      </w:r>
      <w:r w:rsidR="003A7D78" w:rsidRPr="0092578D">
        <w:t xml:space="preserve"> </w:t>
      </w:r>
      <w:r w:rsidR="00567AC5" w:rsidRPr="0092578D">
        <w:t>=</w:t>
      </w:r>
      <w:r w:rsidR="003A7D78" w:rsidRPr="0092578D">
        <w:t xml:space="preserve"> .</w:t>
      </w:r>
      <w:r w:rsidR="0092578D" w:rsidRPr="0092578D">
        <w:t>14</w:t>
      </w:r>
      <w:r w:rsidR="003A7D78" w:rsidRPr="0092578D">
        <w:t>)</w:t>
      </w:r>
      <w:r w:rsidR="008C401A" w:rsidRPr="0092578D">
        <w:t>.</w:t>
      </w:r>
      <w:r w:rsidR="009A6767" w:rsidRPr="0092578D">
        <w:t xml:space="preserve"> </w:t>
      </w:r>
      <w:r w:rsidR="0092578D">
        <w:t xml:space="preserve">There was also no difference in the number of trials for the </w:t>
      </w:r>
      <w:proofErr w:type="gramStart"/>
      <w:r w:rsidR="0092578D">
        <w:t>toddlers  (</w:t>
      </w:r>
      <w:proofErr w:type="gramEnd"/>
      <w:r w:rsidR="008C401A" w:rsidRPr="0092578D">
        <w:rPr>
          <w:i/>
          <w:iCs/>
        </w:rPr>
        <w:t>p</w:t>
      </w:r>
      <w:r w:rsidR="008C401A" w:rsidRPr="0092578D">
        <w:t xml:space="preserve"> = .</w:t>
      </w:r>
      <w:r w:rsidR="0092578D">
        <w:t>71)</w:t>
      </w:r>
      <w:r w:rsidR="00925B0F" w:rsidRPr="0092578D">
        <w:t>.</w:t>
      </w:r>
      <w:r w:rsidR="008C401A" w:rsidRPr="0092578D">
        <w:t xml:space="preserve">  </w:t>
      </w:r>
      <w:r w:rsidR="008C401A" w:rsidRPr="00612195">
        <w:t xml:space="preserve">This also means that there was no difference in the numbers of included trials between groups </w:t>
      </w:r>
      <w:r w:rsidR="0092578D">
        <w:t>at both ages</w:t>
      </w:r>
      <w:r w:rsidR="008C401A" w:rsidRPr="00612195">
        <w:t xml:space="preserve">. </w:t>
      </w:r>
      <w:r w:rsidR="00561C96">
        <w:t xml:space="preserve">There were no correlations between habituation and learning </w:t>
      </w:r>
      <w:r w:rsidR="00235D12">
        <w:t xml:space="preserve">(mean difference in RT) for </w:t>
      </w:r>
      <w:r w:rsidR="00C06FDF">
        <w:t>infants (</w:t>
      </w:r>
      <w:r w:rsidR="006E0EE4" w:rsidRPr="00320787">
        <w:rPr>
          <w:i/>
          <w:iCs/>
        </w:rPr>
        <w:t>p</w:t>
      </w:r>
      <w:r w:rsidR="006E0EE4">
        <w:t xml:space="preserve"> = .</w:t>
      </w:r>
      <w:r w:rsidR="00E22DE5">
        <w:t>09</w:t>
      </w:r>
      <w:r w:rsidR="00C06FDF">
        <w:t xml:space="preserve">) or for </w:t>
      </w:r>
      <w:r w:rsidR="00235D12">
        <w:t>toddlers (</w:t>
      </w:r>
      <w:r w:rsidR="00235D12" w:rsidRPr="00320787">
        <w:rPr>
          <w:i/>
          <w:iCs/>
        </w:rPr>
        <w:t>p</w:t>
      </w:r>
      <w:r w:rsidR="00235D12">
        <w:t xml:space="preserve"> </w:t>
      </w:r>
      <w:r w:rsidR="006E0EE4">
        <w:t>=</w:t>
      </w:r>
      <w:r w:rsidR="00235D12">
        <w:t xml:space="preserve"> .</w:t>
      </w:r>
      <w:r w:rsidR="00867AA5">
        <w:t>65</w:t>
      </w:r>
      <w:r w:rsidR="00235D12">
        <w:t xml:space="preserve">). </w:t>
      </w:r>
    </w:p>
    <w:p w14:paraId="35F7841A" w14:textId="42FF9CE7" w:rsidR="002430D7" w:rsidRDefault="00EE238C" w:rsidP="00EE238C">
      <w:pPr>
        <w:pStyle w:val="Heading2"/>
      </w:pPr>
      <w:r>
        <w:t xml:space="preserve">4.0 </w:t>
      </w:r>
      <w:r w:rsidR="002430D7">
        <w:t>Discussion</w:t>
      </w:r>
    </w:p>
    <w:p w14:paraId="03FACFCA" w14:textId="3553DE7E" w:rsidR="002430D7" w:rsidRDefault="7B4C0428" w:rsidP="00D36082">
      <w:r>
        <w:t>The current study investigated visual statistical learning</w:t>
      </w:r>
      <w:r w:rsidR="00AE57A3">
        <w:t xml:space="preserve"> in</w:t>
      </w:r>
      <w:r>
        <w:t xml:space="preserve"> infants and toddlers with and without hearing loss. Participants observed a live demonstration of a continuous, three-step action sequence</w:t>
      </w:r>
      <w:r w:rsidR="00C61D60">
        <w:t xml:space="preserve"> with novel objects. We </w:t>
      </w:r>
      <w:r>
        <w:t xml:space="preserve">analyzed the change in gaze latencies to action steps </w:t>
      </w:r>
      <w:r>
        <w:lastRenderedPageBreak/>
        <w:t xml:space="preserve">over the course of the demonstration as an index of learning. </w:t>
      </w:r>
      <w:r w:rsidR="00D36082">
        <w:t>W</w:t>
      </w:r>
      <w:r>
        <w:t xml:space="preserve">e found evidence for learning in both the hearing toddlers and the deaf toddlers (who have cochlear implants), with no differences between </w:t>
      </w:r>
      <w:r w:rsidR="00D36082">
        <w:t xml:space="preserve">the </w:t>
      </w:r>
      <w:r>
        <w:t>groups</w:t>
      </w:r>
      <w:r w:rsidR="009C069D">
        <w:t>. We also found</w:t>
      </w:r>
      <w:r w:rsidR="004A317F">
        <w:t xml:space="preserve"> that </w:t>
      </w:r>
      <w:r w:rsidR="009C069D">
        <w:t xml:space="preserve">age at implantation </w:t>
      </w:r>
      <w:r w:rsidR="004A317F">
        <w:t>was associated with</w:t>
      </w:r>
      <w:r w:rsidR="009C069D">
        <w:t xml:space="preserve"> learning </w:t>
      </w:r>
      <w:r w:rsidR="004A317F">
        <w:t>for</w:t>
      </w:r>
      <w:r w:rsidR="009C069D">
        <w:t xml:space="preserve"> the deaf toddlers</w:t>
      </w:r>
      <w:r>
        <w:t>. However, learning differed significantly between</w:t>
      </w:r>
      <w:r w:rsidR="00D36082">
        <w:t xml:space="preserve"> hearing infants and </w:t>
      </w:r>
      <w:r>
        <w:t xml:space="preserve">deaf infants (tested prior to cochlear implantation). </w:t>
      </w:r>
      <w:r w:rsidR="00D36082">
        <w:t xml:space="preserve">Our findings shed new light on the mixed body of evidence demonstrating deficits in VSL in deaf children. Unlike prior work, which has focused on broad age ranges of school-age children, we included prelingual deaf infants—who have experienced no functional auditory input and limited language input—and </w:t>
      </w:r>
      <w:r w:rsidR="00883407">
        <w:t xml:space="preserve">deaf </w:t>
      </w:r>
      <w:r w:rsidR="00D36082">
        <w:t xml:space="preserve">toddlers, who have between 6-12 month of hearing experience with their cochlear implants. </w:t>
      </w:r>
    </w:p>
    <w:p w14:paraId="4BB1C674" w14:textId="61C249BA" w:rsidR="7B4C0428" w:rsidRDefault="7B4C0428" w:rsidP="7B4C0428">
      <w:r>
        <w:t>One interpretation of this pattern of finding</w:t>
      </w:r>
      <w:r w:rsidR="00D36082">
        <w:t>s</w:t>
      </w:r>
      <w:r>
        <w:t xml:space="preserve"> is </w:t>
      </w:r>
      <w:r w:rsidR="00D36082">
        <w:t xml:space="preserve">through the </w:t>
      </w:r>
      <w:r>
        <w:t xml:space="preserve">auditory scaffolding hypothesis. </w:t>
      </w:r>
      <w:r w:rsidR="00D36082">
        <w:t>This</w:t>
      </w:r>
      <w:r>
        <w:t xml:space="preserve"> hypothesis posits that early experience with sound stimuli is important for the normal development of domain-general statistical learning skills via one of two potential mechanisms: first, sound (a temporally ordered signal) draws attention to </w:t>
      </w:r>
      <w:r w:rsidR="00D36082">
        <w:t xml:space="preserve">the </w:t>
      </w:r>
      <w:r>
        <w:t xml:space="preserve">statistical </w:t>
      </w:r>
      <w:r w:rsidR="00D36082">
        <w:t>structure</w:t>
      </w:r>
      <w:r>
        <w:t xml:space="preserve"> in continuous sequences. </w:t>
      </w:r>
      <w:r w:rsidR="00D36082">
        <w:t>The second possible mechanism is that</w:t>
      </w:r>
      <w:r>
        <w:t xml:space="preserve"> sound </w:t>
      </w:r>
      <w:r w:rsidR="00D36082">
        <w:t xml:space="preserve">uniquely </w:t>
      </w:r>
      <w:r>
        <w:t>provides domain-general information about sequential order and temporal change</w:t>
      </w:r>
      <w:r w:rsidR="00D36082">
        <w:t>,</w:t>
      </w:r>
      <w:r>
        <w:t xml:space="preserve"> </w:t>
      </w:r>
      <w:r w:rsidR="00776873">
        <w:t>which</w:t>
      </w:r>
      <w:r>
        <w:t xml:space="preserve"> </w:t>
      </w:r>
      <w:r w:rsidR="00D36082">
        <w:t>can only be</w:t>
      </w:r>
      <w:r>
        <w:t xml:space="preserve"> accessed through hearing </w:t>
      </w:r>
      <w:r w:rsidR="00BF77B8">
        <w:fldChar w:fldCharType="begin" w:fldLock="1"/>
      </w:r>
      <w:r w:rsidR="001C5E63">
        <w:instrText>ADDIN CSL_CITATION {"citationItems":[{"id":"ITEM-1","itemData":{"DOI":"10.1111/j.1467-8721.2009.01651.x","ISBN":"1467-8721 (Electronic)\\r0963-7214 (Linking)","ISSN":"09637214","PMID":"20725604","abstract":"Sound is inherently a temporal and sequential signal. Experience with sound therefore may help bootstrap - i.e., provide a kind of \"scaffolding\" for - the development of general cognitive abilities related to representing temporal or sequential patterns. Accordingly, the absence of sound early in development may result in disturbances to these sequencing skills. In support of this hypothesis we present two types of findings. First, normal-hearing adults do best on sequencing tasks when the sense of hearing, rather than vision, can be used. Second, recent findings suggest that deaf children have disturbances on exactly these same kinds of tasks that involve learning and manipulation of serial order information. We suggest that sound provides an \"auditory scaffolding\" for time and serial order behavior, possibly mediated through neural connections between the temporal and frontal lobes of the brain. Under conditions of auditory deprivation, auditory scaffolding is absent, resulting in neural reorganization and a disturbance to cognitive sequencing abilities.","author":[{"dropping-particle":"","family":"Conway","given":"C.","non-dropping-particle":"","parse-names":false,"suffix":""},{"dropping-particle":"","family":"Pisoni","given":"David B.","non-dropping-particle":"","parse-names":false,"suffix":""},{"dropping-particle":"","family":"Kronenberger","given":"William G.","non-dropping-particle":"","parse-names":false,"suffix":""}],"container-title":"Current Directions in Psychological Science","id":"ITEM-1","issue":"5","issued":{"date-parts":[["2009","10"]]},"page":"275-279","publisher":"NIH Public Access","title":"The importance of sound for cognitive sequencing abilities: The auditory scaffolding hypothesis","type":"article-journal","volume":"18"},"uris":["http://www.mendeley.com/documents/?uuid=d13d7aef-6c9b-4826-a9d0-43298cc82f70"]}],"mendeley":{"formattedCitation":"(Conway et al., 2009)","manualFormatting":"(Conway et al., 2009)","plainTextFormattedCitation":"(Conway et al., 2009)","previouslyFormattedCitation":"(Conway et al., 2009)"},"properties":{"noteIndex":0},"schema":"https://github.com/citation-style-language/schema/raw/master/csl-citation.json"}</w:instrText>
      </w:r>
      <w:r w:rsidR="00BF77B8">
        <w:fldChar w:fldCharType="separate"/>
      </w:r>
      <w:r w:rsidR="00BF77B8">
        <w:rPr>
          <w:noProof/>
        </w:rPr>
        <w:t>(</w:t>
      </w:r>
      <w:r w:rsidR="00BF77B8" w:rsidRPr="00BF77B8">
        <w:rPr>
          <w:noProof/>
        </w:rPr>
        <w:t>Conway et al., 2009)</w:t>
      </w:r>
      <w:r w:rsidR="00BF77B8">
        <w:fldChar w:fldCharType="end"/>
      </w:r>
      <w:r>
        <w:t xml:space="preserve">. </w:t>
      </w:r>
      <w:r w:rsidR="00776873">
        <w:t xml:space="preserve">Either way, this auditory input activates cortical processes </w:t>
      </w:r>
      <w:r>
        <w:t xml:space="preserve">in frontal and temporal </w:t>
      </w:r>
      <w:r w:rsidR="00776873">
        <w:t xml:space="preserve">brain </w:t>
      </w:r>
      <w:r>
        <w:t xml:space="preserve">regions </w:t>
      </w:r>
      <w:r w:rsidR="00776873">
        <w:t>that become reorganized in infants with hearing loss</w:t>
      </w:r>
      <w:r>
        <w:t xml:space="preserve">. Consistent with this hypothesis, we found no evidence for learning only in the deaf infants, who have had no meaningful experience with sound in their lives thus far. All other </w:t>
      </w:r>
      <w:r w:rsidR="00776873">
        <w:t>participants</w:t>
      </w:r>
      <w:r>
        <w:t xml:space="preserve">—hearing infants, toddlers with cochlear implants, and hearing toddlers—have experienced </w:t>
      </w:r>
      <w:r w:rsidR="00776873">
        <w:t xml:space="preserve">some degree of </w:t>
      </w:r>
      <w:r>
        <w:t>access to auditory signals and all demonstrated learning.</w:t>
      </w:r>
    </w:p>
    <w:p w14:paraId="194BA761" w14:textId="4493CE85" w:rsidR="7B4C0428" w:rsidRDefault="7B4C0428" w:rsidP="7B4C0428">
      <w:r>
        <w:t xml:space="preserve">This interpretation </w:t>
      </w:r>
      <w:r w:rsidR="006E5BA5">
        <w:t xml:space="preserve">may </w:t>
      </w:r>
      <w:r>
        <w:t xml:space="preserve">suggest that the 6-12 months of auditory experience through a cochlear implant </w:t>
      </w:r>
      <w:r w:rsidR="006E5BA5">
        <w:t xml:space="preserve">could be </w:t>
      </w:r>
      <w:r>
        <w:t xml:space="preserve">sufficient to reverse the cortical reorganization </w:t>
      </w:r>
      <w:r w:rsidR="006E5BA5">
        <w:t>resulting</w:t>
      </w:r>
      <w:r>
        <w:t xml:space="preserve"> </w:t>
      </w:r>
      <w:r w:rsidR="00D36082">
        <w:t>from</w:t>
      </w:r>
      <w:r>
        <w:t xml:space="preserve"> deafness</w:t>
      </w:r>
      <w:r w:rsidR="00776873">
        <w:t xml:space="preserve"> </w:t>
      </w:r>
      <w:r w:rsidR="00DF487C">
        <w:lastRenderedPageBreak/>
        <w:t>and affect</w:t>
      </w:r>
      <w:r w:rsidR="006E5BA5">
        <w:t>ing</w:t>
      </w:r>
      <w:r w:rsidR="00776873">
        <w:t xml:space="preserve"> </w:t>
      </w:r>
      <w:r w:rsidR="006E5BA5">
        <w:t xml:space="preserve">VSL </w:t>
      </w:r>
      <w:r w:rsidR="00776873">
        <w:t>development</w:t>
      </w:r>
      <w:r w:rsidR="006E5BA5">
        <w:t>. Given that no VSL differences were found in the toddlers, another possibility is that deaf toddlers have acquired compensatory strategies rather than a reversal of cortical reorganization</w:t>
      </w:r>
      <w:r w:rsidR="00776873">
        <w:t xml:space="preserve">. Though there have been </w:t>
      </w:r>
      <w:r w:rsidR="00DF487C">
        <w:t>no</w:t>
      </w:r>
      <w:r w:rsidR="00776873">
        <w:t xml:space="preserve"> studies examining cortical reorganization following cochlear implantation in </w:t>
      </w:r>
      <w:r w:rsidR="00560B41">
        <w:t>human infants</w:t>
      </w:r>
      <w:r w:rsidR="00776873">
        <w:t xml:space="preserve">, </w:t>
      </w:r>
      <w:r w:rsidR="00560B41">
        <w:t xml:space="preserve">evidence from animal studies suggests early-implanted animals </w:t>
      </w:r>
      <w:r w:rsidR="00DF487C">
        <w:t xml:space="preserve">show rapid cortical reorganization </w:t>
      </w:r>
      <w:r w:rsidR="00560B41">
        <w:t>within a few mont</w:t>
      </w:r>
      <w:r w:rsidR="00332BCF">
        <w:t xml:space="preserve">hs after cochlear implantation </w:t>
      </w:r>
      <w:r w:rsidR="00332BCF">
        <w:fldChar w:fldCharType="begin" w:fldLock="1"/>
      </w:r>
      <w:r w:rsidR="0013217E">
        <w:instrText>ADDIN CSL_CITATION {"citationItems":[{"id":"ITEM-1","itemData":{"DOI":"10.1016/j.tins.2011.09.004","ISBN":"1878-108X (Electronic)\\r0166-2236 (Linking)","ISSN":"01662236","PMID":"22104561","abstract":"Cortical development is dependent on stimulus-driven learning. The absence of sensory input from birth, as occurs in congenital deafness, affects normal growth and connectivity needed to form a functional sensory system, resulting in deficits in oral language learning. Cochlear implants bypass cochlear damage by directly stimulating the auditory nerve and brain, making it possible to avoid many of the deleterious effects of sensory deprivation. Congenitally deaf animals and children who receive implants provide a platform to examine the characteristics of cortical plasticity in the auditory system. In this review, we discuss the existence of time limits for, and mechanistic constraints on, sensitive periods for cochlear implantation and describe the effects of multimodal and cognitive reorganization that result from long-term auditory deprivation. ?? 2011.","author":[{"dropping-particle":"","family":"Kral","given":"Andrej","non-dropping-particle":"","parse-names":false,"suffix":""},{"dropping-particle":"","family":"Sharma","given":"Anu","non-dropping-particle":"","parse-names":false,"suffix":""}],"container-title":"Trends in Neurosciences","id":"ITEM-1","issue":"2","issued":{"date-parts":[["2012","2"]]},"page":"111-122","publisher":"NIH Public Access","title":"Developmental neuroplasticity after cochlear implantation","type":"article-journal","volume":"35"},"uris":["http://www.mendeley.com/documents/?uuid=a88c0529-4d1c-4233-b3d2-42266076a588"]}],"mendeley":{"formattedCitation":"(Kral &amp; Sharma, 2012)","plainTextFormattedCitation":"(Kral &amp; Sharma, 2012)","previouslyFormattedCitation":"(Kral &amp; Sharma, 2012)"},"properties":{"noteIndex":0},"schema":"https://github.com/citation-style-language/schema/raw/master/csl-citation.json"}</w:instrText>
      </w:r>
      <w:r w:rsidR="00332BCF">
        <w:fldChar w:fldCharType="separate"/>
      </w:r>
      <w:r w:rsidR="00332BCF" w:rsidRPr="00332BCF">
        <w:rPr>
          <w:noProof/>
        </w:rPr>
        <w:t>(Kral &amp; Sharma, 2012)</w:t>
      </w:r>
      <w:r w:rsidR="00332BCF">
        <w:fldChar w:fldCharType="end"/>
      </w:r>
      <w:r w:rsidR="00560B41">
        <w:t xml:space="preserve">. In one case study, a child with single-sided deafness </w:t>
      </w:r>
      <w:r w:rsidR="000B6722">
        <w:t>showed dramatic morphological changes and cortical activation between 6-8 months post-implantation of her deaf ear, even though the child with 9 years old</w:t>
      </w:r>
      <w:r w:rsidR="005B689D">
        <w:t xml:space="preserve"> when she received her implant </w:t>
      </w:r>
      <w:r w:rsidR="00332BCF" w:rsidRPr="00B7662D">
        <w:fldChar w:fldCharType="begin" w:fldLock="1"/>
      </w:r>
      <w:r w:rsidR="00B7662D">
        <w:instrText>ADDIN CSL_CITATION {"citationItems":[{"id":"ITEM-1","itemData":{"DOI":"10.1097/MAO.0000000000000904","ISBN":"1531-7129","ISSN":"15374505","PMID":"26756152","abstract":"HYPOTHESIS: The purpose of this study was to examine changes in cortical development and neuroplasticity in a child with single-sided deafness (SSD) before and after cochlear implantation (CI). BACKGROUND: The extent to which sensory pathways reorganize in childhood SSD is not well understood and there is currently little evidence demonstrating the efficacy of CI in children with SSD. METHODS: High-density 128-channel electroencephalography (EEG) was used to collect cortical auditory evoked potentials (CAEP), cortical visual evoked potentials (CVEP), and cortical somatosensory evoked potentials (CSSEP) in a child with SSD, pre-CI and at subsequent sessions until approximately 3 years post-CI in her right ear which occurred at age 9.86 years. Behavioral correlates of speech perception and sound localization were also measured. RESULTS: Pre-CI, high-density EEG showed evidence of delayed auditory cortical response morphology, auditory cortical development strongly contralateral (to the normal hearing ear), evidence of increased cognitive load, and cross-modal reorganization by the visual and somatosensory modalities. The post-CI developmental trajectory provided clear evidence of age-appropriate development of auditory cortical responses, and decreased cross-modal reorganization, consistent with improved speech perception and sound localization. CONCLUSION: Post-CI, the child demonstrated age-appropriate auditory cortical development and improved speech perception and sound localization suggestive of significant benefits from cochlear implantation. Reversal of somatosensory recruitment was clearly apparent, and only a residual amount of visual cross-modal plasticity remained postimplantation. Overall, our results suggest that CI in pediatric SSD patients may benefit from a highly plastic cortex in childhood.","author":[{"dropping-particle":"","family":"Sharma","given":"Anu","non-dropping-particle":"","parse-names":false,"suffix":""},{"dropping-particle":"","family":"Glick","given":"Hannah","non-dropping-particle":"","parse-names":false,"suffix":""},{"dropping-particle":"","family":"Campbell","given":"Julia","non-dropping-particle":"","parse-names":false,"suffix":""},{"dropping-particle":"","family":"Torres","given":"Jennifer","non-dropping-particle":"","parse-names":false,"suffix":""},{"dropping-particle":"","family":"Dorman","given":"Michael","non-dropping-particle":"","parse-names":false,"suffix":""},{"dropping-particle":"","family":"Zeitler","given":"Daniel","non-dropping-particle":"","parse-names":false,"suffix":""}],"container-title":"Otology and Neurotology","id":"ITEM-1","issue":"2","issued":{"date-parts":[["2016","2"]]},"page":"e26-e34","title":"Cortical plasticity and reorganization in pediatric single-sided deafness pre- and postcochlear implantation a case study","type":"paper-conference","volume":"37"},"uris":["http://www.mendeley.com/documents/?uuid=fa42a7dd-398c-40fa-97e1-aa619ce40253"]},{"id":"ITEM-2","itemData":{"DOI":"10.1038/s41598-017-17129-z","ISSN":"20452322","PMID":"29203800","abstract":"Early treatment of single sided deafness in children has been recommended to protect from neurodevelopmental preference for the better hearing ear and from social and educational deficits. A fairly homogeneous group of five young children (≤3.6 years of age) with normal right sided hearing who received a cochlear implant to treat deafness in their left ears were studied. Etiology of deafness was largely cytomegalovirus (n = 4); one child had an enlarged vestibular aqueduct. Multi-channel electroencephalography of cortical evoked activity was measured repeatedly over time at: 1) acute (0.5 ± 0.7 weeks); 2) early chronic (1.1 ± 0.2 months); and 3) chronic (5.8 ± 3.4 months) cochlear implant stimulation. Results indicated consistent responses from the normal right ear with marked changes in activity from the implanted left ear. Atypical distribution of peak amplitude activity from the implanted ear at acute stimulation marked abnormal lateralization of activity to the ipsilateral left auditory cortex and recruitment of extra-Temporal areas including left frontal cortex. These abnormalities resolved with chronic implant use and contralateral aural preference emerged in both auditory cortices. These findings indicate that early implantation in young children with single sided deafness can rapidly restore bilateral auditory input to the cortex needed to improve binaural hearing.","author":[{"dropping-particle":"","family":"Polonenko","given":"Melissa Jane","non-dropping-particle":"","parse-names":false,"suffix":""},{"dropping-particle":"","family":"Gordon","given":"Karen Ann","non-dropping-particle":"","parse-names":false,"suffix":""},{"dropping-particle":"","family":"Cushing","given":"Sharon Lynn","non-dropping-particle":"","parse-names":false,"suffix":""},{"dropping-particle":"","family":"Papsin","given":"Blake Croll","non-dropping-particle":"","parse-names":false,"suffix":""}],"container-title":"Scientific Reports","id":"ITEM-2","issue":"1","issued":{"date-parts":[["2017"]]},"title":"Cortical organization restored by cochlear implantation in young children with single sided deafness","type":"article-journal","volume":"7"},"uris":["http://www.mendeley.com/documents/?uuid=7a1b87ae-4dd0-3294-aca0-833599a40882"]}],"mendeley":{"formattedCitation":"(Polonenko et al., 2017; Sharma et al., 2016)","manualFormatting":"(Sharma et al., 2016; ","plainTextFormattedCitation":"(Polonenko et al., 2017; Sharma et al., 2016)","previouslyFormattedCitation":"(Polonenko et al., 2017; Sharma et al., 2016)"},"properties":{"noteIndex":0},"schema":"https://github.com/citation-style-language/schema/raw/master/csl-citation.json"}</w:instrText>
      </w:r>
      <w:r w:rsidR="00332BCF" w:rsidRPr="00B7662D">
        <w:fldChar w:fldCharType="separate"/>
      </w:r>
      <w:r w:rsidR="005B689D" w:rsidRPr="00B7662D">
        <w:rPr>
          <w:noProof/>
        </w:rPr>
        <w:t>(Sharma et al., 2016</w:t>
      </w:r>
      <w:r w:rsidR="00B7662D" w:rsidRPr="00B7662D">
        <w:rPr>
          <w:noProof/>
        </w:rPr>
        <w:t xml:space="preserve">; </w:t>
      </w:r>
      <w:r w:rsidR="00332BCF" w:rsidRPr="00B7662D">
        <w:fldChar w:fldCharType="end"/>
      </w:r>
      <w:r w:rsidR="000B6722" w:rsidRPr="00B7662D">
        <w:t xml:space="preserve">see also </w:t>
      </w:r>
      <w:proofErr w:type="spellStart"/>
      <w:r w:rsidR="00643F99" w:rsidRPr="00B7662D">
        <w:t>Polonenko</w:t>
      </w:r>
      <w:proofErr w:type="spellEnd"/>
      <w:r w:rsidR="00643F99" w:rsidRPr="00B7662D">
        <w:t xml:space="preserve"> et al., 2017 for a similar finding</w:t>
      </w:r>
      <w:r w:rsidR="000B6722" w:rsidRPr="00B7662D">
        <w:t xml:space="preserve">). This finding is also consistent with another </w:t>
      </w:r>
      <w:r w:rsidR="004F5C48" w:rsidRPr="00B7662D">
        <w:t xml:space="preserve">recent </w:t>
      </w:r>
      <w:r w:rsidR="000B6722" w:rsidRPr="00B7662D">
        <w:t xml:space="preserve">study </w:t>
      </w:r>
      <w:r w:rsidR="004F5C48" w:rsidRPr="00B7662D">
        <w:t>showin</w:t>
      </w:r>
      <w:r w:rsidR="004F5C48">
        <w:t>g</w:t>
      </w:r>
      <w:r w:rsidR="000B6722">
        <w:t xml:space="preserve"> that </w:t>
      </w:r>
      <w:r w:rsidR="00C61D60">
        <w:t>three</w:t>
      </w:r>
      <w:r w:rsidR="000B6722">
        <w:t xml:space="preserve">-year-old implanted children demonstrate age-appropriate cortical responses to auditory stimuli by </w:t>
      </w:r>
      <w:r w:rsidR="00C61D60">
        <w:t>eight</w:t>
      </w:r>
      <w:r w:rsidR="000B6722">
        <w:t xml:space="preserve"> months post-implantation</w:t>
      </w:r>
      <w:r w:rsidR="00B7662D">
        <w:t xml:space="preserve"> </w:t>
      </w:r>
      <w:r w:rsidR="00B7662D">
        <w:fldChar w:fldCharType="begin" w:fldLock="1"/>
      </w:r>
      <w:r w:rsidR="001D0F05">
        <w:instrText>ADDIN CSL_CITATION {"citationItems":[{"id":"ITEM-1","itemData":{"DOI":"10.1097/00001756-200207190-00030","ISSN":"09594965","PMID":"12151804","abstract":"The aim of our research was to estimate the time course of development and plasticity of the human central auditory pathways following cochlear implantation. We recorded cortical auditory-evoked potentials in 3-year-old congenitally deaf children after they were fitted with cochlear implants. Immediately after implantation cortical response latencies resembled those of normal-hearing newborns. Over the next few months, the cortical evoked responses showed rapid changes in morphology and latency that resulted in age-appropriate latencies by 8 months after implantation. Overall, the development of cortical response latencies for the implanted children was more rapid than for their normal-hearing age-matched peers. Our results demonstrate a high degree of central auditory system plasticity during early human development. © 2002 Lippincott Williams &amp; Wilkins.","author":[{"dropping-particle":"","family":"Sharma","given":"Anu","non-dropping-particle":"","parse-names":false,"suffix":""},{"dropping-particle":"","family":"Dorman","given":"Michael F.","non-dropping-particle":"","parse-names":false,"suffix":""},{"dropping-particle":"","family":"Spahr","given":"Anthony J.","non-dropping-particle":"","parse-names":false,"suffix":""}],"container-title":"NeuroReport","id":"ITEM-1","issue":"10","issued":{"date-parts":[["2002"]]},"page":"1365-1368","title":"Rapid development of cortical auditory evoked potentials after early cochlear implantation","type":"article-journal","volume":"13"},"uris":["http://www.mendeley.com/documents/?uuid=fb8e56f9-44bb-318a-95ca-c67657d6a6e1"]}],"mendeley":{"formattedCitation":"(Sharma, Dorman, &amp; Spahr, 2002)","plainTextFormattedCitation":"(Sharma, Dorman, &amp; Spahr, 2002)","previouslyFormattedCitation":"(Sharma, Dorman, &amp; Spahr, 2002)"},"properties":{"noteIndex":0},"schema":"https://github.com/citation-style-language/schema/raw/master/csl-citation.json"}</w:instrText>
      </w:r>
      <w:r w:rsidR="00B7662D">
        <w:fldChar w:fldCharType="separate"/>
      </w:r>
      <w:r w:rsidR="00957DF2" w:rsidRPr="00957DF2">
        <w:rPr>
          <w:noProof/>
        </w:rPr>
        <w:t>(Sharma, Dorman, &amp; Spahr, 2002)</w:t>
      </w:r>
      <w:r w:rsidR="00B7662D">
        <w:fldChar w:fldCharType="end"/>
      </w:r>
      <w:r w:rsidR="000B6722">
        <w:t>. Taken together, there is strong evidence to suggest that cortical reorganization following early cochlear implantation</w:t>
      </w:r>
      <w:r w:rsidR="00A318BF">
        <w:t xml:space="preserve"> is ch</w:t>
      </w:r>
      <w:r w:rsidR="000B6722">
        <w:t xml:space="preserve">aracterized by </w:t>
      </w:r>
      <w:r w:rsidR="00DF487C">
        <w:t>dramatic</w:t>
      </w:r>
      <w:r w:rsidR="000B6722">
        <w:t xml:space="preserve"> changes in </w:t>
      </w:r>
      <w:r w:rsidR="00A318BF">
        <w:t>neural</w:t>
      </w:r>
      <w:r w:rsidR="00DF487C">
        <w:t xml:space="preserve"> pathways. Our findings </w:t>
      </w:r>
      <w:r w:rsidR="00A318BF">
        <w:t>raise the question of whether t</w:t>
      </w:r>
      <w:r w:rsidR="00DF487C">
        <w:t>hese changes also include the pathways involved in visual processing and domain-general learning mechanisms</w:t>
      </w:r>
      <w:r w:rsidR="004F5C48">
        <w:t>, an open question for future electrophysiology and neuroimaging research.</w:t>
      </w:r>
    </w:p>
    <w:p w14:paraId="1B5F0361" w14:textId="4F2BCE32" w:rsidR="00AC723F" w:rsidRDefault="004F5C48" w:rsidP="003512DD">
      <w:r>
        <w:t>Our findings cannot rule out the possibilit</w:t>
      </w:r>
      <w:r w:rsidR="004B1026">
        <w:t xml:space="preserve">y that it could be language </w:t>
      </w:r>
      <w:r>
        <w:t>that affects the development of general learning mechanisms like VSL</w:t>
      </w:r>
      <w:r w:rsidR="004B1026">
        <w:t>, rather than sound</w:t>
      </w:r>
      <w:r>
        <w:t xml:space="preserve">. In a paper describing the </w:t>
      </w:r>
      <w:r w:rsidRPr="00293A0C">
        <w:rPr>
          <w:i/>
        </w:rPr>
        <w:t>l</w:t>
      </w:r>
      <w:r w:rsidR="00711045" w:rsidRPr="00293A0C">
        <w:rPr>
          <w:i/>
        </w:rPr>
        <w:t>anguage scaffolding hypothesis</w:t>
      </w:r>
      <w:r>
        <w:t>, Hall et al., (2017) argues that “the development of implicit learning skills may depend less on the temporal and linear structure of sound and more on the temporal, hierarchical, and inherently social structure of language”</w:t>
      </w:r>
      <w:r w:rsidR="007F3DF7">
        <w:t xml:space="preserve"> (p. 3)</w:t>
      </w:r>
      <w:r>
        <w:t xml:space="preserve">. </w:t>
      </w:r>
      <w:r w:rsidR="00293A0C">
        <w:t>Although th</w:t>
      </w:r>
      <w:r>
        <w:t xml:space="preserve">ese authors focus on </w:t>
      </w:r>
      <w:r w:rsidRPr="004F5C48">
        <w:rPr>
          <w:i/>
          <w:iCs/>
        </w:rPr>
        <w:t>implicit</w:t>
      </w:r>
      <w:r>
        <w:t xml:space="preserve"> </w:t>
      </w:r>
      <w:r w:rsidR="001D0F05">
        <w:t>and not</w:t>
      </w:r>
      <w:r>
        <w:t xml:space="preserve"> </w:t>
      </w:r>
      <w:r w:rsidRPr="004F5C48">
        <w:rPr>
          <w:i/>
          <w:iCs/>
        </w:rPr>
        <w:t>statistical</w:t>
      </w:r>
      <w:r w:rsidR="001D0F05">
        <w:t xml:space="preserve"> learning skills</w:t>
      </w:r>
      <w:r w:rsidR="00310317">
        <w:t>—w</w:t>
      </w:r>
      <w:r w:rsidR="001D0F05">
        <w:t xml:space="preserve">hich have been treated as separate in the literature </w:t>
      </w:r>
      <w:r w:rsidR="001D0F05">
        <w:fldChar w:fldCharType="begin" w:fldLock="1"/>
      </w:r>
      <w:r w:rsidR="00310317">
        <w:instrText>ADDIN CSL_CITATION {"citationItems":[{"id":"ITEM-1","itemData":{"DOI":"10.1016/j.tics.2006.03.006","ISBN":"1364-6613 (Print)\\r1364-6613 (Linking)","ISSN":"13646613","PMID":"16616590","abstract":"The domain-general learning mechanisms elicited in incidental learning situations are of potential interest in many research fields, including language acquisition, object knowledge formation and motor learning. They have been the focus of studies on implicit learning for nearly 40 years. Stemming from a different research tradition, studies on statistical learning carried out in the past 10 years after the seminal studies by Saffran and collaborators, appear to be closely related, and the similarity between the two approaches is strengthened further by their recent evolution. However, implicit learning and statistical learning research favor different interpretations, focusing on the formation of chunks and statistical computations, respectively. We examine these differing approaches and suggest that this divergence opens up a major theoretical challenge for future studies. ?? 2006 Elsevier Ltd. All rights reserved.","author":[{"dropping-particle":"","family":"Perruchet","given":"Pierre","non-dropping-particle":"","parse-names":false,"suffix":""},{"dropping-particle":"","family":"Pacton","given":"Sebastien","non-dropping-particle":"","parse-names":false,"suffix":""}],"container-title":"Trends in Cognitive Science","id":"ITEM-1","issue":"5","issued":{"date-parts":[["2006"]]},"page":"233-238","title":"Implicit learning and statistical learning: one phenomenon, two approaches","type":"article-journal","volume":"10"},"uris":["http://www.mendeley.com/documents/?uuid=dde97a90-3760-407f-b305-3e440d32d517"]}],"mendeley":{"formattedCitation":"(Perruchet &amp; Pacton, 2006)","manualFormatting":"(though see Perruchet &amp; Pacton, 2006 for an interesting discussion on this)","plainTextFormattedCitation":"(Perruchet &amp; Pacton, 2006)","previouslyFormattedCitation":"(Perruchet &amp; Pacton, 2006)"},"properties":{"noteIndex":0},"schema":"https://github.com/citation-style-language/schema/raw/master/csl-citation.json"}</w:instrText>
      </w:r>
      <w:r w:rsidR="001D0F05">
        <w:fldChar w:fldCharType="separate"/>
      </w:r>
      <w:r w:rsidR="001D0F05" w:rsidRPr="001D0F05">
        <w:rPr>
          <w:noProof/>
        </w:rPr>
        <w:t>(</w:t>
      </w:r>
      <w:r w:rsidR="00310317">
        <w:rPr>
          <w:noProof/>
        </w:rPr>
        <w:t xml:space="preserve">though </w:t>
      </w:r>
      <w:r w:rsidR="001D0F05">
        <w:rPr>
          <w:noProof/>
        </w:rPr>
        <w:t xml:space="preserve">see </w:t>
      </w:r>
      <w:r w:rsidR="001D0F05" w:rsidRPr="001D0F05">
        <w:rPr>
          <w:noProof/>
        </w:rPr>
        <w:t>Perruchet &amp; Pacton, 2006</w:t>
      </w:r>
      <w:r w:rsidR="001D0F05">
        <w:rPr>
          <w:noProof/>
        </w:rPr>
        <w:t xml:space="preserve"> for an interesting discussion on this</w:t>
      </w:r>
      <w:r w:rsidR="001D0F05" w:rsidRPr="001D0F05">
        <w:rPr>
          <w:noProof/>
        </w:rPr>
        <w:t>)</w:t>
      </w:r>
      <w:r w:rsidR="001D0F05">
        <w:fldChar w:fldCharType="end"/>
      </w:r>
      <w:r w:rsidR="00310317">
        <w:t>—i</w:t>
      </w:r>
      <w:r w:rsidR="001D0F05">
        <w:t xml:space="preserve">t is </w:t>
      </w:r>
      <w:r w:rsidR="001D0F05">
        <w:lastRenderedPageBreak/>
        <w:t>n</w:t>
      </w:r>
      <w:r>
        <w:t>evertheless</w:t>
      </w:r>
      <w:r w:rsidR="001D0F05">
        <w:t xml:space="preserve"> </w:t>
      </w:r>
      <w:r>
        <w:t xml:space="preserve">possible that language deprivation could negatively affect the development of statistical learning skills. </w:t>
      </w:r>
      <w:r w:rsidR="009711DB">
        <w:t xml:space="preserve">There is a </w:t>
      </w:r>
      <w:r w:rsidR="0013217E">
        <w:t>strong</w:t>
      </w:r>
      <w:r w:rsidR="009711DB">
        <w:t xml:space="preserve"> body of evidence showing statistical </w:t>
      </w:r>
      <w:r w:rsidR="009711DB" w:rsidRPr="00310317">
        <w:t>learning skills</w:t>
      </w:r>
      <w:r w:rsidR="0013217E">
        <w:t xml:space="preserve"> are predictive of language ability</w:t>
      </w:r>
      <w:r w:rsidR="009711DB" w:rsidRPr="00310317">
        <w:t xml:space="preserve"> </w:t>
      </w:r>
      <w:r w:rsidR="00310317" w:rsidRPr="00310317">
        <w:fldChar w:fldCharType="begin" w:fldLock="1"/>
      </w:r>
      <w:r w:rsidR="001C5E63">
        <w:instrText>ADDIN CSL_CITATION {"citationItems":[{"id":"ITEM-1","itemData":{"DOI":"10.1002/wcs.78","ISBN":"1939-5086","ISSN":"19395078","PMID":"21666883","abstract":"Human learners, including infants, are highly sensitive to structure in their environment. Statistical learning refers to the process of extracting this structure. A major question in language acquisition in the past few decades has been the extent to which infants use statistical learning mechanisms to acquire their native language. There have been many demonstrations showing infants' ability to extract structures in linguistic input, such as the transitional probability between adjacent elements. This paper reviews current research on how statistical learning contributes to language acquisition. Current research is extending the initial findings of infants' sensitivity to basic statistical information in many different directions, including investigating how infants represent regularities, learn about different levels of language, and integrate information across situations. These current directions emphasize studying statistical language learning in context: within language, within the infant learner, and within the environment as a whole.","author":[{"dropping-particle":"","family":"Romberg","given":"A.","non-dropping-particle":"","parse-names":false,"suffix":""},{"dropping-particle":"","family":"Saffran","given":"J.","non-dropping-particle":"","parse-names":false,"suffix":""}],"container-title":"Wiley Interdisciplinary Reviews: Cognitive Science","id":"ITEM-1","issue":"6","issued":{"date-parts":[["2010","11"]]},"page":"906-914","publisher":"John Wiley &amp; Sons, Inc.","title":"Statistical learning and language acquisition","type":"article-journal","volume":"1"},"uris":["http://www.mendeley.com/documents/?uuid=03a83ac7-0f1a-3c3c-840d-54ca4a180aeb"]},{"id":"ITEM-2","itemData":{"DOI":"10.1007/s11145-014-9533-0","ISSN":"15730905","abstract":"It has been demonstrated that statistical learning, or the ability to use statistical information to learn the structure of one’s environment, plays a role in young children’s acquisition of linguistic knowledge. Although most research on statistical learning has focused on language acquisition processes, such as the segmentation of words from fluent speech and the learning of syntactic structure, some recent studies have explored the extent to which individual differences in statistical learning are related to literacy-relevant knowledge and skills. The present study extends on this literature by investigating the relations between two measures of statistical learning and multiple measures of skills that are critical to the development of literacy—oral language, vocabulary knowledge, and phonological processing—within a single model. Our sample included a total of 553 typically developing children from pre-kindergarten through second grade. Structural equation modeling revealed that statistical learning accounted for a unique portion of the variance in these literacy-related skills. Practical implications for instruction and assessment are discussed.","author":[{"dropping-particle":"","family":"Spencer","given":"Mercedes","non-dropping-particle":"","parse-names":false,"suffix":""},{"dropping-particle":"","family":"Kaschak","given":"Michael P.","non-dropping-particle":"","parse-names":false,"suffix":""},{"dropping-particle":"","family":"Jones","given":"John L.","non-dropping-particle":"","parse-names":false,"suffix":""},{"dropping-particle":"","family":"Lonigan","given":"Christopher J.","non-dropping-particle":"","parse-names":false,"suffix":""}],"container-title":"Reading and Writing","id":"ITEM-2","issue":"4","issued":{"date-parts":[["2015","4","1"]]},"page":"467-490","publisher":"Kluwer Academic Publishers","title":"Statistical learning is related to early literacy-related skills","type":"article-journal","volume":"28"},"uris":["http://www.mendeley.com/documents/?uuid=d4bfb821-7e02-3a8d-93ab-4d9e2c3cc387"]},{"id":"ITEM-3","itemData":{"DOI":"10.1111/j.1551-6709.2011.01200.x","ISSN":"03640213","PMID":"21974775","abstract":"There is little empirical evidence showing a direct link between a capacity for statistical learning (SL) and proficiency with natural language. Moreover, discussion of the role of SL in language acquisition has seldom focused on literacy development. Our study addressed these issues by investigating the relationship between SL and reading ability in typically developing children and healthy adults. We tested SL using visually presented stimuli within a triplet learning paradigm and examined reading ability by administering the Wide Range Achievement Test (WRAT-4; Wilkinson &amp; Robertson, 2006). A total of 38 typically developing children (mean age of 9;5 years, range 6;4-12;5) and 37 healthy adults (mean age of 21years, range 18-34) were assessed. In children, SL was significantly related to reading ability. Importantly, this relationship was independent of grade and also age. The adult data, too, revealed that SL was significantly related to reading ability. A regression analysis of the combined child and adult data revealed that SL accounted for a unique amount of variance in reading ability, after age and attention had been taken into consideration. For the first time, this study provides empirical evidence that a capacity for more effective SL is related to higher reading ability in the general population. © 2011 Cognitive Science Society, Inc.","author":[{"dropping-particle":"","family":"Arciuli","given":"Joanne","non-dropping-particle":"","parse-names":false,"suffix":""},{"dropping-particle":"","family":"Simpson","given":"Ian C.","non-dropping-particle":"","parse-names":false,"suffix":""}],"container-title":"Cognitive Science","id":"ITEM-3","issue":"2","issued":{"date-parts":[["2012","3"]]},"page":"286-304","title":"Statistical learning is related to reading ability in children and adults","type":"article-journal","volume":"36"},"uris":["http://www.mendeley.com/documents/?uuid=b78ad506-afe0-3d73-a240-b6baaf32e84b"]},{"id":"ITEM-4","itemData":{"DOI":"10.1111/cdev.12461","ISSN":"14678624","PMID":"26510168","abstract":"Variability in children's language acquisition is likely due to a number of cognitive and social variables. The current study investigated whether individual differences in statistical learning (SL), which has been implicated in language acquisition, independently predicted 6- to 8-year-old's comprehension of syntax. Sixty-eight (N = 68) English-speaking children completed a test of comprehension of four syntactic structures, a test of SL utilizing nonlinguistic visual stimuli, and several additional control measures. The results revealed that SL independently predicted comprehension of two syntactic structures that show considerable variability in this age range: passives and object relative clauses. These data suggest that individual differences in children's capacity for SL are associated with the acquisition of the syntax of natural languages. Child Development","author":[{"dropping-particle":"","family":"Kidd","given":"Evan","non-dropping-particle":"","parse-names":false,"suffix":""},{"dropping-particle":"","family":"Arciuli","given":"Joanne","non-dropping-particle":"","parse-names":false,"suffix":""}],"container-title":"Child Development","id":"ITEM-4","issue":"1","issued":{"date-parts":[["2016","1","1"]]},"page":"184-193","publisher":"Blackwell Publishing Inc.","title":"Individual differences in statistical learning predict children’s comprehension of syntax","type":"article-journal","volume":"87"},"uris":["http://www.mendeley.com/documents/?uuid=6e334c57-5cfe-3f7f-95f0-4561d54058cf"]},{"id":"ITEM-5","itemData":{"DOI":"10.1111/j.1532-7078.2011.00085.x","ISBN":"1532-7078","ISSN":"15250008","PMID":"22523477","abstract":"Research suggests that non-linguistic sequence learning abilities are an important contributor to language development (Conway, Bauernschmidt, Huang, &amp; Pisoni, 2010). The current study investigated visual sequence learning as a possible predictor of vocabulary development in infants. Fifty-eight 8.5-month-old infants were presented with a three-location spatiotemporal sequence of multi-colored geometric shapes. Early language skills were assessed using the MacArthur-Bates CDI. Analyses of children's reaction times to the stimuli suggest that the extent to which infants demonstrated learning was significantly correlated with their vocabulary comprehension at the time of test and with their gestural comprehension abilities 5 months later. These findings suggest that visual sequence learning may have both domain-general and domain-specific associations with language learning.","author":[{"dropping-particle":"","family":"Shafto","given":"Carissa","non-dropping-particle":"","parse-names":false,"suffix":""},{"dropping-particle":"","family":"Conway","given":"Christopher","non-dropping-particle":"","parse-names":false,"suffix":""},{"dropping-particle":"","family":"Field","given":"Suzanne","non-dropping-particle":"","parse-names":false,"suffix":""},{"dropping-particle":"","family":"Houston","given":"Derek","non-dropping-particle":"","parse-names":false,"suffix":""}],"container-title":"Infancy","id":"ITEM-5","issue":"3","issued":{"date-parts":[["2012","5"]]},"note":"From Duplicate 2 (Visual sequence learning in infancy: Domain-general and domain-specific associations with language - Shafto, Carissa L; Conway, Christopher M; Field, Suzanne L; Houston, Derek M)\n\nNULL","page":"247-271","title":"Visual sequence learning in infancy: Domain-general and domain-specific associations with language","type":"article-journal","volume":"17"},"uris":["http://www.mendeley.com/documents/?uuid=89eb867b-31c9-436e-a8e9-2f5861e271a5"]}],"mendeley":{"formattedCitation":"(Arciuli &amp; Simpson, 2012; Kidd &amp; Arciuli, 2016; Romberg &amp; Saffran, 2010; Shafto et al., 2012; Spencer et al., 2015)","plainTextFormattedCitation":"(Arciuli &amp; Simpson, 2012; Kidd &amp; Arciuli, 2016; Romberg &amp; Saffran, 2010; Shafto et al., 2012; Spencer et al., 2015)","previouslyFormattedCitation":"(Arciuli &amp; Simpson, 2012; Kidd &amp; Arciuli, 2016; Romberg &amp; Saffran, 2010; Shafto et al., 2012; Spencer et al., 2015)"},"properties":{"noteIndex":0},"schema":"https://github.com/citation-style-language/schema/raw/master/csl-citation.json"}</w:instrText>
      </w:r>
      <w:r w:rsidR="00310317" w:rsidRPr="00310317">
        <w:fldChar w:fldCharType="separate"/>
      </w:r>
      <w:r w:rsidR="00E778A9" w:rsidRPr="00E778A9">
        <w:rPr>
          <w:noProof/>
        </w:rPr>
        <w:t>(Arciuli &amp; Simpson, 2012; Kidd &amp; Arciuli, 2016; Romberg &amp; Saffran, 2010; Shafto et al., 2012; Spencer et al., 2015)</w:t>
      </w:r>
      <w:r w:rsidR="00310317" w:rsidRPr="00310317">
        <w:fldChar w:fldCharType="end"/>
      </w:r>
      <w:r w:rsidR="009711DB" w:rsidRPr="00310317">
        <w:t xml:space="preserve">, and </w:t>
      </w:r>
      <w:r w:rsidR="00211636" w:rsidRPr="00310317">
        <w:t xml:space="preserve">in the current study </w:t>
      </w:r>
      <w:r w:rsidR="009711DB" w:rsidRPr="00310317">
        <w:t>we also found correlation</w:t>
      </w:r>
      <w:r w:rsidR="009711DB">
        <w:t>s between language and learning ability. On the other hand</w:t>
      </w:r>
      <w:r>
        <w:t xml:space="preserve">, established theories of statistical learning </w:t>
      </w:r>
      <w:r w:rsidR="0040673B">
        <w:t>maintain</w:t>
      </w:r>
      <w:r>
        <w:t xml:space="preserve"> that it is the general ability to detect structure in the environment that facilitates the acquisition of language. For instance, the seminal study by </w:t>
      </w:r>
      <w:proofErr w:type="spellStart"/>
      <w:r>
        <w:t>Saffran</w:t>
      </w:r>
      <w:proofErr w:type="spellEnd"/>
      <w:r>
        <w:t xml:space="preserve"> </w:t>
      </w:r>
      <w:r w:rsidR="00851938">
        <w:t xml:space="preserve">and </w:t>
      </w:r>
      <w:r w:rsidR="00851938" w:rsidRPr="00851938">
        <w:t>colleagues</w:t>
      </w:r>
      <w:r w:rsidRPr="00851938">
        <w:t xml:space="preserve"> </w:t>
      </w:r>
      <w:r w:rsidR="00851938">
        <w:fldChar w:fldCharType="begin" w:fldLock="1"/>
      </w:r>
      <w:r w:rsidR="00851938">
        <w:instrText>ADDIN CSL_CITATION {"citationItems":[{"id":"ITEM-1","itemData":{"DOI":"10.1126/science.274.5294.1926","author":[{"dropping-particle":"","family":"Saffran","given":"JR","non-dropping-particle":"","parse-names":false,"suffix":""},{"dropping-particle":"","family":"Aslin","given":"RN","non-dropping-particle":"","parse-names":false,"suffix":""},{"dropping-particle":"","family":"Newport","given":"EL","non-dropping-particle":"","parse-names":false,"suffix":""}],"container-title":"Science","id":"ITEM-1","issue":"5294","issued":{"date-parts":[["1996"]]},"page":"1926","title":"Statistical learning by 8-month-old infants","type":"article-journal","volume":"274"},"uris":["http://www.mendeley.com/documents/?uuid=e96f441a-197d-4d51-8532-e14eb186bf7d"]}],"mendeley":{"formattedCitation":"(J. Saffran et al., 1996)","manualFormatting":"(1996)","plainTextFormattedCitation":"(J. Saffran et al., 1996)","previouslyFormattedCitation":"(J. Saffran et al., 1996)"},"properties":{"noteIndex":0},"schema":"https://github.com/citation-style-language/schema/raw/master/csl-citation.json"}</w:instrText>
      </w:r>
      <w:r w:rsidR="00851938">
        <w:fldChar w:fldCharType="separate"/>
      </w:r>
      <w:r w:rsidR="00851938" w:rsidRPr="00851938">
        <w:rPr>
          <w:noProof/>
        </w:rPr>
        <w:t>(1996)</w:t>
      </w:r>
      <w:r w:rsidR="00851938">
        <w:fldChar w:fldCharType="end"/>
      </w:r>
      <w:r w:rsidRPr="00851938">
        <w:t xml:space="preserve"> show</w:t>
      </w:r>
      <w:r w:rsidR="0040673B" w:rsidRPr="00851938">
        <w:t>ed</w:t>
      </w:r>
      <w:r>
        <w:t xml:space="preserve"> that preverbal infants </w:t>
      </w:r>
      <w:r w:rsidR="009711DB">
        <w:t xml:space="preserve">segment continuous syllable sequences into distinct units based (only) on transitional probabilities, and proposed that this ability is </w:t>
      </w:r>
      <w:r w:rsidR="00FC3550">
        <w:t xml:space="preserve">a necessary precursor to being able to </w:t>
      </w:r>
      <w:r w:rsidR="00C42933">
        <w:t>learn</w:t>
      </w:r>
      <w:r w:rsidR="009711DB">
        <w:t xml:space="preserve"> words. </w:t>
      </w:r>
      <w:r w:rsidR="00211636">
        <w:t>Statistical</w:t>
      </w:r>
      <w:r w:rsidR="009711DB">
        <w:t xml:space="preserve"> learning abilities have been demonstrated even in newborns</w:t>
      </w:r>
      <w:r w:rsidR="00851938">
        <w:t xml:space="preserve"> </w:t>
      </w:r>
      <w:r w:rsidR="00851938">
        <w:fldChar w:fldCharType="begin" w:fldLock="1"/>
      </w:r>
      <w:r w:rsidR="001C5E63">
        <w:instrText>ADDIN CSL_CITATION {"citationItems":[{"id":"ITEM-1","itemData":{"DOI":"10.1186/1471-2202-10-21","author":[{"dropping-particle":"","family":"Teinonen","given":"T","non-dropping-particle":"","parse-names":false,"suffix":""},{"dropping-particle":"","family":"Fellman","given":"V","non-dropping-particle":"","parse-names":false,"suffix":""},{"dropping-particle":"","family":"Näätänen","given":"R","non-dropping-particle":"","parse-names":false,"suffix":""},{"dropping-particle":"","family":"Alku","given":"P","non-dropping-particle":"","parse-names":false,"suffix":""}],"container-title":"BMC Neuroscience","id":"ITEM-1","issue":"1","issued":{"date-parts":[["2009"]]},"page":"21","title":"Statistical language learning in neonates revealed by event-related brain potentials","type":"article-journal","volume":"10"},"uris":["http://www.mendeley.com/documents/?uuid=d75e45d2-12aa-445a-8226-6009081bcd18"]}],"mendeley":{"formattedCitation":"(Teinonen et al., 2009)","plainTextFormattedCitation":"(Teinonen et al., 2009)","previouslyFormattedCitation":"(Teinonen et al., 2009)"},"properties":{"noteIndex":0},"schema":"https://github.com/citation-style-language/schema/raw/master/csl-citation.json"}</w:instrText>
      </w:r>
      <w:r w:rsidR="00851938">
        <w:fldChar w:fldCharType="separate"/>
      </w:r>
      <w:r w:rsidR="00851938" w:rsidRPr="00851938">
        <w:rPr>
          <w:noProof/>
        </w:rPr>
        <w:t>(Teinonen et al., 2009)</w:t>
      </w:r>
      <w:r w:rsidR="00851938">
        <w:fldChar w:fldCharType="end"/>
      </w:r>
      <w:r w:rsidR="009711DB">
        <w:t xml:space="preserve">, suggesting that these skills emerge from the earliest </w:t>
      </w:r>
      <w:r w:rsidR="00C42933">
        <w:t>moments</w:t>
      </w:r>
      <w:r w:rsidR="009711DB">
        <w:t xml:space="preserve"> of life. </w:t>
      </w:r>
      <w:r w:rsidR="008A7562">
        <w:t xml:space="preserve">In sum, there is strong evidence to suggest that statistical learning skills drive language acquisition, rather than language acquisition driving the development of statistical learning skills. Still, </w:t>
      </w:r>
      <w:r w:rsidR="00EB4092">
        <w:t xml:space="preserve">in the current study </w:t>
      </w:r>
      <w:r w:rsidR="00CB61BD">
        <w:t>we cannot conclusively</w:t>
      </w:r>
      <w:r w:rsidR="004C5AE2">
        <w:t xml:space="preserve"> </w:t>
      </w:r>
      <w:r w:rsidR="00EB4092">
        <w:t xml:space="preserve">say </w:t>
      </w:r>
      <w:r w:rsidR="004C5AE2">
        <w:t>whether the failure to learn in the deaf infants can be attributed to lack of auditory or language experiences.</w:t>
      </w:r>
      <w:r w:rsidR="00CB61BD">
        <w:t xml:space="preserve"> This question will need to be answered in future research, possibly </w:t>
      </w:r>
      <w:r w:rsidR="00AE57A3">
        <w:t>by using neuroimaging approaches to examine the specific neurocognitive mechanisms involved during learning (</w:t>
      </w:r>
      <w:r w:rsidR="00347AB2">
        <w:t xml:space="preserve">e.g., </w:t>
      </w:r>
      <w:proofErr w:type="spellStart"/>
      <w:r w:rsidR="00347AB2">
        <w:t>Cortesa</w:t>
      </w:r>
      <w:proofErr w:type="spellEnd"/>
      <w:r w:rsidR="00347AB2">
        <w:t xml:space="preserve"> et al., 2019</w:t>
      </w:r>
      <w:r w:rsidR="00AE57A3">
        <w:t>)</w:t>
      </w:r>
      <w:r w:rsidR="00CB61BD">
        <w:t>.</w:t>
      </w:r>
      <w:r w:rsidR="004C5AE2">
        <w:t xml:space="preserve"> </w:t>
      </w:r>
    </w:p>
    <w:p w14:paraId="32677AE5" w14:textId="05C40769" w:rsidR="00D42F95" w:rsidRDefault="00AC723F" w:rsidP="003512DD">
      <w:r>
        <w:t xml:space="preserve">Our paradigm differed in several important ways from prior research. First, we identified a habituation threshold for each individual infant based on the model-based method from Thomas &amp; Gilmore (2004). We then used that habituation threshold to exclude data collected after the infant or toddler had already habituated to the stimuli, thus ensuring that the data we analyzed reflected infant behavior while they were attentive and engaged with the task. Prior research has not addressed the issue of inattentiveness while measuring online learning in VSL </w:t>
      </w:r>
      <w:r>
        <w:lastRenderedPageBreak/>
        <w:t xml:space="preserve">tasks. For instance, the only other study we know of that attempted to measure VSL in infants </w:t>
      </w:r>
      <w:r w:rsidRPr="003966A2">
        <w:t>was</w:t>
      </w:r>
      <w:r w:rsidR="003966A2" w:rsidRPr="003966A2">
        <w:t xml:space="preserve"> </w:t>
      </w:r>
      <w:r w:rsidR="003966A2" w:rsidRPr="003966A2">
        <w:fldChar w:fldCharType="begin" w:fldLock="1"/>
      </w:r>
      <w:r w:rsidR="001C5E63">
        <w:instrText>ADDIN CSL_CITATION {"citationItems":[{"id":"ITEM-1","itemData":{"DOI":"10.1111/j.1532-7078.2011.00085.x","ISBN":"1532-7078","ISSN":"15250008","PMID":"22523477","abstract":"Research suggests that non-linguistic sequence learning abilities are an important contributor to language development (Conway, Bauernschmidt, Huang, &amp; Pisoni, 2010). The current study investigated visual sequence learning as a possible predictor of vocabulary development in infants. Fifty-eight 8.5-month-old infants were presented with a three-location spatiotemporal sequence of multi-colored geometric shapes. Early language skills were assessed using the MacArthur-Bates CDI. Analyses of children's reaction times to the stimuli suggest that the extent to which infants demonstrated learning was significantly correlated with their vocabulary comprehension at the time of test and with their gestural comprehension abilities 5 months later. These findings suggest that visual sequence learning may have both domain-general and domain-specific associations with language learning.","author":[{"dropping-particle":"","family":"Shafto","given":"Carissa","non-dropping-particle":"","parse-names":false,"suffix":""},{"dropping-particle":"","family":"Conway","given":"Christopher","non-dropping-particle":"","parse-names":false,"suffix":""},{"dropping-particle":"","family":"Field","given":"Suzanne","non-dropping-particle":"","parse-names":false,"suffix":""},{"dropping-particle":"","family":"Houston","given":"Derek","non-dropping-particle":"","parse-names":false,"suffix":""}],"container-title":"Infancy","id":"ITEM-1","issue":"3","issued":{"date-parts":[["2012","5"]]},"note":"From Duplicate 2 (Visual sequence learning in infancy: Domain-general and domain-specific associations with language - Shafto, Carissa L; Conway, Christopher M; Field, Suzanne L; Houston, Derek M)\n\nNULL","page":"247-271","title":"Visual sequence learning in infancy: Domain-general and domain-specific associations with language","type":"article-journal","volume":"17"},"uris":["http://www.mendeley.com/documents/?uuid=89eb867b-31c9-436e-a8e9-2f5861e271a5"]}],"mendeley":{"formattedCitation":"(Shafto et al., 2012)","manualFormatting":"Shafto and colleagues (2012)","plainTextFormattedCitation":"(Shafto et al., 2012)","previouslyFormattedCitation":"(Shafto et al., 2012)"},"properties":{"noteIndex":0},"schema":"https://github.com/citation-style-language/schema/raw/master/csl-citation.json"}</w:instrText>
      </w:r>
      <w:r w:rsidR="003966A2" w:rsidRPr="003966A2">
        <w:fldChar w:fldCharType="separate"/>
      </w:r>
      <w:r w:rsidR="003966A2" w:rsidRPr="003966A2">
        <w:rPr>
          <w:noProof/>
        </w:rPr>
        <w:t xml:space="preserve">Shafto </w:t>
      </w:r>
      <w:r w:rsidR="000E3309">
        <w:rPr>
          <w:noProof/>
        </w:rPr>
        <w:t>and colleagues (</w:t>
      </w:r>
      <w:r w:rsidR="003966A2" w:rsidRPr="003966A2">
        <w:rPr>
          <w:noProof/>
        </w:rPr>
        <w:t>2012)</w:t>
      </w:r>
      <w:r w:rsidR="003966A2" w:rsidRPr="003966A2">
        <w:fldChar w:fldCharType="end"/>
      </w:r>
      <w:r w:rsidR="00D42F95" w:rsidRPr="003966A2">
        <w:t>, who found</w:t>
      </w:r>
      <w:r w:rsidR="00D42F95">
        <w:t xml:space="preserve"> no evidence for learning across all participants</w:t>
      </w:r>
      <w:r w:rsidR="008831D2">
        <w:t xml:space="preserve"> and explained this pattern as resulting from large variability among infants, with some infants demonstrating learning but others becoming bored and making progressively slower gaze shifts. </w:t>
      </w:r>
      <w:r w:rsidR="00D42F95">
        <w:t xml:space="preserve">While we may not have fully eliminated </w:t>
      </w:r>
      <w:r w:rsidR="008245A3">
        <w:t>all</w:t>
      </w:r>
      <w:r w:rsidR="00D42F95">
        <w:t xml:space="preserve"> </w:t>
      </w:r>
      <w:r w:rsidR="000E3309">
        <w:t>behavior reflect</w:t>
      </w:r>
      <w:r w:rsidR="008831D2">
        <w:t>ing</w:t>
      </w:r>
      <w:r w:rsidR="000E3309">
        <w:t xml:space="preserve"> boredom or fatigue</w:t>
      </w:r>
      <w:r w:rsidR="00D42F95">
        <w:t xml:space="preserve">, </w:t>
      </w:r>
      <w:r w:rsidR="00D578FB">
        <w:t>our</w:t>
      </w:r>
      <w:r w:rsidR="00D42F95">
        <w:t xml:space="preserve"> approach provided a more sensitive measure of learning and allowed us to examine learning in real-time as it unfolded.</w:t>
      </w:r>
      <w:r w:rsidR="000E3309">
        <w:t xml:space="preserve"> </w:t>
      </w:r>
      <w:r w:rsidR="00D42F95">
        <w:t xml:space="preserve">In contrast, past research has typically relied on comparing gaze behavior </w:t>
      </w:r>
      <w:r w:rsidR="00FC386D">
        <w:t>between</w:t>
      </w:r>
      <w:r w:rsidR="00D42F95">
        <w:t xml:space="preserve"> learning </w:t>
      </w:r>
      <w:r w:rsidR="00FC386D">
        <w:t>and</w:t>
      </w:r>
      <w:r w:rsidR="00D42F95">
        <w:t xml:space="preserve"> test phase</w:t>
      </w:r>
      <w:r w:rsidR="00FC386D">
        <w:t>s</w:t>
      </w:r>
      <w:r w:rsidR="00D42F95">
        <w:t xml:space="preserve"> to determine whether learning has taken place.</w:t>
      </w:r>
    </w:p>
    <w:p w14:paraId="71D0E05D" w14:textId="3A448893" w:rsidR="00E55378" w:rsidRDefault="00D42F95" w:rsidP="00E55378">
      <w:r w:rsidRPr="00E55378">
        <w:t xml:space="preserve">A second way is which our paradigm differed substantially from past research is the choice to use live action stimuli, rather than </w:t>
      </w:r>
      <w:r w:rsidR="008245A3" w:rsidRPr="00E55378">
        <w:t>abstract computer stimuli like colored shapes (Shafto et al., 2012</w:t>
      </w:r>
      <w:r w:rsidR="00CB49F5" w:rsidRPr="00E55378">
        <w:t>) or squares (Conway et al., 2011</w:t>
      </w:r>
      <w:r w:rsidR="008245A3" w:rsidRPr="00E55378">
        <w:t>)</w:t>
      </w:r>
      <w:r w:rsidR="001271CC" w:rsidRPr="00E55378">
        <w:t>.</w:t>
      </w:r>
      <w:r w:rsidR="008245A3" w:rsidRPr="00E55378">
        <w:t xml:space="preserve"> </w:t>
      </w:r>
      <w:r w:rsidR="001271CC" w:rsidRPr="00E55378">
        <w:t>Recently, it had been shown that infants rapidly learn the statistical structure of actions, as they do for statistic visual or auditory stimuli, and that their learning involves encoding a representation of the action itself and not simply the target object of the action</w:t>
      </w:r>
      <w:r w:rsidR="00763793" w:rsidRPr="00E55378">
        <w:t xml:space="preserve"> </w:t>
      </w:r>
      <w:r w:rsidR="00763793" w:rsidRPr="00E55378">
        <w:fldChar w:fldCharType="begin" w:fldLock="1"/>
      </w:r>
      <w:r w:rsidR="005B0143" w:rsidRPr="00E55378">
        <w:instrText>ADDIN CSL_CITATION {"citationItems":[{"id":"ITEM-1","itemData":{"DOI":"10.1016/j.jecp.2016.12.004","ISSN":"00220965","author":[{"dropping-particle":"","family":"Monroy","given":"C.","non-dropping-particle":"","parse-names":false,"suffix":""},{"dropping-particle":"","family":"Gerson","given":"Sarah","non-dropping-particle":"","parse-names":false,"suffix":""},{"dropping-particle":"","family":"Hunnius","given":"Sabine","non-dropping-particle":"","parse-names":false,"suffix":""}],"container-title":"Journal of Experimental Child Psychology","id":"ITEM-1","issued":{"date-parts":[["2017"]]},"page":"14-28","title":"Toddlers' action prediction: Statistical learning of continuous action sequences","type":"article-journal","volume":"157"},"uris":["http://www.mendeley.com/documents/?uuid=78854e76-459c-3482-aca3-30e348719024"]}],"mendeley":{"formattedCitation":"(Monroy et al., 2017)","manualFormatting":"(Monroy et al., 2017)","plainTextFormattedCitation":"(Monroy et al., 2017)","previouslyFormattedCitation":"(Monroy et al., 2017)"},"properties":{"noteIndex":0},"schema":"https://github.com/citation-style-language/schema/raw/master/csl-citation.json"}</w:instrText>
      </w:r>
      <w:r w:rsidR="00763793" w:rsidRPr="00E55378">
        <w:fldChar w:fldCharType="separate"/>
      </w:r>
      <w:r w:rsidR="00E23FC1" w:rsidRPr="00E55378">
        <w:rPr>
          <w:noProof/>
        </w:rPr>
        <w:t>(Monroy et al., 2017)</w:t>
      </w:r>
      <w:r w:rsidR="00763793" w:rsidRPr="00E55378">
        <w:fldChar w:fldCharType="end"/>
      </w:r>
      <w:r w:rsidR="001271CC" w:rsidRPr="00E55378">
        <w:t>. Learning action sequences has also been shown to activate the moto</w:t>
      </w:r>
      <w:r w:rsidR="00763793" w:rsidRPr="00E55378">
        <w:t xml:space="preserve">r system in infants and adults </w:t>
      </w:r>
      <w:r w:rsidR="00763793" w:rsidRPr="00E55378">
        <w:fldChar w:fldCharType="begin" w:fldLock="1"/>
      </w:r>
      <w:r w:rsidR="005B0143" w:rsidRPr="00E55378">
        <w:instrText>ADDIN CSL_CITATION {"citationItems":[{"id":"ITEM-1","itemData":{"DOI":"10.1016/j.neuroimage.2017.12.016","ISSN":"10959572","abstract":"Motor theories of action prediction propose that our motor system combines prior knowledge with incoming sensory input to predict other people's actions. This prior knowledge can be acquired through observational experience, with statistical learning being one candidate mechanism. But can knowledge learned through observation alone transfer into predictions generated in the motor system? To examine this question, we first trained infants at home with videos of an unfamiliar action sequence featuring statistical regularities. At test, motor activity was measured using EEG and compared during perceptually identical time windows within the sequence that preceded actions which were either predictable (deterministic) or not predictable (random). Findings revealed increased motor activity preceding the deterministic but not the random actions, providing the first evidence that the infant motor system can use knowledge from statistical learning to predict upcoming actions. As such, these results support theories in which the motor system underlies action prediction.","author":[{"dropping-particle":"","family":"Monroy","given":"C.","non-dropping-particle":"","parse-names":false,"suffix":""},{"dropping-particle":"","family":"Meyer","given":"M.","non-dropping-particle":"","parse-names":false,"suffix":""},{"dropping-particle":"","family":"Schröer","given":"L.","non-dropping-particle":"","parse-names":false,"suffix":""},{"dropping-particle":"","family":"Gerson","given":"S.A.","non-dropping-particle":"","parse-names":false,"suffix":""},{"dropping-particle":"","family":"Hunnius","given":"S.","non-dropping-particle":"","parse-names":false,"suffix":""}],"container-title":"NeuroImage","id":"ITEM-1","issued":{"date-parts":[["2019"]]},"page":"947-954","title":"The infant motor system predicts actions based on visual statistical learning","type":"article-journal","volume":"185"},"uris":["http://www.mendeley.com/documents/?uuid=ac480460-9625-33e7-9c47-ba4c78c476e0"]},{"id":"ITEM-2","itemData":{"DOI":"10.3389/fnhum.2014.00273","ISBN":"1662-5161","ISSN":"1662-5161","PMID":"24847235","abstract":"The present fMRI study investigated whether human observers spontaneously exploit the statistical structure underlying continuous action sequences. In particular, we tested whether two different statistical properties can be distinguished with regard to their neural correlates: an action step's predictability and its probability. To assess these properties we used measures from information theory. Predictability of action steps was operationalized by its inverse, conditional entropy, which combines the number of possible action steps with their respective probabilities. Probability of action steps was assessed using conditional surprisal, which increases with decreasing probability. Participants were trained in an action observation paradigm with video clips showing sequences of 9-33 s length with varying numbers of action steps that were statistically structured according to a Markov chain. Behavioral tests revealed that participants implicitly learned this statistical structure, showing that humans are sensitive toward these probabilistic regularities. Surprisal (lower probability) enhanced the BOLD signal in the anterior intraparietal sulcus. In contrast, high conditional entropy, i.e., low predictability, was correlated with higher activity in dorsomedial prefrontal cortex, orbitofrontal gyrus, and posterior intraparietal sulcus. Furthermore, we found a correlation between the anterior hippocampus' response to conditional entropy with the extent of learning, such that the more participants had learnt the structure, the greater the magnitude of hippocampus activation in response to conditional entropy. Findings show that two aspects of predictions can be dissociated: an action's predictability is reflected in a top-down modulation of attentional focus, evident in increased fronto-parietal activation. In contrast, an action's probability depends on the identity of the stimulus itself, resulting in bottom-up driven processing costs in the parietal cortex.","author":[{"dropping-particle":"","family":"Ahlheim","given":"Christiane","non-dropping-particle":"","parse-names":false,"suffix":""},{"dropping-particle":"","family":"Stadler","given":"Waltraud","non-dropping-particle":"","parse-names":false,"suffix":""},{"dropping-particle":"","family":"Schubotz","given":"Ricarda","non-dropping-particle":"","parse-names":false,"suffix":""}],"container-title":"Frontiers in Human Neuroscience","id":"ITEM-2","issued":{"date-parts":[["2014","5","7"]]},"note":"NULL","page":"273","title":"Dissociating dynamic probability and predictability in observed actions-an fMRI study.","type":"article-journal","volume":"8"},"uris":["http://www.mendeley.com/documents/?uuid=6ad55b7e-7383-3026-9cb0-fa4183d84015"]}],"mendeley":{"formattedCitation":"(Ahlheim, Stadler, &amp; Schubotz, 2014; Monroy, Meyer, et al., 2019)","manualFormatting":"(Ahlheim, Stadler, &amp; Schubotz, 2014; Monroy et al., 2019c)","plainTextFormattedCitation":"(Ahlheim, Stadler, &amp; Schubotz, 2014; Monroy, Meyer, et al., 2019)","previouslyFormattedCitation":"(Ahlheim, Stadler, &amp; Schubotz, 2014; Monroy, Meyer, et al., 2019)"},"properties":{"noteIndex":0},"schema":"https://github.com/citation-style-language/schema/raw/master/csl-citation.json"}</w:instrText>
      </w:r>
      <w:r w:rsidR="00763793" w:rsidRPr="00E55378">
        <w:fldChar w:fldCharType="separate"/>
      </w:r>
      <w:r w:rsidR="00763793" w:rsidRPr="00E55378">
        <w:rPr>
          <w:noProof/>
        </w:rPr>
        <w:t>(Ahlheim, Stadler, &amp; Schubotz, 2014; Monroy et al., 201</w:t>
      </w:r>
      <w:r w:rsidR="009B509E" w:rsidRPr="00E55378">
        <w:rPr>
          <w:noProof/>
        </w:rPr>
        <w:t>9c</w:t>
      </w:r>
      <w:r w:rsidR="00763793" w:rsidRPr="00E55378">
        <w:rPr>
          <w:noProof/>
        </w:rPr>
        <w:t>)</w:t>
      </w:r>
      <w:r w:rsidR="00763793" w:rsidRPr="00E55378">
        <w:fldChar w:fldCharType="end"/>
      </w:r>
      <w:r w:rsidR="001271CC" w:rsidRPr="00E55378">
        <w:t xml:space="preserve">, suggesting that there may be additional mechanisms involved in statistical learning of action stimuli that differ from those involved in static visual stimuli. </w:t>
      </w:r>
      <w:r w:rsidR="001271CC">
        <w:t xml:space="preserve">An interesting question for future research is whether the motor system is also affected by hearing loss and could have played a role in </w:t>
      </w:r>
      <w:r w:rsidR="00E55378">
        <w:t xml:space="preserve">pattern of observed findings. </w:t>
      </w:r>
      <w:bookmarkStart w:id="3" w:name="_Hlk97296988"/>
      <w:r w:rsidR="00E55378">
        <w:t xml:space="preserve">Another possible explanation is that the lack of access to the action-effects (i.e., the sounds that each toy </w:t>
      </w:r>
      <w:r w:rsidR="003F6E98">
        <w:t xml:space="preserve">naturally </w:t>
      </w:r>
      <w:r w:rsidR="00E55378">
        <w:t xml:space="preserve">made when manipulated) could explain the lack of learning that was only observed in the deaf infant group. </w:t>
      </w:r>
      <w:r w:rsidR="003F6E98">
        <w:t xml:space="preserve">Although infants can learn </w:t>
      </w:r>
      <w:r w:rsidR="00482A49">
        <w:t>statistical information in action sequences</w:t>
      </w:r>
      <w:r w:rsidR="003F6E98">
        <w:t xml:space="preserve"> in the absence of any additional cues or sound effects </w:t>
      </w:r>
      <w:r w:rsidR="00D04DA0">
        <w:fldChar w:fldCharType="begin" w:fldLock="1"/>
      </w:r>
      <w:r w:rsidR="00D04DA0">
        <w:instrText>ADDIN CSL_CITATION {"citationItems":[{"id":"ITEM-1","itemData":{"DOI":"10.1016/j.jecp.2016.12.004","ISSN":"00220965","author":[{"dropping-particle":"","family":"Monroy","given":"C.","non-dropping-particle":"","parse-names":false,"suffix":""},{"dropping-particle":"","family":"Gerson","given":"Sarah","non-dropping-particle":"","parse-names":false,"suffix":""},{"dropping-particle":"","family":"Hunnius","given":"Sabine","non-dropping-particle":"","parse-names":false,"suffix":""}],"container-title":"Journal of Experimental Child Psychology","id":"ITEM-1","issued":{"date-parts":[["2017"]]},"page":"14-28","title":"Toddlers' action prediction: Statistical learning of continuous action sequences","type":"article-journal","volume":"157"},"uris":["http://www.mendeley.com/documents/?uuid=78854e76-459c-3482-aca3-30e348719024"]},{"id":"ITEM-2","itemData":{"DOI":"10.1111/cdev.12247","ISBN":"0009-3920","ISSN":"14678624","PMID":"24749627","abstract":"Throughout their 1st year, infants adeptly detect statistical structure in their environment. However, little is known about whether statistical learning is a primary mechanism for event segmentation. This study directly tests whether statistical learning alone is sufficient to segment continuous events. Twenty-eight 7- to 9-month-old infants viewed a sequence of continuous actions performed by a novel agent in which there were no transitional movements that could have constrained the possible upcoming actions. At test, infants distinguished statistically intact units from less predictable ones. The ability to segment events using statistical structure may help infants discover other cues to event boundaries, such as intentions, and carve up the world of continuous motion in meaningful ways.","author":[{"dropping-particle":"","family":"Stahl","given":"Aimee E.","non-dropping-particle":"","parse-names":false,"suffix":""},{"dropping-particle":"","family":"Romberg","given":"Alexa R.","non-dropping-particle":"","parse-names":false,"suffix":""},{"dropping-particle":"","family":"Roseberry","given":"Sarah","non-dropping-particle":"","parse-names":false,"suffix":""},{"dropping-particle":"","family":"Golinkoff","given":"Roberta Michnick","non-dropping-particle":"","parse-names":false,"suffix":""},{"dropping-particle":"","family":"Hirsh-Pasek","given":"Kathryn","non-dropping-particle":"","parse-names":false,"suffix":""}],"container-title":"Child Development","id":"ITEM-2","issue":"5","issued":{"date-parts":[["2014","4"]]},"page":"1821-1826","title":"Infants segment continuous events using transitional probabilities","type":"article-journal","volume":"85"},"uris":["http://www.mendeley.com/documents/?uuid=69078074-43db-4226-96d5-fe1692768c5b"]}],"mendeley":{"formattedCitation":"(Monroy et al., 2017; Stahl et al., 2014)","plainTextFormattedCitation":"(Monroy et al., 2017; Stahl et al., 2014)","previouslyFormattedCitation":"(Monroy et al., 2017; Stahl et al., 2014)"},"properties":{"noteIndex":0},"schema":"https://github.com/citation-style-language/schema/raw/master/csl-citation.json"}</w:instrText>
      </w:r>
      <w:r w:rsidR="00D04DA0">
        <w:fldChar w:fldCharType="separate"/>
      </w:r>
      <w:r w:rsidR="00D04DA0" w:rsidRPr="00D04DA0">
        <w:rPr>
          <w:noProof/>
        </w:rPr>
        <w:t>(Monroy et al., 2017; Stahl et al., 2014)</w:t>
      </w:r>
      <w:r w:rsidR="00D04DA0">
        <w:fldChar w:fldCharType="end"/>
      </w:r>
      <w:r w:rsidR="003F6E98">
        <w:t>, other r</w:t>
      </w:r>
      <w:r w:rsidR="00E55378">
        <w:t>esearch has shown that</w:t>
      </w:r>
      <w:r w:rsidR="003F6E98">
        <w:t xml:space="preserve"> </w:t>
      </w:r>
      <w:r w:rsidR="003F6E98">
        <w:lastRenderedPageBreak/>
        <w:t>contingent</w:t>
      </w:r>
      <w:r w:rsidR="00E55378">
        <w:t xml:space="preserve"> action-effects </w:t>
      </w:r>
      <w:r w:rsidR="00E55378" w:rsidRPr="00E55378">
        <w:t xml:space="preserve">help </w:t>
      </w:r>
      <w:r w:rsidR="003F6E98">
        <w:t>infants and toddlers</w:t>
      </w:r>
      <w:r w:rsidR="00E55378" w:rsidRPr="00E55378">
        <w:t xml:space="preserve"> </w:t>
      </w:r>
      <w:r w:rsidR="00D04DA0">
        <w:t>process</w:t>
      </w:r>
      <w:r w:rsidR="00E55378" w:rsidRPr="00E55378">
        <w:t xml:space="preserve"> observed actions</w:t>
      </w:r>
      <w:r w:rsidR="003F6E98">
        <w:t xml:space="preserve"> </w:t>
      </w:r>
      <w:r w:rsidR="00D04DA0">
        <w:fldChar w:fldCharType="begin" w:fldLock="1"/>
      </w:r>
      <w:r w:rsidR="00D04DA0">
        <w:instrText>ADDIN CSL_CITATION {"citationItems":[{"id":"ITEM-1","itemData":{"DOI":"10.1371/journal.pone.0240165","ISSN":"19326203","PMID":"33007025","abstract":"When infants observe a human grasping action, experience-based accounts predict that all infants familiar with grasping actions should be able to predict the goal regardless of additional agency cues such as an action effect. Cue-based accounts, however, suggest that infants use agency cues to identify and predict action goals when the action or the agent is not familiar. From these accounts, we hypothesized that younger infants would need additional agency cues such as a salient action effect to predict the goal of a human grasping action, whereas older infants should be able to predict the goal regardless of agency cues. In three experiments, we presented 6-, 7-, and 11-month-olds with videos of a manual grasping action presented either with or without an additional salient action effect (Exp. 1 and 2), or we presented 7-month-olds with videos of a mechanical claw performing a grasping action presented with a salient action effect (Exp. 3). The 6-month-olds showed tracking gaze behavior, and the 11-month-olds showed predictive gaze behavior, regardless of the action effect. However, the 7-month-olds showed predictive gaze behavior in the actioneffect condition, but tracking gaze behavior in the no-action-effect condition and in the action-effect condition with a mechanical claw. The results therefore support the idea that salient action effects are especially important for infants' goal predictions from 7 months on, and that this facilitating influence of action effects is selective for the observation of human hands. Copyright:","author":[{"dropping-particle":"","family":"Adam","given":"Maurits","non-dropping-particle":"","parse-names":false,"suffix":""},{"dropping-particle":"","family":"Elsner","given":"Birgit","non-dropping-particle":"","parse-names":false,"suffix":""}],"container-title":"PLoS ONE","id":"ITEM-1","issue":"10 October","issued":{"date-parts":[["2020","10","1"]]},"publisher":"Public Library of Science","title":"The impact of salient action effects on 6-, 7-, and 11-month-olds' goal-predictive gaze shifts for a human grasping action","type":"article-journal","volume":"15"},"uris":["http://www.mendeley.com/documents/?uuid=48776852-647e-3467-b6cc-a0ff6f4f1658"]}],"mendeley":{"formattedCitation":"(Adam &amp; Elsner, 2020)","plainTextFormattedCitation":"(Adam &amp; Elsner, 2020)","previouslyFormattedCitation":"(Adam &amp; Elsner, 2020)"},"properties":{"noteIndex":0},"schema":"https://github.com/citation-style-language/schema/raw/master/csl-citation.json"}</w:instrText>
      </w:r>
      <w:r w:rsidR="00D04DA0">
        <w:fldChar w:fldCharType="separate"/>
      </w:r>
      <w:r w:rsidR="00D04DA0" w:rsidRPr="00D04DA0">
        <w:rPr>
          <w:noProof/>
        </w:rPr>
        <w:t>(Adam &amp; Elsner, 2020)</w:t>
      </w:r>
      <w:r w:rsidR="00D04DA0">
        <w:fldChar w:fldCharType="end"/>
      </w:r>
      <w:r w:rsidR="00E55378" w:rsidRPr="00E55378">
        <w:t xml:space="preserve">. Deaf infants may </w:t>
      </w:r>
      <w:r w:rsidR="00D04DA0">
        <w:t>notice less about</w:t>
      </w:r>
      <w:r w:rsidR="00E55378" w:rsidRPr="00E55378">
        <w:t xml:space="preserve"> actions in which the auditory effects are not perceived</w:t>
      </w:r>
      <w:r w:rsidR="003F6E98">
        <w:t>, compared with infants who do have access to these cues. This possibility also has implications for action perception and social interactions for deaf infants</w:t>
      </w:r>
      <w:r w:rsidR="001271CC">
        <w:t xml:space="preserve">. </w:t>
      </w:r>
      <w:bookmarkEnd w:id="3"/>
      <w:r w:rsidR="001271CC">
        <w:t xml:space="preserve">We are currently pursuing </w:t>
      </w:r>
      <w:r w:rsidR="00D04DA0">
        <w:t xml:space="preserve">these </w:t>
      </w:r>
      <w:r w:rsidR="001271CC">
        <w:t>question</w:t>
      </w:r>
      <w:r w:rsidR="00D04DA0">
        <w:t>s</w:t>
      </w:r>
      <w:r w:rsidR="001271CC">
        <w:t xml:space="preserve"> by examining action observation skills and motor proficiency in an ongoing study with the same population of infants and toddlers.</w:t>
      </w:r>
      <w:r w:rsidR="005431F6">
        <w:t xml:space="preserve"> </w:t>
      </w:r>
    </w:p>
    <w:p w14:paraId="2D170584" w14:textId="0C7C6464" w:rsidR="00A82C6E" w:rsidRDefault="00A82C6E" w:rsidP="00A82C6E">
      <w:r>
        <w:t xml:space="preserve">Finally, we note that our study does feature a sample size that is smaller than previous studies, in part due to loss of data collection from the covid-19 pandemic and to the general challenges of recruiting young pre-CI infants. </w:t>
      </w:r>
      <w:r w:rsidR="00CE4FB4">
        <w:t>We also acknowledge that our pre-CI group of deaf infants was comprised entirely of males,</w:t>
      </w:r>
      <w:r w:rsidR="008C5BCA">
        <w:t xml:space="preserve"> due to only males being eligible for our study for unknown reasons, so it is possible that </w:t>
      </w:r>
      <w:r w:rsidR="00F773A1">
        <w:t xml:space="preserve">there could be gender effects that affected our results. </w:t>
      </w:r>
      <w:r>
        <w:t xml:space="preserve">This should be </w:t>
      </w:r>
      <w:r w:rsidR="000E3309">
        <w:t>considered</w:t>
      </w:r>
      <w:r>
        <w:t xml:space="preserve"> when interpreting our findings, and we hope that this will motivate future work in this area.</w:t>
      </w:r>
    </w:p>
    <w:p w14:paraId="56755072" w14:textId="65B9AE25" w:rsidR="00B63587" w:rsidRDefault="00EE238C" w:rsidP="00EE238C">
      <w:pPr>
        <w:pStyle w:val="Heading3"/>
      </w:pPr>
      <w:r>
        <w:t xml:space="preserve">4.1 </w:t>
      </w:r>
      <w:r w:rsidR="00B63587">
        <w:t>Conclusion</w:t>
      </w:r>
    </w:p>
    <w:p w14:paraId="11F002BD" w14:textId="1CBA4AB2" w:rsidR="001E1D01" w:rsidRDefault="000B5653" w:rsidP="00EE238C">
      <w:pPr>
        <w:sectPr w:rsidR="001E1D01" w:rsidSect="009E5AD9">
          <w:footerReference w:type="default" r:id="rId19"/>
          <w:footerReference w:type="first" r:id="rId20"/>
          <w:pgSz w:w="12240" w:h="15840"/>
          <w:pgMar w:top="1440" w:right="1440" w:bottom="1440" w:left="1440" w:header="720" w:footer="720" w:gutter="0"/>
          <w:lnNumType w:countBy="1" w:restart="continuous"/>
          <w:cols w:space="720"/>
          <w:docGrid w:linePitch="360"/>
        </w:sectPr>
      </w:pPr>
      <w:r>
        <w:t xml:space="preserve">Our goal in this study was to investigate action sequence learning in deaf infants (pre cochlear implantation) and deaf toddlers (post implantation) comparing with their age-matched hearing peers. Our study is the first to examine VSL </w:t>
      </w:r>
      <w:r w:rsidR="00E0130A">
        <w:t>during the</w:t>
      </w:r>
      <w:r>
        <w:t xml:space="preserve"> early development</w:t>
      </w:r>
      <w:r w:rsidR="00E0130A">
        <w:t xml:space="preserve"> of infants with hearing loss</w:t>
      </w:r>
      <w:r w:rsidR="005431F6">
        <w:t xml:space="preserve"> </w:t>
      </w:r>
      <w:r>
        <w:t>and adds to the body of evidence demonstrating that VSL skills are affected by hearing loss from infancy. These findings also provide additional evidence for links between VSL and language abilities, which has implication for clinicians who provide speech therapy and other early intervention services to toddlers with hearing loss. Future research is needed to further examine the respective contributions of auditory and language experiences to the statistical learning skills of infants with hearing loss.</w:t>
      </w:r>
    </w:p>
    <w:p w14:paraId="02C6BD7A" w14:textId="7660514B" w:rsidR="00997116" w:rsidRPr="00932B93" w:rsidRDefault="00997116" w:rsidP="00EE238C">
      <w:pPr>
        <w:pStyle w:val="Heading2"/>
        <w:rPr>
          <w:lang w:val="de-DE"/>
        </w:rPr>
      </w:pPr>
      <w:r w:rsidRPr="00932B93">
        <w:rPr>
          <w:lang w:val="de-DE"/>
        </w:rPr>
        <w:lastRenderedPageBreak/>
        <w:t>References</w:t>
      </w:r>
    </w:p>
    <w:p w14:paraId="1D6312AF" w14:textId="2ACF9902" w:rsidR="00D04DA0" w:rsidRPr="00D04DA0" w:rsidRDefault="0067538C" w:rsidP="00D04DA0">
      <w:pPr>
        <w:widowControl w:val="0"/>
        <w:autoSpaceDE w:val="0"/>
        <w:autoSpaceDN w:val="0"/>
        <w:adjustRightInd w:val="0"/>
        <w:ind w:left="480" w:hanging="480"/>
        <w:rPr>
          <w:noProof/>
        </w:rPr>
      </w:pPr>
      <w:r w:rsidRPr="00612195">
        <w:fldChar w:fldCharType="begin" w:fldLock="1"/>
      </w:r>
      <w:r w:rsidRPr="00932B93">
        <w:rPr>
          <w:lang w:val="de-DE"/>
        </w:rPr>
        <w:instrText xml:space="preserve">ADDIN Mendeley Bibliography CSL_BIBLIOGRAPHY </w:instrText>
      </w:r>
      <w:r w:rsidRPr="00612195">
        <w:fldChar w:fldCharType="separate"/>
      </w:r>
      <w:r w:rsidR="00D04DA0" w:rsidRPr="00D04DA0">
        <w:rPr>
          <w:noProof/>
        </w:rPr>
        <w:t xml:space="preserve">Adam, M., &amp; Elsner, B. (2020). The impact of salient action effects on 6-, 7-, and 11-month-olds’ goal-predictive gaze shifts for a human grasping action. </w:t>
      </w:r>
      <w:r w:rsidR="00D04DA0" w:rsidRPr="00D04DA0">
        <w:rPr>
          <w:i/>
          <w:iCs/>
          <w:noProof/>
        </w:rPr>
        <w:t>PLoS ONE</w:t>
      </w:r>
      <w:r w:rsidR="00D04DA0" w:rsidRPr="00D04DA0">
        <w:rPr>
          <w:noProof/>
        </w:rPr>
        <w:t xml:space="preserve">, </w:t>
      </w:r>
      <w:r w:rsidR="00D04DA0" w:rsidRPr="00D04DA0">
        <w:rPr>
          <w:i/>
          <w:iCs/>
          <w:noProof/>
        </w:rPr>
        <w:t>15</w:t>
      </w:r>
      <w:r w:rsidR="00D04DA0" w:rsidRPr="00D04DA0">
        <w:rPr>
          <w:noProof/>
        </w:rPr>
        <w:t>(10 October).</w:t>
      </w:r>
    </w:p>
    <w:p w14:paraId="7CD07912"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Ahlheim, C., Stadler, W., &amp; Schubotz, R. (2014). Dissociating dynamic probability and predictability in observed actions-an fMRI study. </w:t>
      </w:r>
      <w:r w:rsidRPr="00D04DA0">
        <w:rPr>
          <w:i/>
          <w:iCs/>
          <w:noProof/>
        </w:rPr>
        <w:t>Frontiers in Human Neuroscience</w:t>
      </w:r>
      <w:r w:rsidRPr="00D04DA0">
        <w:rPr>
          <w:noProof/>
        </w:rPr>
        <w:t xml:space="preserve">, </w:t>
      </w:r>
      <w:r w:rsidRPr="00D04DA0">
        <w:rPr>
          <w:i/>
          <w:iCs/>
          <w:noProof/>
        </w:rPr>
        <w:t>8</w:t>
      </w:r>
      <w:r w:rsidRPr="00D04DA0">
        <w:rPr>
          <w:noProof/>
        </w:rPr>
        <w:t>, 273.</w:t>
      </w:r>
    </w:p>
    <w:p w14:paraId="64C19BE7"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Arciuli, J., &amp; Simpson, I. C. (2012). Statistical learning is related to reading ability in children and adults. </w:t>
      </w:r>
      <w:r w:rsidRPr="00D04DA0">
        <w:rPr>
          <w:i/>
          <w:iCs/>
          <w:noProof/>
        </w:rPr>
        <w:t>Cognitive Science</w:t>
      </w:r>
      <w:r w:rsidRPr="00D04DA0">
        <w:rPr>
          <w:noProof/>
        </w:rPr>
        <w:t xml:space="preserve">, </w:t>
      </w:r>
      <w:r w:rsidRPr="00D04DA0">
        <w:rPr>
          <w:i/>
          <w:iCs/>
          <w:noProof/>
        </w:rPr>
        <w:t>36</w:t>
      </w:r>
      <w:r w:rsidRPr="00D04DA0">
        <w:rPr>
          <w:noProof/>
        </w:rPr>
        <w:t>(2), 286–304.</w:t>
      </w:r>
    </w:p>
    <w:p w14:paraId="7286CA33"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Bharadwaj, S. V, &amp; Mehta, J. A. (2016). An exploratory study of visual sequential processing in children with cochlear implants. </w:t>
      </w:r>
      <w:r w:rsidRPr="00D04DA0">
        <w:rPr>
          <w:i/>
          <w:iCs/>
          <w:noProof/>
        </w:rPr>
        <w:t>International Journal of Pediatric Otorhinolaryngology</w:t>
      </w:r>
      <w:r w:rsidRPr="00D04DA0">
        <w:rPr>
          <w:noProof/>
        </w:rPr>
        <w:t xml:space="preserve">, </w:t>
      </w:r>
      <w:r w:rsidRPr="00D04DA0">
        <w:rPr>
          <w:i/>
          <w:iCs/>
          <w:noProof/>
        </w:rPr>
        <w:t>85</w:t>
      </w:r>
      <w:r w:rsidRPr="00D04DA0">
        <w:rPr>
          <w:noProof/>
        </w:rPr>
        <w:t>, 158–165.</w:t>
      </w:r>
    </w:p>
    <w:p w14:paraId="38080C33"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Conway, C., Pisoni, D., Anaya, E., Karpicke, J., &amp; Henning, S. (2011). Implicit sequence learning in deaf children with cochlear implants. </w:t>
      </w:r>
      <w:r w:rsidRPr="00D04DA0">
        <w:rPr>
          <w:i/>
          <w:iCs/>
          <w:noProof/>
        </w:rPr>
        <w:t>Developmental Science</w:t>
      </w:r>
      <w:r w:rsidRPr="00D04DA0">
        <w:rPr>
          <w:noProof/>
        </w:rPr>
        <w:t xml:space="preserve">, </w:t>
      </w:r>
      <w:r w:rsidRPr="00D04DA0">
        <w:rPr>
          <w:i/>
          <w:iCs/>
          <w:noProof/>
        </w:rPr>
        <w:t>14</w:t>
      </w:r>
      <w:r w:rsidRPr="00D04DA0">
        <w:rPr>
          <w:noProof/>
        </w:rPr>
        <w:t>(1), 69–82.</w:t>
      </w:r>
    </w:p>
    <w:p w14:paraId="27C8DC2B"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Conway, C., Pisoni, D. B., &amp; Kronenberger, W. G. (2009). The importance of sound for cognitive sequencing abilities: The auditory scaffolding hypothesis. </w:t>
      </w:r>
      <w:r w:rsidRPr="00D04DA0">
        <w:rPr>
          <w:i/>
          <w:iCs/>
          <w:noProof/>
        </w:rPr>
        <w:t>Current Directions in Psychological Science</w:t>
      </w:r>
      <w:r w:rsidRPr="00D04DA0">
        <w:rPr>
          <w:noProof/>
        </w:rPr>
        <w:t xml:space="preserve">, </w:t>
      </w:r>
      <w:r w:rsidRPr="00D04DA0">
        <w:rPr>
          <w:i/>
          <w:iCs/>
          <w:noProof/>
        </w:rPr>
        <w:t>18</w:t>
      </w:r>
      <w:r w:rsidRPr="00D04DA0">
        <w:rPr>
          <w:noProof/>
        </w:rPr>
        <w:t>(5), 275–279.</w:t>
      </w:r>
    </w:p>
    <w:p w14:paraId="5FB316B7"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Deocampo, J., Conway, C., Kronenberger, W., Pisoni, D., &amp; Smith, G. (2018). The Role of Statistical Learning in Understanding and Treating Spoken Language Outcomes in Deaf Children With Cochlear Implants. </w:t>
      </w:r>
      <w:r w:rsidRPr="00D04DA0">
        <w:rPr>
          <w:i/>
          <w:iCs/>
          <w:noProof/>
        </w:rPr>
        <w:t>Language, Speech, and Hearing Services in Schools</w:t>
      </w:r>
      <w:r w:rsidRPr="00D04DA0">
        <w:rPr>
          <w:noProof/>
        </w:rPr>
        <w:t xml:space="preserve">, </w:t>
      </w:r>
      <w:r w:rsidRPr="00D04DA0">
        <w:rPr>
          <w:i/>
          <w:iCs/>
          <w:noProof/>
        </w:rPr>
        <w:t>49</w:t>
      </w:r>
      <w:r w:rsidRPr="00D04DA0">
        <w:rPr>
          <w:noProof/>
        </w:rPr>
        <w:t>(3S), 723–739.</w:t>
      </w:r>
    </w:p>
    <w:p w14:paraId="747B540D"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Dye, M. W. G., Hauser, P. C., &amp; Bavelier, D. (2009). Is visual selective attention in deaf individuals enhanced or deficient? The case of the useful field of view. </w:t>
      </w:r>
      <w:r w:rsidRPr="00D04DA0">
        <w:rPr>
          <w:i/>
          <w:iCs/>
          <w:noProof/>
        </w:rPr>
        <w:t>PLoS ONE</w:t>
      </w:r>
      <w:r w:rsidRPr="00D04DA0">
        <w:rPr>
          <w:noProof/>
        </w:rPr>
        <w:t xml:space="preserve">, </w:t>
      </w:r>
      <w:r w:rsidRPr="00D04DA0">
        <w:rPr>
          <w:i/>
          <w:iCs/>
          <w:noProof/>
        </w:rPr>
        <w:t>4</w:t>
      </w:r>
      <w:r w:rsidRPr="00D04DA0">
        <w:rPr>
          <w:noProof/>
        </w:rPr>
        <w:t>(5), e5640.</w:t>
      </w:r>
    </w:p>
    <w:p w14:paraId="3A54744E" w14:textId="2AEF4A71" w:rsidR="00D04DA0" w:rsidRPr="00D04DA0" w:rsidRDefault="00D04DA0" w:rsidP="00D04DA0">
      <w:pPr>
        <w:widowControl w:val="0"/>
        <w:autoSpaceDE w:val="0"/>
        <w:autoSpaceDN w:val="0"/>
        <w:adjustRightInd w:val="0"/>
        <w:ind w:left="480" w:hanging="480"/>
        <w:rPr>
          <w:noProof/>
        </w:rPr>
      </w:pPr>
      <w:r w:rsidRPr="00D04DA0">
        <w:rPr>
          <w:noProof/>
        </w:rPr>
        <w:t xml:space="preserve">Fassbender, I., Lohaus, A., Thomas, H., Teubert, M., Vierhaus, M., Lamm, B., … Knopf, M. </w:t>
      </w:r>
      <w:r w:rsidRPr="00D04DA0">
        <w:rPr>
          <w:noProof/>
        </w:rPr>
        <w:lastRenderedPageBreak/>
        <w:t xml:space="preserve">(2014). African versus caucasian faces in a visual expectation paradigm: a longitudinal study with </w:t>
      </w:r>
      <w:r w:rsidR="00FE44F9">
        <w:rPr>
          <w:noProof/>
        </w:rPr>
        <w:t>G</w:t>
      </w:r>
      <w:r w:rsidRPr="00D04DA0">
        <w:rPr>
          <w:noProof/>
        </w:rPr>
        <w:t xml:space="preserve">erman and </w:t>
      </w:r>
      <w:r w:rsidR="00FE44F9">
        <w:rPr>
          <w:noProof/>
        </w:rPr>
        <w:t>C</w:t>
      </w:r>
      <w:r w:rsidRPr="00D04DA0">
        <w:rPr>
          <w:noProof/>
        </w:rPr>
        <w:t xml:space="preserve">ameroonian infants. </w:t>
      </w:r>
      <w:r w:rsidRPr="00D04DA0">
        <w:rPr>
          <w:i/>
          <w:iCs/>
          <w:noProof/>
        </w:rPr>
        <w:t>Journal of Cross-Cultural Psychology</w:t>
      </w:r>
      <w:r w:rsidRPr="00D04DA0">
        <w:rPr>
          <w:noProof/>
        </w:rPr>
        <w:t xml:space="preserve">, </w:t>
      </w:r>
      <w:r w:rsidRPr="00D04DA0">
        <w:rPr>
          <w:i/>
          <w:iCs/>
          <w:noProof/>
        </w:rPr>
        <w:t>45</w:t>
      </w:r>
      <w:r w:rsidRPr="00D04DA0">
        <w:rPr>
          <w:noProof/>
        </w:rPr>
        <w:t>(8), 1273–1287.</w:t>
      </w:r>
    </w:p>
    <w:p w14:paraId="54FE984C"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Fassbender, I., Lohaus, A., Thomas, H., Teubert, M., Vierhaus, M., Spangler, S. M., … Schwarzer, G. (2012). Association learning with own- and other-race faces in three- and six-month old infants - a longitudinal study. </w:t>
      </w:r>
      <w:r w:rsidRPr="00D04DA0">
        <w:rPr>
          <w:i/>
          <w:iCs/>
          <w:noProof/>
        </w:rPr>
        <w:t>Infant and Child Development</w:t>
      </w:r>
      <w:r w:rsidRPr="00D04DA0">
        <w:rPr>
          <w:noProof/>
        </w:rPr>
        <w:t xml:space="preserve">, </w:t>
      </w:r>
      <w:r w:rsidRPr="00D04DA0">
        <w:rPr>
          <w:i/>
          <w:iCs/>
          <w:noProof/>
        </w:rPr>
        <w:t>21</w:t>
      </w:r>
      <w:r w:rsidRPr="00D04DA0">
        <w:rPr>
          <w:noProof/>
        </w:rPr>
        <w:t>(4), 325–337.</w:t>
      </w:r>
    </w:p>
    <w:p w14:paraId="46256BC8"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Franklin, G. F., Powell, J. Da, &amp; Emami-Naeini, A. (2014). </w:t>
      </w:r>
      <w:r w:rsidRPr="00D04DA0">
        <w:rPr>
          <w:i/>
          <w:iCs/>
          <w:noProof/>
        </w:rPr>
        <w:t>Feedback control of dynamic systems</w:t>
      </w:r>
      <w:r w:rsidRPr="00D04DA0">
        <w:rPr>
          <w:noProof/>
        </w:rPr>
        <w:t xml:space="preserve"> (7th ed.). Upper Saddle River, NJ: Prentice Hall Press.</w:t>
      </w:r>
    </w:p>
    <w:p w14:paraId="24A4BF22"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Gredebäck, G., Johnson, S., &amp; von Hofsten, C. (2010). Eye tracking in infancy research. </w:t>
      </w:r>
      <w:r w:rsidRPr="00D04DA0">
        <w:rPr>
          <w:i/>
          <w:iCs/>
          <w:noProof/>
        </w:rPr>
        <w:t>Developmental Neuropsychology</w:t>
      </w:r>
      <w:r w:rsidRPr="00D04DA0">
        <w:rPr>
          <w:noProof/>
        </w:rPr>
        <w:t xml:space="preserve">, </w:t>
      </w:r>
      <w:r w:rsidRPr="00D04DA0">
        <w:rPr>
          <w:i/>
          <w:iCs/>
          <w:noProof/>
        </w:rPr>
        <w:t>35</w:t>
      </w:r>
      <w:r w:rsidRPr="00D04DA0">
        <w:rPr>
          <w:noProof/>
        </w:rPr>
        <w:t>(1), 1–19.</w:t>
      </w:r>
    </w:p>
    <w:p w14:paraId="5F454F45"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Gremp, M., Deocampo, J., Walk, A., &amp; Conway, C. (2019). Visual sequential processing and language ability in children who are deaf or hard of hearing. </w:t>
      </w:r>
      <w:r w:rsidRPr="00D04DA0">
        <w:rPr>
          <w:i/>
          <w:iCs/>
          <w:noProof/>
        </w:rPr>
        <w:t>Journal of Child Language</w:t>
      </w:r>
      <w:r w:rsidRPr="00D04DA0">
        <w:rPr>
          <w:noProof/>
        </w:rPr>
        <w:t xml:space="preserve">, </w:t>
      </w:r>
      <w:r w:rsidRPr="00D04DA0">
        <w:rPr>
          <w:i/>
          <w:iCs/>
          <w:noProof/>
        </w:rPr>
        <w:t>46</w:t>
      </w:r>
      <w:r w:rsidRPr="00D04DA0">
        <w:rPr>
          <w:noProof/>
        </w:rPr>
        <w:t>(4), 785–799.</w:t>
      </w:r>
    </w:p>
    <w:p w14:paraId="00FEF4B2"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Hall, M. L., Eigsti, I. M., Bortfeld, H., &amp; Lillo-Martin, D. (2017). Auditory access, language access, and implicit sequence learning in deaf children. </w:t>
      </w:r>
      <w:r w:rsidRPr="00D04DA0">
        <w:rPr>
          <w:i/>
          <w:iCs/>
          <w:noProof/>
        </w:rPr>
        <w:t>Developmental Science</w:t>
      </w:r>
      <w:r w:rsidRPr="00D04DA0">
        <w:rPr>
          <w:noProof/>
        </w:rPr>
        <w:t>, e12575.</w:t>
      </w:r>
    </w:p>
    <w:p w14:paraId="4FFDEFFC" w14:textId="10C15ACA" w:rsidR="00D04DA0" w:rsidRDefault="00D04DA0" w:rsidP="00D04DA0">
      <w:pPr>
        <w:widowControl w:val="0"/>
        <w:autoSpaceDE w:val="0"/>
        <w:autoSpaceDN w:val="0"/>
        <w:adjustRightInd w:val="0"/>
        <w:ind w:left="480" w:hanging="480"/>
        <w:rPr>
          <w:noProof/>
        </w:rPr>
      </w:pPr>
      <w:r w:rsidRPr="00D04DA0">
        <w:rPr>
          <w:noProof/>
        </w:rPr>
        <w:t xml:space="preserve">Horn, D. L., Pisoni, D. B., &amp; Miyamoto, R. T. (2006). Divergence of fine and gross motor skills in prelingually deaf children: Implications for cochlear implantation. </w:t>
      </w:r>
      <w:r w:rsidRPr="00D04DA0">
        <w:rPr>
          <w:i/>
          <w:iCs/>
          <w:noProof/>
        </w:rPr>
        <w:t>Laryngoscope</w:t>
      </w:r>
      <w:r w:rsidRPr="00D04DA0">
        <w:rPr>
          <w:noProof/>
        </w:rPr>
        <w:t xml:space="preserve">, </w:t>
      </w:r>
      <w:r w:rsidRPr="00D04DA0">
        <w:rPr>
          <w:i/>
          <w:iCs/>
          <w:noProof/>
        </w:rPr>
        <w:t>116</w:t>
      </w:r>
      <w:r w:rsidRPr="00D04DA0">
        <w:rPr>
          <w:noProof/>
        </w:rPr>
        <w:t>(8), 1500–1506.</w:t>
      </w:r>
    </w:p>
    <w:p w14:paraId="64C4A550" w14:textId="3D856BBF" w:rsidR="00FD094B" w:rsidRPr="00D04DA0" w:rsidRDefault="00FD094B" w:rsidP="00D04DA0">
      <w:pPr>
        <w:widowControl w:val="0"/>
        <w:autoSpaceDE w:val="0"/>
        <w:autoSpaceDN w:val="0"/>
        <w:adjustRightInd w:val="0"/>
        <w:ind w:left="480" w:hanging="480"/>
        <w:rPr>
          <w:noProof/>
        </w:rPr>
      </w:pPr>
      <w:r w:rsidRPr="00FD094B">
        <w:rPr>
          <w:noProof/>
        </w:rPr>
        <w:t xml:space="preserve">Kayhan, E., Hunnius, S., O'Reilly, J. X., &amp; Bekkering, H. (2019). Infants differentially update their internal models of a dynamic environment. </w:t>
      </w:r>
      <w:r w:rsidRPr="00FD094B">
        <w:rPr>
          <w:i/>
          <w:iCs/>
          <w:noProof/>
        </w:rPr>
        <w:t>Cognition</w:t>
      </w:r>
      <w:r w:rsidRPr="00FD094B">
        <w:rPr>
          <w:noProof/>
        </w:rPr>
        <w:t xml:space="preserve">, </w:t>
      </w:r>
      <w:r w:rsidRPr="00FD094B">
        <w:rPr>
          <w:i/>
          <w:iCs/>
          <w:noProof/>
        </w:rPr>
        <w:t>186</w:t>
      </w:r>
      <w:r w:rsidRPr="00FD094B">
        <w:rPr>
          <w:noProof/>
        </w:rPr>
        <w:t>, 139-146.</w:t>
      </w:r>
    </w:p>
    <w:p w14:paraId="5BEC6D8A"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Kidd, E., &amp; Arciuli, J. (2016). Individual differences in statistical learning predict children’s comprehension of syntax. </w:t>
      </w:r>
      <w:r w:rsidRPr="00D04DA0">
        <w:rPr>
          <w:i/>
          <w:iCs/>
          <w:noProof/>
        </w:rPr>
        <w:t>Child Development</w:t>
      </w:r>
      <w:r w:rsidRPr="00D04DA0">
        <w:rPr>
          <w:noProof/>
        </w:rPr>
        <w:t xml:space="preserve">, </w:t>
      </w:r>
      <w:r w:rsidRPr="00D04DA0">
        <w:rPr>
          <w:i/>
          <w:iCs/>
          <w:noProof/>
        </w:rPr>
        <w:t>87</w:t>
      </w:r>
      <w:r w:rsidRPr="00D04DA0">
        <w:rPr>
          <w:noProof/>
        </w:rPr>
        <w:t>(1), 184–193.</w:t>
      </w:r>
    </w:p>
    <w:p w14:paraId="18332805"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Kirkham, N. Z., Slemmer, J., &amp; Johnson, S. P. (2002). Visual statistical learning in infancy: </w:t>
      </w:r>
      <w:r w:rsidRPr="00D04DA0">
        <w:rPr>
          <w:noProof/>
        </w:rPr>
        <w:lastRenderedPageBreak/>
        <w:t xml:space="preserve">Evidence for a domain general learning mechanism. </w:t>
      </w:r>
      <w:r w:rsidRPr="00D04DA0">
        <w:rPr>
          <w:i/>
          <w:iCs/>
          <w:noProof/>
        </w:rPr>
        <w:t>Cognition</w:t>
      </w:r>
      <w:r w:rsidRPr="00D04DA0">
        <w:rPr>
          <w:noProof/>
        </w:rPr>
        <w:t xml:space="preserve">, </w:t>
      </w:r>
      <w:r w:rsidRPr="00D04DA0">
        <w:rPr>
          <w:i/>
          <w:iCs/>
          <w:noProof/>
        </w:rPr>
        <w:t>83</w:t>
      </w:r>
      <w:r w:rsidRPr="00D04DA0">
        <w:rPr>
          <w:noProof/>
        </w:rPr>
        <w:t>(2), B35–B42.</w:t>
      </w:r>
    </w:p>
    <w:p w14:paraId="7D92F5F8"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Kral, A., &amp; Sharma, A. (2012). Developmental neuroplasticity after cochlear implantation. </w:t>
      </w:r>
      <w:r w:rsidRPr="00D04DA0">
        <w:rPr>
          <w:i/>
          <w:iCs/>
          <w:noProof/>
        </w:rPr>
        <w:t>Trends in Neurosciences</w:t>
      </w:r>
      <w:r w:rsidRPr="00D04DA0">
        <w:rPr>
          <w:noProof/>
        </w:rPr>
        <w:t xml:space="preserve">, </w:t>
      </w:r>
      <w:r w:rsidRPr="00D04DA0">
        <w:rPr>
          <w:i/>
          <w:iCs/>
          <w:noProof/>
        </w:rPr>
        <w:t>35</w:t>
      </w:r>
      <w:r w:rsidRPr="00D04DA0">
        <w:rPr>
          <w:noProof/>
        </w:rPr>
        <w:t>(2), 111–122.</w:t>
      </w:r>
    </w:p>
    <w:p w14:paraId="09F3271B" w14:textId="313A95E3" w:rsidR="00D04DA0" w:rsidRDefault="00D04DA0" w:rsidP="00D04DA0">
      <w:pPr>
        <w:widowControl w:val="0"/>
        <w:autoSpaceDE w:val="0"/>
        <w:autoSpaceDN w:val="0"/>
        <w:adjustRightInd w:val="0"/>
        <w:ind w:left="480" w:hanging="480"/>
        <w:rPr>
          <w:noProof/>
        </w:rPr>
      </w:pPr>
      <w:r w:rsidRPr="00D04DA0">
        <w:rPr>
          <w:noProof/>
        </w:rPr>
        <w:t>Matlab. (n.d.). Natick, MA: The MathWorks, Inc.</w:t>
      </w:r>
    </w:p>
    <w:p w14:paraId="2F94FC88" w14:textId="6FA16D07" w:rsidR="00D04DA0" w:rsidRDefault="00D04DA0" w:rsidP="00D04DA0">
      <w:pPr>
        <w:widowControl w:val="0"/>
        <w:autoSpaceDE w:val="0"/>
        <w:autoSpaceDN w:val="0"/>
        <w:adjustRightInd w:val="0"/>
        <w:ind w:left="480" w:hanging="480"/>
        <w:rPr>
          <w:noProof/>
        </w:rPr>
      </w:pPr>
      <w:r w:rsidRPr="00D04DA0">
        <w:rPr>
          <w:noProof/>
        </w:rPr>
        <w:t xml:space="preserve">Monroy, C., Gerson, S., &amp; Hunnius, S. (2017). Toddlers’ action prediction: Statistical learning of continuous action sequences. </w:t>
      </w:r>
      <w:r w:rsidRPr="00D04DA0">
        <w:rPr>
          <w:i/>
          <w:iCs/>
          <w:noProof/>
        </w:rPr>
        <w:t>Journal of Experimental Child Psychology</w:t>
      </w:r>
      <w:r w:rsidRPr="00D04DA0">
        <w:rPr>
          <w:noProof/>
        </w:rPr>
        <w:t xml:space="preserve">, </w:t>
      </w:r>
      <w:r w:rsidRPr="00D04DA0">
        <w:rPr>
          <w:i/>
          <w:iCs/>
          <w:noProof/>
        </w:rPr>
        <w:t>157</w:t>
      </w:r>
      <w:r w:rsidRPr="00D04DA0">
        <w:rPr>
          <w:noProof/>
        </w:rPr>
        <w:t>, 14–28.</w:t>
      </w:r>
    </w:p>
    <w:p w14:paraId="2B18B66C" w14:textId="2E0A5344" w:rsidR="00D04DA0" w:rsidRPr="00D04DA0" w:rsidRDefault="00D04DA0" w:rsidP="00D04DA0">
      <w:pPr>
        <w:widowControl w:val="0"/>
        <w:autoSpaceDE w:val="0"/>
        <w:autoSpaceDN w:val="0"/>
        <w:adjustRightInd w:val="0"/>
        <w:ind w:left="480" w:hanging="480"/>
        <w:rPr>
          <w:noProof/>
        </w:rPr>
      </w:pPr>
      <w:r w:rsidRPr="00D04DA0">
        <w:rPr>
          <w:noProof/>
        </w:rPr>
        <w:t>Monroy, C., Shafto, C., Castellanos, I., Bergeson, T., &amp; Houston, D. (2019</w:t>
      </w:r>
      <w:r>
        <w:rPr>
          <w:noProof/>
        </w:rPr>
        <w:t>a</w:t>
      </w:r>
      <w:r w:rsidRPr="00D04DA0">
        <w:rPr>
          <w:noProof/>
        </w:rPr>
        <w:t xml:space="preserve">). Visual habituation in deaf and hearing infants. </w:t>
      </w:r>
      <w:r w:rsidRPr="00D04DA0">
        <w:rPr>
          <w:i/>
          <w:iCs/>
          <w:noProof/>
        </w:rPr>
        <w:t>PLoS ONE</w:t>
      </w:r>
      <w:r w:rsidRPr="00D04DA0">
        <w:rPr>
          <w:noProof/>
        </w:rPr>
        <w:t xml:space="preserve">, </w:t>
      </w:r>
      <w:r w:rsidRPr="00D04DA0">
        <w:rPr>
          <w:i/>
          <w:iCs/>
          <w:noProof/>
        </w:rPr>
        <w:t>14</w:t>
      </w:r>
      <w:r w:rsidRPr="00D04DA0">
        <w:rPr>
          <w:noProof/>
        </w:rPr>
        <w:t>(2).</w:t>
      </w:r>
    </w:p>
    <w:p w14:paraId="502FDB99" w14:textId="055EF723" w:rsidR="00D04DA0" w:rsidRPr="00D04DA0" w:rsidRDefault="00D04DA0" w:rsidP="00D04DA0">
      <w:pPr>
        <w:widowControl w:val="0"/>
        <w:autoSpaceDE w:val="0"/>
        <w:autoSpaceDN w:val="0"/>
        <w:adjustRightInd w:val="0"/>
        <w:ind w:left="480" w:hanging="480"/>
        <w:rPr>
          <w:noProof/>
        </w:rPr>
      </w:pPr>
      <w:r w:rsidRPr="00D04DA0">
        <w:rPr>
          <w:noProof/>
        </w:rPr>
        <w:t>Monroy, C., Gerson, S. A., Domínguez-Martínez, E., Kaduk, K., Hunnius, S., &amp; Reid, V. (2019</w:t>
      </w:r>
      <w:r>
        <w:rPr>
          <w:noProof/>
        </w:rPr>
        <w:t>b</w:t>
      </w:r>
      <w:r w:rsidRPr="00D04DA0">
        <w:rPr>
          <w:noProof/>
        </w:rPr>
        <w:t xml:space="preserve">). Sensitivity to structure in action sequences: An infant event-related potential study. </w:t>
      </w:r>
      <w:r w:rsidRPr="00D04DA0">
        <w:rPr>
          <w:i/>
          <w:iCs/>
          <w:noProof/>
        </w:rPr>
        <w:t>Neuropsychologia</w:t>
      </w:r>
      <w:r w:rsidRPr="00D04DA0">
        <w:rPr>
          <w:noProof/>
        </w:rPr>
        <w:t xml:space="preserve">, </w:t>
      </w:r>
      <w:r w:rsidRPr="00D04DA0">
        <w:rPr>
          <w:i/>
          <w:iCs/>
          <w:noProof/>
        </w:rPr>
        <w:t>126</w:t>
      </w:r>
      <w:r w:rsidRPr="00D04DA0">
        <w:rPr>
          <w:noProof/>
        </w:rPr>
        <w:t>, 92–101.</w:t>
      </w:r>
    </w:p>
    <w:p w14:paraId="76F9529E" w14:textId="5F8B7D9E" w:rsidR="00D04DA0" w:rsidRPr="00D04DA0" w:rsidRDefault="00D04DA0" w:rsidP="00D04DA0">
      <w:pPr>
        <w:widowControl w:val="0"/>
        <w:autoSpaceDE w:val="0"/>
        <w:autoSpaceDN w:val="0"/>
        <w:adjustRightInd w:val="0"/>
        <w:ind w:left="480" w:hanging="480"/>
        <w:rPr>
          <w:noProof/>
        </w:rPr>
      </w:pPr>
      <w:r w:rsidRPr="00D04DA0">
        <w:rPr>
          <w:noProof/>
        </w:rPr>
        <w:t>Monroy, C., Meyer, M., Schröer, L., Gerson, S. A., &amp; Hunnius, S. (2019</w:t>
      </w:r>
      <w:r>
        <w:rPr>
          <w:noProof/>
        </w:rPr>
        <w:t>c</w:t>
      </w:r>
      <w:r w:rsidRPr="00D04DA0">
        <w:rPr>
          <w:noProof/>
        </w:rPr>
        <w:t xml:space="preserve">). The infant motor system predicts actions based on visual statistical learning. </w:t>
      </w:r>
      <w:r w:rsidRPr="00D04DA0">
        <w:rPr>
          <w:i/>
          <w:iCs/>
          <w:noProof/>
        </w:rPr>
        <w:t>NeuroImage</w:t>
      </w:r>
      <w:r w:rsidRPr="00D04DA0">
        <w:rPr>
          <w:noProof/>
        </w:rPr>
        <w:t xml:space="preserve">, </w:t>
      </w:r>
      <w:r w:rsidRPr="00D04DA0">
        <w:rPr>
          <w:i/>
          <w:iCs/>
          <w:noProof/>
        </w:rPr>
        <w:t>185</w:t>
      </w:r>
      <w:r w:rsidRPr="00D04DA0">
        <w:rPr>
          <w:noProof/>
        </w:rPr>
        <w:t>, 947–954.</w:t>
      </w:r>
    </w:p>
    <w:p w14:paraId="11310EFA"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Oakes, L. (2010). Using habituation of looking time to assess mental processes in infancy. </w:t>
      </w:r>
      <w:r w:rsidRPr="00D04DA0">
        <w:rPr>
          <w:i/>
          <w:iCs/>
          <w:noProof/>
        </w:rPr>
        <w:t>Journal of Cognition and Development</w:t>
      </w:r>
      <w:r w:rsidRPr="00D04DA0">
        <w:rPr>
          <w:noProof/>
        </w:rPr>
        <w:t xml:space="preserve">, </w:t>
      </w:r>
      <w:r w:rsidRPr="00D04DA0">
        <w:rPr>
          <w:i/>
          <w:iCs/>
          <w:noProof/>
        </w:rPr>
        <w:t>11</w:t>
      </w:r>
      <w:r w:rsidRPr="00D04DA0">
        <w:rPr>
          <w:noProof/>
        </w:rPr>
        <w:t>(3), 255–268.</w:t>
      </w:r>
    </w:p>
    <w:p w14:paraId="22183CED"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Pelucchi, B., Hay, J., &amp; Saffran, J. (2009). Statistical learning in a natural language by 8-month-old infants. </w:t>
      </w:r>
      <w:r w:rsidRPr="00D04DA0">
        <w:rPr>
          <w:i/>
          <w:iCs/>
          <w:noProof/>
        </w:rPr>
        <w:t>Child Development</w:t>
      </w:r>
      <w:r w:rsidRPr="00D04DA0">
        <w:rPr>
          <w:noProof/>
        </w:rPr>
        <w:t xml:space="preserve">, </w:t>
      </w:r>
      <w:r w:rsidRPr="00D04DA0">
        <w:rPr>
          <w:i/>
          <w:iCs/>
          <w:noProof/>
        </w:rPr>
        <w:t>80</w:t>
      </w:r>
      <w:r w:rsidRPr="00D04DA0">
        <w:rPr>
          <w:noProof/>
        </w:rPr>
        <w:t>(3), 674–685.</w:t>
      </w:r>
    </w:p>
    <w:p w14:paraId="16E61B1B"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Perruchet, P., &amp; Pacton, S. (2006). Implicit learning and statistical learning: one phenomenon, two approaches. </w:t>
      </w:r>
      <w:r w:rsidRPr="00D04DA0">
        <w:rPr>
          <w:i/>
          <w:iCs/>
          <w:noProof/>
        </w:rPr>
        <w:t>Trends in Cognitive Science</w:t>
      </w:r>
      <w:r w:rsidRPr="00D04DA0">
        <w:rPr>
          <w:noProof/>
        </w:rPr>
        <w:t xml:space="preserve">, </w:t>
      </w:r>
      <w:r w:rsidRPr="00D04DA0">
        <w:rPr>
          <w:i/>
          <w:iCs/>
          <w:noProof/>
        </w:rPr>
        <w:t>10</w:t>
      </w:r>
      <w:r w:rsidRPr="00D04DA0">
        <w:rPr>
          <w:noProof/>
        </w:rPr>
        <w:t>(5), 233–238.</w:t>
      </w:r>
    </w:p>
    <w:p w14:paraId="14AA8778"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Pisoni, D. B., Kronenberger, W. G., Chandramouli, S. H., &amp; Conway, C. M. (2016). Learning and memory processes following cochlear implantation: The missing piece of the puzzle. </w:t>
      </w:r>
      <w:r w:rsidRPr="00D04DA0">
        <w:rPr>
          <w:i/>
          <w:iCs/>
          <w:noProof/>
        </w:rPr>
        <w:t>Frontiers in Psychology</w:t>
      </w:r>
      <w:r w:rsidRPr="00D04DA0">
        <w:rPr>
          <w:noProof/>
        </w:rPr>
        <w:t xml:space="preserve">, </w:t>
      </w:r>
      <w:r w:rsidRPr="00D04DA0">
        <w:rPr>
          <w:i/>
          <w:iCs/>
          <w:noProof/>
        </w:rPr>
        <w:t>7</w:t>
      </w:r>
      <w:r w:rsidRPr="00D04DA0">
        <w:rPr>
          <w:noProof/>
        </w:rPr>
        <w:t>, 1–19.</w:t>
      </w:r>
    </w:p>
    <w:p w14:paraId="6D1BC3F5"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Polonenko, M. J., Gordon, K. A., Cushing, S. L., &amp; Papsin, B. C. (2017). Cortical organization </w:t>
      </w:r>
      <w:r w:rsidRPr="00D04DA0">
        <w:rPr>
          <w:noProof/>
        </w:rPr>
        <w:lastRenderedPageBreak/>
        <w:t xml:space="preserve">restored by cochlear implantation in young children with single sided deafness. </w:t>
      </w:r>
      <w:r w:rsidRPr="00D04DA0">
        <w:rPr>
          <w:i/>
          <w:iCs/>
          <w:noProof/>
        </w:rPr>
        <w:t>Scientific Reports</w:t>
      </w:r>
      <w:r w:rsidRPr="00D04DA0">
        <w:rPr>
          <w:noProof/>
        </w:rPr>
        <w:t xml:space="preserve">, </w:t>
      </w:r>
      <w:r w:rsidRPr="00D04DA0">
        <w:rPr>
          <w:i/>
          <w:iCs/>
          <w:noProof/>
        </w:rPr>
        <w:t>7</w:t>
      </w:r>
      <w:r w:rsidRPr="00D04DA0">
        <w:rPr>
          <w:noProof/>
        </w:rPr>
        <w:t>(1).</w:t>
      </w:r>
    </w:p>
    <w:p w14:paraId="5D398523"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Romberg, A., &amp; Saffran, J. (2010). Statistical learning and language acquisition. </w:t>
      </w:r>
      <w:r w:rsidRPr="00D04DA0">
        <w:rPr>
          <w:i/>
          <w:iCs/>
          <w:noProof/>
        </w:rPr>
        <w:t>Wiley Interdisciplinary Reviews: Cognitive Science</w:t>
      </w:r>
      <w:r w:rsidRPr="00D04DA0">
        <w:rPr>
          <w:noProof/>
        </w:rPr>
        <w:t xml:space="preserve">, </w:t>
      </w:r>
      <w:r w:rsidRPr="00D04DA0">
        <w:rPr>
          <w:i/>
          <w:iCs/>
          <w:noProof/>
        </w:rPr>
        <w:t>1</w:t>
      </w:r>
      <w:r w:rsidRPr="00D04DA0">
        <w:rPr>
          <w:noProof/>
        </w:rPr>
        <w:t>(6), 906–914.</w:t>
      </w:r>
    </w:p>
    <w:p w14:paraId="02B588BA"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Saffran, J., Aslin, R., &amp; Newport, E. (1996). Statistical learning by 8-month-old infants. </w:t>
      </w:r>
      <w:r w:rsidRPr="00D04DA0">
        <w:rPr>
          <w:i/>
          <w:iCs/>
          <w:noProof/>
        </w:rPr>
        <w:t>Science</w:t>
      </w:r>
      <w:r w:rsidRPr="00D04DA0">
        <w:rPr>
          <w:noProof/>
        </w:rPr>
        <w:t xml:space="preserve">, </w:t>
      </w:r>
      <w:r w:rsidRPr="00D04DA0">
        <w:rPr>
          <w:i/>
          <w:iCs/>
          <w:noProof/>
        </w:rPr>
        <w:t>274</w:t>
      </w:r>
      <w:r w:rsidRPr="00D04DA0">
        <w:rPr>
          <w:noProof/>
        </w:rPr>
        <w:t>(5294), 1926.</w:t>
      </w:r>
    </w:p>
    <w:p w14:paraId="094B0876"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Saffran, J. R., &amp; Kirkham, N. Z. (2018, January 4). Infant Statistical Learning. </w:t>
      </w:r>
      <w:r w:rsidRPr="00D04DA0">
        <w:rPr>
          <w:i/>
          <w:iCs/>
          <w:noProof/>
        </w:rPr>
        <w:t>Annual Review of Psychology</w:t>
      </w:r>
      <w:r w:rsidRPr="00D04DA0">
        <w:rPr>
          <w:noProof/>
        </w:rPr>
        <w:t>. Annual Reviews Inc.</w:t>
      </w:r>
    </w:p>
    <w:p w14:paraId="1E9055E3"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Shafto, C., Conway, C., Field, S., &amp; Houston, D. (2012). Visual sequence learning in infancy: Domain-general and domain-specific associations with language. </w:t>
      </w:r>
      <w:r w:rsidRPr="00D04DA0">
        <w:rPr>
          <w:i/>
          <w:iCs/>
          <w:noProof/>
        </w:rPr>
        <w:t>Infancy</w:t>
      </w:r>
      <w:r w:rsidRPr="00D04DA0">
        <w:rPr>
          <w:noProof/>
        </w:rPr>
        <w:t xml:space="preserve">, </w:t>
      </w:r>
      <w:r w:rsidRPr="00D04DA0">
        <w:rPr>
          <w:i/>
          <w:iCs/>
          <w:noProof/>
        </w:rPr>
        <w:t>17</w:t>
      </w:r>
      <w:r w:rsidRPr="00D04DA0">
        <w:rPr>
          <w:noProof/>
        </w:rPr>
        <w:t>(3), 247–271.</w:t>
      </w:r>
    </w:p>
    <w:p w14:paraId="223BA6B8"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Sharma, A., Dorman, M. F., &amp; Spahr, A. J. (2002). Rapid development of cortical auditory evoked potentials after early cochlear implantation. </w:t>
      </w:r>
      <w:r w:rsidRPr="00D04DA0">
        <w:rPr>
          <w:i/>
          <w:iCs/>
          <w:noProof/>
        </w:rPr>
        <w:t>NeuroReport</w:t>
      </w:r>
      <w:r w:rsidRPr="00D04DA0">
        <w:rPr>
          <w:noProof/>
        </w:rPr>
        <w:t xml:space="preserve">, </w:t>
      </w:r>
      <w:r w:rsidRPr="00D04DA0">
        <w:rPr>
          <w:i/>
          <w:iCs/>
          <w:noProof/>
        </w:rPr>
        <w:t>13</w:t>
      </w:r>
      <w:r w:rsidRPr="00D04DA0">
        <w:rPr>
          <w:noProof/>
        </w:rPr>
        <w:t>(10), 1365–1368.</w:t>
      </w:r>
    </w:p>
    <w:p w14:paraId="6577B373" w14:textId="4A315B59" w:rsidR="00D04DA0" w:rsidRDefault="00D04DA0" w:rsidP="00D04DA0">
      <w:pPr>
        <w:widowControl w:val="0"/>
        <w:autoSpaceDE w:val="0"/>
        <w:autoSpaceDN w:val="0"/>
        <w:adjustRightInd w:val="0"/>
        <w:ind w:left="480" w:hanging="480"/>
        <w:rPr>
          <w:noProof/>
        </w:rPr>
      </w:pPr>
      <w:r w:rsidRPr="00D04DA0">
        <w:rPr>
          <w:noProof/>
        </w:rPr>
        <w:t xml:space="preserve">Sharma, A., Glick, H., Campbell, J., Torres, J., Dorman, M., &amp; Zeitler, D. (2016). Cortical plasticity and reorganization in pediatric single-sided deafness pre- and postcochlear implantation a case study. </w:t>
      </w:r>
      <w:r w:rsidRPr="00D04DA0">
        <w:rPr>
          <w:i/>
          <w:iCs/>
          <w:noProof/>
        </w:rPr>
        <w:t>Otology and Neurotology</w:t>
      </w:r>
      <w:r w:rsidR="00246068">
        <w:rPr>
          <w:noProof/>
        </w:rPr>
        <w:t xml:space="preserve">, </w:t>
      </w:r>
      <w:r w:rsidRPr="00246068">
        <w:rPr>
          <w:i/>
          <w:iCs/>
          <w:noProof/>
        </w:rPr>
        <w:t>37</w:t>
      </w:r>
      <w:r w:rsidR="00246068">
        <w:rPr>
          <w:noProof/>
        </w:rPr>
        <w:t xml:space="preserve">, </w:t>
      </w:r>
      <w:r w:rsidRPr="00D04DA0">
        <w:rPr>
          <w:noProof/>
        </w:rPr>
        <w:t>e26–e34.</w:t>
      </w:r>
    </w:p>
    <w:p w14:paraId="628A4996" w14:textId="74741E73" w:rsidR="003A6B5D" w:rsidRPr="00D04DA0" w:rsidRDefault="003A6B5D" w:rsidP="00D04DA0">
      <w:pPr>
        <w:widowControl w:val="0"/>
        <w:autoSpaceDE w:val="0"/>
        <w:autoSpaceDN w:val="0"/>
        <w:adjustRightInd w:val="0"/>
        <w:ind w:left="480" w:hanging="480"/>
        <w:rPr>
          <w:noProof/>
        </w:rPr>
      </w:pPr>
      <w:r w:rsidRPr="003A6B5D">
        <w:rPr>
          <w:noProof/>
        </w:rPr>
        <w:t>Siegelman, N., Bogaerts, L., Kronenfeld, O., &amp; Frost, R. (2018). Redefini</w:t>
      </w:r>
      <w:r w:rsidRPr="003A6B5D">
        <w:rPr>
          <w:noProof/>
        </w:rPr>
        <w:t xml:space="preserve">ng "learning" in statistical learning: </w:t>
      </w:r>
      <w:r>
        <w:rPr>
          <w:noProof/>
        </w:rPr>
        <w:t>W</w:t>
      </w:r>
      <w:r w:rsidRPr="003A6B5D">
        <w:rPr>
          <w:noProof/>
        </w:rPr>
        <w:t>hat does an online measure reveal about the assimilation of visual regulariti</w:t>
      </w:r>
      <w:r w:rsidRPr="003A6B5D">
        <w:rPr>
          <w:noProof/>
        </w:rPr>
        <w:t>es? C</w:t>
      </w:r>
      <w:r w:rsidRPr="003A6B5D">
        <w:rPr>
          <w:i/>
          <w:iCs/>
          <w:noProof/>
        </w:rPr>
        <w:t xml:space="preserve">ognitive </w:t>
      </w:r>
      <w:r w:rsidRPr="003A6B5D">
        <w:rPr>
          <w:i/>
          <w:iCs/>
          <w:noProof/>
        </w:rPr>
        <w:t>S</w:t>
      </w:r>
      <w:r w:rsidRPr="003A6B5D">
        <w:rPr>
          <w:i/>
          <w:iCs/>
          <w:noProof/>
        </w:rPr>
        <w:t>cience,</w:t>
      </w:r>
      <w:r w:rsidRPr="003A6B5D">
        <w:rPr>
          <w:noProof/>
        </w:rPr>
        <w:t xml:space="preserve"> </w:t>
      </w:r>
      <w:r w:rsidRPr="003A6B5D">
        <w:rPr>
          <w:i/>
          <w:iCs/>
          <w:noProof/>
        </w:rPr>
        <w:t>42</w:t>
      </w:r>
      <w:r>
        <w:rPr>
          <w:noProof/>
        </w:rPr>
        <w:t>(</w:t>
      </w:r>
      <w:r w:rsidRPr="003A6B5D">
        <w:rPr>
          <w:noProof/>
        </w:rPr>
        <w:t>3), 692–727. https://doi.org/10.1111/cogs.12556</w:t>
      </w:r>
    </w:p>
    <w:p w14:paraId="3C2C39BA"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Spencer, M., Kaschak, M. P., Jones, J. L., &amp; Lonigan, C. J. (2015). Statistical learning is related to early literacy-related skills. </w:t>
      </w:r>
      <w:r w:rsidRPr="00D04DA0">
        <w:rPr>
          <w:i/>
          <w:iCs/>
          <w:noProof/>
        </w:rPr>
        <w:t>Reading and Writing</w:t>
      </w:r>
      <w:r w:rsidRPr="00D04DA0">
        <w:rPr>
          <w:noProof/>
        </w:rPr>
        <w:t xml:space="preserve">, </w:t>
      </w:r>
      <w:r w:rsidRPr="00D04DA0">
        <w:rPr>
          <w:i/>
          <w:iCs/>
          <w:noProof/>
        </w:rPr>
        <w:t>28</w:t>
      </w:r>
      <w:r w:rsidRPr="00D04DA0">
        <w:rPr>
          <w:noProof/>
        </w:rPr>
        <w:t>(4), 467–490.</w:t>
      </w:r>
    </w:p>
    <w:p w14:paraId="07AF68CB"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Stahl, A. E., Romberg, A. R., Roseberry, S., Golinkoff, R. M., &amp; Hirsh-Pasek, K. (2014). Infants segment continuous events using transitional probabilities. </w:t>
      </w:r>
      <w:r w:rsidRPr="00D04DA0">
        <w:rPr>
          <w:i/>
          <w:iCs/>
          <w:noProof/>
        </w:rPr>
        <w:t>Child Development</w:t>
      </w:r>
      <w:r w:rsidRPr="00D04DA0">
        <w:rPr>
          <w:noProof/>
        </w:rPr>
        <w:t xml:space="preserve">, </w:t>
      </w:r>
      <w:r w:rsidRPr="00D04DA0">
        <w:rPr>
          <w:i/>
          <w:iCs/>
          <w:noProof/>
        </w:rPr>
        <w:t>85</w:t>
      </w:r>
      <w:r w:rsidRPr="00D04DA0">
        <w:rPr>
          <w:noProof/>
        </w:rPr>
        <w:t>(5), 1821–1826.</w:t>
      </w:r>
    </w:p>
    <w:p w14:paraId="6F53ED83" w14:textId="77777777" w:rsidR="00D04DA0" w:rsidRPr="00D04DA0" w:rsidRDefault="00D04DA0" w:rsidP="00D04DA0">
      <w:pPr>
        <w:widowControl w:val="0"/>
        <w:autoSpaceDE w:val="0"/>
        <w:autoSpaceDN w:val="0"/>
        <w:adjustRightInd w:val="0"/>
        <w:ind w:left="480" w:hanging="480"/>
        <w:rPr>
          <w:noProof/>
        </w:rPr>
      </w:pPr>
      <w:r w:rsidRPr="00D04DA0">
        <w:rPr>
          <w:noProof/>
        </w:rPr>
        <w:lastRenderedPageBreak/>
        <w:t xml:space="preserve">Teinonen, T., Fellman, V., Näätänen, R., &amp; Alku, P. (2009). Statistical language learning in neonates revealed by event-related brain potentials. </w:t>
      </w:r>
      <w:r w:rsidRPr="00D04DA0">
        <w:rPr>
          <w:i/>
          <w:iCs/>
          <w:noProof/>
        </w:rPr>
        <w:t>BMC Neuroscience</w:t>
      </w:r>
      <w:r w:rsidRPr="00D04DA0">
        <w:rPr>
          <w:noProof/>
        </w:rPr>
        <w:t xml:space="preserve">, </w:t>
      </w:r>
      <w:r w:rsidRPr="00D04DA0">
        <w:rPr>
          <w:i/>
          <w:iCs/>
          <w:noProof/>
        </w:rPr>
        <w:t>10</w:t>
      </w:r>
      <w:r w:rsidRPr="00D04DA0">
        <w:rPr>
          <w:noProof/>
        </w:rPr>
        <w:t>(1), 21.</w:t>
      </w:r>
    </w:p>
    <w:p w14:paraId="01CBBC85"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Teubert, M., Lohaus, A., Fassbender, I., Vierhaus, M., Spangler, S., Borchert, S., … Schwarzer, G. (2012). The influence of stimulus material on attention and performance in the visual expectation paradigm: A longitudinal study with 3- and 6-month-old infants. </w:t>
      </w:r>
      <w:r w:rsidRPr="00D04DA0">
        <w:rPr>
          <w:i/>
          <w:iCs/>
          <w:noProof/>
        </w:rPr>
        <w:t>International Journal of Behavioral Development</w:t>
      </w:r>
      <w:r w:rsidRPr="00D04DA0">
        <w:rPr>
          <w:noProof/>
        </w:rPr>
        <w:t xml:space="preserve">, </w:t>
      </w:r>
      <w:r w:rsidRPr="00D04DA0">
        <w:rPr>
          <w:i/>
          <w:iCs/>
          <w:noProof/>
        </w:rPr>
        <w:t>36</w:t>
      </w:r>
      <w:r w:rsidRPr="00D04DA0">
        <w:rPr>
          <w:noProof/>
        </w:rPr>
        <w:t>(5), 374–380.</w:t>
      </w:r>
    </w:p>
    <w:p w14:paraId="000BEC99" w14:textId="77777777" w:rsidR="00D04DA0" w:rsidRPr="00D04DA0" w:rsidRDefault="00D04DA0" w:rsidP="00D04DA0">
      <w:pPr>
        <w:widowControl w:val="0"/>
        <w:autoSpaceDE w:val="0"/>
        <w:autoSpaceDN w:val="0"/>
        <w:adjustRightInd w:val="0"/>
        <w:ind w:left="480" w:hanging="480"/>
        <w:rPr>
          <w:noProof/>
        </w:rPr>
      </w:pPr>
      <w:r w:rsidRPr="00D04DA0">
        <w:rPr>
          <w:noProof/>
        </w:rPr>
        <w:t xml:space="preserve">Torkildsen, J. von K., Arciuli, J., Haukedal, C. L., Wie, O. B., von Koss Torkildsen, J., Arciuli, J., … Wie, O. B. (2018). Does a lack of auditory experience affect sequential learning? </w:t>
      </w:r>
      <w:r w:rsidRPr="00D04DA0">
        <w:rPr>
          <w:i/>
          <w:iCs/>
          <w:noProof/>
        </w:rPr>
        <w:t>Cognition</w:t>
      </w:r>
      <w:r w:rsidRPr="00D04DA0">
        <w:rPr>
          <w:noProof/>
        </w:rPr>
        <w:t xml:space="preserve">, </w:t>
      </w:r>
      <w:r w:rsidRPr="00D04DA0">
        <w:rPr>
          <w:i/>
          <w:iCs/>
          <w:noProof/>
        </w:rPr>
        <w:t>170</w:t>
      </w:r>
      <w:r w:rsidRPr="00D04DA0">
        <w:rPr>
          <w:noProof/>
        </w:rPr>
        <w:t>, 123–129.</w:t>
      </w:r>
    </w:p>
    <w:p w14:paraId="3F14A259" w14:textId="43A7050E" w:rsidR="00997116" w:rsidRPr="005431F6" w:rsidRDefault="0067538C" w:rsidP="005B0143">
      <w:pPr>
        <w:widowControl w:val="0"/>
        <w:autoSpaceDE w:val="0"/>
        <w:autoSpaceDN w:val="0"/>
        <w:adjustRightInd w:val="0"/>
        <w:ind w:left="480" w:hanging="480"/>
        <w:rPr>
          <w:color w:val="333333"/>
          <w:shd w:val="clear" w:color="auto" w:fill="FFFFFF"/>
        </w:rPr>
      </w:pPr>
      <w:r w:rsidRPr="00612195">
        <w:fldChar w:fldCharType="end"/>
      </w:r>
    </w:p>
    <w:sectPr w:rsidR="00997116" w:rsidRPr="005431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53AF0" w14:textId="77777777" w:rsidR="00131431" w:rsidRDefault="00131431" w:rsidP="00DE4644">
      <w:r>
        <w:separator/>
      </w:r>
    </w:p>
  </w:endnote>
  <w:endnote w:type="continuationSeparator" w:id="0">
    <w:p w14:paraId="14C9ED79" w14:textId="77777777" w:rsidR="00131431" w:rsidRDefault="00131431" w:rsidP="00DE4644">
      <w:r>
        <w:continuationSeparator/>
      </w:r>
    </w:p>
  </w:endnote>
  <w:endnote w:type="continuationNotice" w:id="1">
    <w:p w14:paraId="4691DA89" w14:textId="77777777" w:rsidR="00131431" w:rsidRDefault="001314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176100"/>
      <w:docPartObj>
        <w:docPartGallery w:val="Page Numbers (Bottom of Page)"/>
        <w:docPartUnique/>
      </w:docPartObj>
    </w:sdtPr>
    <w:sdtEndPr>
      <w:rPr>
        <w:noProof/>
      </w:rPr>
    </w:sdtEndPr>
    <w:sdtContent>
      <w:p w14:paraId="2CB63628" w14:textId="1AB7A46F" w:rsidR="006E5BA5" w:rsidRDefault="006E5BA5">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2709890A" w14:textId="77777777" w:rsidR="006E5BA5" w:rsidRDefault="006E5B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49527"/>
      <w:docPartObj>
        <w:docPartGallery w:val="Page Numbers (Bottom of Page)"/>
        <w:docPartUnique/>
      </w:docPartObj>
    </w:sdtPr>
    <w:sdtEndPr>
      <w:rPr>
        <w:noProof/>
      </w:rPr>
    </w:sdtEndPr>
    <w:sdtContent>
      <w:p w14:paraId="105DD0C3" w14:textId="6EC65067" w:rsidR="006E5BA5" w:rsidRDefault="006E5BA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86B21AD" w14:textId="77777777" w:rsidR="006E5BA5" w:rsidRDefault="006E5B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92CEF" w14:textId="77777777" w:rsidR="00131431" w:rsidRDefault="00131431" w:rsidP="002C54B5">
      <w:pPr>
        <w:ind w:firstLine="0"/>
      </w:pPr>
      <w:r>
        <w:separator/>
      </w:r>
    </w:p>
  </w:footnote>
  <w:footnote w:type="continuationSeparator" w:id="0">
    <w:p w14:paraId="6FF10429" w14:textId="77777777" w:rsidR="00131431" w:rsidRDefault="00131431" w:rsidP="00DE4644">
      <w:r>
        <w:continuationSeparator/>
      </w:r>
    </w:p>
  </w:footnote>
  <w:footnote w:type="continuationNotice" w:id="1">
    <w:p w14:paraId="18264C3E" w14:textId="77777777" w:rsidR="00131431" w:rsidRDefault="00131431">
      <w:pPr>
        <w:spacing w:line="240" w:lineRule="auto"/>
      </w:pPr>
    </w:p>
  </w:footnote>
  <w:footnote w:id="2">
    <w:p w14:paraId="250071EB" w14:textId="190A5977" w:rsidR="006E5BA5" w:rsidRDefault="006E5BA5" w:rsidP="00C77FE1">
      <w:pPr>
        <w:pStyle w:val="FootnoteText"/>
        <w:ind w:firstLine="0"/>
      </w:pPr>
      <w:r>
        <w:rPr>
          <w:rStyle w:val="FootnoteReference"/>
        </w:rPr>
        <w:footnoteRef/>
      </w:r>
      <w:r>
        <w:t>In their sample, groups were not matched on age. Their hearing loss group also included both children with cochlear implants and children with hearing aids.</w:t>
      </w:r>
    </w:p>
  </w:footnote>
  <w:footnote w:id="3">
    <w:p w14:paraId="4420F344" w14:textId="724D05DC" w:rsidR="006E5BA5" w:rsidRDefault="006E5BA5" w:rsidP="00C715E3">
      <w:pPr>
        <w:pStyle w:val="FootnoteText"/>
        <w:ind w:firstLine="0"/>
      </w:pPr>
      <w:r>
        <w:rPr>
          <w:rStyle w:val="FootnoteReference"/>
        </w:rPr>
        <w:footnoteRef/>
      </w:r>
      <w:r>
        <w:t xml:space="preserve"> </w:t>
      </w:r>
      <w:r w:rsidR="007F649C">
        <w:t>Two</w:t>
      </w:r>
      <w:r>
        <w:t xml:space="preserve"> deaf toddler</w:t>
      </w:r>
      <w:r w:rsidR="007F649C">
        <w:t>s</w:t>
      </w:r>
      <w:r>
        <w:t xml:space="preserve"> were tested but were excluded from the eyetracking</w:t>
      </w:r>
      <w:r w:rsidRPr="00612195">
        <w:t xml:space="preserve"> </w:t>
      </w:r>
      <w:r>
        <w:t>analyses because we were not able to find and test age-matched peers, as testing in our lab was interrupted due to the Covid-19 pandemic. These toddlers were included in the correlation analyses between VSL and language (see section 3.3).</w:t>
      </w:r>
    </w:p>
  </w:footnote>
  <w:footnote w:id="4">
    <w:p w14:paraId="515553E1" w14:textId="584C27C7" w:rsidR="006E5BA5" w:rsidRPr="00B15ED5" w:rsidRDefault="006E5BA5" w:rsidP="00C715E3">
      <w:pPr>
        <w:pStyle w:val="FootnoteText"/>
        <w:ind w:firstLine="0"/>
      </w:pPr>
      <w:r w:rsidRPr="00B15ED5">
        <w:rPr>
          <w:rStyle w:val="FootnoteReference"/>
        </w:rPr>
        <w:footnoteRef/>
      </w:r>
      <w:r w:rsidRPr="00B15ED5">
        <w:t>We matched infants based on their due date rather than their birth date, as some deaf infants were born earlier then their hearing counterparts.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140F6"/>
    <w:multiLevelType w:val="hybridMultilevel"/>
    <w:tmpl w:val="B54CC9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4311EA6"/>
    <w:multiLevelType w:val="hybridMultilevel"/>
    <w:tmpl w:val="F2C4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495A0B"/>
    <w:multiLevelType w:val="hybridMultilevel"/>
    <w:tmpl w:val="B5E0FE22"/>
    <w:lvl w:ilvl="0" w:tplc="CB3080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6A547C"/>
    <w:multiLevelType w:val="hybridMultilevel"/>
    <w:tmpl w:val="24262A5E"/>
    <w:lvl w:ilvl="0" w:tplc="21E6FEE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459010">
    <w:abstractNumId w:val="2"/>
  </w:num>
  <w:num w:numId="2" w16cid:durableId="1639073431">
    <w:abstractNumId w:val="3"/>
  </w:num>
  <w:num w:numId="3" w16cid:durableId="1160464546">
    <w:abstractNumId w:val="0"/>
  </w:num>
  <w:num w:numId="4" w16cid:durableId="546259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329"/>
    <w:rsid w:val="0001664F"/>
    <w:rsid w:val="00017157"/>
    <w:rsid w:val="0002105C"/>
    <w:rsid w:val="000271C3"/>
    <w:rsid w:val="00027AD5"/>
    <w:rsid w:val="00030752"/>
    <w:rsid w:val="00036CBD"/>
    <w:rsid w:val="00036CC3"/>
    <w:rsid w:val="000446D8"/>
    <w:rsid w:val="0004648E"/>
    <w:rsid w:val="000553DA"/>
    <w:rsid w:val="000567B4"/>
    <w:rsid w:val="00060992"/>
    <w:rsid w:val="00070183"/>
    <w:rsid w:val="000703EC"/>
    <w:rsid w:val="0007240A"/>
    <w:rsid w:val="00072F3D"/>
    <w:rsid w:val="000773F8"/>
    <w:rsid w:val="0007777A"/>
    <w:rsid w:val="00081392"/>
    <w:rsid w:val="00084C97"/>
    <w:rsid w:val="0009281F"/>
    <w:rsid w:val="00093E4C"/>
    <w:rsid w:val="00094FE9"/>
    <w:rsid w:val="000A2974"/>
    <w:rsid w:val="000A3A8E"/>
    <w:rsid w:val="000A7FA3"/>
    <w:rsid w:val="000B0E63"/>
    <w:rsid w:val="000B5653"/>
    <w:rsid w:val="000B6722"/>
    <w:rsid w:val="000B73AF"/>
    <w:rsid w:val="000B76F0"/>
    <w:rsid w:val="000C17A6"/>
    <w:rsid w:val="000D2CA5"/>
    <w:rsid w:val="000D36B3"/>
    <w:rsid w:val="000E01CC"/>
    <w:rsid w:val="000E21B6"/>
    <w:rsid w:val="000E3309"/>
    <w:rsid w:val="000F5866"/>
    <w:rsid w:val="00106F48"/>
    <w:rsid w:val="001113B6"/>
    <w:rsid w:val="001179BF"/>
    <w:rsid w:val="001263F4"/>
    <w:rsid w:val="001271CC"/>
    <w:rsid w:val="0012750C"/>
    <w:rsid w:val="00127F0F"/>
    <w:rsid w:val="00131431"/>
    <w:rsid w:val="0013217E"/>
    <w:rsid w:val="001345EF"/>
    <w:rsid w:val="00136D42"/>
    <w:rsid w:val="001431F8"/>
    <w:rsid w:val="00145E8B"/>
    <w:rsid w:val="00153815"/>
    <w:rsid w:val="00154404"/>
    <w:rsid w:val="00157A27"/>
    <w:rsid w:val="001654F4"/>
    <w:rsid w:val="00171240"/>
    <w:rsid w:val="00191F5B"/>
    <w:rsid w:val="001933F8"/>
    <w:rsid w:val="001949DA"/>
    <w:rsid w:val="001979E2"/>
    <w:rsid w:val="001A3D50"/>
    <w:rsid w:val="001A609A"/>
    <w:rsid w:val="001B1D3D"/>
    <w:rsid w:val="001C171E"/>
    <w:rsid w:val="001C293E"/>
    <w:rsid w:val="001C2E96"/>
    <w:rsid w:val="001C5E63"/>
    <w:rsid w:val="001C6AA7"/>
    <w:rsid w:val="001C7854"/>
    <w:rsid w:val="001D0F05"/>
    <w:rsid w:val="001D16C5"/>
    <w:rsid w:val="001D26EF"/>
    <w:rsid w:val="001D62A2"/>
    <w:rsid w:val="001D68FF"/>
    <w:rsid w:val="001E03C8"/>
    <w:rsid w:val="001E1D01"/>
    <w:rsid w:val="001E30C1"/>
    <w:rsid w:val="001E3AC7"/>
    <w:rsid w:val="001E5A31"/>
    <w:rsid w:val="001F337B"/>
    <w:rsid w:val="001F34F3"/>
    <w:rsid w:val="001F7038"/>
    <w:rsid w:val="002028F5"/>
    <w:rsid w:val="0020410D"/>
    <w:rsid w:val="00204125"/>
    <w:rsid w:val="0020645C"/>
    <w:rsid w:val="00207522"/>
    <w:rsid w:val="00211636"/>
    <w:rsid w:val="00222CED"/>
    <w:rsid w:val="0022545D"/>
    <w:rsid w:val="0023365F"/>
    <w:rsid w:val="00235D12"/>
    <w:rsid w:val="00240287"/>
    <w:rsid w:val="00242815"/>
    <w:rsid w:val="002430D7"/>
    <w:rsid w:val="002453D0"/>
    <w:rsid w:val="00246068"/>
    <w:rsid w:val="00246F34"/>
    <w:rsid w:val="00253CAD"/>
    <w:rsid w:val="00256603"/>
    <w:rsid w:val="00262C50"/>
    <w:rsid w:val="00266698"/>
    <w:rsid w:val="00281786"/>
    <w:rsid w:val="00281980"/>
    <w:rsid w:val="00282AEF"/>
    <w:rsid w:val="00293A0C"/>
    <w:rsid w:val="0029789D"/>
    <w:rsid w:val="002A238D"/>
    <w:rsid w:val="002A2D91"/>
    <w:rsid w:val="002A3866"/>
    <w:rsid w:val="002A6B05"/>
    <w:rsid w:val="002C1166"/>
    <w:rsid w:val="002C4701"/>
    <w:rsid w:val="002C54B5"/>
    <w:rsid w:val="002C5B3A"/>
    <w:rsid w:val="002D7440"/>
    <w:rsid w:val="002E0BA4"/>
    <w:rsid w:val="002E25B0"/>
    <w:rsid w:val="002F60F1"/>
    <w:rsid w:val="003042BE"/>
    <w:rsid w:val="00307B43"/>
    <w:rsid w:val="00310317"/>
    <w:rsid w:val="003116C7"/>
    <w:rsid w:val="0032056D"/>
    <w:rsid w:val="00320787"/>
    <w:rsid w:val="00322956"/>
    <w:rsid w:val="00325E33"/>
    <w:rsid w:val="00326668"/>
    <w:rsid w:val="00332BCF"/>
    <w:rsid w:val="00344A4F"/>
    <w:rsid w:val="00347AB2"/>
    <w:rsid w:val="003512DD"/>
    <w:rsid w:val="00352142"/>
    <w:rsid w:val="003522AF"/>
    <w:rsid w:val="003551C0"/>
    <w:rsid w:val="003576FE"/>
    <w:rsid w:val="0036405B"/>
    <w:rsid w:val="00367B5F"/>
    <w:rsid w:val="00376EE7"/>
    <w:rsid w:val="00377C9B"/>
    <w:rsid w:val="00380D9F"/>
    <w:rsid w:val="00393D13"/>
    <w:rsid w:val="003966A2"/>
    <w:rsid w:val="003971F4"/>
    <w:rsid w:val="003A0E55"/>
    <w:rsid w:val="003A3684"/>
    <w:rsid w:val="003A4952"/>
    <w:rsid w:val="003A6B5D"/>
    <w:rsid w:val="003A7D78"/>
    <w:rsid w:val="003B118E"/>
    <w:rsid w:val="003B224A"/>
    <w:rsid w:val="003B3FEA"/>
    <w:rsid w:val="003B5113"/>
    <w:rsid w:val="003B7491"/>
    <w:rsid w:val="003B7769"/>
    <w:rsid w:val="003C19AF"/>
    <w:rsid w:val="003C6CD0"/>
    <w:rsid w:val="003D278F"/>
    <w:rsid w:val="003E09E1"/>
    <w:rsid w:val="003E7620"/>
    <w:rsid w:val="003F210B"/>
    <w:rsid w:val="003F261C"/>
    <w:rsid w:val="003F6E98"/>
    <w:rsid w:val="0040649A"/>
    <w:rsid w:val="0040673B"/>
    <w:rsid w:val="00411C0E"/>
    <w:rsid w:val="00415160"/>
    <w:rsid w:val="00416678"/>
    <w:rsid w:val="0042599D"/>
    <w:rsid w:val="004276FE"/>
    <w:rsid w:val="00440B18"/>
    <w:rsid w:val="004535BB"/>
    <w:rsid w:val="00457C0A"/>
    <w:rsid w:val="0046515E"/>
    <w:rsid w:val="00470221"/>
    <w:rsid w:val="00477E62"/>
    <w:rsid w:val="00481FB1"/>
    <w:rsid w:val="00482A49"/>
    <w:rsid w:val="00483198"/>
    <w:rsid w:val="00483D07"/>
    <w:rsid w:val="00487C6C"/>
    <w:rsid w:val="00487EE9"/>
    <w:rsid w:val="00497529"/>
    <w:rsid w:val="004978B6"/>
    <w:rsid w:val="004A1E5D"/>
    <w:rsid w:val="004A317F"/>
    <w:rsid w:val="004A6EB4"/>
    <w:rsid w:val="004B1026"/>
    <w:rsid w:val="004B64B5"/>
    <w:rsid w:val="004B6C5B"/>
    <w:rsid w:val="004C0CE6"/>
    <w:rsid w:val="004C41C1"/>
    <w:rsid w:val="004C4A15"/>
    <w:rsid w:val="004C5AE2"/>
    <w:rsid w:val="004C5CD7"/>
    <w:rsid w:val="004C6D10"/>
    <w:rsid w:val="004C6FBA"/>
    <w:rsid w:val="004C7C75"/>
    <w:rsid w:val="004D2172"/>
    <w:rsid w:val="004D506B"/>
    <w:rsid w:val="004D5880"/>
    <w:rsid w:val="004E3474"/>
    <w:rsid w:val="004E57A4"/>
    <w:rsid w:val="004F086A"/>
    <w:rsid w:val="004F0AD6"/>
    <w:rsid w:val="004F5C48"/>
    <w:rsid w:val="004F6595"/>
    <w:rsid w:val="004F6ABC"/>
    <w:rsid w:val="00500840"/>
    <w:rsid w:val="00504B7E"/>
    <w:rsid w:val="00505ED2"/>
    <w:rsid w:val="00512ED8"/>
    <w:rsid w:val="00521B35"/>
    <w:rsid w:val="005228DB"/>
    <w:rsid w:val="00523B2E"/>
    <w:rsid w:val="0052461A"/>
    <w:rsid w:val="00531947"/>
    <w:rsid w:val="00540954"/>
    <w:rsid w:val="00542A7F"/>
    <w:rsid w:val="005430C8"/>
    <w:rsid w:val="005431F6"/>
    <w:rsid w:val="00546B3B"/>
    <w:rsid w:val="005470B9"/>
    <w:rsid w:val="005506A8"/>
    <w:rsid w:val="0055594C"/>
    <w:rsid w:val="0056002B"/>
    <w:rsid w:val="00560B41"/>
    <w:rsid w:val="00561C96"/>
    <w:rsid w:val="00567AC5"/>
    <w:rsid w:val="005716A7"/>
    <w:rsid w:val="00575ECB"/>
    <w:rsid w:val="0057691C"/>
    <w:rsid w:val="0058725D"/>
    <w:rsid w:val="005911C5"/>
    <w:rsid w:val="005922F2"/>
    <w:rsid w:val="005A29AF"/>
    <w:rsid w:val="005A3410"/>
    <w:rsid w:val="005A53FC"/>
    <w:rsid w:val="005A5463"/>
    <w:rsid w:val="005B0143"/>
    <w:rsid w:val="005B689D"/>
    <w:rsid w:val="005C466B"/>
    <w:rsid w:val="005C7BE9"/>
    <w:rsid w:val="005D5CB9"/>
    <w:rsid w:val="005E2C24"/>
    <w:rsid w:val="005E7E63"/>
    <w:rsid w:val="005F0CAE"/>
    <w:rsid w:val="005F1448"/>
    <w:rsid w:val="005F18A0"/>
    <w:rsid w:val="005F3CCA"/>
    <w:rsid w:val="005F6D1D"/>
    <w:rsid w:val="006019ED"/>
    <w:rsid w:val="00612195"/>
    <w:rsid w:val="00624EFC"/>
    <w:rsid w:val="00635329"/>
    <w:rsid w:val="00640006"/>
    <w:rsid w:val="006426BD"/>
    <w:rsid w:val="00642E2A"/>
    <w:rsid w:val="00643F99"/>
    <w:rsid w:val="00647246"/>
    <w:rsid w:val="00653892"/>
    <w:rsid w:val="0066014D"/>
    <w:rsid w:val="006632A0"/>
    <w:rsid w:val="00673834"/>
    <w:rsid w:val="00673AED"/>
    <w:rsid w:val="0067538C"/>
    <w:rsid w:val="00683E15"/>
    <w:rsid w:val="00687B90"/>
    <w:rsid w:val="00690A93"/>
    <w:rsid w:val="00697A71"/>
    <w:rsid w:val="006A27CB"/>
    <w:rsid w:val="006A44C2"/>
    <w:rsid w:val="006A5146"/>
    <w:rsid w:val="006C0032"/>
    <w:rsid w:val="006C1B36"/>
    <w:rsid w:val="006C6CB3"/>
    <w:rsid w:val="006D02A7"/>
    <w:rsid w:val="006E0EE4"/>
    <w:rsid w:val="006E2DBF"/>
    <w:rsid w:val="006E35B7"/>
    <w:rsid w:val="006E5BA5"/>
    <w:rsid w:val="006F1321"/>
    <w:rsid w:val="006F25A6"/>
    <w:rsid w:val="00711045"/>
    <w:rsid w:val="00711815"/>
    <w:rsid w:val="0071224C"/>
    <w:rsid w:val="00712D09"/>
    <w:rsid w:val="0071675B"/>
    <w:rsid w:val="00716F80"/>
    <w:rsid w:val="0072330D"/>
    <w:rsid w:val="0072394E"/>
    <w:rsid w:val="00727A15"/>
    <w:rsid w:val="00731051"/>
    <w:rsid w:val="007320A7"/>
    <w:rsid w:val="00732739"/>
    <w:rsid w:val="007469B3"/>
    <w:rsid w:val="00757A01"/>
    <w:rsid w:val="007612CD"/>
    <w:rsid w:val="00763793"/>
    <w:rsid w:val="007647BD"/>
    <w:rsid w:val="00765108"/>
    <w:rsid w:val="00773DEF"/>
    <w:rsid w:val="0077427D"/>
    <w:rsid w:val="00776873"/>
    <w:rsid w:val="007900F7"/>
    <w:rsid w:val="00796944"/>
    <w:rsid w:val="007A2D4F"/>
    <w:rsid w:val="007A4D11"/>
    <w:rsid w:val="007A6C7A"/>
    <w:rsid w:val="007B4C5C"/>
    <w:rsid w:val="007B5322"/>
    <w:rsid w:val="007B538B"/>
    <w:rsid w:val="007C347B"/>
    <w:rsid w:val="007C3876"/>
    <w:rsid w:val="007C50C4"/>
    <w:rsid w:val="007C6EB9"/>
    <w:rsid w:val="007D05CC"/>
    <w:rsid w:val="007D206E"/>
    <w:rsid w:val="007E4BD0"/>
    <w:rsid w:val="007F0BD1"/>
    <w:rsid w:val="007F3DF7"/>
    <w:rsid w:val="007F649C"/>
    <w:rsid w:val="0080152B"/>
    <w:rsid w:val="008020FD"/>
    <w:rsid w:val="00821DAE"/>
    <w:rsid w:val="00822D18"/>
    <w:rsid w:val="00823B13"/>
    <w:rsid w:val="0082455D"/>
    <w:rsid w:val="008245A3"/>
    <w:rsid w:val="008253ED"/>
    <w:rsid w:val="0082540F"/>
    <w:rsid w:val="0082610A"/>
    <w:rsid w:val="008271A1"/>
    <w:rsid w:val="00827416"/>
    <w:rsid w:val="0083139B"/>
    <w:rsid w:val="00843B04"/>
    <w:rsid w:val="00846072"/>
    <w:rsid w:val="00846EBE"/>
    <w:rsid w:val="00851871"/>
    <w:rsid w:val="0085191C"/>
    <w:rsid w:val="00851938"/>
    <w:rsid w:val="00866570"/>
    <w:rsid w:val="00867AA5"/>
    <w:rsid w:val="008750D5"/>
    <w:rsid w:val="008831D2"/>
    <w:rsid w:val="00883407"/>
    <w:rsid w:val="00886D60"/>
    <w:rsid w:val="0089303B"/>
    <w:rsid w:val="008935C5"/>
    <w:rsid w:val="00895053"/>
    <w:rsid w:val="0089577B"/>
    <w:rsid w:val="00897448"/>
    <w:rsid w:val="008A1571"/>
    <w:rsid w:val="008A3DDB"/>
    <w:rsid w:val="008A7562"/>
    <w:rsid w:val="008B18C4"/>
    <w:rsid w:val="008C401A"/>
    <w:rsid w:val="008C5BCA"/>
    <w:rsid w:val="008C71B1"/>
    <w:rsid w:val="008C7276"/>
    <w:rsid w:val="008D5565"/>
    <w:rsid w:val="008E2364"/>
    <w:rsid w:val="008E285F"/>
    <w:rsid w:val="008E4325"/>
    <w:rsid w:val="008F4382"/>
    <w:rsid w:val="00911336"/>
    <w:rsid w:val="00916BC0"/>
    <w:rsid w:val="00921519"/>
    <w:rsid w:val="0092578D"/>
    <w:rsid w:val="00925B0F"/>
    <w:rsid w:val="00932B93"/>
    <w:rsid w:val="00933608"/>
    <w:rsid w:val="00941DCE"/>
    <w:rsid w:val="009437E7"/>
    <w:rsid w:val="009438C1"/>
    <w:rsid w:val="0095005A"/>
    <w:rsid w:val="00950A25"/>
    <w:rsid w:val="00951BD5"/>
    <w:rsid w:val="00953D5B"/>
    <w:rsid w:val="00957DF2"/>
    <w:rsid w:val="0096551E"/>
    <w:rsid w:val="00970B49"/>
    <w:rsid w:val="009711DB"/>
    <w:rsid w:val="009735A5"/>
    <w:rsid w:val="00973D64"/>
    <w:rsid w:val="00982AD3"/>
    <w:rsid w:val="00986D98"/>
    <w:rsid w:val="009875C8"/>
    <w:rsid w:val="00992EF9"/>
    <w:rsid w:val="009965CB"/>
    <w:rsid w:val="00997116"/>
    <w:rsid w:val="0099752E"/>
    <w:rsid w:val="009A2143"/>
    <w:rsid w:val="009A29B6"/>
    <w:rsid w:val="009A6767"/>
    <w:rsid w:val="009B323C"/>
    <w:rsid w:val="009B4B01"/>
    <w:rsid w:val="009B509E"/>
    <w:rsid w:val="009C069D"/>
    <w:rsid w:val="009C60B3"/>
    <w:rsid w:val="009D05B7"/>
    <w:rsid w:val="009D7C03"/>
    <w:rsid w:val="009D7E2F"/>
    <w:rsid w:val="009E5AD9"/>
    <w:rsid w:val="009E5E33"/>
    <w:rsid w:val="009F148C"/>
    <w:rsid w:val="009F6811"/>
    <w:rsid w:val="00A201DC"/>
    <w:rsid w:val="00A23E47"/>
    <w:rsid w:val="00A27383"/>
    <w:rsid w:val="00A30483"/>
    <w:rsid w:val="00A318BF"/>
    <w:rsid w:val="00A36403"/>
    <w:rsid w:val="00A401C1"/>
    <w:rsid w:val="00A40B42"/>
    <w:rsid w:val="00A40DDE"/>
    <w:rsid w:val="00A4512A"/>
    <w:rsid w:val="00A52481"/>
    <w:rsid w:val="00A542D9"/>
    <w:rsid w:val="00A551BB"/>
    <w:rsid w:val="00A55603"/>
    <w:rsid w:val="00A6219F"/>
    <w:rsid w:val="00A64278"/>
    <w:rsid w:val="00A64A19"/>
    <w:rsid w:val="00A65464"/>
    <w:rsid w:val="00A71455"/>
    <w:rsid w:val="00A74CA5"/>
    <w:rsid w:val="00A76013"/>
    <w:rsid w:val="00A7632A"/>
    <w:rsid w:val="00A7683D"/>
    <w:rsid w:val="00A82034"/>
    <w:rsid w:val="00A82C6E"/>
    <w:rsid w:val="00A83850"/>
    <w:rsid w:val="00A871D5"/>
    <w:rsid w:val="00A875F2"/>
    <w:rsid w:val="00AB4590"/>
    <w:rsid w:val="00AB6B96"/>
    <w:rsid w:val="00AC6DAB"/>
    <w:rsid w:val="00AC723F"/>
    <w:rsid w:val="00AC7613"/>
    <w:rsid w:val="00AD12A6"/>
    <w:rsid w:val="00AD1A3A"/>
    <w:rsid w:val="00AD3E0D"/>
    <w:rsid w:val="00AD46F9"/>
    <w:rsid w:val="00AE07DF"/>
    <w:rsid w:val="00AE403E"/>
    <w:rsid w:val="00AE57A3"/>
    <w:rsid w:val="00AE5FF4"/>
    <w:rsid w:val="00AF0E8C"/>
    <w:rsid w:val="00B04382"/>
    <w:rsid w:val="00B05D9A"/>
    <w:rsid w:val="00B123AE"/>
    <w:rsid w:val="00B15ED5"/>
    <w:rsid w:val="00B21C59"/>
    <w:rsid w:val="00B2743C"/>
    <w:rsid w:val="00B27A46"/>
    <w:rsid w:val="00B30085"/>
    <w:rsid w:val="00B31659"/>
    <w:rsid w:val="00B33806"/>
    <w:rsid w:val="00B36B38"/>
    <w:rsid w:val="00B36D77"/>
    <w:rsid w:val="00B44411"/>
    <w:rsid w:val="00B4473D"/>
    <w:rsid w:val="00B44767"/>
    <w:rsid w:val="00B454D8"/>
    <w:rsid w:val="00B50F55"/>
    <w:rsid w:val="00B576D5"/>
    <w:rsid w:val="00B60603"/>
    <w:rsid w:val="00B606EF"/>
    <w:rsid w:val="00B63587"/>
    <w:rsid w:val="00B63F7F"/>
    <w:rsid w:val="00B67306"/>
    <w:rsid w:val="00B75016"/>
    <w:rsid w:val="00B7662D"/>
    <w:rsid w:val="00B874D5"/>
    <w:rsid w:val="00B878B8"/>
    <w:rsid w:val="00B9185E"/>
    <w:rsid w:val="00B95500"/>
    <w:rsid w:val="00B978B5"/>
    <w:rsid w:val="00BA4201"/>
    <w:rsid w:val="00BA4F4D"/>
    <w:rsid w:val="00BA5AE7"/>
    <w:rsid w:val="00BB22B7"/>
    <w:rsid w:val="00BB3B05"/>
    <w:rsid w:val="00BB61AB"/>
    <w:rsid w:val="00BC02A8"/>
    <w:rsid w:val="00BD26DB"/>
    <w:rsid w:val="00BD3695"/>
    <w:rsid w:val="00BE0549"/>
    <w:rsid w:val="00BE391C"/>
    <w:rsid w:val="00BE70CD"/>
    <w:rsid w:val="00BF3755"/>
    <w:rsid w:val="00BF77B8"/>
    <w:rsid w:val="00BF7A57"/>
    <w:rsid w:val="00C0044D"/>
    <w:rsid w:val="00C01902"/>
    <w:rsid w:val="00C02A40"/>
    <w:rsid w:val="00C037DB"/>
    <w:rsid w:val="00C062A5"/>
    <w:rsid w:val="00C06FDF"/>
    <w:rsid w:val="00C11CA4"/>
    <w:rsid w:val="00C12819"/>
    <w:rsid w:val="00C21DB1"/>
    <w:rsid w:val="00C226BC"/>
    <w:rsid w:val="00C24DC5"/>
    <w:rsid w:val="00C31239"/>
    <w:rsid w:val="00C36169"/>
    <w:rsid w:val="00C4168A"/>
    <w:rsid w:val="00C42933"/>
    <w:rsid w:val="00C45541"/>
    <w:rsid w:val="00C51765"/>
    <w:rsid w:val="00C540B4"/>
    <w:rsid w:val="00C61D60"/>
    <w:rsid w:val="00C63902"/>
    <w:rsid w:val="00C71524"/>
    <w:rsid w:val="00C715E3"/>
    <w:rsid w:val="00C73E6A"/>
    <w:rsid w:val="00C75972"/>
    <w:rsid w:val="00C775C4"/>
    <w:rsid w:val="00C77FE1"/>
    <w:rsid w:val="00C87EBB"/>
    <w:rsid w:val="00C90346"/>
    <w:rsid w:val="00C909BC"/>
    <w:rsid w:val="00C919F6"/>
    <w:rsid w:val="00C93EAA"/>
    <w:rsid w:val="00C9685B"/>
    <w:rsid w:val="00C97D56"/>
    <w:rsid w:val="00CA0738"/>
    <w:rsid w:val="00CA1DA1"/>
    <w:rsid w:val="00CA7324"/>
    <w:rsid w:val="00CB1F5F"/>
    <w:rsid w:val="00CB49F5"/>
    <w:rsid w:val="00CB61BD"/>
    <w:rsid w:val="00CC057F"/>
    <w:rsid w:val="00CC2AB8"/>
    <w:rsid w:val="00CC7104"/>
    <w:rsid w:val="00CD07B0"/>
    <w:rsid w:val="00CE2F37"/>
    <w:rsid w:val="00CE4FB4"/>
    <w:rsid w:val="00CF088F"/>
    <w:rsid w:val="00CF442E"/>
    <w:rsid w:val="00CF6FB9"/>
    <w:rsid w:val="00CF723E"/>
    <w:rsid w:val="00CF7F48"/>
    <w:rsid w:val="00D04DA0"/>
    <w:rsid w:val="00D06D68"/>
    <w:rsid w:val="00D14EA2"/>
    <w:rsid w:val="00D1530D"/>
    <w:rsid w:val="00D1538F"/>
    <w:rsid w:val="00D24E3A"/>
    <w:rsid w:val="00D27ECE"/>
    <w:rsid w:val="00D334B0"/>
    <w:rsid w:val="00D36082"/>
    <w:rsid w:val="00D36EA8"/>
    <w:rsid w:val="00D4043F"/>
    <w:rsid w:val="00D429BA"/>
    <w:rsid w:val="00D42F95"/>
    <w:rsid w:val="00D46834"/>
    <w:rsid w:val="00D478A9"/>
    <w:rsid w:val="00D47D3F"/>
    <w:rsid w:val="00D5314D"/>
    <w:rsid w:val="00D53303"/>
    <w:rsid w:val="00D536F3"/>
    <w:rsid w:val="00D5459B"/>
    <w:rsid w:val="00D5663C"/>
    <w:rsid w:val="00D566F8"/>
    <w:rsid w:val="00D578FB"/>
    <w:rsid w:val="00D627E6"/>
    <w:rsid w:val="00D669EF"/>
    <w:rsid w:val="00D738A9"/>
    <w:rsid w:val="00D74255"/>
    <w:rsid w:val="00D77319"/>
    <w:rsid w:val="00D80EE1"/>
    <w:rsid w:val="00D81791"/>
    <w:rsid w:val="00D846F7"/>
    <w:rsid w:val="00D864BD"/>
    <w:rsid w:val="00D91832"/>
    <w:rsid w:val="00D9225B"/>
    <w:rsid w:val="00D9325E"/>
    <w:rsid w:val="00D96530"/>
    <w:rsid w:val="00D9733D"/>
    <w:rsid w:val="00D976F6"/>
    <w:rsid w:val="00DA5F77"/>
    <w:rsid w:val="00DB26D4"/>
    <w:rsid w:val="00DB5373"/>
    <w:rsid w:val="00DC4F89"/>
    <w:rsid w:val="00DC6670"/>
    <w:rsid w:val="00DD4030"/>
    <w:rsid w:val="00DE2820"/>
    <w:rsid w:val="00DE4644"/>
    <w:rsid w:val="00DF19ED"/>
    <w:rsid w:val="00DF487C"/>
    <w:rsid w:val="00DF5A21"/>
    <w:rsid w:val="00E00FB9"/>
    <w:rsid w:val="00E0130A"/>
    <w:rsid w:val="00E0224E"/>
    <w:rsid w:val="00E22DE5"/>
    <w:rsid w:val="00E23FC1"/>
    <w:rsid w:val="00E25D7F"/>
    <w:rsid w:val="00E264A0"/>
    <w:rsid w:val="00E273F0"/>
    <w:rsid w:val="00E30531"/>
    <w:rsid w:val="00E32C3C"/>
    <w:rsid w:val="00E32F26"/>
    <w:rsid w:val="00E337B1"/>
    <w:rsid w:val="00E35104"/>
    <w:rsid w:val="00E411B9"/>
    <w:rsid w:val="00E420BA"/>
    <w:rsid w:val="00E4793D"/>
    <w:rsid w:val="00E5051F"/>
    <w:rsid w:val="00E50970"/>
    <w:rsid w:val="00E50D18"/>
    <w:rsid w:val="00E5498B"/>
    <w:rsid w:val="00E55378"/>
    <w:rsid w:val="00E643E3"/>
    <w:rsid w:val="00E65A01"/>
    <w:rsid w:val="00E67C91"/>
    <w:rsid w:val="00E75EF9"/>
    <w:rsid w:val="00E76329"/>
    <w:rsid w:val="00E76FF5"/>
    <w:rsid w:val="00E77623"/>
    <w:rsid w:val="00E778A9"/>
    <w:rsid w:val="00E81888"/>
    <w:rsid w:val="00E82794"/>
    <w:rsid w:val="00E835E2"/>
    <w:rsid w:val="00E8509D"/>
    <w:rsid w:val="00E85AE7"/>
    <w:rsid w:val="00E92040"/>
    <w:rsid w:val="00E94511"/>
    <w:rsid w:val="00EA3EAD"/>
    <w:rsid w:val="00EA46C1"/>
    <w:rsid w:val="00EB4092"/>
    <w:rsid w:val="00EB5228"/>
    <w:rsid w:val="00EC6A4F"/>
    <w:rsid w:val="00ED4642"/>
    <w:rsid w:val="00EE238C"/>
    <w:rsid w:val="00EE2EFE"/>
    <w:rsid w:val="00EF01A0"/>
    <w:rsid w:val="00EF094D"/>
    <w:rsid w:val="00F032D1"/>
    <w:rsid w:val="00F069F9"/>
    <w:rsid w:val="00F105C0"/>
    <w:rsid w:val="00F11787"/>
    <w:rsid w:val="00F11D92"/>
    <w:rsid w:val="00F127DD"/>
    <w:rsid w:val="00F13993"/>
    <w:rsid w:val="00F141C1"/>
    <w:rsid w:val="00F14793"/>
    <w:rsid w:val="00F20A2D"/>
    <w:rsid w:val="00F25EB1"/>
    <w:rsid w:val="00F267A3"/>
    <w:rsid w:val="00F3724C"/>
    <w:rsid w:val="00F4055D"/>
    <w:rsid w:val="00F43294"/>
    <w:rsid w:val="00F53446"/>
    <w:rsid w:val="00F63CB5"/>
    <w:rsid w:val="00F65161"/>
    <w:rsid w:val="00F70D36"/>
    <w:rsid w:val="00F719BD"/>
    <w:rsid w:val="00F74A59"/>
    <w:rsid w:val="00F75223"/>
    <w:rsid w:val="00F7670D"/>
    <w:rsid w:val="00F773A1"/>
    <w:rsid w:val="00F9018C"/>
    <w:rsid w:val="00F92184"/>
    <w:rsid w:val="00F95C86"/>
    <w:rsid w:val="00F96B78"/>
    <w:rsid w:val="00F96D49"/>
    <w:rsid w:val="00FA1F8C"/>
    <w:rsid w:val="00FB062A"/>
    <w:rsid w:val="00FB5C3D"/>
    <w:rsid w:val="00FC0431"/>
    <w:rsid w:val="00FC1810"/>
    <w:rsid w:val="00FC2A7A"/>
    <w:rsid w:val="00FC3181"/>
    <w:rsid w:val="00FC3550"/>
    <w:rsid w:val="00FC3705"/>
    <w:rsid w:val="00FC386D"/>
    <w:rsid w:val="00FC599D"/>
    <w:rsid w:val="00FD094B"/>
    <w:rsid w:val="00FD2B76"/>
    <w:rsid w:val="00FD3DCB"/>
    <w:rsid w:val="00FD6A3B"/>
    <w:rsid w:val="00FD7CBC"/>
    <w:rsid w:val="00FE44F9"/>
    <w:rsid w:val="00FF21A4"/>
    <w:rsid w:val="00FF3EA3"/>
    <w:rsid w:val="7B4C0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625DF"/>
  <w15:chartTrackingRefBased/>
  <w15:docId w15:val="{B3EE8120-72C6-4271-A0CC-88466378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44"/>
    <w:pPr>
      <w:spacing w:after="0" w:line="480" w:lineRule="auto"/>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F141C1"/>
    <w:pPr>
      <w:keepNext/>
      <w:keepLines/>
      <w:spacing w:before="240"/>
      <w:ind w:firstLine="0"/>
      <w:jc w:val="center"/>
      <w:outlineLvl w:val="0"/>
    </w:pPr>
    <w:rPr>
      <w:rFonts w:eastAsiaTheme="majorEastAsia"/>
      <w:b/>
      <w:bCs/>
      <w:sz w:val="32"/>
      <w:szCs w:val="32"/>
    </w:rPr>
  </w:style>
  <w:style w:type="paragraph" w:styleId="Heading2">
    <w:name w:val="heading 2"/>
    <w:basedOn w:val="Normal"/>
    <w:next w:val="Normal"/>
    <w:link w:val="Heading2Char"/>
    <w:uiPriority w:val="9"/>
    <w:unhideWhenUsed/>
    <w:qFormat/>
    <w:rsid w:val="00EE238C"/>
    <w:pPr>
      <w:keepNext/>
      <w:keepLines/>
      <w:ind w:firstLine="0"/>
      <w:jc w:val="center"/>
      <w:outlineLvl w:val="1"/>
    </w:pPr>
    <w:rPr>
      <w:rFonts w:eastAsiaTheme="majorEastAsia" w:cstheme="minorHAnsi"/>
      <w:b/>
      <w:bCs/>
      <w:noProof/>
      <w:sz w:val="28"/>
      <w:szCs w:val="28"/>
    </w:rPr>
  </w:style>
  <w:style w:type="paragraph" w:styleId="Heading3">
    <w:name w:val="heading 3"/>
    <w:basedOn w:val="Normal"/>
    <w:next w:val="Normal"/>
    <w:link w:val="Heading3Char"/>
    <w:uiPriority w:val="9"/>
    <w:unhideWhenUsed/>
    <w:qFormat/>
    <w:rsid w:val="00EE238C"/>
    <w:pPr>
      <w:keepNext/>
      <w:keepLines/>
      <w:spacing w:before="40"/>
      <w:ind w:firstLine="0"/>
      <w:outlineLvl w:val="2"/>
    </w:pPr>
    <w:rPr>
      <w:rFonts w:eastAsiaTheme="majorEastAsia" w:cstheme="minorHAnsi"/>
      <w:b/>
      <w:bCs/>
    </w:rPr>
  </w:style>
  <w:style w:type="paragraph" w:styleId="Heading4">
    <w:name w:val="heading 4"/>
    <w:basedOn w:val="Normal"/>
    <w:next w:val="Normal"/>
    <w:link w:val="Heading4Char"/>
    <w:uiPriority w:val="9"/>
    <w:unhideWhenUsed/>
    <w:qFormat/>
    <w:rsid w:val="00F75223"/>
    <w:pPr>
      <w:keepNext/>
      <w:keepLines/>
      <w:spacing w:before="40"/>
      <w:outlineLvl w:val="3"/>
    </w:pPr>
    <w:rPr>
      <w:rFonts w:eastAsiaTheme="majorEastAsia"/>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E238C"/>
    <w:rPr>
      <w:rFonts w:ascii="Times New Roman" w:eastAsiaTheme="majorEastAsia" w:hAnsi="Times New Roman" w:cstheme="minorHAnsi"/>
      <w:b/>
      <w:bCs/>
      <w:noProof/>
      <w:sz w:val="28"/>
      <w:szCs w:val="28"/>
    </w:rPr>
  </w:style>
  <w:style w:type="character" w:customStyle="1" w:styleId="Heading3Char">
    <w:name w:val="Heading 3 Char"/>
    <w:basedOn w:val="DefaultParagraphFont"/>
    <w:link w:val="Heading3"/>
    <w:uiPriority w:val="9"/>
    <w:rsid w:val="00EE238C"/>
    <w:rPr>
      <w:rFonts w:ascii="Times New Roman" w:eastAsiaTheme="majorEastAsia" w:hAnsi="Times New Roman" w:cstheme="minorHAnsi"/>
      <w:b/>
      <w:bCs/>
      <w:sz w:val="24"/>
      <w:szCs w:val="24"/>
    </w:rPr>
  </w:style>
  <w:style w:type="paragraph" w:styleId="ListParagraph">
    <w:name w:val="List Paragraph"/>
    <w:basedOn w:val="Normal"/>
    <w:uiPriority w:val="34"/>
    <w:qFormat/>
    <w:rsid w:val="00F7670D"/>
    <w:pPr>
      <w:ind w:left="720"/>
      <w:contextualSpacing/>
    </w:pPr>
  </w:style>
  <w:style w:type="character" w:styleId="CommentReference">
    <w:name w:val="annotation reference"/>
    <w:basedOn w:val="DefaultParagraphFont"/>
    <w:uiPriority w:val="99"/>
    <w:semiHidden/>
    <w:unhideWhenUsed/>
    <w:rsid w:val="00E273F0"/>
    <w:rPr>
      <w:sz w:val="16"/>
      <w:szCs w:val="16"/>
    </w:rPr>
  </w:style>
  <w:style w:type="paragraph" w:styleId="CommentText">
    <w:name w:val="annotation text"/>
    <w:basedOn w:val="Normal"/>
    <w:link w:val="CommentTextChar"/>
    <w:uiPriority w:val="99"/>
    <w:unhideWhenUsed/>
    <w:rsid w:val="00E273F0"/>
    <w:pPr>
      <w:spacing w:line="240" w:lineRule="auto"/>
    </w:pPr>
    <w:rPr>
      <w:sz w:val="20"/>
      <w:szCs w:val="20"/>
    </w:rPr>
  </w:style>
  <w:style w:type="character" w:customStyle="1" w:styleId="CommentTextChar">
    <w:name w:val="Comment Text Char"/>
    <w:basedOn w:val="DefaultParagraphFont"/>
    <w:link w:val="CommentText"/>
    <w:uiPriority w:val="99"/>
    <w:rsid w:val="00E273F0"/>
    <w:rPr>
      <w:sz w:val="20"/>
      <w:szCs w:val="20"/>
    </w:rPr>
  </w:style>
  <w:style w:type="paragraph" w:styleId="CommentSubject">
    <w:name w:val="annotation subject"/>
    <w:basedOn w:val="CommentText"/>
    <w:next w:val="CommentText"/>
    <w:link w:val="CommentSubjectChar"/>
    <w:uiPriority w:val="99"/>
    <w:semiHidden/>
    <w:unhideWhenUsed/>
    <w:rsid w:val="00E273F0"/>
    <w:rPr>
      <w:b/>
      <w:bCs/>
    </w:rPr>
  </w:style>
  <w:style w:type="character" w:customStyle="1" w:styleId="CommentSubjectChar">
    <w:name w:val="Comment Subject Char"/>
    <w:basedOn w:val="CommentTextChar"/>
    <w:link w:val="CommentSubject"/>
    <w:uiPriority w:val="99"/>
    <w:semiHidden/>
    <w:rsid w:val="00E273F0"/>
    <w:rPr>
      <w:b/>
      <w:bCs/>
      <w:sz w:val="20"/>
      <w:szCs w:val="20"/>
    </w:rPr>
  </w:style>
  <w:style w:type="paragraph" w:styleId="BalloonText">
    <w:name w:val="Balloon Text"/>
    <w:basedOn w:val="Normal"/>
    <w:link w:val="BalloonTextChar"/>
    <w:uiPriority w:val="99"/>
    <w:semiHidden/>
    <w:unhideWhenUsed/>
    <w:rsid w:val="00E273F0"/>
    <w:pPr>
      <w:spacing w:line="240" w:lineRule="auto"/>
    </w:pPr>
    <w:rPr>
      <w:sz w:val="18"/>
      <w:szCs w:val="18"/>
    </w:rPr>
  </w:style>
  <w:style w:type="character" w:customStyle="1" w:styleId="BalloonTextChar">
    <w:name w:val="Balloon Text Char"/>
    <w:basedOn w:val="DefaultParagraphFont"/>
    <w:link w:val="BalloonText"/>
    <w:uiPriority w:val="99"/>
    <w:semiHidden/>
    <w:rsid w:val="00E273F0"/>
    <w:rPr>
      <w:rFonts w:ascii="Times New Roman" w:hAnsi="Times New Roman" w:cs="Times New Roman"/>
      <w:sz w:val="18"/>
      <w:szCs w:val="18"/>
    </w:rPr>
  </w:style>
  <w:style w:type="paragraph" w:styleId="FootnoteText">
    <w:name w:val="footnote text"/>
    <w:basedOn w:val="Normal"/>
    <w:link w:val="FootnoteTextChar"/>
    <w:uiPriority w:val="99"/>
    <w:unhideWhenUsed/>
    <w:rsid w:val="00483198"/>
    <w:pPr>
      <w:spacing w:line="240" w:lineRule="auto"/>
    </w:pPr>
    <w:rPr>
      <w:sz w:val="20"/>
      <w:szCs w:val="20"/>
    </w:rPr>
  </w:style>
  <w:style w:type="character" w:customStyle="1" w:styleId="FootnoteTextChar">
    <w:name w:val="Footnote Text Char"/>
    <w:basedOn w:val="DefaultParagraphFont"/>
    <w:link w:val="FootnoteText"/>
    <w:uiPriority w:val="99"/>
    <w:rsid w:val="00483198"/>
    <w:rPr>
      <w:sz w:val="20"/>
      <w:szCs w:val="20"/>
    </w:rPr>
  </w:style>
  <w:style w:type="character" w:styleId="FootnoteReference">
    <w:name w:val="footnote reference"/>
    <w:basedOn w:val="DefaultParagraphFont"/>
    <w:uiPriority w:val="99"/>
    <w:semiHidden/>
    <w:unhideWhenUsed/>
    <w:rsid w:val="00483198"/>
    <w:rPr>
      <w:vertAlign w:val="superscript"/>
    </w:rPr>
  </w:style>
  <w:style w:type="character" w:customStyle="1" w:styleId="Heading4Char">
    <w:name w:val="Heading 4 Char"/>
    <w:basedOn w:val="DefaultParagraphFont"/>
    <w:link w:val="Heading4"/>
    <w:uiPriority w:val="9"/>
    <w:rsid w:val="00F75223"/>
    <w:rPr>
      <w:rFonts w:ascii="Times New Roman" w:eastAsiaTheme="majorEastAsia" w:hAnsi="Times New Roman" w:cs="Times New Roman"/>
      <w:i/>
      <w:iCs/>
      <w:sz w:val="24"/>
      <w:szCs w:val="24"/>
    </w:rPr>
  </w:style>
  <w:style w:type="character" w:customStyle="1" w:styleId="label">
    <w:name w:val="label"/>
    <w:basedOn w:val="DefaultParagraphFont"/>
    <w:rsid w:val="00191F5B"/>
  </w:style>
  <w:style w:type="paragraph" w:styleId="Header">
    <w:name w:val="header"/>
    <w:basedOn w:val="Normal"/>
    <w:link w:val="HeaderChar"/>
    <w:uiPriority w:val="99"/>
    <w:unhideWhenUsed/>
    <w:rsid w:val="00500840"/>
    <w:pPr>
      <w:tabs>
        <w:tab w:val="center" w:pos="4680"/>
        <w:tab w:val="right" w:pos="9360"/>
      </w:tabs>
      <w:spacing w:line="240" w:lineRule="auto"/>
    </w:pPr>
  </w:style>
  <w:style w:type="character" w:customStyle="1" w:styleId="HeaderChar">
    <w:name w:val="Header Char"/>
    <w:basedOn w:val="DefaultParagraphFont"/>
    <w:link w:val="Header"/>
    <w:uiPriority w:val="99"/>
    <w:rsid w:val="00500840"/>
    <w:rPr>
      <w:rFonts w:ascii="Times New Roman" w:hAnsi="Times New Roman" w:cs="Times New Roman"/>
      <w:sz w:val="24"/>
      <w:szCs w:val="24"/>
    </w:rPr>
  </w:style>
  <w:style w:type="paragraph" w:styleId="Footer">
    <w:name w:val="footer"/>
    <w:basedOn w:val="Normal"/>
    <w:link w:val="FooterChar"/>
    <w:uiPriority w:val="99"/>
    <w:unhideWhenUsed/>
    <w:rsid w:val="00500840"/>
    <w:pPr>
      <w:tabs>
        <w:tab w:val="center" w:pos="4680"/>
        <w:tab w:val="right" w:pos="9360"/>
      </w:tabs>
      <w:spacing w:line="240" w:lineRule="auto"/>
    </w:pPr>
  </w:style>
  <w:style w:type="character" w:customStyle="1" w:styleId="FooterChar">
    <w:name w:val="Footer Char"/>
    <w:basedOn w:val="DefaultParagraphFont"/>
    <w:link w:val="Footer"/>
    <w:uiPriority w:val="99"/>
    <w:rsid w:val="00500840"/>
    <w:rPr>
      <w:rFonts w:ascii="Times New Roman" w:hAnsi="Times New Roman" w:cs="Times New Roman"/>
      <w:sz w:val="24"/>
      <w:szCs w:val="24"/>
    </w:rPr>
  </w:style>
  <w:style w:type="character" w:styleId="Hyperlink">
    <w:name w:val="Hyperlink"/>
    <w:basedOn w:val="DefaultParagraphFont"/>
    <w:uiPriority w:val="99"/>
    <w:unhideWhenUsed/>
    <w:rsid w:val="008020FD"/>
    <w:rPr>
      <w:color w:val="0000FF"/>
      <w:u w:val="single"/>
    </w:rPr>
  </w:style>
  <w:style w:type="paragraph" w:styleId="Revision">
    <w:name w:val="Revision"/>
    <w:hidden/>
    <w:uiPriority w:val="99"/>
    <w:semiHidden/>
    <w:rsid w:val="00727A15"/>
    <w:pPr>
      <w:spacing w:after="0" w:line="240" w:lineRule="auto"/>
    </w:pPr>
    <w:rPr>
      <w:rFonts w:ascii="Times New Roman" w:hAnsi="Times New Roman" w:cs="Times New Roman"/>
      <w:sz w:val="24"/>
      <w:szCs w:val="24"/>
    </w:rPr>
  </w:style>
  <w:style w:type="character" w:styleId="Emphasis">
    <w:name w:val="Emphasis"/>
    <w:basedOn w:val="DefaultParagraphFont"/>
    <w:uiPriority w:val="20"/>
    <w:qFormat/>
    <w:rsid w:val="00727A15"/>
    <w:rPr>
      <w:i/>
      <w:iCs/>
    </w:rPr>
  </w:style>
  <w:style w:type="character" w:customStyle="1" w:styleId="Heading1Char">
    <w:name w:val="Heading 1 Char"/>
    <w:basedOn w:val="DefaultParagraphFont"/>
    <w:link w:val="Heading1"/>
    <w:uiPriority w:val="9"/>
    <w:rsid w:val="00F141C1"/>
    <w:rPr>
      <w:rFonts w:ascii="Times New Roman" w:eastAsiaTheme="majorEastAsia" w:hAnsi="Times New Roman" w:cs="Times New Roman"/>
      <w:b/>
      <w:bCs/>
      <w:sz w:val="32"/>
      <w:szCs w:val="32"/>
    </w:rPr>
  </w:style>
  <w:style w:type="character" w:customStyle="1" w:styleId="UnresolvedMention1">
    <w:name w:val="Unresolved Mention1"/>
    <w:basedOn w:val="DefaultParagraphFont"/>
    <w:uiPriority w:val="99"/>
    <w:semiHidden/>
    <w:unhideWhenUsed/>
    <w:rsid w:val="00F141C1"/>
    <w:rPr>
      <w:color w:val="605E5C"/>
      <w:shd w:val="clear" w:color="auto" w:fill="E1DFDD"/>
    </w:rPr>
  </w:style>
  <w:style w:type="character" w:styleId="LineNumber">
    <w:name w:val="line number"/>
    <w:basedOn w:val="DefaultParagraphFont"/>
    <w:uiPriority w:val="99"/>
    <w:semiHidden/>
    <w:unhideWhenUsed/>
    <w:rsid w:val="009E5AD9"/>
  </w:style>
  <w:style w:type="character" w:styleId="FollowedHyperlink">
    <w:name w:val="FollowedHyperlink"/>
    <w:basedOn w:val="DefaultParagraphFont"/>
    <w:uiPriority w:val="99"/>
    <w:semiHidden/>
    <w:unhideWhenUsed/>
    <w:rsid w:val="001E1D01"/>
    <w:rPr>
      <w:color w:val="954F72" w:themeColor="followedHyperlink"/>
      <w:u w:val="single"/>
    </w:rPr>
  </w:style>
  <w:style w:type="character" w:styleId="UnresolvedMention">
    <w:name w:val="Unresolved Mention"/>
    <w:basedOn w:val="DefaultParagraphFont"/>
    <w:uiPriority w:val="99"/>
    <w:semiHidden/>
    <w:unhideWhenUsed/>
    <w:rsid w:val="00846E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361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sf.io/u8k29"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osf.io/u8k29"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d.monroy@keele.ac.uk" TargetMode="External"/><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1FA80D05D95243897F5E6FCC036939" ma:contentTypeVersion="4" ma:contentTypeDescription="Create a new document." ma:contentTypeScope="" ma:versionID="7bbab88833821db16ae04380fc1e0198">
  <xsd:schema xmlns:xsd="http://www.w3.org/2001/XMLSchema" xmlns:xs="http://www.w3.org/2001/XMLSchema" xmlns:p="http://schemas.microsoft.com/office/2006/metadata/properties" xmlns:ns3="d397948b-3804-428d-bdfd-e787377d6d5c" targetNamespace="http://schemas.microsoft.com/office/2006/metadata/properties" ma:root="true" ma:fieldsID="ea4ba84748c1bb69a90310a167594859" ns3:_="">
    <xsd:import namespace="d397948b-3804-428d-bdfd-e787377d6d5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7948b-3804-428d-bdfd-e787377d6d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93EDE-C0F1-4609-B316-AE693DFA07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D6B484-4A41-43CF-8E4A-ED0706BF9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7948b-3804-428d-bdfd-e787377d6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C7C4F8-1513-4370-8501-0EBC82A53C62}">
  <ds:schemaRefs>
    <ds:schemaRef ds:uri="http://schemas.microsoft.com/sharepoint/v3/contenttype/forms"/>
  </ds:schemaRefs>
</ds:datastoreItem>
</file>

<file path=customXml/itemProps4.xml><?xml version="1.0" encoding="utf-8"?>
<ds:datastoreItem xmlns:ds="http://schemas.openxmlformats.org/officeDocument/2006/customXml" ds:itemID="{0277EFC1-EA14-4B4F-9961-D698EA40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22720</Words>
  <Characters>129508</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Monroy</dc:creator>
  <cp:keywords/>
  <dc:description/>
  <cp:lastModifiedBy>Claire Monroy</cp:lastModifiedBy>
  <cp:revision>2</cp:revision>
  <dcterms:created xsi:type="dcterms:W3CDTF">2022-04-19T14:17:00Z</dcterms:created>
  <dcterms:modified xsi:type="dcterms:W3CDTF">2022-04-19T14:17:00Z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http://csl.mendeley.com/styles/474835111/apa</vt:lpwstr>
  </property>
  <property fmtid="{D5CDD505-2E9C-101B-9397-08002B2CF9AE}" pid="5" name="Mendeley Recent Style Name 1_1">
    <vt:lpwstr>American Psychological Association 6th edition - Claire Monroy - Postdoctoral Fellow Claire Monroy</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fbc64956-95bc-3383-952a-1962bca567f5</vt:lpwstr>
  </property>
  <property fmtid="{D5CDD505-2E9C-101B-9397-08002B2CF9AE}" pid="24" name="Mendeley Citation Style_1">
    <vt:lpwstr>http://csl.mendeley.com/styles/474835111/apa</vt:lpwstr>
  </property>
  <property fmtid="{D5CDD505-2E9C-101B-9397-08002B2CF9AE}" pid="25" name="ContentTypeId">
    <vt:lpwstr>0x0101005B1FA80D05D95243897F5E6FCC036939</vt:lpwstr>
  </property>
</Properties>
</file>