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DFC62" w14:textId="6218C778" w:rsidR="00417207" w:rsidRDefault="00D254DD" w:rsidP="00D254DD">
      <w:pPr>
        <w:spacing w:line="240" w:lineRule="auto"/>
        <w:jc w:val="center"/>
        <w:rPr>
          <w:rFonts w:ascii="Times New Roman" w:hAnsi="Times New Roman"/>
          <w:b/>
          <w:sz w:val="24"/>
          <w:szCs w:val="24"/>
        </w:rPr>
      </w:pPr>
      <w:r w:rsidRPr="00D254DD">
        <w:rPr>
          <w:rFonts w:ascii="Times New Roman" w:hAnsi="Times New Roman"/>
          <w:b/>
          <w:sz w:val="24"/>
          <w:szCs w:val="24"/>
        </w:rPr>
        <w:t xml:space="preserve">Long Term Prognostic Impact of Sex-specific Longitudinal Changes in Blood Pressure.  </w:t>
      </w:r>
    </w:p>
    <w:p w14:paraId="18CB510A" w14:textId="264E8AD7" w:rsidR="00BC48E9" w:rsidRDefault="00417207" w:rsidP="00BC48E9">
      <w:pPr>
        <w:spacing w:line="240" w:lineRule="auto"/>
        <w:jc w:val="center"/>
        <w:rPr>
          <w:rFonts w:ascii="Times New Roman" w:hAnsi="Times New Roman"/>
          <w:b/>
          <w:sz w:val="24"/>
          <w:szCs w:val="24"/>
        </w:rPr>
      </w:pPr>
      <w:r>
        <w:rPr>
          <w:rFonts w:ascii="Times New Roman" w:hAnsi="Times New Roman"/>
          <w:b/>
          <w:sz w:val="24"/>
          <w:szCs w:val="24"/>
        </w:rPr>
        <w:t>T</w:t>
      </w:r>
      <w:r w:rsidR="00180ED7">
        <w:rPr>
          <w:rFonts w:ascii="Times New Roman" w:hAnsi="Times New Roman"/>
          <w:b/>
          <w:sz w:val="24"/>
          <w:szCs w:val="24"/>
        </w:rPr>
        <w:t xml:space="preserve">he </w:t>
      </w:r>
      <w:r w:rsidR="00827434" w:rsidRPr="00AF17B3">
        <w:rPr>
          <w:rFonts w:ascii="Times New Roman" w:hAnsi="Times New Roman"/>
          <w:b/>
          <w:sz w:val="24"/>
          <w:szCs w:val="24"/>
        </w:rPr>
        <w:t xml:space="preserve">EPIC-Norfolk Prospective </w:t>
      </w:r>
      <w:r w:rsidR="009445D1">
        <w:rPr>
          <w:rFonts w:ascii="Times New Roman" w:hAnsi="Times New Roman"/>
          <w:b/>
          <w:sz w:val="24"/>
          <w:szCs w:val="24"/>
        </w:rPr>
        <w:t xml:space="preserve">Population </w:t>
      </w:r>
      <w:r w:rsidR="00827434" w:rsidRPr="00AF17B3">
        <w:rPr>
          <w:rFonts w:ascii="Times New Roman" w:hAnsi="Times New Roman"/>
          <w:b/>
          <w:sz w:val="24"/>
          <w:szCs w:val="24"/>
        </w:rPr>
        <w:t xml:space="preserve">Cohort </w:t>
      </w:r>
      <w:r w:rsidR="00C604F2" w:rsidRPr="00AF17B3">
        <w:rPr>
          <w:rFonts w:ascii="Times New Roman" w:hAnsi="Times New Roman"/>
          <w:b/>
          <w:sz w:val="24"/>
          <w:szCs w:val="24"/>
        </w:rPr>
        <w:t>S</w:t>
      </w:r>
      <w:r w:rsidR="00827434" w:rsidRPr="00AF17B3">
        <w:rPr>
          <w:rFonts w:ascii="Times New Roman" w:hAnsi="Times New Roman"/>
          <w:b/>
          <w:sz w:val="24"/>
          <w:szCs w:val="24"/>
        </w:rPr>
        <w:t>tudy</w:t>
      </w:r>
      <w:r w:rsidR="00FC63AC">
        <w:rPr>
          <w:rFonts w:ascii="Times New Roman" w:hAnsi="Times New Roman"/>
          <w:b/>
          <w:sz w:val="24"/>
          <w:szCs w:val="24"/>
        </w:rPr>
        <w:t xml:space="preserve"> </w:t>
      </w:r>
    </w:p>
    <w:p w14:paraId="4EE8BF6E" w14:textId="77777777" w:rsidR="00BC48E9" w:rsidRPr="00AF17B3" w:rsidRDefault="00BC48E9" w:rsidP="00BC48E9">
      <w:pPr>
        <w:spacing w:line="240" w:lineRule="auto"/>
        <w:jc w:val="center"/>
        <w:rPr>
          <w:rFonts w:ascii="Times New Roman" w:hAnsi="Times New Roman"/>
          <w:b/>
          <w:sz w:val="24"/>
          <w:szCs w:val="24"/>
        </w:rPr>
      </w:pPr>
    </w:p>
    <w:p w14:paraId="3EA4AF80" w14:textId="29067F0B" w:rsidR="002018AD" w:rsidRPr="00372862" w:rsidRDefault="00E71208" w:rsidP="0080752B">
      <w:pPr>
        <w:spacing w:line="240" w:lineRule="auto"/>
        <w:rPr>
          <w:rFonts w:ascii="Times New Roman" w:hAnsi="Times New Roman"/>
          <w:sz w:val="24"/>
          <w:szCs w:val="24"/>
        </w:rPr>
      </w:pPr>
      <w:r w:rsidRPr="00372862">
        <w:rPr>
          <w:rFonts w:ascii="Times New Roman" w:hAnsi="Times New Roman"/>
          <w:sz w:val="24"/>
          <w:szCs w:val="24"/>
        </w:rPr>
        <w:t>Tiberiu A Pana</w:t>
      </w:r>
      <w:r w:rsidR="002018AD" w:rsidRPr="00372862">
        <w:rPr>
          <w:rFonts w:ascii="Times New Roman" w:hAnsi="Times New Roman"/>
          <w:sz w:val="24"/>
          <w:szCs w:val="24"/>
          <w:vertAlign w:val="superscript"/>
        </w:rPr>
        <w:t>1</w:t>
      </w:r>
      <w:r w:rsidR="00E83451" w:rsidRPr="00372862">
        <w:rPr>
          <w:rFonts w:ascii="Times New Roman" w:hAnsi="Times New Roman"/>
          <w:sz w:val="24"/>
          <w:szCs w:val="24"/>
          <w:vertAlign w:val="superscript"/>
        </w:rPr>
        <w:t>,2</w:t>
      </w:r>
      <w:r w:rsidR="00C604F2" w:rsidRPr="00372862">
        <w:rPr>
          <w:rFonts w:ascii="Times New Roman" w:hAnsi="Times New Roman"/>
          <w:sz w:val="24"/>
          <w:szCs w:val="24"/>
        </w:rPr>
        <w:t>, MRes (</w:t>
      </w:r>
      <w:r w:rsidR="00C604F2" w:rsidRPr="00372862">
        <w:rPr>
          <w:rFonts w:ascii="Times New Roman" w:hAnsi="Times New Roman"/>
          <w:i/>
          <w:iCs/>
          <w:sz w:val="24"/>
          <w:szCs w:val="24"/>
        </w:rPr>
        <w:t>Research Associate</w:t>
      </w:r>
      <w:r w:rsidR="00C604F2" w:rsidRPr="00372862">
        <w:rPr>
          <w:rFonts w:ascii="Times New Roman" w:hAnsi="Times New Roman"/>
          <w:sz w:val="24"/>
          <w:szCs w:val="24"/>
        </w:rPr>
        <w:t xml:space="preserve">); </w:t>
      </w:r>
      <w:r w:rsidR="005D347D" w:rsidRPr="00372862">
        <w:rPr>
          <w:rFonts w:ascii="Times New Roman" w:hAnsi="Times New Roman"/>
          <w:sz w:val="24"/>
          <w:szCs w:val="24"/>
        </w:rPr>
        <w:t>Robert N. Luben</w:t>
      </w:r>
      <w:r w:rsidR="00C604F2" w:rsidRPr="00372862">
        <w:rPr>
          <w:rFonts w:ascii="Times New Roman" w:hAnsi="Times New Roman"/>
          <w:sz w:val="24"/>
          <w:szCs w:val="24"/>
          <w:vertAlign w:val="superscript"/>
        </w:rPr>
        <w:t>3</w:t>
      </w:r>
      <w:r w:rsidR="00C604F2" w:rsidRPr="00372862">
        <w:rPr>
          <w:rFonts w:ascii="Times New Roman" w:hAnsi="Times New Roman"/>
          <w:sz w:val="24"/>
          <w:szCs w:val="24"/>
        </w:rPr>
        <w:t>, PhD (</w:t>
      </w:r>
      <w:r w:rsidR="00FC63AC" w:rsidRPr="00547170">
        <w:rPr>
          <w:rFonts w:ascii="Times New Roman" w:hAnsi="Times New Roman"/>
          <w:i/>
          <w:iCs/>
          <w:sz w:val="24"/>
          <w:szCs w:val="24"/>
        </w:rPr>
        <w:t>Senior Research Associate</w:t>
      </w:r>
      <w:r w:rsidR="00C604F2" w:rsidRPr="00372862">
        <w:rPr>
          <w:rFonts w:ascii="Times New Roman" w:hAnsi="Times New Roman"/>
          <w:sz w:val="24"/>
          <w:szCs w:val="24"/>
        </w:rPr>
        <w:t>);</w:t>
      </w:r>
      <w:r w:rsidR="005D347D" w:rsidRPr="00372862">
        <w:rPr>
          <w:rFonts w:ascii="Times New Roman" w:hAnsi="Times New Roman"/>
          <w:sz w:val="24"/>
          <w:szCs w:val="24"/>
        </w:rPr>
        <w:t xml:space="preserve"> Mamas A. Mamas</w:t>
      </w:r>
      <w:r w:rsidR="00C604F2" w:rsidRPr="00372862">
        <w:rPr>
          <w:rFonts w:ascii="Times New Roman" w:hAnsi="Times New Roman"/>
          <w:sz w:val="24"/>
          <w:szCs w:val="24"/>
          <w:vertAlign w:val="superscript"/>
        </w:rPr>
        <w:t>4</w:t>
      </w:r>
      <w:r w:rsidR="00C604F2" w:rsidRPr="00372862">
        <w:rPr>
          <w:rFonts w:ascii="Times New Roman" w:hAnsi="Times New Roman"/>
          <w:sz w:val="24"/>
          <w:szCs w:val="24"/>
        </w:rPr>
        <w:t>, DPhil (</w:t>
      </w:r>
      <w:r w:rsidR="00547170">
        <w:rPr>
          <w:rFonts w:ascii="Times New Roman" w:hAnsi="Times New Roman"/>
          <w:i/>
          <w:iCs/>
          <w:sz w:val="24"/>
          <w:szCs w:val="24"/>
        </w:rPr>
        <w:t>Professor</w:t>
      </w:r>
      <w:r w:rsidR="00C604F2" w:rsidRPr="00372862">
        <w:rPr>
          <w:rFonts w:ascii="Times New Roman" w:hAnsi="Times New Roman"/>
          <w:i/>
          <w:iCs/>
          <w:sz w:val="24"/>
          <w:szCs w:val="24"/>
        </w:rPr>
        <w:t xml:space="preserve"> of Cardiology</w:t>
      </w:r>
      <w:r w:rsidR="00C604F2" w:rsidRPr="00372862">
        <w:rPr>
          <w:rFonts w:ascii="Times New Roman" w:hAnsi="Times New Roman"/>
          <w:sz w:val="24"/>
          <w:szCs w:val="24"/>
        </w:rPr>
        <w:t>);</w:t>
      </w:r>
      <w:r w:rsidR="00FA2A1B" w:rsidRPr="00372862">
        <w:rPr>
          <w:rFonts w:ascii="Times New Roman" w:hAnsi="Times New Roman"/>
          <w:sz w:val="24"/>
          <w:szCs w:val="24"/>
        </w:rPr>
        <w:t xml:space="preserve"> John</w:t>
      </w:r>
      <w:r w:rsidR="00223E58" w:rsidRPr="00372862">
        <w:rPr>
          <w:rFonts w:ascii="Times New Roman" w:hAnsi="Times New Roman"/>
          <w:sz w:val="24"/>
          <w:szCs w:val="24"/>
        </w:rPr>
        <w:t xml:space="preserve"> </w:t>
      </w:r>
      <w:r w:rsidR="00FA2A1B" w:rsidRPr="00372862">
        <w:rPr>
          <w:rFonts w:ascii="Times New Roman" w:hAnsi="Times New Roman"/>
          <w:sz w:val="24"/>
          <w:szCs w:val="24"/>
        </w:rPr>
        <w:t>F. Potter</w:t>
      </w:r>
      <w:r w:rsidR="00FA2A1B" w:rsidRPr="00372862">
        <w:rPr>
          <w:rFonts w:ascii="Times New Roman" w:hAnsi="Times New Roman"/>
          <w:sz w:val="24"/>
          <w:szCs w:val="24"/>
          <w:vertAlign w:val="superscript"/>
        </w:rPr>
        <w:t>5,6</w:t>
      </w:r>
      <w:r w:rsidR="00FA2A1B" w:rsidRPr="00372862">
        <w:rPr>
          <w:rFonts w:ascii="Times New Roman" w:hAnsi="Times New Roman"/>
          <w:sz w:val="24"/>
          <w:szCs w:val="24"/>
        </w:rPr>
        <w:t>, MD (</w:t>
      </w:r>
      <w:r w:rsidR="00547170">
        <w:rPr>
          <w:rFonts w:ascii="Times New Roman" w:hAnsi="Times New Roman"/>
          <w:i/>
          <w:iCs/>
          <w:sz w:val="24"/>
          <w:szCs w:val="24"/>
        </w:rPr>
        <w:t>Professor</w:t>
      </w:r>
      <w:r w:rsidR="00547170" w:rsidRPr="00372862">
        <w:rPr>
          <w:rFonts w:ascii="Times New Roman" w:hAnsi="Times New Roman"/>
          <w:i/>
          <w:iCs/>
          <w:sz w:val="24"/>
          <w:szCs w:val="24"/>
        </w:rPr>
        <w:t xml:space="preserve"> </w:t>
      </w:r>
      <w:r w:rsidR="009445D1">
        <w:rPr>
          <w:rFonts w:ascii="Times New Roman" w:hAnsi="Times New Roman"/>
          <w:i/>
          <w:iCs/>
          <w:sz w:val="24"/>
          <w:szCs w:val="24"/>
        </w:rPr>
        <w:t>of Ageing &amp; Stroke Medicine</w:t>
      </w:r>
      <w:r w:rsidR="00FA2A1B" w:rsidRPr="00372862">
        <w:rPr>
          <w:rFonts w:ascii="Times New Roman" w:hAnsi="Times New Roman"/>
          <w:sz w:val="24"/>
          <w:szCs w:val="24"/>
        </w:rPr>
        <w:t>);</w:t>
      </w:r>
      <w:r w:rsidR="005D347D" w:rsidRPr="00372862">
        <w:rPr>
          <w:rFonts w:ascii="Times New Roman" w:hAnsi="Times New Roman"/>
          <w:sz w:val="24"/>
          <w:szCs w:val="24"/>
        </w:rPr>
        <w:t xml:space="preserve"> </w:t>
      </w:r>
      <w:r w:rsidR="00FC63AC">
        <w:rPr>
          <w:rFonts w:ascii="Times New Roman" w:hAnsi="Times New Roman"/>
          <w:sz w:val="24"/>
          <w:szCs w:val="24"/>
        </w:rPr>
        <w:t>Nicholas J Wareham</w:t>
      </w:r>
      <w:r w:rsidR="009445D1">
        <w:rPr>
          <w:rFonts w:ascii="Times New Roman" w:hAnsi="Times New Roman"/>
          <w:sz w:val="24"/>
          <w:szCs w:val="24"/>
          <w:vertAlign w:val="superscript"/>
        </w:rPr>
        <w:t>7</w:t>
      </w:r>
      <w:r w:rsidR="00FC63AC">
        <w:rPr>
          <w:rFonts w:ascii="Times New Roman" w:hAnsi="Times New Roman"/>
          <w:sz w:val="24"/>
          <w:szCs w:val="24"/>
        </w:rPr>
        <w:t>, PhD (</w:t>
      </w:r>
      <w:r w:rsidR="00547170">
        <w:rPr>
          <w:rFonts w:ascii="Times New Roman" w:hAnsi="Times New Roman"/>
          <w:i/>
          <w:iCs/>
          <w:sz w:val="24"/>
          <w:szCs w:val="24"/>
        </w:rPr>
        <w:t>Professor</w:t>
      </w:r>
      <w:r w:rsidR="00FC63AC">
        <w:rPr>
          <w:rFonts w:ascii="Times New Roman" w:hAnsi="Times New Roman"/>
          <w:sz w:val="24"/>
          <w:szCs w:val="24"/>
        </w:rPr>
        <w:t xml:space="preserve">), </w:t>
      </w:r>
      <w:r w:rsidR="005D347D" w:rsidRPr="00372862">
        <w:rPr>
          <w:rFonts w:ascii="Times New Roman" w:hAnsi="Times New Roman"/>
          <w:sz w:val="24"/>
          <w:szCs w:val="24"/>
        </w:rPr>
        <w:t>Kay-Tee Khaw</w:t>
      </w:r>
      <w:r w:rsidR="00C604F2" w:rsidRPr="00372862">
        <w:rPr>
          <w:rFonts w:ascii="Times New Roman" w:hAnsi="Times New Roman"/>
          <w:sz w:val="24"/>
          <w:szCs w:val="24"/>
          <w:vertAlign w:val="superscript"/>
        </w:rPr>
        <w:t>3</w:t>
      </w:r>
      <w:r w:rsidR="00C604F2" w:rsidRPr="00372862">
        <w:rPr>
          <w:rFonts w:ascii="Times New Roman" w:hAnsi="Times New Roman"/>
          <w:sz w:val="24"/>
          <w:szCs w:val="24"/>
        </w:rPr>
        <w:t xml:space="preserve">, </w:t>
      </w:r>
      <w:proofErr w:type="spellStart"/>
      <w:r w:rsidR="00C604F2" w:rsidRPr="00372862">
        <w:rPr>
          <w:rFonts w:ascii="Times New Roman" w:hAnsi="Times New Roman"/>
          <w:sz w:val="24"/>
          <w:szCs w:val="24"/>
        </w:rPr>
        <w:t>MBBChir</w:t>
      </w:r>
      <w:proofErr w:type="spellEnd"/>
      <w:r w:rsidR="00C604F2" w:rsidRPr="00372862">
        <w:rPr>
          <w:rFonts w:ascii="Times New Roman" w:hAnsi="Times New Roman"/>
          <w:sz w:val="24"/>
          <w:szCs w:val="24"/>
        </w:rPr>
        <w:t xml:space="preserve"> (</w:t>
      </w:r>
      <w:r w:rsidR="00547170">
        <w:rPr>
          <w:rFonts w:ascii="Times New Roman" w:hAnsi="Times New Roman"/>
          <w:i/>
          <w:iCs/>
          <w:sz w:val="24"/>
          <w:szCs w:val="24"/>
        </w:rPr>
        <w:t>Professor</w:t>
      </w:r>
      <w:r w:rsidR="00547170" w:rsidRPr="00372862">
        <w:rPr>
          <w:rFonts w:ascii="Times New Roman" w:hAnsi="Times New Roman"/>
          <w:i/>
          <w:iCs/>
          <w:sz w:val="24"/>
          <w:szCs w:val="24"/>
        </w:rPr>
        <w:t xml:space="preserve"> </w:t>
      </w:r>
      <w:r w:rsidR="00C604F2" w:rsidRPr="00372862">
        <w:rPr>
          <w:rFonts w:ascii="Times New Roman" w:hAnsi="Times New Roman"/>
          <w:i/>
          <w:iCs/>
          <w:sz w:val="24"/>
          <w:szCs w:val="24"/>
          <w:lang w:eastAsia="zh-CN"/>
        </w:rPr>
        <w:t>of Clinical Gerontology</w:t>
      </w:r>
      <w:r w:rsidR="00C604F2" w:rsidRPr="00372862">
        <w:rPr>
          <w:rFonts w:ascii="Times New Roman" w:hAnsi="Times New Roman"/>
          <w:sz w:val="24"/>
          <w:szCs w:val="24"/>
        </w:rPr>
        <w:t xml:space="preserve">); </w:t>
      </w:r>
      <w:r w:rsidR="005D347D" w:rsidRPr="00372862">
        <w:rPr>
          <w:rFonts w:ascii="Times New Roman" w:hAnsi="Times New Roman"/>
          <w:sz w:val="24"/>
          <w:szCs w:val="24"/>
        </w:rPr>
        <w:t>Phyo K. Myint</w:t>
      </w:r>
      <w:r w:rsidR="005D347D" w:rsidRPr="00372862">
        <w:rPr>
          <w:rFonts w:ascii="Times New Roman" w:hAnsi="Times New Roman"/>
          <w:sz w:val="24"/>
          <w:szCs w:val="24"/>
          <w:vertAlign w:val="superscript"/>
        </w:rPr>
        <w:t>1</w:t>
      </w:r>
      <w:r w:rsidR="00E83451" w:rsidRPr="00372862">
        <w:rPr>
          <w:rFonts w:ascii="Times New Roman" w:hAnsi="Times New Roman"/>
          <w:sz w:val="24"/>
          <w:szCs w:val="24"/>
          <w:vertAlign w:val="superscript"/>
        </w:rPr>
        <w:t>,2</w:t>
      </w:r>
      <w:r w:rsidR="00223E58" w:rsidRPr="00372862">
        <w:rPr>
          <w:rFonts w:ascii="Times New Roman" w:hAnsi="Times New Roman"/>
          <w:sz w:val="24"/>
          <w:szCs w:val="24"/>
          <w:vertAlign w:val="superscript"/>
        </w:rPr>
        <w:t>,5,6</w:t>
      </w:r>
      <w:r w:rsidR="00C604F2" w:rsidRPr="00372862">
        <w:rPr>
          <w:rFonts w:ascii="Times New Roman" w:hAnsi="Times New Roman"/>
          <w:sz w:val="24"/>
          <w:szCs w:val="24"/>
        </w:rPr>
        <w:t>, MD (</w:t>
      </w:r>
      <w:r w:rsidR="00547170">
        <w:rPr>
          <w:rFonts w:ascii="Times New Roman" w:hAnsi="Times New Roman"/>
          <w:i/>
          <w:iCs/>
          <w:sz w:val="24"/>
          <w:szCs w:val="24"/>
        </w:rPr>
        <w:t>Professor</w:t>
      </w:r>
      <w:r w:rsidR="00547170" w:rsidRPr="00372862">
        <w:rPr>
          <w:rFonts w:ascii="Times New Roman" w:hAnsi="Times New Roman"/>
          <w:i/>
          <w:iCs/>
          <w:sz w:val="24"/>
          <w:szCs w:val="24"/>
        </w:rPr>
        <w:t xml:space="preserve"> </w:t>
      </w:r>
      <w:r w:rsidR="009445D1">
        <w:rPr>
          <w:rFonts w:ascii="Times New Roman" w:hAnsi="Times New Roman"/>
          <w:i/>
          <w:iCs/>
          <w:sz w:val="24"/>
          <w:szCs w:val="24"/>
        </w:rPr>
        <w:t>of</w:t>
      </w:r>
      <w:r w:rsidR="00C604F2" w:rsidRPr="00372862">
        <w:rPr>
          <w:rFonts w:ascii="Times New Roman" w:hAnsi="Times New Roman"/>
          <w:i/>
          <w:iCs/>
          <w:sz w:val="24"/>
          <w:szCs w:val="24"/>
        </w:rPr>
        <w:t xml:space="preserve"> Old Age Medicine</w:t>
      </w:r>
      <w:r w:rsidR="00C604F2" w:rsidRPr="00372862">
        <w:rPr>
          <w:rFonts w:ascii="Times New Roman" w:hAnsi="Times New Roman"/>
          <w:sz w:val="24"/>
          <w:szCs w:val="24"/>
        </w:rPr>
        <w:t>);</w:t>
      </w:r>
    </w:p>
    <w:p w14:paraId="3540FE0A" w14:textId="5AA63E55" w:rsidR="00547170" w:rsidRPr="00547170" w:rsidRDefault="00547170" w:rsidP="0080752B">
      <w:pPr>
        <w:spacing w:after="0" w:line="240" w:lineRule="auto"/>
        <w:rPr>
          <w:rFonts w:ascii="Times New Roman" w:hAnsi="Times New Roman"/>
          <w:sz w:val="24"/>
        </w:rPr>
      </w:pPr>
      <w:r>
        <w:rPr>
          <w:rFonts w:ascii="Times New Roman" w:hAnsi="Times New Roman"/>
          <w:sz w:val="24"/>
          <w:szCs w:val="24"/>
          <w:vertAlign w:val="superscript"/>
        </w:rPr>
        <w:t>1</w:t>
      </w:r>
      <w:r w:rsidRPr="00372862">
        <w:rPr>
          <w:rFonts w:ascii="Times New Roman" w:hAnsi="Times New Roman"/>
          <w:sz w:val="24"/>
        </w:rPr>
        <w:t>Aberdeen Diabetes and Cardiovascular Centre, School of Medicine, Medical Sciences &amp; Nutrition, University of Aberdeen, Aberdeen, Scotland, United Kingdom.</w:t>
      </w:r>
    </w:p>
    <w:p w14:paraId="0E0837C9" w14:textId="3E8952F9" w:rsidR="00843E24" w:rsidRPr="00372862" w:rsidRDefault="009445D1" w:rsidP="0080752B">
      <w:pPr>
        <w:spacing w:after="0" w:line="240" w:lineRule="auto"/>
        <w:rPr>
          <w:rFonts w:ascii="Times New Roman" w:hAnsi="Times New Roman"/>
          <w:sz w:val="24"/>
          <w:szCs w:val="24"/>
        </w:rPr>
      </w:pPr>
      <w:r>
        <w:rPr>
          <w:rFonts w:ascii="Times New Roman" w:hAnsi="Times New Roman"/>
          <w:sz w:val="24"/>
          <w:szCs w:val="24"/>
          <w:vertAlign w:val="superscript"/>
        </w:rPr>
        <w:t>2</w:t>
      </w:r>
      <w:r w:rsidR="00843E24" w:rsidRPr="00372862">
        <w:rPr>
          <w:rFonts w:ascii="Times New Roman" w:hAnsi="Times New Roman"/>
          <w:sz w:val="24"/>
          <w:szCs w:val="24"/>
        </w:rPr>
        <w:t xml:space="preserve">Ageing Clinical and Experimental Research </w:t>
      </w:r>
      <w:r w:rsidR="00A94CA0" w:rsidRPr="00372862">
        <w:rPr>
          <w:rFonts w:ascii="Times New Roman" w:hAnsi="Times New Roman"/>
          <w:sz w:val="24"/>
          <w:szCs w:val="24"/>
        </w:rPr>
        <w:t>(ACER)</w:t>
      </w:r>
      <w:r w:rsidR="007054B7" w:rsidRPr="00372862">
        <w:rPr>
          <w:rFonts w:ascii="Times New Roman" w:hAnsi="Times New Roman"/>
          <w:sz w:val="24"/>
          <w:szCs w:val="24"/>
        </w:rPr>
        <w:t xml:space="preserve"> Team</w:t>
      </w:r>
      <w:r w:rsidR="00333502" w:rsidRPr="00372862">
        <w:rPr>
          <w:rFonts w:ascii="Times New Roman" w:hAnsi="Times New Roman"/>
          <w:sz w:val="24"/>
          <w:szCs w:val="24"/>
        </w:rPr>
        <w:t>, University of Aberdeen, UK</w:t>
      </w:r>
    </w:p>
    <w:p w14:paraId="55CDDC9F" w14:textId="201FDA8B" w:rsidR="00FF3202" w:rsidRPr="00372862" w:rsidRDefault="00C604F2" w:rsidP="0080752B">
      <w:pPr>
        <w:spacing w:after="0" w:line="240" w:lineRule="auto"/>
        <w:rPr>
          <w:rFonts w:ascii="Times New Roman" w:hAnsi="Times New Roman"/>
          <w:sz w:val="24"/>
          <w:szCs w:val="24"/>
        </w:rPr>
      </w:pPr>
      <w:r w:rsidRPr="00372862">
        <w:rPr>
          <w:rFonts w:ascii="Times New Roman" w:hAnsi="Times New Roman"/>
          <w:sz w:val="24"/>
          <w:szCs w:val="24"/>
          <w:vertAlign w:val="superscript"/>
        </w:rPr>
        <w:t>3</w:t>
      </w:r>
      <w:r w:rsidR="009445D1">
        <w:rPr>
          <w:rFonts w:ascii="Times New Roman" w:hAnsi="Times New Roman"/>
          <w:sz w:val="24"/>
          <w:szCs w:val="24"/>
        </w:rPr>
        <w:t>Clinical Gerontology Unit, D</w:t>
      </w:r>
      <w:r w:rsidR="00001CBC" w:rsidRPr="00372862">
        <w:rPr>
          <w:rFonts w:ascii="Times New Roman" w:hAnsi="Times New Roman"/>
          <w:sz w:val="24"/>
          <w:szCs w:val="24"/>
        </w:rPr>
        <w:t>epartment of Public Health &amp; Primary Care, University of Cambridge, Cambridge, UK</w:t>
      </w:r>
    </w:p>
    <w:p w14:paraId="7EFB32EE" w14:textId="786C8B46" w:rsidR="00C604F2" w:rsidRPr="00372862" w:rsidRDefault="00C604F2" w:rsidP="0080752B">
      <w:pPr>
        <w:spacing w:after="0" w:line="240" w:lineRule="auto"/>
        <w:rPr>
          <w:rFonts w:ascii="Times New Roman" w:hAnsi="Times New Roman"/>
          <w:sz w:val="24"/>
          <w:szCs w:val="24"/>
        </w:rPr>
      </w:pPr>
      <w:r w:rsidRPr="00372862">
        <w:rPr>
          <w:rFonts w:ascii="Times New Roman" w:hAnsi="Times New Roman"/>
          <w:sz w:val="24"/>
          <w:szCs w:val="24"/>
          <w:vertAlign w:val="superscript"/>
        </w:rPr>
        <w:t>4</w:t>
      </w:r>
      <w:r w:rsidRPr="00372862">
        <w:rPr>
          <w:rFonts w:ascii="Times New Roman" w:hAnsi="Times New Roman"/>
          <w:sz w:val="24"/>
          <w:szCs w:val="24"/>
        </w:rPr>
        <w:t>Keele Cardiovascular Research Group, Keele University, Stoke-on-Trent, UK</w:t>
      </w:r>
    </w:p>
    <w:p w14:paraId="755B7BAA" w14:textId="010FC0A5" w:rsidR="00FA2A1B" w:rsidRPr="00372862" w:rsidRDefault="00FA2A1B" w:rsidP="00FA2A1B">
      <w:pPr>
        <w:spacing w:after="0" w:line="240" w:lineRule="auto"/>
        <w:ind w:left="-5" w:right="136"/>
        <w:rPr>
          <w:rFonts w:ascii="Times New Roman" w:hAnsi="Times New Roman"/>
          <w:sz w:val="24"/>
          <w:szCs w:val="24"/>
        </w:rPr>
      </w:pPr>
      <w:r w:rsidRPr="00372862">
        <w:rPr>
          <w:rFonts w:ascii="Times New Roman" w:hAnsi="Times New Roman"/>
          <w:sz w:val="24"/>
          <w:szCs w:val="24"/>
          <w:vertAlign w:val="superscript"/>
        </w:rPr>
        <w:t>5</w:t>
      </w:r>
      <w:r w:rsidR="009445D1">
        <w:rPr>
          <w:rFonts w:ascii="Times New Roman" w:hAnsi="Times New Roman"/>
          <w:sz w:val="24"/>
          <w:szCs w:val="24"/>
        </w:rPr>
        <w:t>Department of Clinical Neuroscience, N</w:t>
      </w:r>
      <w:r w:rsidRPr="00372862">
        <w:rPr>
          <w:rFonts w:ascii="Times New Roman" w:hAnsi="Times New Roman"/>
          <w:sz w:val="24"/>
          <w:szCs w:val="24"/>
        </w:rPr>
        <w:t xml:space="preserve">orfolk and Norwich University Hospital, Norwich, UK. </w:t>
      </w:r>
    </w:p>
    <w:p w14:paraId="51A42477" w14:textId="7B019DF6" w:rsidR="00FA2A1B" w:rsidRDefault="00FA2A1B" w:rsidP="00FA2A1B">
      <w:pPr>
        <w:spacing w:after="0" w:line="240" w:lineRule="auto"/>
        <w:ind w:left="-5" w:right="136"/>
        <w:rPr>
          <w:rFonts w:ascii="Times New Roman" w:hAnsi="Times New Roman"/>
          <w:sz w:val="24"/>
          <w:szCs w:val="24"/>
        </w:rPr>
      </w:pPr>
      <w:r w:rsidRPr="00372862">
        <w:rPr>
          <w:rFonts w:ascii="Times New Roman" w:hAnsi="Times New Roman"/>
          <w:sz w:val="24"/>
          <w:szCs w:val="24"/>
          <w:vertAlign w:val="superscript"/>
        </w:rPr>
        <w:t>6</w:t>
      </w:r>
      <w:r w:rsidRPr="00372862">
        <w:rPr>
          <w:rFonts w:ascii="Times New Roman" w:hAnsi="Times New Roman"/>
          <w:sz w:val="24"/>
          <w:szCs w:val="24"/>
        </w:rPr>
        <w:t xml:space="preserve">Norwich Cardiovascular Research Group, Norwich Medical School, University of East Anglia, Norwich Research Park, Norwich, UK.  </w:t>
      </w:r>
    </w:p>
    <w:p w14:paraId="0815D424" w14:textId="4239D5DC" w:rsidR="009445D1" w:rsidRPr="00372862" w:rsidRDefault="009445D1" w:rsidP="00FA2A1B">
      <w:pPr>
        <w:spacing w:after="0" w:line="240" w:lineRule="auto"/>
        <w:ind w:left="-5" w:right="136"/>
        <w:rPr>
          <w:rFonts w:ascii="Times New Roman" w:hAnsi="Times New Roman"/>
          <w:sz w:val="24"/>
          <w:szCs w:val="24"/>
        </w:rPr>
      </w:pPr>
      <w:r>
        <w:rPr>
          <w:rFonts w:ascii="Times New Roman" w:hAnsi="Times New Roman"/>
          <w:sz w:val="24"/>
          <w:szCs w:val="24"/>
          <w:vertAlign w:val="superscript"/>
        </w:rPr>
        <w:t>7</w:t>
      </w:r>
      <w:r>
        <w:rPr>
          <w:rFonts w:ascii="Times New Roman" w:hAnsi="Times New Roman"/>
          <w:sz w:val="24"/>
          <w:szCs w:val="24"/>
        </w:rPr>
        <w:t>MRC Epidemiology Unit, Cambridge, UK</w:t>
      </w:r>
    </w:p>
    <w:p w14:paraId="3198AAA2" w14:textId="77777777" w:rsidR="00C604F2" w:rsidRPr="00372862" w:rsidRDefault="00C604F2" w:rsidP="006D6486">
      <w:pPr>
        <w:spacing w:line="360" w:lineRule="auto"/>
        <w:rPr>
          <w:rFonts w:ascii="Times New Roman" w:hAnsi="Times New Roman"/>
          <w:sz w:val="24"/>
          <w:szCs w:val="24"/>
        </w:rPr>
      </w:pPr>
    </w:p>
    <w:p w14:paraId="664CAF96" w14:textId="2E3129E8" w:rsidR="0080752B" w:rsidRPr="006A02DE" w:rsidRDefault="009A67D5" w:rsidP="00085F81">
      <w:pPr>
        <w:spacing w:after="0" w:line="240" w:lineRule="auto"/>
        <w:rPr>
          <w:rFonts w:ascii="Times New Roman" w:hAnsi="Times New Roman"/>
          <w:sz w:val="24"/>
          <w:szCs w:val="24"/>
        </w:rPr>
      </w:pPr>
      <w:r>
        <w:rPr>
          <w:rFonts w:ascii="Times New Roman" w:hAnsi="Times New Roman"/>
          <w:sz w:val="24"/>
          <w:szCs w:val="24"/>
        </w:rPr>
        <w:t>A</w:t>
      </w:r>
      <w:r w:rsidR="00085F81" w:rsidRPr="006A02DE">
        <w:rPr>
          <w:rFonts w:ascii="Times New Roman" w:hAnsi="Times New Roman"/>
          <w:sz w:val="24"/>
          <w:szCs w:val="24"/>
        </w:rPr>
        <w:t xml:space="preserve">bstract word count: </w:t>
      </w:r>
      <w:r w:rsidR="00E6100B" w:rsidRPr="006A02DE">
        <w:rPr>
          <w:rFonts w:ascii="Times New Roman" w:hAnsi="Times New Roman"/>
          <w:sz w:val="24"/>
          <w:szCs w:val="24"/>
        </w:rPr>
        <w:t>24</w:t>
      </w:r>
      <w:r w:rsidR="000C7820">
        <w:rPr>
          <w:rFonts w:ascii="Times New Roman" w:hAnsi="Times New Roman"/>
          <w:sz w:val="24"/>
          <w:szCs w:val="24"/>
        </w:rPr>
        <w:t>7</w:t>
      </w:r>
    </w:p>
    <w:p w14:paraId="459ED23F" w14:textId="75B45920" w:rsidR="00085F81" w:rsidRPr="006A02DE" w:rsidRDefault="00AC60F4" w:rsidP="00085F81">
      <w:pPr>
        <w:spacing w:after="0" w:line="240" w:lineRule="auto"/>
        <w:rPr>
          <w:rFonts w:ascii="Times New Roman" w:hAnsi="Times New Roman"/>
          <w:sz w:val="24"/>
          <w:szCs w:val="24"/>
        </w:rPr>
      </w:pPr>
      <w:r w:rsidRPr="006A02DE">
        <w:rPr>
          <w:rFonts w:ascii="Times New Roman" w:hAnsi="Times New Roman"/>
          <w:sz w:val="24"/>
          <w:szCs w:val="24"/>
        </w:rPr>
        <w:t>W</w:t>
      </w:r>
      <w:r w:rsidR="00817BD2" w:rsidRPr="006A02DE">
        <w:rPr>
          <w:rFonts w:ascii="Times New Roman" w:hAnsi="Times New Roman"/>
          <w:sz w:val="24"/>
          <w:szCs w:val="24"/>
        </w:rPr>
        <w:t>ord count</w:t>
      </w:r>
      <w:r w:rsidR="00085F81" w:rsidRPr="006A02DE">
        <w:rPr>
          <w:rFonts w:ascii="Times New Roman" w:hAnsi="Times New Roman"/>
          <w:sz w:val="24"/>
          <w:szCs w:val="24"/>
        </w:rPr>
        <w:t xml:space="preserve">: </w:t>
      </w:r>
      <w:r w:rsidR="007A5661">
        <w:rPr>
          <w:rFonts w:ascii="Times New Roman" w:hAnsi="Times New Roman"/>
          <w:sz w:val="24"/>
          <w:szCs w:val="24"/>
        </w:rPr>
        <w:t>37</w:t>
      </w:r>
      <w:r w:rsidR="00561476">
        <w:rPr>
          <w:rFonts w:ascii="Times New Roman" w:hAnsi="Times New Roman"/>
          <w:sz w:val="24"/>
          <w:szCs w:val="24"/>
        </w:rPr>
        <w:t>88</w:t>
      </w:r>
    </w:p>
    <w:p w14:paraId="04409B81" w14:textId="22CC1F68" w:rsidR="00955922" w:rsidRPr="006A02DE" w:rsidRDefault="00955922" w:rsidP="00085F81">
      <w:pPr>
        <w:spacing w:after="0" w:line="240" w:lineRule="auto"/>
        <w:rPr>
          <w:rFonts w:ascii="Times New Roman" w:hAnsi="Times New Roman"/>
          <w:sz w:val="24"/>
          <w:szCs w:val="24"/>
        </w:rPr>
      </w:pPr>
      <w:r w:rsidRPr="006A02DE">
        <w:rPr>
          <w:rFonts w:ascii="Times New Roman" w:hAnsi="Times New Roman"/>
          <w:sz w:val="24"/>
          <w:szCs w:val="24"/>
        </w:rPr>
        <w:t xml:space="preserve">References: </w:t>
      </w:r>
      <w:r w:rsidR="006A02DE" w:rsidRPr="006A02DE">
        <w:rPr>
          <w:rFonts w:ascii="Times New Roman" w:hAnsi="Times New Roman"/>
          <w:sz w:val="24"/>
          <w:szCs w:val="24"/>
        </w:rPr>
        <w:t>3</w:t>
      </w:r>
      <w:r w:rsidR="007A5661">
        <w:rPr>
          <w:rFonts w:ascii="Times New Roman" w:hAnsi="Times New Roman"/>
          <w:sz w:val="24"/>
          <w:szCs w:val="24"/>
        </w:rPr>
        <w:t>3</w:t>
      </w:r>
    </w:p>
    <w:p w14:paraId="70A1D6AE" w14:textId="3E6C48F3" w:rsidR="00955922" w:rsidRPr="006A02DE" w:rsidRDefault="00955922" w:rsidP="00085F81">
      <w:pPr>
        <w:spacing w:after="0" w:line="240" w:lineRule="auto"/>
        <w:rPr>
          <w:rFonts w:ascii="Times New Roman" w:hAnsi="Times New Roman"/>
          <w:sz w:val="24"/>
          <w:szCs w:val="24"/>
        </w:rPr>
      </w:pPr>
      <w:r w:rsidRPr="006A02DE">
        <w:rPr>
          <w:rFonts w:ascii="Times New Roman" w:hAnsi="Times New Roman"/>
          <w:sz w:val="24"/>
          <w:szCs w:val="24"/>
        </w:rPr>
        <w:t xml:space="preserve">Tables: </w:t>
      </w:r>
      <w:r w:rsidR="009C2050" w:rsidRPr="006A02DE">
        <w:rPr>
          <w:rFonts w:ascii="Times New Roman" w:hAnsi="Times New Roman"/>
          <w:sz w:val="24"/>
          <w:szCs w:val="24"/>
        </w:rPr>
        <w:t>1</w:t>
      </w:r>
    </w:p>
    <w:p w14:paraId="47B59CDE" w14:textId="74BAB4EB" w:rsidR="00955922" w:rsidRPr="00372862" w:rsidRDefault="00955922" w:rsidP="00085F81">
      <w:pPr>
        <w:spacing w:after="0" w:line="240" w:lineRule="auto"/>
        <w:rPr>
          <w:rFonts w:ascii="Times New Roman" w:hAnsi="Times New Roman"/>
          <w:sz w:val="24"/>
          <w:szCs w:val="24"/>
        </w:rPr>
      </w:pPr>
      <w:r w:rsidRPr="006A02DE">
        <w:rPr>
          <w:rFonts w:ascii="Times New Roman" w:hAnsi="Times New Roman"/>
          <w:sz w:val="24"/>
          <w:szCs w:val="24"/>
        </w:rPr>
        <w:t xml:space="preserve">Figures: </w:t>
      </w:r>
      <w:r w:rsidR="009C2050" w:rsidRPr="006A02DE">
        <w:rPr>
          <w:rFonts w:ascii="Times New Roman" w:hAnsi="Times New Roman"/>
          <w:sz w:val="24"/>
          <w:szCs w:val="24"/>
        </w:rPr>
        <w:t>5</w:t>
      </w:r>
    </w:p>
    <w:p w14:paraId="0EF70E46" w14:textId="77777777" w:rsidR="00781587" w:rsidRPr="00372862" w:rsidRDefault="00781587" w:rsidP="006D6486">
      <w:pPr>
        <w:spacing w:line="360" w:lineRule="auto"/>
        <w:rPr>
          <w:rFonts w:ascii="Times New Roman" w:hAnsi="Times New Roman"/>
          <w:sz w:val="24"/>
          <w:szCs w:val="24"/>
        </w:rPr>
      </w:pPr>
    </w:p>
    <w:p w14:paraId="61884607" w14:textId="32B1F5C2" w:rsidR="00BC14B5" w:rsidRPr="00372862" w:rsidRDefault="00BC14B5" w:rsidP="0080752B">
      <w:pPr>
        <w:spacing w:after="0" w:line="240" w:lineRule="auto"/>
        <w:rPr>
          <w:rFonts w:ascii="Times New Roman" w:hAnsi="Times New Roman"/>
          <w:b/>
          <w:sz w:val="24"/>
          <w:szCs w:val="24"/>
        </w:rPr>
      </w:pPr>
      <w:r w:rsidRPr="00372862">
        <w:rPr>
          <w:rFonts w:ascii="Times New Roman" w:hAnsi="Times New Roman"/>
          <w:b/>
          <w:sz w:val="24"/>
          <w:szCs w:val="24"/>
        </w:rPr>
        <w:t>Correspondence to:</w:t>
      </w:r>
    </w:p>
    <w:p w14:paraId="43F3526F" w14:textId="77777777" w:rsidR="00BC14B5" w:rsidRPr="00372862" w:rsidRDefault="00BC14B5" w:rsidP="0080752B">
      <w:pPr>
        <w:pStyle w:val="NormalWeb"/>
        <w:spacing w:before="0" w:beforeAutospacing="0" w:after="0" w:afterAutospacing="0"/>
      </w:pPr>
    </w:p>
    <w:p w14:paraId="68AE48A2" w14:textId="56929B28" w:rsidR="00BC14B5" w:rsidRPr="00372862" w:rsidRDefault="00547170" w:rsidP="0080752B">
      <w:pPr>
        <w:pStyle w:val="NormalWeb"/>
        <w:spacing w:before="0" w:beforeAutospacing="0" w:after="0" w:afterAutospacing="0"/>
      </w:pPr>
      <w:r w:rsidRPr="00547170">
        <w:t>Professor</w:t>
      </w:r>
      <w:r w:rsidRPr="00372862">
        <w:rPr>
          <w:i/>
          <w:iCs/>
        </w:rPr>
        <w:t xml:space="preserve"> </w:t>
      </w:r>
      <w:r w:rsidR="00BC14B5" w:rsidRPr="00372862">
        <w:t>Phyo Kyaw Myint</w:t>
      </w:r>
    </w:p>
    <w:p w14:paraId="012566AB" w14:textId="77777777" w:rsidR="00BC14B5" w:rsidRPr="00372862" w:rsidRDefault="00BC14B5" w:rsidP="0080752B">
      <w:pPr>
        <w:pStyle w:val="NormalWeb"/>
        <w:spacing w:before="0" w:beforeAutospacing="0" w:after="0" w:afterAutospacing="0"/>
      </w:pPr>
      <w:r w:rsidRPr="00372862">
        <w:t xml:space="preserve">Room 4:013, </w:t>
      </w:r>
    </w:p>
    <w:p w14:paraId="12E04C3F" w14:textId="77777777" w:rsidR="00BC14B5" w:rsidRPr="00372862" w:rsidRDefault="00BC14B5" w:rsidP="0080752B">
      <w:pPr>
        <w:pStyle w:val="NormalWeb"/>
        <w:spacing w:before="0" w:beforeAutospacing="0" w:after="0" w:afterAutospacing="0"/>
      </w:pPr>
      <w:r w:rsidRPr="00372862">
        <w:t xml:space="preserve">Polwarth Building, </w:t>
      </w:r>
    </w:p>
    <w:p w14:paraId="41D9C11D" w14:textId="77777777" w:rsidR="00BC14B5" w:rsidRPr="00372862" w:rsidRDefault="00BC14B5" w:rsidP="0080752B">
      <w:pPr>
        <w:pStyle w:val="NormalWeb"/>
        <w:spacing w:before="0" w:beforeAutospacing="0" w:after="0" w:afterAutospacing="0"/>
      </w:pPr>
      <w:r w:rsidRPr="00372862">
        <w:t xml:space="preserve">School of Medicine, Medical Sciences and Nutrition, </w:t>
      </w:r>
    </w:p>
    <w:p w14:paraId="59D24BAA" w14:textId="77777777" w:rsidR="00BC14B5" w:rsidRPr="00372862" w:rsidRDefault="00BC14B5" w:rsidP="0080752B">
      <w:pPr>
        <w:pStyle w:val="NormalWeb"/>
        <w:spacing w:before="0" w:beforeAutospacing="0" w:after="0" w:afterAutospacing="0"/>
      </w:pPr>
      <w:proofErr w:type="spellStart"/>
      <w:r w:rsidRPr="00372862">
        <w:t>Foresterhill</w:t>
      </w:r>
      <w:proofErr w:type="spellEnd"/>
      <w:r w:rsidRPr="00372862">
        <w:t xml:space="preserve">, Aberdeen, </w:t>
      </w:r>
    </w:p>
    <w:p w14:paraId="73AD9DE8" w14:textId="77777777" w:rsidR="00BC14B5" w:rsidRPr="00372862" w:rsidRDefault="00BC14B5" w:rsidP="0080752B">
      <w:pPr>
        <w:pStyle w:val="NormalWeb"/>
        <w:spacing w:before="0" w:beforeAutospacing="0" w:after="0" w:afterAutospacing="0"/>
      </w:pPr>
      <w:r w:rsidRPr="00372862">
        <w:t>AB25 2ZD, Scotland, UK.</w:t>
      </w:r>
    </w:p>
    <w:p w14:paraId="668FD5B9" w14:textId="77777777" w:rsidR="00BC14B5" w:rsidRPr="00372862" w:rsidRDefault="00BC14B5" w:rsidP="0080752B">
      <w:pPr>
        <w:pStyle w:val="NormalWeb"/>
        <w:spacing w:before="0" w:beforeAutospacing="0" w:after="0" w:afterAutospacing="0"/>
      </w:pPr>
      <w:r w:rsidRPr="00372862">
        <w:t>Tel: +44 (0) 1224 437841</w:t>
      </w:r>
    </w:p>
    <w:p w14:paraId="625484DF" w14:textId="2635420D" w:rsidR="009A67D5" w:rsidRPr="00C53509" w:rsidRDefault="00BC14B5" w:rsidP="00C53509">
      <w:pPr>
        <w:pStyle w:val="NormalWeb"/>
        <w:spacing w:before="0" w:beforeAutospacing="0" w:after="0" w:afterAutospacing="0"/>
        <w:rPr>
          <w:color w:val="0563C1" w:themeColor="hyperlink"/>
          <w:u w:val="single"/>
        </w:rPr>
      </w:pPr>
      <w:r w:rsidRPr="00372862">
        <w:t xml:space="preserve">Mail to: </w:t>
      </w:r>
      <w:hyperlink r:id="rId8" w:history="1">
        <w:r w:rsidR="00CE2CBE" w:rsidRPr="00372862">
          <w:rPr>
            <w:rStyle w:val="Hyperlink"/>
          </w:rPr>
          <w:t>phyo.myint@abdn.ac.uk</w:t>
        </w:r>
      </w:hyperlink>
      <w:r w:rsidR="009A67D5">
        <w:br w:type="page"/>
      </w:r>
    </w:p>
    <w:p w14:paraId="6F83EC4A" w14:textId="46FDCE33" w:rsidR="0097134A" w:rsidRPr="00372862" w:rsidRDefault="0097134A" w:rsidP="006D6486">
      <w:pPr>
        <w:spacing w:line="360" w:lineRule="auto"/>
        <w:rPr>
          <w:rFonts w:ascii="Times New Roman" w:hAnsi="Times New Roman"/>
          <w:b/>
          <w:sz w:val="24"/>
          <w:szCs w:val="24"/>
        </w:rPr>
      </w:pPr>
      <w:r w:rsidRPr="00372862">
        <w:rPr>
          <w:rFonts w:ascii="Times New Roman" w:hAnsi="Times New Roman"/>
          <w:b/>
          <w:sz w:val="24"/>
          <w:szCs w:val="24"/>
        </w:rPr>
        <w:lastRenderedPageBreak/>
        <w:t>ABSTRACT</w:t>
      </w:r>
    </w:p>
    <w:p w14:paraId="23D0EF09" w14:textId="1E03BE95" w:rsidR="00460CC3" w:rsidRPr="00372862" w:rsidRDefault="003F0948" w:rsidP="0015442F">
      <w:pPr>
        <w:spacing w:line="360" w:lineRule="auto"/>
        <w:rPr>
          <w:rFonts w:ascii="Times New Roman" w:hAnsi="Times New Roman"/>
          <w:sz w:val="24"/>
          <w:szCs w:val="24"/>
        </w:rPr>
      </w:pPr>
      <w:r>
        <w:rPr>
          <w:rFonts w:ascii="Times New Roman" w:hAnsi="Times New Roman"/>
          <w:b/>
          <w:bCs/>
          <w:sz w:val="24"/>
          <w:szCs w:val="24"/>
        </w:rPr>
        <w:t>Aims</w:t>
      </w:r>
      <w:r w:rsidR="0015442F" w:rsidRPr="00372862">
        <w:rPr>
          <w:rFonts w:ascii="Times New Roman" w:hAnsi="Times New Roman"/>
          <w:b/>
          <w:bCs/>
          <w:sz w:val="24"/>
          <w:szCs w:val="24"/>
        </w:rPr>
        <w:t>:</w:t>
      </w:r>
      <w:r w:rsidR="0015442F" w:rsidRPr="00372862">
        <w:rPr>
          <w:rFonts w:ascii="Times New Roman" w:hAnsi="Times New Roman"/>
          <w:sz w:val="24"/>
          <w:szCs w:val="24"/>
        </w:rPr>
        <w:t xml:space="preserve"> </w:t>
      </w:r>
      <w:r w:rsidR="00460CC3">
        <w:rPr>
          <w:rFonts w:ascii="Times New Roman" w:hAnsi="Times New Roman"/>
          <w:sz w:val="24"/>
          <w:szCs w:val="24"/>
        </w:rPr>
        <w:t>We aimed to determine t</w:t>
      </w:r>
      <w:r w:rsidR="00460CC3" w:rsidRPr="00372862">
        <w:rPr>
          <w:rFonts w:ascii="Times New Roman" w:hAnsi="Times New Roman"/>
          <w:sz w:val="24"/>
          <w:szCs w:val="24"/>
        </w:rPr>
        <w:t xml:space="preserve">he </w:t>
      </w:r>
      <w:r w:rsidR="00460CC3">
        <w:rPr>
          <w:rFonts w:ascii="Times New Roman" w:hAnsi="Times New Roman"/>
          <w:sz w:val="24"/>
          <w:szCs w:val="24"/>
        </w:rPr>
        <w:t>sex differences in</w:t>
      </w:r>
      <w:r w:rsidR="00460CC3" w:rsidRPr="00372862">
        <w:rPr>
          <w:rFonts w:ascii="Times New Roman" w:hAnsi="Times New Roman"/>
          <w:sz w:val="24"/>
          <w:szCs w:val="24"/>
        </w:rPr>
        <w:t xml:space="preserve"> </w:t>
      </w:r>
      <w:r w:rsidR="00460CC3">
        <w:rPr>
          <w:rFonts w:ascii="Times New Roman" w:hAnsi="Times New Roman"/>
          <w:sz w:val="24"/>
          <w:szCs w:val="24"/>
        </w:rPr>
        <w:t>longitudinal</w:t>
      </w:r>
      <w:r w:rsidR="00460CC3" w:rsidRPr="00372862">
        <w:rPr>
          <w:rFonts w:ascii="Times New Roman" w:hAnsi="Times New Roman"/>
          <w:sz w:val="24"/>
          <w:szCs w:val="24"/>
        </w:rPr>
        <w:t xml:space="preserve"> systolic and diastolic blood pressure (SBP and DBP) trajectories </w:t>
      </w:r>
      <w:r w:rsidR="00460CC3">
        <w:rPr>
          <w:rFonts w:ascii="Times New Roman" w:hAnsi="Times New Roman"/>
          <w:sz w:val="24"/>
          <w:szCs w:val="24"/>
        </w:rPr>
        <w:t xml:space="preserve">in mid-life </w:t>
      </w:r>
      <w:r w:rsidR="00460CC3" w:rsidRPr="00372862">
        <w:rPr>
          <w:rFonts w:ascii="Times New Roman" w:hAnsi="Times New Roman"/>
          <w:sz w:val="24"/>
          <w:szCs w:val="24"/>
        </w:rPr>
        <w:t>and</w:t>
      </w:r>
      <w:r w:rsidR="00460CC3">
        <w:rPr>
          <w:rFonts w:ascii="Times New Roman" w:hAnsi="Times New Roman"/>
          <w:sz w:val="24"/>
          <w:szCs w:val="24"/>
        </w:rPr>
        <w:t xml:space="preserve"> delineate the associations between these and</w:t>
      </w:r>
      <w:r w:rsidR="00460CC3" w:rsidRPr="00372862">
        <w:rPr>
          <w:rFonts w:ascii="Times New Roman" w:hAnsi="Times New Roman"/>
          <w:sz w:val="24"/>
          <w:szCs w:val="24"/>
        </w:rPr>
        <w:t xml:space="preserve"> mortality (all-cause, cardiovascular, non-cardiovascular) and incident cardiovascular disease (CVD)</w:t>
      </w:r>
      <w:r w:rsidR="00460CC3">
        <w:rPr>
          <w:rFonts w:ascii="Times New Roman" w:hAnsi="Times New Roman"/>
          <w:sz w:val="24"/>
          <w:szCs w:val="24"/>
        </w:rPr>
        <w:t xml:space="preserve"> in old age.</w:t>
      </w:r>
    </w:p>
    <w:p w14:paraId="24C05B32" w14:textId="1F41C576" w:rsidR="0015442F" w:rsidRPr="00372862" w:rsidRDefault="0015442F" w:rsidP="0015442F">
      <w:pPr>
        <w:spacing w:line="360" w:lineRule="auto"/>
        <w:rPr>
          <w:rFonts w:ascii="Times New Roman" w:hAnsi="Times New Roman"/>
          <w:sz w:val="24"/>
          <w:szCs w:val="24"/>
        </w:rPr>
      </w:pPr>
      <w:r w:rsidRPr="00372862">
        <w:rPr>
          <w:rFonts w:ascii="Times New Roman" w:hAnsi="Times New Roman"/>
          <w:b/>
          <w:bCs/>
          <w:sz w:val="24"/>
          <w:szCs w:val="24"/>
        </w:rPr>
        <w:t xml:space="preserve">Methods: </w:t>
      </w:r>
      <w:r w:rsidRPr="00372862">
        <w:rPr>
          <w:rFonts w:ascii="Times New Roman" w:hAnsi="Times New Roman"/>
          <w:sz w:val="24"/>
          <w:szCs w:val="24"/>
        </w:rPr>
        <w:t xml:space="preserve">Participants were selected from the European Prospective Investigation into Cancer, Norfolk (EPIC-Norfolk) cohort study. Sex-specific trajectories were determined using group-based trajectory models using three </w:t>
      </w:r>
      <w:r w:rsidR="009445D1">
        <w:rPr>
          <w:rFonts w:ascii="Times New Roman" w:hAnsi="Times New Roman"/>
          <w:sz w:val="24"/>
          <w:szCs w:val="24"/>
        </w:rPr>
        <w:t xml:space="preserve">clinic </w:t>
      </w:r>
      <w:r w:rsidRPr="00372862">
        <w:rPr>
          <w:rFonts w:ascii="Times New Roman" w:hAnsi="Times New Roman"/>
          <w:sz w:val="24"/>
          <w:szCs w:val="24"/>
        </w:rPr>
        <w:t xml:space="preserve">BP measurements acquired between 1993 and 2012 (mean exposure ~12.9 years). Multivariable Cox regressions determined the associations between trajectories and incident outcomes over the follow-up (2012-2018, median follow-up </w:t>
      </w:r>
      <w:r w:rsidR="00A4582A" w:rsidRPr="00372862">
        <w:rPr>
          <w:rFonts w:ascii="Times New Roman" w:hAnsi="Times New Roman"/>
          <w:sz w:val="24"/>
          <w:szCs w:val="24"/>
        </w:rPr>
        <w:t>9.4</w:t>
      </w:r>
      <w:r w:rsidRPr="00372862">
        <w:rPr>
          <w:rFonts w:ascii="Times New Roman" w:hAnsi="Times New Roman"/>
          <w:sz w:val="24"/>
          <w:szCs w:val="24"/>
        </w:rPr>
        <w:t xml:space="preserve"> years).  </w:t>
      </w:r>
    </w:p>
    <w:p w14:paraId="1595DF24" w14:textId="5F5F537D" w:rsidR="00460CC3" w:rsidRPr="00372862" w:rsidRDefault="00460CC3" w:rsidP="00460CC3">
      <w:pPr>
        <w:spacing w:line="360" w:lineRule="auto"/>
        <w:rPr>
          <w:rFonts w:ascii="Times New Roman" w:hAnsi="Times New Roman"/>
          <w:sz w:val="24"/>
          <w:szCs w:val="24"/>
          <w:lang w:eastAsia="zh-CN"/>
        </w:rPr>
      </w:pPr>
      <w:r>
        <w:rPr>
          <w:rFonts w:ascii="Times New Roman" w:hAnsi="Times New Roman"/>
          <w:b/>
          <w:bCs/>
          <w:sz w:val="24"/>
          <w:szCs w:val="24"/>
        </w:rPr>
        <w:t>Results</w:t>
      </w:r>
      <w:r w:rsidRPr="00372862">
        <w:rPr>
          <w:rFonts w:ascii="Times New Roman" w:hAnsi="Times New Roman"/>
          <w:b/>
          <w:bCs/>
          <w:sz w:val="24"/>
          <w:szCs w:val="24"/>
        </w:rPr>
        <w:t xml:space="preserve">: </w:t>
      </w:r>
      <w:r w:rsidRPr="00372862">
        <w:rPr>
          <w:rFonts w:ascii="Times New Roman" w:hAnsi="Times New Roman"/>
          <w:sz w:val="24"/>
          <w:szCs w:val="24"/>
        </w:rPr>
        <w:t xml:space="preserve">2897 </w:t>
      </w:r>
      <w:r>
        <w:rPr>
          <w:rFonts w:ascii="Times New Roman" w:hAnsi="Times New Roman"/>
          <w:sz w:val="24"/>
          <w:szCs w:val="24"/>
        </w:rPr>
        <w:t>men (M)</w:t>
      </w:r>
      <w:r w:rsidRPr="00372862">
        <w:rPr>
          <w:rFonts w:ascii="Times New Roman" w:hAnsi="Times New Roman"/>
          <w:sz w:val="24"/>
          <w:szCs w:val="24"/>
        </w:rPr>
        <w:t xml:space="preserve"> and 3819 </w:t>
      </w:r>
      <w:r>
        <w:rPr>
          <w:rFonts w:ascii="Times New Roman" w:hAnsi="Times New Roman"/>
          <w:sz w:val="24"/>
          <w:szCs w:val="24"/>
        </w:rPr>
        <w:t xml:space="preserve">women (F) </w:t>
      </w:r>
      <w:r w:rsidRPr="00372862">
        <w:rPr>
          <w:rFonts w:ascii="Times New Roman" w:hAnsi="Times New Roman"/>
          <w:sz w:val="24"/>
          <w:szCs w:val="24"/>
        </w:rPr>
        <w:t xml:space="preserve">were included. </w:t>
      </w:r>
      <w:r>
        <w:rPr>
          <w:rFonts w:ascii="Times New Roman" w:hAnsi="Times New Roman"/>
          <w:sz w:val="24"/>
          <w:szCs w:val="24"/>
        </w:rPr>
        <w:t xml:space="preserve">At baseline, women were younger (F-55.5, M-57.1), had a worse cardiometabolic profile and were less likely to receive primary CVD prevention including antihypertensive treatment (F-36.0%, M-42.0%). Over the exposure period, women had lower SBP trajectories while men exhibited more pronounced SBP decreases over this period. Over the follow-up period women had lower mortality (F-11.9%, M-20.5%) and CVD incidence (F-19.8%, M-29.6%). </w:t>
      </w:r>
      <w:r w:rsidRPr="00372862">
        <w:rPr>
          <w:rFonts w:ascii="Times New Roman" w:hAnsi="Times New Roman"/>
          <w:sz w:val="24"/>
          <w:szCs w:val="24"/>
        </w:rPr>
        <w:t xml:space="preserve">Compared to optimal SBP (≤120 mmHg) and DBP (≤70 mmHg) trajectories, </w:t>
      </w:r>
      <w:r>
        <w:rPr>
          <w:rFonts w:ascii="Times New Roman" w:hAnsi="Times New Roman"/>
          <w:sz w:val="24"/>
          <w:szCs w:val="24"/>
        </w:rPr>
        <w:t>hypertensive</w:t>
      </w:r>
      <w:r w:rsidRPr="00372862">
        <w:rPr>
          <w:rFonts w:ascii="Times New Roman" w:hAnsi="Times New Roman"/>
          <w:sz w:val="24"/>
          <w:szCs w:val="24"/>
        </w:rPr>
        <w:t xml:space="preserve"> trajectories </w:t>
      </w:r>
      <w:r>
        <w:rPr>
          <w:rFonts w:ascii="Times New Roman" w:hAnsi="Times New Roman"/>
          <w:sz w:val="24"/>
          <w:szCs w:val="24"/>
        </w:rPr>
        <w:t xml:space="preserve">were associated with increased mortality and incident CVD in both men and women during follow-up at univariable level. These associations were nevertheless not maintained upon extensive confounder adjustment including antihypertensive therapies. </w:t>
      </w:r>
    </w:p>
    <w:p w14:paraId="319E27C5" w14:textId="2CC04C84" w:rsidR="00460CC3" w:rsidRDefault="00460CC3" w:rsidP="00460CC3">
      <w:pPr>
        <w:spacing w:line="360" w:lineRule="auto"/>
        <w:rPr>
          <w:rFonts w:ascii="Times New Roman" w:hAnsi="Times New Roman"/>
          <w:b/>
          <w:bCs/>
          <w:sz w:val="24"/>
          <w:szCs w:val="24"/>
        </w:rPr>
      </w:pPr>
      <w:r>
        <w:rPr>
          <w:rFonts w:ascii="Times New Roman" w:hAnsi="Times New Roman"/>
          <w:b/>
          <w:bCs/>
          <w:sz w:val="24"/>
          <w:szCs w:val="24"/>
        </w:rPr>
        <w:t>Conclusion</w:t>
      </w:r>
      <w:r w:rsidRPr="00372862">
        <w:rPr>
          <w:rFonts w:ascii="Times New Roman" w:hAnsi="Times New Roman"/>
          <w:b/>
          <w:bCs/>
          <w:sz w:val="24"/>
          <w:szCs w:val="24"/>
        </w:rPr>
        <w:t xml:space="preserve">: </w:t>
      </w:r>
      <w:r>
        <w:rPr>
          <w:rFonts w:ascii="Times New Roman" w:hAnsi="Times New Roman"/>
          <w:sz w:val="24"/>
          <w:szCs w:val="24"/>
        </w:rPr>
        <w:t>We report sex disparities in CVD prevention which may relate to worse cardiometabolic profiles and less pronounced longitudinal SBP decreases</w:t>
      </w:r>
      <w:r w:rsidR="00E825A5">
        <w:rPr>
          <w:rFonts w:ascii="Times New Roman" w:hAnsi="Times New Roman"/>
          <w:sz w:val="24"/>
          <w:szCs w:val="24"/>
        </w:rPr>
        <w:t xml:space="preserve"> in women</w:t>
      </w:r>
      <w:r>
        <w:rPr>
          <w:rFonts w:ascii="Times New Roman" w:hAnsi="Times New Roman"/>
          <w:sz w:val="24"/>
          <w:szCs w:val="24"/>
        </w:rPr>
        <w:t>. Effective anti-hypertensive therapy may offset the adverse outcomes associated with prolonged exposure to high blood pressure.</w:t>
      </w:r>
    </w:p>
    <w:p w14:paraId="2DBFF0C4" w14:textId="77777777" w:rsidR="00CC7F41" w:rsidRPr="00CC7F41" w:rsidRDefault="00CC7F41" w:rsidP="006D6486">
      <w:pPr>
        <w:spacing w:line="360" w:lineRule="auto"/>
        <w:rPr>
          <w:rFonts w:ascii="Times New Roman" w:hAnsi="Times New Roman"/>
          <w:b/>
          <w:bCs/>
          <w:sz w:val="24"/>
          <w:szCs w:val="24"/>
        </w:rPr>
      </w:pPr>
    </w:p>
    <w:p w14:paraId="1CDF439F" w14:textId="293A0AEC" w:rsidR="007A326F" w:rsidRDefault="007054B7" w:rsidP="00AE2F66">
      <w:pPr>
        <w:spacing w:line="360" w:lineRule="auto"/>
        <w:rPr>
          <w:rFonts w:ascii="Times New Roman" w:hAnsi="Times New Roman"/>
          <w:bCs/>
          <w:sz w:val="24"/>
          <w:szCs w:val="24"/>
        </w:rPr>
      </w:pPr>
      <w:r w:rsidRPr="00372862">
        <w:rPr>
          <w:rFonts w:ascii="Times New Roman" w:hAnsi="Times New Roman"/>
          <w:b/>
          <w:sz w:val="24"/>
          <w:szCs w:val="24"/>
        </w:rPr>
        <w:t>Keywords</w:t>
      </w:r>
      <w:r w:rsidR="0015442F" w:rsidRPr="00372862">
        <w:rPr>
          <w:rFonts w:ascii="Times New Roman" w:hAnsi="Times New Roman"/>
          <w:b/>
          <w:sz w:val="24"/>
          <w:szCs w:val="24"/>
        </w:rPr>
        <w:t xml:space="preserve">: </w:t>
      </w:r>
      <w:r w:rsidR="0015442F" w:rsidRPr="00372862">
        <w:rPr>
          <w:rFonts w:ascii="Times New Roman" w:hAnsi="Times New Roman"/>
          <w:bCs/>
          <w:sz w:val="24"/>
          <w:szCs w:val="24"/>
        </w:rPr>
        <w:t>Blood pressure; longitudinal; trajectory; sex-specific; mortality; cardiovascular disease;</w:t>
      </w:r>
      <w:r w:rsidR="00347B94">
        <w:rPr>
          <w:rFonts w:ascii="Times New Roman" w:hAnsi="Times New Roman"/>
          <w:bCs/>
          <w:sz w:val="24"/>
          <w:szCs w:val="24"/>
        </w:rPr>
        <w:t xml:space="preserve"> </w:t>
      </w:r>
    </w:p>
    <w:p w14:paraId="32C1BB14" w14:textId="77777777" w:rsidR="007A326F" w:rsidRDefault="007A326F">
      <w:pPr>
        <w:spacing w:after="160" w:line="259" w:lineRule="auto"/>
        <w:rPr>
          <w:rFonts w:ascii="Times New Roman" w:hAnsi="Times New Roman"/>
          <w:bCs/>
          <w:sz w:val="24"/>
          <w:szCs w:val="24"/>
        </w:rPr>
      </w:pPr>
      <w:r>
        <w:rPr>
          <w:rFonts w:ascii="Times New Roman" w:hAnsi="Times New Roman"/>
          <w:bCs/>
          <w:sz w:val="24"/>
          <w:szCs w:val="24"/>
        </w:rPr>
        <w:br w:type="page"/>
      </w:r>
    </w:p>
    <w:p w14:paraId="10045658" w14:textId="77777777" w:rsidR="00D839CE" w:rsidRDefault="00D839CE" w:rsidP="00AE2F66">
      <w:pPr>
        <w:spacing w:line="360"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59268" behindDoc="0" locked="0" layoutInCell="1" allowOverlap="1" wp14:anchorId="45F3AB93" wp14:editId="5598BAFE">
            <wp:simplePos x="0" y="0"/>
            <wp:positionH relativeFrom="margin">
              <wp:posOffset>439420</wp:posOffset>
            </wp:positionH>
            <wp:positionV relativeFrom="paragraph">
              <wp:posOffset>285750</wp:posOffset>
            </wp:positionV>
            <wp:extent cx="4852670" cy="7351395"/>
            <wp:effectExtent l="0" t="0" r="508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52670" cy="735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26F" w:rsidRPr="007A326F">
        <w:rPr>
          <w:rFonts w:ascii="Times New Roman" w:hAnsi="Times New Roman"/>
          <w:b/>
          <w:sz w:val="24"/>
          <w:szCs w:val="24"/>
        </w:rPr>
        <w:t>GRAPHICAL ABSTRACT</w:t>
      </w:r>
    </w:p>
    <w:p w14:paraId="085E623B" w14:textId="299DA083" w:rsidR="00D839CE" w:rsidRDefault="00D839CE" w:rsidP="00AE2F66">
      <w:pPr>
        <w:spacing w:line="360" w:lineRule="auto"/>
        <w:rPr>
          <w:rFonts w:ascii="Times New Roman" w:hAnsi="Times New Roman"/>
          <w:bCs/>
          <w:sz w:val="24"/>
          <w:szCs w:val="24"/>
        </w:rPr>
      </w:pPr>
      <w:r w:rsidRPr="00D839CE">
        <w:rPr>
          <w:rFonts w:ascii="Times New Roman" w:hAnsi="Times New Roman"/>
          <w:b/>
          <w:sz w:val="24"/>
          <w:szCs w:val="24"/>
        </w:rPr>
        <w:t>Graphical Abstract</w:t>
      </w:r>
      <w:r w:rsidR="00F257F9">
        <w:rPr>
          <w:rFonts w:ascii="Times New Roman" w:hAnsi="Times New Roman"/>
          <w:b/>
          <w:sz w:val="24"/>
          <w:szCs w:val="24"/>
        </w:rPr>
        <w:t>.</w:t>
      </w:r>
      <w:r>
        <w:rPr>
          <w:rFonts w:ascii="Times New Roman" w:hAnsi="Times New Roman"/>
          <w:bCs/>
          <w:sz w:val="24"/>
          <w:szCs w:val="24"/>
        </w:rPr>
        <w:t xml:space="preserve"> </w:t>
      </w:r>
      <w:r w:rsidR="00F257F9">
        <w:rPr>
          <w:rFonts w:ascii="Times New Roman" w:hAnsi="Times New Roman"/>
          <w:bCs/>
          <w:sz w:val="24"/>
          <w:szCs w:val="24"/>
        </w:rPr>
        <w:t>S</w:t>
      </w:r>
      <w:r>
        <w:rPr>
          <w:rFonts w:ascii="Times New Roman" w:hAnsi="Times New Roman"/>
          <w:bCs/>
          <w:sz w:val="24"/>
          <w:szCs w:val="24"/>
        </w:rPr>
        <w:t>ummar</w:t>
      </w:r>
      <w:r w:rsidR="00F257F9">
        <w:rPr>
          <w:rFonts w:ascii="Times New Roman" w:hAnsi="Times New Roman"/>
          <w:bCs/>
          <w:sz w:val="24"/>
          <w:szCs w:val="24"/>
        </w:rPr>
        <w:t>y of</w:t>
      </w:r>
      <w:r>
        <w:rPr>
          <w:rFonts w:ascii="Times New Roman" w:hAnsi="Times New Roman"/>
          <w:bCs/>
          <w:sz w:val="24"/>
          <w:szCs w:val="24"/>
        </w:rPr>
        <w:t xml:space="preserve"> the main study </w:t>
      </w:r>
      <w:r w:rsidR="00F257F9">
        <w:rPr>
          <w:rFonts w:ascii="Times New Roman" w:hAnsi="Times New Roman"/>
          <w:bCs/>
          <w:sz w:val="24"/>
          <w:szCs w:val="24"/>
        </w:rPr>
        <w:t>findings</w:t>
      </w:r>
      <w:r>
        <w:rPr>
          <w:rFonts w:ascii="Times New Roman" w:hAnsi="Times New Roman"/>
          <w:bCs/>
          <w:sz w:val="24"/>
          <w:szCs w:val="24"/>
        </w:rPr>
        <w:t xml:space="preserve">. </w:t>
      </w:r>
    </w:p>
    <w:p w14:paraId="1110E901" w14:textId="2F55A348" w:rsidR="002170BB" w:rsidRPr="007A326F" w:rsidRDefault="00D839CE" w:rsidP="00AE2F66">
      <w:pPr>
        <w:spacing w:line="360" w:lineRule="auto"/>
        <w:rPr>
          <w:rFonts w:ascii="Times New Roman" w:hAnsi="Times New Roman"/>
          <w:b/>
          <w:sz w:val="24"/>
          <w:szCs w:val="24"/>
        </w:rPr>
      </w:pPr>
      <w:r>
        <w:rPr>
          <w:rFonts w:ascii="Times New Roman" w:hAnsi="Times New Roman"/>
          <w:bCs/>
          <w:sz w:val="24"/>
          <w:szCs w:val="24"/>
        </w:rPr>
        <w:t>EPIC – European Prospective Investigation into Cancer; LDL-c – low-density l</w:t>
      </w:r>
      <w:r w:rsidR="00706800">
        <w:rPr>
          <w:rFonts w:ascii="Times New Roman" w:hAnsi="Times New Roman"/>
          <w:bCs/>
          <w:sz w:val="24"/>
          <w:szCs w:val="24"/>
        </w:rPr>
        <w:t>ipoprotein cholesterol;</w:t>
      </w:r>
      <w:r w:rsidR="00706800" w:rsidRPr="00706800">
        <w:t xml:space="preserve"> </w:t>
      </w:r>
      <w:r w:rsidR="00706800" w:rsidRPr="00706800">
        <w:rPr>
          <w:rFonts w:ascii="Times New Roman" w:hAnsi="Times New Roman"/>
          <w:bCs/>
          <w:sz w:val="24"/>
          <w:szCs w:val="24"/>
        </w:rPr>
        <w:t xml:space="preserve">HbA1c – Glycated Haemoglobin; </w:t>
      </w:r>
      <w:r w:rsidR="00706800">
        <w:rPr>
          <w:rFonts w:ascii="Times New Roman" w:hAnsi="Times New Roman"/>
          <w:bCs/>
          <w:sz w:val="24"/>
          <w:szCs w:val="24"/>
        </w:rPr>
        <w:t>EtOH – alcohol use; BP – blood pressure; SBP – systolic blood pressure; DBP – diastolic blood pressure; CVD – cardiovascular disease</w:t>
      </w:r>
      <w:r w:rsidR="002170BB" w:rsidRPr="007A326F">
        <w:rPr>
          <w:rFonts w:ascii="Times New Roman" w:hAnsi="Times New Roman"/>
          <w:b/>
          <w:sz w:val="24"/>
          <w:szCs w:val="24"/>
        </w:rPr>
        <w:br w:type="page"/>
      </w:r>
    </w:p>
    <w:p w14:paraId="7A670370" w14:textId="77777777" w:rsidR="00CF5BCA" w:rsidRPr="00372862" w:rsidRDefault="000660BE" w:rsidP="006D6486">
      <w:pPr>
        <w:spacing w:line="360" w:lineRule="auto"/>
        <w:rPr>
          <w:rFonts w:ascii="Times New Roman" w:hAnsi="Times New Roman"/>
          <w:b/>
          <w:sz w:val="24"/>
          <w:szCs w:val="24"/>
        </w:rPr>
      </w:pPr>
      <w:r w:rsidRPr="00372862">
        <w:rPr>
          <w:rFonts w:ascii="Times New Roman" w:hAnsi="Times New Roman"/>
          <w:b/>
          <w:sz w:val="24"/>
          <w:szCs w:val="24"/>
        </w:rPr>
        <w:lastRenderedPageBreak/>
        <w:t>INTRODUCTION</w:t>
      </w:r>
    </w:p>
    <w:p w14:paraId="4C9660A9" w14:textId="10C06BC5" w:rsidR="000A458F" w:rsidRDefault="000A458F" w:rsidP="002D367F">
      <w:pPr>
        <w:spacing w:line="360" w:lineRule="auto"/>
        <w:rPr>
          <w:rFonts w:ascii="Times New Roman" w:hAnsi="Times New Roman"/>
          <w:sz w:val="24"/>
          <w:szCs w:val="24"/>
        </w:rPr>
      </w:pPr>
      <w:r>
        <w:rPr>
          <w:rFonts w:ascii="Times New Roman" w:hAnsi="Times New Roman"/>
          <w:sz w:val="24"/>
          <w:szCs w:val="24"/>
        </w:rPr>
        <w:t>While the magnitude of blood pressure (BP) elevation predicts the strength of association between hypertension and adverse outcomes</w:t>
      </w:r>
      <w:r w:rsidRPr="002D367F">
        <w:rPr>
          <w:rFonts w:ascii="Times New Roman" w:hAnsi="Times New Roman"/>
          <w:sz w:val="24"/>
          <w:szCs w:val="24"/>
        </w:rPr>
        <w:fldChar w:fldCharType="begin" w:fldLock="1"/>
      </w:r>
      <w:r w:rsidR="008600D6">
        <w:rPr>
          <w:rFonts w:ascii="Times New Roman" w:hAnsi="Times New Roman"/>
          <w:sz w:val="24"/>
          <w:szCs w:val="24"/>
        </w:rPr>
        <w:instrText>ADDIN CSL_CITATION {"citationItems":[{"id":"ITEM-1","itemData":{"DOI":"10.1093/eurheartj/ehy339","ISSN":"1522-9645 (Electronic)","PMID":"30165516","author":[{"dropping-particle":"","family":"Williams","given":"Bryan","non-dropping-particle":"","parse-names":false,"suffix":""},{"dropping-particle":"","family":"Mancia","given":"Giuseppe","non-dropping-particle":"","parse-names":false,"suffix":""},{"dropping-particle":"","family":"Spiering","given":"Wilko","non-dropping-particle":"","parse-names":false,"suffix":""},{"dropping-particle":"","family":"Agabiti Rosei","given":"Enrico","non-dropping-particle":"","parse-names":false,"suffix":""},{"dropping-particle":"","family":"Azizi","given":"Michel","non-dropping-particle":"","parse-names":false,"suffix":""},{"dropping-particle":"","family":"Burnier","given":"Michel","non-dropping-particle":"","parse-names":false,"suffix":""},{"dropping-particle":"","family":"Clement","given":"Denis L","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 E","non-dropping-particle":"","parse-names":false,"suffix":""},{"dropping-particle":"","family":"Kreutz","given":"Reinhold","non-dropping-particle":"","parse-names":false,"suffix":""},{"dropping-particle":"","family":"Laurent","given":"Stephane","non-dropping-particle":"","parse-names":false,"suffix":""},{"dropping-particle":"","family":"Lip","given":"Gregory Y 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 E","non-dropping-particle":"","parse-names":false,"suffix":""},{"dropping-particle":"","family":"Shlyakhto","given":"Evgeny","non-dropping-particle":"","parse-names":false,"suffix":""},{"dropping-particle":"","family":"Tsioufis","given":"Costas","non-dropping-particle":"","parse-names":false,"suffix":""},{"dropping-particle":"","family":"Aboyans","given":"Victor","non-dropping-particle":"","parse-names":false,"suffix":""},{"dropping-particle":"","family":"Desormais","given":"Ileana","non-dropping-particle":"","parse-names":false,"suffix":""}],"container-title":"European heart journal","id":"ITEM-1","issue":"33","issued":{"date-parts":[["2018","9"]]},"language":"eng","page":"3021-3104","publisher-place":"England","title":"2018 ESC/ESH Guidelines for the management of arterial hypertension.","type":"article-journal","volume":"39"},"uris":["http://www.mendeley.com/documents/?uuid=aec8f922-2e6c-409d-88b5-d2bcd780f4b1"]},{"id":"ITEM-2","itemData":{"author":[{"dropping-particle":"","family":"National Institute for Health and Care Excellence","given":"","non-dropping-particle":"","parse-names":false,"suffix":""}],"id":"ITEM-2","issued":{"date-parts":[["2019"]]},"publisher":"NICE","title":"Overview | Hypertension in adults: diagnosis and management | Guidance | NICE","type":"article-journal"},"uris":["http://www.mendeley.com/documents/?uuid=4853e750-5347-3ae5-b3d2-c8f1f2b316ae"]},{"id":"ITEM-3","itemData":{"DOI":"10.1161/HYP.0000000000000065","ISSN":"1524-4563 (Electronic)","PMID":"29133356","author":[{"dropping-particle":"","family":"Whelton","given":"Paul K","non-dropping-particle":"","parse-names":false,"suffix":""},{"dropping-particle":"","family":"Carey","given":"Robert M","non-dropping-particle":"","parse-names":false,"suffix":""},{"dropping-particle":"","family":"Aronow","given":"Wilbert S","non-dropping-particle":"","parse-names":false,"suffix":""},{"dropping-particle":"","family":"Casey","given":"Donald E Jr","non-dropping-particle":"","parse-names":false,"suffix":""},{"dropping-particle":"","family":"Collins","given":"Karen J","non-dropping-particle":"","parse-names":false,"suffix":""},{"dropping-particle":"","family":"Dennison Himmelfarb","given":"Cheryl","non-dropping-particle":"","parse-names":false,"suffix":""},{"dropping-particle":"","family":"DePalma","given":"Sondra M","non-dropping-particle":"","parse-names":false,"suffix":""},{"dropping-particle":"","family":"Gidding","given":"Samuel","non-dropping-particle":"","parse-names":false,"suffix":""},{"dropping-particle":"","family":"Jamerson","given":"Kenneth A","non-dropping-particle":"","parse-names":false,"suffix":""},{"dropping-particle":"","family":"Jones","given":"Daniel W","non-dropping-particle":"","parse-names":false,"suffix":""},{"dropping-particle":"","family":"MacLaughlin","given":"Eric J","non-dropping-particle":"","parse-names":false,"suffix":""},{"dropping-particle":"","family":"Muntner","given":"Paul","non-dropping-particle":"","parse-names":false,"suffix":""},{"dropping-particle":"","family":"Ovbiagele","given":"Bruce","non-dropping-particle":"","parse-names":false,"suffix":""},{"dropping-particle":"","family":"Smith","given":"Sidney C Jr","non-dropping-particle":"","parse-names":false,"suffix":""},{"dropping-particle":"","family":"Spencer","given":"Crystal C","non-dropping-particle":"","parse-names":false,"suffix":""},{"dropping-particle":"","family":"Stafford","given":"Randall S","non-dropping-particle":"","parse-names":false,"suffix":""},{"dropping-particle":"","family":"Taler","given":"Sandra J","non-dropping-particle":"","parse-names":false,"suffix":""},{"dropping-particle":"","family":"Thomas","given":"Randal J","non-dropping-particle":"","parse-names":false,"suffix":""},{"dropping-particle":"","family":"Williams","given":"Kim A Sr","non-dropping-particle":"","parse-names":false,"suffix":""},{"dropping-particle":"","family":"Williamson","given":"Jeff D","non-dropping-particle":"","parse-names":false,"suffix":""},{"dropping-particle":"","family":"Wright","given":"Jackson T Jr","non-dropping-particle":"","parse-names":false,"suffix":""}],"container-title":"Hypertension (Dallas, Tex. : 1979)","id":"ITEM-3","issue":"6","issued":{"date-parts":[["2018","6"]]},"language":"eng","page":"e13-e115","publisher-place":"United States","title":"2017 ACC/AHA/AAPA/ABC/ACPM/AGS/APhA/ASH/ASPC/NMA/PCNA Guideline for the Prevention, Detection, Evaluation, and Management of High Blood Pressure in Adults: A Report of the American College of Cardiology/American Heart Association Task Force on Clinical Pr","type":"article-journal","volume":"71"},"uris":["http://www.mendeley.com/documents/?uuid=4e750598-61e3-4f55-b354-d61a06d053b1"]}],"mendeley":{"formattedCitation":"&lt;sup&gt;1–3&lt;/sup&gt;","plainTextFormattedCitation":"1–3","previouslyFormattedCitation":"&lt;sup&gt;1–3&lt;/sup&gt;"},"properties":{"noteIndex":0},"schema":"https://github.com/citation-style-language/schema/raw/master/csl-citation.json"}</w:instrText>
      </w:r>
      <w:r w:rsidRPr="002D367F">
        <w:rPr>
          <w:rFonts w:ascii="Times New Roman" w:hAnsi="Times New Roman"/>
          <w:sz w:val="24"/>
          <w:szCs w:val="24"/>
        </w:rPr>
        <w:fldChar w:fldCharType="separate"/>
      </w:r>
      <w:r w:rsidR="008A2BB5" w:rsidRPr="008A2BB5">
        <w:rPr>
          <w:rFonts w:ascii="Times New Roman" w:hAnsi="Times New Roman"/>
          <w:noProof/>
          <w:sz w:val="24"/>
          <w:szCs w:val="24"/>
          <w:vertAlign w:val="superscript"/>
        </w:rPr>
        <w:t>1–3</w:t>
      </w:r>
      <w:r w:rsidRPr="002D367F">
        <w:rPr>
          <w:rFonts w:ascii="Times New Roman" w:hAnsi="Times New Roman"/>
          <w:sz w:val="24"/>
          <w:szCs w:val="24"/>
        </w:rPr>
        <w:fldChar w:fldCharType="end"/>
      </w:r>
      <w:r>
        <w:rPr>
          <w:rFonts w:ascii="Times New Roman" w:hAnsi="Times New Roman"/>
          <w:sz w:val="24"/>
          <w:szCs w:val="24"/>
        </w:rPr>
        <w:t>, l</w:t>
      </w:r>
      <w:r w:rsidR="002D367F" w:rsidRPr="002D367F">
        <w:rPr>
          <w:rFonts w:ascii="Times New Roman" w:hAnsi="Times New Roman"/>
          <w:sz w:val="24"/>
          <w:szCs w:val="24"/>
        </w:rPr>
        <w:t>ong-term exposure</w:t>
      </w:r>
      <w:r>
        <w:rPr>
          <w:rFonts w:ascii="Times New Roman" w:hAnsi="Times New Roman"/>
          <w:sz w:val="24"/>
          <w:szCs w:val="24"/>
        </w:rPr>
        <w:t xml:space="preserve"> to elevated BP values</w:t>
      </w:r>
      <w:r w:rsidR="002D367F" w:rsidRPr="002D367F">
        <w:rPr>
          <w:rFonts w:ascii="Times New Roman" w:hAnsi="Times New Roman"/>
          <w:sz w:val="24"/>
          <w:szCs w:val="24"/>
        </w:rPr>
        <w:t xml:space="preserve"> is also important. </w:t>
      </w:r>
      <w:r w:rsidR="00C445FE">
        <w:rPr>
          <w:rFonts w:ascii="Times New Roman" w:hAnsi="Times New Roman"/>
          <w:sz w:val="24"/>
          <w:szCs w:val="24"/>
        </w:rPr>
        <w:t>L</w:t>
      </w:r>
      <w:r w:rsidR="002D367F" w:rsidRPr="002D367F">
        <w:rPr>
          <w:rFonts w:ascii="Times New Roman" w:hAnsi="Times New Roman"/>
          <w:sz w:val="24"/>
          <w:szCs w:val="24"/>
        </w:rPr>
        <w:t xml:space="preserve">ong-term BP trajectories allow additional factors </w:t>
      </w:r>
      <w:r w:rsidR="00817621">
        <w:rPr>
          <w:rFonts w:ascii="Times New Roman" w:hAnsi="Times New Roman"/>
          <w:sz w:val="24"/>
          <w:szCs w:val="24"/>
        </w:rPr>
        <w:t>including</w:t>
      </w:r>
      <w:r w:rsidR="002D367F" w:rsidRPr="002D367F">
        <w:rPr>
          <w:rFonts w:ascii="Times New Roman" w:hAnsi="Times New Roman"/>
          <w:sz w:val="24"/>
          <w:szCs w:val="24"/>
        </w:rPr>
        <w:t xml:space="preserve"> antihypertensive treatment and ageing-related changes in arterial stiffness and BP</w:t>
      </w:r>
      <w:r w:rsidR="002D367F" w:rsidRPr="002D367F">
        <w:rPr>
          <w:rFonts w:ascii="Times New Roman" w:hAnsi="Times New Roman"/>
          <w:sz w:val="24"/>
          <w:szCs w:val="24"/>
        </w:rPr>
        <w:fldChar w:fldCharType="begin" w:fldLock="1"/>
      </w:r>
      <w:r w:rsidR="008600D6">
        <w:rPr>
          <w:rFonts w:ascii="Times New Roman" w:hAnsi="Times New Roman"/>
          <w:sz w:val="24"/>
          <w:szCs w:val="24"/>
        </w:rPr>
        <w:instrText>ADDIN CSL_CITATION {"citationItems":[{"id":"ITEM-1","itemData":{"DOI":"10.1161/HYPERTENSIONAHA.114.03617","ISSN":"1524-4563 (Electronic)","PMID":"25368028","author":[{"dropping-particle":"","family":"Sun","given":"Zhongjie","non-dropping-particle":"","parse-names":false,"suffix":""}],"container-title":"Hypertension (Dallas, Tex. : 1979)","id":"ITEM-1","issue":"2","issued":{"date-parts":[["2015","2"]]},"language":"eng","page":"252-256","publisher-place":"United States","title":"Aging, arterial stiffness, and hypertension.","type":"article-journal","volume":"65"},"uris":["http://www.mendeley.com/documents/?uuid=f35a6285-6966-487f-9a6e-fb049307f8d8"]}],"mendeley":{"formattedCitation":"&lt;sup&gt;4&lt;/sup&gt;","plainTextFormattedCitation":"4","previouslyFormattedCitation":"&lt;sup&gt;4&lt;/sup&gt;"},"properties":{"noteIndex":0},"schema":"https://github.com/citation-style-language/schema/raw/master/csl-citation.json"}</w:instrText>
      </w:r>
      <w:r w:rsidR="002D367F" w:rsidRPr="002D367F">
        <w:rPr>
          <w:rFonts w:ascii="Times New Roman" w:hAnsi="Times New Roman"/>
          <w:sz w:val="24"/>
          <w:szCs w:val="24"/>
        </w:rPr>
        <w:fldChar w:fldCharType="separate"/>
      </w:r>
      <w:r w:rsidR="008A2BB5" w:rsidRPr="008A2BB5">
        <w:rPr>
          <w:rFonts w:ascii="Times New Roman" w:hAnsi="Times New Roman"/>
          <w:noProof/>
          <w:sz w:val="24"/>
          <w:szCs w:val="24"/>
          <w:vertAlign w:val="superscript"/>
        </w:rPr>
        <w:t>4</w:t>
      </w:r>
      <w:r w:rsidR="002D367F" w:rsidRPr="002D367F">
        <w:rPr>
          <w:rFonts w:ascii="Times New Roman" w:hAnsi="Times New Roman"/>
          <w:sz w:val="24"/>
          <w:szCs w:val="24"/>
        </w:rPr>
        <w:fldChar w:fldCharType="end"/>
      </w:r>
      <w:r w:rsidR="002D367F" w:rsidRPr="002D367F">
        <w:rPr>
          <w:rFonts w:ascii="Times New Roman" w:hAnsi="Times New Roman"/>
          <w:sz w:val="24"/>
          <w:szCs w:val="24"/>
        </w:rPr>
        <w:t xml:space="preserve"> to be considered. </w:t>
      </w:r>
      <w:r w:rsidR="00631C7F">
        <w:rPr>
          <w:rFonts w:ascii="Times New Roman" w:hAnsi="Times New Roman"/>
          <w:sz w:val="24"/>
          <w:szCs w:val="24"/>
        </w:rPr>
        <w:t>Group based trajectory modelling (GBTM) is a data</w:t>
      </w:r>
      <w:r w:rsidR="002612E9">
        <w:rPr>
          <w:rFonts w:ascii="Times New Roman" w:hAnsi="Times New Roman"/>
          <w:sz w:val="24"/>
          <w:szCs w:val="24"/>
        </w:rPr>
        <w:t>-</w:t>
      </w:r>
      <w:r w:rsidR="00631C7F">
        <w:rPr>
          <w:rFonts w:ascii="Times New Roman" w:hAnsi="Times New Roman"/>
          <w:sz w:val="24"/>
          <w:szCs w:val="24"/>
        </w:rPr>
        <w:t xml:space="preserve">driven approach which allows the derivation of </w:t>
      </w:r>
      <w:r w:rsidR="00C51DA9">
        <w:rPr>
          <w:rFonts w:ascii="Times New Roman" w:hAnsi="Times New Roman"/>
          <w:sz w:val="24"/>
          <w:szCs w:val="24"/>
        </w:rPr>
        <w:t xml:space="preserve"> clusters</w:t>
      </w:r>
      <w:r w:rsidR="002612E9">
        <w:rPr>
          <w:rFonts w:ascii="Times New Roman" w:hAnsi="Times New Roman"/>
          <w:sz w:val="24"/>
          <w:szCs w:val="24"/>
        </w:rPr>
        <w:t xml:space="preserve"> of individuals exhibiting </w:t>
      </w:r>
      <w:r w:rsidR="002B1FC6">
        <w:rPr>
          <w:rFonts w:ascii="Times New Roman" w:hAnsi="Times New Roman"/>
          <w:sz w:val="24"/>
          <w:szCs w:val="24"/>
        </w:rPr>
        <w:t xml:space="preserve">statistically </w:t>
      </w:r>
      <w:r w:rsidR="002612E9">
        <w:rPr>
          <w:rFonts w:ascii="Times New Roman" w:hAnsi="Times New Roman"/>
          <w:sz w:val="24"/>
          <w:szCs w:val="24"/>
        </w:rPr>
        <w:t xml:space="preserve">similar </w:t>
      </w:r>
      <w:r w:rsidR="002B1FC6">
        <w:rPr>
          <w:rFonts w:ascii="Times New Roman" w:hAnsi="Times New Roman"/>
          <w:sz w:val="24"/>
          <w:szCs w:val="24"/>
        </w:rPr>
        <w:t>longitudinal</w:t>
      </w:r>
      <w:r w:rsidR="002612E9">
        <w:rPr>
          <w:rFonts w:ascii="Times New Roman" w:hAnsi="Times New Roman"/>
          <w:sz w:val="24"/>
          <w:szCs w:val="24"/>
        </w:rPr>
        <w:t xml:space="preserve"> trajectories</w:t>
      </w:r>
      <w:r w:rsidR="00195AD8">
        <w:rPr>
          <w:rFonts w:ascii="Times New Roman" w:hAnsi="Times New Roman"/>
          <w:sz w:val="24"/>
          <w:szCs w:val="24"/>
        </w:rPr>
        <w:t xml:space="preserve"> of a given parameter, such as </w:t>
      </w:r>
      <w:r w:rsidR="009236C6">
        <w:rPr>
          <w:rFonts w:ascii="Times New Roman" w:hAnsi="Times New Roman"/>
          <w:sz w:val="24"/>
          <w:szCs w:val="24"/>
        </w:rPr>
        <w:t>blood pressure</w:t>
      </w:r>
      <w:r w:rsidR="002612E9">
        <w:rPr>
          <w:rFonts w:ascii="Times New Roman" w:hAnsi="Times New Roman"/>
          <w:sz w:val="24"/>
          <w:szCs w:val="24"/>
        </w:rPr>
        <w:fldChar w:fldCharType="begin" w:fldLock="1"/>
      </w:r>
      <w:r w:rsidR="00150C76">
        <w:rPr>
          <w:rFonts w:ascii="Times New Roman" w:hAnsi="Times New Roman"/>
          <w:sz w:val="24"/>
          <w:szCs w:val="24"/>
        </w:rPr>
        <w:instrText>ADDIN CSL_CITATION {"citationItems":[{"id":"ITEM-1","itemData":{"DOI":"10.1136/bmjdrc-2016-000243","ISSN":"2052-4897 (Print)","PMID":"27648291","abstract":"OBJECTIVE: To describe the natural history of glycemia (as measured by glycated hemoglobin (HbA1c)) over 12 years using group-based trajectory modeling (GBTM), and to examine baseline predictors of trajectory. RESEARCH DESIGN AND METHODS: HbA1c data collected at ages 26, 32 and 38 in the long-running, prospective Dunedin Multidisciplinary Health and Development Study were used to assign study members (n=893) to trajectories applying GBTM. A generalization of the model allowed the statistical linking of baseline demographic, smoking and anthropometric characteristics to group membership probability. RESULTS: Mean HbA1c increased with age, as did prevalence of prediabetes, diabetes and dysglycemia. The greatest increase occurred between ages 26 and 32. Glycemic health status at age 26 predicted glycemic health status at age 38. 3 HbA1c trajectory groups were identified: 'low' (n=98, 11.0%); 'medium' (n=482, 54.0%); and 'high' (n=313, 35.0%) with mean HbA1c of 29.6, 34.1, and 38.7 mmol/mol, respectively, at age 38. High waist circumference (&gt;/=880 mm for women and &gt;/=1020 mm for men), high waist- height ratio (&gt;/=0.50), and being a smoker at age 26 predicted membership of the least favorable trajectory over the next 12 years. High body mass index (&gt;/=30) at age 26 did not predict of trajectory. CONCLUSIONS: Trajectories of HbA1c are established relatively early in adulthood. HbA1c levels, waist circumference, waist-height ratio, and smoking status at age 26 are valid clinical predictors for future dysglycemic risk. The identification of HbA1c trajectories and their predictors introduces the possibility of an individualized approach to prevention at an earlier stage than is currently done.","author":[{"dropping-particle":"","family":"Shearer","given":"Dara M","non-dropping-particle":"","parse-names":false,"suffix":""},{"dropping-particle":"","family":"Thomson","given":"W Murray","non-dropping-particle":"","parse-names":false,"suffix":""},{"dropping-particle":"","family":"Broadbent","given":"Jonathan M","non-dropping-particle":"","parse-names":false,"suffix":""},{"dropping-particle":"","family":"McLean","given":"Rachael","non-dropping-particle":"","parse-names":false,"suffix":""},{"dropping-particle":"","family":"Poulton","given":"Richie","non-dropping-particle":"","parse-names":false,"suffix":""},{"dropping-particle":"","family":"Mann","given":"Jim","non-dropping-particle":"","parse-names":false,"suffix":""}],"container-title":"BMJ open diabetes research &amp; care","id":"ITEM-1","issue":"1","issued":{"date-parts":[["2016"]]},"language":"eng","page":"e000243","publisher-place":"England","title":"High-risk glycated hemoglobin trajectories established by mid-20s: findings from a birth cohort study.","type":"article-journal","volume":"4"},"uris":["http://www.mendeley.com/documents/?uuid=08688ba5-6230-42ff-818c-3604ab088e17"]}],"mendeley":{"formattedCitation":"&lt;sup&gt;5&lt;/sup&gt;","plainTextFormattedCitation":"5","previouslyFormattedCitation":"&lt;sup&gt;5&lt;/sup&gt;"},"properties":{"noteIndex":0},"schema":"https://github.com/citation-style-language/schema/raw/master/csl-citation.json"}</w:instrText>
      </w:r>
      <w:r w:rsidR="002612E9">
        <w:rPr>
          <w:rFonts w:ascii="Times New Roman" w:hAnsi="Times New Roman"/>
          <w:sz w:val="24"/>
          <w:szCs w:val="24"/>
        </w:rPr>
        <w:fldChar w:fldCharType="separate"/>
      </w:r>
      <w:r w:rsidR="002612E9" w:rsidRPr="002612E9">
        <w:rPr>
          <w:rFonts w:ascii="Times New Roman" w:hAnsi="Times New Roman"/>
          <w:noProof/>
          <w:sz w:val="24"/>
          <w:szCs w:val="24"/>
          <w:vertAlign w:val="superscript"/>
        </w:rPr>
        <w:t>5</w:t>
      </w:r>
      <w:r w:rsidR="002612E9">
        <w:rPr>
          <w:rFonts w:ascii="Times New Roman" w:hAnsi="Times New Roman"/>
          <w:sz w:val="24"/>
          <w:szCs w:val="24"/>
        </w:rPr>
        <w:fldChar w:fldCharType="end"/>
      </w:r>
      <w:r w:rsidR="002612E9">
        <w:rPr>
          <w:rFonts w:ascii="Times New Roman" w:hAnsi="Times New Roman"/>
          <w:sz w:val="24"/>
          <w:szCs w:val="24"/>
        </w:rPr>
        <w:t>.</w:t>
      </w:r>
      <w:r w:rsidR="002B1FC6">
        <w:rPr>
          <w:rFonts w:ascii="Times New Roman" w:hAnsi="Times New Roman"/>
          <w:sz w:val="24"/>
          <w:szCs w:val="24"/>
        </w:rPr>
        <w:t xml:space="preserve"> Unlike approaches which define longitudinal trajectories </w:t>
      </w:r>
      <w:r w:rsidR="002B1FC6" w:rsidRPr="00231EA0">
        <w:rPr>
          <w:rFonts w:ascii="Times New Roman" w:hAnsi="Times New Roman"/>
          <w:i/>
          <w:iCs/>
          <w:sz w:val="24"/>
          <w:szCs w:val="24"/>
        </w:rPr>
        <w:t>a priori</w:t>
      </w:r>
      <w:r w:rsidR="002B1FC6">
        <w:rPr>
          <w:rFonts w:ascii="Times New Roman" w:hAnsi="Times New Roman"/>
          <w:sz w:val="24"/>
          <w:szCs w:val="24"/>
        </w:rPr>
        <w:t xml:space="preserve">, GBTM </w:t>
      </w:r>
      <w:r w:rsidR="000455DD">
        <w:rPr>
          <w:rFonts w:ascii="Times New Roman" w:hAnsi="Times New Roman"/>
          <w:sz w:val="24"/>
          <w:szCs w:val="24"/>
        </w:rPr>
        <w:t xml:space="preserve">does not rely on assumptions based on subjective and inflexible </w:t>
      </w:r>
      <w:r w:rsidR="000455DD" w:rsidRPr="00DD4F48">
        <w:rPr>
          <w:rFonts w:ascii="Times New Roman" w:hAnsi="Times New Roman"/>
          <w:i/>
          <w:iCs/>
          <w:sz w:val="24"/>
          <w:szCs w:val="24"/>
        </w:rPr>
        <w:t>ex ante</w:t>
      </w:r>
      <w:r w:rsidR="000455DD">
        <w:rPr>
          <w:rFonts w:ascii="Times New Roman" w:hAnsi="Times New Roman"/>
          <w:sz w:val="24"/>
          <w:szCs w:val="24"/>
        </w:rPr>
        <w:t xml:space="preserve"> assignment rules</w:t>
      </w:r>
      <w:r w:rsidR="00150C76">
        <w:rPr>
          <w:rFonts w:ascii="Times New Roman" w:hAnsi="Times New Roman"/>
          <w:sz w:val="24"/>
          <w:szCs w:val="24"/>
        </w:rPr>
        <w:fldChar w:fldCharType="begin" w:fldLock="1"/>
      </w:r>
      <w:r w:rsidR="006F134C">
        <w:rPr>
          <w:rFonts w:ascii="Times New Roman" w:hAnsi="Times New Roman"/>
          <w:sz w:val="24"/>
          <w:szCs w:val="24"/>
        </w:rPr>
        <w:instrText>ADDIN CSL_CITATION {"citationItems":[{"id":"ITEM-1","itemData":{"DOI":"10.1146/annurev.clinpsy.121208.131413","ISSN":"1548-5951 (Electronic)","PMID":"20192788","abstract":"Group-based trajectory models are increasingly being applied in clinical research to map the developmental course of symptoms and assess heterogeneity in response to clinical interventions. In this review, we provide a nontechnical overview of group-based trajectory and growth mixture modeling alongside a sampling of how these models have been applied in clinical research. We discuss the challenges associated with the application of both types of group-based models and propose a set of preliminary guidelines for applied researchers to follow when reporting model results. Future directions in group-based modeling applications are discussed, including the use of trajectory models to facilitate causal inference when random assignment to treatment condition is not possible.","author":[{"dropping-particle":"","family":"Nagin","given":"Daniel S","non-dropping-particle":"","parse-names":false,"suffix":""},{"dropping-particle":"","family":"Odgers","given":"Candice L","non-dropping-particle":"","parse-names":false,"suffix":""}],"container-title":"Annual review of clinical psychology","id":"ITEM-1","issued":{"date-parts":[["2010"]]},"language":"eng","page":"109-138","publisher-place":"United States","title":"Group-based trajectory modeling in clinical research.","type":"article-journal","volume":"6"},"uris":["http://www.mendeley.com/documents/?uuid=e290bc45-e08d-446f-9f6c-859434559716"]}],"mendeley":{"formattedCitation":"&lt;sup&gt;6&lt;/sup&gt;","plainTextFormattedCitation":"6","previouslyFormattedCitation":"&lt;sup&gt;6&lt;/sup&gt;"},"properties":{"noteIndex":0},"schema":"https://github.com/citation-style-language/schema/raw/master/csl-citation.json"}</w:instrText>
      </w:r>
      <w:r w:rsidR="00150C76">
        <w:rPr>
          <w:rFonts w:ascii="Times New Roman" w:hAnsi="Times New Roman"/>
          <w:sz w:val="24"/>
          <w:szCs w:val="24"/>
        </w:rPr>
        <w:fldChar w:fldCharType="separate"/>
      </w:r>
      <w:r w:rsidR="00150C76" w:rsidRPr="00150C76">
        <w:rPr>
          <w:rFonts w:ascii="Times New Roman" w:hAnsi="Times New Roman"/>
          <w:noProof/>
          <w:sz w:val="24"/>
          <w:szCs w:val="24"/>
          <w:vertAlign w:val="superscript"/>
        </w:rPr>
        <w:t>6</w:t>
      </w:r>
      <w:r w:rsidR="00150C76">
        <w:rPr>
          <w:rFonts w:ascii="Times New Roman" w:hAnsi="Times New Roman"/>
          <w:sz w:val="24"/>
          <w:szCs w:val="24"/>
        </w:rPr>
        <w:fldChar w:fldCharType="end"/>
      </w:r>
      <w:r w:rsidR="000455DD">
        <w:rPr>
          <w:rFonts w:ascii="Times New Roman" w:hAnsi="Times New Roman"/>
          <w:sz w:val="24"/>
          <w:szCs w:val="24"/>
        </w:rPr>
        <w:t>.</w:t>
      </w:r>
      <w:r w:rsidR="00150C76">
        <w:rPr>
          <w:rFonts w:ascii="Times New Roman" w:hAnsi="Times New Roman"/>
          <w:sz w:val="24"/>
          <w:szCs w:val="24"/>
        </w:rPr>
        <w:t xml:space="preserve"> </w:t>
      </w:r>
      <w:r w:rsidR="006F134C">
        <w:rPr>
          <w:rFonts w:ascii="Times New Roman" w:hAnsi="Times New Roman"/>
          <w:sz w:val="24"/>
          <w:szCs w:val="24"/>
        </w:rPr>
        <w:t>GBTM therefore enables the identification of new and previously unrecognised longitudinal trajectories</w:t>
      </w:r>
      <w:r w:rsidR="006F134C">
        <w:rPr>
          <w:rFonts w:ascii="Times New Roman" w:hAnsi="Times New Roman"/>
          <w:sz w:val="24"/>
          <w:szCs w:val="24"/>
        </w:rPr>
        <w:fldChar w:fldCharType="begin" w:fldLock="1"/>
      </w:r>
      <w:r w:rsidR="00403302">
        <w:rPr>
          <w:rFonts w:ascii="Times New Roman" w:hAnsi="Times New Roman"/>
          <w:sz w:val="24"/>
          <w:szCs w:val="24"/>
        </w:rPr>
        <w:instrText>ADDIN CSL_CITATION {"citationItems":[{"id":"ITEM-1","itemData":{"DOI":"10.1146/annurev.clinpsy.121208.131413","ISSN":"1548-5951 (Electronic)","PMID":"20192788","abstract":"Group-based trajectory models are increasingly being applied in clinical research to map the developmental course of symptoms and assess heterogeneity in response to clinical interventions. In this review, we provide a nontechnical overview of group-based trajectory and growth mixture modeling alongside a sampling of how these models have been applied in clinical research. We discuss the challenges associated with the application of both types of group-based models and propose a set of preliminary guidelines for applied researchers to follow when reporting model results. Future directions in group-based modeling applications are discussed, including the use of trajectory models to facilitate causal inference when random assignment to treatment condition is not possible.","author":[{"dropping-particle":"","family":"Nagin","given":"Daniel S","non-dropping-particle":"","parse-names":false,"suffix":""},{"dropping-particle":"","family":"Odgers","given":"Candice L","non-dropping-particle":"","parse-names":false,"suffix":""}],"container-title":"Annual review of clinical psychology","id":"ITEM-1","issued":{"date-parts":[["2010"]]},"language":"eng","page":"109-138","publisher-place":"United States","title":"Group-based trajectory modeling in clinical research.","type":"article-journal","volume":"6"},"uris":["http://www.mendeley.com/documents/?uuid=e290bc45-e08d-446f-9f6c-859434559716"]}],"mendeley":{"formattedCitation":"&lt;sup&gt;6&lt;/sup&gt;","plainTextFormattedCitation":"6","previouslyFormattedCitation":"&lt;sup&gt;6&lt;/sup&gt;"},"properties":{"noteIndex":0},"schema":"https://github.com/citation-style-language/schema/raw/master/csl-citation.json"}</w:instrText>
      </w:r>
      <w:r w:rsidR="006F134C">
        <w:rPr>
          <w:rFonts w:ascii="Times New Roman" w:hAnsi="Times New Roman"/>
          <w:sz w:val="24"/>
          <w:szCs w:val="24"/>
        </w:rPr>
        <w:fldChar w:fldCharType="separate"/>
      </w:r>
      <w:r w:rsidR="006F134C" w:rsidRPr="006F134C">
        <w:rPr>
          <w:rFonts w:ascii="Times New Roman" w:hAnsi="Times New Roman"/>
          <w:noProof/>
          <w:sz w:val="24"/>
          <w:szCs w:val="24"/>
          <w:vertAlign w:val="superscript"/>
        </w:rPr>
        <w:t>6</w:t>
      </w:r>
      <w:r w:rsidR="006F134C">
        <w:rPr>
          <w:rFonts w:ascii="Times New Roman" w:hAnsi="Times New Roman"/>
          <w:sz w:val="24"/>
          <w:szCs w:val="24"/>
        </w:rPr>
        <w:fldChar w:fldCharType="end"/>
      </w:r>
      <w:r w:rsidR="006F134C">
        <w:rPr>
          <w:rFonts w:ascii="Times New Roman" w:hAnsi="Times New Roman"/>
          <w:sz w:val="24"/>
          <w:szCs w:val="24"/>
        </w:rPr>
        <w:t xml:space="preserve">. </w:t>
      </w:r>
      <w:r w:rsidR="00957242">
        <w:rPr>
          <w:rFonts w:ascii="Times New Roman" w:hAnsi="Times New Roman"/>
          <w:sz w:val="24"/>
          <w:szCs w:val="24"/>
        </w:rPr>
        <w:t>In</w:t>
      </w:r>
      <w:r w:rsidR="00403302">
        <w:rPr>
          <w:rFonts w:ascii="Times New Roman" w:hAnsi="Times New Roman"/>
          <w:sz w:val="24"/>
          <w:szCs w:val="24"/>
        </w:rPr>
        <w:t xml:space="preserve"> this data driven approach, </w:t>
      </w:r>
      <w:r w:rsidR="00195AD8">
        <w:rPr>
          <w:rFonts w:ascii="Times New Roman" w:hAnsi="Times New Roman"/>
          <w:sz w:val="24"/>
          <w:szCs w:val="24"/>
        </w:rPr>
        <w:t xml:space="preserve">the clusters thus identified </w:t>
      </w:r>
      <w:r w:rsidR="00403302">
        <w:rPr>
          <w:rFonts w:ascii="Times New Roman" w:hAnsi="Times New Roman"/>
          <w:sz w:val="24"/>
          <w:szCs w:val="24"/>
        </w:rPr>
        <w:t xml:space="preserve">do not represent distinct fixed entities but rather convenient groupings of individuals following similar trajectories. Individuals are assigned to each trajectory group based on a probability of group membership and therefore the interpretation of such trajectories </w:t>
      </w:r>
      <w:r w:rsidR="00957242">
        <w:rPr>
          <w:rFonts w:ascii="Times New Roman" w:hAnsi="Times New Roman"/>
          <w:sz w:val="24"/>
          <w:szCs w:val="24"/>
        </w:rPr>
        <w:t>depends on</w:t>
      </w:r>
      <w:r w:rsidR="00403302">
        <w:rPr>
          <w:rFonts w:ascii="Times New Roman" w:hAnsi="Times New Roman"/>
          <w:sz w:val="24"/>
          <w:szCs w:val="24"/>
        </w:rPr>
        <w:t xml:space="preserve"> these </w:t>
      </w:r>
      <w:r w:rsidR="00FF5A32">
        <w:rPr>
          <w:rFonts w:ascii="Times New Roman" w:hAnsi="Times New Roman"/>
          <w:sz w:val="24"/>
          <w:szCs w:val="24"/>
        </w:rPr>
        <w:t>considerations</w:t>
      </w:r>
      <w:r w:rsidR="00FF5A32">
        <w:rPr>
          <w:rFonts w:ascii="Times New Roman" w:hAnsi="Times New Roman"/>
          <w:sz w:val="24"/>
          <w:szCs w:val="24"/>
        </w:rPr>
        <w:fldChar w:fldCharType="begin" w:fldLock="1"/>
      </w:r>
      <w:r w:rsidR="00BB627C">
        <w:rPr>
          <w:rFonts w:ascii="Times New Roman" w:hAnsi="Times New Roman"/>
          <w:sz w:val="24"/>
          <w:szCs w:val="24"/>
        </w:rPr>
        <w:instrText>ADDIN CSL_CITATION {"citationItems":[{"id":"ITEM-1","itemData":{"DOI":"10.1136/bmjdrc-2016-000243","ISSN":"2052-4897 (Print)","PMID":"27648291","abstract":"OBJECTIVE: To describe the natural history of glycemia (as measured by glycated hemoglobin (HbA1c)) over 12 years using group-based trajectory modeling (GBTM), and to examine baseline predictors of trajectory. RESEARCH DESIGN AND METHODS: HbA1c data collected at ages 26, 32 and 38 in the long-running, prospective Dunedin Multidisciplinary Health and Development Study were used to assign study members (n=893) to trajectories applying GBTM. A generalization of the model allowed the statistical linking of baseline demographic, smoking and anthropometric characteristics to group membership probability. RESULTS: Mean HbA1c increased with age, as did prevalence of prediabetes, diabetes and dysglycemia. The greatest increase occurred between ages 26 and 32. Glycemic health status at age 26 predicted glycemic health status at age 38. 3 HbA1c trajectory groups were identified: 'low' (n=98, 11.0%); 'medium' (n=482, 54.0%); and 'high' (n=313, 35.0%) with mean HbA1c of 29.6, 34.1, and 38.7 mmol/mol, respectively, at age 38. High waist circumference (&gt;/=880 mm for women and &gt;/=1020 mm for men), high waist- height ratio (&gt;/=0.50), and being a smoker at age 26 predicted membership of the least favorable trajectory over the next 12 years. High body mass index (&gt;/=30) at age 26 did not predict of trajectory. CONCLUSIONS: Trajectories of HbA1c are established relatively early in adulthood. HbA1c levels, waist circumference, waist-height ratio, and smoking status at age 26 are valid clinical predictors for future dysglycemic risk. The identification of HbA1c trajectories and their predictors introduces the possibility of an individualized approach to prevention at an earlier stage than is currently done.","author":[{"dropping-particle":"","family":"Shearer","given":"Dara M","non-dropping-particle":"","parse-names":false,"suffix":""},{"dropping-particle":"","family":"Thomson","given":"W Murray","non-dropping-particle":"","parse-names":false,"suffix":""},{"dropping-particle":"","family":"Broadbent","given":"Jonathan M","non-dropping-particle":"","parse-names":false,"suffix":""},{"dropping-particle":"","family":"McLean","given":"Rachael","non-dropping-particle":"","parse-names":false,"suffix":""},{"dropping-particle":"","family":"Poulton","given":"Richie","non-dropping-particle":"","parse-names":false,"suffix":""},{"dropping-particle":"","family":"Mann","given":"Jim","non-dropping-particle":"","parse-names":false,"suffix":""}],"container-title":"BMJ open diabetes research &amp; care","id":"ITEM-1","issue":"1","issued":{"date-parts":[["2016"]]},"language":"eng","page":"e000243","publisher-place":"England","title":"High-risk glycated hemoglobin trajectories established by mid-20s: findings from a birth cohort study.","type":"article-journal","volume":"4"},"uris":["http://www.mendeley.com/documents/?uuid=08688ba5-6230-42ff-818c-3604ab088e17"]},{"id":"ITEM-2","itemData":{"DOI":"10.1146/annurev.clinpsy.121208.131413","ISSN":"1548-5951 (Electronic)","PMID":"20192788","abstract":"Group-based trajectory models are increasingly being applied in clinical research to map the developmental course of symptoms and assess heterogeneity in response to clinical interventions. In this review, we provide a nontechnical overview of group-based trajectory and growth mixture modeling alongside a sampling of how these models have been applied in clinical research. We discuss the challenges associated with the application of both types of group-based models and propose a set of preliminary guidelines for applied researchers to follow when reporting model results. Future directions in group-based modeling applications are discussed, including the use of trajectory models to facilitate causal inference when random assignment to treatment condition is not possible.","author":[{"dropping-particle":"","family":"Nagin","given":"Daniel S","non-dropping-particle":"","parse-names":false,"suffix":""},{"dropping-particle":"","family":"Odgers","given":"Candice L","non-dropping-particle":"","parse-names":false,"suffix":""}],"container-title":"Annual review of clinical psychology","id":"ITEM-2","issued":{"date-parts":[["2010"]]},"language":"eng","page":"109-138","publisher-place":"United States","title":"Group-based trajectory modeling in clinical research.","type":"article-journal","volume":"6"},"uris":["http://www.mendeley.com/documents/?uuid=e290bc45-e08d-446f-9f6c-859434559716"]}],"mendeley":{"formattedCitation":"&lt;sup&gt;5,6&lt;/sup&gt;","plainTextFormattedCitation":"5,6","previouslyFormattedCitation":"&lt;sup&gt;5,6&lt;/sup&gt;"},"properties":{"noteIndex":0},"schema":"https://github.com/citation-style-language/schema/raw/master/csl-citation.json"}</w:instrText>
      </w:r>
      <w:r w:rsidR="00FF5A32">
        <w:rPr>
          <w:rFonts w:ascii="Times New Roman" w:hAnsi="Times New Roman"/>
          <w:sz w:val="24"/>
          <w:szCs w:val="24"/>
        </w:rPr>
        <w:fldChar w:fldCharType="separate"/>
      </w:r>
      <w:r w:rsidR="00FF5A32" w:rsidRPr="00403302">
        <w:rPr>
          <w:rFonts w:ascii="Times New Roman" w:hAnsi="Times New Roman"/>
          <w:noProof/>
          <w:sz w:val="24"/>
          <w:szCs w:val="24"/>
          <w:vertAlign w:val="superscript"/>
        </w:rPr>
        <w:t>5,6</w:t>
      </w:r>
      <w:r w:rsidR="00FF5A32">
        <w:rPr>
          <w:rFonts w:ascii="Times New Roman" w:hAnsi="Times New Roman"/>
          <w:sz w:val="24"/>
          <w:szCs w:val="24"/>
        </w:rPr>
        <w:fldChar w:fldCharType="end"/>
      </w:r>
      <w:r w:rsidR="00403302">
        <w:rPr>
          <w:rFonts w:ascii="Times New Roman" w:hAnsi="Times New Roman"/>
          <w:sz w:val="24"/>
          <w:szCs w:val="24"/>
        </w:rPr>
        <w:t xml:space="preserve">.  </w:t>
      </w:r>
      <w:r w:rsidR="00195AD8">
        <w:rPr>
          <w:rFonts w:ascii="Times New Roman" w:hAnsi="Times New Roman"/>
          <w:sz w:val="24"/>
          <w:szCs w:val="24"/>
        </w:rPr>
        <w:t xml:space="preserve"> </w:t>
      </w:r>
      <w:r w:rsidR="00DD3755">
        <w:rPr>
          <w:rFonts w:ascii="Times New Roman" w:hAnsi="Times New Roman"/>
          <w:sz w:val="24"/>
          <w:szCs w:val="24"/>
        </w:rPr>
        <w:t xml:space="preserve"> </w:t>
      </w:r>
    </w:p>
    <w:p w14:paraId="1575A841" w14:textId="378AE66C" w:rsidR="002D367F" w:rsidRPr="002D367F" w:rsidRDefault="002D367F" w:rsidP="002D367F">
      <w:pPr>
        <w:spacing w:line="360" w:lineRule="auto"/>
        <w:rPr>
          <w:rFonts w:ascii="Times New Roman" w:hAnsi="Times New Roman"/>
          <w:sz w:val="24"/>
          <w:szCs w:val="24"/>
        </w:rPr>
      </w:pPr>
      <w:r w:rsidRPr="002D367F">
        <w:rPr>
          <w:rFonts w:ascii="Times New Roman" w:hAnsi="Times New Roman"/>
          <w:sz w:val="24"/>
          <w:szCs w:val="24"/>
        </w:rPr>
        <w:t>Hypertensive trajectories are associated with an increased risk of incident stroke</w:t>
      </w:r>
      <w:r w:rsidRPr="002D367F">
        <w:rPr>
          <w:rFonts w:ascii="Times New Roman" w:hAnsi="Times New Roman"/>
          <w:sz w:val="24"/>
          <w:szCs w:val="24"/>
        </w:rPr>
        <w:fldChar w:fldCharType="begin" w:fldLock="1"/>
      </w:r>
      <w:r w:rsidR="00BB627C">
        <w:rPr>
          <w:rFonts w:ascii="Times New Roman" w:hAnsi="Times New Roman"/>
          <w:sz w:val="24"/>
          <w:szCs w:val="24"/>
        </w:rPr>
        <w:instrText>ADDIN CSL_CITATION {"citationItems":[{"id":"ITEM-1","itemData":{"DOI":"10.1161/HYPERTENSIONAHA.116.07098","ISSN":"1524-4563 (Electronic)","PMID":"27160196","abstract":"Hypertension is a major modifiable risk factor for stroke. Associations of blood pressure with incident stroke are mostly based on single or average blood pressure levels. However, this approach does not take into account long-term trajectories of blood pressure, which can vary considerably in the elderly. Within the population-based Rotterdam Study, we examined trajectories of systolic blood pressure in 6745 participants (60.0% women) over an age-range from 55 to 106 years and jointly modeled their risk of stroke and competing causes of death using joint latent class mixed modeling. Four trajectories were identified. Class 1 was characterized by blood pressure increasing gradually from on average 120 to 160 mm Hg over 5 decades (n=4938). Compared with this class, class 2, characterized by a similar midlife blood pressure, but a steep increase (n=822, increasing from 120 to 200 mm Hg), and class 4, characterized by a high midlife blood pressure (n=115; average 160 mm Hg) and had a higher risk of stroke and death. Class 3, characterized by a moderate midlife blood pressure (n=870; average 140 mm Hg), had a similar risk of death as class 1, but the highest risk of stroke. Assessing trajectories of blood pressure provides a more nuanced understanding of the associations between blood pressure, stroke, and mortality. In particular, high blood pressure and rapidly increasing blood pressure patterns are associated with a high risk of stroke and death, whereas moderately high blood pressure is only related to an increased risk of stroke. Future studies should explore the potential pathogenic significance of these patterns.","author":[{"dropping-particle":"","family":"Portegies","given":"Marileen L P","non-dropping-particle":"","parse-names":false,"suffix":""},{"dropping-particle":"","family":"Mirza","given":"Saira Saeed","non-dropping-particle":"","parse-names":false,"suffix":""},{"dropping-particle":"","family":"Verlinden","given":"Vincentius J A","non-dropping-particle":"","parse-names":false,"suffix":""},{"dropping-particle":"","family":"Hofman","given":"Albert","non-dropping-particle":"","parse-names":false,"suffix":""},{"dropping-particle":"","family":"Koudstaal","given":"Peter J","non-dropping-particle":"","parse-names":false,"suffix":""},{"dropping-particle":"","family":"Swanson","given":"Sonja A","non-dropping-particle":"","parse-names":false,"suffix":""},{"dropping-particle":"","family":"Ikram","given":"M Arfan","non-dropping-particle":"","parse-names":false,"suffix":""}],"container-title":"Hypertension (Dallas, Tex. : 1979)","id":"ITEM-1","issue":"6","issued":{"date-parts":[["2016","6"]]},"language":"eng","page":"1126-1132","publisher-place":"United States","title":"Mid- to Late-Life Trajectories of Blood Pressure and the Risk of Stroke: The Rotterdam Study.","type":"article-journal","volume":"67"},"uris":["http://www.mendeley.com/documents/?uuid=828da1f1-ecb2-481d-8194-b8aae913eca4"]}],"mendeley":{"formattedCitation":"&lt;sup&gt;7&lt;/sup&gt;","plainTextFormattedCitation":"7","previouslyFormattedCitation":"&lt;sup&gt;7&lt;/sup&gt;"},"properties":{"noteIndex":0},"schema":"https://github.com/citation-style-language/schema/raw/master/csl-citation.json"}</w:instrText>
      </w:r>
      <w:r w:rsidRPr="002D367F">
        <w:rPr>
          <w:rFonts w:ascii="Times New Roman" w:hAnsi="Times New Roman"/>
          <w:sz w:val="24"/>
          <w:szCs w:val="24"/>
        </w:rPr>
        <w:fldChar w:fldCharType="separate"/>
      </w:r>
      <w:r w:rsidR="00403302" w:rsidRPr="00403302">
        <w:rPr>
          <w:rFonts w:ascii="Times New Roman" w:hAnsi="Times New Roman"/>
          <w:noProof/>
          <w:sz w:val="24"/>
          <w:szCs w:val="24"/>
          <w:vertAlign w:val="superscript"/>
        </w:rPr>
        <w:t>7</w:t>
      </w:r>
      <w:r w:rsidRPr="002D367F">
        <w:rPr>
          <w:rFonts w:ascii="Times New Roman" w:hAnsi="Times New Roman"/>
          <w:sz w:val="24"/>
          <w:szCs w:val="24"/>
        </w:rPr>
        <w:fldChar w:fldCharType="end"/>
      </w:r>
      <w:r w:rsidRPr="002D367F">
        <w:rPr>
          <w:rFonts w:ascii="Times New Roman" w:hAnsi="Times New Roman"/>
          <w:sz w:val="24"/>
          <w:szCs w:val="24"/>
        </w:rPr>
        <w:t>, renal disease</w:t>
      </w:r>
      <w:r w:rsidRPr="002D367F">
        <w:rPr>
          <w:rFonts w:ascii="Times New Roman" w:hAnsi="Times New Roman"/>
          <w:sz w:val="24"/>
          <w:szCs w:val="24"/>
        </w:rPr>
        <w:fldChar w:fldCharType="begin" w:fldLock="1"/>
      </w:r>
      <w:r w:rsidR="00BB627C">
        <w:rPr>
          <w:rFonts w:ascii="Times New Roman" w:hAnsi="Times New Roman"/>
          <w:sz w:val="24"/>
          <w:szCs w:val="24"/>
        </w:rPr>
        <w:instrText>ADDIN CSL_CITATION {"citationItems":[{"id":"ITEM-1","itemData":{"DOI":"10.1681/ASN.2018030263","ISSN":"1533-3450 (Electronic)","PMID":"30420422","abstract":"BACKGROUND: Although high BP is one of the most important factors affecting renal function, whether longitudinal BP trajectories in early life course are associated with renal function damage in later life is unclear. METHODS: To investigate the correlation between BP trajectories from childhood to adulthood and renal function in middle age, we used group-based trajectory models to identify BP trajectories in 2430 individuals (aged 6-15 years old at baseline) participating in the ongoing Hanzhong Adolescent Hypertension Cohort. We tested the association between these trajectories and subclinical renal damage in middle age, adjusting for several covariates. RESULTS: We identified four distinct systolic BP trajectories among 2430 subjects: low stable, moderate stable, high stable, and moderate increasing on the basis of systolic BP levels at baseline and during the 30-year follow-up period. The urinary albumin-to-creatinine ratio (uACR) was higher in moderate stable, high stable, and moderate increasing groups compared with the low stable group. A total of 228 individuals had subclinical renal disease by 2017. Compared with the low stable trajectory group, the other groups had increasingly greater odds of experiencing subclinical renal disease in middle age. These associations were not altered after adjustment for other covariates, except for in the moderate stable group. Analyzed results were similar for the mean arterial pressure and diastolic BP trajectory groups. CONCLUSIONS: Higher BP trajectories were correlated with higher of uACR levels and risk of subclinical renal disease in middle age. Identifying long-term BP trajectories from early age may assist in predicting individuals' renal function in later life.","author":[{"dropping-particle":"","family":"Zheng","given":"Wenling","non-dropping-particle":"","parse-names":false,"suffix":""},{"dropping-particle":"","family":"Mu","given":"Jianjun","non-dropping-particle":"","parse-names":false,"suffix":""},{"dropping-particle":"","family":"Chu","given":"Chao","non-dropping-particle":"","parse-names":false,"suffix":""},{"dropping-particle":"","family":"Hu","given":"Jiawen","non-dropping-particle":"","parse-names":false,"suffix":""},{"dropping-particle":"","family":"Yan","given":"Yu","non-dropping-particle":"","parse-names":false,"suffix":""},{"dropping-particle":"","family":"Ma","given":"Qiong","non-dropping-particle":"","parse-names":false,"suffix":""},{"dropping-particle":"","family":"Lv","given":"Yongbo","non-dropping-particle":"","parse-names":false,"suffix":""},{"dropping-particle":"","family":"Xu","given":"Xianjing","non-dropping-particle":"","parse-names":false,"suffix":""},{"dropping-particle":"","family":"Wang","given":"Keke","non-dropping-particle":"","parse-names":false,"suffix":""},{"dropping-particle":"","family":"Wang","given":"Yang","non-dropping-particle":"","parse-names":false,"suffix":""},{"dropping-particle":"","family":"Deng","given":"Ying","non-dropping-particle":"","parse-names":false,"suffix":""},{"dropping-particle":"","family":"Yan","given":"Bo","non-dropping-particle":"","parse-names":false,"suffix":""},{"dropping-particle":"","family":"Yang","given":"Ruihai","non-dropping-particle":"","parse-names":false,"suffix":""},{"dropping-particle":"","family":"Yang","given":"Jun","non-dropping-particle":"","parse-names":false,"suffix":""},{"dropping-particle":"","family":"Ren","given":"Yong","non-dropping-particle":"","parse-names":false,"suffix":""},{"dropping-particle":"","family":"Yuan","given":"Zuyi","non-dropping-particle":"","parse-names":false,"suffix":""}],"container-title":"Journal of the American Society of Nephrology : JASN","id":"ITEM-1","issue":"12","issued":{"date-parts":[["2018","12"]]},"language":"eng","page":"2835-2846","publisher-place":"United States","title":"Association of Blood Pressure Trajectories in Early Life with Subclinical Renal Damage in Middle Age.","type":"article-journal","volume":"29"},"uris":["http://www.mendeley.com/documents/?uuid=24d189fd-9f0f-45e9-88b6-7a8b9ba61edc"]}],"mendeley":{"formattedCitation":"&lt;sup&gt;8&lt;/sup&gt;","plainTextFormattedCitation":"8","previouslyFormattedCitation":"&lt;sup&gt;8&lt;/sup&gt;"},"properties":{"noteIndex":0},"schema":"https://github.com/citation-style-language/schema/raw/master/csl-citation.json"}</w:instrText>
      </w:r>
      <w:r w:rsidRPr="002D367F">
        <w:rPr>
          <w:rFonts w:ascii="Times New Roman" w:hAnsi="Times New Roman"/>
          <w:sz w:val="24"/>
          <w:szCs w:val="24"/>
        </w:rPr>
        <w:fldChar w:fldCharType="separate"/>
      </w:r>
      <w:r w:rsidR="00403302" w:rsidRPr="00403302">
        <w:rPr>
          <w:rFonts w:ascii="Times New Roman" w:hAnsi="Times New Roman"/>
          <w:noProof/>
          <w:sz w:val="24"/>
          <w:szCs w:val="24"/>
          <w:vertAlign w:val="superscript"/>
        </w:rPr>
        <w:t>8</w:t>
      </w:r>
      <w:r w:rsidRPr="002D367F">
        <w:rPr>
          <w:rFonts w:ascii="Times New Roman" w:hAnsi="Times New Roman"/>
          <w:sz w:val="24"/>
          <w:szCs w:val="24"/>
        </w:rPr>
        <w:fldChar w:fldCharType="end"/>
      </w:r>
      <w:r w:rsidRPr="002D367F">
        <w:rPr>
          <w:rFonts w:ascii="Times New Roman" w:hAnsi="Times New Roman"/>
          <w:sz w:val="24"/>
          <w:szCs w:val="24"/>
        </w:rPr>
        <w:t>, cardiovascular disease (CVD)</w:t>
      </w:r>
      <w:r w:rsidRPr="002D367F">
        <w:rPr>
          <w:rFonts w:ascii="Times New Roman" w:hAnsi="Times New Roman"/>
          <w:sz w:val="24"/>
          <w:szCs w:val="24"/>
        </w:rPr>
        <w:fldChar w:fldCharType="begin" w:fldLock="1"/>
      </w:r>
      <w:r w:rsidR="00BB627C">
        <w:rPr>
          <w:rFonts w:ascii="Times New Roman" w:hAnsi="Times New Roman"/>
          <w:sz w:val="24"/>
          <w:szCs w:val="24"/>
        </w:rPr>
        <w:instrText>ADDIN CSL_CITATION {"citationItems":[{"id":"ITEM-1","itemData":{"DOI":"10.1093/ajh/hpx028","ISSN":"1941-7225 (Electronic)","PMID":"28338937","abstract":"BACKGROUND: Common blood pressure (BP) trajectories are not well established in elderly persons, and their association with clinical outcomes is uncertain. METHODS: We used hierarchical cluster analysis to identify discrete BP trajectories among 4,067 participants in the Cardiovascular Health Study using repeated BP measures from years 0 to 7. We then evaluated associations of each BP trajectory cluster with all- cause mortality, incident cardiovascular disease (CVD, defined as stroke or myocardial infarction) (N = 2,837), and incident congestive heart failure (HF) (N = 3,633) using Cox proportional hazard models. RESULTS: Median age was 77 years at year 7. Over a median 9.3 years of follow-up, there were 2,475 deaths, 659 CVD events, and 1,049 HF events. The cluster analysis identified 3 distinct trajectory groups. Participants in cluster 1 (N = 1,838) had increases in both systolic (SBP) and diastolic (DBP) BPs, whereas persons in cluster 2 (N = 1,109) had little change in SBP but declines in DBP. Persons in cluster 3 (N = 1,120) experienced declines in both SBP and DBP. After multivariable adjustment, clusters 2 and 3 were associated with increased mortality risk relative to cluster 1 (hazard ratio = 1.21, 95% confidence interval: 1.06-1.37 and hazard ratio = 1.20, 95% confidence interval: 1.05-1.36, respectively). Compared to cluster 1, cluster 3 had higher rates of incident CVD but associations were not statistically significant in demographic-adjusted models (hazard ratio = 1.16, 95% confidence interval: 0.96-1.39). Findings were similar when stratified by use of antihypertensive therapy. CONCLUSIONS: Among community-dwelling elders, distinct BP trajectories were identified by integrating both SBP and DBP. These clusters were found to have differential associations with outcomes.","author":[{"dropping-particle":"","family":"Smitson","given":"Christopher C","non-dropping-particle":"","parse-names":false,"suffix":""},{"dropping-particle":"","family":"Scherzer","given":"Rebecca","non-dropping-particle":"","parse-names":false,"suffix":""},{"dropping-particle":"","family":"Shlipak","given":"Michael G","non-dropping-particle":"","parse-names":false,"suffix":""},{"dropping-particle":"","family":"Psaty","given":"Bruce M","non-dropping-particle":"","parse-names":false,"suffix":""},{"dropping-particle":"","family":"Newman","given":"Anne B","non-dropping-particle":"","parse-names":false,"suffix":""},{"dropping-particle":"","family":"Sarnak","given":"Mark J","non-dropping-particle":"","parse-names":false,"suffix":""},{"dropping-particle":"","family":"Odden","given":"Michelle C","non-dropping-particle":"","parse-names":false,"suffix":""},{"dropping-particle":"","family":"Peralta","given":"Carmen A","non-dropping-particle":"","parse-names":false,"suffix":""}],"container-title":"American journal of hypertension","id":"ITEM-1","issue":"6","issued":{"date-parts":[["2017","6"]]},"language":"eng","page":"587-593","publisher-place":"United States","title":"Association of Blood Pressure Trajectory With Mortality, Incident Cardiovascular Disease, and Heart Failure in the Cardiovascular Health Study.","type":"article-journal","volume":"30"},"uris":["http://www.mendeley.com/documents/?uuid=cb7a9668-cdb3-4a92-8101-9581149085d6"]},{"id":"ITEM-2","itemData":{"DOI":"10.1111/ijcp.13450","ISSN":"1742-1241 (Electronic)","PMID":"31755625","abstract":"BACKGROUND: Blood pressure changes in response to medication intensification differ over time across individuals, and could affect their cardiovascular outcomes. We aimed to investigate the relationship between systolic blood pressure (SBP) trajectory and cardiovascular outcomes using data from the Systolic Blood Pressure Intervention Trial (SPRINT). METHODS: Groups of SBP trajectory were modelled separately in the standard and intensive treatment groups. SBP at each site visit post randomisation were used for modelling by group-based trajectory with latent class growth model. We classified six SBP trajectories (on target [reference group], near target, and off target in the intensive treatment group; on target-below 130, on target-below 140, and off target in the standard treatment group). A Cox-proportional hazard model was used to analyse the effects of SBP trajectory on the primary composite outcome, death from any cause, and the composite of the primary outcome or death from any cause. RESULTS: The respective mean SBP was 119 +/- 5, 128 +/- 6, 141 +/- 8, 124 +/- 4, 136 +/- 4, and 147 +/- 6 mm Hg. With respect to the primary composite outcomes, the standard-on target (below 130) had the highest risk (adjusted hazard ratio [lower to upper confidence interval], 2.525 [1.865-3.420]), despite its mean SBP was the second lowest of the six groups. The standard-on target (below 140) had a higher risk (1.323 [1.056-1.657]) when compared with the intensive-on target. However, the standard-on target (below 140) had a similar risk (1.12 [0.861-1.458]) when compared with the intensive-near target, despite an 8 mm Hg difference in mean SBP (136 vs 128 mm Hg, P &lt; .001). CONCLUSION: An SBP treatment target of &lt;120 mm Hg was only associated with a better cardiovascular outcome compared with a treatment target of &lt;140 mm Hg, provided that the target of &lt;120 mm Hg was reached. TRIAL REGISTRATION: ClinicalTrials.gov NCT01206062. Registered 21 September 2010.","author":[{"dropping-particle":"","family":"Lee","given":"Chia-Lin","non-dropping-particle":"","parse-names":false,"suffix":""},{"dropping-particle":"","family":"Wang","given":"Jun-Sing","non-dropping-particle":"","parse-names":false,"suffix":""}],"container-title":"International journal of clinical practice","id":"ITEM-2","issue":"3","issued":{"date-parts":[["2020","3"]]},"language":"eng","page":"e13450","publisher-place":"England","title":"Systolic blood pressure trajectory and cardiovascular outcomes: An analysis using data in the Systolic Blood Pressure Intervention Trial.","type":"article-journal","volume":"74"},"uris":["http://www.mendeley.com/documents/?uuid=aefdf099-9b76-4ae7-a550-ad913939ddd5"]},{"id":"ITEM-3","itemData":{"DOI":"10.1093/eurheartj/ehz234","ISSN":"1522-9645 (Electronic)","PMID":"31050731","abstract":"AIMS: To explore sex-specific associations between long-term individual blood  pressure (BP) patterns and risk of incident atrial fibrillation (AF) in the general population. METHODS AND RESULTS: Blood pressure was measured in 8376 women and 7670 men who attended at least two of the three population-based Tromsø Study surveys conducted in 1986-87, 1994-95, and 2001. Participants were followed for incident AF throughout 2013. Latent mixed modelling was used to identify long-term trajectories of systolic BP and hypertension. Cox regression was used to estimate associations between the identified trajectories and incident AF. Elevated systolic BP throughout the exposure period (1986-2001) independently and differentially increased risk of AF in women and men. In women, having elevated systolic BP trajectories doubled AF risk compared to having persistently low levels, irrespective of whether systolic BP increased, decreased, or was persistently high over time, with hazard ratios of 1.88 (95% confidence interval 1.37-2.58), 2.32 (1.61-3.35), and 1.94 (1.28-2.94), respectively. In men, those with elevated systolic BP that continued to increase over time had a 50% increased AF risk: 1.51 (1.09-2.10). When compared to those persistently normotensive, women developing hypertension during the exposure period, and women and men with hypertension throughout the exposure period had 1.40 (1.06-1.86), 2.75 (1.99-3.80), and 1.36 (1.10-1.68) times increased risk of AF, respectively. CONCLUSION: Long-term BP and hypertension trajectories were associated with increased incidence of AF in both women and men, but the associations were stronger in women.","author":[{"dropping-particle":"","family":"Sharashova","given":"Ekaterina","non-dropping-particle":"","parse-names":false,"suffix":""},{"dropping-particle":"","family":"Wilsgaard","given":"Tom","non-dropping-particle":"","parse-names":false,"suffix":""},{"dropping-particle":"","family":"Ball","given":"Jocasta","non-dropping-particle":"","parse-names":false,"suffix":""},{"dropping-particle":"","family":"Morseth","given":"Bente","non-dropping-particle":"","parse-names":false,"suffix":""},{"dropping-particle":"","family":"Gerdts","given":"Eva","non-dropping-particle":"","parse-names":false,"suffix":""},{"dropping-particle":"","family":"Hopstock","given":"Laila A","non-dropping-particle":"","parse-names":false,"suffix":""},{"dropping-particle":"","family":"Mathiesen","given":"Ellisiv B","non-dropping-particle":"","parse-names":false,"suffix":""},{"dropping-particle":"","family":"Schirmer","given":"Henrik","non-dropping-particle":"","parse-names":false,"suffix":""},{"dropping-particle":"","family":"Løchen","given":"Maja-Lisa","non-dropping-particle":"","parse-names":false,"suffix":""}],"container-title":"European heart journal","id":"ITEM-3","issue":"16","issued":{"date-parts":[["2020","4"]]},"language":"eng","page":"1554-1562","title":"Long-term blood pressure trajectories and incident atrial fibrillation in women and  men: the Tromsø Study.","type":"article-journal","volume":"41"},"uris":["http://www.mendeley.com/documents/?uuid=56eb0f35-dde9-44c7-86db-4853e44b93af"]}],"mendeley":{"formattedCitation":"&lt;sup&gt;9–11&lt;/sup&gt;","plainTextFormattedCitation":"9–11","previouslyFormattedCitation":"&lt;sup&gt;9–11&lt;/sup&gt;"},"properties":{"noteIndex":0},"schema":"https://github.com/citation-style-language/schema/raw/master/csl-citation.json"}</w:instrText>
      </w:r>
      <w:r w:rsidRPr="002D367F">
        <w:rPr>
          <w:rFonts w:ascii="Times New Roman" w:hAnsi="Times New Roman"/>
          <w:sz w:val="24"/>
          <w:szCs w:val="24"/>
        </w:rPr>
        <w:fldChar w:fldCharType="separate"/>
      </w:r>
      <w:r w:rsidR="00403302" w:rsidRPr="00403302">
        <w:rPr>
          <w:rFonts w:ascii="Times New Roman" w:hAnsi="Times New Roman"/>
          <w:noProof/>
          <w:sz w:val="24"/>
          <w:szCs w:val="24"/>
          <w:vertAlign w:val="superscript"/>
        </w:rPr>
        <w:t>9–11</w:t>
      </w:r>
      <w:r w:rsidRPr="002D367F">
        <w:rPr>
          <w:rFonts w:ascii="Times New Roman" w:hAnsi="Times New Roman"/>
          <w:sz w:val="24"/>
          <w:szCs w:val="24"/>
        </w:rPr>
        <w:fldChar w:fldCharType="end"/>
      </w:r>
      <w:r w:rsidRPr="002D367F">
        <w:rPr>
          <w:rFonts w:ascii="Times New Roman" w:hAnsi="Times New Roman"/>
          <w:sz w:val="24"/>
          <w:szCs w:val="24"/>
        </w:rPr>
        <w:t xml:space="preserve"> and mortality</w:t>
      </w:r>
      <w:r w:rsidRPr="002D367F">
        <w:rPr>
          <w:rFonts w:ascii="Times New Roman" w:hAnsi="Times New Roman"/>
          <w:sz w:val="24"/>
          <w:szCs w:val="24"/>
        </w:rPr>
        <w:fldChar w:fldCharType="begin" w:fldLock="1"/>
      </w:r>
      <w:r w:rsidR="00BB627C">
        <w:rPr>
          <w:rFonts w:ascii="Times New Roman" w:hAnsi="Times New Roman"/>
          <w:sz w:val="24"/>
          <w:szCs w:val="24"/>
        </w:rPr>
        <w:instrText>ADDIN CSL_CITATION {"citationItems":[{"id":"ITEM-1","itemData":{"DOI":"10.1038/jhh.2017.20","ISSN":"1476-5527 (Electronic)","PMID":"28332507","abstract":"The added value of blood pressure (BP) trajectories for predicting cardiovascular disease (CVD) is currently unknown. We investigated the association of systolic BP (SBP) trajectories with CVD and all-cause mortality and compared these associations with those of average SBP, taking antihypertensive medication into account. Data from 762 participants of the Rancho Bernardo Study were used. SBP from five examinations (maximum) from 1984 to 2002 was used; mortality data were obtained from 2002 to 2013. SBP trajectories were derived using group- based trajectory modelling. Cox proportional hazards analysis was used to investigate associations of trajectories and average SBP with CVD and all-cause mortality, adjusted for age, sex, cholesterol, smoking, diabetes and antihypertensive medication. Mean baseline age was 65.7 years, and 67% were women. Four trajectories were identified, in which mean SBP increased by 5-12 mm Hg during 10 years. The highest trajectories were associated with two to three times greater CVD mortality and 1.5 times greater all-cause mortality risk, compared with the lowest trajectory. Each 20 mmHg increment in average SBP was associated with 1.4 times greater CVD mortality risk and 1.2 times all- cause mortality risk. Associations were not modified by antihypertensive medication (P-interaction&gt;0.10). SBP trajectories were not superior to average SBP in predicting CVD and all-cause mortality. In the general middle-aged and older population of the Rancho Bernardo study, SBP trajectories provided no added value to average SBP in predicting CVD and all-cause mortality. Long-term average SBP levels and trajectories were significant predictors of CVD and all-cause mortality, irrespective of prescribed antihypertensive medication (which in the 1980s-1990s mainly were diuretics and beta-blockers).","author":[{"dropping-particle":"","family":"Tielemans","given":"S M A J","non-dropping-particle":"","parse-names":false,"suffix":""},{"dropping-particle":"","family":"Geleijnse","given":"J M","non-dropping-particle":"","parse-names":false,"suffix":""},{"dropping-particle":"","family":"Laughlin","given":"G A","non-dropping-particle":"","parse-names":false,"suffix":""},{"dropping-particle":"","family":"Boshuizen","given":"H C","non-dropping-particle":"","parse-names":false,"suffix":""},{"dropping-particle":"","family":"Barrett-Connor","given":"E","non-dropping-particle":"","parse-names":false,"suffix":""},{"dropping-particle":"","family":"Kromhout","given":"D","non-dropping-particle":"","parse-names":false,"suffix":""}],"container-title":"Journal of human hypertension","id":"ITEM-1","issue":"8","issued":{"date-parts":[["2017","8"]]},"language":"eng","page":"515-519","publisher-place":"England","title":"Blood pressure trajectories in relation to cardiovascular mortality: The Rancho Bernardo Study.","type":"article-journal","volume":"31"},"uris":["http://www.mendeley.com/documents/?uuid=48015a82-5072-4133-bdcd-7f9caa6b19c4"]},{"id":"ITEM-2","itemData":{"DOI":"10.1016/j.jacc.2019.03.529","ISSN":"1558-3597 (Electronic)","PMID":"31319915","abstract":"BACKGROUND: Blood pressure (BP) and cholesterol are major modifiable risk factors for cardiovascular disease (CVD), but effects of exposures during young adulthood on later life CVD risk have not been well quantified. OBJECTIVE: The authors sought to evaluate the independent associations between young adult exposures to risk factors and later life CVD risk, accounting for later life exposures. METHODS: The authors pooled data from 6 U.S. cohorts with observations spanning the life course from young adulthood to later life, and imputed risk factor trajectories for low- density lipoprotein (LDL) and high-density lipoprotein cholesterols, systolic and diastolic BP starting from age 18 years for every participant. Time-weighted average exposures to each risk factor during young (age 18 to 39 years) and later adulthood (age &gt;/=40 years) were calculated and linked to subsequent risks of coronary heart disease (CHD), heart failure (HF), or stroke. RESULTS: A total of 36,030 participants were included. During a median follow-up of 17 years, there were 4,570 CHD, 5,119 HF, and 2,862 stroke events. When young and later adult risk factors were considered jointly in the model, young adult LDL &gt;/=100 mg/dl (compared with &lt;100 mg/dl) was associated with a 64% increased risk for CHD, independent of later adult exposures. Similarly, young adult SBP &gt;/=130 mm Hg (compared with &lt;120 mm Hg) was associated with a 37% increased risk for HF, and young adult DBP &gt;/=80 mm Hg (compared with &lt;80 mm Hg) was associated with a 21% increased risk. CONCLUSIONS: Cumulative young adult exposures to elevated systolic BP, diastolic BP and LDL were associated with increased CVD risks in later life, independent of later adult exposures.","author":[{"dropping-particle":"","family":"Zhang","given":"Yiyi","non-dropping-particle":"","parse-names":false,"suffix":""},{"dropping-particle":"","family":"Vittinghoff","given":"Eric","non-dropping-particle":"","parse-names":false,"suffix":""},{"dropping-particle":"","family":"Pletcher","given":"Mark J","non-dropping-particle":"","parse-names":false,"suffix":""},{"dropping-particle":"","family":"Allen","given":"Norrina B","non-dropping-particle":"","parse-names":false,"suffix":""},{"dropping-particle":"","family":"Zeki Al Hazzouri","given":"Adina","non-dropping-particle":"","parse-names":false,"suffix":""},{"dropping-particle":"","family":"Yaffe","given":"Kristine","non-dropping-particle":"","parse-names":false,"suffix":""},{"dropping-particle":"","family":"Balte","given":"Pallavi P","non-dropping-particle":"","parse-names":false,"suffix":""},{"dropping-particle":"","family":"Alonso","given":"Alvaro","non-dropping-particle":"","parse-names":false,"suffix":""},{"dropping-particle":"","family":"Newman","given":"Anne B","non-dropping-particle":"","parse-names":false,"suffix":""},{"dropping-particle":"","family":"Ives","given":"Diane G","non-dropping-particle":"","parse-names":false,"suffix":""},{"dropping-particle":"","family":"Rana","given":"Jamal S","non-dropping-particle":"","parse-names":false,"suffix":""},{"dropping-particle":"","family":"Lloyd-Jones","given":"Donald","non-dropping-particle":"","parse-names":false,"suffix":""},{"dropping-particle":"","family":"Vasan","given":"Ramachandran S","non-dropping-particle":"","parse-names":false,"suffix":""},{"dropping-particle":"","family":"Bibbins-Domingo","given":"Kirsten","non-dropping-particle":"","parse-names":false,"suffix":""},{"dropping-particle":"","family":"Gooding","given":"Holly C","non-dropping-particle":"","parse-names":false,"suffix":""},{"dropping-particle":"","family":"Ferranti","given":"Sarah D","non-dropping-particle":"de","parse-names":false,"suffix":""},{"dropping-particle":"","family":"Oelsner","given":"Elizabeth C","non-dropping-particle":"","parse-names":false,"suffix":""},{"dropping-particle":"","family":"Moran","given":"Andrew E","non-dropping-particle":"","parse-names":false,"suffix":""}],"container-title":"Journal of the American College of Cardiology","id":"ITEM-2","issue":"3","issued":{"date-parts":[["2019","7"]]},"language":"eng","page":"330-341","publisher-place":"United States","title":"Associations of Blood Pressure and Cholesterol Levels During Young Adulthood With Later Cardiovascular Events.","type":"article-journal","volume":"74"},"uris":["http://www.mendeley.com/documents/?uuid=da3f6c10-b3c6-427f-ac3f-d7d54335f58c"]},{"id":"ITEM-3","itemData":{"DOI":"10.1161/CIRCULATIONAHA.116.026687","ISSN":"1524-4539 (Electronic)","PMID":"28432148","abstract":"BACKGROUND: Clinical trials show benefit from lowering systolic blood pressure (SBP) in people &gt;/=80 years of age, but nonrandomized epidemiological studies suggest lower SBP may be associated with higher mortality. This study aimed to evaluate associations of SBP with all- cause mortality by frailty category &gt;80 years of age and to evaluate SBP trajectories before death. METHODS: A population-based cohort study was conducted using electronic health records of 144 403 participants &gt;/=80 years of age registered with family practices in the United Kingdom from 2001 to 2014. Participants were followed for &lt;/=5 years. Clinical records of SBP were analyzed. Frailty status was classified using the e-Frailty Index into the categories of fit, mild, moderate, and severe. All-cause mortality was evaluated by frailty status and mean SBP in Cox proportional-hazards models. SBP trajectories were evaluated using person months as observations, with mean SBP and antihypertensive treatment status estimated for each person month. Fractional polynomial models were used to estimate SBP trajectories over 5 years before death. RESULTS: During follow-up, 51 808 deaths occurred. Mortality rates increased with frailty level and were greatest at SBP &lt;110 mm Hg. In fit women, mortality was 7.7 per 100 person years at SBP 120 to 139 mm Hg, 15.2 at SBP 110 to 119 mm Hg, and 22.7 at SBP &lt;110 mm Hg. For women with severe frailty, rates were 16.8, 25.2, and 39.6, respectively. SBP trajectories showed an accelerated decline in the last 2 years of life. The relative odds of SBP &lt;120 mm Hg were higher in the last 3 months of life than 5 years previously in both treated (odds ratio, 6.06; 95% confidence interval, 5.40-6.81) and untreated (odds ratio, 6.31; 95% confidence interval, 5.30-7.52) patients. There was no evidence of intensification of antihypertensive therapy in the final 2 years of life. CONCLUSIONS: A terminal decline of SBP in the final 2 years of life suggests that nonrandomized epidemiological associations of low SBP with higher mortality may be accounted for by reverse causation if participants with lower blood pressure values are closer, on average, to the end of life.","author":[{"dropping-particle":"","family":"Ravindrarajah","given":"Rathi","non-dropping-particle":"","parse-names":false,"suffix":""},{"dropping-particle":"","family":"Hazra","given":"Nisha C","non-dropping-particle":"","parse-names":false,"suffix":""},{"dropping-particle":"","family":"Hamada","given":"Shota","non-dropping-particle":"","parse-names":false,"suffix":""},{"dropping-particle":"","family":"Charlton","given":"Judith","non-dropping-particle":"","parse-names":false,"suffix":""},{"dropping-particle":"","family":"Jackson","given":"Stephen H D","non-dropping-particle":"","parse-names":false,"suffix":""},{"dropping-particle":"","family":"Dregan","given":"Alex","non-dropping-particle":"","parse-names":false,"suffix":""},{"dropping-particle":"","family":"Gulliford","given":"Martin C","non-dropping-particle":"","parse-names":false,"suffix":""}],"container-title":"Circulation","id":"ITEM-3","issue":"24","issued":{"date-parts":[["2017","6"]]},"language":"eng","page":"2357-2368","publisher-place":"United States","title":"Systolic Blood Pressure Trajectory, Frailty, and All-Cause Mortality &gt;80 Years of Age: Cohort Study Using Electronic Health Records.","type":"article-journal","volume":"135"},"uris":["http://www.mendeley.com/documents/?uuid=424418e9-de54-4797-8a41-c009b08dd5cf"]}],"mendeley":{"formattedCitation":"&lt;sup&gt;12–14&lt;/sup&gt;","plainTextFormattedCitation":"12–14","previouslyFormattedCitation":"&lt;sup&gt;12–14&lt;/sup&gt;"},"properties":{"noteIndex":0},"schema":"https://github.com/citation-style-language/schema/raw/master/csl-citation.json"}</w:instrText>
      </w:r>
      <w:r w:rsidRPr="002D367F">
        <w:rPr>
          <w:rFonts w:ascii="Times New Roman" w:hAnsi="Times New Roman"/>
          <w:sz w:val="24"/>
          <w:szCs w:val="24"/>
        </w:rPr>
        <w:fldChar w:fldCharType="separate"/>
      </w:r>
      <w:r w:rsidR="00403302" w:rsidRPr="00403302">
        <w:rPr>
          <w:rFonts w:ascii="Times New Roman" w:hAnsi="Times New Roman"/>
          <w:noProof/>
          <w:sz w:val="24"/>
          <w:szCs w:val="24"/>
          <w:vertAlign w:val="superscript"/>
        </w:rPr>
        <w:t>12–14</w:t>
      </w:r>
      <w:r w:rsidRPr="002D367F">
        <w:rPr>
          <w:rFonts w:ascii="Times New Roman" w:hAnsi="Times New Roman"/>
          <w:sz w:val="24"/>
          <w:szCs w:val="24"/>
        </w:rPr>
        <w:fldChar w:fldCharType="end"/>
      </w:r>
      <w:r w:rsidRPr="002D367F">
        <w:rPr>
          <w:rFonts w:ascii="Times New Roman" w:hAnsi="Times New Roman"/>
          <w:sz w:val="24"/>
          <w:szCs w:val="24"/>
        </w:rPr>
        <w:t>. Nevertheless, significant sex differences have been demonstrated in BP trajectories</w:t>
      </w:r>
      <w:r w:rsidRPr="002D367F">
        <w:rPr>
          <w:rFonts w:ascii="Times New Roman" w:hAnsi="Times New Roman"/>
          <w:sz w:val="24"/>
          <w:szCs w:val="24"/>
        </w:rPr>
        <w:fldChar w:fldCharType="begin" w:fldLock="1"/>
      </w:r>
      <w:r w:rsidR="00BB627C">
        <w:rPr>
          <w:rFonts w:ascii="Times New Roman" w:hAnsi="Times New Roman"/>
          <w:sz w:val="24"/>
          <w:szCs w:val="24"/>
        </w:rPr>
        <w:instrText>ADDIN CSL_CITATION {"citationItems":[{"id":"ITEM-1","itemData":{"DOI":"10.1001/jamacardio.2019.5306","ISSN":"2380-6591 (Electronic)","PMID":"31940010","abstract":"Importance: If we assume that women and men exhibit variations of the same fundamental vascular physiology, then conventional analyses of subclinical measures would suggest that women catch up to men by midlife in the extent of potentially important vascular disease. Alternatively, under the assumption that vascular physiology may fundamentally differ between women and men, a sex-specific analysis of existing data could offer new insights and augment our understanding of sex differences in cardiovascular diseases. Objective: To evaluate whether longitudinal patterns of blood pressure (BP) elevation differ between women and men during the life course when considering baseline BP levels as the reference. Design, Setting, and Participants: We conducted sex-specific analyses of longitudinal BP measures (144599 observations) collected for a period of 43 years (1971 to 2014) in 4 community-based US cohort studies. The combined total included 32833 participants (54% female) spanning ages 5 to 98 years. Data were analyzed between May 4, 2019, and August 5, 2019. Exposures: Age and serially assessed longitudinal BP measures: systolic BP, diastolic BP, mean arterial pressure (MAP), and pulse pressure (PP). Main Outcomes and Measures: Sex-specific change in each primary BP measure compared with baseline BP levels, derived from multilevel longitudinal models fitted over the age span, and new-onset cardiovascular disease events. Results: Of the 32833 participants, 17733 were women (54%). Women compared with men exhibited a steeper increase in BP that began as early as in the third decade and continued through the life course (likelihood ratio test chi2 = 531 for systolic BP; chi2 = 123 for diastolic BP; chi2 = 325 for MAP; and chi2 = 572 for PP; P for all &lt;.001). After adjustment for multiple cardiovascular disease risk factors, these between-sex differences in all BP trajectories persisted (likelihood ratio test chi2 = 314 for systolic BP; chi2 = 31 for diastolic BP; chi2 = 129 for MAP; and chi2 = 485 for PP; P for all &lt;.001). Conclusions and Relevance: In contrast with the notion that important vascular disease processes in women lag behind men by 10 to 20 years, sex-specific analyses indicate that BP measures actually progress more rapidly in women than in men, beginning early in life. This early- onset sexual dimorphism may set the stage for later-life cardiovascular diseases that tend to present differently, not simply later, in women compared with men.","author":[{"dropping-particle":"","family":"Ji","given":"Hongwei","non-dropping-particle":"","parse-names":false,"suffix":""},{"dropping-particle":"","family":"Kim","given":"Andy","non-dropping-particle":"","parse-names":false,"suffix":""},{"dropping-particle":"","family":"Ebinger","given":"Joseph E","non-dropping-particle":"","parse-names":false,"suffix":""},{"dropping-particle":"","family":"Niiranen","given":"Teemu J","non-dropping-particle":"","parse-names":false,"suffix":""},{"dropping-particle":"","family":"Claggett","given":"Brian L","non-dropping-particle":"","parse-names":false,"suffix":""},{"dropping-particle":"","family":"Bairey Merz","given":"C Noel","non-dropping-particle":"","parse-names":false,"suffix":""},{"dropping-particle":"","family":"Cheng","given":"Susan","non-dropping-particle":"","parse-names":false,"suffix":""}],"container-title":"JAMA cardiology","id":"ITEM-1","issue":"3","issued":{"date-parts":[["2020","3"]]},"language":"eng","page":"19-26","publisher-place":"United States","title":"Sex Differences in Blood Pressure Trajectories Over the Life Course.","type":"article-journal","volume":"5"},"uris":["http://www.mendeley.com/documents/?uuid=c4fb1523-42ad-4555-9b6d-83f240d11f24"]}],"mendeley":{"formattedCitation":"&lt;sup&gt;15&lt;/sup&gt;","plainTextFormattedCitation":"15","previouslyFormattedCitation":"&lt;sup&gt;15&lt;/sup&gt;"},"properties":{"noteIndex":0},"schema":"https://github.com/citation-style-language/schema/raw/master/csl-citation.json"}</w:instrText>
      </w:r>
      <w:r w:rsidRPr="002D367F">
        <w:rPr>
          <w:rFonts w:ascii="Times New Roman" w:hAnsi="Times New Roman"/>
          <w:sz w:val="24"/>
          <w:szCs w:val="24"/>
        </w:rPr>
        <w:fldChar w:fldCharType="separate"/>
      </w:r>
      <w:r w:rsidR="00403302" w:rsidRPr="00403302">
        <w:rPr>
          <w:rFonts w:ascii="Times New Roman" w:hAnsi="Times New Roman"/>
          <w:noProof/>
          <w:sz w:val="24"/>
          <w:szCs w:val="24"/>
          <w:vertAlign w:val="superscript"/>
        </w:rPr>
        <w:t>15</w:t>
      </w:r>
      <w:r w:rsidRPr="002D367F">
        <w:rPr>
          <w:rFonts w:ascii="Times New Roman" w:hAnsi="Times New Roman"/>
          <w:sz w:val="24"/>
          <w:szCs w:val="24"/>
        </w:rPr>
        <w:fldChar w:fldCharType="end"/>
      </w:r>
      <w:r w:rsidRPr="002D367F">
        <w:rPr>
          <w:rFonts w:ascii="Times New Roman" w:hAnsi="Times New Roman"/>
          <w:sz w:val="24"/>
          <w:szCs w:val="24"/>
        </w:rPr>
        <w:t xml:space="preserve">. These may also mediate sex </w:t>
      </w:r>
      <w:r w:rsidR="001967E5" w:rsidRPr="002D367F">
        <w:rPr>
          <w:rFonts w:ascii="Times New Roman" w:hAnsi="Times New Roman"/>
          <w:sz w:val="24"/>
          <w:szCs w:val="24"/>
        </w:rPr>
        <w:t>differences</w:t>
      </w:r>
      <w:r w:rsidRPr="002D367F">
        <w:rPr>
          <w:rFonts w:ascii="Times New Roman" w:hAnsi="Times New Roman"/>
          <w:sz w:val="24"/>
          <w:szCs w:val="24"/>
        </w:rPr>
        <w:t xml:space="preserve"> in CVD epidemiology, given recent findings of </w:t>
      </w:r>
      <w:r w:rsidR="00AC6DBA">
        <w:rPr>
          <w:rFonts w:ascii="Times New Roman" w:hAnsi="Times New Roman"/>
          <w:sz w:val="24"/>
          <w:szCs w:val="24"/>
        </w:rPr>
        <w:t xml:space="preserve">such </w:t>
      </w:r>
      <w:r w:rsidRPr="002D367F">
        <w:rPr>
          <w:rFonts w:ascii="Times New Roman" w:hAnsi="Times New Roman"/>
          <w:sz w:val="24"/>
          <w:szCs w:val="24"/>
        </w:rPr>
        <w:t>differences in the relationship between longitudinal BP trajectories and incident atrial fibrillation (AF)</w:t>
      </w:r>
      <w:r w:rsidRPr="002D367F">
        <w:rPr>
          <w:rFonts w:ascii="Times New Roman" w:hAnsi="Times New Roman"/>
          <w:sz w:val="24"/>
          <w:szCs w:val="24"/>
        </w:rPr>
        <w:fldChar w:fldCharType="begin" w:fldLock="1"/>
      </w:r>
      <w:r w:rsidR="00BB627C">
        <w:rPr>
          <w:rFonts w:ascii="Times New Roman" w:hAnsi="Times New Roman"/>
          <w:sz w:val="24"/>
          <w:szCs w:val="24"/>
        </w:rPr>
        <w:instrText>ADDIN CSL_CITATION {"citationItems":[{"id":"ITEM-1","itemData":{"DOI":"10.1093/eurheartj/ehz234","ISSN":"1522-9645 (Electronic)","PMID":"31050731","abstract":"AIMS: To explore sex-specific associations between long-term individual blood  pressure (BP) patterns and risk of incident atrial fibrillation (AF) in the general population. METHODS AND RESULTS: Blood pressure was measured in 8376 women and 7670 men who attended at least two of the three population-based Tromsø Study surveys conducted in 1986-87, 1994-95, and 2001. Participants were followed for incident AF throughout 2013. Latent mixed modelling was used to identify long-term trajectories of systolic BP and hypertension. Cox regression was used to estimate associations between the identified trajectories and incident AF. Elevated systolic BP throughout the exposure period (1986-2001) independently and differentially increased risk of AF in women and men. In women, having elevated systolic BP trajectories doubled AF risk compared to having persistently low levels, irrespective of whether systolic BP increased, decreased, or was persistently high over time, with hazard ratios of 1.88 (95% confidence interval 1.37-2.58), 2.32 (1.61-3.35), and 1.94 (1.28-2.94), respectively. In men, those with elevated systolic BP that continued to increase over time had a 50% increased AF risk: 1.51 (1.09-2.10). When compared to those persistently normotensive, women developing hypertension during the exposure period, and women and men with hypertension throughout the exposure period had 1.40 (1.06-1.86), 2.75 (1.99-3.80), and 1.36 (1.10-1.68) times increased risk of AF, respectively. CONCLUSION: Long-term BP and hypertension trajectories were associated with increased incidence of AF in both women and men, but the associations were stronger in women.","author":[{"dropping-particle":"","family":"Sharashova","given":"Ekaterina","non-dropping-particle":"","parse-names":false,"suffix":""},{"dropping-particle":"","family":"Wilsgaard","given":"Tom","non-dropping-particle":"","parse-names":false,"suffix":""},{"dropping-particle":"","family":"Ball","given":"Jocasta","non-dropping-particle":"","parse-names":false,"suffix":""},{"dropping-particle":"","family":"Morseth","given":"Bente","non-dropping-particle":"","parse-names":false,"suffix":""},{"dropping-particle":"","family":"Gerdts","given":"Eva","non-dropping-particle":"","parse-names":false,"suffix":""},{"dropping-particle":"","family":"Hopstock","given":"Laila A","non-dropping-particle":"","parse-names":false,"suffix":""},{"dropping-particle":"","family":"Mathiesen","given":"Ellisiv B","non-dropping-particle":"","parse-names":false,"suffix":""},{"dropping-particle":"","family":"Schirmer","given":"Henrik","non-dropping-particle":"","parse-names":false,"suffix":""},{"dropping-particle":"","family":"Løchen","given":"Maja-Lisa","non-dropping-particle":"","parse-names":false,"suffix":""}],"container-title":"European heart journal","id":"ITEM-1","issue":"16","issued":{"date-parts":[["2020","4"]]},"language":"eng","page":"1554-1562","title":"Long-term blood pressure trajectories and incident atrial fibrillation in women and  men: the Tromsø Study.","type":"article-journal","volume":"41"},"uris":["http://www.mendeley.com/documents/?uuid=56eb0f35-dde9-44c7-86db-4853e44b93af"]}],"mendeley":{"formattedCitation":"&lt;sup&gt;11&lt;/sup&gt;","plainTextFormattedCitation":"11","previouslyFormattedCitation":"&lt;sup&gt;11&lt;/sup&gt;"},"properties":{"noteIndex":0},"schema":"https://github.com/citation-style-language/schema/raw/master/csl-citation.json"}</w:instrText>
      </w:r>
      <w:r w:rsidRPr="002D367F">
        <w:rPr>
          <w:rFonts w:ascii="Times New Roman" w:hAnsi="Times New Roman"/>
          <w:sz w:val="24"/>
          <w:szCs w:val="24"/>
        </w:rPr>
        <w:fldChar w:fldCharType="separate"/>
      </w:r>
      <w:r w:rsidR="00403302" w:rsidRPr="00403302">
        <w:rPr>
          <w:rFonts w:ascii="Times New Roman" w:hAnsi="Times New Roman"/>
          <w:noProof/>
          <w:sz w:val="24"/>
          <w:szCs w:val="24"/>
          <w:vertAlign w:val="superscript"/>
        </w:rPr>
        <w:t>11</w:t>
      </w:r>
      <w:r w:rsidRPr="002D367F">
        <w:rPr>
          <w:rFonts w:ascii="Times New Roman" w:hAnsi="Times New Roman"/>
          <w:sz w:val="24"/>
          <w:szCs w:val="24"/>
        </w:rPr>
        <w:fldChar w:fldCharType="end"/>
      </w:r>
      <w:r w:rsidRPr="002D367F">
        <w:rPr>
          <w:rFonts w:ascii="Times New Roman" w:hAnsi="Times New Roman"/>
          <w:sz w:val="24"/>
          <w:szCs w:val="24"/>
        </w:rPr>
        <w:t xml:space="preserve">. Nevertheless, no studies have previously evaluated </w:t>
      </w:r>
      <w:r w:rsidR="00F778CD">
        <w:rPr>
          <w:rFonts w:ascii="Times New Roman" w:hAnsi="Times New Roman"/>
          <w:sz w:val="24"/>
          <w:szCs w:val="24"/>
        </w:rPr>
        <w:t xml:space="preserve">the </w:t>
      </w:r>
      <w:r w:rsidRPr="002D367F">
        <w:rPr>
          <w:rFonts w:ascii="Times New Roman" w:hAnsi="Times New Roman"/>
          <w:sz w:val="24"/>
          <w:szCs w:val="24"/>
        </w:rPr>
        <w:t xml:space="preserve">associations between sex-specific longitudinal BP trajectories and mortality and overall incident CVD. Furthermore, current </w:t>
      </w:r>
      <w:r w:rsidR="00C445FE">
        <w:rPr>
          <w:rFonts w:ascii="Times New Roman" w:hAnsi="Times New Roman"/>
          <w:sz w:val="24"/>
          <w:szCs w:val="24"/>
        </w:rPr>
        <w:t xml:space="preserve">hypertension </w:t>
      </w:r>
      <w:r w:rsidRPr="002D367F">
        <w:rPr>
          <w:rFonts w:ascii="Times New Roman" w:hAnsi="Times New Roman"/>
          <w:sz w:val="24"/>
          <w:szCs w:val="24"/>
        </w:rPr>
        <w:t>guidelines lack sex-specific</w:t>
      </w:r>
      <w:r w:rsidR="00217354">
        <w:rPr>
          <w:rFonts w:ascii="Times New Roman" w:hAnsi="Times New Roman"/>
          <w:sz w:val="24"/>
          <w:szCs w:val="24"/>
        </w:rPr>
        <w:t xml:space="preserve"> recommendations</w:t>
      </w:r>
      <w:r w:rsidRPr="002D367F">
        <w:rPr>
          <w:rFonts w:ascii="Times New Roman" w:hAnsi="Times New Roman"/>
          <w:sz w:val="24"/>
          <w:szCs w:val="24"/>
        </w:rPr>
        <w:fldChar w:fldCharType="begin" w:fldLock="1"/>
      </w:r>
      <w:r w:rsidR="008600D6">
        <w:rPr>
          <w:rFonts w:ascii="Times New Roman" w:hAnsi="Times New Roman"/>
          <w:sz w:val="24"/>
          <w:szCs w:val="24"/>
        </w:rPr>
        <w:instrText>ADDIN CSL_CITATION {"citationItems":[{"id":"ITEM-1","itemData":{"DOI":"10.1093/eurheartj/ehy339","ISSN":"1522-9645 (Electronic)","PMID":"30165516","author":[{"dropping-particle":"","family":"Williams","given":"Bryan","non-dropping-particle":"","parse-names":false,"suffix":""},{"dropping-particle":"","family":"Mancia","given":"Giuseppe","non-dropping-particle":"","parse-names":false,"suffix":""},{"dropping-particle":"","family":"Spiering","given":"Wilko","non-dropping-particle":"","parse-names":false,"suffix":""},{"dropping-particle":"","family":"Agabiti Rosei","given":"Enrico","non-dropping-particle":"","parse-names":false,"suffix":""},{"dropping-particle":"","family":"Azizi","given":"Michel","non-dropping-particle":"","parse-names":false,"suffix":""},{"dropping-particle":"","family":"Burnier","given":"Michel","non-dropping-particle":"","parse-names":false,"suffix":""},{"dropping-particle":"","family":"Clement","given":"Denis L","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 E","non-dropping-particle":"","parse-names":false,"suffix":""},{"dropping-particle":"","family":"Kreutz","given":"Reinhold","non-dropping-particle":"","parse-names":false,"suffix":""},{"dropping-particle":"","family":"Laurent","given":"Stephane","non-dropping-particle":"","parse-names":false,"suffix":""},{"dropping-particle":"","family":"Lip","given":"Gregory Y 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 E","non-dropping-particle":"","parse-names":false,"suffix":""},{"dropping-particle":"","family":"Shlyakhto","given":"Evgeny","non-dropping-particle":"","parse-names":false,"suffix":""},{"dropping-particle":"","family":"Tsioufis","given":"Costas","non-dropping-particle":"","parse-names":false,"suffix":""},{"dropping-particle":"","family":"Aboyans","given":"Victor","non-dropping-particle":"","parse-names":false,"suffix":""},{"dropping-particle":"","family":"Desormais","given":"Ileana","non-dropping-particle":"","parse-names":false,"suffix":""}],"container-title":"European heart journal","id":"ITEM-1","issue":"33","issued":{"date-parts":[["2018","9"]]},"language":"eng","page":"3021-3104","publisher-place":"England","title":"2018 ESC/ESH Guidelines for the management of arterial hypertension.","type":"article-journal","volume":"39"},"uris":["http://www.mendeley.com/documents/?uuid=aec8f922-2e6c-409d-88b5-d2bcd780f4b1"]},{"id":"ITEM-2","itemData":{"DOI":"10.1161/HYP.0000000000000065","ISSN":"1524-4563 (Electronic)","PMID":"29133356","author":[{"dropping-particle":"","family":"Whelton","given":"Paul K","non-dropping-particle":"","parse-names":false,"suffix":""},{"dropping-particle":"","family":"Carey","given":"Robert M","non-dropping-particle":"","parse-names":false,"suffix":""},{"dropping-particle":"","family":"Aronow","given":"Wilbert S","non-dropping-particle":"","parse-names":false,"suffix":""},{"dropping-particle":"","family":"Casey","given":"Donald E Jr","non-dropping-particle":"","parse-names":false,"suffix":""},{"dropping-particle":"","family":"Collins","given":"Karen J","non-dropping-particle":"","parse-names":false,"suffix":""},{"dropping-particle":"","family":"Dennison Himmelfarb","given":"Cheryl","non-dropping-particle":"","parse-names":false,"suffix":""},{"dropping-particle":"","family":"DePalma","given":"Sondra M","non-dropping-particle":"","parse-names":false,"suffix":""},{"dropping-particle":"","family":"Gidding","given":"Samuel","non-dropping-particle":"","parse-names":false,"suffix":""},{"dropping-particle":"","family":"Jamerson","given":"Kenneth A","non-dropping-particle":"","parse-names":false,"suffix":""},{"dropping-particle":"","family":"Jones","given":"Daniel W","non-dropping-particle":"","parse-names":false,"suffix":""},{"dropping-particle":"","family":"MacLaughlin","given":"Eric J","non-dropping-particle":"","parse-names":false,"suffix":""},{"dropping-particle":"","family":"Muntner","given":"Paul","non-dropping-particle":"","parse-names":false,"suffix":""},{"dropping-particle":"","family":"Ovbiagele","given":"Bruce","non-dropping-particle":"","parse-names":false,"suffix":""},{"dropping-particle":"","family":"Smith","given":"Sidney C Jr","non-dropping-particle":"","parse-names":false,"suffix":""},{"dropping-particle":"","family":"Spencer","given":"Crystal C","non-dropping-particle":"","parse-names":false,"suffix":""},{"dropping-particle":"","family":"Stafford","given":"Randall S","non-dropping-particle":"","parse-names":false,"suffix":""},{"dropping-particle":"","family":"Taler","given":"Sandra J","non-dropping-particle":"","parse-names":false,"suffix":""},{"dropping-particle":"","family":"Thomas","given":"Randal J","non-dropping-particle":"","parse-names":false,"suffix":""},{"dropping-particle":"","family":"Williams","given":"Kim A Sr","non-dropping-particle":"","parse-names":false,"suffix":""},{"dropping-particle":"","family":"Williamson","given":"Jeff D","non-dropping-particle":"","parse-names":false,"suffix":""},{"dropping-particle":"","family":"Wright","given":"Jackson T Jr","non-dropping-particle":"","parse-names":false,"suffix":""}],"container-title":"Hypertension (Dallas, Tex. : 1979)","id":"ITEM-2","issue":"6","issued":{"date-parts":[["2018","6"]]},"language":"eng","page":"e13-e115","publisher-place":"United States","title":"2017 ACC/AHA/AAPA/ABC/ACPM/AGS/APhA/ASH/ASPC/NMA/PCNA Guideline for the Prevention, Detection, Evaluation, and Management of High Blood Pressure in Adults: A Report of the American College of Cardiology/American Heart Association Task Force on Clinical Pr","type":"article-journal","volume":"71"},"uris":["http://www.mendeley.com/documents/?uuid=4e750598-61e3-4f55-b354-d61a06d053b1"]},{"id":"ITEM-3","itemData":{"author":[{"dropping-particle":"","family":"National Institute for Health and Care Excellence","given":"","non-dropping-particle":"","parse-names":false,"suffix":""}],"id":"ITEM-3","issued":{"date-parts":[["2019"]]},"publisher":"NICE","title":"Overview | Hypertension in adults: diagnosis and management | Guidance | NICE","type":"article-journal"},"uris":["http://www.mendeley.com/documents/?uuid=4853e750-5347-3ae5-b3d2-c8f1f2b316ae"]}],"mendeley":{"formattedCitation":"&lt;sup&gt;1–3&lt;/sup&gt;","plainTextFormattedCitation":"1–3","previouslyFormattedCitation":"&lt;sup&gt;1–3&lt;/sup&gt;"},"properties":{"noteIndex":0},"schema":"https://github.com/citation-style-language/schema/raw/master/csl-citation.json"}</w:instrText>
      </w:r>
      <w:r w:rsidRPr="002D367F">
        <w:rPr>
          <w:rFonts w:ascii="Times New Roman" w:hAnsi="Times New Roman"/>
          <w:sz w:val="24"/>
          <w:szCs w:val="24"/>
        </w:rPr>
        <w:fldChar w:fldCharType="separate"/>
      </w:r>
      <w:r w:rsidR="008A2BB5" w:rsidRPr="008A2BB5">
        <w:rPr>
          <w:rFonts w:ascii="Times New Roman" w:hAnsi="Times New Roman"/>
          <w:noProof/>
          <w:sz w:val="24"/>
          <w:szCs w:val="24"/>
          <w:vertAlign w:val="superscript"/>
        </w:rPr>
        <w:t>1–3</w:t>
      </w:r>
      <w:r w:rsidRPr="002D367F">
        <w:rPr>
          <w:rFonts w:ascii="Times New Roman" w:hAnsi="Times New Roman"/>
          <w:sz w:val="24"/>
          <w:szCs w:val="24"/>
        </w:rPr>
        <w:fldChar w:fldCharType="end"/>
      </w:r>
      <w:r w:rsidRPr="002D367F">
        <w:rPr>
          <w:rFonts w:ascii="Times New Roman" w:hAnsi="Times New Roman"/>
          <w:sz w:val="24"/>
          <w:szCs w:val="24"/>
        </w:rPr>
        <w:t xml:space="preserve">. </w:t>
      </w:r>
    </w:p>
    <w:p w14:paraId="4992F463" w14:textId="2E46F025" w:rsidR="00A279BC" w:rsidRPr="00372862" w:rsidRDefault="003F0CDF" w:rsidP="00A411C4">
      <w:pPr>
        <w:spacing w:line="360" w:lineRule="auto"/>
        <w:rPr>
          <w:rFonts w:ascii="Times New Roman" w:hAnsi="Times New Roman"/>
          <w:sz w:val="24"/>
          <w:szCs w:val="24"/>
        </w:rPr>
      </w:pPr>
      <w:r w:rsidRPr="00372862">
        <w:rPr>
          <w:rFonts w:ascii="Times New Roman" w:hAnsi="Times New Roman"/>
          <w:sz w:val="24"/>
          <w:szCs w:val="24"/>
        </w:rPr>
        <w:t xml:space="preserve">In this study, we aimed to determine </w:t>
      </w:r>
      <w:r w:rsidR="00A411C4" w:rsidRPr="00372862">
        <w:rPr>
          <w:rFonts w:ascii="Times New Roman" w:hAnsi="Times New Roman"/>
          <w:bCs/>
          <w:sz w:val="24"/>
          <w:szCs w:val="24"/>
        </w:rPr>
        <w:t>the sex</w:t>
      </w:r>
      <w:r w:rsidR="00A411C4">
        <w:rPr>
          <w:rFonts w:ascii="Times New Roman" w:hAnsi="Times New Roman"/>
          <w:bCs/>
          <w:sz w:val="24"/>
          <w:szCs w:val="24"/>
        </w:rPr>
        <w:t xml:space="preserve"> differences in</w:t>
      </w:r>
      <w:r w:rsidR="00A411C4" w:rsidRPr="00372862">
        <w:rPr>
          <w:rFonts w:ascii="Times New Roman" w:hAnsi="Times New Roman"/>
          <w:bCs/>
          <w:sz w:val="24"/>
          <w:szCs w:val="24"/>
        </w:rPr>
        <w:t xml:space="preserve"> </w:t>
      </w:r>
      <w:r w:rsidR="00A411C4">
        <w:rPr>
          <w:rFonts w:ascii="Times New Roman" w:hAnsi="Times New Roman"/>
          <w:bCs/>
          <w:sz w:val="24"/>
          <w:szCs w:val="24"/>
        </w:rPr>
        <w:t>longitudinal</w:t>
      </w:r>
      <w:r w:rsidR="00A411C4" w:rsidRPr="00372862">
        <w:rPr>
          <w:rFonts w:ascii="Times New Roman" w:hAnsi="Times New Roman"/>
          <w:bCs/>
          <w:sz w:val="24"/>
          <w:szCs w:val="24"/>
        </w:rPr>
        <w:t xml:space="preserve"> SBP and DBP trajectories</w:t>
      </w:r>
      <w:r w:rsidR="00A411C4">
        <w:rPr>
          <w:rFonts w:ascii="Times New Roman" w:hAnsi="Times New Roman"/>
          <w:bCs/>
          <w:sz w:val="24"/>
          <w:szCs w:val="24"/>
        </w:rPr>
        <w:t xml:space="preserve"> in mid-life and delineate the </w:t>
      </w:r>
      <w:r w:rsidR="00A411C4" w:rsidRPr="00372862">
        <w:rPr>
          <w:rFonts w:ascii="Times New Roman" w:hAnsi="Times New Roman"/>
          <w:bCs/>
          <w:sz w:val="24"/>
          <w:szCs w:val="24"/>
        </w:rPr>
        <w:t xml:space="preserve">associations between </w:t>
      </w:r>
      <w:r w:rsidR="00A411C4">
        <w:rPr>
          <w:rFonts w:ascii="Times New Roman" w:hAnsi="Times New Roman"/>
          <w:bCs/>
          <w:sz w:val="24"/>
          <w:szCs w:val="24"/>
        </w:rPr>
        <w:t xml:space="preserve">these </w:t>
      </w:r>
      <w:r w:rsidR="00A411C4" w:rsidRPr="00372862">
        <w:rPr>
          <w:rFonts w:ascii="Times New Roman" w:hAnsi="Times New Roman"/>
          <w:bCs/>
          <w:sz w:val="24"/>
          <w:szCs w:val="24"/>
        </w:rPr>
        <w:t>and mortality (all-cause, cardiovascular and non-cardiovascular) and incident CVD</w:t>
      </w:r>
      <w:r w:rsidR="00A411C4">
        <w:rPr>
          <w:rFonts w:ascii="Times New Roman" w:hAnsi="Times New Roman"/>
          <w:bCs/>
          <w:sz w:val="24"/>
          <w:szCs w:val="24"/>
        </w:rPr>
        <w:t xml:space="preserve"> </w:t>
      </w:r>
      <w:r w:rsidRPr="00372862">
        <w:rPr>
          <w:rFonts w:ascii="Times New Roman" w:hAnsi="Times New Roman"/>
          <w:sz w:val="24"/>
          <w:szCs w:val="24"/>
        </w:rPr>
        <w:t xml:space="preserve"> </w:t>
      </w:r>
      <w:r w:rsidR="00203529">
        <w:rPr>
          <w:rFonts w:ascii="Times New Roman" w:hAnsi="Times New Roman"/>
          <w:sz w:val="24"/>
          <w:szCs w:val="24"/>
        </w:rPr>
        <w:t xml:space="preserve">in older age </w:t>
      </w:r>
      <w:r w:rsidRPr="00372862">
        <w:rPr>
          <w:rFonts w:ascii="Times New Roman" w:hAnsi="Times New Roman"/>
          <w:sz w:val="24"/>
          <w:szCs w:val="24"/>
        </w:rPr>
        <w:t xml:space="preserve">using data from </w:t>
      </w:r>
      <w:r w:rsidR="00CE6508" w:rsidRPr="00372862">
        <w:rPr>
          <w:rFonts w:ascii="Times New Roman" w:hAnsi="Times New Roman"/>
          <w:sz w:val="24"/>
          <w:szCs w:val="24"/>
        </w:rPr>
        <w:t>the European Prospective Investigation into Cancer - Norfolk Cohort (EPIC-Norfolk)</w:t>
      </w:r>
      <w:r w:rsidR="00C445FE">
        <w:rPr>
          <w:rFonts w:ascii="Times New Roman" w:hAnsi="Times New Roman"/>
          <w:sz w:val="24"/>
          <w:szCs w:val="24"/>
        </w:rPr>
        <w:t>.</w:t>
      </w:r>
      <w:r w:rsidR="00CE6508" w:rsidRPr="00372862">
        <w:rPr>
          <w:rFonts w:ascii="Times New Roman" w:hAnsi="Times New Roman"/>
          <w:sz w:val="24"/>
          <w:szCs w:val="24"/>
        </w:rPr>
        <w:t xml:space="preserve"> </w:t>
      </w:r>
    </w:p>
    <w:p w14:paraId="398DB08D" w14:textId="4946C93D" w:rsidR="00F11450" w:rsidRPr="00372862" w:rsidRDefault="00F11450" w:rsidP="006D6486">
      <w:pPr>
        <w:spacing w:line="360" w:lineRule="auto"/>
        <w:rPr>
          <w:rFonts w:ascii="Times New Roman" w:hAnsi="Times New Roman"/>
          <w:sz w:val="24"/>
          <w:szCs w:val="24"/>
        </w:rPr>
      </w:pPr>
    </w:p>
    <w:p w14:paraId="69DE6CE1" w14:textId="511EB812" w:rsidR="00695CF6" w:rsidRDefault="00695CF6" w:rsidP="006D6486">
      <w:pPr>
        <w:spacing w:line="360" w:lineRule="auto"/>
        <w:rPr>
          <w:rFonts w:ascii="Times New Roman" w:hAnsi="Times New Roman"/>
          <w:sz w:val="24"/>
          <w:szCs w:val="24"/>
        </w:rPr>
      </w:pPr>
    </w:p>
    <w:p w14:paraId="22886774" w14:textId="77777777" w:rsidR="00D839CE" w:rsidRPr="00372862" w:rsidRDefault="00D839CE" w:rsidP="006D6486">
      <w:pPr>
        <w:spacing w:line="360" w:lineRule="auto"/>
        <w:rPr>
          <w:rFonts w:ascii="Times New Roman" w:hAnsi="Times New Roman"/>
          <w:sz w:val="24"/>
          <w:szCs w:val="24"/>
        </w:rPr>
      </w:pPr>
    </w:p>
    <w:p w14:paraId="73661FBF" w14:textId="798A2BBB" w:rsidR="00CF5BCA" w:rsidRPr="00372862" w:rsidRDefault="00CE7CDC" w:rsidP="006D6486">
      <w:pPr>
        <w:spacing w:line="360" w:lineRule="auto"/>
        <w:rPr>
          <w:rFonts w:ascii="Times New Roman" w:hAnsi="Times New Roman"/>
          <w:b/>
          <w:sz w:val="24"/>
          <w:szCs w:val="28"/>
        </w:rPr>
      </w:pPr>
      <w:r w:rsidRPr="00372862">
        <w:rPr>
          <w:rFonts w:ascii="Times New Roman" w:hAnsi="Times New Roman"/>
          <w:b/>
          <w:sz w:val="24"/>
          <w:szCs w:val="28"/>
        </w:rPr>
        <w:lastRenderedPageBreak/>
        <w:t>M</w:t>
      </w:r>
      <w:r w:rsidR="000660BE" w:rsidRPr="00372862">
        <w:rPr>
          <w:rFonts w:ascii="Times New Roman" w:hAnsi="Times New Roman"/>
          <w:b/>
          <w:sz w:val="24"/>
          <w:szCs w:val="28"/>
        </w:rPr>
        <w:t>ETHODS</w:t>
      </w:r>
    </w:p>
    <w:p w14:paraId="44BC9C72" w14:textId="4CE261DF" w:rsidR="00B92F50" w:rsidRPr="00372862" w:rsidRDefault="00B92F50" w:rsidP="006D6486">
      <w:pPr>
        <w:spacing w:line="360" w:lineRule="auto"/>
        <w:rPr>
          <w:rFonts w:ascii="Times New Roman" w:hAnsi="Times New Roman"/>
          <w:b/>
          <w:sz w:val="24"/>
          <w:szCs w:val="28"/>
        </w:rPr>
      </w:pPr>
      <w:r w:rsidRPr="00372862">
        <w:rPr>
          <w:rFonts w:ascii="Times New Roman" w:hAnsi="Times New Roman"/>
          <w:b/>
          <w:sz w:val="24"/>
          <w:szCs w:val="28"/>
        </w:rPr>
        <w:t>Ethical considerations</w:t>
      </w:r>
    </w:p>
    <w:p w14:paraId="23D19602" w14:textId="5200F5B1" w:rsidR="00B92F50" w:rsidRPr="00372862" w:rsidRDefault="00B92F50" w:rsidP="006D6486">
      <w:pPr>
        <w:spacing w:line="360" w:lineRule="auto"/>
        <w:rPr>
          <w:rFonts w:ascii="Times New Roman" w:hAnsi="Times New Roman"/>
          <w:bCs/>
          <w:sz w:val="24"/>
          <w:szCs w:val="28"/>
        </w:rPr>
      </w:pPr>
      <w:r w:rsidRPr="00372862">
        <w:rPr>
          <w:rFonts w:ascii="Times New Roman" w:hAnsi="Times New Roman"/>
          <w:bCs/>
          <w:sz w:val="24"/>
          <w:szCs w:val="28"/>
        </w:rPr>
        <w:t>This study was conducted in accordance with the Declaration of Helsinki (1975) and later amendments. Ethical approval was obtained from the Norwich Ethics Committee</w:t>
      </w:r>
      <w:r w:rsidR="00817BD2">
        <w:rPr>
          <w:rFonts w:ascii="Times New Roman" w:hAnsi="Times New Roman"/>
          <w:bCs/>
          <w:sz w:val="24"/>
          <w:szCs w:val="28"/>
        </w:rPr>
        <w:t>. A</w:t>
      </w:r>
      <w:r w:rsidRPr="00372862">
        <w:rPr>
          <w:rFonts w:ascii="Times New Roman" w:hAnsi="Times New Roman"/>
          <w:bCs/>
          <w:sz w:val="24"/>
          <w:szCs w:val="28"/>
        </w:rPr>
        <w:t>ll participants gave informed signed consent for the examination of medical records and use of the data.</w:t>
      </w:r>
    </w:p>
    <w:p w14:paraId="2FDCDC5F" w14:textId="64441A92" w:rsidR="006D7D5C" w:rsidRPr="00372862" w:rsidRDefault="00B92F50" w:rsidP="006D6486">
      <w:pPr>
        <w:spacing w:line="360" w:lineRule="auto"/>
        <w:rPr>
          <w:rFonts w:ascii="Times New Roman" w:hAnsi="Times New Roman"/>
          <w:b/>
          <w:sz w:val="24"/>
          <w:szCs w:val="24"/>
        </w:rPr>
      </w:pPr>
      <w:r w:rsidRPr="00372862">
        <w:rPr>
          <w:rFonts w:ascii="Times New Roman" w:hAnsi="Times New Roman"/>
          <w:b/>
          <w:sz w:val="24"/>
          <w:szCs w:val="24"/>
        </w:rPr>
        <w:t>Data Source</w:t>
      </w:r>
    </w:p>
    <w:p w14:paraId="46FEF743" w14:textId="35ED144B" w:rsidR="006D7D5C" w:rsidRPr="00372862" w:rsidRDefault="006D7D5C" w:rsidP="006D6486">
      <w:pPr>
        <w:spacing w:line="360" w:lineRule="auto"/>
        <w:rPr>
          <w:rFonts w:ascii="Times New Roman" w:hAnsi="Times New Roman"/>
          <w:sz w:val="24"/>
          <w:szCs w:val="24"/>
        </w:rPr>
      </w:pPr>
      <w:r w:rsidRPr="00372862">
        <w:rPr>
          <w:rFonts w:ascii="Times New Roman" w:hAnsi="Times New Roman"/>
          <w:sz w:val="24"/>
          <w:szCs w:val="24"/>
        </w:rPr>
        <w:t>Participants were selected from the European Prospective Investigation into Cancer, Norfolk (EPIC-Norfolk) prospective cohort study</w:t>
      </w:r>
      <w:r w:rsidR="008A44E8" w:rsidRPr="00372862">
        <w:rPr>
          <w:rFonts w:ascii="Times New Roman" w:hAnsi="Times New Roman"/>
          <w:sz w:val="24"/>
          <w:szCs w:val="24"/>
        </w:rPr>
        <w:t xml:space="preserve">. </w:t>
      </w:r>
      <w:r w:rsidR="00832A51" w:rsidRPr="00372862">
        <w:rPr>
          <w:rFonts w:ascii="Times New Roman" w:hAnsi="Times New Roman"/>
          <w:sz w:val="24"/>
          <w:szCs w:val="24"/>
        </w:rPr>
        <w:t>S</w:t>
      </w:r>
      <w:r w:rsidRPr="00372862">
        <w:rPr>
          <w:rFonts w:ascii="Times New Roman" w:hAnsi="Times New Roman"/>
          <w:sz w:val="24"/>
          <w:szCs w:val="24"/>
        </w:rPr>
        <w:t xml:space="preserve">tudy </w:t>
      </w:r>
      <w:r w:rsidR="0074456D" w:rsidRPr="00372862">
        <w:rPr>
          <w:rFonts w:ascii="Times New Roman" w:hAnsi="Times New Roman"/>
          <w:sz w:val="24"/>
          <w:szCs w:val="24"/>
        </w:rPr>
        <w:t xml:space="preserve">recruitment </w:t>
      </w:r>
      <w:r w:rsidR="008A44E8" w:rsidRPr="00372862">
        <w:rPr>
          <w:rFonts w:ascii="Times New Roman" w:hAnsi="Times New Roman"/>
          <w:sz w:val="24"/>
          <w:szCs w:val="24"/>
        </w:rPr>
        <w:t xml:space="preserve">methods </w:t>
      </w:r>
      <w:r w:rsidR="0074456D" w:rsidRPr="00372862">
        <w:rPr>
          <w:rFonts w:ascii="Times New Roman" w:hAnsi="Times New Roman"/>
          <w:sz w:val="24"/>
          <w:szCs w:val="24"/>
        </w:rPr>
        <w:t>ha</w:t>
      </w:r>
      <w:r w:rsidR="00832A51" w:rsidRPr="00372862">
        <w:rPr>
          <w:rFonts w:ascii="Times New Roman" w:hAnsi="Times New Roman"/>
          <w:sz w:val="24"/>
          <w:szCs w:val="24"/>
        </w:rPr>
        <w:t>ve</w:t>
      </w:r>
      <w:r w:rsidR="0074456D" w:rsidRPr="00372862">
        <w:rPr>
          <w:rFonts w:ascii="Times New Roman" w:hAnsi="Times New Roman"/>
          <w:sz w:val="24"/>
          <w:szCs w:val="24"/>
        </w:rPr>
        <w:t xml:space="preserve"> </w:t>
      </w:r>
      <w:r w:rsidRPr="00372862">
        <w:rPr>
          <w:rFonts w:ascii="Times New Roman" w:hAnsi="Times New Roman"/>
          <w:sz w:val="24"/>
          <w:szCs w:val="24"/>
        </w:rPr>
        <w:t>been</w:t>
      </w:r>
      <w:r w:rsidR="00C445FE">
        <w:rPr>
          <w:rFonts w:ascii="Times New Roman" w:hAnsi="Times New Roman"/>
          <w:sz w:val="24"/>
          <w:szCs w:val="24"/>
        </w:rPr>
        <w:t xml:space="preserve"> previously</w:t>
      </w:r>
      <w:r w:rsidRPr="00372862">
        <w:rPr>
          <w:rFonts w:ascii="Times New Roman" w:hAnsi="Times New Roman"/>
          <w:sz w:val="24"/>
          <w:szCs w:val="24"/>
        </w:rPr>
        <w:t xml:space="preserve"> described</w:t>
      </w:r>
      <w:r w:rsidR="001E2E54">
        <w:rPr>
          <w:rFonts w:ascii="Times New Roman" w:hAnsi="Times New Roman"/>
          <w:sz w:val="24"/>
          <w:szCs w:val="24"/>
        </w:rPr>
        <w:fldChar w:fldCharType="begin" w:fldLock="1"/>
      </w:r>
      <w:r w:rsidR="00BB627C">
        <w:rPr>
          <w:rFonts w:ascii="Times New Roman" w:hAnsi="Times New Roman"/>
          <w:sz w:val="24"/>
          <w:szCs w:val="24"/>
        </w:rPr>
        <w:instrText>ADDIN CSL_CITATION {"citationItems":[{"id":"ITEM-1","itemData":{"ISSN":"0007-0920 (Print)","PMID":"10466767","author":[{"dropping-particle":"","family":"Day","given":"N","non-dropping-particle":"","parse-names":false,"suffix":""},{"dropping-particle":"","family":"Oakes","given":"S","non-dropping-particle":"","parse-names":false,"suffix":""},{"dropping-particle":"","family":"Luben","given":"R","non-dropping-particle":"","parse-names":false,"suffix":""},{"dropping-particle":"","family":"Khaw","given":"K T","non-dropping-particle":"","parse-names":false,"suffix":""},{"dropping-particle":"","family":"Bingham","given":"S","non-dropping-particle":"","parse-names":false,"suffix":""},{"dropping-particle":"","family":"Welch","given":"A","non-dropping-particle":"","parse-names":false,"suffix":""},{"dropping-particle":"","family":"Wareham","given":"N","non-dropping-particle":"","parse-names":false,"suffix":""}],"container-title":"British journal of cancer","id":"ITEM-1","issued":{"date-parts":[["1999","7"]]},"language":"eng","page":"95-103","publisher-place":"England","title":"EPIC-Norfolk: study design and characteristics of the cohort. European Prospective Investigation of Cancer.","type":"article-journal","volume":"80 Suppl 1"},"uris":["http://www.mendeley.com/documents/?uuid=a147b47a-39bb-4e89-beca-83b334a438e2"]}],"mendeley":{"formattedCitation":"&lt;sup&gt;16&lt;/sup&gt;","plainTextFormattedCitation":"16","previouslyFormattedCitation":"&lt;sup&gt;16&lt;/sup&gt;"},"properties":{"noteIndex":0},"schema":"https://github.com/citation-style-language/schema/raw/master/csl-citation.json"}</w:instrText>
      </w:r>
      <w:r w:rsidR="001E2E54">
        <w:rPr>
          <w:rFonts w:ascii="Times New Roman" w:hAnsi="Times New Roman"/>
          <w:sz w:val="24"/>
          <w:szCs w:val="24"/>
        </w:rPr>
        <w:fldChar w:fldCharType="separate"/>
      </w:r>
      <w:r w:rsidR="00403302" w:rsidRPr="00403302">
        <w:rPr>
          <w:rFonts w:ascii="Times New Roman" w:hAnsi="Times New Roman"/>
          <w:noProof/>
          <w:sz w:val="24"/>
          <w:szCs w:val="24"/>
          <w:vertAlign w:val="superscript"/>
        </w:rPr>
        <w:t>16</w:t>
      </w:r>
      <w:r w:rsidR="001E2E54">
        <w:rPr>
          <w:rFonts w:ascii="Times New Roman" w:hAnsi="Times New Roman"/>
          <w:sz w:val="24"/>
          <w:szCs w:val="24"/>
        </w:rPr>
        <w:fldChar w:fldCharType="end"/>
      </w:r>
      <w:r w:rsidRPr="00372862">
        <w:rPr>
          <w:rFonts w:ascii="Times New Roman" w:hAnsi="Times New Roman"/>
          <w:sz w:val="24"/>
          <w:szCs w:val="24"/>
        </w:rPr>
        <w:t>.</w:t>
      </w:r>
      <w:r w:rsidR="00080C6F" w:rsidRPr="00372862">
        <w:rPr>
          <w:rFonts w:ascii="Times New Roman" w:hAnsi="Times New Roman"/>
          <w:sz w:val="24"/>
          <w:szCs w:val="24"/>
        </w:rPr>
        <w:t xml:space="preserve"> </w:t>
      </w:r>
      <w:r w:rsidR="00C445FE">
        <w:rPr>
          <w:rFonts w:ascii="Times New Roman" w:hAnsi="Times New Roman"/>
          <w:sz w:val="24"/>
          <w:szCs w:val="24"/>
        </w:rPr>
        <w:t>Briefly</w:t>
      </w:r>
      <w:r w:rsidR="000452AF" w:rsidRPr="00372862">
        <w:rPr>
          <w:rFonts w:ascii="Times New Roman" w:hAnsi="Times New Roman"/>
          <w:sz w:val="24"/>
          <w:szCs w:val="24"/>
        </w:rPr>
        <w:t>, men and women</w:t>
      </w:r>
      <w:r w:rsidR="00B73AAD" w:rsidRPr="00372862">
        <w:rPr>
          <w:rFonts w:ascii="Times New Roman" w:hAnsi="Times New Roman"/>
          <w:sz w:val="24"/>
          <w:szCs w:val="24"/>
        </w:rPr>
        <w:t xml:space="preserve"> aged 40-79 (at study baseline)</w:t>
      </w:r>
      <w:r w:rsidR="000452AF" w:rsidRPr="00372862">
        <w:rPr>
          <w:rFonts w:ascii="Times New Roman" w:hAnsi="Times New Roman"/>
          <w:sz w:val="24"/>
          <w:szCs w:val="24"/>
        </w:rPr>
        <w:t xml:space="preserve"> </w:t>
      </w:r>
      <w:r w:rsidR="00CB2A82" w:rsidRPr="00372862">
        <w:rPr>
          <w:rFonts w:ascii="Times New Roman" w:hAnsi="Times New Roman"/>
          <w:sz w:val="24"/>
          <w:szCs w:val="24"/>
        </w:rPr>
        <w:t xml:space="preserve">from </w:t>
      </w:r>
      <w:r w:rsidR="00577B67" w:rsidRPr="00372862">
        <w:rPr>
          <w:rFonts w:ascii="Times New Roman" w:hAnsi="Times New Roman"/>
          <w:sz w:val="24"/>
          <w:szCs w:val="24"/>
        </w:rPr>
        <w:t>35</w:t>
      </w:r>
      <w:r w:rsidR="00B73AAD" w:rsidRPr="00372862">
        <w:rPr>
          <w:rFonts w:ascii="Times New Roman" w:hAnsi="Times New Roman"/>
          <w:sz w:val="24"/>
          <w:szCs w:val="24"/>
        </w:rPr>
        <w:t xml:space="preserve"> </w:t>
      </w:r>
      <w:r w:rsidRPr="00372862">
        <w:rPr>
          <w:rFonts w:ascii="Times New Roman" w:hAnsi="Times New Roman"/>
          <w:sz w:val="24"/>
          <w:szCs w:val="24"/>
        </w:rPr>
        <w:t xml:space="preserve">General Practices in Norfolk, </w:t>
      </w:r>
      <w:r w:rsidR="00B73AAD" w:rsidRPr="00372862">
        <w:rPr>
          <w:rFonts w:ascii="Times New Roman" w:hAnsi="Times New Roman"/>
          <w:sz w:val="24"/>
          <w:szCs w:val="24"/>
        </w:rPr>
        <w:t xml:space="preserve">England </w:t>
      </w:r>
      <w:r w:rsidRPr="00372862">
        <w:rPr>
          <w:rFonts w:ascii="Times New Roman" w:hAnsi="Times New Roman"/>
          <w:sz w:val="24"/>
          <w:szCs w:val="24"/>
        </w:rPr>
        <w:t xml:space="preserve">were invited to participate. </w:t>
      </w:r>
      <w:r w:rsidR="003423F2" w:rsidRPr="00372862">
        <w:rPr>
          <w:rFonts w:ascii="Times New Roman" w:hAnsi="Times New Roman"/>
          <w:sz w:val="24"/>
          <w:szCs w:val="24"/>
        </w:rPr>
        <w:t>Three health checks</w:t>
      </w:r>
      <w:r w:rsidR="00C445FE">
        <w:rPr>
          <w:rFonts w:ascii="Times New Roman" w:hAnsi="Times New Roman"/>
          <w:sz w:val="24"/>
          <w:szCs w:val="24"/>
        </w:rPr>
        <w:t xml:space="preserve"> (HC)</w:t>
      </w:r>
      <w:r w:rsidR="003423F2" w:rsidRPr="00372862">
        <w:rPr>
          <w:rFonts w:ascii="Times New Roman" w:hAnsi="Times New Roman"/>
          <w:sz w:val="24"/>
          <w:szCs w:val="24"/>
        </w:rPr>
        <w:t xml:space="preserve"> occurred between 1993-1998</w:t>
      </w:r>
      <w:r w:rsidR="00E47142" w:rsidRPr="00372862">
        <w:rPr>
          <w:rFonts w:ascii="Times New Roman" w:hAnsi="Times New Roman"/>
          <w:sz w:val="24"/>
          <w:szCs w:val="24"/>
        </w:rPr>
        <w:t xml:space="preserve"> (study baseline)</w:t>
      </w:r>
      <w:r w:rsidR="003423F2" w:rsidRPr="00372862">
        <w:rPr>
          <w:rFonts w:ascii="Times New Roman" w:hAnsi="Times New Roman"/>
          <w:sz w:val="24"/>
          <w:szCs w:val="24"/>
        </w:rPr>
        <w:t xml:space="preserve">, 1998-2000 and 2004-2012. At each </w:t>
      </w:r>
      <w:r w:rsidR="00C445FE">
        <w:rPr>
          <w:rFonts w:ascii="Times New Roman" w:hAnsi="Times New Roman"/>
          <w:sz w:val="24"/>
          <w:szCs w:val="24"/>
        </w:rPr>
        <w:t>HC</w:t>
      </w:r>
      <w:r w:rsidR="003423F2" w:rsidRPr="00372862">
        <w:rPr>
          <w:rFonts w:ascii="Times New Roman" w:hAnsi="Times New Roman"/>
          <w:sz w:val="24"/>
          <w:szCs w:val="24"/>
        </w:rPr>
        <w:t xml:space="preserve">, data on age, demographic characteristics, behavioural parameters, systolic and diastolic </w:t>
      </w:r>
      <w:r w:rsidR="00AC6DBA">
        <w:rPr>
          <w:rFonts w:ascii="Times New Roman" w:hAnsi="Times New Roman"/>
          <w:sz w:val="24"/>
          <w:szCs w:val="24"/>
        </w:rPr>
        <w:t>BP</w:t>
      </w:r>
      <w:r w:rsidR="003423F2" w:rsidRPr="00372862">
        <w:rPr>
          <w:rFonts w:ascii="Times New Roman" w:hAnsi="Times New Roman"/>
          <w:sz w:val="24"/>
          <w:szCs w:val="24"/>
        </w:rPr>
        <w:t xml:space="preserve"> measurements and </w:t>
      </w:r>
      <w:r w:rsidR="00AC6DBA">
        <w:rPr>
          <w:rFonts w:ascii="Times New Roman" w:hAnsi="Times New Roman"/>
          <w:sz w:val="24"/>
          <w:szCs w:val="24"/>
        </w:rPr>
        <w:t>medication</w:t>
      </w:r>
      <w:r w:rsidR="003423F2" w:rsidRPr="00372862">
        <w:rPr>
          <w:rFonts w:ascii="Times New Roman" w:hAnsi="Times New Roman"/>
          <w:sz w:val="24"/>
          <w:szCs w:val="24"/>
        </w:rPr>
        <w:t xml:space="preserve"> were collected. </w:t>
      </w:r>
      <w:r w:rsidR="001660AC">
        <w:rPr>
          <w:rFonts w:ascii="Times New Roman" w:hAnsi="Times New Roman"/>
          <w:sz w:val="24"/>
          <w:szCs w:val="24"/>
        </w:rPr>
        <w:t>S</w:t>
      </w:r>
      <w:r w:rsidR="00C45FBD" w:rsidRPr="00372862">
        <w:rPr>
          <w:rFonts w:ascii="Times New Roman" w:hAnsi="Times New Roman"/>
          <w:sz w:val="24"/>
          <w:szCs w:val="24"/>
        </w:rPr>
        <w:t xml:space="preserve">elf-reported co-morbidities were </w:t>
      </w:r>
      <w:r w:rsidR="001660AC">
        <w:rPr>
          <w:rFonts w:ascii="Times New Roman" w:hAnsi="Times New Roman"/>
          <w:sz w:val="24"/>
          <w:szCs w:val="24"/>
        </w:rPr>
        <w:t>ascertained</w:t>
      </w:r>
      <w:r w:rsidR="00C45FBD" w:rsidRPr="00372862">
        <w:rPr>
          <w:rFonts w:ascii="Times New Roman" w:hAnsi="Times New Roman"/>
          <w:sz w:val="24"/>
          <w:szCs w:val="24"/>
        </w:rPr>
        <w:t xml:space="preserve"> during the first and second </w:t>
      </w:r>
      <w:r w:rsidR="00C445FE">
        <w:rPr>
          <w:rFonts w:ascii="Times New Roman" w:hAnsi="Times New Roman"/>
          <w:sz w:val="24"/>
          <w:szCs w:val="24"/>
        </w:rPr>
        <w:t>HCs</w:t>
      </w:r>
      <w:r w:rsidR="00C45FBD" w:rsidRPr="00372862">
        <w:rPr>
          <w:rFonts w:ascii="Times New Roman" w:hAnsi="Times New Roman"/>
          <w:sz w:val="24"/>
          <w:szCs w:val="24"/>
        </w:rPr>
        <w:t xml:space="preserve">. A follow-up </w:t>
      </w:r>
      <w:r w:rsidR="005C24E6" w:rsidRPr="005C24E6">
        <w:rPr>
          <w:rFonts w:ascii="Times New Roman" w:hAnsi="Times New Roman"/>
          <w:sz w:val="24"/>
          <w:szCs w:val="24"/>
        </w:rPr>
        <w:t xml:space="preserve">questionnaire </w:t>
      </w:r>
      <w:r w:rsidR="00C45FBD" w:rsidRPr="00372862">
        <w:rPr>
          <w:rFonts w:ascii="Times New Roman" w:hAnsi="Times New Roman"/>
          <w:sz w:val="24"/>
          <w:szCs w:val="24"/>
        </w:rPr>
        <w:t xml:space="preserve">obtained between 2000-2006 </w:t>
      </w:r>
      <w:r w:rsidR="001660AC">
        <w:rPr>
          <w:rFonts w:ascii="Times New Roman" w:hAnsi="Times New Roman"/>
          <w:sz w:val="24"/>
          <w:szCs w:val="24"/>
        </w:rPr>
        <w:t>ascertained</w:t>
      </w:r>
      <w:r w:rsidR="00C45FBD" w:rsidRPr="00372862">
        <w:rPr>
          <w:rFonts w:ascii="Times New Roman" w:hAnsi="Times New Roman"/>
          <w:sz w:val="24"/>
          <w:szCs w:val="24"/>
        </w:rPr>
        <w:t xml:space="preserve"> self-reported co-morbidities before the third health check</w:t>
      </w:r>
      <w:r w:rsidR="001E2E54">
        <w:rPr>
          <w:rFonts w:ascii="Times New Roman" w:hAnsi="Times New Roman"/>
          <w:sz w:val="24"/>
          <w:szCs w:val="24"/>
        </w:rPr>
        <w:fldChar w:fldCharType="begin" w:fldLock="1"/>
      </w:r>
      <w:r w:rsidR="00BB627C">
        <w:rPr>
          <w:rFonts w:ascii="Times New Roman" w:hAnsi="Times New Roman"/>
          <w:sz w:val="24"/>
          <w:szCs w:val="24"/>
        </w:rPr>
        <w:instrText>ADDIN CSL_CITATION {"citationItems":[{"id":"ITEM-1","itemData":{"URL":"https://www.epic-norfolk.org.uk/about/followup.shtml","accessed":{"date-parts":[["2020","9","22"]]},"author":[{"dropping-particle":"","family":"EPIC-Norfolk","given":"","non-dropping-particle":"","parse-names":false,"suffix":""}],"id":"ITEM-1","issued":{"date-parts":[["0"]]},"title":"About EPIC-Norfolk: Follow Up","type":"webpage"},"uris":["http://www.mendeley.com/documents/?uuid=a7bee347-0446-3835-8d18-da180f458692"]}],"mendeley":{"formattedCitation":"&lt;sup&gt;17&lt;/sup&gt;","plainTextFormattedCitation":"17","previouslyFormattedCitation":"&lt;sup&gt;17&lt;/sup&gt;"},"properties":{"noteIndex":0},"schema":"https://github.com/citation-style-language/schema/raw/master/csl-citation.json"}</w:instrText>
      </w:r>
      <w:r w:rsidR="001E2E54">
        <w:rPr>
          <w:rFonts w:ascii="Times New Roman" w:hAnsi="Times New Roman"/>
          <w:sz w:val="24"/>
          <w:szCs w:val="24"/>
        </w:rPr>
        <w:fldChar w:fldCharType="separate"/>
      </w:r>
      <w:r w:rsidR="00403302" w:rsidRPr="00403302">
        <w:rPr>
          <w:rFonts w:ascii="Times New Roman" w:hAnsi="Times New Roman"/>
          <w:noProof/>
          <w:sz w:val="24"/>
          <w:szCs w:val="24"/>
          <w:vertAlign w:val="superscript"/>
        </w:rPr>
        <w:t>17</w:t>
      </w:r>
      <w:r w:rsidR="001E2E54">
        <w:rPr>
          <w:rFonts w:ascii="Times New Roman" w:hAnsi="Times New Roman"/>
          <w:sz w:val="24"/>
          <w:szCs w:val="24"/>
        </w:rPr>
        <w:fldChar w:fldCharType="end"/>
      </w:r>
      <w:r w:rsidR="00C45FBD" w:rsidRPr="00372862">
        <w:rPr>
          <w:rFonts w:ascii="Times New Roman" w:hAnsi="Times New Roman"/>
          <w:sz w:val="24"/>
          <w:szCs w:val="24"/>
        </w:rPr>
        <w:t>.</w:t>
      </w:r>
      <w:r w:rsidR="003E308C">
        <w:rPr>
          <w:rFonts w:ascii="Times New Roman" w:hAnsi="Times New Roman"/>
          <w:sz w:val="24"/>
          <w:szCs w:val="24"/>
        </w:rPr>
        <w:t xml:space="preserve"> </w:t>
      </w:r>
    </w:p>
    <w:p w14:paraId="6CF79E7C" w14:textId="565275BE" w:rsidR="00ED1DE7" w:rsidRPr="00372862" w:rsidRDefault="00ED1DE7" w:rsidP="006D6486">
      <w:pPr>
        <w:spacing w:line="360" w:lineRule="auto"/>
        <w:rPr>
          <w:rFonts w:ascii="Times New Roman" w:hAnsi="Times New Roman"/>
          <w:b/>
          <w:bCs/>
          <w:sz w:val="24"/>
          <w:szCs w:val="24"/>
        </w:rPr>
      </w:pPr>
      <w:r w:rsidRPr="00372862">
        <w:rPr>
          <w:rFonts w:ascii="Times New Roman" w:hAnsi="Times New Roman"/>
          <w:b/>
          <w:bCs/>
          <w:sz w:val="24"/>
          <w:szCs w:val="24"/>
        </w:rPr>
        <w:t>Inclusion and Exclusion Criteria</w:t>
      </w:r>
    </w:p>
    <w:p w14:paraId="347BF030" w14:textId="3436A0CE" w:rsidR="00411115" w:rsidRDefault="00411115" w:rsidP="006D6486">
      <w:pPr>
        <w:spacing w:line="360" w:lineRule="auto"/>
        <w:rPr>
          <w:rFonts w:ascii="Times New Roman" w:hAnsi="Times New Roman"/>
          <w:sz w:val="24"/>
          <w:szCs w:val="24"/>
        </w:rPr>
      </w:pPr>
      <w:r w:rsidRPr="00372862">
        <w:rPr>
          <w:rFonts w:ascii="Times New Roman" w:hAnsi="Times New Roman"/>
          <w:sz w:val="24"/>
          <w:szCs w:val="24"/>
        </w:rPr>
        <w:t xml:space="preserve">Figure 1 illustrates the participant flowchart. Out </w:t>
      </w:r>
      <w:r w:rsidR="001660AC" w:rsidRPr="001660AC">
        <w:rPr>
          <w:rFonts w:ascii="Times New Roman" w:hAnsi="Times New Roman"/>
          <w:sz w:val="24"/>
          <w:szCs w:val="24"/>
        </w:rPr>
        <w:t xml:space="preserve">of 6769 participants who attended the first three </w:t>
      </w:r>
      <w:r w:rsidR="00C445FE">
        <w:rPr>
          <w:rFonts w:ascii="Times New Roman" w:hAnsi="Times New Roman"/>
          <w:sz w:val="24"/>
          <w:szCs w:val="24"/>
        </w:rPr>
        <w:t>HCs</w:t>
      </w:r>
      <w:r w:rsidR="001660AC" w:rsidRPr="001660AC">
        <w:rPr>
          <w:rFonts w:ascii="Times New Roman" w:hAnsi="Times New Roman"/>
          <w:sz w:val="24"/>
          <w:szCs w:val="24"/>
        </w:rPr>
        <w:t xml:space="preserve"> of the EPIC-Norfolk study, 6716 (2897 </w:t>
      </w:r>
      <w:r w:rsidR="007247C6">
        <w:rPr>
          <w:rFonts w:ascii="Times New Roman" w:hAnsi="Times New Roman"/>
          <w:sz w:val="24"/>
          <w:szCs w:val="24"/>
        </w:rPr>
        <w:t>men</w:t>
      </w:r>
      <w:r w:rsidR="001660AC" w:rsidRPr="001660AC">
        <w:rPr>
          <w:rFonts w:ascii="Times New Roman" w:hAnsi="Times New Roman"/>
          <w:sz w:val="24"/>
          <w:szCs w:val="24"/>
        </w:rPr>
        <w:t xml:space="preserve"> and 3819 </w:t>
      </w:r>
      <w:r w:rsidR="007247C6">
        <w:rPr>
          <w:rFonts w:ascii="Times New Roman" w:hAnsi="Times New Roman"/>
          <w:sz w:val="24"/>
          <w:szCs w:val="24"/>
        </w:rPr>
        <w:t>women</w:t>
      </w:r>
      <w:r w:rsidR="001660AC" w:rsidRPr="001660AC">
        <w:rPr>
          <w:rFonts w:ascii="Times New Roman" w:hAnsi="Times New Roman"/>
          <w:sz w:val="24"/>
          <w:szCs w:val="24"/>
        </w:rPr>
        <w:t xml:space="preserve">) were included in the mortality analyses, after the exclusion of 53 participants with missing data. A total of </w:t>
      </w:r>
      <w:r w:rsidR="003F02EB">
        <w:rPr>
          <w:rFonts w:ascii="Times New Roman" w:hAnsi="Times New Roman"/>
          <w:sz w:val="24"/>
          <w:szCs w:val="24"/>
        </w:rPr>
        <w:t>690</w:t>
      </w:r>
      <w:r w:rsidR="003F02EB" w:rsidRPr="001660AC">
        <w:rPr>
          <w:rFonts w:ascii="Times New Roman" w:hAnsi="Times New Roman"/>
          <w:sz w:val="24"/>
          <w:szCs w:val="24"/>
        </w:rPr>
        <w:t xml:space="preserve"> </w:t>
      </w:r>
      <w:r w:rsidR="009445D1">
        <w:rPr>
          <w:rFonts w:ascii="Times New Roman" w:hAnsi="Times New Roman"/>
          <w:sz w:val="24"/>
          <w:szCs w:val="24"/>
        </w:rPr>
        <w:t>men</w:t>
      </w:r>
      <w:r w:rsidR="001660AC" w:rsidRPr="001660AC">
        <w:rPr>
          <w:rFonts w:ascii="Times New Roman" w:hAnsi="Times New Roman"/>
          <w:sz w:val="24"/>
          <w:szCs w:val="24"/>
        </w:rPr>
        <w:t xml:space="preserve"> and </w:t>
      </w:r>
      <w:r w:rsidR="003F02EB">
        <w:rPr>
          <w:rFonts w:ascii="Times New Roman" w:hAnsi="Times New Roman"/>
          <w:sz w:val="24"/>
          <w:szCs w:val="24"/>
        </w:rPr>
        <w:t>504</w:t>
      </w:r>
      <w:r w:rsidR="003F02EB" w:rsidRPr="001660AC">
        <w:rPr>
          <w:rFonts w:ascii="Times New Roman" w:hAnsi="Times New Roman"/>
          <w:sz w:val="24"/>
          <w:szCs w:val="24"/>
        </w:rPr>
        <w:t xml:space="preserve"> </w:t>
      </w:r>
      <w:r w:rsidR="009445D1">
        <w:rPr>
          <w:rFonts w:ascii="Times New Roman" w:hAnsi="Times New Roman"/>
          <w:sz w:val="24"/>
          <w:szCs w:val="24"/>
        </w:rPr>
        <w:t>women</w:t>
      </w:r>
      <w:r w:rsidR="001660AC" w:rsidRPr="001660AC">
        <w:rPr>
          <w:rFonts w:ascii="Times New Roman" w:hAnsi="Times New Roman"/>
          <w:sz w:val="24"/>
          <w:szCs w:val="24"/>
        </w:rPr>
        <w:t xml:space="preserve"> with prevalent CVD at the third </w:t>
      </w:r>
      <w:r w:rsidR="00C445FE">
        <w:rPr>
          <w:rFonts w:ascii="Times New Roman" w:hAnsi="Times New Roman"/>
          <w:sz w:val="24"/>
          <w:szCs w:val="24"/>
        </w:rPr>
        <w:t>HC</w:t>
      </w:r>
      <w:r w:rsidR="001660AC" w:rsidRPr="001660AC">
        <w:rPr>
          <w:rFonts w:ascii="Times New Roman" w:hAnsi="Times New Roman"/>
          <w:sz w:val="24"/>
          <w:szCs w:val="24"/>
        </w:rPr>
        <w:t xml:space="preserve"> (2004-2012) were further excluded from the incident CVD analyses, </w:t>
      </w:r>
      <w:r w:rsidR="00260144">
        <w:rPr>
          <w:rFonts w:ascii="Times New Roman" w:hAnsi="Times New Roman"/>
          <w:sz w:val="24"/>
          <w:szCs w:val="24"/>
        </w:rPr>
        <w:t>including</w:t>
      </w:r>
      <w:r w:rsidR="001660AC" w:rsidRPr="001660AC">
        <w:rPr>
          <w:rFonts w:ascii="Times New Roman" w:hAnsi="Times New Roman"/>
          <w:sz w:val="24"/>
          <w:szCs w:val="24"/>
        </w:rPr>
        <w:t xml:space="preserve"> </w:t>
      </w:r>
      <w:r w:rsidR="003F02EB">
        <w:rPr>
          <w:rFonts w:ascii="Times New Roman" w:hAnsi="Times New Roman"/>
          <w:sz w:val="24"/>
          <w:szCs w:val="24"/>
        </w:rPr>
        <w:t>2207</w:t>
      </w:r>
      <w:r w:rsidR="003F02EB" w:rsidRPr="001660AC">
        <w:rPr>
          <w:rFonts w:ascii="Times New Roman" w:hAnsi="Times New Roman"/>
          <w:sz w:val="24"/>
          <w:szCs w:val="24"/>
        </w:rPr>
        <w:t xml:space="preserve"> </w:t>
      </w:r>
      <w:r w:rsidR="009445D1">
        <w:rPr>
          <w:rFonts w:ascii="Times New Roman" w:hAnsi="Times New Roman"/>
          <w:sz w:val="24"/>
          <w:szCs w:val="24"/>
        </w:rPr>
        <w:t>men</w:t>
      </w:r>
      <w:r w:rsidR="001660AC" w:rsidRPr="001660AC">
        <w:rPr>
          <w:rFonts w:ascii="Times New Roman" w:hAnsi="Times New Roman"/>
          <w:sz w:val="24"/>
          <w:szCs w:val="24"/>
        </w:rPr>
        <w:t xml:space="preserve"> and </w:t>
      </w:r>
      <w:r w:rsidR="003F02EB">
        <w:rPr>
          <w:rFonts w:ascii="Times New Roman" w:hAnsi="Times New Roman"/>
          <w:sz w:val="24"/>
          <w:szCs w:val="24"/>
        </w:rPr>
        <w:t>3315</w:t>
      </w:r>
      <w:r w:rsidR="003F02EB" w:rsidRPr="001660AC">
        <w:rPr>
          <w:rFonts w:ascii="Times New Roman" w:hAnsi="Times New Roman"/>
          <w:sz w:val="24"/>
          <w:szCs w:val="24"/>
        </w:rPr>
        <w:t xml:space="preserve"> </w:t>
      </w:r>
      <w:r w:rsidR="009445D1">
        <w:rPr>
          <w:rFonts w:ascii="Times New Roman" w:hAnsi="Times New Roman"/>
          <w:sz w:val="24"/>
          <w:szCs w:val="24"/>
        </w:rPr>
        <w:t>women</w:t>
      </w:r>
      <w:r w:rsidR="001660AC" w:rsidRPr="001660AC">
        <w:rPr>
          <w:rFonts w:ascii="Times New Roman" w:hAnsi="Times New Roman"/>
          <w:sz w:val="24"/>
          <w:szCs w:val="24"/>
        </w:rPr>
        <w:t>.</w:t>
      </w:r>
    </w:p>
    <w:p w14:paraId="6B9781DD" w14:textId="71980B17" w:rsidR="001660AC" w:rsidRDefault="001660AC" w:rsidP="006D6486">
      <w:pPr>
        <w:spacing w:line="360" w:lineRule="auto"/>
        <w:rPr>
          <w:rFonts w:ascii="Times New Roman" w:hAnsi="Times New Roman"/>
          <w:sz w:val="24"/>
          <w:szCs w:val="24"/>
        </w:rPr>
      </w:pPr>
    </w:p>
    <w:p w14:paraId="70EE6BC9" w14:textId="47A0ED42" w:rsidR="00260144" w:rsidRDefault="00260144" w:rsidP="006D6486">
      <w:pPr>
        <w:spacing w:line="360" w:lineRule="auto"/>
        <w:rPr>
          <w:rFonts w:ascii="Times New Roman" w:hAnsi="Times New Roman"/>
          <w:sz w:val="24"/>
          <w:szCs w:val="24"/>
        </w:rPr>
      </w:pPr>
    </w:p>
    <w:p w14:paraId="03BACA02" w14:textId="2C641CD1" w:rsidR="003E308C" w:rsidRDefault="003E308C" w:rsidP="006D6486">
      <w:pPr>
        <w:spacing w:line="360" w:lineRule="auto"/>
        <w:rPr>
          <w:rFonts w:ascii="Times New Roman" w:hAnsi="Times New Roman"/>
          <w:sz w:val="24"/>
          <w:szCs w:val="24"/>
        </w:rPr>
      </w:pPr>
    </w:p>
    <w:p w14:paraId="17B24110" w14:textId="387167A9" w:rsidR="003E308C" w:rsidRDefault="003E308C" w:rsidP="006D6486">
      <w:pPr>
        <w:spacing w:line="360" w:lineRule="auto"/>
        <w:rPr>
          <w:rFonts w:ascii="Times New Roman" w:hAnsi="Times New Roman"/>
          <w:sz w:val="24"/>
          <w:szCs w:val="24"/>
        </w:rPr>
      </w:pPr>
    </w:p>
    <w:p w14:paraId="71A293A9" w14:textId="77777777" w:rsidR="003E308C" w:rsidRDefault="003E308C" w:rsidP="006D6486">
      <w:pPr>
        <w:spacing w:line="360" w:lineRule="auto"/>
        <w:rPr>
          <w:rFonts w:ascii="Times New Roman" w:hAnsi="Times New Roman"/>
          <w:sz w:val="24"/>
          <w:szCs w:val="24"/>
        </w:rPr>
      </w:pPr>
    </w:p>
    <w:p w14:paraId="646B2F62" w14:textId="7F05BF6E" w:rsidR="00260144" w:rsidRDefault="00260144" w:rsidP="006D6486">
      <w:pPr>
        <w:spacing w:line="360" w:lineRule="auto"/>
        <w:rPr>
          <w:rFonts w:ascii="Times New Roman" w:hAnsi="Times New Roman"/>
          <w:sz w:val="24"/>
          <w:szCs w:val="24"/>
        </w:rPr>
      </w:pPr>
    </w:p>
    <w:p w14:paraId="1A8DD054" w14:textId="77777777" w:rsidR="00260144" w:rsidRPr="00372862" w:rsidRDefault="00260144" w:rsidP="006D6486">
      <w:pPr>
        <w:spacing w:line="360" w:lineRule="auto"/>
        <w:rPr>
          <w:rFonts w:ascii="Times New Roman" w:hAnsi="Times New Roman"/>
          <w:sz w:val="24"/>
          <w:szCs w:val="24"/>
        </w:rPr>
      </w:pPr>
    </w:p>
    <w:p w14:paraId="447A8B94" w14:textId="7F19E56F" w:rsidR="00B637B7" w:rsidRPr="00372862" w:rsidRDefault="00B637B7" w:rsidP="00B637B7">
      <w:pPr>
        <w:spacing w:line="480" w:lineRule="auto"/>
        <w:rPr>
          <w:rFonts w:ascii="Times New Roman" w:hAnsi="Times New Roman"/>
          <w:b/>
          <w:iCs/>
          <w:sz w:val="24"/>
          <w:szCs w:val="24"/>
        </w:rPr>
      </w:pPr>
      <w:r w:rsidRPr="00372862">
        <w:rPr>
          <w:rFonts w:ascii="Times New Roman" w:hAnsi="Times New Roman"/>
          <w:b/>
          <w:iCs/>
          <w:sz w:val="24"/>
          <w:szCs w:val="24"/>
        </w:rPr>
        <w:t xml:space="preserve">Definition of </w:t>
      </w:r>
      <w:r w:rsidR="00035109">
        <w:rPr>
          <w:rFonts w:ascii="Times New Roman" w:hAnsi="Times New Roman"/>
          <w:b/>
          <w:iCs/>
          <w:sz w:val="24"/>
          <w:szCs w:val="24"/>
        </w:rPr>
        <w:t>E</w:t>
      </w:r>
      <w:r w:rsidRPr="00372862">
        <w:rPr>
          <w:rFonts w:ascii="Times New Roman" w:hAnsi="Times New Roman"/>
          <w:b/>
          <w:iCs/>
          <w:sz w:val="24"/>
          <w:szCs w:val="24"/>
        </w:rPr>
        <w:t xml:space="preserve">xposure, </w:t>
      </w:r>
      <w:r w:rsidR="00035109">
        <w:rPr>
          <w:rFonts w:ascii="Times New Roman" w:hAnsi="Times New Roman"/>
          <w:b/>
          <w:iCs/>
          <w:sz w:val="24"/>
          <w:szCs w:val="24"/>
        </w:rPr>
        <w:t>C</w:t>
      </w:r>
      <w:r w:rsidRPr="00372862">
        <w:rPr>
          <w:rFonts w:ascii="Times New Roman" w:hAnsi="Times New Roman"/>
          <w:b/>
          <w:iCs/>
          <w:sz w:val="24"/>
          <w:szCs w:val="24"/>
        </w:rPr>
        <w:t xml:space="preserve">onfounders and </w:t>
      </w:r>
      <w:r w:rsidR="00035109">
        <w:rPr>
          <w:rFonts w:ascii="Times New Roman" w:hAnsi="Times New Roman"/>
          <w:b/>
          <w:iCs/>
          <w:sz w:val="24"/>
          <w:szCs w:val="24"/>
        </w:rPr>
        <w:t>O</w:t>
      </w:r>
      <w:r w:rsidRPr="00372862">
        <w:rPr>
          <w:rFonts w:ascii="Times New Roman" w:hAnsi="Times New Roman"/>
          <w:b/>
          <w:iCs/>
          <w:sz w:val="24"/>
          <w:szCs w:val="24"/>
        </w:rPr>
        <w:t>utcomes</w:t>
      </w:r>
    </w:p>
    <w:p w14:paraId="0606C08B" w14:textId="19ECC6AF" w:rsidR="00B637B7" w:rsidRPr="00372862" w:rsidRDefault="00B637B7" w:rsidP="00E80CAE">
      <w:pPr>
        <w:spacing w:line="360" w:lineRule="auto"/>
        <w:rPr>
          <w:rFonts w:ascii="Times New Roman" w:hAnsi="Times New Roman"/>
          <w:bCs/>
          <w:i/>
          <w:sz w:val="24"/>
          <w:szCs w:val="24"/>
        </w:rPr>
      </w:pPr>
      <w:r w:rsidRPr="00372862">
        <w:rPr>
          <w:rFonts w:ascii="Times New Roman" w:hAnsi="Times New Roman"/>
          <w:bCs/>
          <w:i/>
          <w:sz w:val="24"/>
          <w:szCs w:val="24"/>
        </w:rPr>
        <w:t>Outcomes</w:t>
      </w:r>
    </w:p>
    <w:p w14:paraId="4D91465A" w14:textId="6F240C96" w:rsidR="00ED1DE7" w:rsidRPr="00372862" w:rsidRDefault="00ED1DE7" w:rsidP="006D6486">
      <w:pPr>
        <w:spacing w:line="360" w:lineRule="auto"/>
        <w:rPr>
          <w:rFonts w:ascii="Times New Roman" w:hAnsi="Times New Roman"/>
          <w:sz w:val="24"/>
          <w:szCs w:val="24"/>
        </w:rPr>
      </w:pPr>
      <w:r w:rsidRPr="00372862">
        <w:rPr>
          <w:rFonts w:ascii="Times New Roman" w:hAnsi="Times New Roman"/>
          <w:sz w:val="24"/>
          <w:szCs w:val="24"/>
        </w:rPr>
        <w:t>All-cause mortality was ascertained using death certificate data</w:t>
      </w:r>
      <w:r w:rsidR="003E308C">
        <w:rPr>
          <w:rFonts w:ascii="Times New Roman" w:hAnsi="Times New Roman"/>
          <w:sz w:val="24"/>
          <w:szCs w:val="24"/>
        </w:rPr>
        <w:t xml:space="preserve"> from the Office of National Statistics</w:t>
      </w:r>
      <w:r w:rsidR="001E2E54">
        <w:rPr>
          <w:rFonts w:ascii="Times New Roman" w:hAnsi="Times New Roman"/>
          <w:sz w:val="24"/>
          <w:szCs w:val="24"/>
        </w:rPr>
        <w:fldChar w:fldCharType="begin" w:fldLock="1"/>
      </w:r>
      <w:r w:rsidR="00BB627C">
        <w:rPr>
          <w:rFonts w:ascii="Times New Roman" w:hAnsi="Times New Roman"/>
          <w:sz w:val="24"/>
          <w:szCs w:val="24"/>
        </w:rPr>
        <w:instrText>ADDIN CSL_CITATION {"citationItems":[{"id":"ITEM-1","itemData":{"DOI":"10.1186/1471-2288-8-74","ISSN":"1471-2288 (Electronic)","PMID":"19000303","abstract":"BACKGROUND: There is little information on the validity of using record linkage with routinely collected data for case ascertainment of stroke in large population-based studies in the UK. We examined the accuracy of these routine record linkage approaches for identifying incident stroke cases in a large UK population-based study, the European Prospective Investigation into Cancer (EPIC)-Norfolk cohort. METHODS: We examined a sample of hospital records of incident stroke cases identified by linkage with two routine data sources, death certificates and a national hospital record linkage system (ENCORE), using predefined study criteria. Two senior Specialist Registrars with clinical experience in stroke medicine examined the hospital records and searched for the evidence of stroke recorded in these records between 1993/97-2003. RESULTS: Of 520 incident strokes identified between 1993/1997-2003 using record linkage systems in the EPIC-Norfolk, a sample of 250 medical case notes were examined between March and July 2004. Using the predefined study criteria, there were 191 definite strokes (76%), 20 probable strokes (8%), 11 possible strokes and 11 cases of transient ischaemic attacks (4% each) i.e. 233/250 (93%) with possible or definite stroke or transient ischaemic attacks. Stroke could not be verified using hospital records in 13 cases (5%) and 4 cases (2%) had other diagnoses: 3 cases of vascular dementia and 1 case of benign intracranial hypertension. The diagnosis of stroke in 185 out of 250 cases identified in the EPIC-Norfolk (74.0%) was supported by radiological evidence using WHO criteria. CONCLUSION: Death certificates and hospital record linkage in this British prospective study have a high accuracy or positive predictive value in correctly identifying incident stroke cases.","author":[{"dropping-particle":"","family":"Sinha","given":"Shubhada","non-dropping-particle":"","parse-names":false,"suffix":""},{"dropping-particle":"","family":"Myint","given":"Phyo K","non-dropping-particle":"","parse-names":false,"suffix":""},{"dropping-particle":"","family":"Luben","given":"Robert N","non-dropping-particle":"","parse-names":false,"suffix":""},{"dropping-particle":"","family":"Khaw","given":"Kay-Tee","non-dropping-particle":"","parse-names":false,"suffix":""}],"container-title":"BMC medical research methodology","id":"ITEM-1","issued":{"date-parts":[["2008","11"]]},"language":"eng","page":"74","publisher-place":"England","title":"Accuracy of death certification and hospital record linkage for identification of incident stroke.","type":"article-journal","volume":"8"},"uris":["http://www.mendeley.com/documents/?uuid=c2538884-f62f-40fa-bc93-b10409059ba8"]}],"mendeley":{"formattedCitation":"&lt;sup&gt;18&lt;/sup&gt;","plainTextFormattedCitation":"18","previouslyFormattedCitation":"&lt;sup&gt;18&lt;/sup&gt;"},"properties":{"noteIndex":0},"schema":"https://github.com/citation-style-language/schema/raw/master/csl-citation.json"}</w:instrText>
      </w:r>
      <w:r w:rsidR="001E2E54">
        <w:rPr>
          <w:rFonts w:ascii="Times New Roman" w:hAnsi="Times New Roman"/>
          <w:sz w:val="24"/>
          <w:szCs w:val="24"/>
        </w:rPr>
        <w:fldChar w:fldCharType="separate"/>
      </w:r>
      <w:r w:rsidR="00403302" w:rsidRPr="00403302">
        <w:rPr>
          <w:rFonts w:ascii="Times New Roman" w:hAnsi="Times New Roman"/>
          <w:noProof/>
          <w:sz w:val="24"/>
          <w:szCs w:val="24"/>
          <w:vertAlign w:val="superscript"/>
        </w:rPr>
        <w:t>18</w:t>
      </w:r>
      <w:r w:rsidR="001E2E54">
        <w:rPr>
          <w:rFonts w:ascii="Times New Roman" w:hAnsi="Times New Roman"/>
          <w:sz w:val="24"/>
          <w:szCs w:val="24"/>
        </w:rPr>
        <w:fldChar w:fldCharType="end"/>
      </w:r>
      <w:r w:rsidRPr="00372862">
        <w:rPr>
          <w:rFonts w:ascii="Times New Roman" w:hAnsi="Times New Roman"/>
          <w:sz w:val="24"/>
          <w:szCs w:val="24"/>
        </w:rPr>
        <w:t xml:space="preserve">. Cardiovascular mortality was ascertained using death certificate data and International Classification of Disease 10 (ICD-10) codes </w:t>
      </w:r>
      <w:r w:rsidR="009B245F" w:rsidRPr="00372862">
        <w:rPr>
          <w:rFonts w:ascii="Times New Roman" w:hAnsi="Times New Roman"/>
          <w:sz w:val="24"/>
          <w:szCs w:val="24"/>
        </w:rPr>
        <w:t>(I10-79)</w:t>
      </w:r>
      <w:r w:rsidR="00E04D92">
        <w:rPr>
          <w:rFonts w:ascii="Times New Roman" w:hAnsi="Times New Roman"/>
          <w:sz w:val="24"/>
          <w:szCs w:val="24"/>
        </w:rPr>
        <w:t xml:space="preserve"> and ICD-9 codes (40</w:t>
      </w:r>
      <w:r w:rsidR="001B73BF">
        <w:rPr>
          <w:rFonts w:ascii="Times New Roman" w:hAnsi="Times New Roman"/>
          <w:sz w:val="24"/>
          <w:szCs w:val="24"/>
        </w:rPr>
        <w:t>1</w:t>
      </w:r>
      <w:r w:rsidR="00E04D92">
        <w:rPr>
          <w:rFonts w:ascii="Times New Roman" w:hAnsi="Times New Roman"/>
          <w:sz w:val="24"/>
          <w:szCs w:val="24"/>
        </w:rPr>
        <w:t>-448)</w:t>
      </w:r>
      <w:r w:rsidR="009B245F" w:rsidRPr="00372862">
        <w:rPr>
          <w:rFonts w:ascii="Times New Roman" w:hAnsi="Times New Roman"/>
          <w:sz w:val="24"/>
          <w:szCs w:val="24"/>
        </w:rPr>
        <w:t xml:space="preserve"> obtained through record linkage with the National Health Service</w:t>
      </w:r>
      <w:r w:rsidR="00BF5D07">
        <w:rPr>
          <w:rFonts w:ascii="Times New Roman" w:hAnsi="Times New Roman"/>
          <w:sz w:val="24"/>
          <w:szCs w:val="24"/>
        </w:rPr>
        <w:t xml:space="preserve"> (NHS)</w:t>
      </w:r>
      <w:r w:rsidR="009B245F" w:rsidRPr="00372862">
        <w:rPr>
          <w:rFonts w:ascii="Times New Roman" w:hAnsi="Times New Roman"/>
          <w:sz w:val="24"/>
          <w:szCs w:val="24"/>
        </w:rPr>
        <w:t xml:space="preserve"> hospital information system and ENCORE (East Norfolk Commission Record) to allow notification of any hospital admission. Incident cardiovascular disease was defined as </w:t>
      </w:r>
      <w:r w:rsidR="00C9679B">
        <w:rPr>
          <w:rFonts w:ascii="Times New Roman" w:hAnsi="Times New Roman"/>
          <w:sz w:val="24"/>
          <w:szCs w:val="24"/>
        </w:rPr>
        <w:t xml:space="preserve">the first date of </w:t>
      </w:r>
      <w:r w:rsidR="009B245F" w:rsidRPr="00372862">
        <w:rPr>
          <w:rFonts w:ascii="Times New Roman" w:hAnsi="Times New Roman"/>
          <w:sz w:val="24"/>
          <w:szCs w:val="24"/>
        </w:rPr>
        <w:t xml:space="preserve">any hospital admission/primary care diagnosis with </w:t>
      </w:r>
      <w:r w:rsidR="00D2726F">
        <w:rPr>
          <w:rFonts w:ascii="Times New Roman" w:hAnsi="Times New Roman"/>
          <w:sz w:val="24"/>
          <w:szCs w:val="24"/>
        </w:rPr>
        <w:t>a</w:t>
      </w:r>
      <w:r w:rsidR="00C9679B">
        <w:rPr>
          <w:rFonts w:ascii="Times New Roman" w:hAnsi="Times New Roman"/>
          <w:sz w:val="24"/>
          <w:szCs w:val="24"/>
        </w:rPr>
        <w:t xml:space="preserve"> diagnosis comprised withing the </w:t>
      </w:r>
      <w:r w:rsidR="009B245F" w:rsidRPr="00372862">
        <w:rPr>
          <w:rFonts w:ascii="Times New Roman" w:hAnsi="Times New Roman"/>
          <w:sz w:val="24"/>
          <w:szCs w:val="24"/>
        </w:rPr>
        <w:t>ICD-10 codes of I1</w:t>
      </w:r>
      <w:r w:rsidR="0060662A">
        <w:rPr>
          <w:rFonts w:ascii="Times New Roman" w:hAnsi="Times New Roman"/>
          <w:sz w:val="24"/>
          <w:szCs w:val="24"/>
        </w:rPr>
        <w:t>1</w:t>
      </w:r>
      <w:r w:rsidR="009B245F" w:rsidRPr="00372862">
        <w:rPr>
          <w:rFonts w:ascii="Times New Roman" w:hAnsi="Times New Roman"/>
          <w:sz w:val="24"/>
          <w:szCs w:val="24"/>
        </w:rPr>
        <w:t>-I79</w:t>
      </w:r>
      <w:r w:rsidR="0060662A">
        <w:rPr>
          <w:rFonts w:ascii="Times New Roman" w:hAnsi="Times New Roman"/>
          <w:sz w:val="24"/>
          <w:szCs w:val="24"/>
        </w:rPr>
        <w:t xml:space="preserve"> and ICD-9 codes </w:t>
      </w:r>
      <w:r w:rsidR="00C9679B">
        <w:rPr>
          <w:rFonts w:ascii="Times New Roman" w:hAnsi="Times New Roman"/>
          <w:sz w:val="24"/>
          <w:szCs w:val="24"/>
        </w:rPr>
        <w:t xml:space="preserve">of </w:t>
      </w:r>
      <w:r w:rsidR="0060662A">
        <w:rPr>
          <w:rFonts w:ascii="Times New Roman" w:hAnsi="Times New Roman"/>
          <w:sz w:val="24"/>
          <w:szCs w:val="24"/>
        </w:rPr>
        <w:t>402-448</w:t>
      </w:r>
      <w:r w:rsidR="00D51E2C">
        <w:rPr>
          <w:rFonts w:ascii="Times New Roman" w:hAnsi="Times New Roman"/>
          <w:sz w:val="24"/>
          <w:szCs w:val="24"/>
        </w:rPr>
        <w:t xml:space="preserve">, excluding diagnoses of </w:t>
      </w:r>
      <w:r w:rsidR="00C9679B">
        <w:rPr>
          <w:rFonts w:ascii="Times New Roman" w:hAnsi="Times New Roman"/>
          <w:sz w:val="24"/>
          <w:szCs w:val="24"/>
        </w:rPr>
        <w:t>essential</w:t>
      </w:r>
      <w:r w:rsidR="00D51E2C">
        <w:rPr>
          <w:rFonts w:ascii="Times New Roman" w:hAnsi="Times New Roman"/>
          <w:sz w:val="24"/>
          <w:szCs w:val="24"/>
        </w:rPr>
        <w:t xml:space="preserve"> hypertension (ICD-10: I10 and ICD-9: 401)</w:t>
      </w:r>
      <w:r w:rsidR="00520E7A">
        <w:rPr>
          <w:rFonts w:ascii="Times New Roman" w:hAnsi="Times New Roman"/>
          <w:sz w:val="24"/>
          <w:szCs w:val="24"/>
        </w:rPr>
        <w:t xml:space="preserve">. </w:t>
      </w:r>
      <w:r w:rsidR="00364881">
        <w:rPr>
          <w:rFonts w:ascii="Times New Roman" w:hAnsi="Times New Roman"/>
          <w:sz w:val="24"/>
          <w:szCs w:val="24"/>
        </w:rPr>
        <w:t>P</w:t>
      </w:r>
      <w:r w:rsidR="00364881" w:rsidRPr="00E33A13">
        <w:rPr>
          <w:rFonts w:ascii="Times New Roman" w:hAnsi="Times New Roman"/>
          <w:sz w:val="24"/>
          <w:szCs w:val="24"/>
        </w:rPr>
        <w:t>reviously published validation studies of random samples from EPIC-Norfolk assessing the diagnoses of stroke</w:t>
      </w:r>
      <w:r w:rsidR="009B09FA">
        <w:rPr>
          <w:rFonts w:ascii="Times New Roman" w:hAnsi="Times New Roman"/>
          <w:sz w:val="24"/>
          <w:szCs w:val="24"/>
        </w:rPr>
        <w:fldChar w:fldCharType="begin" w:fldLock="1"/>
      </w:r>
      <w:r w:rsidR="00AC05A9">
        <w:rPr>
          <w:rFonts w:ascii="Times New Roman" w:hAnsi="Times New Roman"/>
          <w:sz w:val="24"/>
          <w:szCs w:val="24"/>
        </w:rPr>
        <w:instrText>ADDIN CSL_CITATION {"citationItems":[{"id":"ITEM-1","itemData":{"DOI":"10.1186/1471-2288-8-74","ISSN":"1471-2288 (Electronic)","PMID":"19000303","abstract":"BACKGROUND: There is little information on the validity of using record linkage with routinely collected data for case ascertainment of stroke in large population-based studies in the UK. We examined the accuracy of these routine record linkage approaches for identifying incident stroke cases in a large UK population-based study, the European Prospective Investigation into Cancer (EPIC)-Norfolk cohort. METHODS: We examined a sample of hospital records of incident stroke cases identified by linkage with two routine data sources, death certificates and a national hospital record linkage system (ENCORE), using predefined study criteria. Two senior Specialist Registrars with clinical experience in stroke medicine examined the hospital records and searched for the evidence of stroke recorded in these records between 1993/97-2003. RESULTS: Of 520 incident strokes identified between 1993/1997-2003 using record linkage systems in the EPIC-Norfolk, a sample of 250 medical case notes were examined between March and July 2004. Using the predefined study criteria, there were 191 definite strokes (76%), 20 probable strokes (8%), 11 possible strokes and 11 cases of transient ischaemic attacks (4% each) i.e. 233/250 (93%) with possible or definite stroke or transient ischaemic attacks. Stroke could not be verified using hospital records in 13 cases (5%) and 4 cases (2%) had other diagnoses: 3 cases of vascular dementia and 1 case of benign intracranial hypertension. The diagnosis of stroke in 185 out of 250 cases identified in the EPIC-Norfolk (74.0%) was supported by radiological evidence using WHO criteria. CONCLUSION: Death certificates and hospital record linkage in this British prospective study have a high accuracy or positive predictive value in correctly identifying incident stroke cases.","author":[{"dropping-particle":"","family":"Sinha","given":"Shubhada","non-dropping-particle":"","parse-names":false,"suffix":""},{"dropping-particle":"","family":"Myint","given":"Phyo K","non-dropping-particle":"","parse-names":false,"suffix":""},{"dropping-particle":"","family":"Luben","given":"Robert N","non-dropping-particle":"","parse-names":false,"suffix":""},{"dropping-particle":"","family":"Khaw","given":"Kay-Tee","non-dropping-particle":"","parse-names":false,"suffix":""}],"container-title":"BMC medical research methodology","id":"ITEM-1","issued":{"date-parts":[["2008","11"]]},"language":"eng","page":"74","publisher-place":"England","title":"Accuracy of death certification and hospital record linkage for identification of incident stroke.","type":"article-journal","volume":"8"},"uris":["http://www.mendeley.com/documents/?uuid=c2538884-f62f-40fa-bc93-b10409059ba8"]}],"mendeley":{"formattedCitation":"&lt;sup&gt;18&lt;/sup&gt;","plainTextFormattedCitation":"18","previouslyFormattedCitation":"&lt;sup&gt;18&lt;/sup&gt;"},"properties":{"noteIndex":0},"schema":"https://github.com/citation-style-language/schema/raw/master/csl-citation.json"}</w:instrText>
      </w:r>
      <w:r w:rsidR="009B09FA">
        <w:rPr>
          <w:rFonts w:ascii="Times New Roman" w:hAnsi="Times New Roman"/>
          <w:sz w:val="24"/>
          <w:szCs w:val="24"/>
        </w:rPr>
        <w:fldChar w:fldCharType="separate"/>
      </w:r>
      <w:r w:rsidR="009B09FA" w:rsidRPr="009B09FA">
        <w:rPr>
          <w:rFonts w:ascii="Times New Roman" w:hAnsi="Times New Roman"/>
          <w:noProof/>
          <w:sz w:val="24"/>
          <w:szCs w:val="24"/>
          <w:vertAlign w:val="superscript"/>
        </w:rPr>
        <w:t>18</w:t>
      </w:r>
      <w:r w:rsidR="009B09FA">
        <w:rPr>
          <w:rFonts w:ascii="Times New Roman" w:hAnsi="Times New Roman"/>
          <w:sz w:val="24"/>
          <w:szCs w:val="24"/>
        </w:rPr>
        <w:fldChar w:fldCharType="end"/>
      </w:r>
      <w:r w:rsidR="00364881" w:rsidRPr="00E33A13">
        <w:rPr>
          <w:rFonts w:ascii="Times New Roman" w:hAnsi="Times New Roman"/>
          <w:sz w:val="24"/>
          <w:szCs w:val="24"/>
        </w:rPr>
        <w:t>, heart failure</w:t>
      </w:r>
      <w:r w:rsidR="00AC05A9">
        <w:rPr>
          <w:rFonts w:ascii="Times New Roman" w:hAnsi="Times New Roman"/>
          <w:sz w:val="24"/>
          <w:szCs w:val="24"/>
        </w:rPr>
        <w:fldChar w:fldCharType="begin" w:fldLock="1"/>
      </w:r>
      <w:r w:rsidR="00190631">
        <w:rPr>
          <w:rFonts w:ascii="Times New Roman" w:hAnsi="Times New Roman"/>
          <w:sz w:val="24"/>
          <w:szCs w:val="24"/>
        </w:rPr>
        <w:instrText>ADDIN CSL_CITATION {"citationItems":[{"id":"ITEM-1","itemData":{"DOI":"10.1016/j.ijcard.2013.05.031","ISSN":"1874-1754 (Electronic)","PMID":"23706330","author":[{"dropping-particle":"","family":"Pfister","given":"Roman","non-dropping-particle":"","parse-names":false,"suffix":""},{"dropping-particle":"","family":"Michels","given":"Guido","non-dropping-particle":"","parse-names":false,"suffix":""},{"dropping-particle":"","family":"Wilfred","given":"Jojo","non-dropping-particle":"","parse-names":false,"suffix":""},{"dropping-particle":"","family":"Luben","given":"Robert","non-dropping-particle":"","parse-names":false,"suffix":""},{"dropping-particle":"","family":"Wareham","given":"Nick J","non-dropping-particle":"","parse-names":false,"suffix":""},{"dropping-particle":"","family":"Khaw","given":"Kay-Tee","non-dropping-particle":"","parse-names":false,"suffix":""}],"container-title":"International journal of cardiology","id":"ITEM-1","issue":"4","issued":{"date-parts":[["2013","10"]]},"language":"eng","page":"4413-4414","publisher-place":"Netherlands","title":"Does ICD-10 hospital discharge code I50 identify people with heart failure? A  validation study within the EPIC-Norfolk study.","type":"article","volume":"168"},"uris":["http://www.mendeley.com/documents/?uuid=4be61878-701c-44b8-bdab-324d71e6ca45"]}],"mendeley":{"formattedCitation":"&lt;sup&gt;19&lt;/sup&gt;","plainTextFormattedCitation":"19","previouslyFormattedCitation":"&lt;sup&gt;19&lt;/sup&gt;"},"properties":{"noteIndex":0},"schema":"https://github.com/citation-style-language/schema/raw/master/csl-citation.json"}</w:instrText>
      </w:r>
      <w:r w:rsidR="00AC05A9">
        <w:rPr>
          <w:rFonts w:ascii="Times New Roman" w:hAnsi="Times New Roman"/>
          <w:sz w:val="24"/>
          <w:szCs w:val="24"/>
        </w:rPr>
        <w:fldChar w:fldCharType="separate"/>
      </w:r>
      <w:r w:rsidR="00AC05A9" w:rsidRPr="00AC05A9">
        <w:rPr>
          <w:rFonts w:ascii="Times New Roman" w:hAnsi="Times New Roman"/>
          <w:noProof/>
          <w:sz w:val="24"/>
          <w:szCs w:val="24"/>
          <w:vertAlign w:val="superscript"/>
        </w:rPr>
        <w:t>19</w:t>
      </w:r>
      <w:r w:rsidR="00AC05A9">
        <w:rPr>
          <w:rFonts w:ascii="Times New Roman" w:hAnsi="Times New Roman"/>
          <w:sz w:val="24"/>
          <w:szCs w:val="24"/>
        </w:rPr>
        <w:fldChar w:fldCharType="end"/>
      </w:r>
      <w:r w:rsidR="00364881" w:rsidRPr="00E33A13">
        <w:rPr>
          <w:rFonts w:ascii="Times New Roman" w:hAnsi="Times New Roman"/>
          <w:sz w:val="24"/>
          <w:szCs w:val="24"/>
        </w:rPr>
        <w:t xml:space="preserve"> have shown that these parameters were ascertained with high accuracy.</w:t>
      </w:r>
      <w:r w:rsidR="00364881">
        <w:rPr>
          <w:rFonts w:ascii="Times New Roman" w:hAnsi="Times New Roman"/>
          <w:sz w:val="24"/>
          <w:szCs w:val="24"/>
        </w:rPr>
        <w:t xml:space="preserve"> </w:t>
      </w:r>
      <w:r w:rsidR="00364881" w:rsidRPr="00055E19">
        <w:rPr>
          <w:rFonts w:ascii="Times New Roman" w:hAnsi="Times New Roman"/>
          <w:sz w:val="24"/>
          <w:szCs w:val="24"/>
        </w:rPr>
        <w:t>Furthermore, the United Kingdom National Health Service (NHS) captures almost all</w:t>
      </w:r>
      <w:r w:rsidR="00364881">
        <w:rPr>
          <w:rFonts w:ascii="Times New Roman" w:hAnsi="Times New Roman"/>
          <w:sz w:val="24"/>
          <w:szCs w:val="24"/>
        </w:rPr>
        <w:t xml:space="preserve"> incident</w:t>
      </w:r>
      <w:r w:rsidR="00364881" w:rsidRPr="00055E19">
        <w:rPr>
          <w:rFonts w:ascii="Times New Roman" w:hAnsi="Times New Roman"/>
          <w:sz w:val="24"/>
          <w:szCs w:val="24"/>
        </w:rPr>
        <w:t xml:space="preserve"> events</w:t>
      </w:r>
      <w:r w:rsidR="00364881">
        <w:rPr>
          <w:rFonts w:ascii="Times New Roman" w:hAnsi="Times New Roman"/>
          <w:sz w:val="24"/>
          <w:szCs w:val="24"/>
        </w:rPr>
        <w:t xml:space="preserve"> and the EPIC-Norfolk study participants </w:t>
      </w:r>
      <w:r w:rsidR="00341249">
        <w:rPr>
          <w:rFonts w:ascii="Times New Roman" w:hAnsi="Times New Roman"/>
          <w:sz w:val="24"/>
          <w:szCs w:val="24"/>
        </w:rPr>
        <w:t>we</w:t>
      </w:r>
      <w:r w:rsidR="00364881">
        <w:rPr>
          <w:rFonts w:ascii="Times New Roman" w:hAnsi="Times New Roman"/>
          <w:sz w:val="24"/>
          <w:szCs w:val="24"/>
        </w:rPr>
        <w:t>re registered with a</w:t>
      </w:r>
      <w:r w:rsidR="00364881" w:rsidRPr="00055E19">
        <w:rPr>
          <w:rFonts w:ascii="Times New Roman" w:hAnsi="Times New Roman"/>
          <w:sz w:val="24"/>
          <w:szCs w:val="24"/>
        </w:rPr>
        <w:t xml:space="preserve"> General Practitioner </w:t>
      </w:r>
      <w:r w:rsidR="00364881">
        <w:rPr>
          <w:rFonts w:ascii="Times New Roman" w:hAnsi="Times New Roman"/>
          <w:sz w:val="24"/>
          <w:szCs w:val="24"/>
        </w:rPr>
        <w:t xml:space="preserve">and assigned an </w:t>
      </w:r>
      <w:r w:rsidR="00364881" w:rsidRPr="00055E19">
        <w:rPr>
          <w:rFonts w:ascii="Times New Roman" w:hAnsi="Times New Roman"/>
          <w:sz w:val="24"/>
          <w:szCs w:val="24"/>
        </w:rPr>
        <w:t>NHS number</w:t>
      </w:r>
      <w:r w:rsidR="00364881">
        <w:rPr>
          <w:rFonts w:ascii="Times New Roman" w:hAnsi="Times New Roman"/>
          <w:sz w:val="24"/>
          <w:szCs w:val="24"/>
        </w:rPr>
        <w:t xml:space="preserve">, allowing extremely robust </w:t>
      </w:r>
      <w:r w:rsidR="00364881" w:rsidRPr="00055E19">
        <w:rPr>
          <w:rFonts w:ascii="Times New Roman" w:hAnsi="Times New Roman"/>
          <w:sz w:val="24"/>
          <w:szCs w:val="24"/>
        </w:rPr>
        <w:t>record linkage</w:t>
      </w:r>
      <w:r w:rsidR="00364881">
        <w:rPr>
          <w:rFonts w:ascii="Times New Roman" w:hAnsi="Times New Roman"/>
          <w:sz w:val="24"/>
          <w:szCs w:val="24"/>
        </w:rPr>
        <w:t>. Therefore,</w:t>
      </w:r>
      <w:r w:rsidR="00364881" w:rsidRPr="00AF47B3">
        <w:rPr>
          <w:rFonts w:ascii="Times New Roman" w:hAnsi="Times New Roman"/>
          <w:sz w:val="24"/>
          <w:szCs w:val="24"/>
        </w:rPr>
        <w:t xml:space="preserve"> the </w:t>
      </w:r>
      <w:r w:rsidR="00364881">
        <w:rPr>
          <w:rFonts w:ascii="Times New Roman" w:hAnsi="Times New Roman"/>
          <w:sz w:val="24"/>
          <w:szCs w:val="24"/>
        </w:rPr>
        <w:t>outcomes employed</w:t>
      </w:r>
      <w:r w:rsidR="00364881" w:rsidRPr="00AF47B3">
        <w:rPr>
          <w:rFonts w:ascii="Times New Roman" w:hAnsi="Times New Roman"/>
          <w:sz w:val="24"/>
          <w:szCs w:val="24"/>
        </w:rPr>
        <w:t xml:space="preserve"> in </w:t>
      </w:r>
      <w:r w:rsidR="00364881">
        <w:rPr>
          <w:rFonts w:ascii="Times New Roman" w:hAnsi="Times New Roman"/>
          <w:sz w:val="24"/>
          <w:szCs w:val="24"/>
        </w:rPr>
        <w:t xml:space="preserve">our study were ascertained with high accuracy. </w:t>
      </w:r>
      <w:r w:rsidR="0005693C" w:rsidRPr="00372862">
        <w:rPr>
          <w:rFonts w:ascii="Times New Roman" w:hAnsi="Times New Roman"/>
          <w:sz w:val="24"/>
          <w:szCs w:val="24"/>
        </w:rPr>
        <w:t xml:space="preserve">Participants were followed up until </w:t>
      </w:r>
      <w:r w:rsidR="001B73BF">
        <w:rPr>
          <w:rFonts w:ascii="Times New Roman" w:hAnsi="Times New Roman"/>
          <w:sz w:val="24"/>
          <w:szCs w:val="24"/>
        </w:rPr>
        <w:t xml:space="preserve">the end of </w:t>
      </w:r>
      <w:r w:rsidR="0005693C" w:rsidRPr="00372862">
        <w:rPr>
          <w:rFonts w:ascii="Times New Roman" w:hAnsi="Times New Roman"/>
          <w:sz w:val="24"/>
          <w:szCs w:val="24"/>
        </w:rPr>
        <w:t>March 2018.</w:t>
      </w:r>
      <w:r w:rsidR="003E308C">
        <w:rPr>
          <w:rFonts w:ascii="Times New Roman" w:hAnsi="Times New Roman"/>
          <w:sz w:val="24"/>
          <w:szCs w:val="24"/>
        </w:rPr>
        <w:t xml:space="preserve"> </w:t>
      </w:r>
    </w:p>
    <w:p w14:paraId="677EF80E" w14:textId="6E87F9ED" w:rsidR="00142E5A" w:rsidRPr="00372862" w:rsidRDefault="00142E5A" w:rsidP="006D6486">
      <w:pPr>
        <w:spacing w:line="360" w:lineRule="auto"/>
        <w:rPr>
          <w:rFonts w:ascii="Times New Roman" w:hAnsi="Times New Roman"/>
          <w:i/>
          <w:iCs/>
          <w:sz w:val="24"/>
          <w:szCs w:val="24"/>
        </w:rPr>
      </w:pPr>
      <w:r w:rsidRPr="00372862">
        <w:rPr>
          <w:rFonts w:ascii="Times New Roman" w:hAnsi="Times New Roman"/>
          <w:i/>
          <w:iCs/>
          <w:sz w:val="24"/>
          <w:szCs w:val="24"/>
        </w:rPr>
        <w:t>Exposures</w:t>
      </w:r>
    </w:p>
    <w:p w14:paraId="5C221220" w14:textId="7456E39E" w:rsidR="00491E32" w:rsidRDefault="00D753ED" w:rsidP="006D6486">
      <w:pPr>
        <w:spacing w:line="360" w:lineRule="auto"/>
        <w:rPr>
          <w:rFonts w:ascii="Times New Roman" w:hAnsi="Times New Roman"/>
          <w:sz w:val="24"/>
          <w:szCs w:val="24"/>
        </w:rPr>
      </w:pPr>
      <w:r>
        <w:rPr>
          <w:rFonts w:ascii="Times New Roman" w:hAnsi="Times New Roman"/>
          <w:sz w:val="24"/>
          <w:szCs w:val="24"/>
        </w:rPr>
        <w:t>B</w:t>
      </w:r>
      <w:r w:rsidRPr="00372862">
        <w:rPr>
          <w:rFonts w:ascii="Times New Roman" w:hAnsi="Times New Roman"/>
          <w:sz w:val="24"/>
          <w:szCs w:val="24"/>
        </w:rPr>
        <w:t>lood pressure measurements were acquired</w:t>
      </w:r>
      <w:r>
        <w:rPr>
          <w:rFonts w:ascii="Times New Roman" w:hAnsi="Times New Roman"/>
          <w:sz w:val="24"/>
          <w:szCs w:val="24"/>
        </w:rPr>
        <w:t xml:space="preserve"> by a trained nurse</w:t>
      </w:r>
      <w:r w:rsidRPr="00372862">
        <w:rPr>
          <w:rFonts w:ascii="Times New Roman" w:hAnsi="Times New Roman"/>
          <w:sz w:val="24"/>
          <w:szCs w:val="24"/>
        </w:rPr>
        <w:t xml:space="preserve"> after participants had been seated for 3 </w:t>
      </w:r>
      <w:r>
        <w:rPr>
          <w:rFonts w:ascii="Times New Roman" w:hAnsi="Times New Roman"/>
          <w:sz w:val="24"/>
          <w:szCs w:val="24"/>
        </w:rPr>
        <w:t>minutes in a quiet room</w:t>
      </w:r>
      <w:r w:rsidRPr="00372862">
        <w:rPr>
          <w:rFonts w:ascii="Times New Roman" w:hAnsi="Times New Roman"/>
          <w:sz w:val="24"/>
          <w:szCs w:val="24"/>
        </w:rPr>
        <w:t>. Two readings were taken using</w:t>
      </w:r>
      <w:r w:rsidR="00B2740F">
        <w:rPr>
          <w:rFonts w:ascii="Times New Roman" w:hAnsi="Times New Roman"/>
          <w:sz w:val="24"/>
          <w:szCs w:val="24"/>
        </w:rPr>
        <w:t xml:space="preserve"> an aneroid</w:t>
      </w:r>
      <w:r w:rsidRPr="00372862">
        <w:rPr>
          <w:rFonts w:ascii="Times New Roman" w:hAnsi="Times New Roman"/>
          <w:sz w:val="24"/>
          <w:szCs w:val="24"/>
        </w:rPr>
        <w:t xml:space="preserve"> </w:t>
      </w:r>
      <w:proofErr w:type="spellStart"/>
      <w:r w:rsidRPr="00372862">
        <w:rPr>
          <w:rFonts w:ascii="Times New Roman" w:hAnsi="Times New Roman"/>
          <w:sz w:val="24"/>
          <w:szCs w:val="24"/>
        </w:rPr>
        <w:t>Accutorr</w:t>
      </w:r>
      <w:proofErr w:type="spellEnd"/>
      <w:r w:rsidRPr="00372862">
        <w:rPr>
          <w:rFonts w:ascii="Times New Roman" w:hAnsi="Times New Roman"/>
          <w:sz w:val="24"/>
          <w:szCs w:val="24"/>
        </w:rPr>
        <w:t xml:space="preserve"> Sphygmomanometer (</w:t>
      </w:r>
      <w:proofErr w:type="spellStart"/>
      <w:r w:rsidRPr="00372862">
        <w:rPr>
          <w:rFonts w:ascii="Times New Roman" w:hAnsi="Times New Roman"/>
          <w:sz w:val="24"/>
          <w:szCs w:val="24"/>
        </w:rPr>
        <w:t>Datascope</w:t>
      </w:r>
      <w:proofErr w:type="spellEnd"/>
      <w:r w:rsidRPr="00372862">
        <w:rPr>
          <w:rFonts w:ascii="Times New Roman" w:hAnsi="Times New Roman"/>
          <w:sz w:val="24"/>
          <w:szCs w:val="24"/>
        </w:rPr>
        <w:t>, UK)</w:t>
      </w:r>
      <w:r>
        <w:rPr>
          <w:rFonts w:ascii="Times New Roman" w:hAnsi="Times New Roman"/>
          <w:sz w:val="24"/>
          <w:szCs w:val="24"/>
        </w:rPr>
        <w:t xml:space="preserve"> using an appropriately sized cuff</w:t>
      </w:r>
      <w:r w:rsidRPr="00372862">
        <w:rPr>
          <w:rFonts w:ascii="Times New Roman" w:hAnsi="Times New Roman"/>
          <w:sz w:val="24"/>
          <w:szCs w:val="24"/>
        </w:rPr>
        <w:t xml:space="preserve"> with the participants</w:t>
      </w:r>
      <w:r>
        <w:rPr>
          <w:rFonts w:ascii="Times New Roman" w:hAnsi="Times New Roman"/>
          <w:sz w:val="24"/>
          <w:szCs w:val="24"/>
        </w:rPr>
        <w:t>’</w:t>
      </w:r>
      <w:r w:rsidRPr="00372862">
        <w:rPr>
          <w:rFonts w:ascii="Times New Roman" w:hAnsi="Times New Roman"/>
          <w:sz w:val="24"/>
          <w:szCs w:val="24"/>
        </w:rPr>
        <w:t xml:space="preserve"> arm in the horizontal position in line with the mid</w:t>
      </w:r>
      <w:r>
        <w:rPr>
          <w:rFonts w:ascii="Times New Roman" w:hAnsi="Times New Roman"/>
          <w:sz w:val="24"/>
          <w:szCs w:val="24"/>
        </w:rPr>
        <w:t>-s</w:t>
      </w:r>
      <w:r w:rsidRPr="00372862">
        <w:rPr>
          <w:rFonts w:ascii="Times New Roman" w:hAnsi="Times New Roman"/>
          <w:sz w:val="24"/>
          <w:szCs w:val="24"/>
        </w:rPr>
        <w:t>ternum</w:t>
      </w:r>
      <w:r>
        <w:rPr>
          <w:rFonts w:ascii="Times New Roman" w:hAnsi="Times New Roman"/>
          <w:sz w:val="24"/>
          <w:szCs w:val="24"/>
        </w:rPr>
        <w:fldChar w:fldCharType="begin" w:fldLock="1"/>
      </w:r>
      <w:r w:rsidR="00190631">
        <w:rPr>
          <w:rFonts w:ascii="Times New Roman" w:hAnsi="Times New Roman"/>
          <w:sz w:val="24"/>
          <w:szCs w:val="24"/>
        </w:rPr>
        <w:instrText>ADDIN CSL_CITATION {"citationItems":[{"id":"ITEM-1","itemData":{"DOI":"10.1016/j.ijcard.2015.05.166","ISSN":"1874-1754 (Electronic)","PMID":"26082204","abstract":"BACKGROUND: Dietary magnesium could modify the major stroke risk factors, high blood pressure (BP) and cholesterol, but has been understudied in both sexes in a single population. This study aimed to investigate if dietary magnesium intake was associated with BP, total cholesterol (TC) and incident stroke risk in an adult population. METHODS: We conducted cross-sectional analyses in a case-cohort study of 4443, men and women aged 40-75, representative of 25,639 participants years of the EPIC (European Prospective Investigation into Cancer)-Norfolk cohort. The cohort included 928 stroke cases (42,556.5 person years). Dietary data from 7 day food diaries were analysed using multivariate regression to assess associations between quintiles or data-derived categories of dietary magnesium intake and BP, TC and stroke risk, adjusted for relevant confounders. RESULTS: We observed differences of -7 mmHg systolic BP (P trend &lt;/= 0.01) and -3.8 mmHg diastolic BP (P trend=0.01) between extreme intakes of magnesium in men, a significant inverse association with TC was observed (P trend=0.02 men and 0.04 women). Compared to the bottom 10%, the top 30% of magnesium intake was associated with a 41% relative reduction in stroke risk (HR 0.59; 95% CI 0.38-0.93) in men. CONCLUSIONS: Lower dietary magnesium intake was associated with higher BP and stroke risk, which may have implications for primary prevention.","author":[{"dropping-particle":"","family":"Bain","given":"Lucy K M","non-dropping-particle":"","parse-names":false,"suffix":""},{"dropping-particle":"","family":"Myint","given":"Phyo K","non-dropping-particle":"","parse-names":false,"suffix":""},{"dropping-particle":"","family":"Jennings","given":"Amy","non-dropping-particle":"","parse-names":false,"suffix":""},{"dropping-particle":"","family":"Lentjes","given":"Marleen A H","non-dropping-particle":"","parse-names":false,"suffix":""},{"dropping-particle":"","family":"Luben","given":"Robert N","non-dropping-particle":"","parse-names":false,"suffix":""},{"dropping-particle":"","family":"Khaw","given":"Kay-Tee","non-dropping-particle":"","parse-names":false,"suffix":""},{"dropping-particle":"","family":"Wareham","given":"Nick J","non-dropping-particle":"","parse-names":false,"suffix":""},{"dropping-particle":"","family":"Welch","given":"Ailsa A","non-dropping-particle":"","parse-names":false,"suffix":""}],"container-title":"International journal of cardiology","id":"ITEM-1","issued":{"date-parts":[["2015","10"]]},"language":"eng","page":"108-114","publisher-place":"Netherlands","title":"The relationship between dietary magnesium intake, stroke and its major risk factors, blood pressure and cholesterol, in the EPIC-Norfolk cohort.","type":"article-journal","volume":"196"},"uris":["http://www.mendeley.com/documents/?uuid=18edd5a4-a18a-4d50-a8ee-4aca04ee36fc"]}],"mendeley":{"formattedCitation":"&lt;sup&gt;20&lt;/sup&gt;","plainTextFormattedCitation":"20","previouslyFormattedCitation":"&lt;sup&gt;20&lt;/sup&gt;"},"properties":{"noteIndex":0},"schema":"https://github.com/citation-style-language/schema/raw/master/csl-citation.json"}</w:instrText>
      </w:r>
      <w:r>
        <w:rPr>
          <w:rFonts w:ascii="Times New Roman" w:hAnsi="Times New Roman"/>
          <w:sz w:val="24"/>
          <w:szCs w:val="24"/>
        </w:rPr>
        <w:fldChar w:fldCharType="separate"/>
      </w:r>
      <w:r w:rsidR="00AC05A9" w:rsidRPr="00AC05A9">
        <w:rPr>
          <w:rFonts w:ascii="Times New Roman" w:hAnsi="Times New Roman"/>
          <w:noProof/>
          <w:sz w:val="24"/>
          <w:szCs w:val="24"/>
          <w:vertAlign w:val="superscript"/>
        </w:rPr>
        <w:t>20</w:t>
      </w:r>
      <w:r>
        <w:rPr>
          <w:rFonts w:ascii="Times New Roman" w:hAnsi="Times New Roman"/>
          <w:sz w:val="24"/>
          <w:szCs w:val="24"/>
        </w:rPr>
        <w:fldChar w:fldCharType="end"/>
      </w:r>
      <w:r>
        <w:rPr>
          <w:rFonts w:ascii="Times New Roman" w:hAnsi="Times New Roman"/>
          <w:sz w:val="24"/>
          <w:szCs w:val="24"/>
        </w:rPr>
        <w:t xml:space="preserve">. The mean of the two readings was then recorded. </w:t>
      </w:r>
    </w:p>
    <w:p w14:paraId="718BDAE0" w14:textId="3F657187" w:rsidR="00270D17" w:rsidRPr="00372862" w:rsidRDefault="00250C72" w:rsidP="006D6486">
      <w:pPr>
        <w:spacing w:line="360" w:lineRule="auto"/>
        <w:rPr>
          <w:rFonts w:ascii="Times New Roman" w:hAnsi="Times New Roman"/>
          <w:sz w:val="24"/>
          <w:szCs w:val="24"/>
        </w:rPr>
      </w:pPr>
      <w:r w:rsidRPr="00372862">
        <w:rPr>
          <w:rFonts w:ascii="Times New Roman" w:hAnsi="Times New Roman"/>
          <w:sz w:val="24"/>
          <w:szCs w:val="24"/>
        </w:rPr>
        <w:t xml:space="preserve">Longitudinal </w:t>
      </w:r>
      <w:r w:rsidR="00260144">
        <w:rPr>
          <w:rFonts w:ascii="Times New Roman" w:hAnsi="Times New Roman"/>
          <w:sz w:val="24"/>
          <w:szCs w:val="24"/>
        </w:rPr>
        <w:t>S</w:t>
      </w:r>
      <w:r w:rsidRPr="00372862">
        <w:rPr>
          <w:rFonts w:ascii="Times New Roman" w:hAnsi="Times New Roman"/>
          <w:sz w:val="24"/>
          <w:szCs w:val="24"/>
        </w:rPr>
        <w:t>BP</w:t>
      </w:r>
      <w:r w:rsidR="00260144">
        <w:rPr>
          <w:rFonts w:ascii="Times New Roman" w:hAnsi="Times New Roman"/>
          <w:sz w:val="24"/>
          <w:szCs w:val="24"/>
        </w:rPr>
        <w:t xml:space="preserve"> and DBP</w:t>
      </w:r>
      <w:r w:rsidRPr="00372862">
        <w:rPr>
          <w:rFonts w:ascii="Times New Roman" w:hAnsi="Times New Roman"/>
          <w:sz w:val="24"/>
          <w:szCs w:val="24"/>
        </w:rPr>
        <w:t xml:space="preserve"> trajectories across the first three </w:t>
      </w:r>
      <w:r w:rsidR="00C445FE">
        <w:rPr>
          <w:rFonts w:ascii="Times New Roman" w:hAnsi="Times New Roman"/>
          <w:sz w:val="24"/>
          <w:szCs w:val="24"/>
        </w:rPr>
        <w:t>HCs</w:t>
      </w:r>
      <w:r w:rsidR="00EB1793" w:rsidRPr="00372862">
        <w:rPr>
          <w:rFonts w:ascii="Times New Roman" w:hAnsi="Times New Roman"/>
          <w:sz w:val="24"/>
          <w:szCs w:val="24"/>
        </w:rPr>
        <w:t xml:space="preserve"> (</w:t>
      </w:r>
      <w:r w:rsidR="001660AC">
        <w:rPr>
          <w:rFonts w:ascii="Times New Roman" w:hAnsi="Times New Roman"/>
          <w:sz w:val="24"/>
          <w:szCs w:val="24"/>
        </w:rPr>
        <w:t>mean</w:t>
      </w:r>
      <w:r w:rsidR="00EB1793" w:rsidRPr="00372862">
        <w:rPr>
          <w:rFonts w:ascii="Times New Roman" w:hAnsi="Times New Roman"/>
          <w:sz w:val="24"/>
          <w:szCs w:val="24"/>
        </w:rPr>
        <w:t xml:space="preserve"> exposure 12.9 years)</w:t>
      </w:r>
      <w:r w:rsidRPr="00372862">
        <w:rPr>
          <w:rFonts w:ascii="Times New Roman" w:hAnsi="Times New Roman"/>
          <w:sz w:val="24"/>
          <w:szCs w:val="24"/>
        </w:rPr>
        <w:t xml:space="preserve"> </w:t>
      </w:r>
      <w:r w:rsidR="00F0795C" w:rsidRPr="00372862">
        <w:rPr>
          <w:rFonts w:ascii="Times New Roman" w:hAnsi="Times New Roman"/>
          <w:sz w:val="24"/>
          <w:szCs w:val="24"/>
        </w:rPr>
        <w:t>were determined</w:t>
      </w:r>
      <w:r w:rsidR="00802873">
        <w:rPr>
          <w:rFonts w:ascii="Times New Roman" w:hAnsi="Times New Roman"/>
          <w:sz w:val="24"/>
          <w:szCs w:val="24"/>
        </w:rPr>
        <w:t xml:space="preserve"> separately for men and women</w:t>
      </w:r>
      <w:r w:rsidR="00F0795C" w:rsidRPr="00372862">
        <w:rPr>
          <w:rFonts w:ascii="Times New Roman" w:hAnsi="Times New Roman"/>
          <w:sz w:val="24"/>
          <w:szCs w:val="24"/>
        </w:rPr>
        <w:t xml:space="preserve"> using Group-Based Trajectory Models (GBTM)</w:t>
      </w:r>
      <w:r w:rsidR="00C445FE">
        <w:rPr>
          <w:rFonts w:ascii="Times New Roman" w:hAnsi="Times New Roman"/>
          <w:sz w:val="24"/>
          <w:szCs w:val="24"/>
        </w:rPr>
        <w:t xml:space="preserve"> and </w:t>
      </w:r>
      <w:r w:rsidR="00F0795C" w:rsidRPr="00372862">
        <w:rPr>
          <w:rFonts w:ascii="Times New Roman" w:hAnsi="Times New Roman"/>
          <w:sz w:val="24"/>
          <w:szCs w:val="24"/>
        </w:rPr>
        <w:t xml:space="preserve">the </w:t>
      </w:r>
      <w:proofErr w:type="spellStart"/>
      <w:r w:rsidR="00F0795C" w:rsidRPr="00372862">
        <w:rPr>
          <w:rFonts w:ascii="Times New Roman" w:hAnsi="Times New Roman"/>
          <w:i/>
          <w:iCs/>
          <w:sz w:val="24"/>
          <w:szCs w:val="24"/>
        </w:rPr>
        <w:t>traj</w:t>
      </w:r>
      <w:proofErr w:type="spellEnd"/>
      <w:r w:rsidR="00F0795C" w:rsidRPr="00372862">
        <w:rPr>
          <w:rFonts w:ascii="Times New Roman" w:hAnsi="Times New Roman"/>
          <w:sz w:val="24"/>
          <w:szCs w:val="24"/>
        </w:rPr>
        <w:t xml:space="preserve"> </w:t>
      </w:r>
      <w:r w:rsidR="00C445FE">
        <w:rPr>
          <w:rFonts w:ascii="Times New Roman" w:hAnsi="Times New Roman"/>
          <w:sz w:val="24"/>
          <w:szCs w:val="24"/>
        </w:rPr>
        <w:t xml:space="preserve">Stata </w:t>
      </w:r>
      <w:r w:rsidR="00F0795C" w:rsidRPr="00372862">
        <w:rPr>
          <w:rFonts w:ascii="Times New Roman" w:hAnsi="Times New Roman"/>
          <w:sz w:val="24"/>
          <w:szCs w:val="24"/>
        </w:rPr>
        <w:t>plugin</w:t>
      </w:r>
      <w:r w:rsidR="001E2E54">
        <w:rPr>
          <w:rFonts w:ascii="Times New Roman" w:hAnsi="Times New Roman"/>
          <w:sz w:val="24"/>
          <w:szCs w:val="24"/>
        </w:rPr>
        <w:fldChar w:fldCharType="begin" w:fldLock="1"/>
      </w:r>
      <w:r w:rsidR="00190631">
        <w:rPr>
          <w:rFonts w:ascii="Times New Roman" w:hAnsi="Times New Roman"/>
          <w:sz w:val="24"/>
          <w:szCs w:val="24"/>
        </w:rPr>
        <w:instrText>ADDIN CSL_CITATION {"citationItems":[{"id":"ITEM-1","itemData":{"DOI":"10.1177/0049124113503141","ISSN":"0049-1241","abstract":"Group-based trajectory models are used to investigate population differences in the developmental courses of behaviors or outcomes. This note introduces a new Stata command, traj, for fitting to longitudinal data finite (discrete) mixture models designed to identify clusters of individuals following similar progressions of some behavior or outcome over age or time. Normal, Censored normal, Poisson, Zero-inflated Poisson, and Logistic distributions are supported. © The Author(s) 2013.","author":[{"dropping-particle":"","family":"Jones","given":"Bobby L.","non-dropping-particle":"","parse-names":false,"suffix":""},{"dropping-particle":"","family":"Nagin","given":"Daniel S.","non-dropping-particle":"","parse-names":false,"suffix":""}],"container-title":"Sociological Methods &amp; Research","id":"ITEM-1","issue":"4","issued":{"date-parts":[["2013","11","30"]]},"page":"608-613","publisher":"SAGE PublicationsSage CA: Los Angeles, CA","title":"A Note on a Stata Plugin for Estimating Group-based Trajectory Models","type":"article-journal","volume":"42"},"uris":["http://www.mendeley.com/documents/?uuid=b5ed6678-1ec6-35e0-9199-37ce230f3a9c"]}],"mendeley":{"formattedCitation":"&lt;sup&gt;21&lt;/sup&gt;","plainTextFormattedCitation":"21","previouslyFormattedCitation":"&lt;sup&gt;21&lt;/sup&gt;"},"properties":{"noteIndex":0},"schema":"https://github.com/citation-style-language/schema/raw/master/csl-citation.json"}</w:instrText>
      </w:r>
      <w:r w:rsidR="001E2E54">
        <w:rPr>
          <w:rFonts w:ascii="Times New Roman" w:hAnsi="Times New Roman"/>
          <w:sz w:val="24"/>
          <w:szCs w:val="24"/>
        </w:rPr>
        <w:fldChar w:fldCharType="separate"/>
      </w:r>
      <w:r w:rsidR="00AC05A9" w:rsidRPr="00AC05A9">
        <w:rPr>
          <w:rFonts w:ascii="Times New Roman" w:hAnsi="Times New Roman"/>
          <w:noProof/>
          <w:sz w:val="24"/>
          <w:szCs w:val="24"/>
          <w:vertAlign w:val="superscript"/>
        </w:rPr>
        <w:t>21</w:t>
      </w:r>
      <w:r w:rsidR="001E2E54">
        <w:rPr>
          <w:rFonts w:ascii="Times New Roman" w:hAnsi="Times New Roman"/>
          <w:sz w:val="24"/>
          <w:szCs w:val="24"/>
        </w:rPr>
        <w:fldChar w:fldCharType="end"/>
      </w:r>
      <w:r w:rsidR="00F0795C" w:rsidRPr="00372862">
        <w:rPr>
          <w:rFonts w:ascii="Times New Roman" w:hAnsi="Times New Roman"/>
          <w:sz w:val="24"/>
          <w:szCs w:val="24"/>
        </w:rPr>
        <w:t xml:space="preserve">. </w:t>
      </w:r>
      <w:r w:rsidR="00C445FE">
        <w:rPr>
          <w:rFonts w:ascii="Times New Roman" w:hAnsi="Times New Roman"/>
          <w:sz w:val="24"/>
          <w:szCs w:val="24"/>
        </w:rPr>
        <w:t>T</w:t>
      </w:r>
      <w:r w:rsidR="00260144">
        <w:rPr>
          <w:rFonts w:ascii="Times New Roman" w:hAnsi="Times New Roman"/>
          <w:sz w:val="24"/>
          <w:szCs w:val="24"/>
        </w:rPr>
        <w:t>rajectories</w:t>
      </w:r>
      <w:r w:rsidR="00F0795C" w:rsidRPr="00372862">
        <w:rPr>
          <w:rFonts w:ascii="Times New Roman" w:hAnsi="Times New Roman"/>
          <w:sz w:val="24"/>
          <w:szCs w:val="24"/>
        </w:rPr>
        <w:t xml:space="preserve"> were modelled using the censored normal distribution. The selection of the GBTM model with an optimal number of quadratic groups was informed by the Bayesian Information Criterion (BIC). The model with the least negative </w:t>
      </w:r>
      <w:r w:rsidR="00F0795C" w:rsidRPr="00372862">
        <w:rPr>
          <w:rFonts w:ascii="Times New Roman" w:hAnsi="Times New Roman"/>
          <w:sz w:val="24"/>
          <w:szCs w:val="24"/>
        </w:rPr>
        <w:lastRenderedPageBreak/>
        <w:t>BIC which contained at most 6 distinct groups was chosen</w:t>
      </w:r>
      <w:r w:rsidR="00E8750E">
        <w:rPr>
          <w:rFonts w:ascii="Times New Roman" w:hAnsi="Times New Roman"/>
          <w:sz w:val="24"/>
          <w:szCs w:val="24"/>
        </w:rPr>
        <w:t>, ensuring that no group contained less than 1% of the considered population</w:t>
      </w:r>
      <w:r w:rsidR="00F0795C" w:rsidRPr="00372862">
        <w:rPr>
          <w:rFonts w:ascii="Times New Roman" w:hAnsi="Times New Roman"/>
          <w:sz w:val="24"/>
          <w:szCs w:val="24"/>
        </w:rPr>
        <w:t>.</w:t>
      </w:r>
    </w:p>
    <w:p w14:paraId="26DD9BA1" w14:textId="596DD746" w:rsidR="00142E5A" w:rsidRPr="00372862" w:rsidRDefault="00035109" w:rsidP="006D6486">
      <w:pPr>
        <w:spacing w:line="360" w:lineRule="auto"/>
        <w:rPr>
          <w:rFonts w:ascii="Times New Roman" w:hAnsi="Times New Roman"/>
          <w:i/>
          <w:iCs/>
          <w:sz w:val="24"/>
          <w:szCs w:val="24"/>
        </w:rPr>
      </w:pPr>
      <w:r>
        <w:rPr>
          <w:rFonts w:ascii="Times New Roman" w:hAnsi="Times New Roman"/>
          <w:i/>
          <w:iCs/>
          <w:sz w:val="24"/>
          <w:szCs w:val="24"/>
        </w:rPr>
        <w:t xml:space="preserve">Confounders </w:t>
      </w:r>
    </w:p>
    <w:p w14:paraId="720D7D12" w14:textId="0DB84880" w:rsidR="005C7894" w:rsidRPr="00372862" w:rsidRDefault="00D51E2C" w:rsidP="006D6486">
      <w:pPr>
        <w:spacing w:line="360" w:lineRule="auto"/>
        <w:rPr>
          <w:rFonts w:ascii="Times New Roman" w:hAnsi="Times New Roman"/>
          <w:sz w:val="24"/>
          <w:szCs w:val="24"/>
        </w:rPr>
      </w:pPr>
      <w:r>
        <w:rPr>
          <w:rFonts w:ascii="Times New Roman" w:hAnsi="Times New Roman"/>
          <w:sz w:val="24"/>
          <w:szCs w:val="24"/>
        </w:rPr>
        <w:t>P</w:t>
      </w:r>
      <w:r w:rsidR="005C7894" w:rsidRPr="00372862">
        <w:rPr>
          <w:rFonts w:ascii="Times New Roman" w:hAnsi="Times New Roman"/>
          <w:sz w:val="24"/>
          <w:szCs w:val="24"/>
        </w:rPr>
        <w:t>otential confounders</w:t>
      </w:r>
      <w:r>
        <w:rPr>
          <w:rFonts w:ascii="Times New Roman" w:hAnsi="Times New Roman"/>
          <w:sz w:val="24"/>
          <w:szCs w:val="24"/>
        </w:rPr>
        <w:t xml:space="preserve"> considered were</w:t>
      </w:r>
      <w:r w:rsidR="005C7894" w:rsidRPr="00372862">
        <w:rPr>
          <w:rFonts w:ascii="Times New Roman" w:hAnsi="Times New Roman"/>
          <w:sz w:val="24"/>
          <w:szCs w:val="24"/>
        </w:rPr>
        <w:t xml:space="preserve"> measured at the third </w:t>
      </w:r>
      <w:r w:rsidR="00A00CE9">
        <w:rPr>
          <w:rFonts w:ascii="Times New Roman" w:hAnsi="Times New Roman"/>
          <w:sz w:val="24"/>
          <w:szCs w:val="24"/>
        </w:rPr>
        <w:t xml:space="preserve">HC </w:t>
      </w:r>
      <w:r w:rsidR="005C7894" w:rsidRPr="00372862">
        <w:rPr>
          <w:rFonts w:ascii="Times New Roman" w:hAnsi="Times New Roman"/>
          <w:sz w:val="24"/>
          <w:szCs w:val="24"/>
        </w:rPr>
        <w:t>(</w:t>
      </w:r>
      <w:r w:rsidR="000461C9" w:rsidRPr="00372862">
        <w:rPr>
          <w:rFonts w:ascii="Times New Roman" w:hAnsi="Times New Roman"/>
          <w:sz w:val="24"/>
          <w:szCs w:val="24"/>
        </w:rPr>
        <w:t>age, sex, ethnicity, body mass index, physical activity levels, low-density lipoprotein cholesterol, smoking status and units of alcohol drunk</w:t>
      </w:r>
      <w:r w:rsidR="005C7894" w:rsidRPr="00372862">
        <w:rPr>
          <w:rFonts w:ascii="Times New Roman" w:hAnsi="Times New Roman"/>
          <w:sz w:val="24"/>
          <w:szCs w:val="24"/>
        </w:rPr>
        <w:t xml:space="preserve">) or </w:t>
      </w:r>
      <w:r>
        <w:rPr>
          <w:rFonts w:ascii="Times New Roman" w:hAnsi="Times New Roman"/>
          <w:sz w:val="24"/>
          <w:szCs w:val="24"/>
        </w:rPr>
        <w:t xml:space="preserve">ascertained </w:t>
      </w:r>
      <w:r w:rsidR="005C7894" w:rsidRPr="00372862">
        <w:rPr>
          <w:rFonts w:ascii="Times New Roman" w:hAnsi="Times New Roman"/>
          <w:sz w:val="24"/>
          <w:szCs w:val="24"/>
        </w:rPr>
        <w:t xml:space="preserve">from a follow-up questionnaire </w:t>
      </w:r>
      <w:r w:rsidR="007D308E" w:rsidRPr="00372862">
        <w:rPr>
          <w:rFonts w:ascii="Times New Roman" w:hAnsi="Times New Roman"/>
          <w:sz w:val="24"/>
          <w:szCs w:val="24"/>
        </w:rPr>
        <w:t>obtained</w:t>
      </w:r>
      <w:r w:rsidR="005C7894" w:rsidRPr="00372862">
        <w:rPr>
          <w:rFonts w:ascii="Times New Roman" w:hAnsi="Times New Roman"/>
          <w:sz w:val="24"/>
          <w:szCs w:val="24"/>
        </w:rPr>
        <w:t xml:space="preserve"> before</w:t>
      </w:r>
      <w:r w:rsidR="007D308E" w:rsidRPr="00372862">
        <w:rPr>
          <w:rFonts w:ascii="Times New Roman" w:hAnsi="Times New Roman"/>
          <w:sz w:val="24"/>
          <w:szCs w:val="24"/>
        </w:rPr>
        <w:t xml:space="preserve"> (2000-2006)</w:t>
      </w:r>
      <w:r w:rsidR="005C7894" w:rsidRPr="00372862">
        <w:rPr>
          <w:rFonts w:ascii="Times New Roman" w:hAnsi="Times New Roman"/>
          <w:sz w:val="24"/>
          <w:szCs w:val="24"/>
        </w:rPr>
        <w:t xml:space="preserve"> the third </w:t>
      </w:r>
      <w:r w:rsidR="00A00CE9">
        <w:rPr>
          <w:rFonts w:ascii="Times New Roman" w:hAnsi="Times New Roman"/>
          <w:sz w:val="24"/>
          <w:szCs w:val="24"/>
        </w:rPr>
        <w:t>HC</w:t>
      </w:r>
      <w:r w:rsidR="005C7894" w:rsidRPr="00372862">
        <w:rPr>
          <w:rFonts w:ascii="Times New Roman" w:hAnsi="Times New Roman"/>
          <w:sz w:val="24"/>
          <w:szCs w:val="24"/>
        </w:rPr>
        <w:t xml:space="preserve"> (</w:t>
      </w:r>
      <w:r w:rsidR="007D308E" w:rsidRPr="00372862">
        <w:rPr>
          <w:rFonts w:ascii="Times New Roman" w:hAnsi="Times New Roman"/>
          <w:sz w:val="24"/>
          <w:szCs w:val="24"/>
        </w:rPr>
        <w:t>self-reported</w:t>
      </w:r>
      <w:r w:rsidR="000461C9" w:rsidRPr="00372862">
        <w:rPr>
          <w:rFonts w:ascii="Times New Roman" w:hAnsi="Times New Roman"/>
          <w:sz w:val="24"/>
          <w:szCs w:val="24"/>
        </w:rPr>
        <w:t xml:space="preserve"> cancer, asthma and chronic obstructive pulmonary disease</w:t>
      </w:r>
      <w:r w:rsidR="005C7894" w:rsidRPr="00372862">
        <w:rPr>
          <w:rFonts w:ascii="Times New Roman" w:hAnsi="Times New Roman"/>
          <w:sz w:val="24"/>
          <w:szCs w:val="24"/>
        </w:rPr>
        <w:t>). Covariates were chosen based on clinical judgement and previous literature</w:t>
      </w:r>
      <w:r w:rsidR="001E2E54">
        <w:rPr>
          <w:rFonts w:ascii="Times New Roman" w:hAnsi="Times New Roman"/>
          <w:sz w:val="24"/>
          <w:szCs w:val="24"/>
        </w:rPr>
        <w:fldChar w:fldCharType="begin" w:fldLock="1"/>
      </w:r>
      <w:r w:rsidR="00190631">
        <w:rPr>
          <w:rFonts w:ascii="Times New Roman" w:hAnsi="Times New Roman"/>
          <w:sz w:val="24"/>
          <w:szCs w:val="24"/>
        </w:rPr>
        <w:instrText>ADDIN CSL_CITATION {"citationItems":[{"id":"ITEM-1","itemData":{"DOI":"10.1001/jama.2013.285122","ISSN":"1538-3598 (Electronic)","PMID":"24496536","abstract":"IMPORTANCE: Single measures of blood pressure (BP) levels are associated with the development of atherosclerosis; however, long-term patterns in BP and their effect on cardiovascular disease risk are poorly characterized. OBJECTIVES: To identify common BP trajectories throughout early adulthood and to determine their association with presence of coronary artery calcification (CAC) during middle age. DESIGN, SETTING, AND PARTICIPANTS: Prospective cohort data from 4681 participants in the CARDIA study, who were black and white men and women aged 18 to 30 years at baseline in 1985-1986 at 4 urban US sites, collected through 25 years of follow-up (2010-2011). We examined systolic BP, diastolic BP, and mid- BP (calculated as [SBP+DBP]/2, an important marker of coronary heart disease risk among younger populations) at baseline and years 2, 5, 7, 10, 15, 20, and 25. Latent mixture modeling was used to identify trajectories in systolic, diastolic, and mid-BP over time. MAIN OUTCOMES AND MEASURES: Coronary artery calcification greater than or equal to Agatston score of 100 Hounsfield units (HU) at year 25. RESULTS: We identified 5 distinct mid-BP trajectories: low-stable (21.8%; 95% CI, 19.9%-23.7%; n=987), moderate-stable (42.3%; 40.3%-44.3%; n=2085), moderate-increasing (12.2%; 10.4%-14.0%; n=489), elevated-stable (19.0%; 17.1%-20.0%; n=903), and elevated-increasing (4.8%; 4.0%-5.5%; n=217). Compared with the low-stable group, trajectories with elevated BP levels had greater odds of having a CAC score of 100 HU or greater. Adjusted odds ratios were 1.44 (95% CI, 0.83-2.49) for moderate-stable, 1.86 (95% CI, 0.91-3.82) for moderate-increasing, 2.28 (95% CI, 1.24-4.18), for elevated-stable, and 3.70 (95% CI, 1.66-8.20) for elevated-increasing groups. The adjusted prevalence of a CAC score of 100 HU or higher was 5.8% in the low-stable group. These odds ratios represent an absolute increase of 2.7%, 5%, 6.3%, and 12.9% for the prevalence of a CAC score of 100 HU or higher for the moderate-stable, moderate-increasing, elevated-stable and elevated-increasing groups, respectively, compared with the low-stable group. Associations were not altered after adjustment for baseline and year 25 BP. Findings were similar for trajectories of isolated systolic BP trajectories but were attenuated for diastolic BP trajectories. CONCLUSIONS AND RELEVANCE: Blood pressure trajectories throughout young adulthood vary, and higher BP trajectories were associated with an increased risk…","author":[{"dropping-particle":"","family":"Allen","given":"Norrina B","non-dropping-particle":"","parse-names":false,"suffix":""},{"dropping-particle":"","family":"Siddique","given":"Juned","non-dropping-particle":"","parse-names":false,"suffix":""},{"dropping-particle":"","family":"Wilkins","given":"John T","non-dropping-particle":"","parse-names":false,"suffix":""},{"dropping-particle":"","family":"Shay","given":"Christina","non-dropping-particle":"","parse-names":false,"suffix":""},{"dropping-particle":"","family":"Lewis","given":"Cora E","non-dropping-particle":"","parse-names":false,"suffix":""},{"dropping-particle":"","family":"Goff","given":"David C","non-dropping-particle":"","parse-names":false,"suffix":""},{"dropping-particle":"","family":"Jacobs","given":"David R Jr","non-dropping-particle":"","parse-names":false,"suffix":""},{"dropping-particle":"","family":"Liu","given":"Kiang","non-dropping-particle":"","parse-names":false,"suffix":""},{"dropping-particle":"","family":"Lloyd-Jones","given":"Donald","non-dropping-particle":"","parse-names":false,"suffix":""}],"container-title":"JAMA","id":"ITEM-1","issue":"5","issued":{"date-parts":[["2014","2"]]},"language":"eng","page":"490-497","publisher-place":"United States","title":"Blood pressure trajectories in early adulthood and subclinical atherosclerosis in middle age.","type":"article-journal","volume":"311"},"uris":["http://www.mendeley.com/documents/?uuid=90e7ff5e-6ac4-47d8-b2b6-bd70d29d13a9"]},{"id":"ITEM-2","itemData":{"DOI":"10.1161/HYPERTENSIONAHA.116.07098","ISSN":"1524-4563 (Electronic)","PMID":"27160196","abstract":"Hypertension is a major modifiable risk factor for stroke. Associations of blood pressure with incident stroke are mostly based on single or average blood pressure levels. However, this approach does not take into account long-term trajectories of blood pressure, which can vary considerably in the elderly. Within the population-based Rotterdam Study, we examined trajectories of systolic blood pressure in 6745 participants (60.0% women) over an age-range from 55 to 106 years and jointly modeled their risk of stroke and competing causes of death using joint latent class mixed modeling. Four trajectories were identified. Class 1 was characterized by blood pressure increasing gradually from on average 120 to 160 mm Hg over 5 decades (n=4938). Compared with this class, class 2, characterized by a similar midlife blood pressure, but a steep increase (n=822, increasing from 120 to 200 mm Hg), and class 4, characterized by a high midlife blood pressure (n=115; average 160 mm Hg) and had a higher risk of stroke and death. Class 3, characterized by a moderate midlife blood pressure (n=870; average 140 mm Hg), had a similar risk of death as class 1, but the highest risk of stroke. Assessing trajectories of blood pressure provides a more nuanced understanding of the associations between blood pressure, stroke, and mortality. In particular, high blood pressure and rapidly increasing blood pressure patterns are associated with a high risk of stroke and death, whereas moderately high blood pressure is only related to an increased risk of stroke. Future studies should explore the potential pathogenic significance of these patterns.","author":[{"dropping-particle":"","family":"Portegies","given":"Marileen L P","non-dropping-particle":"","parse-names":false,"suffix":""},{"dropping-particle":"","family":"Mirza","given":"Saira Saeed","non-dropping-particle":"","parse-names":false,"suffix":""},{"dropping-particle":"","family":"Verlinden","given":"Vincentius J A","non-dropping-particle":"","parse-names":false,"suffix":""},{"dropping-particle":"","family":"Hofman","given":"Albert","non-dropping-particle":"","parse-names":false,"suffix":""},{"dropping-particle":"","family":"Koudstaal","given":"Peter J","non-dropping-particle":"","parse-names":false,"suffix":""},{"dropping-particle":"","family":"Swanson","given":"Sonja A","non-dropping-particle":"","parse-names":false,"suffix":""},{"dropping-particle":"","family":"Ikram","given":"M Arfan","non-dropping-particle":"","parse-names":false,"suffix":""}],"container-title":"Hypertension (Dallas, Tex. : 1979)","id":"ITEM-2","issue":"6","issued":{"date-parts":[["2016","6"]]},"language":"eng","page":"1126-1132","publisher-place":"United States","title":"Mid- to Late-Life Trajectories of Blood Pressure and the Risk of Stroke: The Rotterdam Study.","type":"article-journal","volume":"67"},"uris":["http://www.mendeley.com/documents/?uuid=828da1f1-ecb2-481d-8194-b8aae913eca4"]},{"id":"ITEM-3","itemData":{"DOI":"10.1161/JAHA.114.001378","ISSN":"2047-9980 (Electronic)","PMID":"25753924","abstract":"BACKGROUND: Blood pressure (BP) trajectories derived from measurements repeated over years have low measurement error and may improve cardiovascular disease prediction compared to single, average, and usual BP (single BP adjusted for regression dilution). We characterized 10-year BP trajectories and examined their association with cardiovascular mortality, all-cause mortality, and life years lost. METHODS AND RESULTS: Data from 2 prospective and nearly extinct cohorts of middle-aged men-the Minnesota Business and Professional Men Study (n=261) and the Zutphen Study (n=632)-were used. BP was measured annually during 1947-1957 in Minnesota and 1960-1970 in Zutphen. BP trajectories were identified by latent mixture modeling. Cox proportional hazards and linear regression models examined BP trajectories with cardiovascular mortality, all-cause mortality, and life years lost. Associations were adjusted for age, serum cholesterol, smoking, and diabetes mellitus. Mean initial age was about 50 years in both cohorts. After 10 years of BP measurements, men were followed until death on average 20 years later. All Minnesota men and 98% of Zutphen men died. Four BP trajectories were identified, in which mean systolic BP increased by 5 to 49 mm Hg in Minnesota and 5 to 20 mm Hg in Zutphen between age 50 and 60. The third systolic BP trajectories were associated with 2 to 4 times higher cardiovascular mortality risk, 2 times higher all-cause mortality risk, and 4 to 8 life years lost, compared to the first trajectory. CONCLUSIONS: Ten-year BP trajectories were the strongest predictors, among different BP measures, of cardiovascular mortality, all-cause mortality, and life years lost in Minnesota. However, average BP was the strongest predictor in Zutphen.","author":[{"dropping-particle":"","family":"Tielemans","given":"Susanne M A J","non-dropping-particle":"","parse-names":false,"suffix":""},{"dropping-particle":"","family":"Geleijnse","given":"Johanna M","non-dropping-particle":"","parse-names":false,"suffix":""},{"dropping-particle":"","family":"Menotti","given":"Alessandro","non-dropping-particle":"","parse-names":false,"suffix":""},{"dropping-particle":"","family":"Boshuizen","given":"Hendriek C","non-dropping-particle":"","parse-names":false,"suffix":""},{"dropping-particle":"","family":"Soedamah-Muthu","given":"Sabita S","non-dropping-particle":"","parse-names":false,"suffix":""},{"dropping-particle":"","family":"Jacobs","given":"David R Jr","non-dropping-particle":"","parse-names":false,"suffix":""},{"dropping-particle":"","family":"Blackburn","given":"Henry","non-dropping-particle":"","parse-names":false,"suffix":""},{"dropping-particle":"","family":"Kromhout","given":"Daan","non-dropping-particle":"","parse-names":false,"suffix":""}],"container-title":"Journal of the American Heart Association","id":"ITEM-3","issue":"3","issued":{"date-parts":[["2015","3"]]},"language":"eng","page":"e001378","publisher-place":"England","title":"Ten-year blood pressure trajectories, cardiovascular mortality, and life years lost in 2 extinction cohorts: the Minnesota Business and Professional Men Study and the Zutphen Study.","type":"article-journal","volume":"4"},"uris":["http://www.mendeley.com/documents/?uuid=85800224-f8c4-45c3-a72b-b4a55f01ca56"]},{"id":"ITEM-4","itemData":{"DOI":"10.1097/HJH.0000000000001698","ISSN":"1473-5598 (Electronic)","PMID":"29517558","abstract":"OBJECTIVE: This study aimed to investigate whether long-term trajectories of high SBP can further predict risk of all-cause death in Chinese adults. METHODS: We used a community-based cohort of 84 363 participants without myocardial infarction, stroke, or cancer, in 2010. SBP trajectories used latent mixture modeling with data from 2006, 2008, and 2010. Cox proportional hazards models were used to examine the association between SBP trajectories and risk of all-cause death in 2010-2015. RESULTS: We identified five distinct SBP trajectory patterns based on the 2006 status and the pattern of change during 2006-2010. Each pattern was labeled according to the SBP levels and pattern over time: low-stable (n = 21 249), moderate-stable (n = 39 390), moderate- increasing (n = 9634), elevated-decreasing (n = 9094) and elevated-stable (n = 4996). During 5.24 +/- 1.04 years of follow-up, we documented 4131 deaths. After adjusting for potential confounding factors and using the low-stable group as a reference, hazard ratios [95% confidence interval (CI)] of all-cause death for the moderate-stable, moderate-increasing, elevated-decreasing, and elevated-stable groups were 1.32 (1.12-1.56), 1.60 (1.26-2.04), 1.69 (1.38-2.07), and 1.75 (1.33-2.32), respectively. Although the moderate-stable trajectory exhibited SBP ranges within the 'normal' range (126.90-130.09 mmHg) in 2006-2010, this group had higher all-cause death risk relative to the low-stable trajectory group (109.86-112.46 mmHg) (adjusted hazard ratio = 1.32, 95% CI 1.12-1.56). CONCLUSION: High SBP trajectories are independent risk factors for all- cause death. Our findings suggest increasing SBP trajectories within the currently designated 'normal' range may still increase risk of all-cause death.","author":[{"dropping-particle":"","family":"Wang","given":"Anxin","non-dropping-particle":"","parse-names":false,"suffix":""},{"dropping-particle":"","family":"Zhang","given":"Yajing","non-dropping-particle":"","parse-names":false,"suffix":""},{"dropping-particle":"","family":"Li","given":"Jingjing","non-dropping-particle":"","parse-names":false,"suffix":""},{"dropping-particle":"","family":"Zhao","given":"Quanhui","non-dropping-particle":"","parse-names":false,"suffix":""},{"dropping-particle":"","family":"Cao","given":"Yibin","non-dropping-particle":"","parse-names":false,"suffix":""},{"dropping-particle":"","family":"Li","given":"Jing","non-dropping-particle":"","parse-names":false,"suffix":""},{"dropping-particle":"","family":"Zhang","given":"Ruiying","non-dropping-particle":"","parse-names":false,"suffix":""},{"dropping-particle":"","family":"Chen","given":"Shuohua","non-dropping-particle":"","parse-names":false,"suffix":""},{"dropping-particle":"","family":"Gao","given":"Jingsheng","non-dropping-particle":"","parse-names":false,"suffix":""},{"dropping-particle":"","family":"Wu","given":"Shouling","non-dropping-particle":"","parse-names":false,"suffix":""}],"container-title":"Journal of hypertension","id":"ITEM-4","issue":"6","issued":{"date-parts":[["2018","6"]]},"language":"eng","page":"1299-1305","publisher-place":"England","title":"High SBP trajectories are associated with risk of all-cause death in general Chinese population.","type":"article-journal","volume":"36"},"uris":["http://www.mendeley.com/documents/?uuid=ca4ef333-f20a-4882-a9ff-78e74aef4f79"]},{"id":"ITEM-5","itemData":{"DOI":"10.1093/eurheartj/ehz234","ISSN":"1522-9645 (Electronic)","PMID":"31050731","abstract":"AIMS: To explore sex-specific associations between long-term individual blood  pressure (BP) patterns and risk of incident atrial fibrillation (AF) in the general population. METHODS AND RESULTS: Blood pressure was measured in 8376 women and 7670 men who attended at least two of the three population-based Tromsø Study surveys conducted in 1986-87, 1994-95, and 2001. Participants were followed for incident AF throughout 2013. Latent mixed modelling was used to identify long-term trajectories of systolic BP and hypertension. Cox regression was used to estimate associations between the identified trajectories and incident AF. Elevated systolic BP throughout the exposure period (1986-2001) independently and differentially increased risk of AF in women and men. In women, having elevated systolic BP trajectories doubled AF risk compared to having persistently low levels, irrespective of whether systolic BP increased, decreased, or was persistently high over time, with hazard ratios of 1.88 (95% confidence interval 1.37-2.58), 2.32 (1.61-3.35), and 1.94 (1.28-2.94), respectively. In men, those with elevated systolic BP that continued to increase over time had a 50% increased AF risk: 1.51 (1.09-2.10). When compared to those persistently normotensive, women developing hypertension during the exposure period, and women and men with hypertension throughout the exposure period had 1.40 (1.06-1.86), 2.75 (1.99-3.80), and 1.36 (1.10-1.68) times increased risk of AF, respectively. CONCLUSION: Long-term BP and hypertension trajectories were associated with increased incidence of AF in both women and men, but the associations were stronger in women.","author":[{"dropping-particle":"","family":"Sharashova","given":"Ekaterina","non-dropping-particle":"","parse-names":false,"suffix":""},{"dropping-particle":"","family":"Wilsgaard","given":"Tom","non-dropping-particle":"","parse-names":false,"suffix":""},{"dropping-particle":"","family":"Ball","given":"Jocasta","non-dropping-particle":"","parse-names":false,"suffix":""},{"dropping-particle":"","family":"Morseth","given":"Bente","non-dropping-particle":"","parse-names":false,"suffix":""},{"dropping-particle":"","family":"Gerdts","given":"Eva","non-dropping-particle":"","parse-names":false,"suffix":""},{"dropping-particle":"","family":"Hopstock","given":"Laila A","non-dropping-particle":"","parse-names":false,"suffix":""},{"dropping-particle":"","family":"Mathiesen","given":"Ellisiv B","non-dropping-particle":"","parse-names":false,"suffix":""},{"dropping-particle":"","family":"Schirmer","given":"Henrik","non-dropping-particle":"","parse-names":false,"suffix":""},{"dropping-particle":"","family":"Løchen","given":"Maja-Lisa","non-dropping-particle":"","parse-names":false,"suffix":""}],"container-title":"European heart journal","id":"ITEM-5","issue":"16","issued":{"date-parts":[["2020","4"]]},"language":"eng","page":"1554-1562","title":"Long-term blood pressure trajectories and incident atrial fibrillation in women and  men: the Tromsø Study.","type":"article-journal","volume":"41"},"uris":["http://www.mendeley.com/documents/?uuid=56eb0f35-dde9-44c7-86db-4853e44b93af"]},{"id":"ITEM-6","itemData":{"DOI":"10.1038/jhh.2017.20","ISSN":"1476-5527 (Electronic)","PMID":"28332507","abstract":"The added value of blood pressure (BP) trajectories for predicting cardiovascular disease (CVD) is currently unknown. We investigated the association of systolic BP (SBP) trajectories with CVD and all-cause mortality and compared these associations with those of average SBP, taking antihypertensive medication into account. Data from 762 participants of the Rancho Bernardo Study were used. SBP from five examinations (maximum) from 1984 to 2002 was used; mortality data were obtained from 2002 to 2013. SBP trajectories were derived using group- based trajectory modelling. Cox proportional hazards analysis was used to investigate associations of trajectories and average SBP with CVD and all-cause mortality, adjusted for age, sex, cholesterol, smoking, diabetes and antihypertensive medication. Mean baseline age was 65.7 years, and 67% were women. Four trajectories were identified, in which mean SBP increased by 5-12 mm Hg during 10 years. The highest trajectories were associated with two to three times greater CVD mortality and 1.5 times greater all-cause mortality risk, compared with the lowest trajectory. Each 20 mmHg increment in average SBP was associated with 1.4 times greater CVD mortality risk and 1.2 times all- cause mortality risk. Associations were not modified by antihypertensive medication (P-interaction&gt;0.10). SBP trajectories were not superior to average SBP in predicting CVD and all-cause mortality. In the general middle-aged and older population of the Rancho Bernardo study, SBP trajectories provided no added value to average SBP in predicting CVD and all-cause mortality. Long-term average SBP levels and trajectories were significant predictors of CVD and all-cause mortality, irrespective of prescribed antihypertensive medication (which in the 1980s-1990s mainly were diuretics and beta-blockers).","author":[{"dropping-particle":"","family":"Tielemans","given":"S M A J","non-dropping-particle":"","parse-names":false,"suffix":""},{"dropping-particle":"","family":"Geleijnse","given":"J M","non-dropping-particle":"","parse-names":false,"suffix":""},{"dropping-particle":"","family":"Laughlin","given":"G A","non-dropping-particle":"","parse-names":false,"suffix":""},{"dropping-particle":"","family":"Boshuizen","given":"H C","non-dropping-particle":"","parse-names":false,"suffix":""},{"dropping-particle":"","family":"Barrett-Connor","given":"E","non-dropping-particle":"","parse-names":false,"suffix":""},{"dropping-particle":"","family":"Kromhout","given":"D","non-dropping-particle":"","parse-names":false,"suffix":""}],"container-title":"Journal of human hypertension","id":"ITEM-6","issue":"8","issued":{"date-parts":[["2017","8"]]},"language":"eng","page":"515-519","publisher-place":"England","title":"Blood pressure trajectories in relation to cardiovascular mortality: The Rancho Bernardo Study.","type":"article-journal","volume":"31"},"uris":["http://www.mendeley.com/documents/?uuid=48015a82-5072-4133-bdcd-7f9caa6b19c4"]}],"mendeley":{"formattedCitation":"&lt;sup&gt;7,11,12,22–24&lt;/sup&gt;","plainTextFormattedCitation":"7,11,12,22–24","previouslyFormattedCitation":"&lt;sup&gt;7,11,12,22–24&lt;/sup&gt;"},"properties":{"noteIndex":0},"schema":"https://github.com/citation-style-language/schema/raw/master/csl-citation.json"}</w:instrText>
      </w:r>
      <w:r w:rsidR="001E2E54">
        <w:rPr>
          <w:rFonts w:ascii="Times New Roman" w:hAnsi="Times New Roman"/>
          <w:sz w:val="24"/>
          <w:szCs w:val="24"/>
        </w:rPr>
        <w:fldChar w:fldCharType="separate"/>
      </w:r>
      <w:r w:rsidR="00AC05A9" w:rsidRPr="00AC05A9">
        <w:rPr>
          <w:rFonts w:ascii="Times New Roman" w:hAnsi="Times New Roman"/>
          <w:noProof/>
          <w:sz w:val="24"/>
          <w:szCs w:val="24"/>
          <w:vertAlign w:val="superscript"/>
        </w:rPr>
        <w:t>7,11,12,22–24</w:t>
      </w:r>
      <w:r w:rsidR="001E2E54">
        <w:rPr>
          <w:rFonts w:ascii="Times New Roman" w:hAnsi="Times New Roman"/>
          <w:sz w:val="24"/>
          <w:szCs w:val="24"/>
        </w:rPr>
        <w:fldChar w:fldCharType="end"/>
      </w:r>
      <w:r w:rsidR="005C7894" w:rsidRPr="00372862">
        <w:rPr>
          <w:rFonts w:ascii="Times New Roman" w:hAnsi="Times New Roman"/>
          <w:sz w:val="24"/>
          <w:szCs w:val="24"/>
        </w:rPr>
        <w:t xml:space="preserve">. </w:t>
      </w:r>
      <w:r w:rsidR="00E53E58" w:rsidRPr="00372862">
        <w:rPr>
          <w:rFonts w:ascii="Times New Roman" w:hAnsi="Times New Roman"/>
          <w:sz w:val="24"/>
          <w:szCs w:val="24"/>
        </w:rPr>
        <w:t xml:space="preserve">The estimated glomerular filtration rate was computed </w:t>
      </w:r>
      <w:r w:rsidR="009E1871" w:rsidRPr="00372862">
        <w:rPr>
          <w:rFonts w:ascii="Times New Roman" w:hAnsi="Times New Roman"/>
          <w:sz w:val="24"/>
          <w:szCs w:val="24"/>
        </w:rPr>
        <w:t>using</w:t>
      </w:r>
      <w:r w:rsidR="00E53E58" w:rsidRPr="00372862">
        <w:rPr>
          <w:rFonts w:ascii="Times New Roman" w:hAnsi="Times New Roman"/>
          <w:sz w:val="24"/>
          <w:szCs w:val="24"/>
        </w:rPr>
        <w:t xml:space="preserve"> the creatinine values measured at the third </w:t>
      </w:r>
      <w:r w:rsidR="00661231">
        <w:rPr>
          <w:rFonts w:ascii="Times New Roman" w:hAnsi="Times New Roman"/>
          <w:sz w:val="24"/>
          <w:szCs w:val="24"/>
        </w:rPr>
        <w:t>HC</w:t>
      </w:r>
      <w:r w:rsidR="00E53E58" w:rsidRPr="00372862">
        <w:rPr>
          <w:rFonts w:ascii="Times New Roman" w:hAnsi="Times New Roman"/>
          <w:sz w:val="24"/>
          <w:szCs w:val="24"/>
        </w:rPr>
        <w:t xml:space="preserve"> using the Modification of Diet in Renal Disease (MDRD) formula</w:t>
      </w:r>
      <w:r w:rsidR="001E2E54">
        <w:rPr>
          <w:rFonts w:ascii="Times New Roman" w:hAnsi="Times New Roman"/>
          <w:sz w:val="24"/>
          <w:szCs w:val="24"/>
        </w:rPr>
        <w:fldChar w:fldCharType="begin" w:fldLock="1"/>
      </w:r>
      <w:r w:rsidR="00190631">
        <w:rPr>
          <w:rFonts w:ascii="Times New Roman" w:hAnsi="Times New Roman"/>
          <w:sz w:val="24"/>
          <w:szCs w:val="24"/>
        </w:rPr>
        <w:instrText>ADDIN CSL_CITATION {"citationItems":[{"id":"ITEM-1","itemData":{"DOI":"10.7326/0003-4819-130-6-199903160-00002","ISSN":"0003-4819 (Print)","PMID":"10075613","abstract":"BACKGROUND: Serum creatinine concentration is widely used as an index of renal function, but this concentration is affected by factors other than glomerular filtration rate (GFR). OBJECTIVE: To develop an equation to predict GFR from serum creatinine concentration and other factors. DESIGN: Cross-sectional study of GFR, creatinine clearance, serum creatinine concentration, and demographic and clinical characteristics in patients with chronic renal disease. PATIENTS: 1628 patients enrolled in the baseline period of the Modification of Diet in Renal Disease (MDRD) Study, of whom 1070 were randomly selected as the training sample; the remaining 558 patients constituted the validation sample. METHODS: The prediction equation was developed by stepwise regression applied to the training sample. The equation was then tested and compared with other prediction equations in the validation sample. RESULTS: To simplify prediction of GFR, the equation included only demographic and serum variables. Independent factors associated with a lower GFR included a higher serum creatinine concentration, older age, female sex, nonblack ethnicity, higher serum urea nitrogen levels, and lower serum albumin levels (P &lt; 0.001 for all factors). The multiple regression model explained 90.3% of the variance in the logarithm of GFR in the validation sample. Measured creatinine clearance overestimated GFR by 19%, and creatinine clearance predicted by the Cockcroft-Gault formula overestimated GFR by 16%. After adjustment for this overestimation, the percentage of variance of the logarithm of GFR predicted by measured creatinine clearance or the Cockcroft-Gault formula was 86.6% and 84.2%, respectively. CONCLUSION: The equation developed from the MDRD Study provided a more accurate estimate of GFR in our study group than measured creatinine clearance or other commonly used equations.","author":[{"dropping-particle":"","family":"Levey","given":"A S","non-dropping-particle":"","parse-names":false,"suffix":""},{"dropping-particle":"","family":"Bosch","given":"J P","non-dropping-particle":"","parse-names":false,"suffix":""},{"dropping-particle":"","family":"Lewis","given":"J B","non-dropping-particle":"","parse-names":false,"suffix":""},{"dropping-particle":"","family":"Greene","given":"T","non-dropping-particle":"","parse-names":false,"suffix":""},{"dropping-particle":"","family":"Rogers","given":"N","non-dropping-particle":"","parse-names":false,"suffix":""},{"dropping-particle":"","family":"Roth","given":"D","non-dropping-particle":"","parse-names":false,"suffix":""}],"container-title":"Annals of internal medicine","id":"ITEM-1","issue":"6","issued":{"date-parts":[["1999","3"]]},"language":"eng","page":"461-470","publisher-place":"United States","title":"A more accurate method to estimate glomerular filtration rate from serum creatinine: a new prediction equation. Modification of Diet in Renal Disease Study Group.","type":"article-journal","volume":"130"},"uris":["http://www.mendeley.com/documents/?uuid=eaf82157-3457-4ccb-944a-37f51f6db880"]}],"mendeley":{"formattedCitation":"&lt;sup&gt;25&lt;/sup&gt;","plainTextFormattedCitation":"25","previouslyFormattedCitation":"&lt;sup&gt;25&lt;/sup&gt;"},"properties":{"noteIndex":0},"schema":"https://github.com/citation-style-language/schema/raw/master/csl-citation.json"}</w:instrText>
      </w:r>
      <w:r w:rsidR="001E2E54">
        <w:rPr>
          <w:rFonts w:ascii="Times New Roman" w:hAnsi="Times New Roman"/>
          <w:sz w:val="24"/>
          <w:szCs w:val="24"/>
        </w:rPr>
        <w:fldChar w:fldCharType="separate"/>
      </w:r>
      <w:r w:rsidR="00AC05A9" w:rsidRPr="00AC05A9">
        <w:rPr>
          <w:rFonts w:ascii="Times New Roman" w:hAnsi="Times New Roman"/>
          <w:noProof/>
          <w:sz w:val="24"/>
          <w:szCs w:val="24"/>
          <w:vertAlign w:val="superscript"/>
        </w:rPr>
        <w:t>25</w:t>
      </w:r>
      <w:r w:rsidR="001E2E54">
        <w:rPr>
          <w:rFonts w:ascii="Times New Roman" w:hAnsi="Times New Roman"/>
          <w:sz w:val="24"/>
          <w:szCs w:val="24"/>
        </w:rPr>
        <w:fldChar w:fldCharType="end"/>
      </w:r>
      <w:r w:rsidR="00E53E58" w:rsidRPr="00372862">
        <w:rPr>
          <w:rFonts w:ascii="Times New Roman" w:hAnsi="Times New Roman"/>
          <w:sz w:val="24"/>
          <w:szCs w:val="24"/>
        </w:rPr>
        <w:t>. Co-morbid cardiovascular disease was defined as</w:t>
      </w:r>
      <w:r w:rsidR="000461C9" w:rsidRPr="00372862">
        <w:rPr>
          <w:rFonts w:ascii="Times New Roman" w:hAnsi="Times New Roman"/>
          <w:sz w:val="24"/>
          <w:szCs w:val="24"/>
        </w:rPr>
        <w:t xml:space="preserve"> </w:t>
      </w:r>
      <w:r w:rsidR="009E1871" w:rsidRPr="00372862">
        <w:rPr>
          <w:rFonts w:ascii="Times New Roman" w:hAnsi="Times New Roman"/>
          <w:sz w:val="24"/>
          <w:szCs w:val="24"/>
        </w:rPr>
        <w:t xml:space="preserve">a </w:t>
      </w:r>
      <w:r w:rsidR="007D308E" w:rsidRPr="00372862">
        <w:rPr>
          <w:rFonts w:ascii="Times New Roman" w:hAnsi="Times New Roman"/>
          <w:sz w:val="24"/>
          <w:szCs w:val="24"/>
        </w:rPr>
        <w:t>self-</w:t>
      </w:r>
      <w:r w:rsidR="000461C9" w:rsidRPr="00372862">
        <w:rPr>
          <w:rFonts w:ascii="Times New Roman" w:hAnsi="Times New Roman"/>
          <w:sz w:val="24"/>
          <w:szCs w:val="24"/>
        </w:rPr>
        <w:t>reported</w:t>
      </w:r>
      <w:r w:rsidR="007D308E" w:rsidRPr="00372862">
        <w:rPr>
          <w:rFonts w:ascii="Times New Roman" w:hAnsi="Times New Roman"/>
          <w:sz w:val="24"/>
          <w:szCs w:val="24"/>
        </w:rPr>
        <w:t xml:space="preserve"> diagnosis of</w:t>
      </w:r>
      <w:r w:rsidR="000461C9" w:rsidRPr="00372862">
        <w:rPr>
          <w:rFonts w:ascii="Times New Roman" w:hAnsi="Times New Roman"/>
          <w:sz w:val="24"/>
          <w:szCs w:val="24"/>
        </w:rPr>
        <w:t xml:space="preserve"> angina, myocardial infarction, cerebrovascular disease or peripheral vascular disease on</w:t>
      </w:r>
      <w:r w:rsidR="00260144">
        <w:rPr>
          <w:rFonts w:ascii="Times New Roman" w:hAnsi="Times New Roman"/>
          <w:sz w:val="24"/>
          <w:szCs w:val="24"/>
        </w:rPr>
        <w:t>/b</w:t>
      </w:r>
      <w:r w:rsidR="000461C9" w:rsidRPr="00372862">
        <w:rPr>
          <w:rFonts w:ascii="Times New Roman" w:hAnsi="Times New Roman"/>
          <w:sz w:val="24"/>
          <w:szCs w:val="24"/>
        </w:rPr>
        <w:t xml:space="preserve">efore the follow-up </w:t>
      </w:r>
      <w:r w:rsidR="005C24E6" w:rsidRPr="005C24E6">
        <w:rPr>
          <w:rFonts w:ascii="Times New Roman" w:hAnsi="Times New Roman"/>
          <w:sz w:val="24"/>
          <w:szCs w:val="24"/>
        </w:rPr>
        <w:t xml:space="preserve">questionnaire </w:t>
      </w:r>
      <w:r w:rsidR="000461C9" w:rsidRPr="00372862">
        <w:rPr>
          <w:rFonts w:ascii="Times New Roman" w:hAnsi="Times New Roman"/>
          <w:sz w:val="24"/>
          <w:szCs w:val="24"/>
        </w:rPr>
        <w:t>or incident CVD</w:t>
      </w:r>
      <w:r>
        <w:rPr>
          <w:rFonts w:ascii="Times New Roman" w:hAnsi="Times New Roman"/>
          <w:sz w:val="24"/>
          <w:szCs w:val="24"/>
        </w:rPr>
        <w:t xml:space="preserve"> (ICD-10: I11-I79, ICD-9: 402-448)</w:t>
      </w:r>
      <w:r w:rsidR="000461C9" w:rsidRPr="00372862">
        <w:rPr>
          <w:rFonts w:ascii="Times New Roman" w:hAnsi="Times New Roman"/>
          <w:sz w:val="24"/>
          <w:szCs w:val="24"/>
        </w:rPr>
        <w:t xml:space="preserve"> reported </w:t>
      </w:r>
      <w:r w:rsidR="001660AC">
        <w:rPr>
          <w:rFonts w:ascii="Times New Roman" w:hAnsi="Times New Roman"/>
          <w:sz w:val="24"/>
          <w:szCs w:val="24"/>
        </w:rPr>
        <w:t>during the exposure period</w:t>
      </w:r>
      <w:r w:rsidR="00E53E58" w:rsidRPr="00372862">
        <w:rPr>
          <w:rFonts w:ascii="Times New Roman" w:hAnsi="Times New Roman"/>
          <w:sz w:val="24"/>
          <w:szCs w:val="24"/>
        </w:rPr>
        <w:t xml:space="preserve">. Co-morbid diabetes mellitus was defined as </w:t>
      </w:r>
      <w:r w:rsidR="000461C9" w:rsidRPr="00372862">
        <w:rPr>
          <w:rFonts w:ascii="Times New Roman" w:hAnsi="Times New Roman"/>
          <w:sz w:val="24"/>
          <w:szCs w:val="24"/>
        </w:rPr>
        <w:t xml:space="preserve">a </w:t>
      </w:r>
      <w:r w:rsidR="007D308E" w:rsidRPr="00372862">
        <w:rPr>
          <w:rFonts w:ascii="Times New Roman" w:hAnsi="Times New Roman"/>
          <w:sz w:val="24"/>
          <w:szCs w:val="24"/>
        </w:rPr>
        <w:t xml:space="preserve">self-reported </w:t>
      </w:r>
      <w:r w:rsidR="000461C9" w:rsidRPr="00372862">
        <w:rPr>
          <w:rFonts w:ascii="Times New Roman" w:hAnsi="Times New Roman"/>
          <w:sz w:val="24"/>
          <w:szCs w:val="24"/>
        </w:rPr>
        <w:t>diagnosis</w:t>
      </w:r>
      <w:r w:rsidR="001660AC">
        <w:rPr>
          <w:rFonts w:ascii="Times New Roman" w:hAnsi="Times New Roman"/>
          <w:sz w:val="24"/>
          <w:szCs w:val="24"/>
        </w:rPr>
        <w:t xml:space="preserve"> of dia</w:t>
      </w:r>
      <w:r w:rsidR="000A3126">
        <w:rPr>
          <w:rFonts w:ascii="Times New Roman" w:hAnsi="Times New Roman"/>
          <w:sz w:val="24"/>
          <w:szCs w:val="24"/>
        </w:rPr>
        <w:t>betes</w:t>
      </w:r>
      <w:r w:rsidR="000461C9" w:rsidRPr="00372862">
        <w:rPr>
          <w:rFonts w:ascii="Times New Roman" w:hAnsi="Times New Roman"/>
          <w:sz w:val="24"/>
          <w:szCs w:val="24"/>
        </w:rPr>
        <w:t xml:space="preserve"> reported on</w:t>
      </w:r>
      <w:r w:rsidR="00260144">
        <w:rPr>
          <w:rFonts w:ascii="Times New Roman" w:hAnsi="Times New Roman"/>
          <w:sz w:val="24"/>
          <w:szCs w:val="24"/>
        </w:rPr>
        <w:t>/</w:t>
      </w:r>
      <w:r w:rsidR="000461C9" w:rsidRPr="00372862">
        <w:rPr>
          <w:rFonts w:ascii="Times New Roman" w:hAnsi="Times New Roman"/>
          <w:sz w:val="24"/>
          <w:szCs w:val="24"/>
        </w:rPr>
        <w:t xml:space="preserve">before the follow-up </w:t>
      </w:r>
      <w:r w:rsidR="005C24E6" w:rsidRPr="005C24E6">
        <w:rPr>
          <w:rFonts w:ascii="Times New Roman" w:hAnsi="Times New Roman"/>
          <w:sz w:val="24"/>
          <w:szCs w:val="24"/>
        </w:rPr>
        <w:t>questionnaire</w:t>
      </w:r>
      <w:r w:rsidR="000461C9" w:rsidRPr="00372862">
        <w:rPr>
          <w:rFonts w:ascii="Times New Roman" w:hAnsi="Times New Roman"/>
          <w:sz w:val="24"/>
          <w:szCs w:val="24"/>
        </w:rPr>
        <w:t>, glycated haemoglobin levels &gt;6.5% (47.5 mmol/mol)</w:t>
      </w:r>
      <w:r w:rsidR="00E53E58" w:rsidRPr="00372862">
        <w:rPr>
          <w:rFonts w:ascii="Times New Roman" w:hAnsi="Times New Roman"/>
          <w:sz w:val="24"/>
          <w:szCs w:val="24"/>
        </w:rPr>
        <w:t xml:space="preserve"> </w:t>
      </w:r>
      <w:r w:rsidR="000461C9" w:rsidRPr="00372862">
        <w:rPr>
          <w:rFonts w:ascii="Times New Roman" w:hAnsi="Times New Roman"/>
          <w:sz w:val="24"/>
          <w:szCs w:val="24"/>
        </w:rPr>
        <w:t xml:space="preserve">or </w:t>
      </w:r>
      <w:r w:rsidR="007D308E" w:rsidRPr="00372862">
        <w:rPr>
          <w:rFonts w:ascii="Times New Roman" w:hAnsi="Times New Roman"/>
          <w:sz w:val="24"/>
          <w:szCs w:val="24"/>
        </w:rPr>
        <w:t>self-</w:t>
      </w:r>
      <w:r w:rsidR="000461C9" w:rsidRPr="00372862">
        <w:rPr>
          <w:rFonts w:ascii="Times New Roman" w:hAnsi="Times New Roman"/>
          <w:sz w:val="24"/>
          <w:szCs w:val="24"/>
        </w:rPr>
        <w:t xml:space="preserve">reported anti-diabetic medication at the third </w:t>
      </w:r>
      <w:r w:rsidR="00A00CE9">
        <w:rPr>
          <w:rFonts w:ascii="Times New Roman" w:hAnsi="Times New Roman"/>
          <w:sz w:val="24"/>
          <w:szCs w:val="24"/>
        </w:rPr>
        <w:t>HC</w:t>
      </w:r>
      <w:r w:rsidR="00E53E58" w:rsidRPr="00372862">
        <w:rPr>
          <w:rFonts w:ascii="Times New Roman" w:hAnsi="Times New Roman"/>
          <w:sz w:val="24"/>
          <w:szCs w:val="24"/>
        </w:rPr>
        <w:t xml:space="preserve">. </w:t>
      </w:r>
    </w:p>
    <w:p w14:paraId="1F838B0C" w14:textId="77777777" w:rsidR="006D7D5C" w:rsidRPr="00372862" w:rsidRDefault="006D7D5C" w:rsidP="006D6486">
      <w:pPr>
        <w:spacing w:line="360" w:lineRule="auto"/>
        <w:rPr>
          <w:rFonts w:ascii="Times New Roman" w:hAnsi="Times New Roman"/>
          <w:b/>
          <w:sz w:val="24"/>
          <w:szCs w:val="24"/>
        </w:rPr>
      </w:pPr>
      <w:r w:rsidRPr="00372862">
        <w:rPr>
          <w:rFonts w:ascii="Times New Roman" w:hAnsi="Times New Roman"/>
          <w:b/>
          <w:sz w:val="24"/>
          <w:szCs w:val="24"/>
        </w:rPr>
        <w:t>Statistical analysis</w:t>
      </w:r>
    </w:p>
    <w:p w14:paraId="2948D15C" w14:textId="7F5E8475" w:rsidR="00EB5EC0" w:rsidRPr="00372862" w:rsidRDefault="00CE03C2" w:rsidP="006D6486">
      <w:pPr>
        <w:spacing w:line="360" w:lineRule="auto"/>
        <w:rPr>
          <w:rFonts w:ascii="Times New Roman" w:hAnsi="Times New Roman"/>
          <w:sz w:val="24"/>
          <w:szCs w:val="24"/>
        </w:rPr>
      </w:pPr>
      <w:r w:rsidRPr="00372862">
        <w:rPr>
          <w:rFonts w:ascii="Times New Roman" w:hAnsi="Times New Roman"/>
          <w:sz w:val="24"/>
          <w:szCs w:val="24"/>
        </w:rPr>
        <w:t>Data were analysed using Stata 15.1 SE (</w:t>
      </w:r>
      <w:proofErr w:type="spellStart"/>
      <w:r w:rsidRPr="00372862">
        <w:rPr>
          <w:rFonts w:ascii="Times New Roman" w:hAnsi="Times New Roman"/>
          <w:sz w:val="24"/>
          <w:szCs w:val="24"/>
        </w:rPr>
        <w:t>StataCorp</w:t>
      </w:r>
      <w:proofErr w:type="spellEnd"/>
      <w:r w:rsidRPr="00372862">
        <w:rPr>
          <w:rFonts w:ascii="Times New Roman" w:hAnsi="Times New Roman"/>
          <w:sz w:val="24"/>
          <w:szCs w:val="24"/>
        </w:rPr>
        <w:t xml:space="preserve"> 2017, Stata Statistical Software: Release 15, College Station, TX: </w:t>
      </w:r>
      <w:proofErr w:type="spellStart"/>
      <w:r w:rsidRPr="00372862">
        <w:rPr>
          <w:rFonts w:ascii="Times New Roman" w:hAnsi="Times New Roman"/>
          <w:sz w:val="24"/>
          <w:szCs w:val="24"/>
        </w:rPr>
        <w:t>StataCorp</w:t>
      </w:r>
      <w:proofErr w:type="spellEnd"/>
      <w:r w:rsidRPr="00372862">
        <w:rPr>
          <w:rFonts w:ascii="Times New Roman" w:hAnsi="Times New Roman"/>
          <w:sz w:val="24"/>
          <w:szCs w:val="24"/>
        </w:rPr>
        <w:t xml:space="preserve"> LLC)</w:t>
      </w:r>
      <w:r w:rsidR="006D7D5C" w:rsidRPr="00372862">
        <w:rPr>
          <w:rFonts w:ascii="Times New Roman" w:hAnsi="Times New Roman"/>
          <w:sz w:val="24"/>
          <w:szCs w:val="24"/>
        </w:rPr>
        <w:t xml:space="preserve">. </w:t>
      </w:r>
      <w:r w:rsidR="00C00FB8" w:rsidRPr="00372862">
        <w:rPr>
          <w:rFonts w:ascii="Times New Roman" w:hAnsi="Times New Roman"/>
          <w:sz w:val="24"/>
          <w:szCs w:val="24"/>
        </w:rPr>
        <w:t xml:space="preserve">A 5% threshold of statistical significance was </w:t>
      </w:r>
      <w:r w:rsidR="00260144">
        <w:rPr>
          <w:rFonts w:ascii="Times New Roman" w:hAnsi="Times New Roman"/>
          <w:sz w:val="24"/>
          <w:szCs w:val="24"/>
        </w:rPr>
        <w:t>used</w:t>
      </w:r>
      <w:r w:rsidR="00C00FB8" w:rsidRPr="00372862">
        <w:rPr>
          <w:rFonts w:ascii="Times New Roman" w:hAnsi="Times New Roman"/>
          <w:sz w:val="24"/>
          <w:szCs w:val="24"/>
        </w:rPr>
        <w:t xml:space="preserve"> (P&lt;0.05).</w:t>
      </w:r>
    </w:p>
    <w:p w14:paraId="242B61FA" w14:textId="67824628" w:rsidR="00ED1DE7" w:rsidRPr="00372862" w:rsidRDefault="00ED1DE7" w:rsidP="006D6486">
      <w:pPr>
        <w:spacing w:line="360" w:lineRule="auto"/>
        <w:rPr>
          <w:rFonts w:ascii="Times New Roman" w:hAnsi="Times New Roman"/>
          <w:i/>
          <w:iCs/>
          <w:sz w:val="24"/>
          <w:szCs w:val="24"/>
        </w:rPr>
      </w:pPr>
      <w:r w:rsidRPr="00372862">
        <w:rPr>
          <w:rFonts w:ascii="Times New Roman" w:hAnsi="Times New Roman"/>
          <w:i/>
          <w:iCs/>
          <w:sz w:val="24"/>
          <w:szCs w:val="24"/>
        </w:rPr>
        <w:t>Missing Data</w:t>
      </w:r>
    </w:p>
    <w:p w14:paraId="0BCA67A4" w14:textId="27362735" w:rsidR="00142E5A" w:rsidRPr="00372862" w:rsidRDefault="000A3126" w:rsidP="006D6486">
      <w:pPr>
        <w:spacing w:line="360" w:lineRule="auto"/>
        <w:rPr>
          <w:rFonts w:ascii="Times New Roman" w:hAnsi="Times New Roman"/>
          <w:sz w:val="24"/>
          <w:szCs w:val="24"/>
        </w:rPr>
      </w:pPr>
      <w:r>
        <w:rPr>
          <w:rFonts w:ascii="Times New Roman" w:hAnsi="Times New Roman"/>
          <w:sz w:val="24"/>
          <w:szCs w:val="24"/>
        </w:rPr>
        <w:t>Six</w:t>
      </w:r>
      <w:r w:rsidR="00142E5A" w:rsidRPr="00372862">
        <w:rPr>
          <w:rFonts w:ascii="Times New Roman" w:hAnsi="Times New Roman"/>
          <w:sz w:val="24"/>
          <w:szCs w:val="24"/>
        </w:rPr>
        <w:t xml:space="preserve"> variables collected at the third </w:t>
      </w:r>
      <w:r w:rsidR="00A00CE9">
        <w:rPr>
          <w:rFonts w:ascii="Times New Roman" w:hAnsi="Times New Roman"/>
          <w:sz w:val="24"/>
          <w:szCs w:val="24"/>
        </w:rPr>
        <w:t>HC</w:t>
      </w:r>
      <w:r w:rsidR="00142E5A" w:rsidRPr="00372862">
        <w:rPr>
          <w:rFonts w:ascii="Times New Roman" w:hAnsi="Times New Roman"/>
          <w:sz w:val="24"/>
          <w:szCs w:val="24"/>
        </w:rPr>
        <w:t xml:space="preserve"> contained missing data. </w:t>
      </w:r>
      <w:r w:rsidR="00F03D02" w:rsidRPr="00372862">
        <w:rPr>
          <w:rFonts w:ascii="Times New Roman" w:hAnsi="Times New Roman"/>
          <w:sz w:val="24"/>
          <w:szCs w:val="24"/>
        </w:rPr>
        <w:t xml:space="preserve">Table 1 details the proportion of missing data for these variables. </w:t>
      </w:r>
      <w:r w:rsidR="00CF755B" w:rsidRPr="00372862">
        <w:rPr>
          <w:rFonts w:ascii="Times New Roman" w:hAnsi="Times New Roman"/>
          <w:sz w:val="24"/>
          <w:szCs w:val="24"/>
        </w:rPr>
        <w:t xml:space="preserve">Supplementary </w:t>
      </w:r>
      <w:r w:rsidR="00F03D02" w:rsidRPr="00372862">
        <w:rPr>
          <w:rFonts w:ascii="Times New Roman" w:hAnsi="Times New Roman"/>
          <w:sz w:val="24"/>
          <w:szCs w:val="24"/>
        </w:rPr>
        <w:t xml:space="preserve">Table 1 summarises third </w:t>
      </w:r>
      <w:r w:rsidR="00A00CE9">
        <w:rPr>
          <w:rFonts w:ascii="Times New Roman" w:hAnsi="Times New Roman"/>
          <w:sz w:val="24"/>
          <w:szCs w:val="24"/>
        </w:rPr>
        <w:t>HC</w:t>
      </w:r>
      <w:r w:rsidR="00F03D02" w:rsidRPr="00372862">
        <w:rPr>
          <w:rFonts w:ascii="Times New Roman" w:hAnsi="Times New Roman"/>
          <w:sz w:val="24"/>
          <w:szCs w:val="24"/>
        </w:rPr>
        <w:t xml:space="preserve"> characteristics stratified by whether data on any of </w:t>
      </w:r>
      <w:proofErr w:type="spellStart"/>
      <w:r w:rsidR="00661231">
        <w:rPr>
          <w:rFonts w:ascii="Times New Roman" w:hAnsi="Times New Roman"/>
          <w:sz w:val="24"/>
          <w:szCs w:val="24"/>
        </w:rPr>
        <w:t>of</w:t>
      </w:r>
      <w:proofErr w:type="spellEnd"/>
      <w:r w:rsidR="00661231">
        <w:rPr>
          <w:rFonts w:ascii="Times New Roman" w:hAnsi="Times New Roman"/>
          <w:sz w:val="24"/>
          <w:szCs w:val="24"/>
        </w:rPr>
        <w:t xml:space="preserve"> these variables</w:t>
      </w:r>
      <w:r w:rsidR="00F03D02" w:rsidRPr="00372862">
        <w:rPr>
          <w:rFonts w:ascii="Times New Roman" w:hAnsi="Times New Roman"/>
          <w:sz w:val="24"/>
          <w:szCs w:val="24"/>
        </w:rPr>
        <w:t xml:space="preserve"> were missing. 2364 (35.2%) participants had missing data on at least one variable. Th</w:t>
      </w:r>
      <w:r w:rsidR="00260144">
        <w:rPr>
          <w:rFonts w:ascii="Times New Roman" w:hAnsi="Times New Roman"/>
          <w:sz w:val="24"/>
          <w:szCs w:val="24"/>
        </w:rPr>
        <w:t>o</w:t>
      </w:r>
      <w:r w:rsidR="00F03D02" w:rsidRPr="00372862">
        <w:rPr>
          <w:rFonts w:ascii="Times New Roman" w:hAnsi="Times New Roman"/>
          <w:sz w:val="24"/>
          <w:szCs w:val="24"/>
        </w:rPr>
        <w:t xml:space="preserve">se were significantly more likely to be younger and have higher incidence of adverse events (all-cause mortality, cardiovascular mortality and incident CVD). </w:t>
      </w:r>
      <w:r w:rsidR="00260144">
        <w:rPr>
          <w:rFonts w:ascii="Times New Roman" w:hAnsi="Times New Roman"/>
          <w:sz w:val="24"/>
          <w:szCs w:val="24"/>
        </w:rPr>
        <w:t>D</w:t>
      </w:r>
      <w:r w:rsidR="00B637B7" w:rsidRPr="00372862">
        <w:rPr>
          <w:rFonts w:ascii="Times New Roman" w:hAnsi="Times New Roman"/>
          <w:sz w:val="24"/>
          <w:szCs w:val="24"/>
        </w:rPr>
        <w:t xml:space="preserve">ata missingness </w:t>
      </w:r>
      <w:r w:rsidR="00260144">
        <w:rPr>
          <w:rFonts w:ascii="Times New Roman" w:hAnsi="Times New Roman"/>
          <w:sz w:val="24"/>
          <w:szCs w:val="24"/>
        </w:rPr>
        <w:t>was</w:t>
      </w:r>
      <w:r w:rsidR="00B637B7" w:rsidRPr="00372862">
        <w:rPr>
          <w:rFonts w:ascii="Times New Roman" w:hAnsi="Times New Roman"/>
          <w:sz w:val="24"/>
          <w:szCs w:val="24"/>
        </w:rPr>
        <w:t xml:space="preserve"> likely dependent only on observed but not unobserved data, and </w:t>
      </w:r>
      <w:r w:rsidR="00466A88" w:rsidRPr="00372862">
        <w:rPr>
          <w:rFonts w:ascii="Times New Roman" w:hAnsi="Times New Roman"/>
          <w:sz w:val="24"/>
          <w:szCs w:val="24"/>
        </w:rPr>
        <w:t>subsequently</w:t>
      </w:r>
      <w:r w:rsidR="00B637B7" w:rsidRPr="00372862">
        <w:rPr>
          <w:rFonts w:ascii="Times New Roman" w:hAnsi="Times New Roman"/>
          <w:sz w:val="24"/>
          <w:szCs w:val="24"/>
        </w:rPr>
        <w:t xml:space="preserve"> missing-at-random</w:t>
      </w:r>
      <w:r w:rsidR="00B221E5">
        <w:rPr>
          <w:rFonts w:ascii="Times New Roman" w:hAnsi="Times New Roman"/>
          <w:sz w:val="24"/>
          <w:szCs w:val="24"/>
        </w:rPr>
        <w:fldChar w:fldCharType="begin" w:fldLock="1"/>
      </w:r>
      <w:r w:rsidR="00190631">
        <w:rPr>
          <w:rFonts w:ascii="Times New Roman" w:hAnsi="Times New Roman"/>
          <w:sz w:val="24"/>
          <w:szCs w:val="24"/>
        </w:rPr>
        <w:instrText>ADDIN CSL_CITATION {"citationItems":[{"id":"ITEM-1","itemData":{"DOI":"10.1002/sim.4067","ISSN":"1097-0258 (Electronic)","PMID":"21225900","abstract":"Multiple imputation by chained equations is a flexible and practical approach to  handling missing data. We describe the principles of the method and show how to impute categorical and quantitative variables, including skewed variables. We give guidance on how to specify the imputation model and how many imputations are needed. We describe the practical analysis of multiply imputed data, including model building and model checking. We stress the limitations of the method and discuss the possible pitfalls. We illustrate the ideas using a data set in mental health, giving Stata code fragments.","author":[{"dropping-particle":"","family":"White","given":"Ian R","non-dropping-particle":"","parse-names":false,"suffix":""},{"dropping-particle":"","family":"Royston","given":"Patrick","non-dropping-particle":"","parse-names":false,"suffix":""},{"dropping-particle":"","family":"Wood","given":"Angela M","non-dropping-particle":"","parse-names":false,"suffix":""}],"container-title":"Statistics in medicine","id":"ITEM-1","issue":"4","issued":{"date-parts":[["2011","2"]]},"language":"eng","page":"377-399","publisher-place":"England","title":"Multiple imputation using chained equations: Issues and guidance for practice.","type":"article-journal","volume":"30"},"uris":["http://www.mendeley.com/documents/?uuid=a019aaec-ed3c-480c-a32d-d6a16061dcb7"]}],"mendeley":{"formattedCitation":"&lt;sup&gt;26&lt;/sup&gt;","plainTextFormattedCitation":"26","previouslyFormattedCitation":"&lt;sup&gt;26&lt;/sup&gt;"},"properties":{"noteIndex":0},"schema":"https://github.com/citation-style-language/schema/raw/master/csl-citation.json"}</w:instrText>
      </w:r>
      <w:r w:rsidR="00B221E5">
        <w:rPr>
          <w:rFonts w:ascii="Times New Roman" w:hAnsi="Times New Roman"/>
          <w:sz w:val="24"/>
          <w:szCs w:val="24"/>
        </w:rPr>
        <w:fldChar w:fldCharType="separate"/>
      </w:r>
      <w:r w:rsidR="00AC05A9" w:rsidRPr="00AC05A9">
        <w:rPr>
          <w:rFonts w:ascii="Times New Roman" w:hAnsi="Times New Roman"/>
          <w:noProof/>
          <w:sz w:val="24"/>
          <w:szCs w:val="24"/>
          <w:vertAlign w:val="superscript"/>
        </w:rPr>
        <w:t>26</w:t>
      </w:r>
      <w:r w:rsidR="00B221E5">
        <w:rPr>
          <w:rFonts w:ascii="Times New Roman" w:hAnsi="Times New Roman"/>
          <w:sz w:val="24"/>
          <w:szCs w:val="24"/>
        </w:rPr>
        <w:fldChar w:fldCharType="end"/>
      </w:r>
      <w:r w:rsidR="00B637B7" w:rsidRPr="00372862">
        <w:rPr>
          <w:rFonts w:ascii="Times New Roman" w:hAnsi="Times New Roman"/>
          <w:sz w:val="24"/>
          <w:szCs w:val="24"/>
        </w:rPr>
        <w:t>. A multiple imputation by chained equation algorithm with 20 iterations was implemented.</w:t>
      </w:r>
      <w:r w:rsidR="00260144">
        <w:rPr>
          <w:rFonts w:ascii="Times New Roman" w:hAnsi="Times New Roman"/>
          <w:sz w:val="24"/>
          <w:szCs w:val="24"/>
        </w:rPr>
        <w:t xml:space="preserve"> </w:t>
      </w:r>
      <w:r w:rsidR="00661231">
        <w:rPr>
          <w:rFonts w:ascii="Times New Roman" w:hAnsi="Times New Roman"/>
          <w:sz w:val="24"/>
          <w:szCs w:val="24"/>
        </w:rPr>
        <w:t>V</w:t>
      </w:r>
      <w:r w:rsidR="00B637B7" w:rsidRPr="00372862">
        <w:rPr>
          <w:rFonts w:ascii="Times New Roman" w:hAnsi="Times New Roman"/>
          <w:sz w:val="24"/>
          <w:szCs w:val="24"/>
        </w:rPr>
        <w:t>ariables were imputed using predictive mean matching drawing from five nearest neighbours. Age, sex, ethnicity</w:t>
      </w:r>
      <w:r w:rsidR="00466A88" w:rsidRPr="00372862">
        <w:rPr>
          <w:rFonts w:ascii="Times New Roman" w:hAnsi="Times New Roman"/>
          <w:sz w:val="24"/>
          <w:szCs w:val="24"/>
        </w:rPr>
        <w:t xml:space="preserve"> and third </w:t>
      </w:r>
      <w:r w:rsidR="00661231">
        <w:rPr>
          <w:rFonts w:ascii="Times New Roman" w:hAnsi="Times New Roman"/>
          <w:sz w:val="24"/>
          <w:szCs w:val="24"/>
        </w:rPr>
        <w:t>HC</w:t>
      </w:r>
      <w:r w:rsidR="00466A88" w:rsidRPr="00372862">
        <w:rPr>
          <w:rFonts w:ascii="Times New Roman" w:hAnsi="Times New Roman"/>
          <w:sz w:val="24"/>
          <w:szCs w:val="24"/>
        </w:rPr>
        <w:t xml:space="preserve"> data: weight, height, educational level, </w:t>
      </w:r>
      <w:r w:rsidR="00A00CE9">
        <w:rPr>
          <w:rFonts w:ascii="Times New Roman" w:hAnsi="Times New Roman"/>
          <w:sz w:val="24"/>
          <w:szCs w:val="24"/>
        </w:rPr>
        <w:t>SBP, DBP</w:t>
      </w:r>
      <w:r w:rsidR="00466A88" w:rsidRPr="00372862">
        <w:rPr>
          <w:rFonts w:ascii="Times New Roman" w:hAnsi="Times New Roman"/>
          <w:sz w:val="24"/>
          <w:szCs w:val="24"/>
        </w:rPr>
        <w:t>, heart rate, pre-</w:t>
      </w:r>
      <w:r w:rsidR="00466A88" w:rsidRPr="00372862">
        <w:rPr>
          <w:rFonts w:ascii="Times New Roman" w:hAnsi="Times New Roman"/>
          <w:sz w:val="24"/>
          <w:szCs w:val="24"/>
        </w:rPr>
        <w:lastRenderedPageBreak/>
        <w:t>existing co-morbidities, medication and two Nelson-Aalen cumulative hazard functions (incident all-cause and cardiovascular mortality) were used as predictors.</w:t>
      </w:r>
    </w:p>
    <w:p w14:paraId="384B7012" w14:textId="5D0CB771" w:rsidR="00ED1DE7" w:rsidRPr="00372862" w:rsidRDefault="00ED1DE7" w:rsidP="006D6486">
      <w:pPr>
        <w:spacing w:line="360" w:lineRule="auto"/>
        <w:rPr>
          <w:rFonts w:ascii="Times New Roman" w:hAnsi="Times New Roman"/>
          <w:i/>
          <w:iCs/>
          <w:sz w:val="24"/>
          <w:szCs w:val="24"/>
        </w:rPr>
      </w:pPr>
      <w:r w:rsidRPr="00372862">
        <w:rPr>
          <w:rFonts w:ascii="Times New Roman" w:hAnsi="Times New Roman"/>
          <w:i/>
          <w:iCs/>
          <w:sz w:val="24"/>
          <w:szCs w:val="24"/>
        </w:rPr>
        <w:t>Descriptive Statistics</w:t>
      </w:r>
    </w:p>
    <w:p w14:paraId="4BE66229" w14:textId="5C951F71" w:rsidR="009E1871" w:rsidRPr="00372862" w:rsidRDefault="007C3C2B" w:rsidP="006D6486">
      <w:pPr>
        <w:spacing w:line="360" w:lineRule="auto"/>
        <w:rPr>
          <w:rFonts w:ascii="Times New Roman" w:hAnsi="Times New Roman"/>
          <w:sz w:val="24"/>
          <w:szCs w:val="24"/>
        </w:rPr>
      </w:pPr>
      <w:r w:rsidRPr="00372862">
        <w:rPr>
          <w:rFonts w:ascii="Times New Roman" w:hAnsi="Times New Roman"/>
          <w:sz w:val="24"/>
          <w:szCs w:val="24"/>
        </w:rPr>
        <w:t>Participant</w:t>
      </w:r>
      <w:r w:rsidR="009E1871" w:rsidRPr="00372862">
        <w:rPr>
          <w:rFonts w:ascii="Times New Roman" w:hAnsi="Times New Roman"/>
          <w:sz w:val="24"/>
          <w:szCs w:val="24"/>
        </w:rPr>
        <w:t xml:space="preserve"> characteristics at the third </w:t>
      </w:r>
      <w:r w:rsidR="00A00CE9">
        <w:rPr>
          <w:rFonts w:ascii="Times New Roman" w:hAnsi="Times New Roman"/>
          <w:sz w:val="24"/>
          <w:szCs w:val="24"/>
        </w:rPr>
        <w:t>HC</w:t>
      </w:r>
      <w:r w:rsidR="009E1871" w:rsidRPr="00372862">
        <w:rPr>
          <w:rFonts w:ascii="Times New Roman" w:hAnsi="Times New Roman"/>
          <w:sz w:val="24"/>
          <w:szCs w:val="24"/>
        </w:rPr>
        <w:t xml:space="preserve"> were compared between m</w:t>
      </w:r>
      <w:r w:rsidR="005923E6">
        <w:rPr>
          <w:rFonts w:ascii="Times New Roman" w:hAnsi="Times New Roman"/>
          <w:sz w:val="24"/>
          <w:szCs w:val="24"/>
        </w:rPr>
        <w:t xml:space="preserve">en </w:t>
      </w:r>
      <w:r w:rsidR="009E1871" w:rsidRPr="00372862">
        <w:rPr>
          <w:rFonts w:ascii="Times New Roman" w:hAnsi="Times New Roman"/>
          <w:sz w:val="24"/>
          <w:szCs w:val="24"/>
        </w:rPr>
        <w:t xml:space="preserve">and </w:t>
      </w:r>
      <w:r w:rsidR="009445D1">
        <w:rPr>
          <w:rFonts w:ascii="Times New Roman" w:hAnsi="Times New Roman"/>
          <w:sz w:val="24"/>
          <w:szCs w:val="24"/>
        </w:rPr>
        <w:t>wo</w:t>
      </w:r>
      <w:r w:rsidR="009E1871" w:rsidRPr="00372862">
        <w:rPr>
          <w:rFonts w:ascii="Times New Roman" w:hAnsi="Times New Roman"/>
          <w:sz w:val="24"/>
          <w:szCs w:val="24"/>
        </w:rPr>
        <w:t>m</w:t>
      </w:r>
      <w:r w:rsidR="005923E6">
        <w:rPr>
          <w:rFonts w:ascii="Times New Roman" w:hAnsi="Times New Roman"/>
          <w:sz w:val="24"/>
          <w:szCs w:val="24"/>
        </w:rPr>
        <w:t xml:space="preserve">en </w:t>
      </w:r>
      <w:r w:rsidR="009E1871" w:rsidRPr="00372862">
        <w:rPr>
          <w:rFonts w:ascii="Times New Roman" w:hAnsi="Times New Roman"/>
          <w:sz w:val="24"/>
          <w:szCs w:val="24"/>
        </w:rPr>
        <w:t>using the χ2</w:t>
      </w:r>
      <w:r w:rsidR="00553C73" w:rsidRPr="00372862">
        <w:rPr>
          <w:rFonts w:ascii="Times New Roman" w:hAnsi="Times New Roman"/>
          <w:sz w:val="24"/>
          <w:szCs w:val="24"/>
        </w:rPr>
        <w:t xml:space="preserve"> test</w:t>
      </w:r>
      <w:r w:rsidR="009E1871" w:rsidRPr="00372862">
        <w:rPr>
          <w:rFonts w:ascii="Times New Roman" w:hAnsi="Times New Roman"/>
          <w:sz w:val="24"/>
          <w:szCs w:val="24"/>
        </w:rPr>
        <w:t xml:space="preserve">, student’s t-test or Mann-Whitney U test </w:t>
      </w:r>
      <w:r w:rsidR="00B406B4" w:rsidRPr="00372862">
        <w:rPr>
          <w:rFonts w:ascii="Times New Roman" w:hAnsi="Times New Roman"/>
          <w:sz w:val="24"/>
          <w:szCs w:val="24"/>
        </w:rPr>
        <w:t>as appropriate.</w:t>
      </w:r>
    </w:p>
    <w:p w14:paraId="0C70E0EA" w14:textId="6CD95B17" w:rsidR="00ED1DE7" w:rsidRPr="00372862" w:rsidRDefault="009E1871" w:rsidP="006D6486">
      <w:pPr>
        <w:spacing w:line="360" w:lineRule="auto"/>
        <w:rPr>
          <w:rFonts w:ascii="Times New Roman" w:hAnsi="Times New Roman"/>
          <w:i/>
          <w:iCs/>
          <w:sz w:val="24"/>
          <w:szCs w:val="24"/>
        </w:rPr>
      </w:pPr>
      <w:r w:rsidRPr="00372862">
        <w:rPr>
          <w:rFonts w:ascii="Times New Roman" w:hAnsi="Times New Roman"/>
          <w:i/>
          <w:iCs/>
          <w:sz w:val="24"/>
          <w:szCs w:val="24"/>
        </w:rPr>
        <w:t>Cox Regression</w:t>
      </w:r>
      <w:r w:rsidR="00ED1DE7" w:rsidRPr="00372862">
        <w:rPr>
          <w:rFonts w:ascii="Times New Roman" w:hAnsi="Times New Roman"/>
          <w:i/>
          <w:iCs/>
          <w:sz w:val="24"/>
          <w:szCs w:val="24"/>
        </w:rPr>
        <w:t xml:space="preserve"> Analys</w:t>
      </w:r>
      <w:r w:rsidR="00411115" w:rsidRPr="00372862">
        <w:rPr>
          <w:rFonts w:ascii="Times New Roman" w:hAnsi="Times New Roman"/>
          <w:i/>
          <w:iCs/>
          <w:sz w:val="24"/>
          <w:szCs w:val="24"/>
        </w:rPr>
        <w:t>e</w:t>
      </w:r>
      <w:r w:rsidR="00ED1DE7" w:rsidRPr="00372862">
        <w:rPr>
          <w:rFonts w:ascii="Times New Roman" w:hAnsi="Times New Roman"/>
          <w:i/>
          <w:iCs/>
          <w:sz w:val="24"/>
          <w:szCs w:val="24"/>
        </w:rPr>
        <w:t>s</w:t>
      </w:r>
    </w:p>
    <w:p w14:paraId="0F852DBB" w14:textId="6E95AF49" w:rsidR="0024114B" w:rsidRPr="00372862" w:rsidRDefault="009E1871" w:rsidP="006D6486">
      <w:pPr>
        <w:spacing w:line="360" w:lineRule="auto"/>
        <w:rPr>
          <w:rFonts w:ascii="Times New Roman" w:hAnsi="Times New Roman"/>
          <w:sz w:val="24"/>
          <w:szCs w:val="24"/>
        </w:rPr>
      </w:pPr>
      <w:r w:rsidRPr="00372862">
        <w:rPr>
          <w:rFonts w:ascii="Times New Roman" w:hAnsi="Times New Roman"/>
          <w:sz w:val="24"/>
          <w:szCs w:val="24"/>
        </w:rPr>
        <w:t xml:space="preserve">For the mortality analyses, participants were followed-up from </w:t>
      </w:r>
      <w:r w:rsidR="000A3126">
        <w:rPr>
          <w:rFonts w:ascii="Times New Roman" w:hAnsi="Times New Roman"/>
          <w:sz w:val="24"/>
          <w:szCs w:val="24"/>
        </w:rPr>
        <w:t xml:space="preserve">the </w:t>
      </w:r>
      <w:r w:rsidRPr="00372862">
        <w:rPr>
          <w:rFonts w:ascii="Times New Roman" w:hAnsi="Times New Roman"/>
          <w:sz w:val="24"/>
          <w:szCs w:val="24"/>
        </w:rPr>
        <w:t xml:space="preserve">third </w:t>
      </w:r>
      <w:r w:rsidR="00A00CE9">
        <w:rPr>
          <w:rFonts w:ascii="Times New Roman" w:hAnsi="Times New Roman"/>
          <w:sz w:val="24"/>
          <w:szCs w:val="24"/>
        </w:rPr>
        <w:t>HC</w:t>
      </w:r>
      <w:r w:rsidRPr="00372862">
        <w:rPr>
          <w:rFonts w:ascii="Times New Roman" w:hAnsi="Times New Roman"/>
          <w:sz w:val="24"/>
          <w:szCs w:val="24"/>
        </w:rPr>
        <w:t xml:space="preserve"> until either death or</w:t>
      </w:r>
      <w:r w:rsidR="009209EC" w:rsidRPr="00372862">
        <w:rPr>
          <w:rFonts w:ascii="Times New Roman" w:hAnsi="Times New Roman"/>
          <w:sz w:val="24"/>
          <w:szCs w:val="24"/>
        </w:rPr>
        <w:t xml:space="preserve"> </w:t>
      </w:r>
      <w:r w:rsidR="0005693C" w:rsidRPr="00372862">
        <w:rPr>
          <w:rFonts w:ascii="Times New Roman" w:hAnsi="Times New Roman"/>
          <w:sz w:val="24"/>
          <w:szCs w:val="24"/>
        </w:rPr>
        <w:t>end of follow-up</w:t>
      </w:r>
      <w:r w:rsidRPr="00372862">
        <w:rPr>
          <w:rFonts w:ascii="Times New Roman" w:hAnsi="Times New Roman"/>
          <w:sz w:val="24"/>
          <w:szCs w:val="24"/>
        </w:rPr>
        <w:t xml:space="preserve">. Participants in the incident CVD analyses were followed-up from </w:t>
      </w:r>
      <w:r w:rsidR="000A3126">
        <w:rPr>
          <w:rFonts w:ascii="Times New Roman" w:hAnsi="Times New Roman"/>
          <w:sz w:val="24"/>
          <w:szCs w:val="24"/>
        </w:rPr>
        <w:t>the</w:t>
      </w:r>
      <w:r w:rsidRPr="00372862">
        <w:rPr>
          <w:rFonts w:ascii="Times New Roman" w:hAnsi="Times New Roman"/>
          <w:sz w:val="24"/>
          <w:szCs w:val="24"/>
        </w:rPr>
        <w:t xml:space="preserve"> third </w:t>
      </w:r>
      <w:r w:rsidR="00A00CE9">
        <w:rPr>
          <w:rFonts w:ascii="Times New Roman" w:hAnsi="Times New Roman"/>
          <w:sz w:val="24"/>
          <w:szCs w:val="24"/>
        </w:rPr>
        <w:t>HC</w:t>
      </w:r>
      <w:r w:rsidRPr="00372862">
        <w:rPr>
          <w:rFonts w:ascii="Times New Roman" w:hAnsi="Times New Roman"/>
          <w:sz w:val="24"/>
          <w:szCs w:val="24"/>
        </w:rPr>
        <w:t xml:space="preserve"> until either the incidence of a cardiovascular event</w:t>
      </w:r>
      <w:r w:rsidR="00241B4E" w:rsidRPr="00372862">
        <w:rPr>
          <w:rFonts w:ascii="Times New Roman" w:hAnsi="Times New Roman"/>
          <w:sz w:val="24"/>
          <w:szCs w:val="24"/>
        </w:rPr>
        <w:t>,</w:t>
      </w:r>
      <w:r w:rsidRPr="00372862">
        <w:rPr>
          <w:rFonts w:ascii="Times New Roman" w:hAnsi="Times New Roman"/>
          <w:sz w:val="24"/>
          <w:szCs w:val="24"/>
        </w:rPr>
        <w:t xml:space="preserve"> death or</w:t>
      </w:r>
      <w:r w:rsidR="009209EC" w:rsidRPr="00372862">
        <w:rPr>
          <w:rFonts w:ascii="Times New Roman" w:hAnsi="Times New Roman"/>
          <w:sz w:val="24"/>
          <w:szCs w:val="24"/>
        </w:rPr>
        <w:t xml:space="preserve"> </w:t>
      </w:r>
      <w:r w:rsidR="0005693C" w:rsidRPr="00372862">
        <w:rPr>
          <w:rFonts w:ascii="Times New Roman" w:hAnsi="Times New Roman"/>
          <w:sz w:val="24"/>
          <w:szCs w:val="24"/>
        </w:rPr>
        <w:t>end of follow-up</w:t>
      </w:r>
      <w:r w:rsidRPr="00372862">
        <w:rPr>
          <w:rFonts w:ascii="Times New Roman" w:hAnsi="Times New Roman"/>
          <w:sz w:val="24"/>
          <w:szCs w:val="24"/>
        </w:rPr>
        <w:t xml:space="preserve">. </w:t>
      </w:r>
      <w:r w:rsidR="00241B4E" w:rsidRPr="00372862">
        <w:rPr>
          <w:rFonts w:ascii="Times New Roman" w:hAnsi="Times New Roman"/>
          <w:sz w:val="24"/>
          <w:szCs w:val="24"/>
        </w:rPr>
        <w:t xml:space="preserve">Given that for this part of the analysis we </w:t>
      </w:r>
      <w:r w:rsidR="00260144">
        <w:rPr>
          <w:rFonts w:ascii="Times New Roman" w:hAnsi="Times New Roman"/>
          <w:sz w:val="24"/>
          <w:szCs w:val="24"/>
        </w:rPr>
        <w:t>determined</w:t>
      </w:r>
      <w:r w:rsidR="00241B4E" w:rsidRPr="00372862">
        <w:rPr>
          <w:rFonts w:ascii="Times New Roman" w:hAnsi="Times New Roman"/>
          <w:sz w:val="24"/>
          <w:szCs w:val="24"/>
        </w:rPr>
        <w:t xml:space="preserve"> cause-specific hazard ratios</w:t>
      </w:r>
      <w:r w:rsidR="00B221E5">
        <w:rPr>
          <w:rFonts w:ascii="Times New Roman" w:hAnsi="Times New Roman"/>
          <w:sz w:val="24"/>
          <w:szCs w:val="24"/>
        </w:rPr>
        <w:fldChar w:fldCharType="begin" w:fldLock="1"/>
      </w:r>
      <w:r w:rsidR="00190631">
        <w:rPr>
          <w:rFonts w:ascii="Times New Roman" w:hAnsi="Times New Roman"/>
          <w:sz w:val="24"/>
          <w:szCs w:val="24"/>
        </w:rPr>
        <w:instrText>ADDIN CSL_CITATION {"citationItems":[{"id":"ITEM-1","itemData":{"DOI":"10.1093/ndt/gft355","ISSN":"1460-2385 (Electronic)","PMID":"23975843","abstract":"Survival analyses are commonly applied to study death or other events of interest. In such analyses, so-called competing risks may form an important problem. A competing risk is an event that either hinders the observation of the event of interest or modifies the chance that this event occurs. For example, when studying death on dialysis, receiving a kidney transplant is an event that competes with the event of interest. Conventional methods for survival analysis ignoring the competing event(s), such as the Kaplan-Meier method and standard Cox proportional hazards regression, may be inappropriate in the presence of competing risks, and alternative methods specifically designed for analysing competing risks data should then be applied. This problem deserves more attention in nephrology research and in the current article, we therefore explain the problem of competing risks in survival analysis and how using different techniques may affect study results.","author":[{"dropping-particle":"","family":"Noordzij","given":"Marlies","non-dropping-particle":"","parse-names":false,"suffix":""},{"dropping-particle":"","family":"Leffondre","given":"Karen","non-dropping-particle":"","parse-names":false,"suffix":""},{"dropping-particle":"","family":"Stralen","given":"Karlijn J","non-dropping-particle":"van","parse-names":false,"suffix":""},{"dropping-particle":"","family":"Zoccali","given":"Carmine","non-dropping-particle":"","parse-names":false,"suffix":""},{"dropping-particle":"","family":"Dekker","given":"Friedo W","non-dropping-particle":"","parse-names":false,"suffix":""},{"dropping-particle":"","family":"Jager","given":"Kitty J","non-dropping-particle":"","parse-names":false,"suffix":""}],"container-title":"Nephrology, dialysis, transplantation : official publication of the European Dialysis and Transplant Association - European Renal Association","id":"ITEM-1","issue":"11","issued":{"date-parts":[["2013","11"]]},"language":"eng","page":"2670-2677","publisher-place":"England","title":"When do we need competing risks methods for survival analysis in nephrology?","type":"article-journal","volume":"28"},"uris":["http://www.mendeley.com/documents/?uuid=6b223be7-a6fd-4df5-9fda-3c30684b08bb"]}],"mendeley":{"formattedCitation":"&lt;sup&gt;27&lt;/sup&gt;","plainTextFormattedCitation":"27","previouslyFormattedCitation":"&lt;sup&gt;27&lt;/sup&gt;"},"properties":{"noteIndex":0},"schema":"https://github.com/citation-style-language/schema/raw/master/csl-citation.json"}</w:instrText>
      </w:r>
      <w:r w:rsidR="00B221E5">
        <w:rPr>
          <w:rFonts w:ascii="Times New Roman" w:hAnsi="Times New Roman"/>
          <w:sz w:val="24"/>
          <w:szCs w:val="24"/>
        </w:rPr>
        <w:fldChar w:fldCharType="separate"/>
      </w:r>
      <w:r w:rsidR="00AC05A9" w:rsidRPr="00AC05A9">
        <w:rPr>
          <w:rFonts w:ascii="Times New Roman" w:hAnsi="Times New Roman"/>
          <w:noProof/>
          <w:sz w:val="24"/>
          <w:szCs w:val="24"/>
          <w:vertAlign w:val="superscript"/>
        </w:rPr>
        <w:t>27</w:t>
      </w:r>
      <w:r w:rsidR="00B221E5">
        <w:rPr>
          <w:rFonts w:ascii="Times New Roman" w:hAnsi="Times New Roman"/>
          <w:sz w:val="24"/>
          <w:szCs w:val="24"/>
        </w:rPr>
        <w:fldChar w:fldCharType="end"/>
      </w:r>
      <w:r w:rsidR="00241B4E" w:rsidRPr="00372862">
        <w:rPr>
          <w:rFonts w:ascii="Times New Roman" w:hAnsi="Times New Roman"/>
          <w:sz w:val="24"/>
          <w:szCs w:val="24"/>
        </w:rPr>
        <w:t>, d</w:t>
      </w:r>
      <w:r w:rsidRPr="00372862">
        <w:rPr>
          <w:rFonts w:ascii="Times New Roman" w:hAnsi="Times New Roman"/>
          <w:sz w:val="24"/>
          <w:szCs w:val="24"/>
        </w:rPr>
        <w:t>eath was considered a censoring event</w:t>
      </w:r>
      <w:r w:rsidR="00241B4E" w:rsidRPr="00372862">
        <w:rPr>
          <w:rFonts w:ascii="Times New Roman" w:hAnsi="Times New Roman"/>
          <w:sz w:val="24"/>
          <w:szCs w:val="24"/>
        </w:rPr>
        <w:t>.</w:t>
      </w:r>
      <w:r w:rsidRPr="00372862">
        <w:rPr>
          <w:rFonts w:ascii="Times New Roman" w:hAnsi="Times New Roman"/>
          <w:sz w:val="24"/>
          <w:szCs w:val="24"/>
        </w:rPr>
        <w:t xml:space="preserve"> </w:t>
      </w:r>
      <w:r w:rsidR="009C6E2D" w:rsidRPr="00372862">
        <w:rPr>
          <w:rFonts w:ascii="Times New Roman" w:hAnsi="Times New Roman"/>
          <w:sz w:val="24"/>
          <w:szCs w:val="24"/>
        </w:rPr>
        <w:t xml:space="preserve">The median follow-up time was calculated separately for </w:t>
      </w:r>
      <w:r w:rsidR="009445D1">
        <w:rPr>
          <w:rFonts w:ascii="Times New Roman" w:hAnsi="Times New Roman"/>
          <w:sz w:val="24"/>
          <w:szCs w:val="24"/>
        </w:rPr>
        <w:t>men</w:t>
      </w:r>
      <w:r w:rsidR="009C6E2D" w:rsidRPr="00372862">
        <w:rPr>
          <w:rFonts w:ascii="Times New Roman" w:hAnsi="Times New Roman"/>
          <w:sz w:val="24"/>
          <w:szCs w:val="24"/>
        </w:rPr>
        <w:t xml:space="preserve"> and </w:t>
      </w:r>
      <w:r w:rsidR="009445D1">
        <w:rPr>
          <w:rFonts w:ascii="Times New Roman" w:hAnsi="Times New Roman"/>
          <w:sz w:val="24"/>
          <w:szCs w:val="24"/>
        </w:rPr>
        <w:t>women</w:t>
      </w:r>
      <w:r w:rsidR="009C6E2D" w:rsidRPr="00372862">
        <w:rPr>
          <w:rFonts w:ascii="Times New Roman" w:hAnsi="Times New Roman"/>
          <w:sz w:val="24"/>
          <w:szCs w:val="24"/>
        </w:rPr>
        <w:t xml:space="preserve"> using the reverse Kaplan-Meier method.</w:t>
      </w:r>
      <w:r w:rsidRPr="00372862">
        <w:rPr>
          <w:rFonts w:ascii="Times New Roman" w:hAnsi="Times New Roman"/>
          <w:sz w:val="24"/>
          <w:szCs w:val="24"/>
        </w:rPr>
        <w:t xml:space="preserve"> </w:t>
      </w:r>
    </w:p>
    <w:p w14:paraId="7DBFE5FD" w14:textId="19ABEBE3" w:rsidR="009E1871" w:rsidRPr="00372862" w:rsidRDefault="005923E6" w:rsidP="00E92B1D">
      <w:pPr>
        <w:spacing w:line="360" w:lineRule="auto"/>
        <w:rPr>
          <w:rFonts w:ascii="Times New Roman" w:hAnsi="Times New Roman"/>
          <w:sz w:val="24"/>
          <w:szCs w:val="24"/>
        </w:rPr>
      </w:pPr>
      <w:r>
        <w:rPr>
          <w:rFonts w:ascii="Times New Roman" w:hAnsi="Times New Roman"/>
          <w:sz w:val="24"/>
          <w:szCs w:val="24"/>
        </w:rPr>
        <w:t xml:space="preserve">Sex-specific </w:t>
      </w:r>
      <w:r w:rsidR="009E1871" w:rsidRPr="00372862">
        <w:rPr>
          <w:rFonts w:ascii="Times New Roman" w:hAnsi="Times New Roman"/>
          <w:sz w:val="24"/>
          <w:szCs w:val="24"/>
        </w:rPr>
        <w:t xml:space="preserve">Cox regression models were computed </w:t>
      </w:r>
      <w:r>
        <w:rPr>
          <w:rFonts w:ascii="Times New Roman" w:hAnsi="Times New Roman"/>
          <w:sz w:val="24"/>
          <w:szCs w:val="24"/>
        </w:rPr>
        <w:t>for all outcomes of interest</w:t>
      </w:r>
      <w:r w:rsidR="00241B4E" w:rsidRPr="00372862">
        <w:rPr>
          <w:rFonts w:ascii="Times New Roman" w:hAnsi="Times New Roman"/>
          <w:sz w:val="24"/>
          <w:szCs w:val="24"/>
        </w:rPr>
        <w:t xml:space="preserve">. </w:t>
      </w:r>
      <w:r w:rsidR="00FB4FFA">
        <w:rPr>
          <w:rFonts w:ascii="Times New Roman" w:hAnsi="Times New Roman"/>
          <w:sz w:val="24"/>
          <w:szCs w:val="24"/>
        </w:rPr>
        <w:t xml:space="preserve">A further sensitivity Cox regression analysis was undertaken assessing the relationship between BP trajectories and all-cause mortality only amongst participants without prevalent CVD at the third health check. </w:t>
      </w:r>
      <w:r w:rsidR="00241B4E" w:rsidRPr="00372862">
        <w:rPr>
          <w:rFonts w:ascii="Times New Roman" w:hAnsi="Times New Roman"/>
          <w:sz w:val="24"/>
          <w:szCs w:val="24"/>
        </w:rPr>
        <w:t>The satisfaction of the proportional hazards assumption for the exposure</w:t>
      </w:r>
      <w:r w:rsidR="00260144">
        <w:rPr>
          <w:rFonts w:ascii="Times New Roman" w:hAnsi="Times New Roman"/>
          <w:sz w:val="24"/>
          <w:szCs w:val="24"/>
        </w:rPr>
        <w:t xml:space="preserve">s </w:t>
      </w:r>
      <w:r w:rsidR="00241B4E" w:rsidRPr="00372862">
        <w:rPr>
          <w:rFonts w:ascii="Times New Roman" w:hAnsi="Times New Roman"/>
          <w:sz w:val="24"/>
          <w:szCs w:val="24"/>
        </w:rPr>
        <w:t xml:space="preserve">was verified using log-negative-log plots. The </w:t>
      </w:r>
      <w:r w:rsidR="00260144">
        <w:rPr>
          <w:rFonts w:ascii="Times New Roman" w:hAnsi="Times New Roman"/>
          <w:sz w:val="24"/>
          <w:szCs w:val="24"/>
        </w:rPr>
        <w:t>BP</w:t>
      </w:r>
      <w:r w:rsidR="00241B4E" w:rsidRPr="00372862">
        <w:rPr>
          <w:rFonts w:ascii="Times New Roman" w:hAnsi="Times New Roman"/>
          <w:sz w:val="24"/>
          <w:szCs w:val="24"/>
        </w:rPr>
        <w:t xml:space="preserve"> trajectory group containing the lowest measurements was </w:t>
      </w:r>
      <w:r w:rsidR="00B60967" w:rsidRPr="00372862">
        <w:rPr>
          <w:rFonts w:ascii="Times New Roman" w:hAnsi="Times New Roman"/>
          <w:sz w:val="24"/>
          <w:szCs w:val="24"/>
        </w:rPr>
        <w:t>assigned</w:t>
      </w:r>
      <w:r w:rsidR="00241B4E" w:rsidRPr="00372862">
        <w:rPr>
          <w:rFonts w:ascii="Times New Roman" w:hAnsi="Times New Roman"/>
          <w:sz w:val="24"/>
          <w:szCs w:val="24"/>
        </w:rPr>
        <w:t xml:space="preserve"> as reference for all analyses.</w:t>
      </w:r>
      <w:r w:rsidR="00E92B1D">
        <w:rPr>
          <w:rFonts w:ascii="Times New Roman" w:hAnsi="Times New Roman"/>
          <w:sz w:val="24"/>
          <w:szCs w:val="24"/>
        </w:rPr>
        <w:t xml:space="preserve"> Sequentially adjusted models were constructed: </w:t>
      </w:r>
      <w:r w:rsidR="00E92B1D" w:rsidRPr="00E92B1D">
        <w:rPr>
          <w:rFonts w:ascii="Times New Roman" w:hAnsi="Times New Roman"/>
          <w:sz w:val="24"/>
          <w:szCs w:val="24"/>
        </w:rPr>
        <w:t>Model A – Univariable</w:t>
      </w:r>
      <w:r w:rsidR="00E92B1D">
        <w:rPr>
          <w:rFonts w:ascii="Times New Roman" w:hAnsi="Times New Roman"/>
          <w:sz w:val="24"/>
          <w:szCs w:val="24"/>
        </w:rPr>
        <w:t xml:space="preserve">; </w:t>
      </w:r>
      <w:r w:rsidR="00E92B1D" w:rsidRPr="00E92B1D">
        <w:rPr>
          <w:rFonts w:ascii="Times New Roman" w:hAnsi="Times New Roman"/>
          <w:sz w:val="24"/>
          <w:szCs w:val="24"/>
        </w:rPr>
        <w:t>Model B – Multivariable adjustment for age and ethnicity</w:t>
      </w:r>
      <w:r w:rsidR="00E92B1D">
        <w:rPr>
          <w:rFonts w:ascii="Times New Roman" w:hAnsi="Times New Roman"/>
          <w:sz w:val="24"/>
          <w:szCs w:val="24"/>
        </w:rPr>
        <w:t xml:space="preserve">; </w:t>
      </w:r>
      <w:r w:rsidR="00E92B1D" w:rsidRPr="00E92B1D">
        <w:rPr>
          <w:rFonts w:ascii="Times New Roman" w:hAnsi="Times New Roman"/>
          <w:sz w:val="24"/>
          <w:szCs w:val="24"/>
        </w:rPr>
        <w:t>Model C – Model B + body mass index, physical activity level, smoking and alcohol consumption</w:t>
      </w:r>
      <w:r w:rsidR="00E92B1D">
        <w:rPr>
          <w:rFonts w:ascii="Times New Roman" w:hAnsi="Times New Roman"/>
          <w:sz w:val="24"/>
          <w:szCs w:val="24"/>
        </w:rPr>
        <w:t xml:space="preserve">; </w:t>
      </w:r>
      <w:r w:rsidR="00E92B1D" w:rsidRPr="00E92B1D">
        <w:rPr>
          <w:rFonts w:ascii="Times New Roman" w:hAnsi="Times New Roman"/>
          <w:sz w:val="24"/>
          <w:szCs w:val="24"/>
        </w:rPr>
        <w:t>Model D – Model C + pre-existing co-morbidities (cardiovascular disease, diabetes mellitus, cancer, asthma, chronic obstructive pulmonary disease) and serum low-density lipoprotein cholesterol</w:t>
      </w:r>
      <w:r w:rsidR="00E92B1D">
        <w:rPr>
          <w:rFonts w:ascii="Times New Roman" w:hAnsi="Times New Roman"/>
          <w:sz w:val="24"/>
          <w:szCs w:val="24"/>
        </w:rPr>
        <w:t>; Model E – Model D + antihypertensive treatment.</w:t>
      </w:r>
      <w:r w:rsidR="00241B4E" w:rsidRPr="00372862">
        <w:rPr>
          <w:rFonts w:ascii="Times New Roman" w:hAnsi="Times New Roman"/>
          <w:sz w:val="24"/>
          <w:szCs w:val="24"/>
        </w:rPr>
        <w:t xml:space="preserve"> </w:t>
      </w:r>
    </w:p>
    <w:p w14:paraId="73AD8F67" w14:textId="77777777" w:rsidR="00544B9D" w:rsidRPr="00372862" w:rsidRDefault="000660BE" w:rsidP="006D6486">
      <w:pPr>
        <w:spacing w:line="360" w:lineRule="auto"/>
        <w:rPr>
          <w:rFonts w:ascii="Times New Roman" w:hAnsi="Times New Roman"/>
          <w:b/>
          <w:sz w:val="24"/>
          <w:szCs w:val="24"/>
        </w:rPr>
      </w:pPr>
      <w:r w:rsidRPr="00372862">
        <w:rPr>
          <w:rFonts w:ascii="Times New Roman" w:hAnsi="Times New Roman"/>
          <w:b/>
          <w:sz w:val="24"/>
          <w:szCs w:val="24"/>
        </w:rPr>
        <w:t>RESULTS</w:t>
      </w:r>
    </w:p>
    <w:p w14:paraId="0C56C767" w14:textId="62A75966" w:rsidR="00411115" w:rsidRPr="00372862" w:rsidRDefault="00411115" w:rsidP="00411115">
      <w:pPr>
        <w:spacing w:line="360" w:lineRule="auto"/>
        <w:rPr>
          <w:rFonts w:ascii="Times New Roman" w:hAnsi="Times New Roman"/>
          <w:i/>
          <w:iCs/>
          <w:sz w:val="24"/>
          <w:szCs w:val="24"/>
        </w:rPr>
      </w:pPr>
      <w:r w:rsidRPr="00372862">
        <w:rPr>
          <w:rFonts w:ascii="Times New Roman" w:hAnsi="Times New Roman"/>
          <w:i/>
          <w:iCs/>
          <w:sz w:val="24"/>
          <w:szCs w:val="24"/>
        </w:rPr>
        <w:t>Descriptive Statistics</w:t>
      </w:r>
    </w:p>
    <w:p w14:paraId="21B13A38" w14:textId="2FF627F9" w:rsidR="00E6487F" w:rsidRPr="00372862" w:rsidRDefault="0022243D" w:rsidP="00411115">
      <w:pPr>
        <w:spacing w:line="360" w:lineRule="auto"/>
        <w:rPr>
          <w:rFonts w:ascii="Times New Roman" w:hAnsi="Times New Roman"/>
          <w:sz w:val="24"/>
          <w:szCs w:val="24"/>
        </w:rPr>
      </w:pPr>
      <w:r w:rsidRPr="00372862">
        <w:rPr>
          <w:rFonts w:ascii="Times New Roman" w:hAnsi="Times New Roman"/>
          <w:sz w:val="24"/>
          <w:szCs w:val="24"/>
        </w:rPr>
        <w:t xml:space="preserve">Table 1 summarises the </w:t>
      </w:r>
      <w:r w:rsidR="007C3C2B" w:rsidRPr="00372862">
        <w:rPr>
          <w:rFonts w:ascii="Times New Roman" w:hAnsi="Times New Roman"/>
          <w:sz w:val="24"/>
          <w:szCs w:val="24"/>
        </w:rPr>
        <w:t>participant</w:t>
      </w:r>
      <w:r w:rsidR="000A458F">
        <w:rPr>
          <w:rFonts w:ascii="Times New Roman" w:hAnsi="Times New Roman"/>
          <w:sz w:val="24"/>
          <w:szCs w:val="24"/>
        </w:rPr>
        <w:t xml:space="preserve"> sex-specific</w:t>
      </w:r>
      <w:r w:rsidRPr="00372862">
        <w:rPr>
          <w:rFonts w:ascii="Times New Roman" w:hAnsi="Times New Roman"/>
          <w:sz w:val="24"/>
          <w:szCs w:val="24"/>
        </w:rPr>
        <w:t xml:space="preserve"> characteristics at the third </w:t>
      </w:r>
      <w:r w:rsidR="00A00CE9">
        <w:rPr>
          <w:rFonts w:ascii="Times New Roman" w:hAnsi="Times New Roman"/>
          <w:sz w:val="24"/>
          <w:szCs w:val="24"/>
        </w:rPr>
        <w:t>HC</w:t>
      </w:r>
      <w:r w:rsidR="000A458F">
        <w:rPr>
          <w:rFonts w:ascii="Times New Roman" w:hAnsi="Times New Roman"/>
          <w:sz w:val="24"/>
          <w:szCs w:val="24"/>
        </w:rPr>
        <w:t xml:space="preserve">. </w:t>
      </w:r>
      <w:r w:rsidR="00757EEE" w:rsidRPr="00372862">
        <w:rPr>
          <w:rFonts w:ascii="Times New Roman" w:hAnsi="Times New Roman"/>
          <w:sz w:val="24"/>
          <w:szCs w:val="24"/>
        </w:rPr>
        <w:t>2897 (43.1%) m</w:t>
      </w:r>
      <w:r w:rsidR="005923E6">
        <w:rPr>
          <w:rFonts w:ascii="Times New Roman" w:hAnsi="Times New Roman"/>
          <w:sz w:val="24"/>
          <w:szCs w:val="24"/>
        </w:rPr>
        <w:t>en</w:t>
      </w:r>
      <w:r w:rsidR="00757EEE" w:rsidRPr="00372862">
        <w:rPr>
          <w:rFonts w:ascii="Times New Roman" w:hAnsi="Times New Roman"/>
          <w:sz w:val="24"/>
          <w:szCs w:val="24"/>
        </w:rPr>
        <w:t xml:space="preserve"> and 3819 (56.9%) </w:t>
      </w:r>
      <w:r w:rsidR="009445D1">
        <w:rPr>
          <w:rFonts w:ascii="Times New Roman" w:hAnsi="Times New Roman"/>
          <w:sz w:val="24"/>
          <w:szCs w:val="24"/>
        </w:rPr>
        <w:t>wo</w:t>
      </w:r>
      <w:r w:rsidR="00757EEE" w:rsidRPr="00372862">
        <w:rPr>
          <w:rFonts w:ascii="Times New Roman" w:hAnsi="Times New Roman"/>
          <w:sz w:val="24"/>
          <w:szCs w:val="24"/>
        </w:rPr>
        <w:t>m</w:t>
      </w:r>
      <w:r w:rsidR="005923E6">
        <w:rPr>
          <w:rFonts w:ascii="Times New Roman" w:hAnsi="Times New Roman"/>
          <w:sz w:val="24"/>
          <w:szCs w:val="24"/>
        </w:rPr>
        <w:t>en</w:t>
      </w:r>
      <w:r w:rsidR="00757EEE" w:rsidRPr="00372862">
        <w:rPr>
          <w:rFonts w:ascii="Times New Roman" w:hAnsi="Times New Roman"/>
          <w:sz w:val="24"/>
          <w:szCs w:val="24"/>
        </w:rPr>
        <w:t xml:space="preserve"> were included. Compared to </w:t>
      </w:r>
      <w:r w:rsidR="009445D1">
        <w:rPr>
          <w:rFonts w:ascii="Times New Roman" w:hAnsi="Times New Roman"/>
          <w:sz w:val="24"/>
          <w:szCs w:val="24"/>
        </w:rPr>
        <w:t>men</w:t>
      </w:r>
      <w:r w:rsidR="000A3126">
        <w:rPr>
          <w:rFonts w:ascii="Times New Roman" w:hAnsi="Times New Roman"/>
          <w:sz w:val="24"/>
          <w:szCs w:val="24"/>
        </w:rPr>
        <w:t xml:space="preserve"> </w:t>
      </w:r>
      <w:r w:rsidR="00757EEE" w:rsidRPr="00372862">
        <w:rPr>
          <w:rFonts w:ascii="Times New Roman" w:hAnsi="Times New Roman"/>
          <w:sz w:val="24"/>
          <w:szCs w:val="24"/>
        </w:rPr>
        <w:t xml:space="preserve">(mean age (standard deviation) = 70.07 (8.25) years), </w:t>
      </w:r>
      <w:r w:rsidR="009445D1">
        <w:rPr>
          <w:rFonts w:ascii="Times New Roman" w:hAnsi="Times New Roman"/>
          <w:sz w:val="24"/>
          <w:szCs w:val="24"/>
        </w:rPr>
        <w:t>women</w:t>
      </w:r>
      <w:r w:rsidR="00757EEE" w:rsidRPr="00372862">
        <w:rPr>
          <w:rFonts w:ascii="Times New Roman" w:hAnsi="Times New Roman"/>
          <w:sz w:val="24"/>
          <w:szCs w:val="24"/>
        </w:rPr>
        <w:t xml:space="preserve"> were younger (68.47 (8.05) years). </w:t>
      </w:r>
      <w:r w:rsidR="00260144">
        <w:rPr>
          <w:rFonts w:ascii="Times New Roman" w:hAnsi="Times New Roman"/>
          <w:sz w:val="24"/>
          <w:szCs w:val="24"/>
        </w:rPr>
        <w:t>SBP and DBP</w:t>
      </w:r>
      <w:r w:rsidR="00757EEE" w:rsidRPr="00372862">
        <w:rPr>
          <w:rFonts w:ascii="Times New Roman" w:hAnsi="Times New Roman"/>
          <w:sz w:val="24"/>
          <w:szCs w:val="24"/>
        </w:rPr>
        <w:t xml:space="preserve"> </w:t>
      </w:r>
      <w:r w:rsidR="0005693C" w:rsidRPr="00372862">
        <w:rPr>
          <w:rFonts w:ascii="Times New Roman" w:hAnsi="Times New Roman"/>
          <w:sz w:val="24"/>
          <w:szCs w:val="24"/>
        </w:rPr>
        <w:t>measurements</w:t>
      </w:r>
      <w:r w:rsidR="00757EEE" w:rsidRPr="00372862">
        <w:rPr>
          <w:rFonts w:ascii="Times New Roman" w:hAnsi="Times New Roman"/>
          <w:sz w:val="24"/>
          <w:szCs w:val="24"/>
        </w:rPr>
        <w:t xml:space="preserve"> </w:t>
      </w:r>
      <w:r w:rsidR="0005693C" w:rsidRPr="00372862">
        <w:rPr>
          <w:rFonts w:ascii="Times New Roman" w:hAnsi="Times New Roman"/>
          <w:sz w:val="24"/>
          <w:szCs w:val="24"/>
        </w:rPr>
        <w:t xml:space="preserve">were higher amongst </w:t>
      </w:r>
      <w:r w:rsidR="009445D1">
        <w:rPr>
          <w:rFonts w:ascii="Times New Roman" w:hAnsi="Times New Roman"/>
          <w:sz w:val="24"/>
          <w:szCs w:val="24"/>
        </w:rPr>
        <w:t>men</w:t>
      </w:r>
      <w:r w:rsidR="0005693C" w:rsidRPr="00372862">
        <w:rPr>
          <w:rFonts w:ascii="Times New Roman" w:hAnsi="Times New Roman"/>
          <w:sz w:val="24"/>
          <w:szCs w:val="24"/>
        </w:rPr>
        <w:t xml:space="preserve"> than </w:t>
      </w:r>
      <w:r w:rsidR="009445D1">
        <w:rPr>
          <w:rFonts w:ascii="Times New Roman" w:hAnsi="Times New Roman"/>
          <w:sz w:val="24"/>
          <w:szCs w:val="24"/>
        </w:rPr>
        <w:t>women</w:t>
      </w:r>
      <w:r w:rsidR="0005693C" w:rsidRPr="00372862">
        <w:rPr>
          <w:rFonts w:ascii="Times New Roman" w:hAnsi="Times New Roman"/>
          <w:sz w:val="24"/>
          <w:szCs w:val="24"/>
        </w:rPr>
        <w:t xml:space="preserve">. </w:t>
      </w:r>
      <w:r w:rsidR="00E6487F" w:rsidRPr="00372862">
        <w:rPr>
          <w:rFonts w:ascii="Times New Roman" w:hAnsi="Times New Roman"/>
          <w:sz w:val="24"/>
          <w:szCs w:val="24"/>
        </w:rPr>
        <w:t xml:space="preserve">Compared to </w:t>
      </w:r>
      <w:r w:rsidR="009445D1">
        <w:rPr>
          <w:rFonts w:ascii="Times New Roman" w:hAnsi="Times New Roman"/>
          <w:sz w:val="24"/>
          <w:szCs w:val="24"/>
        </w:rPr>
        <w:t>men</w:t>
      </w:r>
      <w:r w:rsidR="00E6487F" w:rsidRPr="00372862">
        <w:rPr>
          <w:rFonts w:ascii="Times New Roman" w:hAnsi="Times New Roman"/>
          <w:sz w:val="24"/>
          <w:szCs w:val="24"/>
        </w:rPr>
        <w:t xml:space="preserve">, </w:t>
      </w:r>
      <w:r w:rsidR="009445D1">
        <w:rPr>
          <w:rFonts w:ascii="Times New Roman" w:hAnsi="Times New Roman"/>
          <w:sz w:val="24"/>
          <w:szCs w:val="24"/>
        </w:rPr>
        <w:t>women</w:t>
      </w:r>
      <w:r w:rsidR="00E6487F" w:rsidRPr="00372862">
        <w:rPr>
          <w:rFonts w:ascii="Times New Roman" w:hAnsi="Times New Roman"/>
          <w:sz w:val="24"/>
          <w:szCs w:val="24"/>
        </w:rPr>
        <w:t xml:space="preserve"> had lower rates of self-reported co-morbid cardiovascular disease, diabetes mellitus, cancer, asthma and </w:t>
      </w:r>
      <w:r w:rsidR="00E6487F" w:rsidRPr="00372862">
        <w:rPr>
          <w:rFonts w:ascii="Times New Roman" w:hAnsi="Times New Roman"/>
          <w:sz w:val="24"/>
          <w:szCs w:val="24"/>
        </w:rPr>
        <w:lastRenderedPageBreak/>
        <w:t>chronic obstructive pulmonary disease on or before the third health check.</w:t>
      </w:r>
      <w:r w:rsidR="000A3126">
        <w:rPr>
          <w:rFonts w:ascii="Times New Roman" w:hAnsi="Times New Roman"/>
          <w:sz w:val="24"/>
          <w:szCs w:val="24"/>
        </w:rPr>
        <w:t xml:space="preserve"> </w:t>
      </w:r>
      <w:r w:rsidR="009445D1">
        <w:rPr>
          <w:rFonts w:ascii="Times New Roman" w:hAnsi="Times New Roman"/>
          <w:sz w:val="24"/>
          <w:szCs w:val="24"/>
        </w:rPr>
        <w:t>Women</w:t>
      </w:r>
      <w:r w:rsidR="00E6487F" w:rsidRPr="00372862">
        <w:rPr>
          <w:rFonts w:ascii="Times New Roman" w:hAnsi="Times New Roman"/>
          <w:sz w:val="24"/>
          <w:szCs w:val="24"/>
        </w:rPr>
        <w:t xml:space="preserve"> also had lower rates of self-reported</w:t>
      </w:r>
      <w:r w:rsidR="0021404B" w:rsidRPr="00372862">
        <w:rPr>
          <w:rFonts w:ascii="Times New Roman" w:hAnsi="Times New Roman"/>
          <w:sz w:val="24"/>
          <w:szCs w:val="24"/>
        </w:rPr>
        <w:t xml:space="preserve"> therapy with aspirin, lipid-lowering a</w:t>
      </w:r>
      <w:r w:rsidR="00AC00E4">
        <w:rPr>
          <w:rFonts w:ascii="Times New Roman" w:hAnsi="Times New Roman"/>
          <w:sz w:val="24"/>
          <w:szCs w:val="24"/>
        </w:rPr>
        <w:t>g</w:t>
      </w:r>
      <w:r w:rsidR="0021404B" w:rsidRPr="00372862">
        <w:rPr>
          <w:rFonts w:ascii="Times New Roman" w:hAnsi="Times New Roman"/>
          <w:sz w:val="24"/>
          <w:szCs w:val="24"/>
        </w:rPr>
        <w:t>ents, anti-diabetic and anti-hypertensive agents.</w:t>
      </w:r>
      <w:r w:rsidR="00344DEA" w:rsidRPr="00372862">
        <w:rPr>
          <w:rFonts w:ascii="Times New Roman" w:hAnsi="Times New Roman"/>
          <w:sz w:val="24"/>
          <w:szCs w:val="24"/>
        </w:rPr>
        <w:t xml:space="preserve"> Over the follow-up period, </w:t>
      </w:r>
      <w:r w:rsidR="009445D1">
        <w:rPr>
          <w:rFonts w:ascii="Times New Roman" w:hAnsi="Times New Roman"/>
          <w:sz w:val="24"/>
          <w:szCs w:val="24"/>
        </w:rPr>
        <w:t>men</w:t>
      </w:r>
      <w:r w:rsidR="00344DEA" w:rsidRPr="00372862">
        <w:rPr>
          <w:rFonts w:ascii="Times New Roman" w:hAnsi="Times New Roman"/>
          <w:sz w:val="24"/>
          <w:szCs w:val="24"/>
        </w:rPr>
        <w:t xml:space="preserve"> had higher rates of incident mortality (all-cause, cardiovascular and non-cardiovascular) as well as incident </w:t>
      </w:r>
      <w:r w:rsidR="00A00CE9">
        <w:rPr>
          <w:rFonts w:ascii="Times New Roman" w:hAnsi="Times New Roman"/>
          <w:sz w:val="24"/>
          <w:szCs w:val="24"/>
        </w:rPr>
        <w:t>CVD</w:t>
      </w:r>
      <w:r w:rsidR="00344DEA" w:rsidRPr="00372862">
        <w:rPr>
          <w:rFonts w:ascii="Times New Roman" w:hAnsi="Times New Roman"/>
          <w:sz w:val="24"/>
          <w:szCs w:val="24"/>
        </w:rPr>
        <w:t>.</w:t>
      </w:r>
    </w:p>
    <w:p w14:paraId="782C7DED" w14:textId="2A19E282" w:rsidR="00411115" w:rsidRPr="00372862" w:rsidRDefault="00411115" w:rsidP="00411115">
      <w:pPr>
        <w:spacing w:line="360" w:lineRule="auto"/>
        <w:rPr>
          <w:rFonts w:ascii="Times New Roman" w:hAnsi="Times New Roman"/>
          <w:i/>
          <w:iCs/>
          <w:sz w:val="24"/>
          <w:szCs w:val="24"/>
        </w:rPr>
      </w:pPr>
      <w:r w:rsidRPr="00372862">
        <w:rPr>
          <w:rFonts w:ascii="Times New Roman" w:hAnsi="Times New Roman"/>
          <w:i/>
          <w:iCs/>
          <w:sz w:val="24"/>
          <w:szCs w:val="24"/>
        </w:rPr>
        <w:t>Longitudinal Blood Pressure Trajectories</w:t>
      </w:r>
    </w:p>
    <w:p w14:paraId="33F5605D" w14:textId="74AAAAE4" w:rsidR="00AA29C9" w:rsidRPr="00372862" w:rsidRDefault="00525DA5" w:rsidP="00411115">
      <w:pPr>
        <w:spacing w:line="360" w:lineRule="auto"/>
        <w:rPr>
          <w:rFonts w:ascii="Times New Roman" w:hAnsi="Times New Roman"/>
          <w:sz w:val="24"/>
          <w:szCs w:val="24"/>
        </w:rPr>
      </w:pPr>
      <w:r>
        <w:rPr>
          <w:rFonts w:ascii="Times New Roman" w:hAnsi="Times New Roman"/>
          <w:sz w:val="24"/>
          <w:szCs w:val="24"/>
        </w:rPr>
        <w:t>There were</w:t>
      </w:r>
      <w:r w:rsidR="00D46767" w:rsidRPr="00372862">
        <w:rPr>
          <w:rFonts w:ascii="Times New Roman" w:hAnsi="Times New Roman"/>
          <w:sz w:val="24"/>
          <w:szCs w:val="24"/>
        </w:rPr>
        <w:t xml:space="preserve"> 6 distinct SBP trajectories amongst </w:t>
      </w:r>
      <w:r w:rsidR="00491E32">
        <w:rPr>
          <w:rFonts w:ascii="Times New Roman" w:hAnsi="Times New Roman"/>
          <w:sz w:val="24"/>
          <w:szCs w:val="24"/>
        </w:rPr>
        <w:t>men</w:t>
      </w:r>
      <w:r w:rsidR="00FD38B5" w:rsidRPr="00372862">
        <w:rPr>
          <w:rFonts w:ascii="Times New Roman" w:hAnsi="Times New Roman"/>
          <w:sz w:val="24"/>
          <w:szCs w:val="24"/>
        </w:rPr>
        <w:t xml:space="preserve"> included in the mortality analyses</w:t>
      </w:r>
      <w:r w:rsidR="00251962">
        <w:rPr>
          <w:rFonts w:ascii="Times New Roman" w:hAnsi="Times New Roman"/>
          <w:sz w:val="24"/>
          <w:szCs w:val="24"/>
        </w:rPr>
        <w:t xml:space="preserve"> (Figure 2</w:t>
      </w:r>
      <w:r w:rsidR="00C16289">
        <w:rPr>
          <w:rFonts w:ascii="Times New Roman" w:hAnsi="Times New Roman"/>
          <w:sz w:val="24"/>
          <w:szCs w:val="24"/>
        </w:rPr>
        <w:t xml:space="preserve"> and Supplementary Table 2</w:t>
      </w:r>
      <w:r w:rsidR="00251962">
        <w:rPr>
          <w:rFonts w:ascii="Times New Roman" w:hAnsi="Times New Roman"/>
          <w:sz w:val="24"/>
          <w:szCs w:val="24"/>
        </w:rPr>
        <w:t>)</w:t>
      </w:r>
      <w:r w:rsidR="006D0181" w:rsidRPr="00372862">
        <w:rPr>
          <w:rFonts w:ascii="Times New Roman" w:hAnsi="Times New Roman"/>
          <w:sz w:val="24"/>
          <w:szCs w:val="24"/>
        </w:rPr>
        <w:t xml:space="preserve">, which were characterised </w:t>
      </w:r>
      <w:r>
        <w:rPr>
          <w:rFonts w:ascii="Times New Roman" w:hAnsi="Times New Roman"/>
          <w:sz w:val="24"/>
          <w:szCs w:val="24"/>
        </w:rPr>
        <w:t>according to the</w:t>
      </w:r>
      <w:r w:rsidR="006D0181" w:rsidRPr="00372862">
        <w:rPr>
          <w:rFonts w:ascii="Times New Roman" w:hAnsi="Times New Roman"/>
          <w:sz w:val="24"/>
          <w:szCs w:val="24"/>
        </w:rPr>
        <w:t xml:space="preserve"> 2018 ESC guidelines</w:t>
      </w:r>
      <w:r w:rsidR="009F6310">
        <w:rPr>
          <w:rFonts w:ascii="Times New Roman" w:hAnsi="Times New Roman"/>
          <w:sz w:val="24"/>
          <w:szCs w:val="24"/>
        </w:rPr>
        <w:fldChar w:fldCharType="begin" w:fldLock="1"/>
      </w:r>
      <w:r w:rsidR="008600D6">
        <w:rPr>
          <w:rFonts w:ascii="Times New Roman" w:hAnsi="Times New Roman"/>
          <w:sz w:val="24"/>
          <w:szCs w:val="24"/>
        </w:rPr>
        <w:instrText>ADDIN CSL_CITATION {"citationItems":[{"id":"ITEM-1","itemData":{"DOI":"10.1093/eurheartj/ehy339","ISSN":"1522-9645 (Electronic)","PMID":"30165516","author":[{"dropping-particle":"","family":"Williams","given":"Bryan","non-dropping-particle":"","parse-names":false,"suffix":""},{"dropping-particle":"","family":"Mancia","given":"Giuseppe","non-dropping-particle":"","parse-names":false,"suffix":""},{"dropping-particle":"","family":"Spiering","given":"Wilko","non-dropping-particle":"","parse-names":false,"suffix":""},{"dropping-particle":"","family":"Agabiti Rosei","given":"Enrico","non-dropping-particle":"","parse-names":false,"suffix":""},{"dropping-particle":"","family":"Azizi","given":"Michel","non-dropping-particle":"","parse-names":false,"suffix":""},{"dropping-particle":"","family":"Burnier","given":"Michel","non-dropping-particle":"","parse-names":false,"suffix":""},{"dropping-particle":"","family":"Clement","given":"Denis L","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 E","non-dropping-particle":"","parse-names":false,"suffix":""},{"dropping-particle":"","family":"Kreutz","given":"Reinhold","non-dropping-particle":"","parse-names":false,"suffix":""},{"dropping-particle":"","family":"Laurent","given":"Stephane","non-dropping-particle":"","parse-names":false,"suffix":""},{"dropping-particle":"","family":"Lip","given":"Gregory Y 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 E","non-dropping-particle":"","parse-names":false,"suffix":""},{"dropping-particle":"","family":"Shlyakhto","given":"Evgeny","non-dropping-particle":"","parse-names":false,"suffix":""},{"dropping-particle":"","family":"Tsioufis","given":"Costas","non-dropping-particle":"","parse-names":false,"suffix":""},{"dropping-particle":"","family":"Aboyans","given":"Victor","non-dropping-particle":"","parse-names":false,"suffix":""},{"dropping-particle":"","family":"Desormais","given":"Ileana","non-dropping-particle":"","parse-names":false,"suffix":""}],"container-title":"European heart journal","id":"ITEM-1","issue":"33","issued":{"date-parts":[["2018","9"]]},"language":"eng","page":"3021-3104","publisher-place":"England","title":"2018 ESC/ESH Guidelines for the management of arterial hypertension.","type":"article-journal","volume":"39"},"uris":["http://www.mendeley.com/documents/?uuid=aec8f922-2e6c-409d-88b5-d2bcd780f4b1"]}],"mendeley":{"formattedCitation":"&lt;sup&gt;1&lt;/sup&gt;","plainTextFormattedCitation":"1","previouslyFormattedCitation":"&lt;sup&gt;1&lt;/sup&gt;"},"properties":{"noteIndex":0},"schema":"https://github.com/citation-style-language/schema/raw/master/csl-citation.json"}</w:instrText>
      </w:r>
      <w:r w:rsidR="009F6310">
        <w:rPr>
          <w:rFonts w:ascii="Times New Roman" w:hAnsi="Times New Roman"/>
          <w:sz w:val="24"/>
          <w:szCs w:val="24"/>
        </w:rPr>
        <w:fldChar w:fldCharType="separate"/>
      </w:r>
      <w:r w:rsidR="008A2BB5" w:rsidRPr="008A2BB5">
        <w:rPr>
          <w:rFonts w:ascii="Times New Roman" w:hAnsi="Times New Roman"/>
          <w:noProof/>
          <w:sz w:val="24"/>
          <w:szCs w:val="24"/>
          <w:vertAlign w:val="superscript"/>
        </w:rPr>
        <w:t>1</w:t>
      </w:r>
      <w:r w:rsidR="009F6310">
        <w:rPr>
          <w:rFonts w:ascii="Times New Roman" w:hAnsi="Times New Roman"/>
          <w:sz w:val="24"/>
          <w:szCs w:val="24"/>
        </w:rPr>
        <w:fldChar w:fldCharType="end"/>
      </w:r>
      <w:r w:rsidR="006D0181" w:rsidRPr="00372862">
        <w:rPr>
          <w:rFonts w:ascii="Times New Roman" w:hAnsi="Times New Roman"/>
          <w:sz w:val="24"/>
          <w:szCs w:val="24"/>
        </w:rPr>
        <w:t>.</w:t>
      </w:r>
      <w:r w:rsidR="00D46767" w:rsidRPr="00372862">
        <w:rPr>
          <w:rFonts w:ascii="Times New Roman" w:hAnsi="Times New Roman"/>
          <w:sz w:val="24"/>
          <w:szCs w:val="24"/>
        </w:rPr>
        <w:t xml:space="preserve"> </w:t>
      </w:r>
      <w:r w:rsidR="006D0181" w:rsidRPr="00372862">
        <w:rPr>
          <w:rFonts w:ascii="Times New Roman" w:hAnsi="Times New Roman"/>
          <w:sz w:val="24"/>
          <w:szCs w:val="24"/>
        </w:rPr>
        <w:t xml:space="preserve">A total of </w:t>
      </w:r>
      <w:r w:rsidR="00241CDF">
        <w:rPr>
          <w:rFonts w:ascii="Times New Roman" w:hAnsi="Times New Roman"/>
          <w:sz w:val="24"/>
          <w:szCs w:val="24"/>
        </w:rPr>
        <w:t>14.7</w:t>
      </w:r>
      <w:r w:rsidR="009209EC" w:rsidRPr="00372862">
        <w:rPr>
          <w:rFonts w:ascii="Times New Roman" w:hAnsi="Times New Roman"/>
          <w:sz w:val="24"/>
          <w:szCs w:val="24"/>
        </w:rPr>
        <w:t>% belonged to</w:t>
      </w:r>
      <w:r w:rsidR="001837FD" w:rsidRPr="00372862">
        <w:rPr>
          <w:rFonts w:ascii="Times New Roman" w:hAnsi="Times New Roman"/>
          <w:sz w:val="24"/>
          <w:szCs w:val="24"/>
        </w:rPr>
        <w:t xml:space="preserve"> trajectory 1 (stable optimal SBP), </w:t>
      </w:r>
      <w:r w:rsidR="009209EC" w:rsidRPr="00372862">
        <w:rPr>
          <w:rFonts w:ascii="Times New Roman" w:hAnsi="Times New Roman"/>
          <w:sz w:val="24"/>
          <w:szCs w:val="24"/>
        </w:rPr>
        <w:t>4</w:t>
      </w:r>
      <w:r w:rsidR="00241CDF">
        <w:rPr>
          <w:rFonts w:ascii="Times New Roman" w:hAnsi="Times New Roman"/>
          <w:sz w:val="24"/>
          <w:szCs w:val="24"/>
        </w:rPr>
        <w:t>5.4</w:t>
      </w:r>
      <w:r w:rsidR="009209EC" w:rsidRPr="00372862">
        <w:rPr>
          <w:rFonts w:ascii="Times New Roman" w:hAnsi="Times New Roman"/>
          <w:sz w:val="24"/>
          <w:szCs w:val="24"/>
        </w:rPr>
        <w:t xml:space="preserve">% to </w:t>
      </w:r>
      <w:r w:rsidR="001837FD" w:rsidRPr="00372862">
        <w:rPr>
          <w:rFonts w:ascii="Times New Roman" w:hAnsi="Times New Roman"/>
          <w:sz w:val="24"/>
          <w:szCs w:val="24"/>
        </w:rPr>
        <w:t>trajectory 2 (stable normal/high normal SBP),</w:t>
      </w:r>
      <w:r w:rsidR="00241CDF">
        <w:rPr>
          <w:rFonts w:ascii="Times New Roman" w:hAnsi="Times New Roman"/>
          <w:sz w:val="24"/>
          <w:szCs w:val="24"/>
        </w:rPr>
        <w:t xml:space="preserve"> 29.9</w:t>
      </w:r>
      <w:r w:rsidR="009209EC" w:rsidRPr="00372862">
        <w:rPr>
          <w:rFonts w:ascii="Times New Roman" w:hAnsi="Times New Roman"/>
          <w:sz w:val="24"/>
          <w:szCs w:val="24"/>
        </w:rPr>
        <w:t xml:space="preserve">% to </w:t>
      </w:r>
      <w:r w:rsidR="001837FD" w:rsidRPr="00372862">
        <w:rPr>
          <w:rFonts w:ascii="Times New Roman" w:hAnsi="Times New Roman"/>
          <w:sz w:val="24"/>
          <w:szCs w:val="24"/>
        </w:rPr>
        <w:t xml:space="preserve">trajectory 3 (stable grade 1 hypertension), </w:t>
      </w:r>
      <w:r w:rsidR="009209EC" w:rsidRPr="00372862">
        <w:rPr>
          <w:rFonts w:ascii="Times New Roman" w:hAnsi="Times New Roman"/>
          <w:sz w:val="24"/>
          <w:szCs w:val="24"/>
        </w:rPr>
        <w:t>2.</w:t>
      </w:r>
      <w:r w:rsidR="00241CDF">
        <w:rPr>
          <w:rFonts w:ascii="Times New Roman" w:hAnsi="Times New Roman"/>
          <w:sz w:val="24"/>
          <w:szCs w:val="24"/>
        </w:rPr>
        <w:t>2</w:t>
      </w:r>
      <w:r w:rsidR="009209EC" w:rsidRPr="00372862">
        <w:rPr>
          <w:rFonts w:ascii="Times New Roman" w:hAnsi="Times New Roman"/>
          <w:sz w:val="24"/>
          <w:szCs w:val="24"/>
        </w:rPr>
        <w:t xml:space="preserve">% to </w:t>
      </w:r>
      <w:r w:rsidR="001837FD" w:rsidRPr="00372862">
        <w:rPr>
          <w:rFonts w:ascii="Times New Roman" w:hAnsi="Times New Roman"/>
          <w:sz w:val="24"/>
          <w:szCs w:val="24"/>
        </w:rPr>
        <w:t xml:space="preserve">trajectory 4 (well-controlled grade 1 hypertension), </w:t>
      </w:r>
      <w:r w:rsidR="009209EC" w:rsidRPr="00372862">
        <w:rPr>
          <w:rFonts w:ascii="Times New Roman" w:hAnsi="Times New Roman"/>
          <w:sz w:val="24"/>
          <w:szCs w:val="24"/>
        </w:rPr>
        <w:t>1.</w:t>
      </w:r>
      <w:r w:rsidR="00241CDF">
        <w:rPr>
          <w:rFonts w:ascii="Times New Roman" w:hAnsi="Times New Roman"/>
          <w:sz w:val="24"/>
          <w:szCs w:val="24"/>
        </w:rPr>
        <w:t>2</w:t>
      </w:r>
      <w:r w:rsidR="009209EC" w:rsidRPr="00372862">
        <w:rPr>
          <w:rFonts w:ascii="Times New Roman" w:hAnsi="Times New Roman"/>
          <w:sz w:val="24"/>
          <w:szCs w:val="24"/>
        </w:rPr>
        <w:t xml:space="preserve">% to </w:t>
      </w:r>
      <w:r w:rsidR="001837FD" w:rsidRPr="00372862">
        <w:rPr>
          <w:rFonts w:ascii="Times New Roman" w:hAnsi="Times New Roman"/>
          <w:sz w:val="24"/>
          <w:szCs w:val="24"/>
        </w:rPr>
        <w:t xml:space="preserve">trajectory 5 (grade 1 </w:t>
      </w:r>
      <w:r w:rsidR="001837FD" w:rsidRPr="00372862">
        <w:rPr>
          <w:rFonts w:ascii="Times New Roman" w:hAnsi="Times New Roman"/>
          <w:sz w:val="24"/>
          <w:szCs w:val="24"/>
        </w:rPr>
        <w:sym w:font="Wingdings" w:char="F0E0"/>
      </w:r>
      <w:r w:rsidR="001837FD" w:rsidRPr="00372862">
        <w:rPr>
          <w:rFonts w:ascii="Times New Roman" w:hAnsi="Times New Roman"/>
          <w:sz w:val="24"/>
          <w:szCs w:val="24"/>
        </w:rPr>
        <w:t xml:space="preserve"> grade 2 hypertension) and</w:t>
      </w:r>
      <w:r w:rsidR="009209EC" w:rsidRPr="00372862">
        <w:rPr>
          <w:rFonts w:ascii="Times New Roman" w:hAnsi="Times New Roman"/>
          <w:sz w:val="24"/>
          <w:szCs w:val="24"/>
        </w:rPr>
        <w:t xml:space="preserve"> </w:t>
      </w:r>
      <w:r w:rsidR="00241CDF">
        <w:rPr>
          <w:rFonts w:ascii="Times New Roman" w:hAnsi="Times New Roman"/>
          <w:sz w:val="24"/>
          <w:szCs w:val="24"/>
        </w:rPr>
        <w:t>6.6</w:t>
      </w:r>
      <w:r w:rsidR="009209EC" w:rsidRPr="00372862">
        <w:rPr>
          <w:rFonts w:ascii="Times New Roman" w:hAnsi="Times New Roman"/>
          <w:sz w:val="24"/>
          <w:szCs w:val="24"/>
        </w:rPr>
        <w:t>% to</w:t>
      </w:r>
      <w:r w:rsidR="001837FD" w:rsidRPr="00372862">
        <w:rPr>
          <w:rFonts w:ascii="Times New Roman" w:hAnsi="Times New Roman"/>
          <w:sz w:val="24"/>
          <w:szCs w:val="24"/>
        </w:rPr>
        <w:t xml:space="preserve"> trajectory 6 (grade 2 </w:t>
      </w:r>
      <w:r w:rsidR="001837FD" w:rsidRPr="00372862">
        <w:rPr>
          <w:rFonts w:ascii="Times New Roman" w:hAnsi="Times New Roman"/>
          <w:sz w:val="24"/>
          <w:szCs w:val="24"/>
        </w:rPr>
        <w:sym w:font="Wingdings" w:char="F0E0"/>
      </w:r>
      <w:r w:rsidR="001837FD" w:rsidRPr="00372862">
        <w:rPr>
          <w:rFonts w:ascii="Times New Roman" w:hAnsi="Times New Roman"/>
          <w:sz w:val="24"/>
          <w:szCs w:val="24"/>
        </w:rPr>
        <w:t xml:space="preserve"> grade 1 hypertension). </w:t>
      </w:r>
      <w:r w:rsidR="00AA29C9" w:rsidRPr="00372862">
        <w:rPr>
          <w:rFonts w:ascii="Times New Roman" w:hAnsi="Times New Roman"/>
          <w:sz w:val="24"/>
          <w:szCs w:val="24"/>
        </w:rPr>
        <w:t xml:space="preserve">Amongst </w:t>
      </w:r>
      <w:r w:rsidR="009445D1">
        <w:rPr>
          <w:rFonts w:ascii="Times New Roman" w:hAnsi="Times New Roman"/>
          <w:sz w:val="24"/>
          <w:szCs w:val="24"/>
        </w:rPr>
        <w:t>women</w:t>
      </w:r>
      <w:r w:rsidR="00AA29C9" w:rsidRPr="00372862">
        <w:rPr>
          <w:rFonts w:ascii="Times New Roman" w:hAnsi="Times New Roman"/>
          <w:sz w:val="24"/>
          <w:szCs w:val="24"/>
        </w:rPr>
        <w:t xml:space="preserve"> included in the mortality analyses, 5 </w:t>
      </w:r>
      <w:r w:rsidR="00543DDC" w:rsidRPr="00372862">
        <w:rPr>
          <w:rFonts w:ascii="Times New Roman" w:hAnsi="Times New Roman"/>
          <w:sz w:val="24"/>
          <w:szCs w:val="24"/>
        </w:rPr>
        <w:t xml:space="preserve">SBP </w:t>
      </w:r>
      <w:r w:rsidR="00AA29C9" w:rsidRPr="00372862">
        <w:rPr>
          <w:rFonts w:ascii="Times New Roman" w:hAnsi="Times New Roman"/>
          <w:sz w:val="24"/>
          <w:szCs w:val="24"/>
        </w:rPr>
        <w:t xml:space="preserve">trajectories were </w:t>
      </w:r>
      <w:r w:rsidR="00543DDC" w:rsidRPr="00372862">
        <w:rPr>
          <w:rFonts w:ascii="Times New Roman" w:hAnsi="Times New Roman"/>
          <w:sz w:val="24"/>
          <w:szCs w:val="24"/>
        </w:rPr>
        <w:t>revealed</w:t>
      </w:r>
      <w:r w:rsidR="00D34011">
        <w:rPr>
          <w:rFonts w:ascii="Times New Roman" w:hAnsi="Times New Roman"/>
          <w:sz w:val="24"/>
          <w:szCs w:val="24"/>
        </w:rPr>
        <w:t>:</w:t>
      </w:r>
      <w:r w:rsidR="00AA29C9" w:rsidRPr="00372862">
        <w:rPr>
          <w:rFonts w:ascii="Times New Roman" w:hAnsi="Times New Roman"/>
          <w:sz w:val="24"/>
          <w:szCs w:val="24"/>
        </w:rPr>
        <w:t xml:space="preserve"> </w:t>
      </w:r>
      <w:r w:rsidR="00241CDF">
        <w:rPr>
          <w:rFonts w:ascii="Times New Roman" w:hAnsi="Times New Roman"/>
          <w:sz w:val="24"/>
          <w:szCs w:val="24"/>
        </w:rPr>
        <w:t>23.6</w:t>
      </w:r>
      <w:r w:rsidR="009209EC" w:rsidRPr="00372862">
        <w:rPr>
          <w:rFonts w:ascii="Times New Roman" w:hAnsi="Times New Roman"/>
          <w:sz w:val="24"/>
          <w:szCs w:val="24"/>
        </w:rPr>
        <w:t>%</w:t>
      </w:r>
      <w:r w:rsidR="00AA29C9" w:rsidRPr="00372862">
        <w:rPr>
          <w:rFonts w:ascii="Times New Roman" w:hAnsi="Times New Roman"/>
          <w:sz w:val="24"/>
          <w:szCs w:val="24"/>
        </w:rPr>
        <w:t xml:space="preserve"> belonged to </w:t>
      </w:r>
      <w:r w:rsidR="008D2403" w:rsidRPr="00372862">
        <w:rPr>
          <w:rFonts w:ascii="Times New Roman" w:hAnsi="Times New Roman"/>
          <w:sz w:val="24"/>
          <w:szCs w:val="24"/>
        </w:rPr>
        <w:t>t</w:t>
      </w:r>
      <w:r w:rsidR="00AA29C9" w:rsidRPr="00372862">
        <w:rPr>
          <w:rFonts w:ascii="Times New Roman" w:hAnsi="Times New Roman"/>
          <w:sz w:val="24"/>
          <w:szCs w:val="24"/>
        </w:rPr>
        <w:t xml:space="preserve">rajectory 1 (stable optimal SBP), </w:t>
      </w:r>
      <w:r w:rsidR="00241CDF">
        <w:rPr>
          <w:rFonts w:ascii="Times New Roman" w:hAnsi="Times New Roman"/>
          <w:sz w:val="24"/>
          <w:szCs w:val="24"/>
        </w:rPr>
        <w:t>44.2</w:t>
      </w:r>
      <w:r w:rsidR="009209EC" w:rsidRPr="00372862">
        <w:rPr>
          <w:rFonts w:ascii="Times New Roman" w:hAnsi="Times New Roman"/>
          <w:sz w:val="24"/>
          <w:szCs w:val="24"/>
        </w:rPr>
        <w:t xml:space="preserve">% to </w:t>
      </w:r>
      <w:r w:rsidR="008D2403" w:rsidRPr="00372862">
        <w:rPr>
          <w:rFonts w:ascii="Times New Roman" w:hAnsi="Times New Roman"/>
          <w:sz w:val="24"/>
          <w:szCs w:val="24"/>
        </w:rPr>
        <w:t>t</w:t>
      </w:r>
      <w:r w:rsidR="00AA29C9" w:rsidRPr="00372862">
        <w:rPr>
          <w:rFonts w:ascii="Times New Roman" w:hAnsi="Times New Roman"/>
          <w:sz w:val="24"/>
          <w:szCs w:val="24"/>
        </w:rPr>
        <w:t>rajectory 2 (</w:t>
      </w:r>
      <w:r w:rsidR="00543DDC" w:rsidRPr="00372862">
        <w:rPr>
          <w:rFonts w:ascii="Times New Roman" w:hAnsi="Times New Roman"/>
          <w:sz w:val="24"/>
          <w:szCs w:val="24"/>
        </w:rPr>
        <w:t>rising</w:t>
      </w:r>
      <w:r w:rsidR="00AA29C9" w:rsidRPr="00372862">
        <w:rPr>
          <w:rFonts w:ascii="Times New Roman" w:hAnsi="Times New Roman"/>
          <w:sz w:val="24"/>
          <w:szCs w:val="24"/>
        </w:rPr>
        <w:t xml:space="preserve"> normal/high normal SBP), </w:t>
      </w:r>
      <w:r w:rsidR="00241CDF">
        <w:rPr>
          <w:rFonts w:ascii="Times New Roman" w:hAnsi="Times New Roman"/>
          <w:sz w:val="24"/>
          <w:szCs w:val="24"/>
        </w:rPr>
        <w:t>26.8</w:t>
      </w:r>
      <w:r w:rsidR="009209EC" w:rsidRPr="00372862">
        <w:rPr>
          <w:rFonts w:ascii="Times New Roman" w:hAnsi="Times New Roman"/>
          <w:sz w:val="24"/>
          <w:szCs w:val="24"/>
        </w:rPr>
        <w:t xml:space="preserve">% to </w:t>
      </w:r>
      <w:r w:rsidR="008D2403" w:rsidRPr="00372862">
        <w:rPr>
          <w:rFonts w:ascii="Times New Roman" w:hAnsi="Times New Roman"/>
          <w:sz w:val="24"/>
          <w:szCs w:val="24"/>
        </w:rPr>
        <w:t>t</w:t>
      </w:r>
      <w:r w:rsidR="00AA29C9" w:rsidRPr="00372862">
        <w:rPr>
          <w:rFonts w:ascii="Times New Roman" w:hAnsi="Times New Roman"/>
          <w:sz w:val="24"/>
          <w:szCs w:val="24"/>
        </w:rPr>
        <w:t xml:space="preserve">rajectory 3 (stable grade 1 hypertension), </w:t>
      </w:r>
      <w:r w:rsidR="009209EC" w:rsidRPr="00372862">
        <w:rPr>
          <w:rFonts w:ascii="Times New Roman" w:hAnsi="Times New Roman"/>
          <w:sz w:val="24"/>
          <w:szCs w:val="24"/>
        </w:rPr>
        <w:t>3.</w:t>
      </w:r>
      <w:r w:rsidR="00241CDF">
        <w:rPr>
          <w:rFonts w:ascii="Times New Roman" w:hAnsi="Times New Roman"/>
          <w:sz w:val="24"/>
          <w:szCs w:val="24"/>
        </w:rPr>
        <w:t>0</w:t>
      </w:r>
      <w:r w:rsidR="009209EC" w:rsidRPr="00372862">
        <w:rPr>
          <w:rFonts w:ascii="Times New Roman" w:hAnsi="Times New Roman"/>
          <w:sz w:val="24"/>
          <w:szCs w:val="24"/>
        </w:rPr>
        <w:t xml:space="preserve">% to </w:t>
      </w:r>
      <w:r w:rsidR="008D2403" w:rsidRPr="00372862">
        <w:rPr>
          <w:rFonts w:ascii="Times New Roman" w:hAnsi="Times New Roman"/>
          <w:sz w:val="24"/>
          <w:szCs w:val="24"/>
        </w:rPr>
        <w:t>t</w:t>
      </w:r>
      <w:r w:rsidR="00AA29C9" w:rsidRPr="00372862">
        <w:rPr>
          <w:rFonts w:ascii="Times New Roman" w:hAnsi="Times New Roman"/>
          <w:sz w:val="24"/>
          <w:szCs w:val="24"/>
        </w:rPr>
        <w:t xml:space="preserve">rajectory 4 (grade 2 </w:t>
      </w:r>
      <w:r w:rsidR="00AA29C9" w:rsidRPr="00372862">
        <w:rPr>
          <w:rFonts w:ascii="Times New Roman" w:hAnsi="Times New Roman"/>
          <w:sz w:val="24"/>
          <w:szCs w:val="24"/>
        </w:rPr>
        <w:sym w:font="Wingdings" w:char="F0E0"/>
      </w:r>
      <w:r w:rsidR="00AA29C9" w:rsidRPr="00372862">
        <w:rPr>
          <w:rFonts w:ascii="Times New Roman" w:hAnsi="Times New Roman"/>
          <w:sz w:val="24"/>
          <w:szCs w:val="24"/>
        </w:rPr>
        <w:t xml:space="preserve"> grade 1 hypertension) and </w:t>
      </w:r>
      <w:r w:rsidR="009209EC" w:rsidRPr="00372862">
        <w:rPr>
          <w:rFonts w:ascii="Times New Roman" w:hAnsi="Times New Roman"/>
          <w:sz w:val="24"/>
          <w:szCs w:val="24"/>
        </w:rPr>
        <w:t>2.</w:t>
      </w:r>
      <w:r w:rsidR="00241CDF">
        <w:rPr>
          <w:rFonts w:ascii="Times New Roman" w:hAnsi="Times New Roman"/>
          <w:sz w:val="24"/>
          <w:szCs w:val="24"/>
        </w:rPr>
        <w:t>4</w:t>
      </w:r>
      <w:r w:rsidR="009209EC" w:rsidRPr="00372862">
        <w:rPr>
          <w:rFonts w:ascii="Times New Roman" w:hAnsi="Times New Roman"/>
          <w:sz w:val="24"/>
          <w:szCs w:val="24"/>
        </w:rPr>
        <w:t xml:space="preserve">% to </w:t>
      </w:r>
      <w:r w:rsidR="008D2403" w:rsidRPr="00372862">
        <w:rPr>
          <w:rFonts w:ascii="Times New Roman" w:hAnsi="Times New Roman"/>
          <w:sz w:val="24"/>
          <w:szCs w:val="24"/>
        </w:rPr>
        <w:t>t</w:t>
      </w:r>
      <w:r w:rsidR="00AA29C9" w:rsidRPr="00372862">
        <w:rPr>
          <w:rFonts w:ascii="Times New Roman" w:hAnsi="Times New Roman"/>
          <w:sz w:val="24"/>
          <w:szCs w:val="24"/>
        </w:rPr>
        <w:t xml:space="preserve">rajectory 5 (grade 1 </w:t>
      </w:r>
      <w:r w:rsidR="00AA29C9" w:rsidRPr="00372862">
        <w:rPr>
          <w:rFonts w:ascii="Times New Roman" w:hAnsi="Times New Roman"/>
          <w:sz w:val="24"/>
          <w:szCs w:val="24"/>
        </w:rPr>
        <w:sym w:font="Wingdings" w:char="F0E0"/>
      </w:r>
      <w:r w:rsidR="00AA29C9" w:rsidRPr="00372862">
        <w:rPr>
          <w:rFonts w:ascii="Times New Roman" w:hAnsi="Times New Roman"/>
          <w:sz w:val="24"/>
          <w:szCs w:val="24"/>
        </w:rPr>
        <w:t xml:space="preserve"> grade 2 hypertension), respectively. </w:t>
      </w:r>
    </w:p>
    <w:p w14:paraId="3C5CAB82" w14:textId="541FB0FB" w:rsidR="00543DDC" w:rsidRPr="00372862" w:rsidRDefault="00543DDC" w:rsidP="00411115">
      <w:pPr>
        <w:spacing w:line="360" w:lineRule="auto"/>
        <w:rPr>
          <w:rFonts w:ascii="Times New Roman" w:hAnsi="Times New Roman"/>
          <w:sz w:val="24"/>
          <w:szCs w:val="24"/>
        </w:rPr>
      </w:pPr>
      <w:r w:rsidRPr="00372862">
        <w:rPr>
          <w:rFonts w:ascii="Times New Roman" w:hAnsi="Times New Roman"/>
          <w:sz w:val="24"/>
          <w:szCs w:val="24"/>
        </w:rPr>
        <w:t xml:space="preserve">Amongst </w:t>
      </w:r>
      <w:r w:rsidR="009445D1">
        <w:rPr>
          <w:rFonts w:ascii="Times New Roman" w:hAnsi="Times New Roman"/>
          <w:sz w:val="24"/>
          <w:szCs w:val="24"/>
        </w:rPr>
        <w:t>men</w:t>
      </w:r>
      <w:r w:rsidR="00D34011">
        <w:rPr>
          <w:rFonts w:ascii="Times New Roman" w:hAnsi="Times New Roman"/>
          <w:sz w:val="24"/>
          <w:szCs w:val="24"/>
        </w:rPr>
        <w:t xml:space="preserve"> </w:t>
      </w:r>
      <w:r w:rsidRPr="00372862">
        <w:rPr>
          <w:rFonts w:ascii="Times New Roman" w:hAnsi="Times New Roman"/>
          <w:sz w:val="24"/>
          <w:szCs w:val="24"/>
        </w:rPr>
        <w:t xml:space="preserve">included in the incident CVD analyses, 5 SBP trajectories were </w:t>
      </w:r>
      <w:r w:rsidR="001569C6">
        <w:rPr>
          <w:rFonts w:ascii="Times New Roman" w:hAnsi="Times New Roman"/>
          <w:sz w:val="24"/>
          <w:szCs w:val="24"/>
        </w:rPr>
        <w:t>revealed</w:t>
      </w:r>
      <w:r w:rsidR="00251962">
        <w:rPr>
          <w:rFonts w:ascii="Times New Roman" w:hAnsi="Times New Roman"/>
          <w:sz w:val="24"/>
          <w:szCs w:val="24"/>
        </w:rPr>
        <w:t xml:space="preserve"> (Figure 3</w:t>
      </w:r>
      <w:r w:rsidR="0044287A">
        <w:rPr>
          <w:rFonts w:ascii="Times New Roman" w:hAnsi="Times New Roman"/>
          <w:sz w:val="24"/>
          <w:szCs w:val="24"/>
        </w:rPr>
        <w:t xml:space="preserve"> and Supplementary Table 3</w:t>
      </w:r>
      <w:r w:rsidR="00251962">
        <w:rPr>
          <w:rFonts w:ascii="Times New Roman" w:hAnsi="Times New Roman"/>
          <w:sz w:val="24"/>
          <w:szCs w:val="24"/>
        </w:rPr>
        <w:t>)</w:t>
      </w:r>
      <w:r w:rsidR="00D34011">
        <w:rPr>
          <w:rFonts w:ascii="Times New Roman" w:hAnsi="Times New Roman"/>
          <w:sz w:val="24"/>
          <w:szCs w:val="24"/>
        </w:rPr>
        <w:t>:</w:t>
      </w:r>
      <w:r w:rsidRPr="00372862">
        <w:rPr>
          <w:rFonts w:ascii="Times New Roman" w:hAnsi="Times New Roman"/>
          <w:sz w:val="24"/>
          <w:szCs w:val="24"/>
        </w:rPr>
        <w:t xml:space="preserve"> </w:t>
      </w:r>
      <w:r w:rsidR="00081C19">
        <w:rPr>
          <w:rFonts w:ascii="Times New Roman" w:hAnsi="Times New Roman"/>
          <w:sz w:val="24"/>
          <w:szCs w:val="24"/>
        </w:rPr>
        <w:t>19.4</w:t>
      </w:r>
      <w:r w:rsidR="009209EC" w:rsidRPr="00081C19">
        <w:rPr>
          <w:rFonts w:ascii="Times New Roman" w:hAnsi="Times New Roman"/>
          <w:sz w:val="24"/>
          <w:szCs w:val="24"/>
        </w:rPr>
        <w:t>%</w:t>
      </w:r>
      <w:r w:rsidRPr="00081C19">
        <w:rPr>
          <w:rFonts w:ascii="Times New Roman" w:hAnsi="Times New Roman"/>
          <w:sz w:val="24"/>
          <w:szCs w:val="24"/>
        </w:rPr>
        <w:t xml:space="preserve"> belonged to </w:t>
      </w:r>
      <w:r w:rsidR="008D2403" w:rsidRPr="00081C19">
        <w:rPr>
          <w:rFonts w:ascii="Times New Roman" w:hAnsi="Times New Roman"/>
          <w:sz w:val="24"/>
          <w:szCs w:val="24"/>
        </w:rPr>
        <w:t>t</w:t>
      </w:r>
      <w:r w:rsidRPr="00081C19">
        <w:rPr>
          <w:rFonts w:ascii="Times New Roman" w:hAnsi="Times New Roman"/>
          <w:sz w:val="24"/>
          <w:szCs w:val="24"/>
        </w:rPr>
        <w:t xml:space="preserve">rajectory 1 (borderline stable optimal SBP), </w:t>
      </w:r>
      <w:r w:rsidR="00081C19">
        <w:rPr>
          <w:rFonts w:ascii="Times New Roman" w:hAnsi="Times New Roman"/>
          <w:sz w:val="24"/>
          <w:szCs w:val="24"/>
        </w:rPr>
        <w:t>50.2</w:t>
      </w:r>
      <w:r w:rsidR="009209EC" w:rsidRPr="00081C19">
        <w:rPr>
          <w:rFonts w:ascii="Times New Roman" w:hAnsi="Times New Roman"/>
          <w:sz w:val="24"/>
          <w:szCs w:val="24"/>
        </w:rPr>
        <w:t xml:space="preserve">% to </w:t>
      </w:r>
      <w:r w:rsidR="008D2403" w:rsidRPr="00081C19">
        <w:rPr>
          <w:rFonts w:ascii="Times New Roman" w:hAnsi="Times New Roman"/>
          <w:sz w:val="24"/>
          <w:szCs w:val="24"/>
        </w:rPr>
        <w:t>t</w:t>
      </w:r>
      <w:r w:rsidRPr="00081C19">
        <w:rPr>
          <w:rFonts w:ascii="Times New Roman" w:hAnsi="Times New Roman"/>
          <w:sz w:val="24"/>
          <w:szCs w:val="24"/>
        </w:rPr>
        <w:t xml:space="preserve">rajectory 2 (rising normal/high normal SBP), </w:t>
      </w:r>
      <w:r w:rsidR="00241CDF" w:rsidRPr="00081C19">
        <w:rPr>
          <w:rFonts w:ascii="Times New Roman" w:hAnsi="Times New Roman"/>
          <w:sz w:val="24"/>
          <w:szCs w:val="24"/>
        </w:rPr>
        <w:t>21.</w:t>
      </w:r>
      <w:r w:rsidR="00081C19">
        <w:rPr>
          <w:rFonts w:ascii="Times New Roman" w:hAnsi="Times New Roman"/>
          <w:sz w:val="24"/>
          <w:szCs w:val="24"/>
        </w:rPr>
        <w:t>3</w:t>
      </w:r>
      <w:r w:rsidR="009209EC" w:rsidRPr="00081C19">
        <w:rPr>
          <w:rFonts w:ascii="Times New Roman" w:hAnsi="Times New Roman"/>
          <w:sz w:val="24"/>
          <w:szCs w:val="24"/>
        </w:rPr>
        <w:t xml:space="preserve">% to </w:t>
      </w:r>
      <w:r w:rsidR="008D2403" w:rsidRPr="00081C19">
        <w:rPr>
          <w:rFonts w:ascii="Times New Roman" w:hAnsi="Times New Roman"/>
          <w:sz w:val="24"/>
          <w:szCs w:val="24"/>
        </w:rPr>
        <w:t>t</w:t>
      </w:r>
      <w:r w:rsidRPr="00081C19">
        <w:rPr>
          <w:rFonts w:ascii="Times New Roman" w:hAnsi="Times New Roman"/>
          <w:sz w:val="24"/>
          <w:szCs w:val="24"/>
        </w:rPr>
        <w:t xml:space="preserve">rajectory 3 (rising grade 1 hypertension), </w:t>
      </w:r>
      <w:r w:rsidR="00081C19">
        <w:rPr>
          <w:rFonts w:ascii="Times New Roman" w:hAnsi="Times New Roman"/>
          <w:sz w:val="24"/>
          <w:szCs w:val="24"/>
        </w:rPr>
        <w:t>4.1</w:t>
      </w:r>
      <w:r w:rsidR="009209EC" w:rsidRPr="00081C19">
        <w:rPr>
          <w:rFonts w:ascii="Times New Roman" w:hAnsi="Times New Roman"/>
          <w:sz w:val="24"/>
          <w:szCs w:val="24"/>
        </w:rPr>
        <w:t xml:space="preserve">% to </w:t>
      </w:r>
      <w:r w:rsidR="008D2403" w:rsidRPr="00081C19">
        <w:rPr>
          <w:rFonts w:ascii="Times New Roman" w:hAnsi="Times New Roman"/>
          <w:sz w:val="24"/>
          <w:szCs w:val="24"/>
        </w:rPr>
        <w:t>t</w:t>
      </w:r>
      <w:r w:rsidRPr="00081C19">
        <w:rPr>
          <w:rFonts w:ascii="Times New Roman" w:hAnsi="Times New Roman"/>
          <w:sz w:val="24"/>
          <w:szCs w:val="24"/>
        </w:rPr>
        <w:t xml:space="preserve">rajectory 4 (grade 1 hypertension </w:t>
      </w:r>
      <w:r w:rsidRPr="00081C19">
        <w:rPr>
          <w:rFonts w:ascii="Times New Roman" w:hAnsi="Times New Roman"/>
          <w:sz w:val="24"/>
          <w:szCs w:val="24"/>
        </w:rPr>
        <w:sym w:font="Wingdings" w:char="F0E0"/>
      </w:r>
      <w:r w:rsidRPr="00081C19">
        <w:rPr>
          <w:rFonts w:ascii="Times New Roman" w:hAnsi="Times New Roman"/>
          <w:sz w:val="24"/>
          <w:szCs w:val="24"/>
        </w:rPr>
        <w:t xml:space="preserve"> high-normal SBP) and</w:t>
      </w:r>
      <w:r w:rsidR="00B438B3" w:rsidRPr="00081C19">
        <w:rPr>
          <w:rFonts w:ascii="Times New Roman" w:hAnsi="Times New Roman"/>
          <w:sz w:val="24"/>
          <w:szCs w:val="24"/>
        </w:rPr>
        <w:t xml:space="preserve"> </w:t>
      </w:r>
      <w:r w:rsidR="00081C19">
        <w:rPr>
          <w:rFonts w:ascii="Times New Roman" w:hAnsi="Times New Roman"/>
          <w:sz w:val="24"/>
          <w:szCs w:val="24"/>
        </w:rPr>
        <w:t>5.0</w:t>
      </w:r>
      <w:r w:rsidR="00B438B3" w:rsidRPr="00081C19">
        <w:rPr>
          <w:rFonts w:ascii="Times New Roman" w:hAnsi="Times New Roman"/>
          <w:sz w:val="24"/>
          <w:szCs w:val="24"/>
        </w:rPr>
        <w:t>% to</w:t>
      </w:r>
      <w:r w:rsidRPr="00081C19">
        <w:rPr>
          <w:rFonts w:ascii="Times New Roman" w:hAnsi="Times New Roman"/>
          <w:sz w:val="24"/>
          <w:szCs w:val="24"/>
        </w:rPr>
        <w:t xml:space="preserve"> </w:t>
      </w:r>
      <w:r w:rsidR="008D2403" w:rsidRPr="00081C19">
        <w:rPr>
          <w:rFonts w:ascii="Times New Roman" w:hAnsi="Times New Roman"/>
          <w:sz w:val="24"/>
          <w:szCs w:val="24"/>
        </w:rPr>
        <w:t>t</w:t>
      </w:r>
      <w:r w:rsidRPr="00081C19">
        <w:rPr>
          <w:rFonts w:ascii="Times New Roman" w:hAnsi="Times New Roman"/>
          <w:sz w:val="24"/>
          <w:szCs w:val="24"/>
        </w:rPr>
        <w:t xml:space="preserve">rajectory 5 (grade 2 </w:t>
      </w:r>
      <w:r w:rsidRPr="00081C19">
        <w:rPr>
          <w:rFonts w:ascii="Times New Roman" w:hAnsi="Times New Roman"/>
          <w:sz w:val="24"/>
          <w:szCs w:val="24"/>
        </w:rPr>
        <w:sym w:font="Wingdings" w:char="F0E0"/>
      </w:r>
      <w:r w:rsidRPr="00081C19">
        <w:rPr>
          <w:rFonts w:ascii="Times New Roman" w:hAnsi="Times New Roman"/>
          <w:sz w:val="24"/>
          <w:szCs w:val="24"/>
        </w:rPr>
        <w:t xml:space="preserve"> grade 1 hypertension). Amongst </w:t>
      </w:r>
      <w:r w:rsidR="009445D1" w:rsidRPr="00081C19">
        <w:rPr>
          <w:rFonts w:ascii="Times New Roman" w:hAnsi="Times New Roman"/>
          <w:sz w:val="24"/>
          <w:szCs w:val="24"/>
        </w:rPr>
        <w:t>women</w:t>
      </w:r>
      <w:r w:rsidRPr="00081C19">
        <w:rPr>
          <w:rFonts w:ascii="Times New Roman" w:hAnsi="Times New Roman"/>
          <w:sz w:val="24"/>
          <w:szCs w:val="24"/>
        </w:rPr>
        <w:t xml:space="preserve"> included in the incident CVD analyses, </w:t>
      </w:r>
      <w:r w:rsidR="00D34011" w:rsidRPr="00081C19">
        <w:rPr>
          <w:rFonts w:ascii="Times New Roman" w:hAnsi="Times New Roman"/>
          <w:sz w:val="24"/>
          <w:szCs w:val="24"/>
        </w:rPr>
        <w:t xml:space="preserve">there were </w:t>
      </w:r>
      <w:r w:rsidRPr="00081C19">
        <w:rPr>
          <w:rFonts w:ascii="Times New Roman" w:hAnsi="Times New Roman"/>
          <w:sz w:val="24"/>
          <w:szCs w:val="24"/>
        </w:rPr>
        <w:t>5 similar SBP trajectories</w:t>
      </w:r>
      <w:r w:rsidR="00D34011" w:rsidRPr="00081C19">
        <w:rPr>
          <w:rFonts w:ascii="Times New Roman" w:hAnsi="Times New Roman"/>
          <w:sz w:val="24"/>
          <w:szCs w:val="24"/>
        </w:rPr>
        <w:t xml:space="preserve">: </w:t>
      </w:r>
      <w:r w:rsidR="00081C19">
        <w:rPr>
          <w:rFonts w:ascii="Times New Roman" w:hAnsi="Times New Roman"/>
          <w:sz w:val="24"/>
          <w:szCs w:val="24"/>
        </w:rPr>
        <w:t>12.6</w:t>
      </w:r>
      <w:r w:rsidR="00782A5A" w:rsidRPr="00081C19">
        <w:rPr>
          <w:rFonts w:ascii="Times New Roman" w:hAnsi="Times New Roman"/>
          <w:sz w:val="24"/>
          <w:szCs w:val="24"/>
        </w:rPr>
        <w:t>%</w:t>
      </w:r>
      <w:r w:rsidR="008E697C" w:rsidRPr="00081C19">
        <w:rPr>
          <w:rFonts w:ascii="Times New Roman" w:hAnsi="Times New Roman"/>
          <w:sz w:val="24"/>
          <w:szCs w:val="24"/>
        </w:rPr>
        <w:t xml:space="preserve"> belonged to </w:t>
      </w:r>
      <w:r w:rsidR="008D2403" w:rsidRPr="00081C19">
        <w:rPr>
          <w:rFonts w:ascii="Times New Roman" w:hAnsi="Times New Roman"/>
          <w:sz w:val="24"/>
          <w:szCs w:val="24"/>
        </w:rPr>
        <w:t>t</w:t>
      </w:r>
      <w:r w:rsidR="008E697C" w:rsidRPr="00081C19">
        <w:rPr>
          <w:rFonts w:ascii="Times New Roman" w:hAnsi="Times New Roman"/>
          <w:sz w:val="24"/>
          <w:szCs w:val="24"/>
        </w:rPr>
        <w:t xml:space="preserve">rajectory 1 (stable optimal SBP), </w:t>
      </w:r>
      <w:r w:rsidR="00081C19">
        <w:rPr>
          <w:rFonts w:ascii="Times New Roman" w:hAnsi="Times New Roman"/>
          <w:sz w:val="24"/>
          <w:szCs w:val="24"/>
        </w:rPr>
        <w:t>37.8</w:t>
      </w:r>
      <w:r w:rsidR="00782A5A" w:rsidRPr="00081C19">
        <w:rPr>
          <w:rFonts w:ascii="Times New Roman" w:hAnsi="Times New Roman"/>
          <w:sz w:val="24"/>
          <w:szCs w:val="24"/>
        </w:rPr>
        <w:t xml:space="preserve">% to </w:t>
      </w:r>
      <w:r w:rsidR="008D2403" w:rsidRPr="00081C19">
        <w:rPr>
          <w:rFonts w:ascii="Times New Roman" w:hAnsi="Times New Roman"/>
          <w:sz w:val="24"/>
          <w:szCs w:val="24"/>
        </w:rPr>
        <w:t>t</w:t>
      </w:r>
      <w:r w:rsidR="008E697C" w:rsidRPr="00081C19">
        <w:rPr>
          <w:rFonts w:ascii="Times New Roman" w:hAnsi="Times New Roman"/>
          <w:sz w:val="24"/>
          <w:szCs w:val="24"/>
        </w:rPr>
        <w:t xml:space="preserve">rajectory 2 (rising normal/high-normal SBP), </w:t>
      </w:r>
      <w:r w:rsidR="00081C19">
        <w:rPr>
          <w:rFonts w:ascii="Times New Roman" w:hAnsi="Times New Roman"/>
          <w:sz w:val="24"/>
          <w:szCs w:val="24"/>
        </w:rPr>
        <w:t>37.2</w:t>
      </w:r>
      <w:r w:rsidR="00782A5A" w:rsidRPr="00081C19">
        <w:rPr>
          <w:rFonts w:ascii="Times New Roman" w:hAnsi="Times New Roman"/>
          <w:sz w:val="24"/>
          <w:szCs w:val="24"/>
        </w:rPr>
        <w:t xml:space="preserve">% to </w:t>
      </w:r>
      <w:r w:rsidR="008D2403" w:rsidRPr="00081C19">
        <w:rPr>
          <w:rFonts w:ascii="Times New Roman" w:hAnsi="Times New Roman"/>
          <w:sz w:val="24"/>
          <w:szCs w:val="24"/>
        </w:rPr>
        <w:t>t</w:t>
      </w:r>
      <w:r w:rsidR="008E697C" w:rsidRPr="00081C19">
        <w:rPr>
          <w:rFonts w:ascii="Times New Roman" w:hAnsi="Times New Roman"/>
          <w:sz w:val="24"/>
          <w:szCs w:val="24"/>
        </w:rPr>
        <w:t xml:space="preserve">rajectory 3 (high-normal SBP </w:t>
      </w:r>
      <w:r w:rsidR="008E697C" w:rsidRPr="00081C19">
        <w:rPr>
          <w:rFonts w:ascii="Times New Roman" w:hAnsi="Times New Roman"/>
          <w:sz w:val="24"/>
          <w:szCs w:val="24"/>
        </w:rPr>
        <w:sym w:font="Wingdings" w:char="F0E0"/>
      </w:r>
      <w:r w:rsidR="008E697C" w:rsidRPr="00081C19">
        <w:rPr>
          <w:rFonts w:ascii="Times New Roman" w:hAnsi="Times New Roman"/>
          <w:sz w:val="24"/>
          <w:szCs w:val="24"/>
        </w:rPr>
        <w:t xml:space="preserve"> grade 1 hypertension), </w:t>
      </w:r>
      <w:r w:rsidR="00081C19" w:rsidRPr="00081C19">
        <w:rPr>
          <w:rFonts w:ascii="Times New Roman" w:hAnsi="Times New Roman"/>
          <w:sz w:val="24"/>
          <w:szCs w:val="24"/>
        </w:rPr>
        <w:t>2.</w:t>
      </w:r>
      <w:r w:rsidR="00081C19">
        <w:rPr>
          <w:rFonts w:ascii="Times New Roman" w:hAnsi="Times New Roman"/>
          <w:sz w:val="24"/>
          <w:szCs w:val="24"/>
        </w:rPr>
        <w:t>4</w:t>
      </w:r>
      <w:r w:rsidR="00081C19" w:rsidRPr="00081C19">
        <w:rPr>
          <w:rFonts w:ascii="Times New Roman" w:hAnsi="Times New Roman"/>
          <w:sz w:val="24"/>
          <w:szCs w:val="24"/>
        </w:rPr>
        <w:t xml:space="preserve">% to </w:t>
      </w:r>
      <w:r w:rsidR="00081C19" w:rsidRPr="00F66CB1">
        <w:rPr>
          <w:rFonts w:ascii="Times New Roman" w:hAnsi="Times New Roman"/>
          <w:sz w:val="24"/>
          <w:szCs w:val="24"/>
        </w:rPr>
        <w:t xml:space="preserve">trajectory </w:t>
      </w:r>
      <w:r w:rsidR="00081C19">
        <w:rPr>
          <w:rFonts w:ascii="Times New Roman" w:hAnsi="Times New Roman"/>
          <w:sz w:val="24"/>
          <w:szCs w:val="24"/>
        </w:rPr>
        <w:t>4</w:t>
      </w:r>
      <w:r w:rsidR="00081C19" w:rsidRPr="00F66CB1">
        <w:rPr>
          <w:rFonts w:ascii="Times New Roman" w:hAnsi="Times New Roman"/>
          <w:sz w:val="24"/>
          <w:szCs w:val="24"/>
        </w:rPr>
        <w:t xml:space="preserve"> (grade 1 </w:t>
      </w:r>
      <w:r w:rsidR="00081C19" w:rsidRPr="00081C19">
        <w:rPr>
          <w:rFonts w:ascii="Times New Roman" w:hAnsi="Times New Roman"/>
          <w:sz w:val="24"/>
          <w:szCs w:val="24"/>
        </w:rPr>
        <w:sym w:font="Wingdings" w:char="F0E0"/>
      </w:r>
      <w:r w:rsidR="00081C19" w:rsidRPr="00081C19">
        <w:rPr>
          <w:rFonts w:ascii="Times New Roman" w:hAnsi="Times New Roman"/>
          <w:sz w:val="24"/>
          <w:szCs w:val="24"/>
        </w:rPr>
        <w:t xml:space="preserve"> grade 2 hypertension)</w:t>
      </w:r>
      <w:r w:rsidR="00081C19">
        <w:rPr>
          <w:rFonts w:ascii="Times New Roman" w:hAnsi="Times New Roman"/>
          <w:sz w:val="24"/>
          <w:szCs w:val="24"/>
        </w:rPr>
        <w:t xml:space="preserve"> and 9.9</w:t>
      </w:r>
      <w:r w:rsidR="00782A5A" w:rsidRPr="00081C19">
        <w:rPr>
          <w:rFonts w:ascii="Times New Roman" w:hAnsi="Times New Roman"/>
          <w:sz w:val="24"/>
          <w:szCs w:val="24"/>
        </w:rPr>
        <w:t xml:space="preserve">% to </w:t>
      </w:r>
      <w:r w:rsidR="008D2403" w:rsidRPr="00081C19">
        <w:rPr>
          <w:rFonts w:ascii="Times New Roman" w:hAnsi="Times New Roman"/>
          <w:sz w:val="24"/>
          <w:szCs w:val="24"/>
        </w:rPr>
        <w:t>t</w:t>
      </w:r>
      <w:r w:rsidR="008E697C" w:rsidRPr="00081C19">
        <w:rPr>
          <w:rFonts w:ascii="Times New Roman" w:hAnsi="Times New Roman"/>
          <w:sz w:val="24"/>
          <w:szCs w:val="24"/>
        </w:rPr>
        <w:t xml:space="preserve">rajectory </w:t>
      </w:r>
      <w:r w:rsidR="00081C19">
        <w:rPr>
          <w:rFonts w:ascii="Times New Roman" w:hAnsi="Times New Roman"/>
          <w:sz w:val="24"/>
          <w:szCs w:val="24"/>
        </w:rPr>
        <w:t>5</w:t>
      </w:r>
      <w:r w:rsidR="00081C19" w:rsidRPr="00081C19">
        <w:rPr>
          <w:rFonts w:ascii="Times New Roman" w:hAnsi="Times New Roman"/>
          <w:sz w:val="24"/>
          <w:szCs w:val="24"/>
        </w:rPr>
        <w:t xml:space="preserve"> </w:t>
      </w:r>
      <w:r w:rsidR="008E697C" w:rsidRPr="00081C19">
        <w:rPr>
          <w:rFonts w:ascii="Times New Roman" w:hAnsi="Times New Roman"/>
          <w:sz w:val="24"/>
          <w:szCs w:val="24"/>
        </w:rPr>
        <w:t xml:space="preserve">(decreasing grade 1 hypertension) and </w:t>
      </w:r>
    </w:p>
    <w:p w14:paraId="7A11CBE4" w14:textId="29640CFB" w:rsidR="006E2937" w:rsidRPr="00372862" w:rsidRDefault="006E2937" w:rsidP="00411115">
      <w:pPr>
        <w:spacing w:line="360" w:lineRule="auto"/>
        <w:rPr>
          <w:rFonts w:ascii="Times New Roman" w:hAnsi="Times New Roman"/>
          <w:sz w:val="24"/>
          <w:szCs w:val="24"/>
        </w:rPr>
      </w:pPr>
      <w:r w:rsidRPr="00372862">
        <w:rPr>
          <w:rFonts w:ascii="Times New Roman" w:hAnsi="Times New Roman"/>
          <w:sz w:val="24"/>
          <w:szCs w:val="24"/>
        </w:rPr>
        <w:t xml:space="preserve">All analysed groups revealed 5 distinct DBP trajectories, which </w:t>
      </w:r>
      <w:r w:rsidR="00D34011">
        <w:rPr>
          <w:rFonts w:ascii="Times New Roman" w:hAnsi="Times New Roman"/>
          <w:sz w:val="24"/>
          <w:szCs w:val="24"/>
        </w:rPr>
        <w:t>were</w:t>
      </w:r>
      <w:r w:rsidR="00BD460C" w:rsidRPr="00372862">
        <w:rPr>
          <w:rFonts w:ascii="Times New Roman" w:hAnsi="Times New Roman"/>
          <w:sz w:val="24"/>
          <w:szCs w:val="24"/>
        </w:rPr>
        <w:t xml:space="preserve"> similar in all groups: trajectory 1 (low optimal DBP), trajectory 2 (high optimal DBP), trajectory 3 (normal/high-normal DBP), trajectory 4 (grade 1 hypertension </w:t>
      </w:r>
      <w:r w:rsidR="00BD460C" w:rsidRPr="00372862">
        <w:rPr>
          <w:rFonts w:ascii="Times New Roman" w:hAnsi="Times New Roman"/>
          <w:sz w:val="24"/>
          <w:szCs w:val="24"/>
        </w:rPr>
        <w:sym w:font="Wingdings" w:char="F0E0"/>
      </w:r>
      <w:r w:rsidR="00BD460C" w:rsidRPr="00372862">
        <w:rPr>
          <w:rFonts w:ascii="Times New Roman" w:hAnsi="Times New Roman"/>
          <w:sz w:val="24"/>
          <w:szCs w:val="24"/>
        </w:rPr>
        <w:t xml:space="preserve"> normal DBP) and trajectory 5 (stable grade 1/grade 2 hypertension).</w:t>
      </w:r>
    </w:p>
    <w:p w14:paraId="5DE7E030" w14:textId="0C3C92BA" w:rsidR="00411115" w:rsidRPr="00372862" w:rsidRDefault="00446CED" w:rsidP="00411115">
      <w:pPr>
        <w:spacing w:line="360" w:lineRule="auto"/>
        <w:rPr>
          <w:rFonts w:ascii="Times New Roman" w:hAnsi="Times New Roman"/>
          <w:i/>
          <w:iCs/>
          <w:sz w:val="24"/>
          <w:szCs w:val="24"/>
        </w:rPr>
      </w:pPr>
      <w:r w:rsidRPr="00372862">
        <w:rPr>
          <w:rFonts w:ascii="Times New Roman" w:hAnsi="Times New Roman"/>
          <w:i/>
          <w:iCs/>
          <w:sz w:val="24"/>
          <w:szCs w:val="24"/>
        </w:rPr>
        <w:t>Cox Regression Analyses</w:t>
      </w:r>
    </w:p>
    <w:p w14:paraId="0AD5A3A5" w14:textId="7883DE58" w:rsidR="00BD460C" w:rsidRPr="00D43672" w:rsidRDefault="00D34011" w:rsidP="00411115">
      <w:pPr>
        <w:spacing w:line="360" w:lineRule="auto"/>
        <w:rPr>
          <w:rFonts w:ascii="Times New Roman" w:hAnsi="Times New Roman"/>
          <w:sz w:val="24"/>
          <w:szCs w:val="24"/>
        </w:rPr>
      </w:pPr>
      <w:r w:rsidRPr="00375115">
        <w:rPr>
          <w:rFonts w:ascii="Times New Roman" w:hAnsi="Times New Roman"/>
          <w:sz w:val="24"/>
          <w:szCs w:val="24"/>
        </w:rPr>
        <w:lastRenderedPageBreak/>
        <w:t>Median follow-up</w:t>
      </w:r>
      <w:r w:rsidR="005923E6" w:rsidRPr="00375115">
        <w:rPr>
          <w:rFonts w:ascii="Times New Roman" w:hAnsi="Times New Roman"/>
          <w:sz w:val="24"/>
          <w:szCs w:val="24"/>
        </w:rPr>
        <w:t xml:space="preserve"> periods</w:t>
      </w:r>
      <w:r w:rsidRPr="00685C47">
        <w:rPr>
          <w:rFonts w:ascii="Times New Roman" w:hAnsi="Times New Roman"/>
          <w:sz w:val="24"/>
          <w:szCs w:val="24"/>
        </w:rPr>
        <w:t xml:space="preserve"> (interquartile range) w</w:t>
      </w:r>
      <w:r w:rsidR="005923E6" w:rsidRPr="00D43672">
        <w:rPr>
          <w:rFonts w:ascii="Times New Roman" w:hAnsi="Times New Roman"/>
          <w:sz w:val="24"/>
          <w:szCs w:val="24"/>
        </w:rPr>
        <w:t>ere</w:t>
      </w:r>
      <w:r w:rsidRPr="00D43672">
        <w:rPr>
          <w:rFonts w:ascii="Times New Roman" w:hAnsi="Times New Roman"/>
          <w:sz w:val="24"/>
          <w:szCs w:val="24"/>
        </w:rPr>
        <w:t xml:space="preserve"> 9.4 (8.0-10.9) and 9.4 (7.8-11.0) </w:t>
      </w:r>
      <w:r w:rsidR="005923E6" w:rsidRPr="005A203C">
        <w:rPr>
          <w:rFonts w:ascii="Times New Roman" w:hAnsi="Times New Roman"/>
          <w:sz w:val="24"/>
          <w:szCs w:val="24"/>
        </w:rPr>
        <w:t xml:space="preserve">years </w:t>
      </w:r>
      <w:r w:rsidRPr="00375115">
        <w:rPr>
          <w:rFonts w:ascii="Times New Roman" w:hAnsi="Times New Roman"/>
          <w:sz w:val="24"/>
          <w:szCs w:val="24"/>
        </w:rPr>
        <w:t xml:space="preserve">for </w:t>
      </w:r>
      <w:r w:rsidR="009445D1" w:rsidRPr="00375115">
        <w:rPr>
          <w:rFonts w:ascii="Times New Roman" w:hAnsi="Times New Roman"/>
          <w:sz w:val="24"/>
          <w:szCs w:val="24"/>
        </w:rPr>
        <w:t>men</w:t>
      </w:r>
      <w:r w:rsidRPr="00375115">
        <w:rPr>
          <w:rFonts w:ascii="Times New Roman" w:hAnsi="Times New Roman"/>
          <w:sz w:val="24"/>
          <w:szCs w:val="24"/>
        </w:rPr>
        <w:t xml:space="preserve"> and </w:t>
      </w:r>
      <w:r w:rsidR="009445D1" w:rsidRPr="00375115">
        <w:rPr>
          <w:rFonts w:ascii="Times New Roman" w:hAnsi="Times New Roman"/>
          <w:sz w:val="24"/>
          <w:szCs w:val="24"/>
        </w:rPr>
        <w:t>women</w:t>
      </w:r>
      <w:r w:rsidRPr="00375115">
        <w:rPr>
          <w:rFonts w:ascii="Times New Roman" w:hAnsi="Times New Roman"/>
          <w:sz w:val="24"/>
          <w:szCs w:val="24"/>
        </w:rPr>
        <w:t xml:space="preserve">, respectively. </w:t>
      </w:r>
      <w:r w:rsidR="008D2403" w:rsidRPr="00375115">
        <w:rPr>
          <w:rFonts w:ascii="Times New Roman" w:hAnsi="Times New Roman"/>
          <w:sz w:val="24"/>
          <w:szCs w:val="24"/>
        </w:rPr>
        <w:t>U</w:t>
      </w:r>
      <w:r w:rsidR="00BD460C" w:rsidRPr="00375115">
        <w:rPr>
          <w:rFonts w:ascii="Times New Roman" w:hAnsi="Times New Roman"/>
          <w:sz w:val="24"/>
          <w:szCs w:val="24"/>
        </w:rPr>
        <w:t>nivariable analyses</w:t>
      </w:r>
      <w:r w:rsidR="00375115">
        <w:rPr>
          <w:rFonts w:ascii="Times New Roman" w:hAnsi="Times New Roman"/>
          <w:sz w:val="24"/>
          <w:szCs w:val="24"/>
        </w:rPr>
        <w:t xml:space="preserve"> (Model A)</w:t>
      </w:r>
      <w:r w:rsidR="00BD460C" w:rsidRPr="00375115">
        <w:rPr>
          <w:rFonts w:ascii="Times New Roman" w:hAnsi="Times New Roman"/>
          <w:sz w:val="24"/>
          <w:szCs w:val="24"/>
        </w:rPr>
        <w:t xml:space="preserve"> showed that compared to SBP trajectory 1 participants (stable optimal SBP), the other SBP trajectories were associated with increased risk of incident all-cause, cardiovascular and non-cardiovascular mortality</w:t>
      </w:r>
      <w:r w:rsidR="008D2403" w:rsidRPr="00685C47">
        <w:rPr>
          <w:rFonts w:ascii="Times New Roman" w:hAnsi="Times New Roman"/>
          <w:sz w:val="24"/>
          <w:szCs w:val="24"/>
        </w:rPr>
        <w:t xml:space="preserve"> amongst both </w:t>
      </w:r>
      <w:r w:rsidR="005923E6" w:rsidRPr="00D43672">
        <w:rPr>
          <w:rFonts w:ascii="Times New Roman" w:hAnsi="Times New Roman"/>
          <w:sz w:val="24"/>
          <w:szCs w:val="24"/>
        </w:rPr>
        <w:t>sexes</w:t>
      </w:r>
      <w:r w:rsidR="00251962" w:rsidRPr="00D43672">
        <w:rPr>
          <w:rFonts w:ascii="Times New Roman" w:hAnsi="Times New Roman"/>
          <w:sz w:val="24"/>
          <w:szCs w:val="24"/>
        </w:rPr>
        <w:t xml:space="preserve"> (</w:t>
      </w:r>
      <w:r w:rsidR="00375115">
        <w:rPr>
          <w:rFonts w:ascii="Times New Roman" w:hAnsi="Times New Roman"/>
          <w:sz w:val="24"/>
          <w:szCs w:val="24"/>
        </w:rPr>
        <w:t xml:space="preserve">Figure 4 and </w:t>
      </w:r>
      <w:r w:rsidR="009C2050" w:rsidRPr="00375115">
        <w:rPr>
          <w:rFonts w:ascii="Times New Roman" w:hAnsi="Times New Roman"/>
          <w:sz w:val="24"/>
          <w:szCs w:val="24"/>
        </w:rPr>
        <w:t xml:space="preserve">Supplementary </w:t>
      </w:r>
      <w:r w:rsidR="00251962" w:rsidRPr="00375115">
        <w:rPr>
          <w:rFonts w:ascii="Times New Roman" w:hAnsi="Times New Roman"/>
          <w:sz w:val="24"/>
          <w:szCs w:val="24"/>
        </w:rPr>
        <w:t>Table</w:t>
      </w:r>
      <w:r w:rsidR="001E691F">
        <w:rPr>
          <w:rFonts w:ascii="Times New Roman" w:hAnsi="Times New Roman"/>
          <w:sz w:val="24"/>
          <w:szCs w:val="24"/>
        </w:rPr>
        <w:t>s</w:t>
      </w:r>
      <w:r w:rsidR="00251962" w:rsidRPr="00375115">
        <w:rPr>
          <w:rFonts w:ascii="Times New Roman" w:hAnsi="Times New Roman"/>
          <w:sz w:val="24"/>
          <w:szCs w:val="24"/>
        </w:rPr>
        <w:t xml:space="preserve"> </w:t>
      </w:r>
      <w:r w:rsidR="00375115">
        <w:rPr>
          <w:rFonts w:ascii="Times New Roman" w:hAnsi="Times New Roman"/>
          <w:sz w:val="24"/>
          <w:szCs w:val="24"/>
        </w:rPr>
        <w:t>4</w:t>
      </w:r>
      <w:r w:rsidR="001E691F">
        <w:rPr>
          <w:rFonts w:ascii="Times New Roman" w:hAnsi="Times New Roman"/>
          <w:sz w:val="24"/>
          <w:szCs w:val="24"/>
        </w:rPr>
        <w:t>-6</w:t>
      </w:r>
      <w:r w:rsidR="00251962" w:rsidRPr="00375115">
        <w:rPr>
          <w:rFonts w:ascii="Times New Roman" w:hAnsi="Times New Roman"/>
          <w:sz w:val="24"/>
          <w:szCs w:val="24"/>
        </w:rPr>
        <w:t>)</w:t>
      </w:r>
      <w:r w:rsidR="008D2403" w:rsidRPr="00375115">
        <w:rPr>
          <w:rFonts w:ascii="Times New Roman" w:hAnsi="Times New Roman"/>
          <w:sz w:val="24"/>
          <w:szCs w:val="24"/>
        </w:rPr>
        <w:t>.</w:t>
      </w:r>
      <w:r w:rsidR="00BD460C" w:rsidRPr="00375115">
        <w:rPr>
          <w:rFonts w:ascii="Times New Roman" w:hAnsi="Times New Roman"/>
          <w:sz w:val="24"/>
          <w:szCs w:val="24"/>
        </w:rPr>
        <w:t xml:space="preserve"> </w:t>
      </w:r>
      <w:r w:rsidR="00685C47">
        <w:rPr>
          <w:rFonts w:ascii="Times New Roman" w:hAnsi="Times New Roman"/>
          <w:sz w:val="24"/>
          <w:szCs w:val="24"/>
        </w:rPr>
        <w:t>In men, trajectories 3-6 were associated with 2-fold increases in the risk of all-cause mortality, while trajectories 2-6 were associated with up to 3-fold increases for the same outcome</w:t>
      </w:r>
      <w:r w:rsidR="002C11EC">
        <w:rPr>
          <w:rFonts w:ascii="Times New Roman" w:hAnsi="Times New Roman"/>
          <w:sz w:val="24"/>
          <w:szCs w:val="24"/>
        </w:rPr>
        <w:t xml:space="preserve"> (Figure 4)</w:t>
      </w:r>
      <w:r w:rsidR="00685C47">
        <w:rPr>
          <w:rFonts w:ascii="Times New Roman" w:hAnsi="Times New Roman"/>
          <w:sz w:val="24"/>
          <w:szCs w:val="24"/>
        </w:rPr>
        <w:t>. Nevertheless, t</w:t>
      </w:r>
      <w:r w:rsidR="00BD460C" w:rsidRPr="00375115">
        <w:rPr>
          <w:rFonts w:ascii="Times New Roman" w:hAnsi="Times New Roman"/>
          <w:sz w:val="24"/>
          <w:szCs w:val="24"/>
        </w:rPr>
        <w:t>hese associations</w:t>
      </w:r>
      <w:r w:rsidR="00D43672">
        <w:rPr>
          <w:rFonts w:ascii="Times New Roman" w:hAnsi="Times New Roman"/>
          <w:sz w:val="24"/>
          <w:szCs w:val="24"/>
        </w:rPr>
        <w:t xml:space="preserve"> with any of the mortality outcomes</w:t>
      </w:r>
      <w:r w:rsidR="00BD460C" w:rsidRPr="00375115">
        <w:rPr>
          <w:rFonts w:ascii="Times New Roman" w:hAnsi="Times New Roman"/>
          <w:sz w:val="24"/>
          <w:szCs w:val="24"/>
        </w:rPr>
        <w:t xml:space="preserve"> were not revealed upon </w:t>
      </w:r>
      <w:r w:rsidR="00685C47">
        <w:rPr>
          <w:rFonts w:ascii="Times New Roman" w:hAnsi="Times New Roman"/>
          <w:sz w:val="24"/>
          <w:szCs w:val="24"/>
        </w:rPr>
        <w:t>confounder</w:t>
      </w:r>
      <w:r w:rsidR="00685C47" w:rsidRPr="00375115">
        <w:rPr>
          <w:rFonts w:ascii="Times New Roman" w:hAnsi="Times New Roman"/>
          <w:sz w:val="24"/>
          <w:szCs w:val="24"/>
        </w:rPr>
        <w:t xml:space="preserve"> </w:t>
      </w:r>
      <w:r w:rsidR="00BD460C" w:rsidRPr="00375115">
        <w:rPr>
          <w:rFonts w:ascii="Times New Roman" w:hAnsi="Times New Roman"/>
          <w:sz w:val="24"/>
          <w:szCs w:val="24"/>
        </w:rPr>
        <w:t>adjustment</w:t>
      </w:r>
      <w:r w:rsidR="00B336C4" w:rsidRPr="00375115">
        <w:rPr>
          <w:rFonts w:ascii="Times New Roman" w:hAnsi="Times New Roman"/>
          <w:sz w:val="24"/>
          <w:szCs w:val="24"/>
        </w:rPr>
        <w:t xml:space="preserve"> </w:t>
      </w:r>
      <w:r w:rsidR="001E691F">
        <w:rPr>
          <w:rFonts w:ascii="Times New Roman" w:hAnsi="Times New Roman"/>
          <w:sz w:val="24"/>
          <w:szCs w:val="24"/>
        </w:rPr>
        <w:t xml:space="preserve">(Models B-E). </w:t>
      </w:r>
      <w:r w:rsidR="00D43672">
        <w:rPr>
          <w:rFonts w:ascii="Times New Roman" w:hAnsi="Times New Roman"/>
          <w:sz w:val="24"/>
          <w:szCs w:val="24"/>
        </w:rPr>
        <w:t>In men, s</w:t>
      </w:r>
      <w:r w:rsidR="008D2403" w:rsidRPr="00D43672">
        <w:rPr>
          <w:rFonts w:ascii="Times New Roman" w:hAnsi="Times New Roman"/>
          <w:sz w:val="24"/>
          <w:szCs w:val="24"/>
        </w:rPr>
        <w:t xml:space="preserve">imilar patterns </w:t>
      </w:r>
      <w:r w:rsidR="00D43672">
        <w:rPr>
          <w:rFonts w:ascii="Times New Roman" w:hAnsi="Times New Roman"/>
          <w:sz w:val="24"/>
          <w:szCs w:val="24"/>
        </w:rPr>
        <w:t>were revealed</w:t>
      </w:r>
      <w:r w:rsidR="00D43672" w:rsidRPr="00D43672">
        <w:rPr>
          <w:rFonts w:ascii="Times New Roman" w:hAnsi="Times New Roman"/>
          <w:sz w:val="24"/>
          <w:szCs w:val="24"/>
        </w:rPr>
        <w:t xml:space="preserve"> </w:t>
      </w:r>
      <w:r w:rsidR="008D2403" w:rsidRPr="00D43672">
        <w:rPr>
          <w:rFonts w:ascii="Times New Roman" w:hAnsi="Times New Roman"/>
          <w:sz w:val="24"/>
          <w:szCs w:val="24"/>
        </w:rPr>
        <w:t>between DBP trajectories and incident mortality.</w:t>
      </w:r>
      <w:r w:rsidR="00D43672">
        <w:rPr>
          <w:rFonts w:ascii="Times New Roman" w:hAnsi="Times New Roman"/>
          <w:sz w:val="24"/>
          <w:szCs w:val="24"/>
        </w:rPr>
        <w:t xml:space="preserve"> In univariable analyses (Model A), trajectories 2-4 were associated with 35-50% reductions in the risk of incident all-cause mortality compared to trajectory 1 (low optimal DBP)</w:t>
      </w:r>
      <w:r w:rsidR="005A203C">
        <w:rPr>
          <w:rFonts w:ascii="Times New Roman" w:hAnsi="Times New Roman"/>
          <w:sz w:val="24"/>
          <w:szCs w:val="24"/>
        </w:rPr>
        <w:t xml:space="preserve">, which were also not </w:t>
      </w:r>
      <w:proofErr w:type="spellStart"/>
      <w:r w:rsidR="005A203C">
        <w:rPr>
          <w:rFonts w:ascii="Times New Roman" w:hAnsi="Times New Roman"/>
          <w:sz w:val="24"/>
          <w:szCs w:val="24"/>
        </w:rPr>
        <w:t>revaled</w:t>
      </w:r>
      <w:proofErr w:type="spellEnd"/>
      <w:r w:rsidR="005A203C">
        <w:rPr>
          <w:rFonts w:ascii="Times New Roman" w:hAnsi="Times New Roman"/>
          <w:sz w:val="24"/>
          <w:szCs w:val="24"/>
        </w:rPr>
        <w:t xml:space="preserve"> upon confounder adjustment (Models B-E). </w:t>
      </w:r>
      <w:r w:rsidR="008D2403" w:rsidRPr="00D43672">
        <w:rPr>
          <w:rFonts w:ascii="Times New Roman" w:hAnsi="Times New Roman"/>
          <w:sz w:val="24"/>
          <w:szCs w:val="24"/>
        </w:rPr>
        <w:t xml:space="preserve">Nevertheless, there were a few </w:t>
      </w:r>
      <w:r w:rsidR="005A203C">
        <w:rPr>
          <w:rFonts w:ascii="Times New Roman" w:hAnsi="Times New Roman"/>
          <w:sz w:val="24"/>
          <w:szCs w:val="24"/>
        </w:rPr>
        <w:t>significant associations between DBP trajectories and cardiovascular mortality</w:t>
      </w:r>
      <w:r w:rsidR="005A203C" w:rsidRPr="00D43672">
        <w:rPr>
          <w:rFonts w:ascii="Times New Roman" w:hAnsi="Times New Roman"/>
          <w:sz w:val="24"/>
          <w:szCs w:val="24"/>
        </w:rPr>
        <w:t xml:space="preserve"> </w:t>
      </w:r>
      <w:r w:rsidR="008D2403" w:rsidRPr="00D43672">
        <w:rPr>
          <w:rFonts w:ascii="Times New Roman" w:hAnsi="Times New Roman"/>
          <w:sz w:val="24"/>
          <w:szCs w:val="24"/>
        </w:rPr>
        <w:t xml:space="preserve">amongst </w:t>
      </w:r>
      <w:r w:rsidR="009445D1" w:rsidRPr="00D43672">
        <w:rPr>
          <w:rFonts w:ascii="Times New Roman" w:hAnsi="Times New Roman"/>
          <w:sz w:val="24"/>
          <w:szCs w:val="24"/>
        </w:rPr>
        <w:t>men</w:t>
      </w:r>
      <w:r w:rsidR="005A203C">
        <w:rPr>
          <w:rFonts w:ascii="Times New Roman" w:hAnsi="Times New Roman"/>
          <w:sz w:val="24"/>
          <w:szCs w:val="24"/>
        </w:rPr>
        <w:t>.</w:t>
      </w:r>
      <w:r w:rsidR="008D2403" w:rsidRPr="00D43672">
        <w:rPr>
          <w:rFonts w:ascii="Times New Roman" w:hAnsi="Times New Roman"/>
          <w:sz w:val="24"/>
          <w:szCs w:val="24"/>
        </w:rPr>
        <w:t xml:space="preserve"> </w:t>
      </w:r>
      <w:r w:rsidR="005A203C">
        <w:rPr>
          <w:rFonts w:ascii="Times New Roman" w:hAnsi="Times New Roman"/>
          <w:sz w:val="24"/>
          <w:szCs w:val="24"/>
        </w:rPr>
        <w:t>C</w:t>
      </w:r>
      <w:r w:rsidR="008D2403" w:rsidRPr="00D43672">
        <w:rPr>
          <w:rFonts w:ascii="Times New Roman" w:hAnsi="Times New Roman"/>
          <w:sz w:val="24"/>
          <w:szCs w:val="24"/>
        </w:rPr>
        <w:t>ompared to trajectory 1 (low optimal DBP), trajectories 2 (high optimal DBP) and 3</w:t>
      </w:r>
      <w:r w:rsidR="005A203C">
        <w:rPr>
          <w:rFonts w:ascii="Times New Roman" w:hAnsi="Times New Roman"/>
          <w:sz w:val="24"/>
          <w:szCs w:val="24"/>
        </w:rPr>
        <w:t xml:space="preserve"> (normal/high-normal DBP)</w:t>
      </w:r>
      <w:r w:rsidR="008D2403" w:rsidRPr="00D43672">
        <w:rPr>
          <w:rFonts w:ascii="Times New Roman" w:hAnsi="Times New Roman"/>
          <w:sz w:val="24"/>
          <w:szCs w:val="24"/>
        </w:rPr>
        <w:t xml:space="preserve"> were associated with significantly lower cardiovascular mortality </w:t>
      </w:r>
      <w:r w:rsidR="005A203C">
        <w:rPr>
          <w:rFonts w:ascii="Times New Roman" w:hAnsi="Times New Roman"/>
          <w:sz w:val="24"/>
          <w:szCs w:val="24"/>
        </w:rPr>
        <w:t>in all models considered (Models A-E)</w:t>
      </w:r>
      <w:r w:rsidRPr="00D43672">
        <w:rPr>
          <w:rFonts w:ascii="Times New Roman" w:hAnsi="Times New Roman"/>
          <w:sz w:val="24"/>
          <w:szCs w:val="24"/>
        </w:rPr>
        <w:t>.</w:t>
      </w:r>
    </w:p>
    <w:p w14:paraId="7C70F3A6" w14:textId="540ACF58" w:rsidR="000651D6" w:rsidRPr="00F255F3" w:rsidRDefault="00F255F3" w:rsidP="00411115">
      <w:pPr>
        <w:spacing w:line="360" w:lineRule="auto"/>
        <w:rPr>
          <w:rFonts w:ascii="Times New Roman" w:hAnsi="Times New Roman"/>
          <w:sz w:val="24"/>
          <w:szCs w:val="24"/>
        </w:rPr>
      </w:pPr>
      <w:r w:rsidRPr="00231EA0">
        <w:rPr>
          <w:rFonts w:ascii="Times New Roman" w:hAnsi="Times New Roman"/>
          <w:sz w:val="24"/>
          <w:szCs w:val="24"/>
        </w:rPr>
        <w:t xml:space="preserve">The sensitivity all-cause mortality analysis considering only participants without prevalent CVD at the third health checked revealed results consistent with the main analyses </w:t>
      </w:r>
      <w:r w:rsidR="000651D6" w:rsidRPr="00F255F3">
        <w:rPr>
          <w:rFonts w:ascii="Times New Roman" w:hAnsi="Times New Roman"/>
          <w:sz w:val="24"/>
          <w:szCs w:val="24"/>
        </w:rPr>
        <w:t>(</w:t>
      </w:r>
      <w:r w:rsidR="000651D6" w:rsidRPr="005C6BA4">
        <w:rPr>
          <w:rFonts w:ascii="Times New Roman" w:hAnsi="Times New Roman"/>
          <w:sz w:val="24"/>
          <w:szCs w:val="24"/>
        </w:rPr>
        <w:t>Supp</w:t>
      </w:r>
      <w:r w:rsidR="000651D6" w:rsidRPr="00F255F3">
        <w:rPr>
          <w:rFonts w:ascii="Times New Roman" w:hAnsi="Times New Roman"/>
          <w:sz w:val="24"/>
          <w:szCs w:val="24"/>
        </w:rPr>
        <w:t>lementary Table 7)</w:t>
      </w:r>
      <w:r w:rsidRPr="00231EA0">
        <w:rPr>
          <w:rFonts w:ascii="Times New Roman" w:hAnsi="Times New Roman"/>
          <w:sz w:val="24"/>
          <w:szCs w:val="24"/>
        </w:rPr>
        <w:t>.</w:t>
      </w:r>
    </w:p>
    <w:p w14:paraId="0A053F46" w14:textId="16081D06" w:rsidR="005C6BA4" w:rsidRDefault="005C6BA4" w:rsidP="00411115">
      <w:pPr>
        <w:spacing w:line="360" w:lineRule="auto"/>
        <w:rPr>
          <w:rFonts w:ascii="Times New Roman" w:hAnsi="Times New Roman"/>
          <w:sz w:val="24"/>
          <w:szCs w:val="24"/>
        </w:rPr>
      </w:pPr>
      <w:r>
        <w:rPr>
          <w:rFonts w:ascii="Times New Roman" w:hAnsi="Times New Roman"/>
          <w:sz w:val="24"/>
          <w:szCs w:val="24"/>
        </w:rPr>
        <w:t>Amongst men, c</w:t>
      </w:r>
      <w:r w:rsidR="00EE0027" w:rsidRPr="00986658">
        <w:rPr>
          <w:rFonts w:ascii="Times New Roman" w:hAnsi="Times New Roman"/>
          <w:sz w:val="24"/>
          <w:szCs w:val="24"/>
        </w:rPr>
        <w:t xml:space="preserve">ompared to </w:t>
      </w:r>
      <w:r w:rsidR="00AE6F58" w:rsidRPr="00986658">
        <w:rPr>
          <w:rFonts w:ascii="Times New Roman" w:hAnsi="Times New Roman"/>
          <w:sz w:val="24"/>
          <w:szCs w:val="24"/>
        </w:rPr>
        <w:t xml:space="preserve">SBP </w:t>
      </w:r>
      <w:r w:rsidR="00EE0027" w:rsidRPr="005C6BA4">
        <w:rPr>
          <w:rFonts w:ascii="Times New Roman" w:hAnsi="Times New Roman"/>
          <w:sz w:val="24"/>
          <w:szCs w:val="24"/>
        </w:rPr>
        <w:t xml:space="preserve">trajectory 1 (stable optimal SBP), </w:t>
      </w:r>
      <w:r w:rsidR="00AE6F58" w:rsidRPr="005C6BA4">
        <w:rPr>
          <w:rFonts w:ascii="Times New Roman" w:hAnsi="Times New Roman"/>
          <w:sz w:val="24"/>
          <w:szCs w:val="24"/>
        </w:rPr>
        <w:t>trajectories 2-5 were associated with significant</w:t>
      </w:r>
      <w:r w:rsidR="0097692B">
        <w:rPr>
          <w:rFonts w:ascii="Times New Roman" w:hAnsi="Times New Roman"/>
          <w:sz w:val="24"/>
          <w:szCs w:val="24"/>
        </w:rPr>
        <w:t xml:space="preserve"> increases between 30% and 3-fold in incident CVD in the univariable model (Model A). The associations between trajectories 2-4 and incident CVD were not </w:t>
      </w:r>
      <w:proofErr w:type="spellStart"/>
      <w:r w:rsidR="0097692B">
        <w:rPr>
          <w:rFonts w:ascii="Times New Roman" w:hAnsi="Times New Roman"/>
          <w:sz w:val="24"/>
          <w:szCs w:val="24"/>
        </w:rPr>
        <w:t>revelead</w:t>
      </w:r>
      <w:proofErr w:type="spellEnd"/>
      <w:r w:rsidR="0097692B">
        <w:rPr>
          <w:rFonts w:ascii="Times New Roman" w:hAnsi="Times New Roman"/>
          <w:sz w:val="24"/>
          <w:szCs w:val="24"/>
        </w:rPr>
        <w:t xml:space="preserve"> after confounder adjustment (Models B-E). Nevertheless, the association between trajectory 5 (</w:t>
      </w:r>
      <w:r w:rsidR="0097692B" w:rsidRPr="00081C19">
        <w:rPr>
          <w:rFonts w:ascii="Times New Roman" w:hAnsi="Times New Roman"/>
          <w:sz w:val="24"/>
          <w:szCs w:val="24"/>
        </w:rPr>
        <w:t xml:space="preserve">grade 2 </w:t>
      </w:r>
      <w:r w:rsidR="0097692B" w:rsidRPr="00081C19">
        <w:rPr>
          <w:rFonts w:ascii="Times New Roman" w:hAnsi="Times New Roman"/>
          <w:sz w:val="24"/>
          <w:szCs w:val="24"/>
        </w:rPr>
        <w:sym w:font="Wingdings" w:char="F0E0"/>
      </w:r>
      <w:r w:rsidR="0097692B" w:rsidRPr="00081C19">
        <w:rPr>
          <w:rFonts w:ascii="Times New Roman" w:hAnsi="Times New Roman"/>
          <w:sz w:val="24"/>
          <w:szCs w:val="24"/>
        </w:rPr>
        <w:t xml:space="preserve"> grade 1 hypertension</w:t>
      </w:r>
      <w:r w:rsidR="0097692B">
        <w:rPr>
          <w:rFonts w:ascii="Times New Roman" w:hAnsi="Times New Roman"/>
          <w:sz w:val="24"/>
          <w:szCs w:val="24"/>
        </w:rPr>
        <w:t>) was revealed upon adjustment for age, ethnicity, BMI, physical activity level, smoking and alcohol consumption and pre-existing co-morbidities (Models B-D), but not after further adjustment for antihypertensive treatment (Model E)</w:t>
      </w:r>
      <w:r>
        <w:rPr>
          <w:rFonts w:ascii="Times New Roman" w:hAnsi="Times New Roman"/>
          <w:sz w:val="24"/>
          <w:szCs w:val="24"/>
        </w:rPr>
        <w:t xml:space="preserve"> (</w:t>
      </w:r>
      <w:r w:rsidR="009C2050" w:rsidRPr="0097692B">
        <w:rPr>
          <w:rFonts w:ascii="Times New Roman" w:hAnsi="Times New Roman"/>
          <w:sz w:val="24"/>
          <w:szCs w:val="24"/>
        </w:rPr>
        <w:t xml:space="preserve">Figure 5, Supplementary </w:t>
      </w:r>
      <w:r w:rsidR="00251962" w:rsidRPr="005C6BA4">
        <w:rPr>
          <w:rFonts w:ascii="Times New Roman" w:hAnsi="Times New Roman"/>
          <w:sz w:val="24"/>
          <w:szCs w:val="24"/>
        </w:rPr>
        <w:t xml:space="preserve">Table </w:t>
      </w:r>
      <w:r w:rsidR="000651D6" w:rsidRPr="005C6BA4">
        <w:rPr>
          <w:rFonts w:ascii="Times New Roman" w:hAnsi="Times New Roman"/>
          <w:sz w:val="24"/>
          <w:szCs w:val="24"/>
        </w:rPr>
        <w:t>8</w:t>
      </w:r>
      <w:r w:rsidR="00917B8B" w:rsidRPr="00986658">
        <w:rPr>
          <w:rFonts w:ascii="Times New Roman" w:hAnsi="Times New Roman"/>
          <w:sz w:val="24"/>
          <w:szCs w:val="24"/>
        </w:rPr>
        <w:t>)</w:t>
      </w:r>
      <w:r w:rsidR="00AE6F58" w:rsidRPr="00986658">
        <w:rPr>
          <w:rFonts w:ascii="Times New Roman" w:hAnsi="Times New Roman"/>
          <w:sz w:val="24"/>
          <w:szCs w:val="24"/>
        </w:rPr>
        <w:t xml:space="preserve">. </w:t>
      </w:r>
      <w:r w:rsidR="00AE6F58" w:rsidRPr="005C6BA4">
        <w:rPr>
          <w:rFonts w:ascii="Times New Roman" w:hAnsi="Times New Roman"/>
          <w:sz w:val="24"/>
          <w:szCs w:val="24"/>
        </w:rPr>
        <w:t xml:space="preserve">There were no statistically significant relationships between DBP trajectories 2-5 (compared to trajectory 1) and incident CVD amongst </w:t>
      </w:r>
      <w:r w:rsidR="009445D1" w:rsidRPr="005C6BA4">
        <w:rPr>
          <w:rFonts w:ascii="Times New Roman" w:hAnsi="Times New Roman"/>
          <w:sz w:val="24"/>
          <w:szCs w:val="24"/>
        </w:rPr>
        <w:t>men</w:t>
      </w:r>
      <w:r>
        <w:rPr>
          <w:rFonts w:ascii="Times New Roman" w:hAnsi="Times New Roman"/>
          <w:sz w:val="24"/>
          <w:szCs w:val="24"/>
        </w:rPr>
        <w:t xml:space="preserve"> across all models considered</w:t>
      </w:r>
      <w:r w:rsidR="00AE6F58" w:rsidRPr="005C6BA4">
        <w:rPr>
          <w:rFonts w:ascii="Times New Roman" w:hAnsi="Times New Roman"/>
          <w:sz w:val="24"/>
          <w:szCs w:val="24"/>
        </w:rPr>
        <w:t xml:space="preserve">. </w:t>
      </w:r>
    </w:p>
    <w:p w14:paraId="3C396F4D" w14:textId="303721B5" w:rsidR="00AE6F58" w:rsidRDefault="00EE09E4" w:rsidP="00411115">
      <w:pPr>
        <w:spacing w:line="360" w:lineRule="auto"/>
        <w:rPr>
          <w:rFonts w:ascii="Times New Roman" w:hAnsi="Times New Roman"/>
          <w:sz w:val="24"/>
          <w:szCs w:val="24"/>
        </w:rPr>
      </w:pPr>
      <w:r>
        <w:rPr>
          <w:rFonts w:ascii="Times New Roman" w:hAnsi="Times New Roman"/>
          <w:sz w:val="24"/>
          <w:szCs w:val="24"/>
        </w:rPr>
        <w:t>Amongst women, c</w:t>
      </w:r>
      <w:r w:rsidR="00AE6F58" w:rsidRPr="005C6BA4">
        <w:rPr>
          <w:rFonts w:ascii="Times New Roman" w:hAnsi="Times New Roman"/>
          <w:sz w:val="24"/>
          <w:szCs w:val="24"/>
        </w:rPr>
        <w:t xml:space="preserve">ompared to SBP trajectory 1 (stable optimal SBP), trajectories 3-5 </w:t>
      </w:r>
      <w:r>
        <w:rPr>
          <w:rFonts w:ascii="Times New Roman" w:hAnsi="Times New Roman"/>
          <w:sz w:val="24"/>
          <w:szCs w:val="24"/>
        </w:rPr>
        <w:t>were associated with significant 2- to 3-fold increases in the risk of incident CVD at univariable level (Model A). The associations between trajectories 2-4</w:t>
      </w:r>
      <w:r w:rsidR="00DD7D58">
        <w:rPr>
          <w:rFonts w:ascii="Times New Roman" w:hAnsi="Times New Roman"/>
          <w:sz w:val="24"/>
          <w:szCs w:val="24"/>
        </w:rPr>
        <w:t xml:space="preserve"> and incident CVD were not </w:t>
      </w:r>
      <w:r w:rsidR="00DD7D58">
        <w:rPr>
          <w:rFonts w:ascii="Times New Roman" w:hAnsi="Times New Roman"/>
          <w:sz w:val="24"/>
          <w:szCs w:val="24"/>
        </w:rPr>
        <w:lastRenderedPageBreak/>
        <w:t>revealed upon confounder adjustment (Models B-E). Nevertheless, the association between trajectory 5 (</w:t>
      </w:r>
      <w:r w:rsidR="00DD7D58" w:rsidRPr="00081C19">
        <w:rPr>
          <w:rFonts w:ascii="Times New Roman" w:hAnsi="Times New Roman"/>
          <w:sz w:val="24"/>
          <w:szCs w:val="24"/>
        </w:rPr>
        <w:t>decreasing grade 1 hypertension</w:t>
      </w:r>
      <w:r w:rsidR="00DD7D58">
        <w:rPr>
          <w:rFonts w:ascii="Times New Roman" w:hAnsi="Times New Roman"/>
          <w:sz w:val="24"/>
          <w:szCs w:val="24"/>
        </w:rPr>
        <w:t xml:space="preserve">) and incident CVD was revealed upon adjustment for age and ethnicity (Model B), but not after further confounder adjustment (Models C-E). </w:t>
      </w:r>
      <w:r w:rsidR="00AE6F58" w:rsidRPr="005C6BA4">
        <w:rPr>
          <w:rFonts w:ascii="Times New Roman" w:hAnsi="Times New Roman"/>
          <w:sz w:val="24"/>
          <w:szCs w:val="24"/>
        </w:rPr>
        <w:t xml:space="preserve">. </w:t>
      </w:r>
      <w:r w:rsidR="00D34011" w:rsidRPr="005C6BA4">
        <w:rPr>
          <w:rFonts w:ascii="Times New Roman" w:hAnsi="Times New Roman"/>
          <w:sz w:val="24"/>
          <w:szCs w:val="24"/>
        </w:rPr>
        <w:t>C</w:t>
      </w:r>
      <w:r w:rsidR="00AE6F58" w:rsidRPr="005C6BA4">
        <w:rPr>
          <w:rFonts w:ascii="Times New Roman" w:hAnsi="Times New Roman"/>
          <w:sz w:val="24"/>
          <w:szCs w:val="24"/>
        </w:rPr>
        <w:t>ompared to DBP trajectory 1 (low optimal DBP), trajectories 2-5 were associated with significant</w:t>
      </w:r>
      <w:r w:rsidR="00DD7D58">
        <w:rPr>
          <w:rFonts w:ascii="Times New Roman" w:hAnsi="Times New Roman"/>
          <w:sz w:val="24"/>
          <w:szCs w:val="24"/>
        </w:rPr>
        <w:t xml:space="preserve"> 30% to 2-fold increases in the </w:t>
      </w:r>
      <w:r w:rsidR="00AE6F58" w:rsidRPr="005C6BA4">
        <w:rPr>
          <w:rFonts w:ascii="Times New Roman" w:hAnsi="Times New Roman"/>
          <w:sz w:val="24"/>
          <w:szCs w:val="24"/>
        </w:rPr>
        <w:t xml:space="preserve">risk of incident CVD amongst </w:t>
      </w:r>
      <w:r w:rsidR="009445D1" w:rsidRPr="005C6BA4">
        <w:rPr>
          <w:rFonts w:ascii="Times New Roman" w:hAnsi="Times New Roman"/>
          <w:sz w:val="24"/>
          <w:szCs w:val="24"/>
        </w:rPr>
        <w:t>wo</w:t>
      </w:r>
      <w:r w:rsidR="00AE6F58" w:rsidRPr="005C6BA4">
        <w:rPr>
          <w:rFonts w:ascii="Times New Roman" w:hAnsi="Times New Roman"/>
          <w:sz w:val="24"/>
          <w:szCs w:val="24"/>
        </w:rPr>
        <w:t>m</w:t>
      </w:r>
      <w:r w:rsidR="005923E6" w:rsidRPr="00EE09E4">
        <w:rPr>
          <w:rFonts w:ascii="Times New Roman" w:hAnsi="Times New Roman"/>
          <w:sz w:val="24"/>
          <w:szCs w:val="24"/>
        </w:rPr>
        <w:t>en.</w:t>
      </w:r>
      <w:r w:rsidR="005923E6">
        <w:rPr>
          <w:rFonts w:ascii="Times New Roman" w:hAnsi="Times New Roman"/>
          <w:sz w:val="24"/>
          <w:szCs w:val="24"/>
        </w:rPr>
        <w:t xml:space="preserve"> </w:t>
      </w:r>
      <w:r w:rsidR="0084597E">
        <w:rPr>
          <w:rFonts w:ascii="Times New Roman" w:hAnsi="Times New Roman"/>
          <w:sz w:val="24"/>
          <w:szCs w:val="24"/>
        </w:rPr>
        <w:t xml:space="preserve">The associations between trajectories 2, 3 and 5 and incident CVD were not revealed upon confounder adjustment (Models B-E), while the association between trajectory 4 (grade 1 hypertension </w:t>
      </w:r>
      <w:r w:rsidR="0084597E" w:rsidRPr="0084597E">
        <w:rPr>
          <w:rFonts w:ascii="Times New Roman" w:hAnsi="Times New Roman"/>
          <w:sz w:val="24"/>
          <w:szCs w:val="24"/>
        </w:rPr>
        <w:sym w:font="Wingdings" w:char="F0E0"/>
      </w:r>
      <w:r w:rsidR="0084597E">
        <w:rPr>
          <w:rFonts w:ascii="Times New Roman" w:hAnsi="Times New Roman"/>
          <w:sz w:val="24"/>
          <w:szCs w:val="24"/>
        </w:rPr>
        <w:t xml:space="preserve"> normal DBP) and </w:t>
      </w:r>
      <w:proofErr w:type="spellStart"/>
      <w:r w:rsidR="0084597E">
        <w:rPr>
          <w:rFonts w:ascii="Times New Roman" w:hAnsi="Times New Roman"/>
          <w:sz w:val="24"/>
          <w:szCs w:val="24"/>
        </w:rPr>
        <w:t>inident</w:t>
      </w:r>
      <w:proofErr w:type="spellEnd"/>
      <w:r w:rsidR="0084597E">
        <w:rPr>
          <w:rFonts w:ascii="Times New Roman" w:hAnsi="Times New Roman"/>
          <w:sz w:val="24"/>
          <w:szCs w:val="24"/>
        </w:rPr>
        <w:t xml:space="preserve"> CVD was revealed upon adjustment for age, ethnicity, BMI, physical activity and smoking, alcohol consumption (Models B-C) but not after further adjustment for pre-existing co-morbidities and antihypertensive treatment (Models D-E).</w:t>
      </w:r>
    </w:p>
    <w:p w14:paraId="7D8B4971" w14:textId="77777777" w:rsidR="006D0997" w:rsidRDefault="006D0997" w:rsidP="00411115">
      <w:pPr>
        <w:spacing w:line="360" w:lineRule="auto"/>
        <w:rPr>
          <w:rFonts w:ascii="Times New Roman" w:hAnsi="Times New Roman"/>
          <w:sz w:val="24"/>
          <w:szCs w:val="24"/>
        </w:rPr>
      </w:pPr>
    </w:p>
    <w:p w14:paraId="3452DEC9" w14:textId="489244E1" w:rsidR="00B92F50" w:rsidRPr="00372862" w:rsidRDefault="000660BE" w:rsidP="006D6486">
      <w:pPr>
        <w:spacing w:line="360" w:lineRule="auto"/>
        <w:rPr>
          <w:rFonts w:ascii="Times New Roman" w:hAnsi="Times New Roman"/>
          <w:b/>
          <w:sz w:val="24"/>
          <w:szCs w:val="24"/>
        </w:rPr>
      </w:pPr>
      <w:r w:rsidRPr="00372862">
        <w:rPr>
          <w:rFonts w:ascii="Times New Roman" w:hAnsi="Times New Roman"/>
          <w:b/>
          <w:sz w:val="24"/>
          <w:szCs w:val="24"/>
        </w:rPr>
        <w:t>DISCUSSION</w:t>
      </w:r>
    </w:p>
    <w:p w14:paraId="4678AA28" w14:textId="4E7EB33D" w:rsidR="00F63186" w:rsidRDefault="00F63186" w:rsidP="00F63186">
      <w:pPr>
        <w:spacing w:line="360" w:lineRule="auto"/>
        <w:rPr>
          <w:rFonts w:ascii="Times New Roman" w:hAnsi="Times New Roman"/>
          <w:bCs/>
          <w:sz w:val="24"/>
          <w:szCs w:val="24"/>
        </w:rPr>
      </w:pPr>
      <w:r w:rsidRPr="00372862">
        <w:rPr>
          <w:rFonts w:ascii="Times New Roman" w:hAnsi="Times New Roman"/>
          <w:bCs/>
          <w:sz w:val="24"/>
          <w:szCs w:val="24"/>
        </w:rPr>
        <w:t>In this prospective cohort study</w:t>
      </w:r>
      <w:r>
        <w:rPr>
          <w:rFonts w:ascii="Times New Roman" w:hAnsi="Times New Roman"/>
          <w:bCs/>
          <w:sz w:val="24"/>
          <w:szCs w:val="24"/>
        </w:rPr>
        <w:t xml:space="preserve"> with long-term historical BP data</w:t>
      </w:r>
      <w:r w:rsidR="009F7053">
        <w:rPr>
          <w:rFonts w:ascii="Times New Roman" w:hAnsi="Times New Roman"/>
          <w:bCs/>
          <w:sz w:val="24"/>
          <w:szCs w:val="24"/>
        </w:rPr>
        <w:t xml:space="preserve"> spanning ~13 years</w:t>
      </w:r>
      <w:r w:rsidRPr="00372862">
        <w:rPr>
          <w:rFonts w:ascii="Times New Roman" w:hAnsi="Times New Roman"/>
          <w:bCs/>
          <w:sz w:val="24"/>
          <w:szCs w:val="24"/>
        </w:rPr>
        <w:t xml:space="preserve">, we determined the </w:t>
      </w:r>
      <w:r w:rsidR="00297D11" w:rsidRPr="00372862">
        <w:rPr>
          <w:rFonts w:ascii="Times New Roman" w:hAnsi="Times New Roman"/>
          <w:bCs/>
          <w:sz w:val="24"/>
          <w:szCs w:val="24"/>
        </w:rPr>
        <w:t>sex</w:t>
      </w:r>
      <w:r w:rsidR="00D01B56">
        <w:rPr>
          <w:rFonts w:ascii="Times New Roman" w:hAnsi="Times New Roman"/>
          <w:bCs/>
          <w:sz w:val="24"/>
          <w:szCs w:val="24"/>
        </w:rPr>
        <w:t xml:space="preserve"> differences in</w:t>
      </w:r>
      <w:r w:rsidR="00297D11" w:rsidRPr="00372862">
        <w:rPr>
          <w:rFonts w:ascii="Times New Roman" w:hAnsi="Times New Roman"/>
          <w:bCs/>
          <w:sz w:val="24"/>
          <w:szCs w:val="24"/>
        </w:rPr>
        <w:t xml:space="preserve"> </w:t>
      </w:r>
      <w:r w:rsidR="00297D11">
        <w:rPr>
          <w:rFonts w:ascii="Times New Roman" w:hAnsi="Times New Roman"/>
          <w:bCs/>
          <w:sz w:val="24"/>
          <w:szCs w:val="24"/>
        </w:rPr>
        <w:t>longitudinal</w:t>
      </w:r>
      <w:r w:rsidR="00297D11" w:rsidRPr="00372862">
        <w:rPr>
          <w:rFonts w:ascii="Times New Roman" w:hAnsi="Times New Roman"/>
          <w:bCs/>
          <w:sz w:val="24"/>
          <w:szCs w:val="24"/>
        </w:rPr>
        <w:t xml:space="preserve"> </w:t>
      </w:r>
      <w:r w:rsidR="00A955BE">
        <w:rPr>
          <w:rFonts w:ascii="Times New Roman" w:hAnsi="Times New Roman"/>
          <w:bCs/>
          <w:sz w:val="24"/>
          <w:szCs w:val="24"/>
        </w:rPr>
        <w:t>BP</w:t>
      </w:r>
      <w:r w:rsidR="00297D11" w:rsidRPr="00372862">
        <w:rPr>
          <w:rFonts w:ascii="Times New Roman" w:hAnsi="Times New Roman"/>
          <w:bCs/>
          <w:sz w:val="24"/>
          <w:szCs w:val="24"/>
        </w:rPr>
        <w:t xml:space="preserve"> trajectories</w:t>
      </w:r>
      <w:r w:rsidR="00297D11">
        <w:rPr>
          <w:rFonts w:ascii="Times New Roman" w:hAnsi="Times New Roman"/>
          <w:bCs/>
          <w:sz w:val="24"/>
          <w:szCs w:val="24"/>
        </w:rPr>
        <w:t xml:space="preserve"> in mid-life and have delineated the</w:t>
      </w:r>
      <w:r w:rsidR="000054BC">
        <w:rPr>
          <w:rFonts w:ascii="Times New Roman" w:hAnsi="Times New Roman"/>
          <w:bCs/>
          <w:sz w:val="24"/>
          <w:szCs w:val="24"/>
        </w:rPr>
        <w:t>ir</w:t>
      </w:r>
      <w:r w:rsidR="00297D11">
        <w:rPr>
          <w:rFonts w:ascii="Times New Roman" w:hAnsi="Times New Roman"/>
          <w:bCs/>
          <w:sz w:val="24"/>
          <w:szCs w:val="24"/>
        </w:rPr>
        <w:t xml:space="preserve"> </w:t>
      </w:r>
      <w:r w:rsidRPr="00372862">
        <w:rPr>
          <w:rFonts w:ascii="Times New Roman" w:hAnsi="Times New Roman"/>
          <w:bCs/>
          <w:sz w:val="24"/>
          <w:szCs w:val="24"/>
        </w:rPr>
        <w:t xml:space="preserve">associations </w:t>
      </w:r>
      <w:r w:rsidR="000054BC">
        <w:rPr>
          <w:rFonts w:ascii="Times New Roman" w:hAnsi="Times New Roman"/>
          <w:bCs/>
          <w:sz w:val="24"/>
          <w:szCs w:val="24"/>
        </w:rPr>
        <w:t xml:space="preserve">with </w:t>
      </w:r>
      <w:r w:rsidRPr="00372862">
        <w:rPr>
          <w:rFonts w:ascii="Times New Roman" w:hAnsi="Times New Roman"/>
          <w:bCs/>
          <w:sz w:val="24"/>
          <w:szCs w:val="24"/>
        </w:rPr>
        <w:t>mortality (all-cause, cardiovascular and non-cardiovascular) and incident CVD</w:t>
      </w:r>
      <w:r w:rsidR="00297D11">
        <w:rPr>
          <w:rFonts w:ascii="Times New Roman" w:hAnsi="Times New Roman"/>
          <w:bCs/>
          <w:sz w:val="24"/>
          <w:szCs w:val="24"/>
        </w:rPr>
        <w:t xml:space="preserve"> in later life</w:t>
      </w:r>
      <w:r w:rsidRPr="00372862">
        <w:rPr>
          <w:rFonts w:ascii="Times New Roman" w:hAnsi="Times New Roman"/>
          <w:bCs/>
          <w:sz w:val="24"/>
          <w:szCs w:val="24"/>
        </w:rPr>
        <w:t xml:space="preserve">. </w:t>
      </w:r>
      <w:r w:rsidR="000054BC">
        <w:rPr>
          <w:rFonts w:ascii="Times New Roman" w:hAnsi="Times New Roman"/>
          <w:bCs/>
          <w:sz w:val="24"/>
          <w:szCs w:val="24"/>
        </w:rPr>
        <w:t>We</w:t>
      </w:r>
      <w:r w:rsidR="00437F98">
        <w:rPr>
          <w:rFonts w:ascii="Times New Roman" w:hAnsi="Times New Roman"/>
          <w:bCs/>
          <w:sz w:val="24"/>
          <w:szCs w:val="24"/>
        </w:rPr>
        <w:t xml:space="preserve"> found that women were significantly younger, </w:t>
      </w:r>
      <w:r w:rsidR="000054BC">
        <w:rPr>
          <w:rFonts w:ascii="Times New Roman" w:hAnsi="Times New Roman"/>
          <w:bCs/>
          <w:sz w:val="24"/>
          <w:szCs w:val="24"/>
        </w:rPr>
        <w:t xml:space="preserve">but </w:t>
      </w:r>
      <w:r w:rsidR="00437F98">
        <w:rPr>
          <w:rFonts w:ascii="Times New Roman" w:hAnsi="Times New Roman"/>
          <w:bCs/>
          <w:sz w:val="24"/>
          <w:szCs w:val="24"/>
        </w:rPr>
        <w:t>demonstrated a worse cardio</w:t>
      </w:r>
      <w:r w:rsidR="001922FE">
        <w:rPr>
          <w:rFonts w:ascii="Times New Roman" w:hAnsi="Times New Roman"/>
          <w:bCs/>
          <w:sz w:val="24"/>
          <w:szCs w:val="24"/>
        </w:rPr>
        <w:t>metabolic</w:t>
      </w:r>
      <w:r w:rsidR="00437F98">
        <w:rPr>
          <w:rFonts w:ascii="Times New Roman" w:hAnsi="Times New Roman"/>
          <w:bCs/>
          <w:sz w:val="24"/>
          <w:szCs w:val="24"/>
        </w:rPr>
        <w:t xml:space="preserve"> profile at baseline with higher baseline LDL-c levels, lower levels of physical activity and higher prevalence of smoking. Women were </w:t>
      </w:r>
      <w:r w:rsidR="000054BC">
        <w:rPr>
          <w:rFonts w:ascii="Times New Roman" w:hAnsi="Times New Roman"/>
          <w:bCs/>
          <w:sz w:val="24"/>
          <w:szCs w:val="24"/>
        </w:rPr>
        <w:t xml:space="preserve">also </w:t>
      </w:r>
      <w:r w:rsidR="00437F98">
        <w:rPr>
          <w:rFonts w:ascii="Times New Roman" w:hAnsi="Times New Roman"/>
          <w:bCs/>
          <w:sz w:val="24"/>
          <w:szCs w:val="24"/>
        </w:rPr>
        <w:t xml:space="preserve">less likely to receive primary CVD prevention, antihypertensive and anti-diabetic treatment. </w:t>
      </w:r>
      <w:r w:rsidR="000054BC">
        <w:rPr>
          <w:rFonts w:ascii="Times New Roman" w:hAnsi="Times New Roman"/>
          <w:bCs/>
          <w:sz w:val="24"/>
          <w:szCs w:val="24"/>
        </w:rPr>
        <w:t xml:space="preserve">They </w:t>
      </w:r>
      <w:r w:rsidR="00D01B56">
        <w:rPr>
          <w:rFonts w:ascii="Times New Roman" w:hAnsi="Times New Roman"/>
          <w:bCs/>
          <w:sz w:val="24"/>
          <w:szCs w:val="24"/>
        </w:rPr>
        <w:t>nevertheless</w:t>
      </w:r>
      <w:r w:rsidR="008E11DF">
        <w:rPr>
          <w:rFonts w:ascii="Times New Roman" w:hAnsi="Times New Roman"/>
          <w:bCs/>
          <w:sz w:val="24"/>
          <w:szCs w:val="24"/>
        </w:rPr>
        <w:t xml:space="preserve"> tended to have SBP trajectories characterised by lower mean measurements, while men tended to exhibit more pronounced decreases in SBP over the duration of the exposure period. </w:t>
      </w:r>
      <w:r w:rsidR="005D57BF">
        <w:rPr>
          <w:rFonts w:ascii="Times New Roman" w:hAnsi="Times New Roman"/>
          <w:bCs/>
          <w:sz w:val="24"/>
          <w:szCs w:val="24"/>
        </w:rPr>
        <w:t xml:space="preserve">Despite overall lower mortality and incident CVD rates amongst women, the excess risk of these adverse outcomes associated with hypertensive trajectories was higher in women than in men at univariable level. </w:t>
      </w:r>
      <w:r w:rsidR="004A7325" w:rsidRPr="00934725">
        <w:rPr>
          <w:rFonts w:ascii="Times New Roman" w:hAnsi="Times New Roman"/>
          <w:bCs/>
          <w:sz w:val="24"/>
          <w:szCs w:val="24"/>
        </w:rPr>
        <w:t>W</w:t>
      </w:r>
      <w:r w:rsidR="00D94F68" w:rsidRPr="00C136C4">
        <w:rPr>
          <w:rFonts w:ascii="Times New Roman" w:hAnsi="Times New Roman"/>
          <w:bCs/>
          <w:sz w:val="24"/>
          <w:szCs w:val="24"/>
        </w:rPr>
        <w:t>h</w:t>
      </w:r>
      <w:r w:rsidR="00D94F68" w:rsidRPr="00D815DD">
        <w:rPr>
          <w:rFonts w:ascii="Times New Roman" w:hAnsi="Times New Roman"/>
          <w:bCs/>
          <w:sz w:val="24"/>
          <w:szCs w:val="24"/>
        </w:rPr>
        <w:t>i</w:t>
      </w:r>
      <w:r w:rsidR="00D94F68" w:rsidRPr="0036738A">
        <w:rPr>
          <w:rFonts w:ascii="Times New Roman" w:hAnsi="Times New Roman"/>
          <w:bCs/>
          <w:sz w:val="24"/>
          <w:szCs w:val="24"/>
        </w:rPr>
        <w:t>l</w:t>
      </w:r>
      <w:r w:rsidR="00D94F68" w:rsidRPr="00AE2324">
        <w:rPr>
          <w:rFonts w:ascii="Times New Roman" w:hAnsi="Times New Roman"/>
          <w:bCs/>
          <w:sz w:val="24"/>
          <w:szCs w:val="24"/>
        </w:rPr>
        <w:t>e</w:t>
      </w:r>
      <w:r w:rsidR="00D94F68" w:rsidRPr="0064515D">
        <w:rPr>
          <w:rFonts w:ascii="Times New Roman" w:hAnsi="Times New Roman"/>
          <w:bCs/>
          <w:sz w:val="24"/>
          <w:szCs w:val="24"/>
        </w:rPr>
        <w:t xml:space="preserve"> </w:t>
      </w:r>
      <w:r w:rsidR="004A7325" w:rsidRPr="00231EA0">
        <w:rPr>
          <w:rFonts w:ascii="Times New Roman" w:hAnsi="Times New Roman"/>
          <w:bCs/>
          <w:sz w:val="24"/>
          <w:szCs w:val="24"/>
        </w:rPr>
        <w:t>the univariable associations between</w:t>
      </w:r>
      <w:r w:rsidR="00D94F68" w:rsidRPr="00934725">
        <w:rPr>
          <w:rFonts w:ascii="Times New Roman" w:hAnsi="Times New Roman"/>
          <w:bCs/>
          <w:sz w:val="24"/>
          <w:szCs w:val="24"/>
        </w:rPr>
        <w:t xml:space="preserve"> </w:t>
      </w:r>
      <w:r w:rsidR="00D94F68" w:rsidRPr="00C136C4">
        <w:rPr>
          <w:rFonts w:ascii="Times New Roman" w:hAnsi="Times New Roman"/>
          <w:bCs/>
          <w:sz w:val="24"/>
          <w:szCs w:val="24"/>
        </w:rPr>
        <w:t>l</w:t>
      </w:r>
      <w:r w:rsidR="00D94F68" w:rsidRPr="00D815DD">
        <w:rPr>
          <w:rFonts w:ascii="Times New Roman" w:hAnsi="Times New Roman"/>
          <w:bCs/>
          <w:sz w:val="24"/>
          <w:szCs w:val="24"/>
        </w:rPr>
        <w:t>o</w:t>
      </w:r>
      <w:r w:rsidR="00D94F68" w:rsidRPr="0036738A">
        <w:rPr>
          <w:rFonts w:ascii="Times New Roman" w:hAnsi="Times New Roman"/>
          <w:bCs/>
          <w:sz w:val="24"/>
          <w:szCs w:val="24"/>
        </w:rPr>
        <w:t>n</w:t>
      </w:r>
      <w:r w:rsidR="00D94F68" w:rsidRPr="00AE2324">
        <w:rPr>
          <w:rFonts w:ascii="Times New Roman" w:hAnsi="Times New Roman"/>
          <w:bCs/>
          <w:sz w:val="24"/>
          <w:szCs w:val="24"/>
        </w:rPr>
        <w:t>gitudi</w:t>
      </w:r>
      <w:r w:rsidR="00D94F68" w:rsidRPr="0064515D">
        <w:rPr>
          <w:rFonts w:ascii="Times New Roman" w:hAnsi="Times New Roman"/>
          <w:bCs/>
          <w:sz w:val="24"/>
          <w:szCs w:val="24"/>
        </w:rPr>
        <w:t>n</w:t>
      </w:r>
      <w:r w:rsidR="00D94F68" w:rsidRPr="008600D6">
        <w:rPr>
          <w:rFonts w:ascii="Times New Roman" w:hAnsi="Times New Roman"/>
          <w:bCs/>
          <w:sz w:val="24"/>
          <w:szCs w:val="24"/>
        </w:rPr>
        <w:t xml:space="preserve">al </w:t>
      </w:r>
      <w:r w:rsidR="00D94F68" w:rsidRPr="00567C19">
        <w:rPr>
          <w:rFonts w:ascii="Times New Roman" w:hAnsi="Times New Roman"/>
          <w:bCs/>
          <w:sz w:val="24"/>
          <w:szCs w:val="24"/>
        </w:rPr>
        <w:t>BP</w:t>
      </w:r>
      <w:r w:rsidR="00D94F68" w:rsidRPr="004A7325">
        <w:rPr>
          <w:rFonts w:ascii="Times New Roman" w:hAnsi="Times New Roman"/>
          <w:bCs/>
          <w:sz w:val="24"/>
          <w:szCs w:val="24"/>
        </w:rPr>
        <w:t xml:space="preserve"> trajectories and mortality </w:t>
      </w:r>
      <w:r w:rsidR="004A7325" w:rsidRPr="00231EA0">
        <w:rPr>
          <w:rFonts w:ascii="Times New Roman" w:hAnsi="Times New Roman"/>
          <w:bCs/>
          <w:sz w:val="24"/>
          <w:szCs w:val="24"/>
        </w:rPr>
        <w:t>were rendered no</w:t>
      </w:r>
      <w:r w:rsidR="00AE2324">
        <w:rPr>
          <w:rFonts w:ascii="Times New Roman" w:hAnsi="Times New Roman"/>
          <w:bCs/>
          <w:sz w:val="24"/>
          <w:szCs w:val="24"/>
        </w:rPr>
        <w:t>n-</w:t>
      </w:r>
      <w:r w:rsidR="004A7325" w:rsidRPr="00231EA0">
        <w:rPr>
          <w:rFonts w:ascii="Times New Roman" w:hAnsi="Times New Roman"/>
          <w:bCs/>
          <w:sz w:val="24"/>
          <w:szCs w:val="24"/>
        </w:rPr>
        <w:t>significant</w:t>
      </w:r>
      <w:r w:rsidR="00D94F68" w:rsidRPr="00934725">
        <w:rPr>
          <w:rFonts w:ascii="Times New Roman" w:hAnsi="Times New Roman"/>
          <w:bCs/>
          <w:sz w:val="24"/>
          <w:szCs w:val="24"/>
        </w:rPr>
        <w:t xml:space="preserve"> </w:t>
      </w:r>
      <w:r w:rsidR="00D94F68" w:rsidRPr="00C136C4">
        <w:rPr>
          <w:rFonts w:ascii="Times New Roman" w:hAnsi="Times New Roman"/>
          <w:bCs/>
          <w:sz w:val="24"/>
          <w:szCs w:val="24"/>
        </w:rPr>
        <w:t>u</w:t>
      </w:r>
      <w:r w:rsidR="00D94F68" w:rsidRPr="00D815DD">
        <w:rPr>
          <w:rFonts w:ascii="Times New Roman" w:hAnsi="Times New Roman"/>
          <w:bCs/>
          <w:sz w:val="24"/>
          <w:szCs w:val="24"/>
        </w:rPr>
        <w:t>p</w:t>
      </w:r>
      <w:r w:rsidR="00D94F68" w:rsidRPr="0036738A">
        <w:rPr>
          <w:rFonts w:ascii="Times New Roman" w:hAnsi="Times New Roman"/>
          <w:bCs/>
          <w:sz w:val="24"/>
          <w:szCs w:val="24"/>
        </w:rPr>
        <w:t>o</w:t>
      </w:r>
      <w:r w:rsidR="00D94F68" w:rsidRPr="00AE2324">
        <w:rPr>
          <w:rFonts w:ascii="Times New Roman" w:hAnsi="Times New Roman"/>
          <w:bCs/>
          <w:sz w:val="24"/>
          <w:szCs w:val="24"/>
        </w:rPr>
        <w:t xml:space="preserve">n </w:t>
      </w:r>
      <w:r w:rsidR="004A7325" w:rsidRPr="00231EA0">
        <w:rPr>
          <w:rFonts w:ascii="Times New Roman" w:hAnsi="Times New Roman"/>
          <w:bCs/>
          <w:sz w:val="24"/>
          <w:szCs w:val="24"/>
        </w:rPr>
        <w:t xml:space="preserve">only </w:t>
      </w:r>
      <w:r w:rsidR="00D94F68" w:rsidRPr="00934725">
        <w:rPr>
          <w:rFonts w:ascii="Times New Roman" w:hAnsi="Times New Roman"/>
          <w:bCs/>
          <w:sz w:val="24"/>
          <w:szCs w:val="24"/>
        </w:rPr>
        <w:t>a</w:t>
      </w:r>
      <w:r w:rsidR="00D94F68" w:rsidRPr="00C136C4">
        <w:rPr>
          <w:rFonts w:ascii="Times New Roman" w:hAnsi="Times New Roman"/>
          <w:bCs/>
          <w:sz w:val="24"/>
          <w:szCs w:val="24"/>
        </w:rPr>
        <w:t>g</w:t>
      </w:r>
      <w:r w:rsidR="00D94F68" w:rsidRPr="00D815DD">
        <w:rPr>
          <w:rFonts w:ascii="Times New Roman" w:hAnsi="Times New Roman"/>
          <w:bCs/>
          <w:sz w:val="24"/>
          <w:szCs w:val="24"/>
        </w:rPr>
        <w:t>e</w:t>
      </w:r>
      <w:r w:rsidR="00D94F68" w:rsidRPr="0036738A">
        <w:rPr>
          <w:rFonts w:ascii="Times New Roman" w:hAnsi="Times New Roman"/>
          <w:bCs/>
          <w:sz w:val="24"/>
          <w:szCs w:val="24"/>
        </w:rPr>
        <w:t xml:space="preserve"> </w:t>
      </w:r>
      <w:r w:rsidR="00D94F68" w:rsidRPr="00AE2324">
        <w:rPr>
          <w:rFonts w:ascii="Times New Roman" w:hAnsi="Times New Roman"/>
          <w:bCs/>
          <w:sz w:val="24"/>
          <w:szCs w:val="24"/>
        </w:rPr>
        <w:t xml:space="preserve">and </w:t>
      </w:r>
      <w:r w:rsidR="00D94F68" w:rsidRPr="0064515D">
        <w:rPr>
          <w:rFonts w:ascii="Times New Roman" w:hAnsi="Times New Roman"/>
          <w:bCs/>
          <w:sz w:val="24"/>
          <w:szCs w:val="24"/>
        </w:rPr>
        <w:t>e</w:t>
      </w:r>
      <w:r w:rsidR="00D94F68" w:rsidRPr="008600D6">
        <w:rPr>
          <w:rFonts w:ascii="Times New Roman" w:hAnsi="Times New Roman"/>
          <w:bCs/>
          <w:sz w:val="24"/>
          <w:szCs w:val="24"/>
        </w:rPr>
        <w:t>thn</w:t>
      </w:r>
      <w:r w:rsidR="00D94F68" w:rsidRPr="00567C19">
        <w:rPr>
          <w:rFonts w:ascii="Times New Roman" w:hAnsi="Times New Roman"/>
          <w:bCs/>
          <w:sz w:val="24"/>
          <w:szCs w:val="24"/>
        </w:rPr>
        <w:t>ic</w:t>
      </w:r>
      <w:r w:rsidR="00D94F68" w:rsidRPr="004A7325">
        <w:rPr>
          <w:rFonts w:ascii="Times New Roman" w:hAnsi="Times New Roman"/>
          <w:bCs/>
          <w:sz w:val="24"/>
          <w:szCs w:val="24"/>
        </w:rPr>
        <w:t>ity adjustment</w:t>
      </w:r>
      <w:r w:rsidR="00214A42">
        <w:rPr>
          <w:rFonts w:ascii="Times New Roman" w:hAnsi="Times New Roman"/>
          <w:bCs/>
          <w:sz w:val="24"/>
          <w:szCs w:val="24"/>
        </w:rPr>
        <w:t xml:space="preserve"> amongst both sexes</w:t>
      </w:r>
      <w:r w:rsidR="00D94F68" w:rsidRPr="00934725">
        <w:rPr>
          <w:rFonts w:ascii="Times New Roman" w:hAnsi="Times New Roman"/>
          <w:bCs/>
          <w:sz w:val="24"/>
          <w:szCs w:val="24"/>
        </w:rPr>
        <w:t>,</w:t>
      </w:r>
      <w:r w:rsidR="00D94F68" w:rsidRPr="00C136C4">
        <w:rPr>
          <w:rFonts w:ascii="Times New Roman" w:hAnsi="Times New Roman"/>
          <w:bCs/>
          <w:sz w:val="24"/>
          <w:szCs w:val="24"/>
        </w:rPr>
        <w:t xml:space="preserve"> </w:t>
      </w:r>
      <w:r w:rsidR="00214A42">
        <w:rPr>
          <w:rFonts w:ascii="Times New Roman" w:hAnsi="Times New Roman"/>
          <w:bCs/>
          <w:sz w:val="24"/>
          <w:szCs w:val="24"/>
        </w:rPr>
        <w:t>the associations between</w:t>
      </w:r>
      <w:r w:rsidR="00934725">
        <w:rPr>
          <w:rFonts w:ascii="Times New Roman" w:hAnsi="Times New Roman"/>
          <w:bCs/>
          <w:sz w:val="24"/>
          <w:szCs w:val="24"/>
        </w:rPr>
        <w:t xml:space="preserve"> hypertensive</w:t>
      </w:r>
      <w:r w:rsidR="00214A42">
        <w:rPr>
          <w:rFonts w:ascii="Times New Roman" w:hAnsi="Times New Roman"/>
          <w:bCs/>
          <w:sz w:val="24"/>
          <w:szCs w:val="24"/>
        </w:rPr>
        <w:t xml:space="preserve"> BP trajectories and incident mortality</w:t>
      </w:r>
      <w:r w:rsidR="00934725">
        <w:rPr>
          <w:rFonts w:ascii="Times New Roman" w:hAnsi="Times New Roman"/>
          <w:bCs/>
          <w:sz w:val="24"/>
          <w:szCs w:val="24"/>
        </w:rPr>
        <w:t xml:space="preserve"> amongst men</w:t>
      </w:r>
      <w:r w:rsidR="00214A42">
        <w:rPr>
          <w:rFonts w:ascii="Times New Roman" w:hAnsi="Times New Roman"/>
          <w:bCs/>
          <w:sz w:val="24"/>
          <w:szCs w:val="24"/>
        </w:rPr>
        <w:t xml:space="preserve"> were</w:t>
      </w:r>
      <w:r w:rsidR="00934725">
        <w:rPr>
          <w:rFonts w:ascii="Times New Roman" w:hAnsi="Times New Roman"/>
          <w:bCs/>
          <w:sz w:val="24"/>
          <w:szCs w:val="24"/>
        </w:rPr>
        <w:t xml:space="preserve"> maintained </w:t>
      </w:r>
      <w:r w:rsidR="0064515D">
        <w:rPr>
          <w:rFonts w:ascii="Times New Roman" w:hAnsi="Times New Roman"/>
          <w:bCs/>
          <w:sz w:val="24"/>
          <w:szCs w:val="24"/>
        </w:rPr>
        <w:t>after</w:t>
      </w:r>
      <w:r w:rsidR="00934725">
        <w:rPr>
          <w:rFonts w:ascii="Times New Roman" w:hAnsi="Times New Roman"/>
          <w:bCs/>
          <w:sz w:val="24"/>
          <w:szCs w:val="24"/>
        </w:rPr>
        <w:t xml:space="preserve"> comprehensive adjustment for age, ethnicity, lifestyle factors, co-morbidities and baseline LDL-c levels. </w:t>
      </w:r>
      <w:r w:rsidR="000054BC">
        <w:rPr>
          <w:rFonts w:ascii="Times New Roman" w:hAnsi="Times New Roman"/>
          <w:bCs/>
          <w:sz w:val="24"/>
          <w:szCs w:val="24"/>
        </w:rPr>
        <w:t>F</w:t>
      </w:r>
      <w:r w:rsidR="00934725">
        <w:rPr>
          <w:rFonts w:ascii="Times New Roman" w:hAnsi="Times New Roman"/>
          <w:bCs/>
          <w:sz w:val="24"/>
          <w:szCs w:val="24"/>
        </w:rPr>
        <w:t>urther adjustment for anti-hypertensive treatment</w:t>
      </w:r>
      <w:r w:rsidR="000054BC">
        <w:rPr>
          <w:rFonts w:ascii="Times New Roman" w:hAnsi="Times New Roman"/>
          <w:bCs/>
          <w:sz w:val="24"/>
          <w:szCs w:val="24"/>
        </w:rPr>
        <w:t xml:space="preserve"> rendered this association non-significant</w:t>
      </w:r>
      <w:r w:rsidR="00934725">
        <w:rPr>
          <w:rFonts w:ascii="Times New Roman" w:hAnsi="Times New Roman"/>
          <w:bCs/>
          <w:sz w:val="24"/>
          <w:szCs w:val="24"/>
        </w:rPr>
        <w:t xml:space="preserve">, suggesting that </w:t>
      </w:r>
      <w:r w:rsidR="00934725" w:rsidRPr="00934725">
        <w:rPr>
          <w:rFonts w:ascii="Times New Roman" w:hAnsi="Times New Roman"/>
          <w:bCs/>
          <w:sz w:val="24"/>
          <w:szCs w:val="24"/>
        </w:rPr>
        <w:t xml:space="preserve">the long-term adverse effects of hypertension may be offset by appropriate and timely antihypertensive </w:t>
      </w:r>
      <w:r w:rsidR="00934725">
        <w:rPr>
          <w:rFonts w:ascii="Times New Roman" w:hAnsi="Times New Roman"/>
          <w:bCs/>
          <w:sz w:val="24"/>
          <w:szCs w:val="24"/>
        </w:rPr>
        <w:t>treatment.</w:t>
      </w:r>
    </w:p>
    <w:p w14:paraId="1E24ADA1" w14:textId="6E6B2227" w:rsidR="00F63186" w:rsidRPr="00372862" w:rsidRDefault="00F63186" w:rsidP="00F63186">
      <w:pPr>
        <w:spacing w:line="360" w:lineRule="auto"/>
        <w:rPr>
          <w:rFonts w:ascii="Times New Roman" w:hAnsi="Times New Roman"/>
          <w:bCs/>
          <w:sz w:val="24"/>
          <w:szCs w:val="24"/>
        </w:rPr>
      </w:pPr>
      <w:r w:rsidRPr="00372862">
        <w:rPr>
          <w:rFonts w:ascii="Times New Roman" w:hAnsi="Times New Roman"/>
          <w:bCs/>
          <w:sz w:val="24"/>
          <w:szCs w:val="24"/>
        </w:rPr>
        <w:lastRenderedPageBreak/>
        <w:t>Several</w:t>
      </w:r>
      <w:r w:rsidR="006D0997">
        <w:rPr>
          <w:rFonts w:ascii="Times New Roman" w:hAnsi="Times New Roman"/>
          <w:bCs/>
          <w:sz w:val="24"/>
          <w:szCs w:val="24"/>
        </w:rPr>
        <w:t xml:space="preserve"> previous</w:t>
      </w:r>
      <w:r w:rsidRPr="00372862">
        <w:rPr>
          <w:rFonts w:ascii="Times New Roman" w:hAnsi="Times New Roman"/>
          <w:bCs/>
          <w:sz w:val="24"/>
          <w:szCs w:val="24"/>
        </w:rPr>
        <w:t xml:space="preserve"> investigations assessed the relationship between long-term BP burden and </w:t>
      </w:r>
      <w:r>
        <w:rPr>
          <w:rFonts w:ascii="Times New Roman" w:hAnsi="Times New Roman"/>
          <w:bCs/>
          <w:sz w:val="24"/>
          <w:szCs w:val="24"/>
        </w:rPr>
        <w:t>CVD</w:t>
      </w:r>
      <w:r w:rsidRPr="00372862">
        <w:rPr>
          <w:rFonts w:ascii="Times New Roman" w:hAnsi="Times New Roman"/>
          <w:bCs/>
          <w:sz w:val="24"/>
          <w:szCs w:val="24"/>
        </w:rPr>
        <w:t xml:space="preserve">. A dose-response relationship between </w:t>
      </w:r>
      <w:r>
        <w:rPr>
          <w:rFonts w:ascii="Times New Roman" w:hAnsi="Times New Roman"/>
          <w:bCs/>
          <w:sz w:val="24"/>
          <w:szCs w:val="24"/>
        </w:rPr>
        <w:t>cumulative</w:t>
      </w:r>
      <w:r w:rsidRPr="00372862">
        <w:rPr>
          <w:rFonts w:ascii="Times New Roman" w:hAnsi="Times New Roman"/>
          <w:bCs/>
          <w:sz w:val="24"/>
          <w:szCs w:val="24"/>
        </w:rPr>
        <w:t xml:space="preserve"> exp</w:t>
      </w:r>
      <w:r>
        <w:rPr>
          <w:rFonts w:ascii="Times New Roman" w:hAnsi="Times New Roman"/>
          <w:bCs/>
          <w:sz w:val="24"/>
          <w:szCs w:val="24"/>
        </w:rPr>
        <w:t>o</w:t>
      </w:r>
      <w:r w:rsidRPr="00372862">
        <w:rPr>
          <w:rFonts w:ascii="Times New Roman" w:hAnsi="Times New Roman"/>
          <w:bCs/>
          <w:sz w:val="24"/>
          <w:szCs w:val="24"/>
        </w:rPr>
        <w:t xml:space="preserve">sure to elevated BP and incident </w:t>
      </w:r>
      <w:r>
        <w:rPr>
          <w:rFonts w:ascii="Times New Roman" w:hAnsi="Times New Roman"/>
          <w:bCs/>
          <w:sz w:val="24"/>
          <w:szCs w:val="24"/>
        </w:rPr>
        <w:t>CVD</w:t>
      </w:r>
      <w:r w:rsidRPr="00372862">
        <w:rPr>
          <w:rFonts w:ascii="Times New Roman" w:hAnsi="Times New Roman"/>
          <w:bCs/>
          <w:sz w:val="24"/>
          <w:szCs w:val="24"/>
        </w:rPr>
        <w:t xml:space="preserve"> and cardiovascular mortality has been previously reported</w:t>
      </w:r>
      <w:r>
        <w:rPr>
          <w:rFonts w:ascii="Times New Roman" w:hAnsi="Times New Roman"/>
          <w:bCs/>
          <w:sz w:val="24"/>
          <w:szCs w:val="24"/>
        </w:rPr>
        <w:fldChar w:fldCharType="begin" w:fldLock="1"/>
      </w:r>
      <w:r w:rsidR="00190631">
        <w:rPr>
          <w:rFonts w:ascii="Times New Roman" w:hAnsi="Times New Roman"/>
          <w:bCs/>
          <w:sz w:val="24"/>
          <w:szCs w:val="24"/>
        </w:rPr>
        <w:instrText>ADDIN CSL_CITATION {"citationItems":[{"id":"ITEM-1","itemData":{"DOI":"10.1161/CIRCULATIONAHA.110.002774","ISSN":"1524-4539 (Electronic)","PMID":"22184621","abstract":"BACKGROUND: Prior estimates of lifetime risk (LTR) for cardiovascular disease (CVD) examined the impact of blood pressure (BP) at the index age and did not account for changes in BP over time. We examined how changes in BP during middle age affect LTR for CVD, coronary heart disease, and stroke. METHODS AND RESULTS: Data from 7 diverse US cohort studies were pooled. Remaining LTRs for CVD, coronary heart disease, and stroke were estimated for white and black men and women with death free of CVD as a competing event. LTRs for CVD by BP strata and by changes in BP over an average of 14 years were estimated. Starting at 55 years of age, we followed up 61 585 men and women for 700 000 person-years. LTR for CVD was 52.5% (95% confidence interval, 51.3-53.7) for men and 39.9% (95% confidence interval, 38.7-41.0) for women. LTR for CVD was higher for blacks and increased with increasing BP at index age. Individuals who maintained or decreased their BP to normal levels had the lowest remaining LTR for CVD, 22% to 41%, compared with individuals who had or developed hypertension by 55 years of age, 42% to 69%, suggesting a dose- response effect for the length of time at high BP levels. CONCLUSIONS: Individuals who experience increases or decreases in BP in middle age have associated higher and lower remaining LTR for CVD. Prevention efforts should continue to emphasize the importance of lowering BP and avoiding or delaying the incidence of hypertension to reduce the LTR for CVD.","author":[{"dropping-particle":"","family":"Allen","given":"Norrina","non-dropping-particle":"","parse-names":false,"suffix":""},{"dropping-particle":"","family":"Berry","given":"Jarett D","non-dropping-particle":"","parse-names":false,"suffix":""},{"dropping-particle":"","family":"Ning","given":"Hongyan","non-dropping-particle":"","parse-names":false,"suffix":""},{"dropping-particle":"","family":"Horn","given":"Linda","non-dropping-particle":"Van","parse-names":false,"suffix":""},{"dropping-particle":"","family":"Dyer","given":"Alan","non-dropping-particle":"","parse-names":false,"suffix":""},{"dropping-particle":"","family":"Lloyd-Jones","given":"Donald M","non-dropping-particle":"","parse-names":false,"suffix":""}],"container-title":"Circulation","id":"ITEM-1","issue":"1","issued":{"date-parts":[["2012","1"]]},"language":"eng","page":"37-44","publisher-place":"United States","title":"Impact of blood pressure and blood pressure change during middle age on the remaining lifetime risk for cardiovascular disease: the cardiovascular lifetime risk pooling project.","type":"article-journal","volume":"125"},"uris":["http://www.mendeley.com/documents/?uuid=346fbe38-c616-43a6-b780-646a2158956a"]},{"id":"ITEM-2","itemData":{"DOI":"10.1001/jamacardio.2018.2763","ISSN":"2380-6591 (Electronic)","PMID":"30193291","abstract":"Importance: Long-term cumulative systolic blood pressure (SBP) is significantly associated with increased rates of atherosclerotic cardiovascular disease (ASCVD) development independent of single SBP levels. However, published ASCVD risk prediction algorithms only include currently measured SBP. Objective: To determine whether including long- term (5- and 10-year) cumulative SBP in risk equations improves the predictive ability compared with single SBP measurements. Design, Setting, and Participants: Adults aged 45 to 65 years at the time of risk estimation with at least 20 years of follow-up (5 and 10 years prior to risk estimation and 10 years of event follow-up). The Lifetime Risk Pooling Project included data from the following cohorts: Coronary Artery Risk Development in Young Adults Study, Atherosclerosis Risk in Communities Study, and Framingham Heart Study (both the original and offspring). Exposures: Ten-year ASCVD risk, calculated using the approach of the 2013 American College of Cardiology/American Heart Association 10-year ASCVD risk equations, first with current SBP and then substituting 5- and 10-year cumulative SBP levels. Main Outcomes and Measures: Incident ASCVD events that occurred over 10 years of follow-up, compared with the predicted risks, using the C statistic, net reclassification index at event rate, and the integrated discrimination index. Results: This study included 11767 participants with a mean (SD) age of 59.1 (4.7) years at risk estimation. A total of 6873 participants (58%) were women, and 1499 (13%) were African American. In the 10 years of follow-up from risk estimation, 1887 participants (16%) had an ASCVD event. There were no significant improvements in the C statistic when including 5- or 10-year cumulative SBP. However, the addition of cumulative SBP resulted in significant improvements in the net reclassification index at event rate (10-year net reclassification index for men, 0.04 [95% CI, 0.02-0.06]; 10-year net reclassification index for women, 0.03 [95% CI, 0.01-0.06]) and the relative integrated discrimination index (10-year relative integrated discrimination index for men, 0.12; 10-year relative integrated discrimination index for women, 0.10). Conclusions and Relevance: Using long-term measures of cumulative blood pressure, instead of single measurements, can modestly improve the ability of cardiovascular disease risk prediction models to correctly classify individuals in terms of their risk for cardiovas…","author":[{"dropping-particle":"","family":"Pool","given":"Lindsay R","non-dropping-particle":"","parse-names":false,"suffix":""},{"dropping-particle":"","family":"Ning","given":"Hongyan","non-dropping-particle":"","parse-names":false,"suffix":""},{"dropping-particle":"","family":"Wilkins","given":"John","non-dropping-particle":"","parse-names":false,"suffix":""},{"dropping-particle":"","family":"Lloyd-Jones","given":"Donald M","non-dropping-particle":"","parse-names":false,"suffix":""},{"dropping-particle":"","family":"Allen","given":"Norrina B","non-dropping-particle":"","parse-names":false,"suffix":""}],"container-title":"JAMA cardiology","id":"ITEM-2","issue":"11","issued":{"date-parts":[["2018","11"]]},"language":"eng","page":"1096-1100","publisher-place":"United States","title":"Use of Long-term Cumulative Blood Pressure in Cardiovascular Risk Prediction Models.","type":"article-journal","volume":"3"},"uris":["http://www.mendeley.com/documents/?uuid=6fea2b80-aba4-43db-bdaf-3a51cead0f85"]},{"id":"ITEM-3","itemData":{"DOI":"10.1016/j.jacc.2019.03.529","ISSN":"1558-3597 (Electronic)","PMID":"31319915","abstract":"BACKGROUND: Blood pressure (BP) and cholesterol are major modifiable risk factors for cardiovascular disease (CVD), but effects of exposures during young adulthood on later life CVD risk have not been well quantified. OBJECTIVE: The authors sought to evaluate the independent associations between young adult exposures to risk factors and later life CVD risk, accounting for later life exposures. METHODS: The authors pooled data from 6 U.S. cohorts with observations spanning the life course from young adulthood to later life, and imputed risk factor trajectories for low- density lipoprotein (LDL) and high-density lipoprotein cholesterols, systolic and diastolic BP starting from age 18 years for every participant. Time-weighted average exposures to each risk factor during young (age 18 to 39 years) and later adulthood (age &gt;/=40 years) were calculated and linked to subsequent risks of coronary heart disease (CHD), heart failure (HF), or stroke. RESULTS: A total of 36,030 participants were included. During a median follow-up of 17 years, there were 4,570 CHD, 5,119 HF, and 2,862 stroke events. When young and later adult risk factors were considered jointly in the model, young adult LDL &gt;/=100 mg/dl (compared with &lt;100 mg/dl) was associated with a 64% increased risk for CHD, independent of later adult exposures. Similarly, young adult SBP &gt;/=130 mm Hg (compared with &lt;120 mm Hg) was associated with a 37% increased risk for HF, and young adult DBP &gt;/=80 mm Hg (compared with &lt;80 mm Hg) was associated with a 21% increased risk. CONCLUSIONS: Cumulative young adult exposures to elevated systolic BP, diastolic BP and LDL were associated with increased CVD risks in later life, independent of later adult exposures.","author":[{"dropping-particle":"","family":"Zhang","given":"Yiyi","non-dropping-particle":"","parse-names":false,"suffix":""},{"dropping-particle":"","family":"Vittinghoff","given":"Eric","non-dropping-particle":"","parse-names":false,"suffix":""},{"dropping-particle":"","family":"Pletcher","given":"Mark J","non-dropping-particle":"","parse-names":false,"suffix":""},{"dropping-particle":"","family":"Allen","given":"Norrina B","non-dropping-particle":"","parse-names":false,"suffix":""},{"dropping-particle":"","family":"Zeki Al Hazzouri","given":"Adina","non-dropping-particle":"","parse-names":false,"suffix":""},{"dropping-particle":"","family":"Yaffe","given":"Kristine","non-dropping-particle":"","parse-names":false,"suffix":""},{"dropping-particle":"","family":"Balte","given":"Pallavi P","non-dropping-particle":"","parse-names":false,"suffix":""},{"dropping-particle":"","family":"Alonso","given":"Alvaro","non-dropping-particle":"","parse-names":false,"suffix":""},{"dropping-particle":"","family":"Newman","given":"Anne B","non-dropping-particle":"","parse-names":false,"suffix":""},{"dropping-particle":"","family":"Ives","given":"Diane G","non-dropping-particle":"","parse-names":false,"suffix":""},{"dropping-particle":"","family":"Rana","given":"Jamal S","non-dropping-particle":"","parse-names":false,"suffix":""},{"dropping-particle":"","family":"Lloyd-Jones","given":"Donald","non-dropping-particle":"","parse-names":false,"suffix":""},{"dropping-particle":"","family":"Vasan","given":"Ramachandran S","non-dropping-particle":"","parse-names":false,"suffix":""},{"dropping-particle":"","family":"Bibbins-Domingo","given":"Kirsten","non-dropping-particle":"","parse-names":false,"suffix":""},{"dropping-particle":"","family":"Gooding","given":"Holly C","non-dropping-particle":"","parse-names":false,"suffix":""},{"dropping-particle":"","family":"Ferranti","given":"Sarah D","non-dropping-particle":"de","parse-names":false,"suffix":""},{"dropping-particle":"","family":"Oelsner","given":"Elizabeth C","non-dropping-particle":"","parse-names":false,"suffix":""},{"dropping-particle":"","family":"Moran","given":"Andrew E","non-dropping-particle":"","parse-names":false,"suffix":""}],"container-title":"Journal of the American College of Cardiology","id":"ITEM-3","issue":"3","issued":{"date-parts":[["2019","7"]]},"language":"eng","page":"330-341","publisher-place":"United States","title":"Associations of Blood Pressure and Cholesterol Levels During Young Adulthood With Later Cardiovascular Events.","type":"article-journal","volume":"74"},"uris":["http://www.mendeley.com/documents/?uuid=da3f6c10-b3c6-427f-ac3f-d7d54335f58c"]},{"id":"ITEM-4","itemData":{"DOI":"10.1161/HYPERTENSIONAHA.118.11635","ISSN":"1524-4563 (Electronic)","PMID":"30763510","abstract":"Lifetime risk (LTR) provides an absolute risk assessment during the remainder of one's life. Few studies have focused on the LTRs of stroke and coronary heart disease (CHD), categorized by fine blood pressure in Asian populations. We aimed to assess it using a large database of a meta-analysis with the individual participant data. The present metaanalysis included 107 737 Japanese (42.4% men; mean age, 55.1 years) from 13 cohorts. During the mean follow-up of 15.2+/-5.3 years (1 559 136 person-years), 1922 died from stroke and 913 from CHD. We estimated risks after adjusting for competing risk of death other than the outcome of interest. The 10-year risk of stroke and CHD deaths at index age of 35 years was &lt;/=1.9% and &lt;/=0.3%, respectively. The LTRs of stroke death at the index age of 35 years (men/women) were 6.1%/4.8% for optimal, 5.7%/6.3% for normal, and 6.6%/6.0% for high-normal blood pressure groups, and 9.1%/7.9% for grade 1, 14.5%/10.3% for grade 2, and 14.6%/14.3% for grade 3 hypertension groups. The LTRs of CHD death similarly elevated with an increase in blood pressure but were lower (&lt;/=7.2%) than those of stroke death. In conclusion, blood pressure was clearly associated with an elevated LTR of stroke or CHD death, although the LTR of CHD death was one-half of that of stroke death in an Asian population. These results would help young people with hypertension to adopt a healthy lifestyle or start antihypertensive therapy early.","author":[{"dropping-particle":"","family":"Satoh","given":"Michihiro","non-dropping-particle":"","parse-names":false,"suffix":""},{"dropping-particle":"","family":"Ohkubo","given":"Takayoshi","non-dropping-particle":"","parse-names":false,"suffix":""},{"dropping-particle":"","family":"Asayama","given":"Kei","non-dropping-particle":"","parse-names":false,"suffix":""},{"dropping-particle":"","family":"Murakami","given":"Yoshitaka","non-dropping-particle":"","parse-names":false,"suffix":""},{"dropping-particle":"","family":"Sugiyama","given":"Daisuke","non-dropping-particle":"","parse-names":false,"suffix":""},{"dropping-particle":"","family":"Yamada","given":"Michiko","non-dropping-particle":"","parse-names":false,"suffix":""},{"dropping-particle":"","family":"Saitoh","given":"Shigeyuki","non-dropping-particle":"","parse-names":false,"suffix":""},{"dropping-particle":"","family":"Sakata","given":"Kiyomi","non-dropping-particle":"","parse-names":false,"suffix":""},{"dropping-particle":"","family":"Irie","given":"Fujiko","non-dropping-particle":"","parse-names":false,"suffix":""},{"dropping-particle":"","family":"Sairenchi","given":"Toshimi","non-dropping-particle":"","parse-names":false,"suffix":""},{"dropping-particle":"","family":"Ishikawa","given":"Shizukiyo","non-dropping-particle":"","parse-names":false,"suffix":""},{"dropping-particle":"","family":"Kiyama","given":"Masahiko","non-dropping-particle":"","parse-names":false,"suffix":""},{"dropping-particle":"","family":"Ohnishi","given":"Hirofumi","non-dropping-particle":"","parse-names":false,"suffix":""},{"dropping-particle":"","family":"Miura","given":"Katsuyuki","non-dropping-particle":"","parse-names":false,"suffix":""},{"dropping-particle":"","family":"Imai","given":"Yutaka","non-dropping-particle":"","parse-names":false,"suffix":""},{"dropping-particle":"","family":"Ueshima","given":"Hirotsugu","non-dropping-particle":"","parse-names":false,"suffix":""},{"dropping-particle":"","family":"Okamura","given":"Tomonori","non-dropping-particle":"","parse-names":false,"suffix":""}],"container-title":"Hypertension (Dallas, Tex. : 1979)","id":"ITEM-4","issue":"1","issued":{"date-parts":[["2019","1"]]},"language":"eng","page":"52-59","publisher-place":"United States","title":"Lifetime Risk of Stroke and Coronary Heart Disease Deaths According to Blood Pressure Level: EPOCH-JAPAN (Evidence for Cardiovascular Prevention From Observational Cohorts in Japan)","type":"article-journal","volume":"73"},"uris":["http://www.mendeley.com/documents/?uuid=8b9fe7f0-446a-4a09-890c-efc937d46a35"]},{"id":"ITEM-5","itemData":{"DOI":"10.1161/HYPERTENSIONAHA.120.14833","ISSN":"1524-4563 (Electronic)","PMID":"32536273","abstract":"Limited data exist regarding systolic blood pressure (SBP) through mid- to late-life and late-life cardiac function and heart failure (HF) risk. Among 4578 HF-free participants in the ARIC study (Atherosclerosis Risk in Communities) attending the fifth visit (2011-2013; age 75+/-5 years), time-averaged cumulative SBP was calculated as the sum of averaged SBPs from adjacent consecutive visits (visits 1-5) indexed to total observation time (24+/-1 years). Calculations were performed using measured SBPs and also incorporating antihypertensive medication specific effect constants (underlying SBP). Outcomes included comprehensive echocardiography at visit 5 and post-visit 5 incident HF, HF with preserved ejection fraction, and reduced ejection fraction. Higher cumulative SBP was associated with greater left ventricular mass and worse diastolic measures (all P&lt;0.001), associations that were stronger with underlying compared with cumulative SBP (all P&lt;0.05). At 5.6+/-1.2 years follow-up post-visit 5, higher cumulative measured and underlying SBP were associated with incident HF (hazard ratio per 10 mm Hg for measured: 1.12 [1.01-1.24]; underlying: 1.19 [95% CI, 1.10-1.30]) and HF with preserved ejection fraction (measured: 1.15 [1.00-1.33]; underlying: 1.28 [1.14-1.45]), but not HF with reduced ejection fraction (measured: 1.11 [0.94-1.32]; underlying: 1.11 [0.96-1.24]). Associations with HF and HF with preserved ejection fraction were more robust with cumulative underlying compared with measured SBP (all P&lt;0.05). Time-averaged cumulative SBP in mid to late life is associated with worse cardiac function and risk of incident HF, especially HF with preserved ejection fraction, in late life. These associations were stronger considering underlying as opposed to measured SBP, highlighting the importance of prevention and effective treatment of hypertension to prevent late-life cardiac dysfunction and HF.","author":[{"dropping-particle":"","family":"Teramoto","given":"Kanako","non-dropping-particle":"","parse-names":false,"suffix":""},{"dropping-particle":"","family":"Nadruz Junior","given":"Wilson","non-dropping-particle":"","parse-names":false,"suffix":""},{"dropping-particle":"","family":"Matsushita","given":"Kunihiro","non-dropping-particle":"","parse-names":false,"suffix":""},{"dropping-particle":"","family":"Claggett","given":"Brian","non-dropping-particle":"","parse-names":false,"suffix":""},{"dropping-particle":"","family":"John","given":"Jenine E","non-dropping-particle":"","parse-names":false,"suffix":""},{"dropping-particle":"","family":"Skali","given":"Hicham","non-dropping-particle":"","parse-names":false,"suffix":""},{"dropping-particle":"","family":"Solomon","given":"Scott","non-dropping-particle":"","parse-names":false,"suffix":""},{"dropping-particle":"","family":"Cheng","given":"Susan","non-dropping-particle":"","parse-names":false,"suffix":""},{"dropping-particle":"","family":"Shah","given":"Amil M","non-dropping-particle":"","parse-names":false,"suffix":""}],"container-title":"Hypertension (Dallas, Tex. : 1979)","id":"ITEM-5","issue":"3","issued":{"date-parts":[["2020","9"]]},"language":"eng","page":"808-818","publisher-place":"United States","title":"Mid- to Late-Life Time-Averaged Cumulative Blood Pressure and Late-Life Cardiac Structure, Function, and Heart Failure.","type":"article-journal","volume":"76"},"uris":["http://www.mendeley.com/documents/?uuid=e6db6186-f5e2-4708-8f1d-f5004d1f8791"]}],"mendeley":{"formattedCitation":"&lt;sup&gt;13,28–31&lt;/sup&gt;","plainTextFormattedCitation":"13,28–31","previouslyFormattedCitation":"&lt;sup&gt;13,28–31&lt;/sup&gt;"},"properties":{"noteIndex":0},"schema":"https://github.com/citation-style-language/schema/raw/master/csl-citation.json"}</w:instrText>
      </w:r>
      <w:r>
        <w:rPr>
          <w:rFonts w:ascii="Times New Roman" w:hAnsi="Times New Roman"/>
          <w:bCs/>
          <w:sz w:val="24"/>
          <w:szCs w:val="24"/>
        </w:rPr>
        <w:fldChar w:fldCharType="separate"/>
      </w:r>
      <w:r w:rsidR="00AC05A9" w:rsidRPr="00AC05A9">
        <w:rPr>
          <w:rFonts w:ascii="Times New Roman" w:hAnsi="Times New Roman"/>
          <w:bCs/>
          <w:noProof/>
          <w:sz w:val="24"/>
          <w:szCs w:val="24"/>
          <w:vertAlign w:val="superscript"/>
        </w:rPr>
        <w:t>13,28–31</w:t>
      </w:r>
      <w:r>
        <w:rPr>
          <w:rFonts w:ascii="Times New Roman" w:hAnsi="Times New Roman"/>
          <w:bCs/>
          <w:sz w:val="24"/>
          <w:szCs w:val="24"/>
        </w:rPr>
        <w:fldChar w:fldCharType="end"/>
      </w:r>
      <w:r w:rsidRPr="00372862">
        <w:rPr>
          <w:rFonts w:ascii="Times New Roman" w:hAnsi="Times New Roman"/>
          <w:bCs/>
          <w:sz w:val="24"/>
          <w:szCs w:val="24"/>
        </w:rPr>
        <w:t>. Furthermore, several investigations have reported that prolonged exposure to elevated BP trajectories is associated with increased atherosclerotic burden</w:t>
      </w:r>
      <w:r>
        <w:rPr>
          <w:rFonts w:ascii="Times New Roman" w:hAnsi="Times New Roman"/>
          <w:bCs/>
          <w:sz w:val="24"/>
          <w:szCs w:val="24"/>
        </w:rPr>
        <w:fldChar w:fldCharType="begin" w:fldLock="1"/>
      </w:r>
      <w:r w:rsidR="00190631">
        <w:rPr>
          <w:rFonts w:ascii="Times New Roman" w:hAnsi="Times New Roman"/>
          <w:bCs/>
          <w:sz w:val="24"/>
          <w:szCs w:val="24"/>
        </w:rPr>
        <w:instrText>ADDIN CSL_CITATION {"citationItems":[{"id":"ITEM-1","itemData":{"DOI":"10.1001/jama.2013.285122","ISSN":"1538-3598 (Electronic)","PMID":"24496536","abstract":"IMPORTANCE: Single measures of blood pressure (BP) levels are associated with the development of atherosclerosis; however, long-term patterns in BP and their effect on cardiovascular disease risk are poorly characterized. OBJECTIVES: To identify common BP trajectories throughout early adulthood and to determine their association with presence of coronary artery calcification (CAC) during middle age. DESIGN, SETTING, AND PARTICIPANTS: Prospective cohort data from 4681 participants in the CARDIA study, who were black and white men and women aged 18 to 30 years at baseline in 1985-1986 at 4 urban US sites, collected through 25 years of follow-up (2010-2011). We examined systolic BP, diastolic BP, and mid- BP (calculated as [SBP+DBP]/2, an important marker of coronary heart disease risk among younger populations) at baseline and years 2, 5, 7, 10, 15, 20, and 25. Latent mixture modeling was used to identify trajectories in systolic, diastolic, and mid-BP over time. MAIN OUTCOMES AND MEASURES: Coronary artery calcification greater than or equal to Agatston score of 100 Hounsfield units (HU) at year 25. RESULTS: We identified 5 distinct mid-BP trajectories: low-stable (21.8%; 95% CI, 19.9%-23.7%; n=987), moderate-stable (42.3%; 40.3%-44.3%; n=2085), moderate-increasing (12.2%; 10.4%-14.0%; n=489), elevated-stable (19.0%; 17.1%-20.0%; n=903), and elevated-increasing (4.8%; 4.0%-5.5%; n=217). Compared with the low-stable group, trajectories with elevated BP levels had greater odds of having a CAC score of 100 HU or greater. Adjusted odds ratios were 1.44 (95% CI, 0.83-2.49) for moderate-stable, 1.86 (95% CI, 0.91-3.82) for moderate-increasing, 2.28 (95% CI, 1.24-4.18), for elevated-stable, and 3.70 (95% CI, 1.66-8.20) for elevated-increasing groups. The adjusted prevalence of a CAC score of 100 HU or higher was 5.8% in the low-stable group. These odds ratios represent an absolute increase of 2.7%, 5%, 6.3%, and 12.9% for the prevalence of a CAC score of 100 HU or higher for the moderate-stable, moderate-increasing, elevated-stable and elevated-increasing groups, respectively, compared with the low-stable group. Associations were not altered after adjustment for baseline and year 25 BP. Findings were similar for trajectories of isolated systolic BP trajectories but were attenuated for diastolic BP trajectories. CONCLUSIONS AND RELEVANCE: Blood pressure trajectories throughout young adulthood vary, and higher BP trajectories were associated with an increased risk…","author":[{"dropping-particle":"","family":"Allen","given":"Norrina B","non-dropping-particle":"","parse-names":false,"suffix":""},{"dropping-particle":"","family":"Siddique","given":"Juned","non-dropping-particle":"","parse-names":false,"suffix":""},{"dropping-particle":"","family":"Wilkins","given":"John T","non-dropping-particle":"","parse-names":false,"suffix":""},{"dropping-particle":"","family":"Shay","given":"Christina","non-dropping-particle":"","parse-names":false,"suffix":""},{"dropping-particle":"","family":"Lewis","given":"Cora E","non-dropping-particle":"","parse-names":false,"suffix":""},{"dropping-particle":"","family":"Goff","given":"David C","non-dropping-particle":"","parse-names":false,"suffix":""},{"dropping-particle":"","family":"Jacobs","given":"David R Jr","non-dropping-particle":"","parse-names":false,"suffix":""},{"dropping-particle":"","family":"Liu","given":"Kiang","non-dropping-particle":"","parse-names":false,"suffix":""},{"dropping-particle":"","family":"Lloyd-Jones","given":"Donald","non-dropping-particle":"","parse-names":false,"suffix":""}],"container-title":"JAMA","id":"ITEM-1","issue":"5","issued":{"date-parts":[["2014","2"]]},"language":"eng","page":"490-497","publisher-place":"United States","title":"Blood pressure trajectories in early adulthood and subclinical atherosclerosis in middle age.","type":"article-journal","volume":"311"},"uris":["http://www.mendeley.com/documents/?uuid=90e7ff5e-6ac4-47d8-b2b6-bd70d29d13a9"]}],"mendeley":{"formattedCitation":"&lt;sup&gt;22&lt;/sup&gt;","plainTextFormattedCitation":"22","previouslyFormattedCitation":"&lt;sup&gt;22&lt;/sup&gt;"},"properties":{"noteIndex":0},"schema":"https://github.com/citation-style-language/schema/raw/master/csl-citation.json"}</w:instrText>
      </w:r>
      <w:r>
        <w:rPr>
          <w:rFonts w:ascii="Times New Roman" w:hAnsi="Times New Roman"/>
          <w:bCs/>
          <w:sz w:val="24"/>
          <w:szCs w:val="24"/>
        </w:rPr>
        <w:fldChar w:fldCharType="separate"/>
      </w:r>
      <w:r w:rsidR="00AC05A9" w:rsidRPr="00AC05A9">
        <w:rPr>
          <w:rFonts w:ascii="Times New Roman" w:hAnsi="Times New Roman"/>
          <w:bCs/>
          <w:noProof/>
          <w:sz w:val="24"/>
          <w:szCs w:val="24"/>
          <w:vertAlign w:val="superscript"/>
        </w:rPr>
        <w:t>22</w:t>
      </w:r>
      <w:r>
        <w:rPr>
          <w:rFonts w:ascii="Times New Roman" w:hAnsi="Times New Roman"/>
          <w:bCs/>
          <w:sz w:val="24"/>
          <w:szCs w:val="24"/>
        </w:rPr>
        <w:fldChar w:fldCharType="end"/>
      </w:r>
      <w:r w:rsidRPr="00372862">
        <w:rPr>
          <w:rFonts w:ascii="Times New Roman" w:hAnsi="Times New Roman"/>
          <w:bCs/>
          <w:sz w:val="24"/>
          <w:szCs w:val="24"/>
        </w:rPr>
        <w:t>, incident stroke</w:t>
      </w:r>
      <w:r>
        <w:rPr>
          <w:rFonts w:ascii="Times New Roman" w:hAnsi="Times New Roman"/>
          <w:bCs/>
          <w:sz w:val="24"/>
          <w:szCs w:val="24"/>
        </w:rPr>
        <w:fldChar w:fldCharType="begin" w:fldLock="1"/>
      </w:r>
      <w:r w:rsidR="00BB627C">
        <w:rPr>
          <w:rFonts w:ascii="Times New Roman" w:hAnsi="Times New Roman"/>
          <w:bCs/>
          <w:sz w:val="24"/>
          <w:szCs w:val="24"/>
        </w:rPr>
        <w:instrText>ADDIN CSL_CITATION {"citationItems":[{"id":"ITEM-1","itemData":{"DOI":"10.1161/HYPERTENSIONAHA.116.07098","ISSN":"1524-4563 (Electronic)","PMID":"27160196","abstract":"Hypertension is a major modifiable risk factor for stroke. Associations of blood pressure with incident stroke are mostly based on single or average blood pressure levels. However, this approach does not take into account long-term trajectories of blood pressure, which can vary considerably in the elderly. Within the population-based Rotterdam Study, we examined trajectories of systolic blood pressure in 6745 participants (60.0% women) over an age-range from 55 to 106 years and jointly modeled their risk of stroke and competing causes of death using joint latent class mixed modeling. Four trajectories were identified. Class 1 was characterized by blood pressure increasing gradually from on average 120 to 160 mm Hg over 5 decades (n=4938). Compared with this class, class 2, characterized by a similar midlife blood pressure, but a steep increase (n=822, increasing from 120 to 200 mm Hg), and class 4, characterized by a high midlife blood pressure (n=115; average 160 mm Hg) and had a higher risk of stroke and death. Class 3, characterized by a moderate midlife blood pressure (n=870; average 140 mm Hg), had a similar risk of death as class 1, but the highest risk of stroke. Assessing trajectories of blood pressure provides a more nuanced understanding of the associations between blood pressure, stroke, and mortality. In particular, high blood pressure and rapidly increasing blood pressure patterns are associated with a high risk of stroke and death, whereas moderately high blood pressure is only related to an increased risk of stroke. Future studies should explore the potential pathogenic significance of these patterns.","author":[{"dropping-particle":"","family":"Portegies","given":"Marileen L P","non-dropping-particle":"","parse-names":false,"suffix":""},{"dropping-particle":"","family":"Mirza","given":"Saira Saeed","non-dropping-particle":"","parse-names":false,"suffix":""},{"dropping-particle":"","family":"Verlinden","given":"Vincentius J A","non-dropping-particle":"","parse-names":false,"suffix":""},{"dropping-particle":"","family":"Hofman","given":"Albert","non-dropping-particle":"","parse-names":false,"suffix":""},{"dropping-particle":"","family":"Koudstaal","given":"Peter J","non-dropping-particle":"","parse-names":false,"suffix":""},{"dropping-particle":"","family":"Swanson","given":"Sonja A","non-dropping-particle":"","parse-names":false,"suffix":""},{"dropping-particle":"","family":"Ikram","given":"M Arfan","non-dropping-particle":"","parse-names":false,"suffix":""}],"container-title":"Hypertension (Dallas, Tex. : 1979)","id":"ITEM-1","issue":"6","issued":{"date-parts":[["2016","6"]]},"language":"eng","page":"1126-1132","publisher-place":"United States","title":"Mid- to Late-Life Trajectories of Blood Pressure and the Risk of Stroke: The Rotterdam Study.","type":"article-journal","volume":"67"},"uris":["http://www.mendeley.com/documents/?uuid=828da1f1-ecb2-481d-8194-b8aae913eca4"]}],"mendeley":{"formattedCitation":"&lt;sup&gt;7&lt;/sup&gt;","plainTextFormattedCitation":"7","previouslyFormattedCitation":"&lt;sup&gt;7&lt;/sup&gt;"},"properties":{"noteIndex":0},"schema":"https://github.com/citation-style-language/schema/raw/master/csl-citation.json"}</w:instrText>
      </w:r>
      <w:r>
        <w:rPr>
          <w:rFonts w:ascii="Times New Roman" w:hAnsi="Times New Roman"/>
          <w:bCs/>
          <w:sz w:val="24"/>
          <w:szCs w:val="24"/>
        </w:rPr>
        <w:fldChar w:fldCharType="separate"/>
      </w:r>
      <w:r w:rsidR="00403302" w:rsidRPr="00403302">
        <w:rPr>
          <w:rFonts w:ascii="Times New Roman" w:hAnsi="Times New Roman"/>
          <w:bCs/>
          <w:noProof/>
          <w:sz w:val="24"/>
          <w:szCs w:val="24"/>
          <w:vertAlign w:val="superscript"/>
        </w:rPr>
        <w:t>7</w:t>
      </w:r>
      <w:r>
        <w:rPr>
          <w:rFonts w:ascii="Times New Roman" w:hAnsi="Times New Roman"/>
          <w:bCs/>
          <w:sz w:val="24"/>
          <w:szCs w:val="24"/>
        </w:rPr>
        <w:fldChar w:fldCharType="end"/>
      </w:r>
      <w:r w:rsidRPr="00372862">
        <w:rPr>
          <w:rFonts w:ascii="Times New Roman" w:hAnsi="Times New Roman"/>
          <w:bCs/>
          <w:sz w:val="24"/>
          <w:szCs w:val="24"/>
        </w:rPr>
        <w:t>, heart failure</w:t>
      </w:r>
      <w:r>
        <w:rPr>
          <w:rFonts w:ascii="Times New Roman" w:hAnsi="Times New Roman"/>
          <w:bCs/>
          <w:sz w:val="24"/>
          <w:szCs w:val="24"/>
        </w:rPr>
        <w:fldChar w:fldCharType="begin" w:fldLock="1"/>
      </w:r>
      <w:r w:rsidR="00BB627C">
        <w:rPr>
          <w:rFonts w:ascii="Times New Roman" w:hAnsi="Times New Roman"/>
          <w:bCs/>
          <w:sz w:val="24"/>
          <w:szCs w:val="24"/>
        </w:rPr>
        <w:instrText>ADDIN CSL_CITATION {"citationItems":[{"id":"ITEM-1","itemData":{"DOI":"10.1093/ajh/hpx028","ISSN":"1941-7225 (Electronic)","PMID":"28338937","abstract":"BACKGROUND: Common blood pressure (BP) trajectories are not well established in elderly persons, and their association with clinical outcomes is uncertain. METHODS: We used hierarchical cluster analysis to identify discrete BP trajectories among 4,067 participants in the Cardiovascular Health Study using repeated BP measures from years 0 to 7. We then evaluated associations of each BP trajectory cluster with all- cause mortality, incident cardiovascular disease (CVD, defined as stroke or myocardial infarction) (N = 2,837), and incident congestive heart failure (HF) (N = 3,633) using Cox proportional hazard models. RESULTS: Median age was 77 years at year 7. Over a median 9.3 years of follow-up, there were 2,475 deaths, 659 CVD events, and 1,049 HF events. The cluster analysis identified 3 distinct trajectory groups. Participants in cluster 1 (N = 1,838) had increases in both systolic (SBP) and diastolic (DBP) BPs, whereas persons in cluster 2 (N = 1,109) had little change in SBP but declines in DBP. Persons in cluster 3 (N = 1,120) experienced declines in both SBP and DBP. After multivariable adjustment, clusters 2 and 3 were associated with increased mortality risk relative to cluster 1 (hazard ratio = 1.21, 95% confidence interval: 1.06-1.37 and hazard ratio = 1.20, 95% confidence interval: 1.05-1.36, respectively). Compared to cluster 1, cluster 3 had higher rates of incident CVD but associations were not statistically significant in demographic-adjusted models (hazard ratio = 1.16, 95% confidence interval: 0.96-1.39). Findings were similar when stratified by use of antihypertensive therapy. CONCLUSIONS: Among community-dwelling elders, distinct BP trajectories were identified by integrating both SBP and DBP. These clusters were found to have differential associations with outcomes.","author":[{"dropping-particle":"","family":"Smitson","given":"Christopher C","non-dropping-particle":"","parse-names":false,"suffix":""},{"dropping-particle":"","family":"Scherzer","given":"Rebecca","non-dropping-particle":"","parse-names":false,"suffix":""},{"dropping-particle":"","family":"Shlipak","given":"Michael G","non-dropping-particle":"","parse-names":false,"suffix":""},{"dropping-particle":"","family":"Psaty","given":"Bruce M","non-dropping-particle":"","parse-names":false,"suffix":""},{"dropping-particle":"","family":"Newman","given":"Anne B","non-dropping-particle":"","parse-names":false,"suffix":""},{"dropping-particle":"","family":"Sarnak","given":"Mark J","non-dropping-particle":"","parse-names":false,"suffix":""},{"dropping-particle":"","family":"Odden","given":"Michelle C","non-dropping-particle":"","parse-names":false,"suffix":""},{"dropping-particle":"","family":"Peralta","given":"Carmen A","non-dropping-particle":"","parse-names":false,"suffix":""}],"container-title":"American journal of hypertension","id":"ITEM-1","issue":"6","issued":{"date-parts":[["2017","6"]]},"language":"eng","page":"587-593","publisher-place":"United States","title":"Association of Blood Pressure Trajectory With Mortality, Incident Cardiovascular Disease, and Heart Failure in the Cardiovascular Health Study.","type":"article-journal","volume":"30"},"uris":["http://www.mendeley.com/documents/?uuid=cb7a9668-cdb3-4a92-8101-9581149085d6"]}],"mendeley":{"formattedCitation":"&lt;sup&gt;9&lt;/sup&gt;","plainTextFormattedCitation":"9","previouslyFormattedCitation":"&lt;sup&gt;9&lt;/sup&gt;"},"properties":{"noteIndex":0},"schema":"https://github.com/citation-style-language/schema/raw/master/csl-citation.json"}</w:instrText>
      </w:r>
      <w:r>
        <w:rPr>
          <w:rFonts w:ascii="Times New Roman" w:hAnsi="Times New Roman"/>
          <w:bCs/>
          <w:sz w:val="24"/>
          <w:szCs w:val="24"/>
        </w:rPr>
        <w:fldChar w:fldCharType="separate"/>
      </w:r>
      <w:r w:rsidR="00403302" w:rsidRPr="00403302">
        <w:rPr>
          <w:rFonts w:ascii="Times New Roman" w:hAnsi="Times New Roman"/>
          <w:bCs/>
          <w:noProof/>
          <w:sz w:val="24"/>
          <w:szCs w:val="24"/>
          <w:vertAlign w:val="superscript"/>
        </w:rPr>
        <w:t>9</w:t>
      </w:r>
      <w:r>
        <w:rPr>
          <w:rFonts w:ascii="Times New Roman" w:hAnsi="Times New Roman"/>
          <w:bCs/>
          <w:sz w:val="24"/>
          <w:szCs w:val="24"/>
        </w:rPr>
        <w:fldChar w:fldCharType="end"/>
      </w:r>
      <w:r w:rsidRPr="00372862">
        <w:rPr>
          <w:rFonts w:ascii="Times New Roman" w:hAnsi="Times New Roman"/>
          <w:bCs/>
          <w:sz w:val="24"/>
          <w:szCs w:val="24"/>
        </w:rPr>
        <w:t xml:space="preserve">, </w:t>
      </w:r>
      <w:r>
        <w:rPr>
          <w:rFonts w:ascii="Times New Roman" w:hAnsi="Times New Roman"/>
          <w:bCs/>
          <w:sz w:val="24"/>
          <w:szCs w:val="24"/>
        </w:rPr>
        <w:t>AF</w:t>
      </w:r>
      <w:r>
        <w:rPr>
          <w:rFonts w:ascii="Times New Roman" w:hAnsi="Times New Roman"/>
          <w:bCs/>
          <w:sz w:val="24"/>
          <w:szCs w:val="24"/>
        </w:rPr>
        <w:fldChar w:fldCharType="begin" w:fldLock="1"/>
      </w:r>
      <w:r w:rsidR="00BB627C">
        <w:rPr>
          <w:rFonts w:ascii="Times New Roman" w:hAnsi="Times New Roman"/>
          <w:bCs/>
          <w:sz w:val="24"/>
          <w:szCs w:val="24"/>
        </w:rPr>
        <w:instrText>ADDIN CSL_CITATION {"citationItems":[{"id":"ITEM-1","itemData":{"DOI":"10.1093/eurheartj/ehz234","ISSN":"1522-9645 (Electronic)","PMID":"31050731","abstract":"AIMS: To explore sex-specific associations between long-term individual blood  pressure (BP) patterns and risk of incident atrial fibrillation (AF) in the general population. METHODS AND RESULTS: Blood pressure was measured in 8376 women and 7670 men who attended at least two of the three population-based Tromsø Study surveys conducted in 1986-87, 1994-95, and 2001. Participants were followed for incident AF throughout 2013. Latent mixed modelling was used to identify long-term trajectories of systolic BP and hypertension. Cox regression was used to estimate associations between the identified trajectories and incident AF. Elevated systolic BP throughout the exposure period (1986-2001) independently and differentially increased risk of AF in women and men. In women, having elevated systolic BP trajectories doubled AF risk compared to having persistently low levels, irrespective of whether systolic BP increased, decreased, or was persistently high over time, with hazard ratios of 1.88 (95% confidence interval 1.37-2.58), 2.32 (1.61-3.35), and 1.94 (1.28-2.94), respectively. In men, those with elevated systolic BP that continued to increase over time had a 50% increased AF risk: 1.51 (1.09-2.10). When compared to those persistently normotensive, women developing hypertension during the exposure period, and women and men with hypertension throughout the exposure period had 1.40 (1.06-1.86), 2.75 (1.99-3.80), and 1.36 (1.10-1.68) times increased risk of AF, respectively. CONCLUSION: Long-term BP and hypertension trajectories were associated with increased incidence of AF in both women and men, but the associations were stronger in women.","author":[{"dropping-particle":"","family":"Sharashova","given":"Ekaterina","non-dropping-particle":"","parse-names":false,"suffix":""},{"dropping-particle":"","family":"Wilsgaard","given":"Tom","non-dropping-particle":"","parse-names":false,"suffix":""},{"dropping-particle":"","family":"Ball","given":"Jocasta","non-dropping-particle":"","parse-names":false,"suffix":""},{"dropping-particle":"","family":"Morseth","given":"Bente","non-dropping-particle":"","parse-names":false,"suffix":""},{"dropping-particle":"","family":"Gerdts","given":"Eva","non-dropping-particle":"","parse-names":false,"suffix":""},{"dropping-particle":"","family":"Hopstock","given":"Laila A","non-dropping-particle":"","parse-names":false,"suffix":""},{"dropping-particle":"","family":"Mathiesen","given":"Ellisiv B","non-dropping-particle":"","parse-names":false,"suffix":""},{"dropping-particle":"","family":"Schirmer","given":"Henrik","non-dropping-particle":"","parse-names":false,"suffix":""},{"dropping-particle":"","family":"Løchen","given":"Maja-Lisa","non-dropping-particle":"","parse-names":false,"suffix":""}],"container-title":"European heart journal","id":"ITEM-1","issue":"16","issued":{"date-parts":[["2020","4"]]},"language":"eng","page":"1554-1562","title":"Long-term blood pressure trajectories and incident atrial fibrillation in women and  men: the Tromsø Study.","type":"article-journal","volume":"41"},"uris":["http://www.mendeley.com/documents/?uuid=56eb0f35-dde9-44c7-86db-4853e44b93af"]}],"mendeley":{"formattedCitation":"&lt;sup&gt;11&lt;/sup&gt;","plainTextFormattedCitation":"11","previouslyFormattedCitation":"&lt;sup&gt;11&lt;/sup&gt;"},"properties":{"noteIndex":0},"schema":"https://github.com/citation-style-language/schema/raw/master/csl-citation.json"}</w:instrText>
      </w:r>
      <w:r>
        <w:rPr>
          <w:rFonts w:ascii="Times New Roman" w:hAnsi="Times New Roman"/>
          <w:bCs/>
          <w:sz w:val="24"/>
          <w:szCs w:val="24"/>
        </w:rPr>
        <w:fldChar w:fldCharType="separate"/>
      </w:r>
      <w:r w:rsidR="00403302" w:rsidRPr="00403302">
        <w:rPr>
          <w:rFonts w:ascii="Times New Roman" w:hAnsi="Times New Roman"/>
          <w:bCs/>
          <w:noProof/>
          <w:sz w:val="24"/>
          <w:szCs w:val="24"/>
          <w:vertAlign w:val="superscript"/>
        </w:rPr>
        <w:t>11</w:t>
      </w:r>
      <w:r>
        <w:rPr>
          <w:rFonts w:ascii="Times New Roman" w:hAnsi="Times New Roman"/>
          <w:bCs/>
          <w:sz w:val="24"/>
          <w:szCs w:val="24"/>
        </w:rPr>
        <w:fldChar w:fldCharType="end"/>
      </w:r>
      <w:r w:rsidRPr="00372862">
        <w:rPr>
          <w:rFonts w:ascii="Times New Roman" w:hAnsi="Times New Roman"/>
          <w:bCs/>
          <w:sz w:val="24"/>
          <w:szCs w:val="24"/>
        </w:rPr>
        <w:t xml:space="preserve">, overall </w:t>
      </w:r>
      <w:r>
        <w:rPr>
          <w:rFonts w:ascii="Times New Roman" w:hAnsi="Times New Roman"/>
          <w:bCs/>
          <w:sz w:val="24"/>
          <w:szCs w:val="24"/>
        </w:rPr>
        <w:t>CVD</w:t>
      </w:r>
      <w:r>
        <w:rPr>
          <w:rFonts w:ascii="Times New Roman" w:hAnsi="Times New Roman"/>
          <w:bCs/>
          <w:sz w:val="24"/>
          <w:szCs w:val="24"/>
        </w:rPr>
        <w:fldChar w:fldCharType="begin" w:fldLock="1"/>
      </w:r>
      <w:r w:rsidR="00BB627C">
        <w:rPr>
          <w:rFonts w:ascii="Times New Roman" w:hAnsi="Times New Roman"/>
          <w:bCs/>
          <w:sz w:val="24"/>
          <w:szCs w:val="24"/>
        </w:rPr>
        <w:instrText>ADDIN CSL_CITATION {"citationItems":[{"id":"ITEM-1","itemData":{"DOI":"10.1093/ajh/hpx028","ISSN":"1941-7225 (Electronic)","PMID":"28338937","abstract":"BACKGROUND: Common blood pressure (BP) trajectories are not well established in elderly persons, and their association with clinical outcomes is uncertain. METHODS: We used hierarchical cluster analysis to identify discrete BP trajectories among 4,067 participants in the Cardiovascular Health Study using repeated BP measures from years 0 to 7. We then evaluated associations of each BP trajectory cluster with all- cause mortality, incident cardiovascular disease (CVD, defined as stroke or myocardial infarction) (N = 2,837), and incident congestive heart failure (HF) (N = 3,633) using Cox proportional hazard models. RESULTS: Median age was 77 years at year 7. Over a median 9.3 years of follow-up, there were 2,475 deaths, 659 CVD events, and 1,049 HF events. The cluster analysis identified 3 distinct trajectory groups. Participants in cluster 1 (N = 1,838) had increases in both systolic (SBP) and diastolic (DBP) BPs, whereas persons in cluster 2 (N = 1,109) had little change in SBP but declines in DBP. Persons in cluster 3 (N = 1,120) experienced declines in both SBP and DBP. After multivariable adjustment, clusters 2 and 3 were associated with increased mortality risk relative to cluster 1 (hazard ratio = 1.21, 95% confidence interval: 1.06-1.37 and hazard ratio = 1.20, 95% confidence interval: 1.05-1.36, respectively). Compared to cluster 1, cluster 3 had higher rates of incident CVD but associations were not statistically significant in demographic-adjusted models (hazard ratio = 1.16, 95% confidence interval: 0.96-1.39). Findings were similar when stratified by use of antihypertensive therapy. CONCLUSIONS: Among community-dwelling elders, distinct BP trajectories were identified by integrating both SBP and DBP. These clusters were found to have differential associations with outcomes.","author":[{"dropping-particle":"","family":"Smitson","given":"Christopher C","non-dropping-particle":"","parse-names":false,"suffix":""},{"dropping-particle":"","family":"Scherzer","given":"Rebecca","non-dropping-particle":"","parse-names":false,"suffix":""},{"dropping-particle":"","family":"Shlipak","given":"Michael G","non-dropping-particle":"","parse-names":false,"suffix":""},{"dropping-particle":"","family":"Psaty","given":"Bruce M","non-dropping-particle":"","parse-names":false,"suffix":""},{"dropping-particle":"","family":"Newman","given":"Anne B","non-dropping-particle":"","parse-names":false,"suffix":""},{"dropping-particle":"","family":"Sarnak","given":"Mark J","non-dropping-particle":"","parse-names":false,"suffix":""},{"dropping-particle":"","family":"Odden","given":"Michelle C","non-dropping-particle":"","parse-names":false,"suffix":""},{"dropping-particle":"","family":"Peralta","given":"Carmen A","non-dropping-particle":"","parse-names":false,"suffix":""}],"container-title":"American journal of hypertension","id":"ITEM-1","issue":"6","issued":{"date-parts":[["2017","6"]]},"language":"eng","page":"587-593","publisher-place":"United States","title":"Association of Blood Pressure Trajectory With Mortality, Incident Cardiovascular Disease, and Heart Failure in the Cardiovascular Health Study.","type":"article-journal","volume":"30"},"uris":["http://www.mendeley.com/documents/?uuid=cb7a9668-cdb3-4a92-8101-9581149085d6"]}],"mendeley":{"formattedCitation":"&lt;sup&gt;9&lt;/sup&gt;","plainTextFormattedCitation":"9","previouslyFormattedCitation":"&lt;sup&gt;9&lt;/sup&gt;"},"properties":{"noteIndex":0},"schema":"https://github.com/citation-style-language/schema/raw/master/csl-citation.json"}</w:instrText>
      </w:r>
      <w:r>
        <w:rPr>
          <w:rFonts w:ascii="Times New Roman" w:hAnsi="Times New Roman"/>
          <w:bCs/>
          <w:sz w:val="24"/>
          <w:szCs w:val="24"/>
        </w:rPr>
        <w:fldChar w:fldCharType="separate"/>
      </w:r>
      <w:r w:rsidR="00403302" w:rsidRPr="00403302">
        <w:rPr>
          <w:rFonts w:ascii="Times New Roman" w:hAnsi="Times New Roman"/>
          <w:bCs/>
          <w:noProof/>
          <w:sz w:val="24"/>
          <w:szCs w:val="24"/>
          <w:vertAlign w:val="superscript"/>
        </w:rPr>
        <w:t>9</w:t>
      </w:r>
      <w:r>
        <w:rPr>
          <w:rFonts w:ascii="Times New Roman" w:hAnsi="Times New Roman"/>
          <w:bCs/>
          <w:sz w:val="24"/>
          <w:szCs w:val="24"/>
        </w:rPr>
        <w:fldChar w:fldCharType="end"/>
      </w:r>
      <w:r w:rsidRPr="00372862">
        <w:rPr>
          <w:rFonts w:ascii="Times New Roman" w:hAnsi="Times New Roman"/>
          <w:bCs/>
          <w:sz w:val="24"/>
          <w:szCs w:val="24"/>
        </w:rPr>
        <w:t>, all-cause mortality</w:t>
      </w:r>
      <w:r>
        <w:rPr>
          <w:rFonts w:ascii="Times New Roman" w:hAnsi="Times New Roman"/>
          <w:bCs/>
          <w:sz w:val="24"/>
          <w:szCs w:val="24"/>
        </w:rPr>
        <w:fldChar w:fldCharType="begin" w:fldLock="1"/>
      </w:r>
      <w:r w:rsidR="00190631">
        <w:rPr>
          <w:rFonts w:ascii="Times New Roman" w:hAnsi="Times New Roman"/>
          <w:bCs/>
          <w:sz w:val="24"/>
          <w:szCs w:val="24"/>
        </w:rPr>
        <w:instrText>ADDIN CSL_CITATION {"citationItems":[{"id":"ITEM-1","itemData":{"DOI":"10.1097/HJH.0000000000001698","ISSN":"1473-5598 (Electronic)","PMID":"29517558","abstract":"OBJECTIVE: This study aimed to investigate whether long-term trajectories of high SBP can further predict risk of all-cause death in Chinese adults. METHODS: We used a community-based cohort of 84 363 participants without myocardial infarction, stroke, or cancer, in 2010. SBP trajectories used latent mixture modeling with data from 2006, 2008, and 2010. Cox proportional hazards models were used to examine the association between SBP trajectories and risk of all-cause death in 2010-2015. RESULTS: We identified five distinct SBP trajectory patterns based on the 2006 status and the pattern of change during 2006-2010. Each pattern was labeled according to the SBP levels and pattern over time: low-stable (n = 21 249), moderate-stable (n = 39 390), moderate- increasing (n = 9634), elevated-decreasing (n = 9094) and elevated-stable (n = 4996). During 5.24 +/- 1.04 years of follow-up, we documented 4131 deaths. After adjusting for potential confounding factors and using the low-stable group as a reference, hazard ratios [95% confidence interval (CI)] of all-cause death for the moderate-stable, moderate-increasing, elevated-decreasing, and elevated-stable groups were 1.32 (1.12-1.56), 1.60 (1.26-2.04), 1.69 (1.38-2.07), and 1.75 (1.33-2.32), respectively. Although the moderate-stable trajectory exhibited SBP ranges within the 'normal' range (126.90-130.09 mmHg) in 2006-2010, this group had higher all-cause death risk relative to the low-stable trajectory group (109.86-112.46 mmHg) (adjusted hazard ratio = 1.32, 95% CI 1.12-1.56). CONCLUSION: High SBP trajectories are independent risk factors for all- cause death. Our findings suggest increasing SBP trajectories within the currently designated 'normal' range may still increase risk of all-cause death.","author":[{"dropping-particle":"","family":"Wang","given":"Anxin","non-dropping-particle":"","parse-names":false,"suffix":""},{"dropping-particle":"","family":"Zhang","given":"Yajing","non-dropping-particle":"","parse-names":false,"suffix":""},{"dropping-particle":"","family":"Li","given":"Jingjing","non-dropping-particle":"","parse-names":false,"suffix":""},{"dropping-particle":"","family":"Zhao","given":"Quanhui","non-dropping-particle":"","parse-names":false,"suffix":""},{"dropping-particle":"","family":"Cao","given":"Yibin","non-dropping-particle":"","parse-names":false,"suffix":""},{"dropping-particle":"","family":"Li","given":"Jing","non-dropping-particle":"","parse-names":false,"suffix":""},{"dropping-particle":"","family":"Zhang","given":"Ruiying","non-dropping-particle":"","parse-names":false,"suffix":""},{"dropping-particle":"","family":"Chen","given":"Shuohua","non-dropping-particle":"","parse-names":false,"suffix":""},{"dropping-particle":"","family":"Gao","given":"Jingsheng","non-dropping-particle":"","parse-names":false,"suffix":""},{"dropping-particle":"","family":"Wu","given":"Shouling","non-dropping-particle":"","parse-names":false,"suffix":""}],"container-title":"Journal of hypertension","id":"ITEM-1","issue":"6","issued":{"date-parts":[["2018","6"]]},"language":"eng","page":"1299-1305","publisher-place":"England","title":"High SBP trajectories are associated with risk of all-cause death in general Chinese population.","type":"article-journal","volume":"36"},"uris":["http://www.mendeley.com/documents/?uuid=ca4ef333-f20a-4882-a9ff-78e74aef4f79"]}],"mendeley":{"formattedCitation":"&lt;sup&gt;24&lt;/sup&gt;","plainTextFormattedCitation":"24","previouslyFormattedCitation":"&lt;sup&gt;24&lt;/sup&gt;"},"properties":{"noteIndex":0},"schema":"https://github.com/citation-style-language/schema/raw/master/csl-citation.json"}</w:instrText>
      </w:r>
      <w:r>
        <w:rPr>
          <w:rFonts w:ascii="Times New Roman" w:hAnsi="Times New Roman"/>
          <w:bCs/>
          <w:sz w:val="24"/>
          <w:szCs w:val="24"/>
        </w:rPr>
        <w:fldChar w:fldCharType="separate"/>
      </w:r>
      <w:r w:rsidR="00AC05A9" w:rsidRPr="00AC05A9">
        <w:rPr>
          <w:rFonts w:ascii="Times New Roman" w:hAnsi="Times New Roman"/>
          <w:bCs/>
          <w:noProof/>
          <w:sz w:val="24"/>
          <w:szCs w:val="24"/>
          <w:vertAlign w:val="superscript"/>
        </w:rPr>
        <w:t>24</w:t>
      </w:r>
      <w:r>
        <w:rPr>
          <w:rFonts w:ascii="Times New Roman" w:hAnsi="Times New Roman"/>
          <w:bCs/>
          <w:sz w:val="24"/>
          <w:szCs w:val="24"/>
        </w:rPr>
        <w:fldChar w:fldCharType="end"/>
      </w:r>
      <w:r w:rsidRPr="00372862">
        <w:rPr>
          <w:rFonts w:ascii="Times New Roman" w:hAnsi="Times New Roman"/>
          <w:bCs/>
          <w:sz w:val="24"/>
          <w:szCs w:val="24"/>
        </w:rPr>
        <w:t xml:space="preserve"> and cardiovascular mortality</w:t>
      </w:r>
      <w:r>
        <w:rPr>
          <w:rFonts w:ascii="Times New Roman" w:hAnsi="Times New Roman"/>
          <w:bCs/>
          <w:sz w:val="24"/>
          <w:szCs w:val="24"/>
        </w:rPr>
        <w:fldChar w:fldCharType="begin" w:fldLock="1"/>
      </w:r>
      <w:r w:rsidR="00BB627C">
        <w:rPr>
          <w:rFonts w:ascii="Times New Roman" w:hAnsi="Times New Roman"/>
          <w:bCs/>
          <w:sz w:val="24"/>
          <w:szCs w:val="24"/>
        </w:rPr>
        <w:instrText>ADDIN CSL_CITATION {"citationItems":[{"id":"ITEM-1","itemData":{"DOI":"10.1038/jhh.2017.20","ISSN":"1476-5527 (Electronic)","PMID":"28332507","abstract":"The added value of blood pressure (BP) trajectories for predicting cardiovascular disease (CVD) is currently unknown. We investigated the association of systolic BP (SBP) trajectories with CVD and all-cause mortality and compared these associations with those of average SBP, taking antihypertensive medication into account. Data from 762 participants of the Rancho Bernardo Study were used. SBP from five examinations (maximum) from 1984 to 2002 was used; mortality data were obtained from 2002 to 2013. SBP trajectories were derived using group- based trajectory modelling. Cox proportional hazards analysis was used to investigate associations of trajectories and average SBP with CVD and all-cause mortality, adjusted for age, sex, cholesterol, smoking, diabetes and antihypertensive medication. Mean baseline age was 65.7 years, and 67% were women. Four trajectories were identified, in which mean SBP increased by 5-12 mm Hg during 10 years. The highest trajectories were associated with two to three times greater CVD mortality and 1.5 times greater all-cause mortality risk, compared with the lowest trajectory. Each 20 mmHg increment in average SBP was associated with 1.4 times greater CVD mortality risk and 1.2 times all- cause mortality risk. Associations were not modified by antihypertensive medication (P-interaction&gt;0.10). SBP trajectories were not superior to average SBP in predicting CVD and all-cause mortality. In the general middle-aged and older population of the Rancho Bernardo study, SBP trajectories provided no added value to average SBP in predicting CVD and all-cause mortality. Long-term average SBP levels and trajectories were significant predictors of CVD and all-cause mortality, irrespective of prescribed antihypertensive medication (which in the 1980s-1990s mainly were diuretics and beta-blockers).","author":[{"dropping-particle":"","family":"Tielemans","given":"S M A J","non-dropping-particle":"","parse-names":false,"suffix":""},{"dropping-particle":"","family":"Geleijnse","given":"J M","non-dropping-particle":"","parse-names":false,"suffix":""},{"dropping-particle":"","family":"Laughlin","given":"G A","non-dropping-particle":"","parse-names":false,"suffix":""},{"dropping-particle":"","family":"Boshuizen","given":"H C","non-dropping-particle":"","parse-names":false,"suffix":""},{"dropping-particle":"","family":"Barrett-Connor","given":"E","non-dropping-particle":"","parse-names":false,"suffix":""},{"dropping-particle":"","family":"Kromhout","given":"D","non-dropping-particle":"","parse-names":false,"suffix":""}],"container-title":"Journal of human hypertension","id":"ITEM-1","issue":"8","issued":{"date-parts":[["2017","8"]]},"language":"eng","page":"515-519","publisher-place":"England","title":"Blood pressure trajectories in relation to cardiovascular mortality: The Rancho Bernardo Study.","type":"article-journal","volume":"31"},"uris":["http://www.mendeley.com/documents/?uuid=48015a82-5072-4133-bdcd-7f9caa6b19c4"]}],"mendeley":{"formattedCitation":"&lt;sup&gt;12&lt;/sup&gt;","plainTextFormattedCitation":"12","previouslyFormattedCitation":"&lt;sup&gt;12&lt;/sup&gt;"},"properties":{"noteIndex":0},"schema":"https://github.com/citation-style-language/schema/raw/master/csl-citation.json"}</w:instrText>
      </w:r>
      <w:r>
        <w:rPr>
          <w:rFonts w:ascii="Times New Roman" w:hAnsi="Times New Roman"/>
          <w:bCs/>
          <w:sz w:val="24"/>
          <w:szCs w:val="24"/>
        </w:rPr>
        <w:fldChar w:fldCharType="separate"/>
      </w:r>
      <w:r w:rsidR="00403302" w:rsidRPr="00403302">
        <w:rPr>
          <w:rFonts w:ascii="Times New Roman" w:hAnsi="Times New Roman"/>
          <w:bCs/>
          <w:noProof/>
          <w:sz w:val="24"/>
          <w:szCs w:val="24"/>
          <w:vertAlign w:val="superscript"/>
        </w:rPr>
        <w:t>12</w:t>
      </w:r>
      <w:r>
        <w:rPr>
          <w:rFonts w:ascii="Times New Roman" w:hAnsi="Times New Roman"/>
          <w:bCs/>
          <w:sz w:val="24"/>
          <w:szCs w:val="24"/>
        </w:rPr>
        <w:fldChar w:fldCharType="end"/>
      </w:r>
      <w:r w:rsidRPr="00372862">
        <w:rPr>
          <w:rFonts w:ascii="Times New Roman" w:hAnsi="Times New Roman"/>
          <w:bCs/>
          <w:sz w:val="24"/>
          <w:szCs w:val="24"/>
        </w:rPr>
        <w:t xml:space="preserve">. </w:t>
      </w:r>
      <w:r w:rsidR="008B6F1C">
        <w:rPr>
          <w:rFonts w:ascii="Times New Roman" w:hAnsi="Times New Roman"/>
          <w:bCs/>
          <w:sz w:val="24"/>
          <w:szCs w:val="24"/>
        </w:rPr>
        <w:t>R</w:t>
      </w:r>
      <w:r w:rsidRPr="00372862">
        <w:rPr>
          <w:rFonts w:ascii="Times New Roman" w:hAnsi="Times New Roman"/>
          <w:bCs/>
          <w:sz w:val="24"/>
          <w:szCs w:val="24"/>
        </w:rPr>
        <w:t xml:space="preserve">ecent findings </w:t>
      </w:r>
      <w:r w:rsidR="008B6F1C">
        <w:rPr>
          <w:rFonts w:ascii="Times New Roman" w:hAnsi="Times New Roman"/>
          <w:bCs/>
          <w:sz w:val="24"/>
          <w:szCs w:val="24"/>
        </w:rPr>
        <w:t>indicate</w:t>
      </w:r>
      <w:r w:rsidRPr="00372862">
        <w:rPr>
          <w:rFonts w:ascii="Times New Roman" w:hAnsi="Times New Roman"/>
          <w:bCs/>
          <w:sz w:val="24"/>
          <w:szCs w:val="24"/>
        </w:rPr>
        <w:t xml:space="preserve"> that long-term BP trajectories </w:t>
      </w:r>
      <w:r w:rsidR="008B6F1C">
        <w:rPr>
          <w:rFonts w:ascii="Times New Roman" w:hAnsi="Times New Roman"/>
          <w:bCs/>
          <w:sz w:val="24"/>
          <w:szCs w:val="24"/>
        </w:rPr>
        <w:t>may differ by sex</w:t>
      </w:r>
      <w:r>
        <w:rPr>
          <w:rFonts w:ascii="Times New Roman" w:hAnsi="Times New Roman"/>
          <w:bCs/>
          <w:sz w:val="24"/>
          <w:szCs w:val="24"/>
        </w:rPr>
        <w:fldChar w:fldCharType="begin" w:fldLock="1"/>
      </w:r>
      <w:r w:rsidR="00BB627C">
        <w:rPr>
          <w:rFonts w:ascii="Times New Roman" w:hAnsi="Times New Roman"/>
          <w:bCs/>
          <w:sz w:val="24"/>
          <w:szCs w:val="24"/>
        </w:rPr>
        <w:instrText>ADDIN CSL_CITATION {"citationItems":[{"id":"ITEM-1","itemData":{"DOI":"10.1001/jamacardio.2019.5306","ISSN":"2380-6591 (Electronic)","PMID":"31940010","abstract":"Importance: If we assume that women and men exhibit variations of the same fundamental vascular physiology, then conventional analyses of subclinical measures would suggest that women catch up to men by midlife in the extent of potentially important vascular disease. Alternatively, under the assumption that vascular physiology may fundamentally differ between women and men, a sex-specific analysis of existing data could offer new insights and augment our understanding of sex differences in cardiovascular diseases. Objective: To evaluate whether longitudinal patterns of blood pressure (BP) elevation differ between women and men during the life course when considering baseline BP levels as the reference. Design, Setting, and Participants: We conducted sex-specific analyses of longitudinal BP measures (144599 observations) collected for a period of 43 years (1971 to 2014) in 4 community-based US cohort studies. The combined total included 32833 participants (54% female) spanning ages 5 to 98 years. Data were analyzed between May 4, 2019, and August 5, 2019. Exposures: Age and serially assessed longitudinal BP measures: systolic BP, diastolic BP, mean arterial pressure (MAP), and pulse pressure (PP). Main Outcomes and Measures: Sex-specific change in each primary BP measure compared with baseline BP levels, derived from multilevel longitudinal models fitted over the age span, and new-onset cardiovascular disease events. Results: Of the 32833 participants, 17733 were women (54%). Women compared with men exhibited a steeper increase in BP that began as early as in the third decade and continued through the life course (likelihood ratio test chi2 = 531 for systolic BP; chi2 = 123 for diastolic BP; chi2 = 325 for MAP; and chi2 = 572 for PP; P for all &lt;.001). After adjustment for multiple cardiovascular disease risk factors, these between-sex differences in all BP trajectories persisted (likelihood ratio test chi2 = 314 for systolic BP; chi2 = 31 for diastolic BP; chi2 = 129 for MAP; and chi2 = 485 for PP; P for all &lt;.001). Conclusions and Relevance: In contrast with the notion that important vascular disease processes in women lag behind men by 10 to 20 years, sex-specific analyses indicate that BP measures actually progress more rapidly in women than in men, beginning early in life. This early- onset sexual dimorphism may set the stage for later-life cardiovascular diseases that tend to present differently, not simply later, in women compared with men.","author":[{"dropping-particle":"","family":"Ji","given":"Hongwei","non-dropping-particle":"","parse-names":false,"suffix":""},{"dropping-particle":"","family":"Kim","given":"Andy","non-dropping-particle":"","parse-names":false,"suffix":""},{"dropping-particle":"","family":"Ebinger","given":"Joseph E","non-dropping-particle":"","parse-names":false,"suffix":""},{"dropping-particle":"","family":"Niiranen","given":"Teemu J","non-dropping-particle":"","parse-names":false,"suffix":""},{"dropping-particle":"","family":"Claggett","given":"Brian L","non-dropping-particle":"","parse-names":false,"suffix":""},{"dropping-particle":"","family":"Bairey Merz","given":"C Noel","non-dropping-particle":"","parse-names":false,"suffix":""},{"dropping-particle":"","family":"Cheng","given":"Susan","non-dropping-particle":"","parse-names":false,"suffix":""}],"container-title":"JAMA cardiology","id":"ITEM-1","issue":"3","issued":{"date-parts":[["2020","3"]]},"language":"eng","page":"19-26","publisher-place":"United States","title":"Sex Differences in Blood Pressure Trajectories Over the Life Course.","type":"article-journal","volume":"5"},"uris":["http://www.mendeley.com/documents/?uuid=c4fb1523-42ad-4555-9b6d-83f240d11f24"]}],"mendeley":{"formattedCitation":"&lt;sup&gt;15&lt;/sup&gt;","plainTextFormattedCitation":"15","previouslyFormattedCitation":"&lt;sup&gt;15&lt;/sup&gt;"},"properties":{"noteIndex":0},"schema":"https://github.com/citation-style-language/schema/raw/master/csl-citation.json"}</w:instrText>
      </w:r>
      <w:r>
        <w:rPr>
          <w:rFonts w:ascii="Times New Roman" w:hAnsi="Times New Roman"/>
          <w:bCs/>
          <w:sz w:val="24"/>
          <w:szCs w:val="24"/>
        </w:rPr>
        <w:fldChar w:fldCharType="separate"/>
      </w:r>
      <w:r w:rsidR="00403302" w:rsidRPr="00403302">
        <w:rPr>
          <w:rFonts w:ascii="Times New Roman" w:hAnsi="Times New Roman"/>
          <w:bCs/>
          <w:noProof/>
          <w:sz w:val="24"/>
          <w:szCs w:val="24"/>
          <w:vertAlign w:val="superscript"/>
        </w:rPr>
        <w:t>15</w:t>
      </w:r>
      <w:r>
        <w:rPr>
          <w:rFonts w:ascii="Times New Roman" w:hAnsi="Times New Roman"/>
          <w:bCs/>
          <w:sz w:val="24"/>
          <w:szCs w:val="24"/>
        </w:rPr>
        <w:fldChar w:fldCharType="end"/>
      </w:r>
      <w:r w:rsidRPr="00372862">
        <w:rPr>
          <w:rFonts w:ascii="Times New Roman" w:hAnsi="Times New Roman"/>
          <w:bCs/>
          <w:sz w:val="24"/>
          <w:szCs w:val="24"/>
        </w:rPr>
        <w:t>.</w:t>
      </w:r>
      <w:r w:rsidR="008B6F1C">
        <w:rPr>
          <w:rFonts w:ascii="Times New Roman" w:hAnsi="Times New Roman"/>
          <w:bCs/>
          <w:sz w:val="24"/>
          <w:szCs w:val="24"/>
        </w:rPr>
        <w:t xml:space="preserve"> Indeed, sex </w:t>
      </w:r>
      <w:r w:rsidRPr="00372862">
        <w:rPr>
          <w:rFonts w:ascii="Times New Roman" w:hAnsi="Times New Roman"/>
          <w:bCs/>
          <w:sz w:val="24"/>
          <w:szCs w:val="24"/>
        </w:rPr>
        <w:t>differences have</w:t>
      </w:r>
      <w:r w:rsidR="00196013">
        <w:rPr>
          <w:rFonts w:ascii="Times New Roman" w:hAnsi="Times New Roman"/>
          <w:bCs/>
          <w:sz w:val="24"/>
          <w:szCs w:val="24"/>
        </w:rPr>
        <w:t xml:space="preserve"> also</w:t>
      </w:r>
      <w:r w:rsidRPr="00372862">
        <w:rPr>
          <w:rFonts w:ascii="Times New Roman" w:hAnsi="Times New Roman"/>
          <w:bCs/>
          <w:sz w:val="24"/>
          <w:szCs w:val="24"/>
        </w:rPr>
        <w:t xml:space="preserve"> been recently reported for incident </w:t>
      </w:r>
      <w:r>
        <w:rPr>
          <w:rFonts w:ascii="Times New Roman" w:hAnsi="Times New Roman"/>
          <w:bCs/>
          <w:sz w:val="24"/>
          <w:szCs w:val="24"/>
        </w:rPr>
        <w:t>AF</w:t>
      </w:r>
      <w:r w:rsidR="00752BF2">
        <w:rPr>
          <w:rFonts w:ascii="Times New Roman" w:hAnsi="Times New Roman"/>
          <w:bCs/>
          <w:sz w:val="24"/>
          <w:szCs w:val="24"/>
        </w:rPr>
        <w:fldChar w:fldCharType="begin" w:fldLock="1"/>
      </w:r>
      <w:r w:rsidR="00BB627C">
        <w:rPr>
          <w:rFonts w:ascii="Times New Roman" w:hAnsi="Times New Roman"/>
          <w:bCs/>
          <w:sz w:val="24"/>
          <w:szCs w:val="24"/>
        </w:rPr>
        <w:instrText>ADDIN CSL_CITATION {"citationItems":[{"id":"ITEM-1","itemData":{"DOI":"10.1093/eurheartj/ehz234","ISSN":"1522-9645 (Electronic)","PMID":"31050731","abstract":"AIMS: To explore sex-specific associations between long-term individual blood  pressure (BP) patterns and risk of incident atrial fibrillation (AF) in the general population. METHODS AND RESULTS: Blood pressure was measured in 8376 women and 7670 men who attended at least two of the three population-based Tromsø Study surveys conducted in 1986-87, 1994-95, and 2001. Participants were followed for incident AF throughout 2013. Latent mixed modelling was used to identify long-term trajectories of systolic BP and hypertension. Cox regression was used to estimate associations between the identified trajectories and incident AF. Elevated systolic BP throughout the exposure period (1986-2001) independently and differentially increased risk of AF in women and men. In women, having elevated systolic BP trajectories doubled AF risk compared to having persistently low levels, irrespective of whether systolic BP increased, decreased, or was persistently high over time, with hazard ratios of 1.88 (95% confidence interval 1.37-2.58), 2.32 (1.61-3.35), and 1.94 (1.28-2.94), respectively. In men, those with elevated systolic BP that continued to increase over time had a 50% increased AF risk: 1.51 (1.09-2.10). When compared to those persistently normotensive, women developing hypertension during the exposure period, and women and men with hypertension throughout the exposure period had 1.40 (1.06-1.86), 2.75 (1.99-3.80), and 1.36 (1.10-1.68) times increased risk of AF, respectively. CONCLUSION: Long-term BP and hypertension trajectories were associated with increased incidence of AF in both women and men, but the associations were stronger in women.","author":[{"dropping-particle":"","family":"Sharashova","given":"Ekaterina","non-dropping-particle":"","parse-names":false,"suffix":""},{"dropping-particle":"","family":"Wilsgaard","given":"Tom","non-dropping-particle":"","parse-names":false,"suffix":""},{"dropping-particle":"","family":"Ball","given":"Jocasta","non-dropping-particle":"","parse-names":false,"suffix":""},{"dropping-particle":"","family":"Morseth","given":"Bente","non-dropping-particle":"","parse-names":false,"suffix":""},{"dropping-particle":"","family":"Gerdts","given":"Eva","non-dropping-particle":"","parse-names":false,"suffix":""},{"dropping-particle":"","family":"Hopstock","given":"Laila A","non-dropping-particle":"","parse-names":false,"suffix":""},{"dropping-particle":"","family":"Mathiesen","given":"Ellisiv B","non-dropping-particle":"","parse-names":false,"suffix":""},{"dropping-particle":"","family":"Schirmer","given":"Henrik","non-dropping-particle":"","parse-names":false,"suffix":""},{"dropping-particle":"","family":"Løchen","given":"Maja-Lisa","non-dropping-particle":"","parse-names":false,"suffix":""}],"container-title":"European heart journal","id":"ITEM-1","issue":"16","issued":{"date-parts":[["2020","4"]]},"language":"eng","page":"1554-1562","title":"Long-term blood pressure trajectories and incident atrial fibrillation in women and  men: the Tromsø Study.","type":"article-journal","volume":"41"},"uris":["http://www.mendeley.com/documents/?uuid=56eb0f35-dde9-44c7-86db-4853e44b93af"]}],"mendeley":{"formattedCitation":"&lt;sup&gt;11&lt;/sup&gt;","plainTextFormattedCitation":"11","previouslyFormattedCitation":"&lt;sup&gt;11&lt;/sup&gt;"},"properties":{"noteIndex":0},"schema":"https://github.com/citation-style-language/schema/raw/master/csl-citation.json"}</w:instrText>
      </w:r>
      <w:r w:rsidR="00752BF2">
        <w:rPr>
          <w:rFonts w:ascii="Times New Roman" w:hAnsi="Times New Roman"/>
          <w:bCs/>
          <w:sz w:val="24"/>
          <w:szCs w:val="24"/>
        </w:rPr>
        <w:fldChar w:fldCharType="separate"/>
      </w:r>
      <w:r w:rsidR="00403302" w:rsidRPr="00403302">
        <w:rPr>
          <w:rFonts w:ascii="Times New Roman" w:hAnsi="Times New Roman"/>
          <w:bCs/>
          <w:noProof/>
          <w:sz w:val="24"/>
          <w:szCs w:val="24"/>
          <w:vertAlign w:val="superscript"/>
        </w:rPr>
        <w:t>11</w:t>
      </w:r>
      <w:r w:rsidR="00752BF2">
        <w:rPr>
          <w:rFonts w:ascii="Times New Roman" w:hAnsi="Times New Roman"/>
          <w:bCs/>
          <w:sz w:val="24"/>
          <w:szCs w:val="24"/>
        </w:rPr>
        <w:fldChar w:fldCharType="end"/>
      </w:r>
      <w:r w:rsidRPr="00372862">
        <w:rPr>
          <w:rFonts w:ascii="Times New Roman" w:hAnsi="Times New Roman"/>
          <w:bCs/>
          <w:sz w:val="24"/>
          <w:szCs w:val="24"/>
        </w:rPr>
        <w:t xml:space="preserve">. Amongst 7670 </w:t>
      </w:r>
      <w:r>
        <w:rPr>
          <w:rFonts w:ascii="Times New Roman" w:hAnsi="Times New Roman"/>
          <w:bCs/>
          <w:sz w:val="24"/>
          <w:szCs w:val="24"/>
        </w:rPr>
        <w:t>men</w:t>
      </w:r>
      <w:r w:rsidRPr="00372862">
        <w:rPr>
          <w:rFonts w:ascii="Times New Roman" w:hAnsi="Times New Roman"/>
          <w:bCs/>
          <w:sz w:val="24"/>
          <w:szCs w:val="24"/>
        </w:rPr>
        <w:t xml:space="preserve"> and 8376 </w:t>
      </w:r>
      <w:r>
        <w:rPr>
          <w:rFonts w:ascii="Times New Roman" w:hAnsi="Times New Roman"/>
          <w:bCs/>
          <w:sz w:val="24"/>
          <w:szCs w:val="24"/>
        </w:rPr>
        <w:t>wo</w:t>
      </w:r>
      <w:r w:rsidRPr="00372862">
        <w:rPr>
          <w:rFonts w:ascii="Times New Roman" w:hAnsi="Times New Roman"/>
          <w:bCs/>
          <w:sz w:val="24"/>
          <w:szCs w:val="24"/>
        </w:rPr>
        <w:t>m</w:t>
      </w:r>
      <w:r>
        <w:rPr>
          <w:rFonts w:ascii="Times New Roman" w:hAnsi="Times New Roman"/>
          <w:bCs/>
          <w:sz w:val="24"/>
          <w:szCs w:val="24"/>
        </w:rPr>
        <w:t xml:space="preserve">en </w:t>
      </w:r>
      <w:r w:rsidRPr="00372862">
        <w:rPr>
          <w:rFonts w:ascii="Times New Roman" w:hAnsi="Times New Roman"/>
          <w:bCs/>
          <w:sz w:val="24"/>
          <w:szCs w:val="24"/>
        </w:rPr>
        <w:t>from a Norwegian prospective cohort</w:t>
      </w:r>
      <w:r>
        <w:rPr>
          <w:rFonts w:ascii="Times New Roman" w:hAnsi="Times New Roman"/>
          <w:bCs/>
          <w:sz w:val="24"/>
          <w:szCs w:val="24"/>
        </w:rPr>
        <w:t xml:space="preserve"> with a mean age at the beginning of the exposure period of ~40 years (mean age of our cohort at the beginning of the exposure period was 56.2 years)</w:t>
      </w:r>
      <w:r w:rsidRPr="00372862">
        <w:rPr>
          <w:rFonts w:ascii="Times New Roman" w:hAnsi="Times New Roman"/>
          <w:bCs/>
          <w:sz w:val="24"/>
          <w:szCs w:val="24"/>
        </w:rPr>
        <w:t xml:space="preserve">, stronger associations between elevated/hypertensive BP trajectories and incident </w:t>
      </w:r>
      <w:r>
        <w:rPr>
          <w:rFonts w:ascii="Times New Roman" w:hAnsi="Times New Roman"/>
          <w:bCs/>
          <w:sz w:val="24"/>
          <w:szCs w:val="24"/>
        </w:rPr>
        <w:t>AF</w:t>
      </w:r>
      <w:r w:rsidRPr="00372862">
        <w:rPr>
          <w:rFonts w:ascii="Times New Roman" w:hAnsi="Times New Roman"/>
          <w:bCs/>
          <w:sz w:val="24"/>
          <w:szCs w:val="24"/>
        </w:rPr>
        <w:t xml:space="preserve"> were documented amongst </w:t>
      </w:r>
      <w:r>
        <w:rPr>
          <w:rFonts w:ascii="Times New Roman" w:hAnsi="Times New Roman"/>
          <w:bCs/>
          <w:sz w:val="24"/>
          <w:szCs w:val="24"/>
        </w:rPr>
        <w:t>women</w:t>
      </w:r>
      <w:r w:rsidRPr="00372862">
        <w:rPr>
          <w:rFonts w:ascii="Times New Roman" w:hAnsi="Times New Roman"/>
          <w:bCs/>
          <w:sz w:val="24"/>
          <w:szCs w:val="24"/>
        </w:rPr>
        <w:t xml:space="preserve"> than in </w:t>
      </w:r>
      <w:r>
        <w:rPr>
          <w:rFonts w:ascii="Times New Roman" w:hAnsi="Times New Roman"/>
          <w:bCs/>
          <w:sz w:val="24"/>
          <w:szCs w:val="24"/>
        </w:rPr>
        <w:t>men</w:t>
      </w:r>
      <w:r>
        <w:rPr>
          <w:rFonts w:ascii="Times New Roman" w:hAnsi="Times New Roman"/>
          <w:bCs/>
          <w:sz w:val="24"/>
          <w:szCs w:val="24"/>
        </w:rPr>
        <w:fldChar w:fldCharType="begin" w:fldLock="1"/>
      </w:r>
      <w:r w:rsidR="00BB627C">
        <w:rPr>
          <w:rFonts w:ascii="Times New Roman" w:hAnsi="Times New Roman"/>
          <w:bCs/>
          <w:sz w:val="24"/>
          <w:szCs w:val="24"/>
        </w:rPr>
        <w:instrText>ADDIN CSL_CITATION {"citationItems":[{"id":"ITEM-1","itemData":{"DOI":"10.1093/eurheartj/ehz234","ISSN":"1522-9645 (Electronic)","PMID":"31050731","abstract":"AIMS: To explore sex-specific associations between long-term individual blood  pressure (BP) patterns and risk of incident atrial fibrillation (AF) in the general population. METHODS AND RESULTS: Blood pressure was measured in 8376 women and 7670 men who attended at least two of the three population-based Tromsø Study surveys conducted in 1986-87, 1994-95, and 2001. Participants were followed for incident AF throughout 2013. Latent mixed modelling was used to identify long-term trajectories of systolic BP and hypertension. Cox regression was used to estimate associations between the identified trajectories and incident AF. Elevated systolic BP throughout the exposure period (1986-2001) independently and differentially increased risk of AF in women and men. In women, having elevated systolic BP trajectories doubled AF risk compared to having persistently low levels, irrespective of whether systolic BP increased, decreased, or was persistently high over time, with hazard ratios of 1.88 (95% confidence interval 1.37-2.58), 2.32 (1.61-3.35), and 1.94 (1.28-2.94), respectively. In men, those with elevated systolic BP that continued to increase over time had a 50% increased AF risk: 1.51 (1.09-2.10). When compared to those persistently normotensive, women developing hypertension during the exposure period, and women and men with hypertension throughout the exposure period had 1.40 (1.06-1.86), 2.75 (1.99-3.80), and 1.36 (1.10-1.68) times increased risk of AF, respectively. CONCLUSION: Long-term BP and hypertension trajectories were associated with increased incidence of AF in both women and men, but the associations were stronger in women.","author":[{"dropping-particle":"","family":"Sharashova","given":"Ekaterina","non-dropping-particle":"","parse-names":false,"suffix":""},{"dropping-particle":"","family":"Wilsgaard","given":"Tom","non-dropping-particle":"","parse-names":false,"suffix":""},{"dropping-particle":"","family":"Ball","given":"Jocasta","non-dropping-particle":"","parse-names":false,"suffix":""},{"dropping-particle":"","family":"Morseth","given":"Bente","non-dropping-particle":"","parse-names":false,"suffix":""},{"dropping-particle":"","family":"Gerdts","given":"Eva","non-dropping-particle":"","parse-names":false,"suffix":""},{"dropping-particle":"","family":"Hopstock","given":"Laila A","non-dropping-particle":"","parse-names":false,"suffix":""},{"dropping-particle":"","family":"Mathiesen","given":"Ellisiv B","non-dropping-particle":"","parse-names":false,"suffix":""},{"dropping-particle":"","family":"Schirmer","given":"Henrik","non-dropping-particle":"","parse-names":false,"suffix":""},{"dropping-particle":"","family":"Løchen","given":"Maja-Lisa","non-dropping-particle":"","parse-names":false,"suffix":""}],"container-title":"European heart journal","id":"ITEM-1","issue":"16","issued":{"date-parts":[["2020","4"]]},"language":"eng","page":"1554-1562","title":"Long-term blood pressure trajectories and incident atrial fibrillation in women and  men: the Tromsø Study.","type":"article-journal","volume":"41"},"uris":["http://www.mendeley.com/documents/?uuid=56eb0f35-dde9-44c7-86db-4853e44b93af"]}],"mendeley":{"formattedCitation":"&lt;sup&gt;11&lt;/sup&gt;","plainTextFormattedCitation":"11","previouslyFormattedCitation":"&lt;sup&gt;11&lt;/sup&gt;"},"properties":{"noteIndex":0},"schema":"https://github.com/citation-style-language/schema/raw/master/csl-citation.json"}</w:instrText>
      </w:r>
      <w:r>
        <w:rPr>
          <w:rFonts w:ascii="Times New Roman" w:hAnsi="Times New Roman"/>
          <w:bCs/>
          <w:sz w:val="24"/>
          <w:szCs w:val="24"/>
        </w:rPr>
        <w:fldChar w:fldCharType="separate"/>
      </w:r>
      <w:r w:rsidR="00403302" w:rsidRPr="00403302">
        <w:rPr>
          <w:rFonts w:ascii="Times New Roman" w:hAnsi="Times New Roman"/>
          <w:bCs/>
          <w:noProof/>
          <w:sz w:val="24"/>
          <w:szCs w:val="24"/>
          <w:vertAlign w:val="superscript"/>
        </w:rPr>
        <w:t>11</w:t>
      </w:r>
      <w:r>
        <w:rPr>
          <w:rFonts w:ascii="Times New Roman" w:hAnsi="Times New Roman"/>
          <w:bCs/>
          <w:sz w:val="24"/>
          <w:szCs w:val="24"/>
        </w:rPr>
        <w:fldChar w:fldCharType="end"/>
      </w:r>
      <w:r w:rsidRPr="00372862">
        <w:rPr>
          <w:rFonts w:ascii="Times New Roman" w:hAnsi="Times New Roman"/>
          <w:bCs/>
          <w:sz w:val="24"/>
          <w:szCs w:val="24"/>
        </w:rPr>
        <w:t xml:space="preserve">. </w:t>
      </w:r>
      <w:r w:rsidRPr="008B6F1C">
        <w:rPr>
          <w:rFonts w:ascii="Times New Roman" w:hAnsi="Times New Roman"/>
          <w:bCs/>
          <w:sz w:val="24"/>
          <w:szCs w:val="24"/>
        </w:rPr>
        <w:t xml:space="preserve">However, no previous investigations have assessed the </w:t>
      </w:r>
      <w:r w:rsidR="008B6F1C" w:rsidRPr="008B6F1C">
        <w:rPr>
          <w:rFonts w:ascii="Times New Roman" w:hAnsi="Times New Roman"/>
          <w:bCs/>
          <w:sz w:val="24"/>
          <w:szCs w:val="24"/>
        </w:rPr>
        <w:t xml:space="preserve">relationship between the different phenotypes of longitudinal BP changes and </w:t>
      </w:r>
      <w:r w:rsidR="00E237E8">
        <w:rPr>
          <w:rFonts w:ascii="Times New Roman" w:hAnsi="Times New Roman"/>
          <w:bCs/>
          <w:sz w:val="24"/>
          <w:szCs w:val="24"/>
        </w:rPr>
        <w:t>adverse outcomes</w:t>
      </w:r>
      <w:r w:rsidR="008B6F1C" w:rsidRPr="008B6F1C">
        <w:rPr>
          <w:rFonts w:ascii="Times New Roman" w:hAnsi="Times New Roman"/>
          <w:bCs/>
          <w:sz w:val="24"/>
          <w:szCs w:val="24"/>
        </w:rPr>
        <w:t xml:space="preserve"> </w:t>
      </w:r>
      <w:r w:rsidR="008B6F1C">
        <w:rPr>
          <w:rFonts w:ascii="Times New Roman" w:hAnsi="Times New Roman"/>
          <w:bCs/>
          <w:sz w:val="24"/>
          <w:szCs w:val="24"/>
        </w:rPr>
        <w:t xml:space="preserve">separately </w:t>
      </w:r>
      <w:r w:rsidR="008B6F1C" w:rsidRPr="008B6F1C">
        <w:rPr>
          <w:rFonts w:ascii="Times New Roman" w:hAnsi="Times New Roman"/>
          <w:bCs/>
          <w:sz w:val="24"/>
          <w:szCs w:val="24"/>
        </w:rPr>
        <w:t xml:space="preserve">amongst </w:t>
      </w:r>
      <w:r w:rsidR="008B6F1C">
        <w:rPr>
          <w:rFonts w:ascii="Times New Roman" w:hAnsi="Times New Roman"/>
          <w:bCs/>
          <w:sz w:val="24"/>
          <w:szCs w:val="24"/>
        </w:rPr>
        <w:t>men and women.</w:t>
      </w:r>
      <w:r w:rsidR="008B6F1C" w:rsidRPr="008B6F1C">
        <w:rPr>
          <w:rFonts w:ascii="Times New Roman" w:hAnsi="Times New Roman"/>
          <w:bCs/>
          <w:sz w:val="24"/>
          <w:szCs w:val="24"/>
        </w:rPr>
        <w:t xml:space="preserve"> </w:t>
      </w:r>
      <w:r w:rsidRPr="008B6F1C">
        <w:rPr>
          <w:rFonts w:ascii="Times New Roman" w:hAnsi="Times New Roman"/>
          <w:bCs/>
          <w:sz w:val="24"/>
          <w:szCs w:val="24"/>
        </w:rPr>
        <w:t>Our study is the first to report these relationships.</w:t>
      </w:r>
    </w:p>
    <w:p w14:paraId="0025BEF3" w14:textId="1F82A748" w:rsidR="00F63186" w:rsidRDefault="00F63186" w:rsidP="00F63186">
      <w:pPr>
        <w:spacing w:line="360" w:lineRule="auto"/>
        <w:rPr>
          <w:rFonts w:ascii="Times New Roman" w:hAnsi="Times New Roman"/>
          <w:bCs/>
          <w:sz w:val="24"/>
          <w:szCs w:val="24"/>
        </w:rPr>
      </w:pPr>
      <w:r>
        <w:rPr>
          <w:rFonts w:ascii="Times New Roman" w:hAnsi="Times New Roman"/>
          <w:bCs/>
          <w:sz w:val="24"/>
          <w:szCs w:val="24"/>
        </w:rPr>
        <w:t>Our results</w:t>
      </w:r>
      <w:r w:rsidRPr="00372862">
        <w:rPr>
          <w:rFonts w:ascii="Times New Roman" w:hAnsi="Times New Roman"/>
          <w:bCs/>
          <w:sz w:val="24"/>
          <w:szCs w:val="24"/>
        </w:rPr>
        <w:t xml:space="preserve"> suggest that </w:t>
      </w:r>
      <w:r>
        <w:rPr>
          <w:rFonts w:ascii="Times New Roman" w:hAnsi="Times New Roman"/>
          <w:bCs/>
          <w:sz w:val="24"/>
          <w:szCs w:val="24"/>
        </w:rPr>
        <w:t>men</w:t>
      </w:r>
      <w:r w:rsidRPr="00372862">
        <w:rPr>
          <w:rFonts w:ascii="Times New Roman" w:hAnsi="Times New Roman"/>
          <w:bCs/>
          <w:sz w:val="24"/>
          <w:szCs w:val="24"/>
        </w:rPr>
        <w:t xml:space="preserve"> exhibit higher </w:t>
      </w:r>
      <w:r>
        <w:rPr>
          <w:rFonts w:ascii="Times New Roman" w:hAnsi="Times New Roman"/>
          <w:bCs/>
          <w:sz w:val="24"/>
          <w:szCs w:val="24"/>
        </w:rPr>
        <w:t>SBP</w:t>
      </w:r>
      <w:r w:rsidRPr="00372862">
        <w:rPr>
          <w:rFonts w:ascii="Times New Roman" w:hAnsi="Times New Roman"/>
          <w:bCs/>
          <w:sz w:val="24"/>
          <w:szCs w:val="24"/>
        </w:rPr>
        <w:t xml:space="preserve"> trajectories than </w:t>
      </w:r>
      <w:r>
        <w:rPr>
          <w:rFonts w:ascii="Times New Roman" w:hAnsi="Times New Roman"/>
          <w:bCs/>
          <w:sz w:val="24"/>
          <w:szCs w:val="24"/>
        </w:rPr>
        <w:t>women</w:t>
      </w:r>
      <w:r w:rsidRPr="00372862">
        <w:rPr>
          <w:rFonts w:ascii="Times New Roman" w:hAnsi="Times New Roman"/>
          <w:bCs/>
          <w:sz w:val="24"/>
          <w:szCs w:val="24"/>
        </w:rPr>
        <w:t xml:space="preserve">, with </w:t>
      </w:r>
      <w:r>
        <w:rPr>
          <w:rFonts w:ascii="Times New Roman" w:hAnsi="Times New Roman"/>
          <w:bCs/>
          <w:sz w:val="24"/>
          <w:szCs w:val="24"/>
        </w:rPr>
        <w:t>men</w:t>
      </w:r>
      <w:r w:rsidRPr="00372862">
        <w:rPr>
          <w:rFonts w:ascii="Times New Roman" w:hAnsi="Times New Roman"/>
          <w:bCs/>
          <w:sz w:val="24"/>
          <w:szCs w:val="24"/>
        </w:rPr>
        <w:t xml:space="preserve"> in the reference </w:t>
      </w:r>
      <w:r>
        <w:rPr>
          <w:rFonts w:ascii="Times New Roman" w:hAnsi="Times New Roman"/>
          <w:bCs/>
          <w:sz w:val="24"/>
          <w:szCs w:val="24"/>
        </w:rPr>
        <w:t>S</w:t>
      </w:r>
      <w:r w:rsidRPr="00372862">
        <w:rPr>
          <w:rFonts w:ascii="Times New Roman" w:hAnsi="Times New Roman"/>
          <w:bCs/>
          <w:sz w:val="24"/>
          <w:szCs w:val="24"/>
        </w:rPr>
        <w:t xml:space="preserve">BP trajectory having a mean SBP of ~120 mmHg throughout the exposure period </w:t>
      </w:r>
      <w:r>
        <w:rPr>
          <w:rFonts w:ascii="Times New Roman" w:hAnsi="Times New Roman"/>
          <w:bCs/>
          <w:sz w:val="24"/>
          <w:szCs w:val="24"/>
        </w:rPr>
        <w:t>while</w:t>
      </w:r>
      <w:r w:rsidRPr="00372862">
        <w:rPr>
          <w:rFonts w:ascii="Times New Roman" w:hAnsi="Times New Roman"/>
          <w:bCs/>
          <w:sz w:val="24"/>
          <w:szCs w:val="24"/>
        </w:rPr>
        <w:t xml:space="preserve"> </w:t>
      </w:r>
      <w:r>
        <w:rPr>
          <w:rFonts w:ascii="Times New Roman" w:hAnsi="Times New Roman"/>
          <w:bCs/>
          <w:sz w:val="24"/>
          <w:szCs w:val="24"/>
        </w:rPr>
        <w:t>women</w:t>
      </w:r>
      <w:r w:rsidRPr="00372862">
        <w:rPr>
          <w:rFonts w:ascii="Times New Roman" w:hAnsi="Times New Roman"/>
          <w:bCs/>
          <w:sz w:val="24"/>
          <w:szCs w:val="24"/>
        </w:rPr>
        <w:t xml:space="preserve"> in the </w:t>
      </w:r>
      <w:r>
        <w:rPr>
          <w:rFonts w:ascii="Times New Roman" w:hAnsi="Times New Roman"/>
          <w:bCs/>
          <w:sz w:val="24"/>
          <w:szCs w:val="24"/>
        </w:rPr>
        <w:t>reference</w:t>
      </w:r>
      <w:r w:rsidRPr="00372862">
        <w:rPr>
          <w:rFonts w:ascii="Times New Roman" w:hAnsi="Times New Roman"/>
          <w:bCs/>
          <w:sz w:val="24"/>
          <w:szCs w:val="24"/>
        </w:rPr>
        <w:t xml:space="preserve"> group ~110 mmHg. Nevertheless, more pronounced </w:t>
      </w:r>
      <w:r>
        <w:rPr>
          <w:rFonts w:ascii="Times New Roman" w:hAnsi="Times New Roman"/>
          <w:bCs/>
          <w:sz w:val="24"/>
          <w:szCs w:val="24"/>
        </w:rPr>
        <w:t xml:space="preserve">SBP </w:t>
      </w:r>
      <w:r w:rsidRPr="00372862">
        <w:rPr>
          <w:rFonts w:ascii="Times New Roman" w:hAnsi="Times New Roman"/>
          <w:bCs/>
          <w:sz w:val="24"/>
          <w:szCs w:val="24"/>
        </w:rPr>
        <w:t xml:space="preserve">decreases were recorded in </w:t>
      </w:r>
      <w:r>
        <w:rPr>
          <w:rFonts w:ascii="Times New Roman" w:hAnsi="Times New Roman"/>
          <w:bCs/>
          <w:sz w:val="24"/>
          <w:szCs w:val="24"/>
        </w:rPr>
        <w:t>men.</w:t>
      </w:r>
      <w:r w:rsidRPr="00372862">
        <w:rPr>
          <w:rFonts w:ascii="Times New Roman" w:hAnsi="Times New Roman"/>
          <w:bCs/>
          <w:sz w:val="24"/>
          <w:szCs w:val="24"/>
        </w:rPr>
        <w:t xml:space="preserve"> </w:t>
      </w:r>
      <w:r>
        <w:rPr>
          <w:rFonts w:ascii="Times New Roman" w:hAnsi="Times New Roman"/>
          <w:bCs/>
          <w:sz w:val="24"/>
          <w:szCs w:val="24"/>
        </w:rPr>
        <w:t>This</w:t>
      </w:r>
      <w:r w:rsidRPr="00372862">
        <w:rPr>
          <w:rFonts w:ascii="Times New Roman" w:hAnsi="Times New Roman"/>
          <w:bCs/>
          <w:sz w:val="24"/>
          <w:szCs w:val="24"/>
        </w:rPr>
        <w:t xml:space="preserve"> may be attributed to a tendency of undertreating hypertension in </w:t>
      </w:r>
      <w:r>
        <w:rPr>
          <w:rFonts w:ascii="Times New Roman" w:hAnsi="Times New Roman"/>
          <w:bCs/>
          <w:sz w:val="24"/>
          <w:szCs w:val="24"/>
        </w:rPr>
        <w:t>women</w:t>
      </w:r>
      <w:r w:rsidRPr="00372862">
        <w:rPr>
          <w:rFonts w:ascii="Times New Roman" w:hAnsi="Times New Roman"/>
          <w:bCs/>
          <w:sz w:val="24"/>
          <w:szCs w:val="24"/>
        </w:rPr>
        <w:t xml:space="preserve">, </w:t>
      </w:r>
      <w:r w:rsidR="006D0997">
        <w:rPr>
          <w:rFonts w:ascii="Times New Roman" w:hAnsi="Times New Roman"/>
          <w:bCs/>
          <w:sz w:val="24"/>
          <w:szCs w:val="24"/>
        </w:rPr>
        <w:t xml:space="preserve">illustrated </w:t>
      </w:r>
      <w:r w:rsidRPr="00372862">
        <w:rPr>
          <w:rFonts w:ascii="Times New Roman" w:hAnsi="Times New Roman"/>
          <w:bCs/>
          <w:sz w:val="24"/>
          <w:szCs w:val="24"/>
        </w:rPr>
        <w:t xml:space="preserve">by lower utilisation of antihypertensive agents in </w:t>
      </w:r>
      <w:r>
        <w:rPr>
          <w:rFonts w:ascii="Times New Roman" w:hAnsi="Times New Roman"/>
          <w:bCs/>
          <w:sz w:val="24"/>
          <w:szCs w:val="24"/>
        </w:rPr>
        <w:t>women</w:t>
      </w:r>
      <w:r w:rsidRPr="00372862">
        <w:rPr>
          <w:rFonts w:ascii="Times New Roman" w:hAnsi="Times New Roman"/>
          <w:bCs/>
          <w:sz w:val="24"/>
          <w:szCs w:val="24"/>
        </w:rPr>
        <w:t xml:space="preserve"> than in </w:t>
      </w:r>
      <w:r>
        <w:rPr>
          <w:rFonts w:ascii="Times New Roman" w:hAnsi="Times New Roman"/>
          <w:bCs/>
          <w:sz w:val="24"/>
          <w:szCs w:val="24"/>
        </w:rPr>
        <w:t>men</w:t>
      </w:r>
      <w:r w:rsidRPr="00372862">
        <w:rPr>
          <w:rFonts w:ascii="Times New Roman" w:hAnsi="Times New Roman"/>
          <w:bCs/>
          <w:sz w:val="24"/>
          <w:szCs w:val="24"/>
        </w:rPr>
        <w:t xml:space="preserve"> at the end of the exposure period</w:t>
      </w:r>
      <w:r>
        <w:rPr>
          <w:rFonts w:ascii="Times New Roman" w:hAnsi="Times New Roman"/>
          <w:bCs/>
          <w:sz w:val="24"/>
          <w:szCs w:val="24"/>
        </w:rPr>
        <w:t xml:space="preserve"> </w:t>
      </w:r>
      <w:r w:rsidRPr="00372862">
        <w:rPr>
          <w:rFonts w:ascii="Times New Roman" w:hAnsi="Times New Roman"/>
          <w:bCs/>
          <w:sz w:val="24"/>
          <w:szCs w:val="24"/>
        </w:rPr>
        <w:t>(36% versus 42%, respectively).</w:t>
      </w:r>
      <w:r w:rsidR="00123538">
        <w:rPr>
          <w:rFonts w:ascii="Times New Roman" w:hAnsi="Times New Roman"/>
          <w:bCs/>
          <w:sz w:val="24"/>
          <w:szCs w:val="24"/>
        </w:rPr>
        <w:t xml:space="preserve"> Our results are largely consistent</w:t>
      </w:r>
      <w:r w:rsidR="00543A5A">
        <w:rPr>
          <w:rFonts w:ascii="Times New Roman" w:hAnsi="Times New Roman"/>
          <w:bCs/>
          <w:sz w:val="24"/>
          <w:szCs w:val="24"/>
        </w:rPr>
        <w:t xml:space="preserve"> with</w:t>
      </w:r>
      <w:r w:rsidR="00123538">
        <w:rPr>
          <w:rFonts w:ascii="Times New Roman" w:hAnsi="Times New Roman"/>
          <w:bCs/>
          <w:sz w:val="24"/>
          <w:szCs w:val="24"/>
        </w:rPr>
        <w:t xml:space="preserve"> previous findings suggesting a larger unused potential for cardiovascular prevention by BP reduction strategies in women than in men</w:t>
      </w:r>
      <w:r w:rsidR="00123538">
        <w:rPr>
          <w:rFonts w:ascii="Times New Roman" w:hAnsi="Times New Roman"/>
          <w:bCs/>
          <w:sz w:val="24"/>
          <w:szCs w:val="24"/>
        </w:rPr>
        <w:fldChar w:fldCharType="begin" w:fldLock="1"/>
      </w:r>
      <w:r w:rsidR="00190631">
        <w:rPr>
          <w:rFonts w:ascii="Times New Roman" w:hAnsi="Times New Roman"/>
          <w:bCs/>
          <w:sz w:val="24"/>
          <w:szCs w:val="24"/>
        </w:rPr>
        <w:instrText>ADDIN CSL_CITATION {"citationItems":[{"id":"ITEM-1","itemData":{"DOI":"10.1161/HYPERTENSIONAHA.110.156828","ISSN":"1524-4563 (Electronic)","PMID":"21263119","abstract":"To analyze sex-specific relative and absolute risks associated with blood pressure  (BP), we performed conventional and 24-hour ambulatory BP measurements in 9357 subjects (mean age, 52.8 years; 47% women) recruited from 11 populations. We computed standardized multivariable-adjusted hazard ratios for associations between outcome and systolic BP. During a course of 11.2 years (median), 1245 participants died, 472 of cardiovascular causes. The number of fatal combined with nonfatal events was 1080, 525, and 458 for cardiovascular and cardiac events and for stroke, respectively. In women and men alike, systolic BP predicted outcome, irrespective of the type of BP measurement. Women compared with men were at lower risk (hazard ratios for death and all cardiovascular events=0.66 and 0.62, respectively; P&lt;0.001). However, the relation of all cardiovascular events with 24-hour BP (P=0.020) and the relations of total mortality (P=0.023) and all cardiovascular (P=0.0013), cerebrovascular (P=0.045), and cardiac (P=0.034) events with nighttime BP were steeper in women than in men. Consequently, per a 1-SD decrease, the proportion of potentially preventable events was higher in women than in men for all cardiovascular events (35.9% vs 24.2%) in relation to 24-hour systolic BP (1-SD, 13.4 mm Hg) and for all-cause mortality (23.1% vs 12.3%) and cardiovascular (35.1% vs 19.4%), cerebrovascular (38.3% vs 25.9%), and cardiac (31.0% vs 16.0%) events in relation to systolic nighttime BP (1-SD, 14.1 mm Hg). In conclusion, although absolute risks associated with systolic BP were lower in women than men, our results reveal a vast and largely unused potential for cardiovascular prevention by BP-lowering treatment in women.","author":[{"dropping-particle":"","family":"Boggia","given":"José","non-dropping-particle":"","parse-names":false,"suffix":""},{"dropping-particle":"","family":"Thijs","given":"Lutgarde","non-dropping-particle":"","parse-names":false,"suffix":""},{"dropping-particle":"","family":"Hansen","given":"Tine W","non-dropping-particle":"","parse-names":false,"suffix":""},{"dropping-particle":"","family":"Li","given":"Yan","non-dropping-particle":"","parse-names":false,"suffix":""},{"dropping-particle":"","family":"Kikuya","given":"Masahiro","non-dropping-particle":"","parse-names":false,"suffix":""},{"dropping-particle":"","family":"Björklund-Bodegård","given":"Kristina","non-dropping-particle":"","parse-names":false,"suffix":""},{"dropping-particle":"","family":"Richart","given":"Tom","non-dropping-particle":"","parse-names":false,"suffix":""},{"dropping-particle":"","family":"Ohkubo","given":"Takayoshi","non-dropping-particle":"","parse-names":false,"suffix":""},{"dropping-particle":"","family":"Jeppesen","given":"Jørgen","non-dropping-particle":"","parse-names":false,"suffix":""},{"dropping-particle":"","family":"Torp-Pedersen","given":"Christian","non-dropping-particle":"","parse-names":false,"suffix":""},{"dropping-particle":"","family":"Dolan","given":"Eamon","non-dropping-particle":"","parse-names":false,"suffix":""},{"dropping-particle":"","family":"Kuznetsova","given":"Tatiana","non-dropping-particle":"","parse-names":false,"suffix":""},{"dropping-particle":"","family":"Olszanecka","given":"Agnieszka","non-dropping-particle":"","parse-names":false,"suffix":""},{"dropping-particle":"","family":"Tikhonoff","given":"Valérie","non-dropping-particle":"","parse-names":false,"suffix":""},{"dropping-particle":"","family":"Malyutina","given":"Sofia","non-dropping-particle":"","parse-names":false,"suffix":""},{"dropping-particle":"","family":"Casiglia","given":"Edoardo","non-dropping-particle":"","parse-names":false,"suffix":""},{"dropping-particle":"","family":"Nikitin","given":"Yuri","non-dropping-particle":"","parse-names":false,"suffix":""},{"dropping-particle":"","family":"Lind","given":"Lars","non-dropping-particle":"","parse-names":false,"suffix":""},{"dropping-particle":"","family":"Maestre","given":"Gladys","non-dropping-particle":"","parse-names":false,"suffix":""},{"dropping-particle":"","family":"Sandoya","given":"Edgardo","non-dropping-particle":"","parse-names":false,"suffix":""},{"dropping-particle":"","family":"Kawecka-Jaszcz","given":"Kalina","non-dropping-particle":"","parse-names":false,"suffix":""},{"dropping-particle":"","family":"Imai","given":"Yutaka","non-dropping-particle":"","parse-names":false,"suffix":""},{"dropping-particle":"","family":"Wang","given":"Jiguang","non-dropping-particle":"","parse-names":false,"suffix":""},{"dropping-particle":"","family":"Ibsen","given":"Hans","non-dropping-particle":"","parse-names":false,"suffix":""},{"dropping-particle":"","family":"O'Brien","given":"Eoin","non-dropping-particle":"","parse-names":false,"suffix":""},{"dropping-particle":"","family":"Staessen","given":"Jan A","non-dropping-particle":"","parse-names":false,"suffix":""}],"container-title":"Hypertension (Dallas, Tex. : 1979)","id":"ITEM-1","issue":"3","issued":{"date-parts":[["2011","3"]]},"language":"eng","page":"397-405","publisher-place":"United States","title":"Ambulatory blood pressure monitoring in 9357 subjects from 11 populations highlights  missed opportunities for cardiovascular prevention in women.","type":"article-journal","volume":"57"},"uris":["http://www.mendeley.com/documents/?uuid=369d408d-8b49-4900-b5e2-58b75d257aeb"]}],"mendeley":{"formattedCitation":"&lt;sup&gt;32&lt;/sup&gt;","plainTextFormattedCitation":"32","previouslyFormattedCitation":"&lt;sup&gt;32&lt;/sup&gt;"},"properties":{"noteIndex":0},"schema":"https://github.com/citation-style-language/schema/raw/master/csl-citation.json"}</w:instrText>
      </w:r>
      <w:r w:rsidR="00123538">
        <w:rPr>
          <w:rFonts w:ascii="Times New Roman" w:hAnsi="Times New Roman"/>
          <w:bCs/>
          <w:sz w:val="24"/>
          <w:szCs w:val="24"/>
        </w:rPr>
        <w:fldChar w:fldCharType="separate"/>
      </w:r>
      <w:r w:rsidR="00AC05A9" w:rsidRPr="00AC05A9">
        <w:rPr>
          <w:rFonts w:ascii="Times New Roman" w:hAnsi="Times New Roman"/>
          <w:bCs/>
          <w:noProof/>
          <w:sz w:val="24"/>
          <w:szCs w:val="24"/>
          <w:vertAlign w:val="superscript"/>
        </w:rPr>
        <w:t>32</w:t>
      </w:r>
      <w:r w:rsidR="00123538">
        <w:rPr>
          <w:rFonts w:ascii="Times New Roman" w:hAnsi="Times New Roman"/>
          <w:bCs/>
          <w:sz w:val="24"/>
          <w:szCs w:val="24"/>
        </w:rPr>
        <w:fldChar w:fldCharType="end"/>
      </w:r>
      <w:r w:rsidR="00123538">
        <w:rPr>
          <w:rFonts w:ascii="Times New Roman" w:hAnsi="Times New Roman"/>
          <w:bCs/>
          <w:sz w:val="24"/>
          <w:szCs w:val="24"/>
        </w:rPr>
        <w:t xml:space="preserve">.  </w:t>
      </w:r>
      <w:r w:rsidR="00F17BAC">
        <w:rPr>
          <w:rFonts w:ascii="Times New Roman" w:hAnsi="Times New Roman"/>
          <w:bCs/>
          <w:sz w:val="24"/>
          <w:szCs w:val="24"/>
        </w:rPr>
        <w:t xml:space="preserve">Furthermore, </w:t>
      </w:r>
      <w:r w:rsidR="0055288A">
        <w:rPr>
          <w:rFonts w:ascii="Times New Roman" w:hAnsi="Times New Roman"/>
          <w:bCs/>
          <w:sz w:val="24"/>
          <w:szCs w:val="24"/>
        </w:rPr>
        <w:t xml:space="preserve">we also found </w:t>
      </w:r>
      <w:r w:rsidR="00F17BAC">
        <w:rPr>
          <w:rFonts w:ascii="Times New Roman" w:hAnsi="Times New Roman"/>
          <w:bCs/>
          <w:sz w:val="24"/>
          <w:szCs w:val="24"/>
        </w:rPr>
        <w:t xml:space="preserve">that </w:t>
      </w:r>
      <w:r w:rsidR="00F17BAC">
        <w:rPr>
          <w:rFonts w:ascii="Times New Roman" w:hAnsi="Times New Roman"/>
          <w:sz w:val="24"/>
          <w:szCs w:val="24"/>
        </w:rPr>
        <w:t xml:space="preserve">compared to low optimal DBP (&lt;70 mmHg), DBP trajectories characterised by high normal values (80-90 mmHg) were associated with lower risk of </w:t>
      </w:r>
      <w:r w:rsidR="0055288A">
        <w:rPr>
          <w:rFonts w:ascii="Times New Roman" w:hAnsi="Times New Roman"/>
          <w:sz w:val="24"/>
          <w:szCs w:val="24"/>
        </w:rPr>
        <w:t>all-cause and cardiovascular mortality</w:t>
      </w:r>
      <w:r w:rsidR="00F17BAC">
        <w:rPr>
          <w:rFonts w:ascii="Times New Roman" w:hAnsi="Times New Roman"/>
          <w:sz w:val="24"/>
          <w:szCs w:val="24"/>
        </w:rPr>
        <w:t xml:space="preserve"> in men,</w:t>
      </w:r>
      <w:r w:rsidR="0055288A">
        <w:rPr>
          <w:rFonts w:ascii="Times New Roman" w:hAnsi="Times New Roman"/>
          <w:sz w:val="24"/>
          <w:szCs w:val="24"/>
        </w:rPr>
        <w:t xml:space="preserve"> even after full multivariable adjustment. Such associations were nevertheless n</w:t>
      </w:r>
      <w:r w:rsidR="00F17BAC">
        <w:rPr>
          <w:rFonts w:ascii="Times New Roman" w:hAnsi="Times New Roman"/>
          <w:sz w:val="24"/>
          <w:szCs w:val="24"/>
        </w:rPr>
        <w:t>ot</w:t>
      </w:r>
      <w:r w:rsidR="0055288A">
        <w:rPr>
          <w:rFonts w:ascii="Times New Roman" w:hAnsi="Times New Roman"/>
          <w:sz w:val="24"/>
          <w:szCs w:val="24"/>
        </w:rPr>
        <w:t xml:space="preserve"> revealed</w:t>
      </w:r>
      <w:r w:rsidR="00F17BAC">
        <w:rPr>
          <w:rFonts w:ascii="Times New Roman" w:hAnsi="Times New Roman"/>
          <w:sz w:val="24"/>
          <w:szCs w:val="24"/>
        </w:rPr>
        <w:t xml:space="preserve"> in women (who had lower CVD prevalence at baseline) or in participants included in the incident CVD analyses (who were free of prevalent CVD at baseline)</w:t>
      </w:r>
      <w:r w:rsidR="0055288A">
        <w:rPr>
          <w:rFonts w:ascii="Times New Roman" w:hAnsi="Times New Roman"/>
          <w:sz w:val="24"/>
          <w:szCs w:val="24"/>
        </w:rPr>
        <w:t>, suggesting that long-term exposure DBP &lt;70 mmHg may be deleterious in patients with pre-existing CVD, which has been previously reported in larger studies with shorter follow-up</w:t>
      </w:r>
      <w:r w:rsidR="00BB627C">
        <w:rPr>
          <w:rFonts w:ascii="Times New Roman" w:hAnsi="Times New Roman"/>
          <w:sz w:val="24"/>
          <w:szCs w:val="24"/>
        </w:rPr>
        <w:fldChar w:fldCharType="begin" w:fldLock="1"/>
      </w:r>
      <w:r w:rsidR="00190631">
        <w:rPr>
          <w:rFonts w:ascii="Times New Roman" w:hAnsi="Times New Roman"/>
          <w:sz w:val="24"/>
          <w:szCs w:val="24"/>
        </w:rPr>
        <w:instrText>ADDIN CSL_CITATION {"citationItems":[{"id":"ITEM-1","itemData":{"DOI":"10.1016/S0140-6736(16)31326-5","ISSN":"1474-547X (Electronic)","PMID":"27590221","abstract":"BACKGROUND: The optimum blood pressure target in hypertension remains debated,  especially in coronary artery disease, given concerns for reduced myocardial perfusion if diastolic blood pressure is too low. We aimed to study the association between achieved blood pressure and cardiovascular outcomes in patients with coronary artery disease and hypertension. METHODS: We analysed data from 22 672 patients with stable coronary artery disease enrolled (from Nov 26, 2009, to June 30, 2010) in the CLARIFY registry (including patients from 45 countries) and treated for hypertension. Systolic and diastolic blood pressures before each event were averaged and categorised into 10 mm Hg increments. The primary outcome was the composite of cardiovascular death, myocardial infarction, or stroke. Hazard ratios (HRs) were estimated with multivariable adjusted Cox proportional hazards models, using the 120-129 mm Hg systolic blood pressure and 70-79 mm Hg diastolic blood pressure subgroups as reference. FINDINGS: After a median follow-up of 5·0 years, increased systolic blood pressure of 140 mm Hg or more and diastolic blood pressure of 80 mm Hg or more were each associated with increased risk of cardiovascular events. Systolic blood pressure of less than 120 mm Hg was also associated with increased risk for the primary outcome (adjusted HR 1·56, 95% CI 1·36-1·81). Likewise, diastolic blood pressure of less than 70 mm Hg was associated with an increase in the primary outcome (adjusted HR 1·41 [1·24-1·61] for diastolic blood pressure of 60-69 mm Hg and 2·01 [1·50-2·70] for diastolic blood pressure of less than 60 mm Hg). INTERPRETATION: In patients with hypertension and coronary artery disease from routine clinical practice, systolic blood pressure of less than 120 mm Hg and diastolic blood pressure of less than 70 mm Hg were each associated with adverse cardiovascular outcomes, including mortality, supporting the existence of a J-curve phenomenon. This finding suggests that caution should be taken in the use of blood pressure-lowering treatment in patients with coronary artery disease. FUNDING: Servier.","author":[{"dropping-particle":"","family":"Vidal-Petiot","given":"Emmanuelle","non-dropping-particle":"","parse-names":false,"suffix":""},{"dropping-particle":"","family":"Ford","given":"Ian","non-dropping-particle":"","parse-names":false,"suffix":""},{"dropping-particle":"","family":"Greenlaw","given":"Nicola","non-dropping-particle":"","parse-names":false,"suffix":""},{"dropping-particle":"","family":"Ferrari","given":"Roberto","non-dropping-particle":"","parse-names":false,"suffix":""},{"dropping-particle":"","family":"Fox","given":"Kim M","non-dropping-particle":"","parse-names":false,"suffix":""},{"dropping-particle":"","family":"Tardif","given":"Jean-Claude","non-dropping-particle":"","parse-names":false,"suffix":""},{"dropping-particle":"","family":"Tendera","given":"Michal","non-dropping-particle":"","parse-names":false,"suffix":""},{"dropping-particle":"","family":"Tavazzi","given":"Luigi","non-dropping-particle":"","parse-names":false,"suffix":""},{"dropping-particle":"","family":"Bhatt","given":"Deepak L","non-dropping-particle":"","parse-names":false,"suffix":""},{"dropping-particle":"","family":"Steg","given":"Philippe Gabriel","non-dropping-particle":"","parse-names":false,"suffix":""}],"container-title":"Lancet (London, England)","id":"ITEM-1","issue":"10056","issued":{"date-parts":[["2016","10"]]},"language":"eng","page":"2142-2152","publisher-place":"England","title":"Cardiovascular event rates and mortality according to achieved systolic and  diastolic blood pressure in patients with stable coronary artery disease: an international cohort study.","type":"article-journal","volume":"388"},"uris":["http://www.mendeley.com/documents/?uuid=b814fead-5ae9-4ad6-a55c-13941c65f5dd"]},{"id":"ITEM-2","itemData":{"DOI":"10.1016/S0140-6736(17)30754-7","ISSN":"1474-547X (Electronic)","PMID":"28390695","abstract":"BACKGROUND: Studies have challenged the appropriateness of accepted blood pressure  targets. We hypothesised that different levels of low blood pressure are associated with benefit for some, but harm for other outcomes. METHODS: In this analysis, we assessed the previously reported outcome data from high-risk patients aged 55 years or older with a history of cardiovascular disease, 70% of whom had hypertension, from the ONTARGET and TRANSCEND trials investigating ramipril, telmisartan, and their combination, with a median follow-up of 56 months. Detailed descriptions of randomisation and intervention have already been reported. We analysed the associations between mean blood pressure achieved on treatment; prerandomisation baseline blood pressure; or time-updated blood pressure (last on treatment value before an event) on the composite outcome of cardiovascular death, myocardial infarction, stroke, and hospital admission for heart failure; the components of the composite outcome; and all-cause death. Analysis was done by Cox regression analysis, ANOVA, and χ(2). These trials were registered with ClinicalTrials.gov, number NCT00153101. FINDINGS: Recruitment for ONTARGET took place between Dec 1, 2001, and July 31, 2008. TRANSCEND took place between Nov 1, 2001, and May 30, 2004. 30 937 patients were recruited from 733 centres in 40 countries and followed up for a median of 56 months. In ONTARGET, 25 127 patients known to be tolerant to angiotensin-converting-enzyme (ACE)-inhibitors were randomly assigned after a run-in period to oral ramipril 10 mg/day (n=8407), telmisartan 80 mg/day (n=8386), or the combination of both (n=8334). In TRANSCEND, 5810 patients who were intolerant to ACE-inhibitors were randomly assigned to oral telmisartan 80 mg/day (n=2903) or placebo (n=2907). Baseline systolic blood pressure (SBP) 140 mm Hg or higher was associated with greater incidence of all outcomes compared with 120 mm Hg to less than 140 mm Hg. By contrast, a baseline diastolic blood pressure (DBP) less than 70 mm Hg was associated with the highest risk for most outcomes compared with all DBP categories 70 mm Hg or more. In 4052 patients with SBP less than 120 mm Hg on treatment, the risk of the composite cardiovascular outcome (adjusted hazard ratio [HR] 1·14, 95% CI 1·03-1·26), cardiovascular death (1·29, 1·12-1·49), and all deaths (1·28, 1·15-1·42) were increased compared with those in whom SBP was 120-140 mm Hg during treatment (HR 1 for all outcomes, n=16099).…","author":[{"dropping-particle":"","family":"Böhm","given":"Michael","non-dropping-particle":"","parse-names":false,"suffix":""},{"dropping-particle":"","family":"Schumacher","given":"Helmut","non-dropping-particle":"","parse-names":false,"suffix":""},{"dropping-particle":"","family":"Teo","given":"Koon K","non-dropping-particle":"","parse-names":false,"suffix":""},{"dropping-particle":"","family":"Lonn","given":"Eva M","non-dropping-particle":"","parse-names":false,"suffix":""},{"dropping-particle":"","family":"Mahfoud","given":"Felix","non-dropping-particle":"","parse-names":false,"suffix":""},{"dropping-particle":"","family":"Mann","given":"Johannes F E","non-dropping-particle":"","parse-names":false,"suffix":""},{"dropping-particle":"","family":"Mancia","given":"Giuseppe","non-dropping-particle":"","parse-names":false,"suffix":""},{"dropping-particle":"","family":"Redon","given":"Josep","non-dropping-particle":"","parse-names":false,"suffix":""},{"dropping-particle":"","family":"Schmieder","given":"Roland E","non-dropping-particle":"","parse-names":false,"suffix":""},{"dropping-particle":"","family":"Sliwa","given":"Karen","non-dropping-particle":"","parse-names":false,"suffix":""},{"dropping-particle":"","family":"Weber","given":"Michael A","non-dropping-particle":"","parse-names":false,"suffix":""},{"dropping-particle":"","family":"Williams","given":"Bryan","non-dropping-particle":"","parse-names":false,"suffix":""},{"dropping-particle":"","family":"Yusuf","given":"Salim","non-dropping-particle":"","parse-names":false,"suffix":""}],"container-title":"Lancet (London, England)","id":"ITEM-2","issue":"10085","issued":{"date-parts":[["2017","6"]]},"language":"eng","page":"2226-2237","publisher-place":"England","title":"Achieved blood pressure and cardiovascular outcomes in high-risk patients: results  from ONTARGET and TRANSCEND trials.","type":"article-journal","volume":"389"},"uris":["http://www.mendeley.com/documents/?uuid=4aff86ba-5e90-4d14-ac0f-97d3717f1a72"]}],"mendeley":{"formattedCitation":"&lt;sup&gt;33,34&lt;/sup&gt;","plainTextFormattedCitation":"33,34","previouslyFormattedCitation":"&lt;sup&gt;33,34&lt;/sup&gt;"},"properties":{"noteIndex":0},"schema":"https://github.com/citation-style-language/schema/raw/master/csl-citation.json"}</w:instrText>
      </w:r>
      <w:r w:rsidR="00BB627C">
        <w:rPr>
          <w:rFonts w:ascii="Times New Roman" w:hAnsi="Times New Roman"/>
          <w:sz w:val="24"/>
          <w:szCs w:val="24"/>
        </w:rPr>
        <w:fldChar w:fldCharType="separate"/>
      </w:r>
      <w:r w:rsidR="00AC05A9" w:rsidRPr="00AC05A9">
        <w:rPr>
          <w:rFonts w:ascii="Times New Roman" w:hAnsi="Times New Roman"/>
          <w:noProof/>
          <w:sz w:val="24"/>
          <w:szCs w:val="24"/>
          <w:vertAlign w:val="superscript"/>
        </w:rPr>
        <w:t>33,34</w:t>
      </w:r>
      <w:r w:rsidR="00BB627C">
        <w:rPr>
          <w:rFonts w:ascii="Times New Roman" w:hAnsi="Times New Roman"/>
          <w:sz w:val="24"/>
          <w:szCs w:val="24"/>
        </w:rPr>
        <w:fldChar w:fldCharType="end"/>
      </w:r>
      <w:r w:rsidR="00F17BAC">
        <w:rPr>
          <w:rFonts w:ascii="Times New Roman" w:hAnsi="Times New Roman"/>
          <w:sz w:val="24"/>
          <w:szCs w:val="24"/>
        </w:rPr>
        <w:t>.</w:t>
      </w:r>
      <w:r w:rsidR="00481425">
        <w:rPr>
          <w:rFonts w:ascii="Times New Roman" w:hAnsi="Times New Roman"/>
          <w:sz w:val="24"/>
          <w:szCs w:val="24"/>
        </w:rPr>
        <w:t xml:space="preserve"> </w:t>
      </w:r>
    </w:p>
    <w:p w14:paraId="6EB0150E" w14:textId="5263C57C" w:rsidR="00EA7B55" w:rsidRPr="00372862" w:rsidRDefault="00F63186" w:rsidP="00EA7B55">
      <w:pPr>
        <w:spacing w:line="360" w:lineRule="auto"/>
        <w:rPr>
          <w:rFonts w:ascii="Times New Roman" w:hAnsi="Times New Roman"/>
          <w:sz w:val="24"/>
          <w:szCs w:val="24"/>
        </w:rPr>
      </w:pPr>
      <w:r w:rsidRPr="00372862">
        <w:rPr>
          <w:rFonts w:ascii="Times New Roman" w:hAnsi="Times New Roman"/>
          <w:bCs/>
          <w:sz w:val="24"/>
          <w:szCs w:val="24"/>
        </w:rPr>
        <w:t>The overall lack of association between</w:t>
      </w:r>
      <w:r w:rsidR="00B83B7F">
        <w:rPr>
          <w:rFonts w:ascii="Times New Roman" w:hAnsi="Times New Roman"/>
          <w:bCs/>
          <w:sz w:val="24"/>
          <w:szCs w:val="24"/>
        </w:rPr>
        <w:t xml:space="preserve"> the other</w:t>
      </w:r>
      <w:r w:rsidRPr="00372862">
        <w:rPr>
          <w:rFonts w:ascii="Times New Roman" w:hAnsi="Times New Roman"/>
          <w:bCs/>
          <w:sz w:val="24"/>
          <w:szCs w:val="24"/>
        </w:rPr>
        <w:t xml:space="preserve"> BP trajectories and </w:t>
      </w:r>
      <w:r w:rsidR="006D0997">
        <w:rPr>
          <w:rFonts w:ascii="Times New Roman" w:hAnsi="Times New Roman"/>
          <w:bCs/>
          <w:sz w:val="24"/>
          <w:szCs w:val="24"/>
        </w:rPr>
        <w:t>outcomes</w:t>
      </w:r>
      <w:r w:rsidR="006D0997" w:rsidRPr="00372862">
        <w:rPr>
          <w:rFonts w:ascii="Times New Roman" w:hAnsi="Times New Roman"/>
          <w:bCs/>
          <w:sz w:val="24"/>
          <w:szCs w:val="24"/>
        </w:rPr>
        <w:t xml:space="preserve"> </w:t>
      </w:r>
      <w:r w:rsidRPr="00372862">
        <w:rPr>
          <w:rFonts w:ascii="Times New Roman" w:hAnsi="Times New Roman"/>
          <w:bCs/>
          <w:sz w:val="24"/>
          <w:szCs w:val="24"/>
        </w:rPr>
        <w:t xml:space="preserve">may be related to the characteristics of </w:t>
      </w:r>
      <w:r>
        <w:rPr>
          <w:rFonts w:ascii="Times New Roman" w:hAnsi="Times New Roman"/>
          <w:bCs/>
          <w:sz w:val="24"/>
          <w:szCs w:val="24"/>
        </w:rPr>
        <w:t xml:space="preserve">the included </w:t>
      </w:r>
      <w:r w:rsidRPr="00372862">
        <w:rPr>
          <w:rFonts w:ascii="Times New Roman" w:hAnsi="Times New Roman"/>
          <w:bCs/>
          <w:sz w:val="24"/>
          <w:szCs w:val="24"/>
        </w:rPr>
        <w:t>participant sample</w:t>
      </w:r>
      <w:r>
        <w:rPr>
          <w:rFonts w:ascii="Times New Roman" w:hAnsi="Times New Roman"/>
          <w:bCs/>
          <w:sz w:val="24"/>
          <w:szCs w:val="24"/>
        </w:rPr>
        <w:t xml:space="preserve">: </w:t>
      </w:r>
      <w:r w:rsidRPr="00372862">
        <w:rPr>
          <w:rFonts w:ascii="Times New Roman" w:hAnsi="Times New Roman"/>
          <w:bCs/>
          <w:sz w:val="24"/>
          <w:szCs w:val="24"/>
        </w:rPr>
        <w:t xml:space="preserve">mean </w:t>
      </w:r>
      <w:r>
        <w:rPr>
          <w:rFonts w:ascii="Times New Roman" w:hAnsi="Times New Roman"/>
          <w:bCs/>
          <w:sz w:val="24"/>
          <w:szCs w:val="24"/>
        </w:rPr>
        <w:t>body mass index</w:t>
      </w:r>
      <w:r w:rsidRPr="00372862">
        <w:rPr>
          <w:rFonts w:ascii="Times New Roman" w:hAnsi="Times New Roman"/>
          <w:bCs/>
          <w:sz w:val="24"/>
          <w:szCs w:val="24"/>
        </w:rPr>
        <w:t xml:space="preserve"> ~26.5-26.9 kg/m</w:t>
      </w:r>
      <w:r w:rsidRPr="00372862">
        <w:rPr>
          <w:rFonts w:ascii="Times New Roman" w:hAnsi="Times New Roman"/>
          <w:bCs/>
          <w:sz w:val="24"/>
          <w:szCs w:val="24"/>
          <w:vertAlign w:val="superscript"/>
        </w:rPr>
        <w:t>2</w:t>
      </w:r>
      <w:r w:rsidRPr="00372862">
        <w:rPr>
          <w:rFonts w:ascii="Times New Roman" w:hAnsi="Times New Roman"/>
          <w:bCs/>
          <w:sz w:val="24"/>
          <w:szCs w:val="24"/>
        </w:rPr>
        <w:t>, estimated glomerular filtration rate ~73 mL/min/1.73 m</w:t>
      </w:r>
      <w:r w:rsidRPr="00372862">
        <w:rPr>
          <w:rFonts w:ascii="Times New Roman" w:hAnsi="Times New Roman"/>
          <w:bCs/>
          <w:sz w:val="24"/>
          <w:szCs w:val="24"/>
          <w:vertAlign w:val="superscript"/>
        </w:rPr>
        <w:t>2</w:t>
      </w:r>
      <w:r w:rsidRPr="00372862">
        <w:rPr>
          <w:rFonts w:ascii="Times New Roman" w:hAnsi="Times New Roman"/>
          <w:bCs/>
          <w:sz w:val="24"/>
          <w:szCs w:val="24"/>
        </w:rPr>
        <w:t xml:space="preserve">, </w:t>
      </w:r>
      <w:r>
        <w:rPr>
          <w:rFonts w:ascii="Times New Roman" w:hAnsi="Times New Roman"/>
          <w:sz w:val="24"/>
          <w:szCs w:val="24"/>
        </w:rPr>
        <w:t>glycated haemoglobin</w:t>
      </w:r>
      <w:r w:rsidRPr="00372862">
        <w:rPr>
          <w:rFonts w:ascii="Times New Roman" w:hAnsi="Times New Roman"/>
          <w:sz w:val="24"/>
          <w:szCs w:val="24"/>
          <w:vertAlign w:val="subscript"/>
        </w:rPr>
        <w:t xml:space="preserve"> </w:t>
      </w:r>
      <w:r w:rsidRPr="00372862">
        <w:rPr>
          <w:rFonts w:ascii="Times New Roman" w:hAnsi="Times New Roman"/>
          <w:sz w:val="24"/>
          <w:szCs w:val="24"/>
        </w:rPr>
        <w:lastRenderedPageBreak/>
        <w:t>levels ~5.8% (39.9 mmol/mol), LDL cholesterol levels ~ 3.0 mmol/L, ~95% non-smokers</w:t>
      </w:r>
      <w:r>
        <w:rPr>
          <w:rFonts w:ascii="Times New Roman" w:hAnsi="Times New Roman"/>
          <w:sz w:val="24"/>
          <w:szCs w:val="24"/>
        </w:rPr>
        <w:t xml:space="preserve">. Furthermore, </w:t>
      </w:r>
      <w:r w:rsidRPr="00372862">
        <w:rPr>
          <w:rFonts w:ascii="Times New Roman" w:hAnsi="Times New Roman"/>
          <w:sz w:val="24"/>
          <w:szCs w:val="24"/>
        </w:rPr>
        <w:t xml:space="preserve">a high proportion of participants </w:t>
      </w:r>
      <w:r>
        <w:rPr>
          <w:rFonts w:ascii="Times New Roman" w:hAnsi="Times New Roman"/>
          <w:sz w:val="24"/>
          <w:szCs w:val="24"/>
        </w:rPr>
        <w:t xml:space="preserve">were </w:t>
      </w:r>
      <w:r w:rsidRPr="00372862">
        <w:rPr>
          <w:rFonts w:ascii="Times New Roman" w:hAnsi="Times New Roman"/>
          <w:sz w:val="24"/>
          <w:szCs w:val="24"/>
        </w:rPr>
        <w:t xml:space="preserve">undergoing CVD primary </w:t>
      </w:r>
      <w:r>
        <w:rPr>
          <w:rFonts w:ascii="Times New Roman" w:hAnsi="Times New Roman"/>
          <w:sz w:val="24"/>
          <w:szCs w:val="24"/>
        </w:rPr>
        <w:t xml:space="preserve">prevention with </w:t>
      </w:r>
      <w:r w:rsidRPr="00372862">
        <w:rPr>
          <w:rFonts w:ascii="Times New Roman" w:hAnsi="Times New Roman"/>
          <w:sz w:val="24"/>
          <w:szCs w:val="24"/>
        </w:rPr>
        <w:t xml:space="preserve">aspirin, lipid-lowering </w:t>
      </w:r>
      <w:r>
        <w:rPr>
          <w:rFonts w:ascii="Times New Roman" w:hAnsi="Times New Roman"/>
          <w:sz w:val="24"/>
          <w:szCs w:val="24"/>
        </w:rPr>
        <w:t>and</w:t>
      </w:r>
      <w:r w:rsidRPr="00372862">
        <w:rPr>
          <w:rFonts w:ascii="Times New Roman" w:hAnsi="Times New Roman"/>
          <w:sz w:val="24"/>
          <w:szCs w:val="24"/>
        </w:rPr>
        <w:t xml:space="preserve"> antihypertensive agent</w:t>
      </w:r>
      <w:r>
        <w:rPr>
          <w:rFonts w:ascii="Times New Roman" w:hAnsi="Times New Roman"/>
          <w:sz w:val="24"/>
          <w:szCs w:val="24"/>
        </w:rPr>
        <w:t>s</w:t>
      </w:r>
      <w:r w:rsidRPr="00372862">
        <w:rPr>
          <w:rFonts w:ascii="Times New Roman" w:hAnsi="Times New Roman"/>
          <w:sz w:val="24"/>
          <w:szCs w:val="24"/>
        </w:rPr>
        <w:t xml:space="preserve"> at the end of the exposure period.</w:t>
      </w:r>
      <w:r>
        <w:rPr>
          <w:rFonts w:ascii="Times New Roman" w:hAnsi="Times New Roman"/>
          <w:sz w:val="24"/>
          <w:szCs w:val="24"/>
        </w:rPr>
        <w:t xml:space="preserve"> The</w:t>
      </w:r>
      <w:r w:rsidRPr="00372862">
        <w:rPr>
          <w:rFonts w:ascii="Times New Roman" w:hAnsi="Times New Roman"/>
          <w:sz w:val="24"/>
          <w:szCs w:val="24"/>
        </w:rPr>
        <w:t xml:space="preserve"> included sample</w:t>
      </w:r>
      <w:r>
        <w:rPr>
          <w:rFonts w:ascii="Times New Roman" w:hAnsi="Times New Roman"/>
          <w:sz w:val="24"/>
          <w:szCs w:val="24"/>
        </w:rPr>
        <w:t xml:space="preserve"> thus</w:t>
      </w:r>
      <w:r w:rsidRPr="00372862">
        <w:rPr>
          <w:rFonts w:ascii="Times New Roman" w:hAnsi="Times New Roman"/>
          <w:sz w:val="24"/>
          <w:szCs w:val="24"/>
        </w:rPr>
        <w:t xml:space="preserve"> comprised of relatively healthy participants undergoing appropriate primary prevent</w:t>
      </w:r>
      <w:r>
        <w:rPr>
          <w:rFonts w:ascii="Times New Roman" w:hAnsi="Times New Roman"/>
          <w:sz w:val="24"/>
          <w:szCs w:val="24"/>
        </w:rPr>
        <w:t xml:space="preserve">ion </w:t>
      </w:r>
      <w:r w:rsidRPr="00372862">
        <w:rPr>
          <w:rFonts w:ascii="Times New Roman" w:hAnsi="Times New Roman"/>
          <w:sz w:val="24"/>
          <w:szCs w:val="24"/>
        </w:rPr>
        <w:t>in whom incident CVD would be less likely to result in a fatal event.</w:t>
      </w:r>
      <w:r w:rsidR="00C136C4">
        <w:rPr>
          <w:rFonts w:ascii="Times New Roman" w:hAnsi="Times New Roman"/>
          <w:sz w:val="24"/>
          <w:szCs w:val="24"/>
        </w:rPr>
        <w:t xml:space="preserve"> This may also be explained by survivorship bias, in which the inclusion of a healthier sub-population surviving over a ~13 year-old period spanning the first three health checks of the EPIC-Norfolk study may have led to the underestimation of the mortality and incident CVD risk.</w:t>
      </w:r>
      <w:r w:rsidR="009F7053">
        <w:rPr>
          <w:rFonts w:ascii="Times New Roman" w:hAnsi="Times New Roman"/>
          <w:sz w:val="24"/>
          <w:szCs w:val="24"/>
        </w:rPr>
        <w:t xml:space="preserve"> </w:t>
      </w:r>
      <w:r w:rsidR="00EA7B55" w:rsidRPr="00372862">
        <w:rPr>
          <w:rFonts w:ascii="Times New Roman" w:hAnsi="Times New Roman"/>
          <w:sz w:val="24"/>
          <w:szCs w:val="24"/>
        </w:rPr>
        <w:t xml:space="preserve">Further studies replicating our analytic strategy are </w:t>
      </w:r>
      <w:r w:rsidR="00C136C4">
        <w:rPr>
          <w:rFonts w:ascii="Times New Roman" w:hAnsi="Times New Roman"/>
          <w:sz w:val="24"/>
          <w:szCs w:val="24"/>
        </w:rPr>
        <w:t>therefore</w:t>
      </w:r>
      <w:r w:rsidR="00EA7B55" w:rsidRPr="00372862">
        <w:rPr>
          <w:rFonts w:ascii="Times New Roman" w:hAnsi="Times New Roman"/>
          <w:sz w:val="24"/>
          <w:szCs w:val="24"/>
        </w:rPr>
        <w:t xml:space="preserve"> warranted to determine the </w:t>
      </w:r>
      <w:r w:rsidR="00EA7B55">
        <w:rPr>
          <w:rFonts w:ascii="Times New Roman" w:hAnsi="Times New Roman"/>
          <w:sz w:val="24"/>
          <w:szCs w:val="24"/>
        </w:rPr>
        <w:t xml:space="preserve">same associations </w:t>
      </w:r>
      <w:r w:rsidR="00EA7B55" w:rsidRPr="00372862">
        <w:rPr>
          <w:rFonts w:ascii="Times New Roman" w:hAnsi="Times New Roman"/>
          <w:sz w:val="24"/>
          <w:szCs w:val="24"/>
        </w:rPr>
        <w:t>in other cohorts with differing</w:t>
      </w:r>
      <w:r w:rsidR="00EA7B55">
        <w:rPr>
          <w:rFonts w:ascii="Times New Roman" w:hAnsi="Times New Roman"/>
          <w:sz w:val="24"/>
          <w:szCs w:val="24"/>
        </w:rPr>
        <w:t xml:space="preserve"> distributions of</w:t>
      </w:r>
      <w:r w:rsidR="00EA7B55" w:rsidRPr="00372862">
        <w:rPr>
          <w:rFonts w:ascii="Times New Roman" w:hAnsi="Times New Roman"/>
          <w:sz w:val="24"/>
          <w:szCs w:val="24"/>
        </w:rPr>
        <w:t xml:space="preserve"> ethnicity</w:t>
      </w:r>
      <w:r w:rsidR="00EA7B55">
        <w:rPr>
          <w:rFonts w:ascii="Times New Roman" w:hAnsi="Times New Roman"/>
          <w:sz w:val="24"/>
          <w:szCs w:val="24"/>
        </w:rPr>
        <w:t>, cardiovascular risk profile</w:t>
      </w:r>
      <w:r w:rsidR="00EA7B55" w:rsidRPr="00372862">
        <w:rPr>
          <w:rFonts w:ascii="Times New Roman" w:hAnsi="Times New Roman"/>
          <w:sz w:val="24"/>
          <w:szCs w:val="24"/>
        </w:rPr>
        <w:t xml:space="preserve"> and co-morbidit</w:t>
      </w:r>
      <w:r w:rsidR="00EA7B55">
        <w:rPr>
          <w:rFonts w:ascii="Times New Roman" w:hAnsi="Times New Roman"/>
          <w:sz w:val="24"/>
          <w:szCs w:val="24"/>
        </w:rPr>
        <w:t>ies</w:t>
      </w:r>
      <w:r w:rsidR="00EA7B55" w:rsidRPr="00372862">
        <w:rPr>
          <w:rFonts w:ascii="Times New Roman" w:hAnsi="Times New Roman"/>
          <w:sz w:val="24"/>
          <w:szCs w:val="24"/>
        </w:rPr>
        <w:t xml:space="preserve"> to ensure the external validity of our findings. </w:t>
      </w:r>
    </w:p>
    <w:p w14:paraId="62FFB514" w14:textId="76329C6C" w:rsidR="00F63186" w:rsidRPr="00372862" w:rsidRDefault="006D0997" w:rsidP="00F63186">
      <w:pPr>
        <w:spacing w:line="360" w:lineRule="auto"/>
        <w:rPr>
          <w:rFonts w:ascii="Times New Roman" w:hAnsi="Times New Roman"/>
          <w:sz w:val="24"/>
          <w:szCs w:val="24"/>
        </w:rPr>
      </w:pPr>
      <w:r>
        <w:rPr>
          <w:rFonts w:ascii="Times New Roman" w:hAnsi="Times New Roman"/>
          <w:sz w:val="24"/>
          <w:szCs w:val="24"/>
        </w:rPr>
        <w:t xml:space="preserve"> </w:t>
      </w:r>
      <w:r w:rsidR="00F63186" w:rsidRPr="00372862">
        <w:rPr>
          <w:rFonts w:ascii="Times New Roman" w:hAnsi="Times New Roman"/>
          <w:sz w:val="24"/>
          <w:szCs w:val="24"/>
        </w:rPr>
        <w:t xml:space="preserve">Our results may inform </w:t>
      </w:r>
      <w:r w:rsidR="00F63186">
        <w:rPr>
          <w:rFonts w:ascii="Times New Roman" w:hAnsi="Times New Roman"/>
          <w:sz w:val="24"/>
          <w:szCs w:val="24"/>
        </w:rPr>
        <w:t>primary CVD prevention practice</w:t>
      </w:r>
      <w:r w:rsidR="00F63186" w:rsidRPr="00372862">
        <w:rPr>
          <w:rFonts w:ascii="Times New Roman" w:hAnsi="Times New Roman"/>
          <w:sz w:val="24"/>
          <w:szCs w:val="24"/>
        </w:rPr>
        <w:t xml:space="preserve"> by highlighting</w:t>
      </w:r>
      <w:r w:rsidR="00D815DD">
        <w:rPr>
          <w:rFonts w:ascii="Times New Roman" w:hAnsi="Times New Roman"/>
          <w:sz w:val="24"/>
          <w:szCs w:val="24"/>
        </w:rPr>
        <w:t xml:space="preserve"> the importan</w:t>
      </w:r>
      <w:r w:rsidR="0036738A">
        <w:rPr>
          <w:rFonts w:ascii="Times New Roman" w:hAnsi="Times New Roman"/>
          <w:sz w:val="24"/>
          <w:szCs w:val="24"/>
        </w:rPr>
        <w:t>ce of</w:t>
      </w:r>
      <w:r w:rsidR="00D815DD">
        <w:rPr>
          <w:rFonts w:ascii="Times New Roman" w:hAnsi="Times New Roman"/>
          <w:sz w:val="24"/>
          <w:szCs w:val="24"/>
        </w:rPr>
        <w:t xml:space="preserve"> sex differences</w:t>
      </w:r>
      <w:r w:rsidR="0036738A">
        <w:rPr>
          <w:rFonts w:ascii="Times New Roman" w:hAnsi="Times New Roman"/>
          <w:sz w:val="24"/>
          <w:szCs w:val="24"/>
        </w:rPr>
        <w:t xml:space="preserve"> in the natural course</w:t>
      </w:r>
      <w:r w:rsidR="00C5298F">
        <w:rPr>
          <w:rFonts w:ascii="Times New Roman" w:hAnsi="Times New Roman"/>
          <w:sz w:val="24"/>
          <w:szCs w:val="24"/>
        </w:rPr>
        <w:t xml:space="preserve"> and</w:t>
      </w:r>
      <w:r w:rsidR="00F4725A">
        <w:rPr>
          <w:rFonts w:ascii="Times New Roman" w:hAnsi="Times New Roman"/>
          <w:sz w:val="24"/>
          <w:szCs w:val="24"/>
        </w:rPr>
        <w:t xml:space="preserve"> </w:t>
      </w:r>
      <w:r w:rsidR="00C5298F">
        <w:rPr>
          <w:rFonts w:ascii="Times New Roman" w:hAnsi="Times New Roman"/>
          <w:sz w:val="24"/>
          <w:szCs w:val="24"/>
        </w:rPr>
        <w:t>management</w:t>
      </w:r>
      <w:r w:rsidR="0036738A">
        <w:rPr>
          <w:rFonts w:ascii="Times New Roman" w:hAnsi="Times New Roman"/>
          <w:sz w:val="24"/>
          <w:szCs w:val="24"/>
        </w:rPr>
        <w:t xml:space="preserve"> of hypertension from mid-life onwards</w:t>
      </w:r>
      <w:r w:rsidR="00AE2324">
        <w:rPr>
          <w:rFonts w:ascii="Times New Roman" w:hAnsi="Times New Roman"/>
          <w:sz w:val="24"/>
          <w:szCs w:val="24"/>
        </w:rPr>
        <w:t>. While women exhibit</w:t>
      </w:r>
      <w:r w:rsidR="00AF1EFE">
        <w:rPr>
          <w:rFonts w:ascii="Times New Roman" w:hAnsi="Times New Roman"/>
          <w:sz w:val="24"/>
          <w:szCs w:val="24"/>
        </w:rPr>
        <w:t>ed</w:t>
      </w:r>
      <w:r w:rsidR="00AE2324">
        <w:rPr>
          <w:rFonts w:ascii="Times New Roman" w:hAnsi="Times New Roman"/>
          <w:sz w:val="24"/>
          <w:szCs w:val="24"/>
        </w:rPr>
        <w:t xml:space="preserve"> BP trajectories characterised by initial lower values, men receive</w:t>
      </w:r>
      <w:r w:rsidR="00AF1EFE">
        <w:rPr>
          <w:rFonts w:ascii="Times New Roman" w:hAnsi="Times New Roman"/>
          <w:sz w:val="24"/>
          <w:szCs w:val="24"/>
        </w:rPr>
        <w:t>d</w:t>
      </w:r>
      <w:r w:rsidR="00AE2324">
        <w:rPr>
          <w:rFonts w:ascii="Times New Roman" w:hAnsi="Times New Roman"/>
          <w:sz w:val="24"/>
          <w:szCs w:val="24"/>
        </w:rPr>
        <w:t xml:space="preserve"> more aggressive antihypertensive therapy, resulting in more pronounced longitudinal BP decreases. </w:t>
      </w:r>
      <w:r w:rsidR="00F4725A">
        <w:rPr>
          <w:rFonts w:ascii="Times New Roman" w:hAnsi="Times New Roman"/>
          <w:sz w:val="24"/>
          <w:szCs w:val="24"/>
        </w:rPr>
        <w:t>Suboptimal primary CVD prevention</w:t>
      </w:r>
      <w:r w:rsidR="00AE2324">
        <w:rPr>
          <w:rFonts w:ascii="Times New Roman" w:hAnsi="Times New Roman"/>
          <w:sz w:val="24"/>
          <w:szCs w:val="24"/>
        </w:rPr>
        <w:t xml:space="preserve"> amongst women is also reflected in poorer </w:t>
      </w:r>
      <w:r w:rsidR="00C5298F">
        <w:rPr>
          <w:rFonts w:ascii="Times New Roman" w:hAnsi="Times New Roman"/>
          <w:sz w:val="24"/>
          <w:szCs w:val="24"/>
        </w:rPr>
        <w:t>cardio</w:t>
      </w:r>
      <w:r w:rsidR="00F4725A">
        <w:rPr>
          <w:rFonts w:ascii="Times New Roman" w:hAnsi="Times New Roman"/>
          <w:sz w:val="24"/>
          <w:szCs w:val="24"/>
        </w:rPr>
        <w:t>metabolic</w:t>
      </w:r>
      <w:r w:rsidR="00C5298F">
        <w:rPr>
          <w:rFonts w:ascii="Times New Roman" w:hAnsi="Times New Roman"/>
          <w:sz w:val="24"/>
          <w:szCs w:val="24"/>
        </w:rPr>
        <w:t xml:space="preserve"> health at baseline and </w:t>
      </w:r>
      <w:r w:rsidR="00F63186" w:rsidRPr="00372862">
        <w:rPr>
          <w:rFonts w:ascii="Times New Roman" w:hAnsi="Times New Roman"/>
          <w:sz w:val="24"/>
          <w:szCs w:val="24"/>
        </w:rPr>
        <w:t xml:space="preserve">higher </w:t>
      </w:r>
      <w:r w:rsidR="00F63186">
        <w:rPr>
          <w:rFonts w:ascii="Times New Roman" w:hAnsi="Times New Roman"/>
          <w:sz w:val="24"/>
          <w:szCs w:val="24"/>
        </w:rPr>
        <w:t>relative risk increases</w:t>
      </w:r>
      <w:r w:rsidR="00F63186" w:rsidRPr="00372862">
        <w:rPr>
          <w:rFonts w:ascii="Times New Roman" w:hAnsi="Times New Roman"/>
          <w:sz w:val="24"/>
          <w:szCs w:val="24"/>
        </w:rPr>
        <w:t xml:space="preserve"> associated with exposure to non-optimal BP values in </w:t>
      </w:r>
      <w:r w:rsidR="00F63186">
        <w:rPr>
          <w:rFonts w:ascii="Times New Roman" w:hAnsi="Times New Roman"/>
          <w:sz w:val="24"/>
          <w:szCs w:val="24"/>
        </w:rPr>
        <w:t>women</w:t>
      </w:r>
      <w:r w:rsidR="00C5298F">
        <w:rPr>
          <w:rFonts w:ascii="Times New Roman" w:hAnsi="Times New Roman"/>
          <w:sz w:val="24"/>
          <w:szCs w:val="24"/>
        </w:rPr>
        <w:t xml:space="preserve"> at univariable level. </w:t>
      </w:r>
      <w:r w:rsidR="00F4725A">
        <w:rPr>
          <w:rFonts w:ascii="Times New Roman" w:hAnsi="Times New Roman"/>
          <w:sz w:val="24"/>
          <w:szCs w:val="24"/>
        </w:rPr>
        <w:t xml:space="preserve">These results therefore reflect important between-sex disparities in primary prevention which </w:t>
      </w:r>
      <w:r w:rsidR="009F7FD6">
        <w:rPr>
          <w:rFonts w:ascii="Times New Roman" w:hAnsi="Times New Roman"/>
          <w:sz w:val="24"/>
          <w:szCs w:val="24"/>
        </w:rPr>
        <w:t xml:space="preserve">need to be addressed in order to ensure appropriate and fair provision of care. </w:t>
      </w:r>
      <w:r w:rsidR="00FA2FD4">
        <w:rPr>
          <w:rFonts w:ascii="Times New Roman" w:hAnsi="Times New Roman"/>
          <w:sz w:val="24"/>
          <w:szCs w:val="24"/>
        </w:rPr>
        <w:t xml:space="preserve">Therefore, </w:t>
      </w:r>
      <w:r w:rsidR="00922BE2">
        <w:rPr>
          <w:rFonts w:ascii="Times New Roman" w:hAnsi="Times New Roman"/>
          <w:sz w:val="24"/>
          <w:szCs w:val="24"/>
        </w:rPr>
        <w:t xml:space="preserve">a programme of </w:t>
      </w:r>
      <w:r w:rsidR="00FA2FD4">
        <w:rPr>
          <w:rFonts w:ascii="Times New Roman" w:hAnsi="Times New Roman"/>
          <w:sz w:val="24"/>
          <w:szCs w:val="24"/>
        </w:rPr>
        <w:t>systematic</w:t>
      </w:r>
      <w:r w:rsidR="00922BE2">
        <w:rPr>
          <w:rFonts w:ascii="Times New Roman" w:hAnsi="Times New Roman"/>
          <w:sz w:val="24"/>
          <w:szCs w:val="24"/>
        </w:rPr>
        <w:t xml:space="preserve"> population screening for</w:t>
      </w:r>
      <w:r w:rsidR="00FA2FD4">
        <w:rPr>
          <w:rFonts w:ascii="Times New Roman" w:hAnsi="Times New Roman"/>
          <w:sz w:val="24"/>
          <w:szCs w:val="24"/>
        </w:rPr>
        <w:t xml:space="preserve"> hypertension with a special emphasis on early </w:t>
      </w:r>
      <w:r w:rsidR="00E06495">
        <w:rPr>
          <w:rFonts w:ascii="Times New Roman" w:hAnsi="Times New Roman"/>
          <w:sz w:val="24"/>
          <w:szCs w:val="24"/>
        </w:rPr>
        <w:t>diagnosis</w:t>
      </w:r>
      <w:r w:rsidR="00FA2FD4">
        <w:rPr>
          <w:rFonts w:ascii="Times New Roman" w:hAnsi="Times New Roman"/>
          <w:sz w:val="24"/>
          <w:szCs w:val="24"/>
        </w:rPr>
        <w:t xml:space="preserve"> in women should be implemented in order to</w:t>
      </w:r>
      <w:r w:rsidR="003B234C">
        <w:rPr>
          <w:rFonts w:ascii="Times New Roman" w:hAnsi="Times New Roman"/>
          <w:sz w:val="24"/>
          <w:szCs w:val="24"/>
        </w:rPr>
        <w:t xml:space="preserve"> address the sex disparities</w:t>
      </w:r>
      <w:r w:rsidR="00C7613E">
        <w:rPr>
          <w:rFonts w:ascii="Times New Roman" w:hAnsi="Times New Roman"/>
          <w:sz w:val="24"/>
          <w:szCs w:val="24"/>
        </w:rPr>
        <w:t xml:space="preserve"> highlighted by our study</w:t>
      </w:r>
      <w:r w:rsidR="00E66897">
        <w:rPr>
          <w:rFonts w:ascii="Times New Roman" w:hAnsi="Times New Roman"/>
          <w:sz w:val="24"/>
          <w:szCs w:val="24"/>
        </w:rPr>
        <w:t>. Patient education</w:t>
      </w:r>
      <w:r w:rsidR="008C6CBF">
        <w:rPr>
          <w:rFonts w:ascii="Times New Roman" w:hAnsi="Times New Roman"/>
          <w:sz w:val="24"/>
          <w:szCs w:val="24"/>
        </w:rPr>
        <w:t xml:space="preserve"> and regular follow-up </w:t>
      </w:r>
      <w:r w:rsidR="00E06495">
        <w:rPr>
          <w:rFonts w:ascii="Times New Roman" w:hAnsi="Times New Roman"/>
          <w:sz w:val="24"/>
          <w:szCs w:val="24"/>
        </w:rPr>
        <w:t>are</w:t>
      </w:r>
      <w:r w:rsidR="008C6CBF">
        <w:rPr>
          <w:rFonts w:ascii="Times New Roman" w:hAnsi="Times New Roman"/>
          <w:sz w:val="24"/>
          <w:szCs w:val="24"/>
        </w:rPr>
        <w:t xml:space="preserve"> also be warranted </w:t>
      </w:r>
      <w:r w:rsidR="00E06495">
        <w:rPr>
          <w:rFonts w:ascii="Times New Roman" w:hAnsi="Times New Roman"/>
          <w:sz w:val="24"/>
          <w:szCs w:val="24"/>
        </w:rPr>
        <w:t xml:space="preserve">to ensure </w:t>
      </w:r>
      <w:r w:rsidR="00A27CCF">
        <w:rPr>
          <w:rFonts w:ascii="Times New Roman" w:hAnsi="Times New Roman"/>
          <w:sz w:val="24"/>
          <w:szCs w:val="24"/>
        </w:rPr>
        <w:t>appropriate compliance with antihypertensive therap</w:t>
      </w:r>
      <w:r w:rsidR="00922BE2">
        <w:rPr>
          <w:rFonts w:ascii="Times New Roman" w:hAnsi="Times New Roman"/>
          <w:sz w:val="24"/>
          <w:szCs w:val="24"/>
        </w:rPr>
        <w:t>y</w:t>
      </w:r>
      <w:r w:rsidR="00C7613E">
        <w:rPr>
          <w:rFonts w:ascii="Times New Roman" w:hAnsi="Times New Roman"/>
          <w:sz w:val="24"/>
          <w:szCs w:val="24"/>
        </w:rPr>
        <w:t>. Furthermore, the results of our study in addition to previous literature</w:t>
      </w:r>
      <w:r w:rsidR="00461141">
        <w:rPr>
          <w:rFonts w:ascii="Times New Roman" w:hAnsi="Times New Roman"/>
          <w:sz w:val="24"/>
          <w:szCs w:val="24"/>
        </w:rPr>
        <w:fldChar w:fldCharType="begin" w:fldLock="1"/>
      </w:r>
      <w:r w:rsidR="00461141">
        <w:rPr>
          <w:rFonts w:ascii="Times New Roman" w:hAnsi="Times New Roman"/>
          <w:sz w:val="24"/>
          <w:szCs w:val="24"/>
        </w:rPr>
        <w:instrText>ADDIN CSL_CITATION {"citationItems":[{"id":"ITEM-1","itemData":{"DOI":"10.1016/S0140-6736(16)31326-5","ISSN":"1474-547X (Electronic)","PMID":"27590221","abstract":"BACKGROUND: The optimum blood pressure target in hypertension remains debated,  especially in coronary artery disease, given concerns for reduced myocardial perfusion if diastolic blood pressure is too low. We aimed to study the association between achieved blood pressure and cardiovascular outcomes in patients with coronary artery disease and hypertension. METHODS: We analysed data from 22 672 patients with stable coronary artery disease enrolled (from Nov 26, 2009, to June 30, 2010) in the CLARIFY registry (including patients from 45 countries) and treated for hypertension. Systolic and diastolic blood pressures before each event were averaged and categorised into 10 mm Hg increments. The primary outcome was the composite of cardiovascular death, myocardial infarction, or stroke. Hazard ratios (HRs) were estimated with multivariable adjusted Cox proportional hazards models, using the 120-129 mm Hg systolic blood pressure and 70-79 mm Hg diastolic blood pressure subgroups as reference. FINDINGS: After a median follow-up of 5·0 years, increased systolic blood pressure of 140 mm Hg or more and diastolic blood pressure of 80 mm Hg or more were each associated with increased risk of cardiovascular events. Systolic blood pressure of less than 120 mm Hg was also associated with increased risk for the primary outcome (adjusted HR 1·56, 95% CI 1·36-1·81). Likewise, diastolic blood pressure of less than 70 mm Hg was associated with an increase in the primary outcome (adjusted HR 1·41 [1·24-1·61] for diastolic blood pressure of 60-69 mm Hg and 2·01 [1·50-2·70] for diastolic blood pressure of less than 60 mm Hg). INTERPRETATION: In patients with hypertension and coronary artery disease from routine clinical practice, systolic blood pressure of less than 120 mm Hg and diastolic blood pressure of less than 70 mm Hg were each associated with adverse cardiovascular outcomes, including mortality, supporting the existence of a J-curve phenomenon. This finding suggests that caution should be taken in the use of blood pressure-lowering treatment in patients with coronary artery disease. FUNDING: Servier.","author":[{"dropping-particle":"","family":"Vidal-Petiot","given":"Emmanuelle","non-dropping-particle":"","parse-names":false,"suffix":""},{"dropping-particle":"","family":"Ford","given":"Ian","non-dropping-particle":"","parse-names":false,"suffix":""},{"dropping-particle":"","family":"Greenlaw","given":"Nicola","non-dropping-particle":"","parse-names":false,"suffix":""},{"dropping-particle":"","family":"Ferrari","given":"Roberto","non-dropping-particle":"","parse-names":false,"suffix":""},{"dropping-particle":"","family":"Fox","given":"Kim M","non-dropping-particle":"","parse-names":false,"suffix":""},{"dropping-particle":"","family":"Tardif","given":"Jean-Claude","non-dropping-particle":"","parse-names":false,"suffix":""},{"dropping-particle":"","family":"Tendera","given":"Michal","non-dropping-particle":"","parse-names":false,"suffix":""},{"dropping-particle":"","family":"Tavazzi","given":"Luigi","non-dropping-particle":"","parse-names":false,"suffix":""},{"dropping-particle":"","family":"Bhatt","given":"Deepak L","non-dropping-particle":"","parse-names":false,"suffix":""},{"dropping-particle":"","family":"Steg","given":"Philippe Gabriel","non-dropping-particle":"","parse-names":false,"suffix":""}],"container-title":"Lancet (London, England)","id":"ITEM-1","issue":"10056","issued":{"date-parts":[["2016","10"]]},"language":"eng","page":"2142-2152","publisher-place":"England","title":"Cardiovascular event rates and mortality according to achieved systolic and  diastolic blood pressure in patients with stable coronary artery disease: an international cohort study.","type":"article-journal","volume":"388"},"uris":["http://www.mendeley.com/documents/?uuid=b814fead-5ae9-4ad6-a55c-13941c65f5dd"]},{"id":"ITEM-2","itemData":{"DOI":"10.1016/S0140-6736(17)30754-7","ISSN":"1474-547X (Electronic)","PMID":"28390695","abstract":"BACKGROUND: Studies have challenged the appropriateness of accepted blood pressure  targets. We hypothesised that different levels of low blood pressure are associated with benefit for some, but harm for other outcomes. METHODS: In this analysis, we assessed the previously reported outcome data from high-risk patients aged 55 years or older with a history of cardiovascular disease, 70% of whom had hypertension, from the ONTARGET and TRANSCEND trials investigating ramipril, telmisartan, and their combination, with a median follow-up of 56 months. Detailed descriptions of randomisation and intervention have already been reported. We analysed the associations between mean blood pressure achieved on treatment; prerandomisation baseline blood pressure; or time-updated blood pressure (last on treatment value before an event) on the composite outcome of cardiovascular death, myocardial infarction, stroke, and hospital admission for heart failure; the components of the composite outcome; and all-cause death. Analysis was done by Cox regression analysis, ANOVA, and χ(2). These trials were registered with ClinicalTrials.gov, number NCT00153101. FINDINGS: Recruitment for ONTARGET took place between Dec 1, 2001, and July 31, 2008. TRANSCEND took place between Nov 1, 2001, and May 30, 2004. 30 937 patients were recruited from 733 centres in 40 countries and followed up for a median of 56 months. In ONTARGET, 25 127 patients known to be tolerant to angiotensin-converting-enzyme (ACE)-inhibitors were randomly assigned after a run-in period to oral ramipril 10 mg/day (n=8407), telmisartan 80 mg/day (n=8386), or the combination of both (n=8334). In TRANSCEND, 5810 patients who were intolerant to ACE-inhibitors were randomly assigned to oral telmisartan 80 mg/day (n=2903) or placebo (n=2907). Baseline systolic blood pressure (SBP) 140 mm Hg or higher was associated with greater incidence of all outcomes compared with 120 mm Hg to less than 140 mm Hg. By contrast, a baseline diastolic blood pressure (DBP) less than 70 mm Hg was associated with the highest risk for most outcomes compared with all DBP categories 70 mm Hg or more. In 4052 patients with SBP less than 120 mm Hg on treatment, the risk of the composite cardiovascular outcome (adjusted hazard ratio [HR] 1·14, 95% CI 1·03-1·26), cardiovascular death (1·29, 1·12-1·49), and all deaths (1·28, 1·15-1·42) were increased compared with those in whom SBP was 120-140 mm Hg during treatment (HR 1 for all outcomes, n=16099).…","author":[{"dropping-particle":"","family":"Böhm","given":"Michael","non-dropping-particle":"","parse-names":false,"suffix":""},{"dropping-particle":"","family":"Schumacher","given":"Helmut","non-dropping-particle":"","parse-names":false,"suffix":""},{"dropping-particle":"","family":"Teo","given":"Koon K","non-dropping-particle":"","parse-names":false,"suffix":""},{"dropping-particle":"","family":"Lonn","given":"Eva M","non-dropping-particle":"","parse-names":false,"suffix":""},{"dropping-particle":"","family":"Mahfoud","given":"Felix","non-dropping-particle":"","parse-names":false,"suffix":""},{"dropping-particle":"","family":"Mann","given":"Johannes F E","non-dropping-particle":"","parse-names":false,"suffix":""},{"dropping-particle":"","family":"Mancia","given":"Giuseppe","non-dropping-particle":"","parse-names":false,"suffix":""},{"dropping-particle":"","family":"Redon","given":"Josep","non-dropping-particle":"","parse-names":false,"suffix":""},{"dropping-particle":"","family":"Schmieder","given":"Roland E","non-dropping-particle":"","parse-names":false,"suffix":""},{"dropping-particle":"","family":"Sliwa","given":"Karen","non-dropping-particle":"","parse-names":false,"suffix":""},{"dropping-particle":"","family":"Weber","given":"Michael A","non-dropping-particle":"","parse-names":false,"suffix":""},{"dropping-particle":"","family":"Williams","given":"Bryan","non-dropping-particle":"","parse-names":false,"suffix":""},{"dropping-particle":"","family":"Yusuf","given":"Salim","non-dropping-particle":"","parse-names":false,"suffix":""}],"container-title":"Lancet (London, England)","id":"ITEM-2","issue":"10085","issued":{"date-parts":[["2017","6"]]},"language":"eng","page":"2226-2237","publisher-place":"England","title":"Achieved blood pressure and cardiovascular outcomes in high-risk patients: results  from ONTARGET and TRANSCEND trials.","type":"article-journal","volume":"389"},"uris":["http://www.mendeley.com/documents/?uuid=4aff86ba-5e90-4d14-ac0f-97d3717f1a72"]}],"mendeley":{"formattedCitation":"&lt;sup&gt;33,34&lt;/sup&gt;","plainTextFormattedCitation":"33,34","previouslyFormattedCitation":"&lt;sup&gt;33,34&lt;/sup&gt;"},"properties":{"noteIndex":0},"schema":"https://github.com/citation-style-language/schema/raw/master/csl-citation.json"}</w:instrText>
      </w:r>
      <w:r w:rsidR="00461141">
        <w:rPr>
          <w:rFonts w:ascii="Times New Roman" w:hAnsi="Times New Roman"/>
          <w:sz w:val="24"/>
          <w:szCs w:val="24"/>
        </w:rPr>
        <w:fldChar w:fldCharType="separate"/>
      </w:r>
      <w:r w:rsidR="00461141" w:rsidRPr="00AC05A9">
        <w:rPr>
          <w:rFonts w:ascii="Times New Roman" w:hAnsi="Times New Roman"/>
          <w:noProof/>
          <w:sz w:val="24"/>
          <w:szCs w:val="24"/>
          <w:vertAlign w:val="superscript"/>
        </w:rPr>
        <w:t>33,34</w:t>
      </w:r>
      <w:r w:rsidR="00461141">
        <w:rPr>
          <w:rFonts w:ascii="Times New Roman" w:hAnsi="Times New Roman"/>
          <w:sz w:val="24"/>
          <w:szCs w:val="24"/>
        </w:rPr>
        <w:fldChar w:fldCharType="end"/>
      </w:r>
      <w:r w:rsidR="00C7613E">
        <w:rPr>
          <w:rFonts w:ascii="Times New Roman" w:hAnsi="Times New Roman"/>
          <w:sz w:val="24"/>
          <w:szCs w:val="24"/>
        </w:rPr>
        <w:t xml:space="preserve"> highlight </w:t>
      </w:r>
      <w:r w:rsidR="008F0F4A">
        <w:rPr>
          <w:rFonts w:ascii="Times New Roman" w:hAnsi="Times New Roman"/>
          <w:sz w:val="24"/>
          <w:szCs w:val="24"/>
        </w:rPr>
        <w:t xml:space="preserve">that </w:t>
      </w:r>
      <w:r w:rsidR="00A27CCF">
        <w:rPr>
          <w:rFonts w:ascii="Times New Roman" w:hAnsi="Times New Roman"/>
          <w:sz w:val="24"/>
          <w:szCs w:val="24"/>
        </w:rPr>
        <w:t>lowering diastolic BP to values &lt;70 mmHg</w:t>
      </w:r>
      <w:r w:rsidR="008F0F4A">
        <w:rPr>
          <w:rFonts w:ascii="Times New Roman" w:hAnsi="Times New Roman"/>
          <w:sz w:val="24"/>
          <w:szCs w:val="24"/>
        </w:rPr>
        <w:t xml:space="preserve"> may be deleterious in men </w:t>
      </w:r>
      <w:r w:rsidR="001B442F">
        <w:rPr>
          <w:rFonts w:ascii="Times New Roman" w:hAnsi="Times New Roman"/>
          <w:sz w:val="24"/>
          <w:szCs w:val="24"/>
        </w:rPr>
        <w:t xml:space="preserve">as well as </w:t>
      </w:r>
      <w:r w:rsidR="008F0F4A">
        <w:rPr>
          <w:rFonts w:ascii="Times New Roman" w:hAnsi="Times New Roman"/>
          <w:sz w:val="24"/>
          <w:szCs w:val="24"/>
        </w:rPr>
        <w:t xml:space="preserve">patients with pre-existing cardiovascular </w:t>
      </w:r>
      <w:r w:rsidR="001B442F">
        <w:rPr>
          <w:rFonts w:ascii="Times New Roman" w:hAnsi="Times New Roman"/>
          <w:sz w:val="24"/>
          <w:szCs w:val="24"/>
        </w:rPr>
        <w:t>disease and such stringent BP treatment targets should be avoided.</w:t>
      </w:r>
    </w:p>
    <w:p w14:paraId="06D29E3B" w14:textId="258711AA" w:rsidR="00F63186" w:rsidRDefault="00F63186" w:rsidP="00F63186">
      <w:pPr>
        <w:spacing w:line="360" w:lineRule="auto"/>
        <w:rPr>
          <w:rFonts w:ascii="Times New Roman" w:hAnsi="Times New Roman"/>
          <w:sz w:val="24"/>
          <w:szCs w:val="24"/>
        </w:rPr>
      </w:pPr>
      <w:r w:rsidRPr="00372862">
        <w:rPr>
          <w:rFonts w:ascii="Times New Roman" w:hAnsi="Times New Roman"/>
          <w:sz w:val="24"/>
          <w:szCs w:val="24"/>
        </w:rPr>
        <w:t xml:space="preserve">Our study benefited from several strengths. We used data from EPIC-Norfolk, a large, prospective cohort with robust ascertainment of exposures, confounders and outcomes. Furthermore, EPIC-Norfolk benefits from long-term follow-up, allowing the determination of long-term BP trajectories over </w:t>
      </w:r>
      <w:r>
        <w:rPr>
          <w:rFonts w:ascii="Times New Roman" w:hAnsi="Times New Roman"/>
          <w:sz w:val="24"/>
          <w:szCs w:val="24"/>
        </w:rPr>
        <w:t>12 years</w:t>
      </w:r>
      <w:r w:rsidRPr="00372862">
        <w:rPr>
          <w:rFonts w:ascii="Times New Roman" w:hAnsi="Times New Roman"/>
          <w:sz w:val="24"/>
          <w:szCs w:val="24"/>
        </w:rPr>
        <w:t xml:space="preserve"> and the adjudication of outcomes over </w:t>
      </w:r>
      <w:r>
        <w:rPr>
          <w:rFonts w:ascii="Times New Roman" w:hAnsi="Times New Roman"/>
          <w:sz w:val="24"/>
          <w:szCs w:val="24"/>
        </w:rPr>
        <w:t>a median follow-up of 9.4 years</w:t>
      </w:r>
      <w:r w:rsidRPr="00372862">
        <w:rPr>
          <w:rFonts w:ascii="Times New Roman" w:hAnsi="Times New Roman"/>
          <w:sz w:val="24"/>
          <w:szCs w:val="24"/>
        </w:rPr>
        <w:t xml:space="preserve"> after the exposure period. </w:t>
      </w:r>
      <w:r>
        <w:rPr>
          <w:rFonts w:ascii="Times New Roman" w:hAnsi="Times New Roman"/>
          <w:sz w:val="24"/>
          <w:szCs w:val="24"/>
        </w:rPr>
        <w:t xml:space="preserve">We were able to control for wide range of </w:t>
      </w:r>
      <w:r>
        <w:rPr>
          <w:rFonts w:ascii="Times New Roman" w:hAnsi="Times New Roman"/>
          <w:sz w:val="24"/>
          <w:szCs w:val="24"/>
        </w:rPr>
        <w:lastRenderedPageBreak/>
        <w:t xml:space="preserve">important demographic, lifestyle, social and medical factors. </w:t>
      </w:r>
      <w:r w:rsidRPr="00372862">
        <w:rPr>
          <w:rFonts w:ascii="Times New Roman" w:hAnsi="Times New Roman"/>
          <w:sz w:val="24"/>
          <w:szCs w:val="24"/>
        </w:rPr>
        <w:t xml:space="preserve">Furthermore, we employed robust statistical methods to adjudicate longitudinal BP trajectory group membership. </w:t>
      </w:r>
    </w:p>
    <w:p w14:paraId="590CF3D5" w14:textId="399470B1" w:rsidR="00F63186" w:rsidRPr="00372862" w:rsidRDefault="00F63186" w:rsidP="00F63186">
      <w:pPr>
        <w:spacing w:line="360" w:lineRule="auto"/>
        <w:rPr>
          <w:rFonts w:ascii="Times New Roman" w:hAnsi="Times New Roman"/>
          <w:sz w:val="24"/>
          <w:szCs w:val="24"/>
        </w:rPr>
      </w:pPr>
      <w:r>
        <w:rPr>
          <w:rFonts w:ascii="Times New Roman" w:hAnsi="Times New Roman"/>
          <w:sz w:val="24"/>
          <w:szCs w:val="24"/>
        </w:rPr>
        <w:t>Naturally, t</w:t>
      </w:r>
      <w:r w:rsidRPr="00372862">
        <w:rPr>
          <w:rFonts w:ascii="Times New Roman" w:hAnsi="Times New Roman"/>
          <w:sz w:val="24"/>
          <w:szCs w:val="24"/>
        </w:rPr>
        <w:t xml:space="preserve">here were also limitations. </w:t>
      </w:r>
      <w:r w:rsidR="00B662A4">
        <w:rPr>
          <w:rFonts w:ascii="Times New Roman" w:hAnsi="Times New Roman"/>
          <w:sz w:val="24"/>
          <w:szCs w:val="24"/>
        </w:rPr>
        <w:t xml:space="preserve">We included </w:t>
      </w:r>
      <w:r w:rsidRPr="00372862">
        <w:rPr>
          <w:rFonts w:ascii="Times New Roman" w:hAnsi="Times New Roman"/>
          <w:sz w:val="24"/>
          <w:szCs w:val="24"/>
        </w:rPr>
        <w:t xml:space="preserve">&gt;99% White </w:t>
      </w:r>
      <w:r>
        <w:rPr>
          <w:rFonts w:ascii="Times New Roman" w:hAnsi="Times New Roman"/>
          <w:sz w:val="24"/>
          <w:szCs w:val="24"/>
        </w:rPr>
        <w:t xml:space="preserve">Caucasian </w:t>
      </w:r>
      <w:r w:rsidRPr="00372862">
        <w:rPr>
          <w:rFonts w:ascii="Times New Roman" w:hAnsi="Times New Roman"/>
          <w:sz w:val="24"/>
          <w:szCs w:val="24"/>
        </w:rPr>
        <w:t xml:space="preserve">participants, </w:t>
      </w:r>
      <w:r w:rsidR="00B662A4">
        <w:rPr>
          <w:rFonts w:ascii="Times New Roman" w:hAnsi="Times New Roman"/>
          <w:sz w:val="24"/>
          <w:szCs w:val="24"/>
        </w:rPr>
        <w:t>and thus</w:t>
      </w:r>
      <w:r w:rsidRPr="00372862">
        <w:rPr>
          <w:rFonts w:ascii="Times New Roman" w:hAnsi="Times New Roman"/>
          <w:sz w:val="24"/>
          <w:szCs w:val="24"/>
        </w:rPr>
        <w:t xml:space="preserve"> ethnicity-stratified analyses </w:t>
      </w:r>
      <w:r w:rsidR="00B662A4">
        <w:rPr>
          <w:rFonts w:ascii="Times New Roman" w:hAnsi="Times New Roman"/>
          <w:sz w:val="24"/>
          <w:szCs w:val="24"/>
        </w:rPr>
        <w:t>could not</w:t>
      </w:r>
      <w:r w:rsidR="00B662A4" w:rsidRPr="00372862">
        <w:rPr>
          <w:rFonts w:ascii="Times New Roman" w:hAnsi="Times New Roman"/>
          <w:sz w:val="24"/>
          <w:szCs w:val="24"/>
        </w:rPr>
        <w:t xml:space="preserve"> </w:t>
      </w:r>
      <w:r w:rsidRPr="00372862">
        <w:rPr>
          <w:rFonts w:ascii="Times New Roman" w:hAnsi="Times New Roman"/>
          <w:sz w:val="24"/>
          <w:szCs w:val="24"/>
        </w:rPr>
        <w:t>be performed.</w:t>
      </w:r>
      <w:r w:rsidR="00B662A4">
        <w:rPr>
          <w:rFonts w:ascii="Times New Roman" w:hAnsi="Times New Roman"/>
          <w:sz w:val="24"/>
          <w:szCs w:val="24"/>
        </w:rPr>
        <w:t xml:space="preserve"> F</w:t>
      </w:r>
      <w:r w:rsidRPr="00372862">
        <w:rPr>
          <w:rFonts w:ascii="Times New Roman" w:hAnsi="Times New Roman"/>
          <w:sz w:val="24"/>
          <w:szCs w:val="24"/>
        </w:rPr>
        <w:t>urther studies are required to determine these associations</w:t>
      </w:r>
      <w:r w:rsidR="00543A5A">
        <w:rPr>
          <w:rFonts w:ascii="Times New Roman" w:hAnsi="Times New Roman"/>
          <w:sz w:val="24"/>
          <w:szCs w:val="24"/>
        </w:rPr>
        <w:t xml:space="preserve"> amongst other ethnicities</w:t>
      </w:r>
      <w:r w:rsidRPr="00372862">
        <w:rPr>
          <w:rFonts w:ascii="Times New Roman" w:hAnsi="Times New Roman"/>
          <w:sz w:val="24"/>
          <w:szCs w:val="24"/>
        </w:rPr>
        <w:t>. BP trajectories were adjudicated based on measurements from three health-checks. Nevertheless, no</w:t>
      </w:r>
      <w:r w:rsidR="007A36C6">
        <w:rPr>
          <w:rFonts w:ascii="Times New Roman" w:hAnsi="Times New Roman"/>
          <w:sz w:val="24"/>
          <w:szCs w:val="24"/>
        </w:rPr>
        <w:t xml:space="preserve"> other</w:t>
      </w:r>
      <w:r w:rsidRPr="00372862">
        <w:rPr>
          <w:rFonts w:ascii="Times New Roman" w:hAnsi="Times New Roman"/>
          <w:sz w:val="24"/>
          <w:szCs w:val="24"/>
        </w:rPr>
        <w:t xml:space="preserve"> BP measurements were acquired and</w:t>
      </w:r>
      <w:r w:rsidR="007A36C6">
        <w:rPr>
          <w:rFonts w:ascii="Times New Roman" w:hAnsi="Times New Roman"/>
          <w:sz w:val="24"/>
          <w:szCs w:val="24"/>
        </w:rPr>
        <w:t xml:space="preserve"> therefore</w:t>
      </w:r>
      <w:r w:rsidRPr="00372862">
        <w:rPr>
          <w:rFonts w:ascii="Times New Roman" w:hAnsi="Times New Roman"/>
          <w:sz w:val="24"/>
          <w:szCs w:val="24"/>
        </w:rPr>
        <w:t xml:space="preserve"> BP variations occurring </w:t>
      </w:r>
      <w:r>
        <w:rPr>
          <w:rFonts w:ascii="Times New Roman" w:hAnsi="Times New Roman"/>
          <w:sz w:val="24"/>
          <w:szCs w:val="24"/>
        </w:rPr>
        <w:t>b</w:t>
      </w:r>
      <w:r w:rsidRPr="00372862">
        <w:rPr>
          <w:rFonts w:ascii="Times New Roman" w:hAnsi="Times New Roman"/>
          <w:sz w:val="24"/>
          <w:szCs w:val="24"/>
        </w:rPr>
        <w:t xml:space="preserve">etween </w:t>
      </w:r>
      <w:r w:rsidR="007A36C6">
        <w:rPr>
          <w:rFonts w:ascii="Times New Roman" w:hAnsi="Times New Roman"/>
          <w:sz w:val="24"/>
          <w:szCs w:val="24"/>
        </w:rPr>
        <w:t xml:space="preserve">these </w:t>
      </w:r>
      <w:r w:rsidRPr="00372862">
        <w:rPr>
          <w:rFonts w:ascii="Times New Roman" w:hAnsi="Times New Roman"/>
          <w:sz w:val="24"/>
          <w:szCs w:val="24"/>
        </w:rPr>
        <w:t>health checks were not considered</w:t>
      </w:r>
      <w:r w:rsidR="00CE1E68">
        <w:rPr>
          <w:rFonts w:ascii="Times New Roman" w:hAnsi="Times New Roman"/>
          <w:sz w:val="24"/>
          <w:szCs w:val="24"/>
        </w:rPr>
        <w:t xml:space="preserve">, introducing potential </w:t>
      </w:r>
      <w:r w:rsidR="0046730E">
        <w:rPr>
          <w:rFonts w:ascii="Times New Roman" w:hAnsi="Times New Roman"/>
          <w:sz w:val="24"/>
          <w:szCs w:val="24"/>
        </w:rPr>
        <w:t>uncertainty regarding the</w:t>
      </w:r>
      <w:r w:rsidR="0018082B">
        <w:rPr>
          <w:rFonts w:ascii="Times New Roman" w:hAnsi="Times New Roman"/>
          <w:sz w:val="24"/>
          <w:szCs w:val="24"/>
        </w:rPr>
        <w:t xml:space="preserve"> development of</w:t>
      </w:r>
      <w:r w:rsidR="0046730E">
        <w:rPr>
          <w:rFonts w:ascii="Times New Roman" w:hAnsi="Times New Roman"/>
          <w:sz w:val="24"/>
          <w:szCs w:val="24"/>
        </w:rPr>
        <w:t xml:space="preserve"> BP trajectories between the health checks</w:t>
      </w:r>
      <w:r w:rsidRPr="00372862">
        <w:rPr>
          <w:rFonts w:ascii="Times New Roman" w:hAnsi="Times New Roman"/>
          <w:sz w:val="24"/>
          <w:szCs w:val="24"/>
        </w:rPr>
        <w:t xml:space="preserve">. </w:t>
      </w:r>
      <w:r w:rsidR="00373F15">
        <w:rPr>
          <w:rFonts w:ascii="Times New Roman" w:hAnsi="Times New Roman"/>
          <w:sz w:val="24"/>
          <w:szCs w:val="24"/>
        </w:rPr>
        <w:t xml:space="preserve">Furthermore, </w:t>
      </w:r>
      <w:r w:rsidR="00B67AE2">
        <w:rPr>
          <w:rFonts w:ascii="Times New Roman" w:hAnsi="Times New Roman"/>
          <w:sz w:val="24"/>
          <w:szCs w:val="24"/>
        </w:rPr>
        <w:t xml:space="preserve">we used self-reported </w:t>
      </w:r>
      <w:r w:rsidR="00B63290">
        <w:rPr>
          <w:rFonts w:ascii="Times New Roman" w:hAnsi="Times New Roman"/>
          <w:sz w:val="24"/>
          <w:szCs w:val="24"/>
        </w:rPr>
        <w:t>comorbidity</w:t>
      </w:r>
      <w:r w:rsidR="003D6662">
        <w:rPr>
          <w:rFonts w:ascii="Times New Roman" w:hAnsi="Times New Roman"/>
          <w:sz w:val="24"/>
          <w:szCs w:val="24"/>
        </w:rPr>
        <w:t xml:space="preserve">, which </w:t>
      </w:r>
      <w:r w:rsidR="001A3540">
        <w:rPr>
          <w:rFonts w:ascii="Times New Roman" w:hAnsi="Times New Roman"/>
          <w:sz w:val="24"/>
          <w:szCs w:val="24"/>
        </w:rPr>
        <w:t>may lead to</w:t>
      </w:r>
      <w:r w:rsidR="00413BE3">
        <w:rPr>
          <w:rFonts w:ascii="Times New Roman" w:hAnsi="Times New Roman"/>
          <w:sz w:val="24"/>
          <w:szCs w:val="24"/>
        </w:rPr>
        <w:t xml:space="preserve"> </w:t>
      </w:r>
      <w:r w:rsidR="00413BE3" w:rsidRPr="00DD4F48">
        <w:rPr>
          <w:rFonts w:ascii="Times New Roman" w:hAnsi="Times New Roman"/>
          <w:sz w:val="24"/>
          <w:szCs w:val="24"/>
        </w:rPr>
        <w:t>inaccuracies</w:t>
      </w:r>
      <w:r w:rsidR="001A3540">
        <w:rPr>
          <w:rFonts w:ascii="Times New Roman" w:hAnsi="Times New Roman"/>
          <w:sz w:val="24"/>
          <w:szCs w:val="24"/>
        </w:rPr>
        <w:t xml:space="preserve">. </w:t>
      </w:r>
      <w:r w:rsidR="00413BE3">
        <w:rPr>
          <w:rFonts w:ascii="Times New Roman" w:hAnsi="Times New Roman"/>
          <w:sz w:val="24"/>
          <w:szCs w:val="24"/>
        </w:rPr>
        <w:t>W</w:t>
      </w:r>
      <w:r w:rsidR="001A3540">
        <w:rPr>
          <w:rFonts w:ascii="Times New Roman" w:hAnsi="Times New Roman"/>
          <w:sz w:val="24"/>
          <w:szCs w:val="24"/>
        </w:rPr>
        <w:t>e</w:t>
      </w:r>
      <w:r w:rsidR="00413BE3">
        <w:rPr>
          <w:rFonts w:ascii="Times New Roman" w:hAnsi="Times New Roman"/>
          <w:sz w:val="24"/>
          <w:szCs w:val="24"/>
        </w:rPr>
        <w:t xml:space="preserve"> nevertheless</w:t>
      </w:r>
      <w:r w:rsidR="001A3540">
        <w:rPr>
          <w:rFonts w:ascii="Times New Roman" w:hAnsi="Times New Roman"/>
          <w:sz w:val="24"/>
          <w:szCs w:val="24"/>
        </w:rPr>
        <w:t xml:space="preserve"> employed </w:t>
      </w:r>
      <w:r w:rsidR="00126A38">
        <w:rPr>
          <w:rFonts w:ascii="Times New Roman" w:hAnsi="Times New Roman"/>
          <w:sz w:val="24"/>
          <w:szCs w:val="24"/>
        </w:rPr>
        <w:t xml:space="preserve">a combined definition </w:t>
      </w:r>
      <w:r w:rsidR="002767E9">
        <w:rPr>
          <w:rFonts w:ascii="Times New Roman" w:hAnsi="Times New Roman"/>
          <w:sz w:val="24"/>
          <w:szCs w:val="24"/>
        </w:rPr>
        <w:t>of</w:t>
      </w:r>
      <w:r w:rsidR="00126A38">
        <w:rPr>
          <w:rFonts w:ascii="Times New Roman" w:hAnsi="Times New Roman"/>
          <w:sz w:val="24"/>
          <w:szCs w:val="24"/>
        </w:rPr>
        <w:t xml:space="preserve"> the comorbidities considered </w:t>
      </w:r>
      <w:r w:rsidR="002767E9">
        <w:rPr>
          <w:rFonts w:ascii="Times New Roman" w:hAnsi="Times New Roman"/>
          <w:sz w:val="24"/>
          <w:szCs w:val="24"/>
        </w:rPr>
        <w:t xml:space="preserve">by </w:t>
      </w:r>
      <w:r w:rsidR="00126A38">
        <w:rPr>
          <w:rFonts w:ascii="Times New Roman" w:hAnsi="Times New Roman"/>
          <w:sz w:val="24"/>
          <w:szCs w:val="24"/>
        </w:rPr>
        <w:t xml:space="preserve">also employing medication data, biomarkers measured at the health checks and incident diagnoses reported during the exposure period in order to </w:t>
      </w:r>
      <w:r w:rsidR="00E849B2">
        <w:rPr>
          <w:rFonts w:ascii="Times New Roman" w:hAnsi="Times New Roman"/>
          <w:sz w:val="24"/>
          <w:szCs w:val="24"/>
        </w:rPr>
        <w:t>minimise potential inaccuracies in the ascertainment of self-reported comorbidities</w:t>
      </w:r>
      <w:r w:rsidR="00DC70E7">
        <w:rPr>
          <w:rFonts w:ascii="Times New Roman" w:hAnsi="Times New Roman"/>
          <w:sz w:val="24"/>
          <w:szCs w:val="24"/>
        </w:rPr>
        <w:t>.</w:t>
      </w:r>
      <w:r w:rsidR="00E849B2">
        <w:rPr>
          <w:rFonts w:ascii="Times New Roman" w:hAnsi="Times New Roman"/>
          <w:sz w:val="24"/>
          <w:szCs w:val="24"/>
        </w:rPr>
        <w:t xml:space="preserve"> </w:t>
      </w:r>
      <w:r w:rsidR="009F7053">
        <w:rPr>
          <w:rFonts w:ascii="Times New Roman" w:hAnsi="Times New Roman"/>
          <w:sz w:val="24"/>
          <w:szCs w:val="24"/>
        </w:rPr>
        <w:t>Furthermore, having only included a subgroup of the EPIC-Norfolk prospective study which attended the first three health checks of the study</w:t>
      </w:r>
      <w:r w:rsidR="00022667">
        <w:rPr>
          <w:rFonts w:ascii="Times New Roman" w:hAnsi="Times New Roman"/>
          <w:sz w:val="24"/>
          <w:szCs w:val="24"/>
        </w:rPr>
        <w:t xml:space="preserve"> spanning ~13 years</w:t>
      </w:r>
      <w:r w:rsidR="009F7053">
        <w:rPr>
          <w:rFonts w:ascii="Times New Roman" w:hAnsi="Times New Roman"/>
          <w:sz w:val="24"/>
          <w:szCs w:val="24"/>
        </w:rPr>
        <w:t>, our analyses may be prone to survivorship bias.</w:t>
      </w:r>
      <w:r w:rsidR="005C3A05">
        <w:rPr>
          <w:rFonts w:ascii="Times New Roman" w:hAnsi="Times New Roman"/>
          <w:sz w:val="24"/>
          <w:szCs w:val="24"/>
        </w:rPr>
        <w:t xml:space="preserve"> Nevertheless, this is an inherent limitation of any study analysing longitudinal changes in blood pressure.</w:t>
      </w:r>
      <w:r w:rsidR="009F7053">
        <w:rPr>
          <w:rFonts w:ascii="Times New Roman" w:hAnsi="Times New Roman"/>
          <w:sz w:val="24"/>
          <w:szCs w:val="24"/>
        </w:rPr>
        <w:t xml:space="preserve"> </w:t>
      </w:r>
      <w:r w:rsidRPr="00372862">
        <w:rPr>
          <w:rFonts w:ascii="Times New Roman" w:hAnsi="Times New Roman"/>
          <w:sz w:val="24"/>
          <w:szCs w:val="24"/>
        </w:rPr>
        <w:t xml:space="preserve">Despite </w:t>
      </w:r>
      <w:r>
        <w:rPr>
          <w:rFonts w:ascii="Times New Roman" w:hAnsi="Times New Roman"/>
          <w:sz w:val="24"/>
          <w:szCs w:val="24"/>
        </w:rPr>
        <w:t>adjusting</w:t>
      </w:r>
      <w:r w:rsidRPr="00372862">
        <w:rPr>
          <w:rFonts w:ascii="Times New Roman" w:hAnsi="Times New Roman"/>
          <w:sz w:val="24"/>
          <w:szCs w:val="24"/>
        </w:rPr>
        <w:t xml:space="preserve"> for a wide range of participant characteristics at the beginning of the follow-up, data describing the evolution of these co-variates over the follow-up </w:t>
      </w:r>
      <w:r>
        <w:rPr>
          <w:rFonts w:ascii="Times New Roman" w:hAnsi="Times New Roman"/>
          <w:sz w:val="24"/>
          <w:szCs w:val="24"/>
        </w:rPr>
        <w:t>were not available,</w:t>
      </w:r>
      <w:r w:rsidRPr="00372862">
        <w:rPr>
          <w:rFonts w:ascii="Times New Roman" w:hAnsi="Times New Roman"/>
          <w:sz w:val="24"/>
          <w:szCs w:val="24"/>
        </w:rPr>
        <w:t xml:space="preserve"> which did not allow longitudinal co-variate changes to be </w:t>
      </w:r>
      <w:r>
        <w:rPr>
          <w:rFonts w:ascii="Times New Roman" w:hAnsi="Times New Roman"/>
          <w:sz w:val="24"/>
          <w:szCs w:val="24"/>
        </w:rPr>
        <w:t xml:space="preserve">considered. </w:t>
      </w:r>
      <w:r w:rsidRPr="00372862">
        <w:rPr>
          <w:rFonts w:ascii="Times New Roman" w:hAnsi="Times New Roman"/>
          <w:sz w:val="24"/>
          <w:szCs w:val="24"/>
        </w:rPr>
        <w:t xml:space="preserve"> </w:t>
      </w:r>
      <w:r>
        <w:rPr>
          <w:rFonts w:ascii="Times New Roman" w:hAnsi="Times New Roman"/>
          <w:sz w:val="24"/>
          <w:szCs w:val="24"/>
        </w:rPr>
        <w:t xml:space="preserve">As an observational study, we were not able to account for residual confounders. </w:t>
      </w:r>
    </w:p>
    <w:p w14:paraId="2123D78F" w14:textId="2D3242DF" w:rsidR="0064515D" w:rsidRDefault="00F63186" w:rsidP="00F63186">
      <w:pPr>
        <w:spacing w:line="360" w:lineRule="auto"/>
        <w:rPr>
          <w:rFonts w:ascii="Times New Roman" w:hAnsi="Times New Roman"/>
          <w:sz w:val="24"/>
          <w:szCs w:val="24"/>
        </w:rPr>
      </w:pPr>
      <w:r w:rsidRPr="00372862">
        <w:rPr>
          <w:rFonts w:ascii="Times New Roman" w:hAnsi="Times New Roman"/>
          <w:sz w:val="24"/>
          <w:szCs w:val="24"/>
        </w:rPr>
        <w:t xml:space="preserve">In conclusion, using data from a large-scale prospective cohort study, we determined the </w:t>
      </w:r>
      <w:r w:rsidR="009F7FD6" w:rsidRPr="00372862">
        <w:rPr>
          <w:rFonts w:ascii="Times New Roman" w:hAnsi="Times New Roman"/>
          <w:bCs/>
          <w:sz w:val="24"/>
          <w:szCs w:val="24"/>
        </w:rPr>
        <w:t>sex</w:t>
      </w:r>
      <w:r w:rsidR="009F7FD6">
        <w:rPr>
          <w:rFonts w:ascii="Times New Roman" w:hAnsi="Times New Roman"/>
          <w:bCs/>
          <w:sz w:val="24"/>
          <w:szCs w:val="24"/>
        </w:rPr>
        <w:t xml:space="preserve"> differences in</w:t>
      </w:r>
      <w:r w:rsidR="009F7FD6" w:rsidRPr="00372862">
        <w:rPr>
          <w:rFonts w:ascii="Times New Roman" w:hAnsi="Times New Roman"/>
          <w:bCs/>
          <w:sz w:val="24"/>
          <w:szCs w:val="24"/>
        </w:rPr>
        <w:t xml:space="preserve"> </w:t>
      </w:r>
      <w:r w:rsidR="009F7FD6">
        <w:rPr>
          <w:rFonts w:ascii="Times New Roman" w:hAnsi="Times New Roman"/>
          <w:bCs/>
          <w:sz w:val="24"/>
          <w:szCs w:val="24"/>
        </w:rPr>
        <w:t>longitudinal</w:t>
      </w:r>
      <w:r w:rsidR="009F7FD6" w:rsidRPr="00372862">
        <w:rPr>
          <w:rFonts w:ascii="Times New Roman" w:hAnsi="Times New Roman"/>
          <w:bCs/>
          <w:sz w:val="24"/>
          <w:szCs w:val="24"/>
        </w:rPr>
        <w:t xml:space="preserve"> </w:t>
      </w:r>
      <w:r w:rsidR="001853D4">
        <w:rPr>
          <w:rFonts w:ascii="Times New Roman" w:hAnsi="Times New Roman"/>
          <w:bCs/>
          <w:sz w:val="24"/>
          <w:szCs w:val="24"/>
        </w:rPr>
        <w:t>BP</w:t>
      </w:r>
      <w:r w:rsidR="009F7FD6" w:rsidRPr="00372862">
        <w:rPr>
          <w:rFonts w:ascii="Times New Roman" w:hAnsi="Times New Roman"/>
          <w:bCs/>
          <w:sz w:val="24"/>
          <w:szCs w:val="24"/>
        </w:rPr>
        <w:t xml:space="preserve"> trajectories</w:t>
      </w:r>
      <w:r w:rsidR="009F7FD6">
        <w:rPr>
          <w:rFonts w:ascii="Times New Roman" w:hAnsi="Times New Roman"/>
          <w:bCs/>
          <w:sz w:val="24"/>
          <w:szCs w:val="24"/>
        </w:rPr>
        <w:t xml:space="preserve"> in midlife and delineated the </w:t>
      </w:r>
      <w:r w:rsidR="009F7FD6" w:rsidRPr="00372862">
        <w:rPr>
          <w:rFonts w:ascii="Times New Roman" w:hAnsi="Times New Roman"/>
          <w:bCs/>
          <w:sz w:val="24"/>
          <w:szCs w:val="24"/>
        </w:rPr>
        <w:t xml:space="preserve">associations between </w:t>
      </w:r>
      <w:r w:rsidR="009F7FD6">
        <w:rPr>
          <w:rFonts w:ascii="Times New Roman" w:hAnsi="Times New Roman"/>
          <w:bCs/>
          <w:sz w:val="24"/>
          <w:szCs w:val="24"/>
        </w:rPr>
        <w:t xml:space="preserve">these </w:t>
      </w:r>
      <w:r w:rsidR="009F7FD6" w:rsidRPr="00372862">
        <w:rPr>
          <w:rFonts w:ascii="Times New Roman" w:hAnsi="Times New Roman"/>
          <w:bCs/>
          <w:sz w:val="24"/>
          <w:szCs w:val="24"/>
        </w:rPr>
        <w:t>and mortality and incident CVD</w:t>
      </w:r>
      <w:r w:rsidR="009F7FD6">
        <w:rPr>
          <w:rFonts w:ascii="Times New Roman" w:hAnsi="Times New Roman"/>
          <w:bCs/>
          <w:sz w:val="24"/>
          <w:szCs w:val="24"/>
        </w:rPr>
        <w:t xml:space="preserve"> in </w:t>
      </w:r>
      <w:r w:rsidR="001F68E7">
        <w:rPr>
          <w:rFonts w:ascii="Times New Roman" w:hAnsi="Times New Roman"/>
          <w:bCs/>
          <w:sz w:val="24"/>
          <w:szCs w:val="24"/>
        </w:rPr>
        <w:t>older age</w:t>
      </w:r>
      <w:r w:rsidR="0064515D">
        <w:rPr>
          <w:rFonts w:ascii="Times New Roman" w:hAnsi="Times New Roman"/>
          <w:sz w:val="24"/>
          <w:szCs w:val="24"/>
        </w:rPr>
        <w:t xml:space="preserve">. While men exhibited higher BP longitudinal trajectories than women, these were characterised by more pronounced BP decreases throughout the exposure period of the study, which may be attributed to the relative undertreatment of women. </w:t>
      </w:r>
      <w:r w:rsidR="005300DE">
        <w:rPr>
          <w:rFonts w:ascii="Times New Roman" w:hAnsi="Times New Roman"/>
          <w:sz w:val="24"/>
          <w:szCs w:val="24"/>
        </w:rPr>
        <w:t>This suggests important between-sex disparities in primary CVD prevention. Exposure to hypertensive SBP and DBP trajectories was associated with higher mortality and incident CVD risk amongst both sexes at univariable level. Nevertheless, these associations were not maintained upon extensive confounder adjustment</w:t>
      </w:r>
      <w:r w:rsidR="00E446DC">
        <w:rPr>
          <w:rFonts w:ascii="Times New Roman" w:hAnsi="Times New Roman"/>
          <w:sz w:val="24"/>
          <w:szCs w:val="24"/>
        </w:rPr>
        <w:t xml:space="preserve"> including antihypertensive therapy, suggesting that effective therapy </w:t>
      </w:r>
      <w:r w:rsidR="00460CC3">
        <w:rPr>
          <w:rFonts w:ascii="Times New Roman" w:hAnsi="Times New Roman"/>
          <w:sz w:val="24"/>
          <w:szCs w:val="24"/>
        </w:rPr>
        <w:t>may</w:t>
      </w:r>
      <w:r w:rsidR="00E446DC">
        <w:rPr>
          <w:rFonts w:ascii="Times New Roman" w:hAnsi="Times New Roman"/>
          <w:sz w:val="24"/>
          <w:szCs w:val="24"/>
        </w:rPr>
        <w:t xml:space="preserve"> offset the adverse outcomes associated with prolonged exposure to high blood pressure</w:t>
      </w:r>
      <w:r w:rsidR="000C7820">
        <w:rPr>
          <w:rFonts w:ascii="Times New Roman" w:hAnsi="Times New Roman"/>
          <w:sz w:val="24"/>
          <w:szCs w:val="24"/>
        </w:rPr>
        <w:t>.</w:t>
      </w:r>
      <w:r w:rsidRPr="00372862">
        <w:rPr>
          <w:rFonts w:ascii="Times New Roman" w:hAnsi="Times New Roman"/>
          <w:sz w:val="24"/>
          <w:szCs w:val="24"/>
        </w:rPr>
        <w:t xml:space="preserve"> </w:t>
      </w:r>
      <w:r w:rsidR="00356657">
        <w:rPr>
          <w:rFonts w:ascii="Times New Roman" w:hAnsi="Times New Roman"/>
          <w:sz w:val="24"/>
          <w:szCs w:val="24"/>
        </w:rPr>
        <w:t>Our results</w:t>
      </w:r>
      <w:r w:rsidR="007876E5">
        <w:rPr>
          <w:rFonts w:ascii="Times New Roman" w:hAnsi="Times New Roman"/>
          <w:sz w:val="24"/>
          <w:szCs w:val="24"/>
        </w:rPr>
        <w:t xml:space="preserve"> also highlight that </w:t>
      </w:r>
      <w:r w:rsidR="00356657">
        <w:rPr>
          <w:rFonts w:ascii="Times New Roman" w:hAnsi="Times New Roman"/>
          <w:sz w:val="24"/>
          <w:szCs w:val="24"/>
        </w:rPr>
        <w:t>longitudinal exposure to low DBP values &lt;70 mmHg may</w:t>
      </w:r>
      <w:r w:rsidR="0062088D">
        <w:rPr>
          <w:rFonts w:ascii="Times New Roman" w:hAnsi="Times New Roman"/>
          <w:sz w:val="24"/>
          <w:szCs w:val="24"/>
        </w:rPr>
        <w:t xml:space="preserve"> </w:t>
      </w:r>
      <w:r w:rsidR="00356657">
        <w:rPr>
          <w:rFonts w:ascii="Times New Roman" w:hAnsi="Times New Roman"/>
          <w:sz w:val="24"/>
          <w:szCs w:val="24"/>
        </w:rPr>
        <w:t>be</w:t>
      </w:r>
      <w:r w:rsidR="0046203F">
        <w:rPr>
          <w:rFonts w:ascii="Times New Roman" w:hAnsi="Times New Roman"/>
          <w:sz w:val="24"/>
          <w:szCs w:val="24"/>
        </w:rPr>
        <w:t xml:space="preserve"> independently</w:t>
      </w:r>
      <w:r w:rsidR="00356657">
        <w:rPr>
          <w:rFonts w:ascii="Times New Roman" w:hAnsi="Times New Roman"/>
          <w:sz w:val="24"/>
          <w:szCs w:val="24"/>
        </w:rPr>
        <w:t xml:space="preserve"> associated with higher risk of all-cause and cardiovascular mortality amongst men</w:t>
      </w:r>
      <w:r w:rsidR="0046203F">
        <w:rPr>
          <w:rFonts w:ascii="Times New Roman" w:hAnsi="Times New Roman"/>
          <w:sz w:val="24"/>
          <w:szCs w:val="24"/>
        </w:rPr>
        <w:t>.</w:t>
      </w:r>
    </w:p>
    <w:p w14:paraId="0BE9FBE3" w14:textId="0E31AA17" w:rsidR="00C53509" w:rsidRDefault="00C53509">
      <w:pPr>
        <w:spacing w:after="160" w:line="259" w:lineRule="auto"/>
        <w:rPr>
          <w:rFonts w:ascii="Times New Roman" w:hAnsi="Times New Roman"/>
          <w:sz w:val="24"/>
          <w:szCs w:val="24"/>
        </w:rPr>
      </w:pPr>
    </w:p>
    <w:p w14:paraId="4262F363" w14:textId="62E529CE" w:rsidR="00F63186" w:rsidRDefault="00C53509" w:rsidP="00F63186">
      <w:pPr>
        <w:spacing w:line="360" w:lineRule="auto"/>
        <w:rPr>
          <w:rFonts w:ascii="Times New Roman" w:hAnsi="Times New Roman"/>
          <w:b/>
          <w:bCs/>
          <w:sz w:val="24"/>
          <w:szCs w:val="24"/>
        </w:rPr>
      </w:pPr>
      <w:r>
        <w:rPr>
          <w:rFonts w:ascii="Times New Roman" w:hAnsi="Times New Roman"/>
          <w:b/>
          <w:bCs/>
          <w:sz w:val="24"/>
          <w:szCs w:val="24"/>
        </w:rPr>
        <w:t>ACKNOWLEDGEMENTS</w:t>
      </w:r>
    </w:p>
    <w:p w14:paraId="0C81BE46" w14:textId="2DE8C412" w:rsidR="00C53509" w:rsidRPr="00C53509" w:rsidRDefault="00C53509" w:rsidP="00F63186">
      <w:pPr>
        <w:spacing w:line="360" w:lineRule="auto"/>
        <w:rPr>
          <w:rFonts w:ascii="Times New Roman" w:hAnsi="Times New Roman"/>
          <w:sz w:val="24"/>
          <w:szCs w:val="24"/>
        </w:rPr>
      </w:pPr>
      <w:r w:rsidRPr="00C53509">
        <w:rPr>
          <w:rFonts w:ascii="Times New Roman" w:hAnsi="Times New Roman"/>
          <w:sz w:val="24"/>
          <w:szCs w:val="24"/>
        </w:rPr>
        <w:t>We are grateful to all the participants who have been part of the project and to the many members of the study teams at the University of Cambridge who have enabled this research. We would also like to acknowledge the principal investigators and staff of the EPIC-Norfolk study. The EPIC-Norfolk study (DOI 10.22025/2019.10.105.00004) has received funding from the Medical Research Council (MR/N003284/1 and MC-UU_12015/1) and Cancer Research UK (C864/A14136).</w:t>
      </w:r>
    </w:p>
    <w:p w14:paraId="7F312CDD" w14:textId="3AB7A526" w:rsidR="00C53509" w:rsidRDefault="00C53509" w:rsidP="00F63186">
      <w:pPr>
        <w:spacing w:line="360" w:lineRule="auto"/>
        <w:rPr>
          <w:rFonts w:ascii="Times New Roman" w:hAnsi="Times New Roman"/>
          <w:b/>
          <w:bCs/>
          <w:sz w:val="24"/>
          <w:szCs w:val="24"/>
        </w:rPr>
      </w:pPr>
      <w:r>
        <w:rPr>
          <w:rFonts w:ascii="Times New Roman" w:hAnsi="Times New Roman"/>
          <w:b/>
          <w:bCs/>
          <w:sz w:val="24"/>
          <w:szCs w:val="24"/>
        </w:rPr>
        <w:t>FUNDING</w:t>
      </w:r>
    </w:p>
    <w:p w14:paraId="32476EDC" w14:textId="00657F58" w:rsidR="00C53509" w:rsidRPr="00C53509" w:rsidRDefault="00C53509" w:rsidP="00F63186">
      <w:pPr>
        <w:spacing w:line="360" w:lineRule="auto"/>
        <w:rPr>
          <w:rFonts w:ascii="Times New Roman" w:hAnsi="Times New Roman"/>
          <w:sz w:val="24"/>
          <w:szCs w:val="24"/>
        </w:rPr>
      </w:pPr>
      <w:r w:rsidRPr="00C53509">
        <w:rPr>
          <w:rFonts w:ascii="Times New Roman" w:hAnsi="Times New Roman"/>
          <w:sz w:val="24"/>
          <w:szCs w:val="24"/>
        </w:rPr>
        <w:t>The EPIC-Norfolk study (DOI 10.22025/2019.10.105.00004) has received funding from the Medical Research Council (MR/N003284/1 and MC-UU_12015/1) and Cancer Research UK (C864/A14136).</w:t>
      </w:r>
    </w:p>
    <w:p w14:paraId="3AA2380D" w14:textId="328AA114" w:rsidR="00C53509" w:rsidRDefault="00C53509" w:rsidP="00F63186">
      <w:pPr>
        <w:spacing w:line="360" w:lineRule="auto"/>
        <w:rPr>
          <w:rFonts w:ascii="Times New Roman" w:hAnsi="Times New Roman"/>
          <w:b/>
          <w:bCs/>
          <w:sz w:val="24"/>
          <w:szCs w:val="24"/>
        </w:rPr>
      </w:pPr>
      <w:r>
        <w:rPr>
          <w:rFonts w:ascii="Times New Roman" w:hAnsi="Times New Roman"/>
          <w:b/>
          <w:bCs/>
          <w:sz w:val="24"/>
          <w:szCs w:val="24"/>
        </w:rPr>
        <w:t>CONFLICT OF INTEREST</w:t>
      </w:r>
    </w:p>
    <w:p w14:paraId="0B5239EF" w14:textId="3E10F460" w:rsidR="00C53509" w:rsidRPr="00C53509" w:rsidRDefault="00C53509" w:rsidP="00F63186">
      <w:pPr>
        <w:spacing w:line="360" w:lineRule="auto"/>
        <w:rPr>
          <w:rFonts w:ascii="Times New Roman" w:hAnsi="Times New Roman"/>
          <w:sz w:val="24"/>
          <w:szCs w:val="24"/>
        </w:rPr>
      </w:pPr>
      <w:r w:rsidRPr="00C53509">
        <w:rPr>
          <w:rFonts w:ascii="Times New Roman" w:hAnsi="Times New Roman"/>
          <w:sz w:val="24"/>
          <w:szCs w:val="24"/>
        </w:rPr>
        <w:t>There are no conflicts of interest to declare.</w:t>
      </w:r>
    </w:p>
    <w:p w14:paraId="5A0013AB" w14:textId="03447AC1" w:rsidR="00C53509" w:rsidRPr="00C53509" w:rsidRDefault="00C53509" w:rsidP="00F63186">
      <w:pPr>
        <w:spacing w:line="360" w:lineRule="auto"/>
        <w:rPr>
          <w:rFonts w:ascii="Times New Roman" w:hAnsi="Times New Roman"/>
          <w:b/>
          <w:bCs/>
          <w:sz w:val="24"/>
          <w:szCs w:val="24"/>
        </w:rPr>
      </w:pPr>
      <w:r>
        <w:rPr>
          <w:rFonts w:ascii="Times New Roman" w:hAnsi="Times New Roman"/>
          <w:b/>
          <w:bCs/>
          <w:sz w:val="24"/>
          <w:szCs w:val="24"/>
        </w:rPr>
        <w:t>AUTHORS’ CONTRIBUTIONS</w:t>
      </w:r>
    </w:p>
    <w:p w14:paraId="7DD1F203" w14:textId="7962D80D" w:rsidR="00724A23" w:rsidRPr="00C53509" w:rsidRDefault="00C53509" w:rsidP="001A4DF8">
      <w:pPr>
        <w:spacing w:line="360" w:lineRule="auto"/>
        <w:rPr>
          <w:rFonts w:ascii="Times New Roman" w:hAnsi="Times New Roman"/>
          <w:bCs/>
          <w:sz w:val="24"/>
          <w:szCs w:val="24"/>
        </w:rPr>
      </w:pPr>
      <w:r w:rsidRPr="00C53509">
        <w:rPr>
          <w:rFonts w:ascii="Times New Roman" w:hAnsi="Times New Roman"/>
          <w:bCs/>
          <w:sz w:val="24"/>
          <w:szCs w:val="24"/>
        </w:rPr>
        <w:t>TAP and PKM conceived the study. RNL was responsible for record linkage. NJW and KTK are PIs of EPIC-Norfolk Cohort. TAP performed literature search, data analysis and writing the first draft of the paper. TAP and PKM verified the underlying data. All authors contributed in writing of the paper. PKM is the guarantor.</w:t>
      </w:r>
      <w:r w:rsidR="00724A23" w:rsidRPr="00C53509">
        <w:rPr>
          <w:rFonts w:ascii="Times New Roman" w:hAnsi="Times New Roman"/>
          <w:bCs/>
          <w:sz w:val="24"/>
          <w:szCs w:val="24"/>
        </w:rPr>
        <w:br w:type="page"/>
      </w:r>
    </w:p>
    <w:p w14:paraId="6D96B14F" w14:textId="75A41F00" w:rsidR="009B7D45" w:rsidRPr="00372862" w:rsidRDefault="00A432E1" w:rsidP="006D6486">
      <w:pPr>
        <w:spacing w:line="360" w:lineRule="auto"/>
      </w:pPr>
      <w:r w:rsidRPr="00372862">
        <w:rPr>
          <w:rFonts w:ascii="Times New Roman" w:hAnsi="Times New Roman"/>
          <w:b/>
          <w:sz w:val="24"/>
          <w:szCs w:val="24"/>
        </w:rPr>
        <w:lastRenderedPageBreak/>
        <w:t>R</w:t>
      </w:r>
      <w:r w:rsidR="000660BE" w:rsidRPr="00372862">
        <w:rPr>
          <w:rFonts w:ascii="Times New Roman" w:hAnsi="Times New Roman"/>
          <w:b/>
          <w:sz w:val="24"/>
          <w:szCs w:val="24"/>
        </w:rPr>
        <w:t>EFERENCES</w:t>
      </w:r>
    </w:p>
    <w:p w14:paraId="0D51726D" w14:textId="4FC67983" w:rsidR="002D03DD" w:rsidRPr="002D03DD" w:rsidRDefault="00D01335" w:rsidP="002D03DD">
      <w:pPr>
        <w:widowControl w:val="0"/>
        <w:autoSpaceDE w:val="0"/>
        <w:autoSpaceDN w:val="0"/>
        <w:adjustRightInd w:val="0"/>
        <w:spacing w:line="240" w:lineRule="auto"/>
        <w:ind w:left="640" w:hanging="640"/>
        <w:rPr>
          <w:rFonts w:ascii="Times New Roman" w:hAnsi="Times New Roman"/>
          <w:noProof/>
          <w:sz w:val="24"/>
        </w:rPr>
      </w:pPr>
      <w:r w:rsidRPr="00D01335">
        <w:rPr>
          <w:rFonts w:ascii="Times New Roman" w:hAnsi="Times New Roman"/>
          <w:sz w:val="24"/>
          <w:szCs w:val="24"/>
        </w:rPr>
        <w:fldChar w:fldCharType="begin" w:fldLock="1"/>
      </w:r>
      <w:r w:rsidRPr="00D01335">
        <w:rPr>
          <w:rFonts w:ascii="Times New Roman" w:hAnsi="Times New Roman"/>
          <w:sz w:val="24"/>
          <w:szCs w:val="24"/>
        </w:rPr>
        <w:instrText xml:space="preserve">ADDIN Mendeley Bibliography CSL_BIBLIOGRAPHY </w:instrText>
      </w:r>
      <w:r w:rsidRPr="00D01335">
        <w:rPr>
          <w:rFonts w:ascii="Times New Roman" w:hAnsi="Times New Roman"/>
          <w:sz w:val="24"/>
          <w:szCs w:val="24"/>
        </w:rPr>
        <w:fldChar w:fldCharType="separate"/>
      </w:r>
      <w:r w:rsidR="002D03DD" w:rsidRPr="002D03DD">
        <w:rPr>
          <w:rFonts w:ascii="Times New Roman" w:hAnsi="Times New Roman"/>
          <w:noProof/>
          <w:sz w:val="24"/>
        </w:rPr>
        <w:t xml:space="preserve">1. </w:t>
      </w:r>
      <w:r w:rsidR="002D03DD" w:rsidRPr="002D03DD">
        <w:rPr>
          <w:rFonts w:ascii="Times New Roman" w:hAnsi="Times New Roman"/>
          <w:noProof/>
          <w:sz w:val="24"/>
        </w:rPr>
        <w:tab/>
        <w:t xml:space="preserve">Williams B, Mancia G, Spiering W, Agabiti Rosei E, Azizi M, Burnier M, Clement DL, Coca A, Simone G de, Dominiczak A, Kahan T, Mahfoud F, Redon J, Ruilope L, Zanchetti A, Kerins M, Kjeldsen SE, Kreutz R, Laurent S, Lip GYH, McManus R, Narkiewicz K, Ruschitzka F, Schmieder RE, Shlyakhto E, Tsioufis C, Aboyans V, Desormais I. 2018 ESC/ESH Guidelines for the management of arterial hypertension. </w:t>
      </w:r>
      <w:r w:rsidR="002D03DD" w:rsidRPr="002D03DD">
        <w:rPr>
          <w:rFonts w:ascii="Times New Roman" w:hAnsi="Times New Roman"/>
          <w:i/>
          <w:iCs/>
          <w:noProof/>
          <w:sz w:val="24"/>
        </w:rPr>
        <w:t>Eur Heart J</w:t>
      </w:r>
      <w:r w:rsidR="002D03DD" w:rsidRPr="002D03DD">
        <w:rPr>
          <w:rFonts w:ascii="Times New Roman" w:hAnsi="Times New Roman"/>
          <w:noProof/>
          <w:sz w:val="24"/>
        </w:rPr>
        <w:t xml:space="preserve"> England; 2018;</w:t>
      </w:r>
      <w:r w:rsidR="002D03DD" w:rsidRPr="002D03DD">
        <w:rPr>
          <w:rFonts w:ascii="Times New Roman" w:hAnsi="Times New Roman"/>
          <w:b/>
          <w:bCs/>
          <w:noProof/>
          <w:sz w:val="24"/>
        </w:rPr>
        <w:t>39</w:t>
      </w:r>
      <w:r w:rsidR="002D03DD" w:rsidRPr="002D03DD">
        <w:rPr>
          <w:rFonts w:ascii="Times New Roman" w:hAnsi="Times New Roman"/>
          <w:noProof/>
          <w:sz w:val="24"/>
        </w:rPr>
        <w:t xml:space="preserve">:3021–3104. </w:t>
      </w:r>
    </w:p>
    <w:p w14:paraId="089F86DC"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2. </w:t>
      </w:r>
      <w:r w:rsidRPr="002D03DD">
        <w:rPr>
          <w:rFonts w:ascii="Times New Roman" w:hAnsi="Times New Roman"/>
          <w:noProof/>
          <w:sz w:val="24"/>
        </w:rPr>
        <w:tab/>
        <w:t xml:space="preserve">National Institute for Health and Care Excellence. Overview | Hypertension in adults: diagnosis and management | Guidance | NICE. NICE; 2019; </w:t>
      </w:r>
    </w:p>
    <w:p w14:paraId="6B054F6E"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3. </w:t>
      </w:r>
      <w:r w:rsidRPr="002D03DD">
        <w:rPr>
          <w:rFonts w:ascii="Times New Roman" w:hAnsi="Times New Roman"/>
          <w:noProof/>
          <w:sz w:val="24"/>
        </w:rPr>
        <w:tab/>
        <w:t xml:space="preserve">Whelton PK, Carey RM, Aronow WS, Casey DEJ, Collins KJ, Dennison Himmelfarb C, DePalma SM, Gidding S, Jamerson KA, Jones DW, MacLaughlin EJ, Muntner P, Ovbiagele B, Smith SCJ, Spencer CC, Stafford RS, Taler SJ, Thomas RJ, Williams KAS, Williamson JD, Wright JTJ. 2017 ACC/AHA/AAPA/ABC/ACPM/AGS/APhA/ASH/ASPC/NMA/PCNA Guideline for the Prevention, Detection, Evaluation, and Management of High Blood Pressure in Adults: A Report of the American College of Cardiology/American Heart Association Task Force on Clinical Pr. </w:t>
      </w:r>
      <w:r w:rsidRPr="002D03DD">
        <w:rPr>
          <w:rFonts w:ascii="Times New Roman" w:hAnsi="Times New Roman"/>
          <w:i/>
          <w:iCs/>
          <w:noProof/>
          <w:sz w:val="24"/>
        </w:rPr>
        <w:t>Hypertens (Dallas, Tex  1979)</w:t>
      </w:r>
      <w:r w:rsidRPr="002D03DD">
        <w:rPr>
          <w:rFonts w:ascii="Times New Roman" w:hAnsi="Times New Roman"/>
          <w:noProof/>
          <w:sz w:val="24"/>
        </w:rPr>
        <w:t xml:space="preserve"> United States; 2018;</w:t>
      </w:r>
      <w:r w:rsidRPr="002D03DD">
        <w:rPr>
          <w:rFonts w:ascii="Times New Roman" w:hAnsi="Times New Roman"/>
          <w:b/>
          <w:bCs/>
          <w:noProof/>
          <w:sz w:val="24"/>
        </w:rPr>
        <w:t>71</w:t>
      </w:r>
      <w:r w:rsidRPr="002D03DD">
        <w:rPr>
          <w:rFonts w:ascii="Times New Roman" w:hAnsi="Times New Roman"/>
          <w:noProof/>
          <w:sz w:val="24"/>
        </w:rPr>
        <w:t xml:space="preserve">:e13–e115. </w:t>
      </w:r>
    </w:p>
    <w:p w14:paraId="45C520ED"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4. </w:t>
      </w:r>
      <w:r w:rsidRPr="002D03DD">
        <w:rPr>
          <w:rFonts w:ascii="Times New Roman" w:hAnsi="Times New Roman"/>
          <w:noProof/>
          <w:sz w:val="24"/>
        </w:rPr>
        <w:tab/>
        <w:t xml:space="preserve">Sun Z. Aging, arterial stiffness, and hypertension. </w:t>
      </w:r>
      <w:r w:rsidRPr="002D03DD">
        <w:rPr>
          <w:rFonts w:ascii="Times New Roman" w:hAnsi="Times New Roman"/>
          <w:i/>
          <w:iCs/>
          <w:noProof/>
          <w:sz w:val="24"/>
        </w:rPr>
        <w:t>Hypertens (Dallas, Tex  1979)</w:t>
      </w:r>
      <w:r w:rsidRPr="002D03DD">
        <w:rPr>
          <w:rFonts w:ascii="Times New Roman" w:hAnsi="Times New Roman"/>
          <w:noProof/>
          <w:sz w:val="24"/>
        </w:rPr>
        <w:t xml:space="preserve"> United States; 2015;</w:t>
      </w:r>
      <w:r w:rsidRPr="002D03DD">
        <w:rPr>
          <w:rFonts w:ascii="Times New Roman" w:hAnsi="Times New Roman"/>
          <w:b/>
          <w:bCs/>
          <w:noProof/>
          <w:sz w:val="24"/>
        </w:rPr>
        <w:t>65</w:t>
      </w:r>
      <w:r w:rsidRPr="002D03DD">
        <w:rPr>
          <w:rFonts w:ascii="Times New Roman" w:hAnsi="Times New Roman"/>
          <w:noProof/>
          <w:sz w:val="24"/>
        </w:rPr>
        <w:t xml:space="preserve">:252–256. </w:t>
      </w:r>
    </w:p>
    <w:p w14:paraId="368D0894"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5. </w:t>
      </w:r>
      <w:r w:rsidRPr="002D03DD">
        <w:rPr>
          <w:rFonts w:ascii="Times New Roman" w:hAnsi="Times New Roman"/>
          <w:noProof/>
          <w:sz w:val="24"/>
        </w:rPr>
        <w:tab/>
        <w:t xml:space="preserve">Shearer DM, Thomson WM, Broadbent JM, McLean R, Poulton R, Mann J. High-risk glycated hemoglobin trajectories established by mid-20s: findings from a birth cohort study. </w:t>
      </w:r>
      <w:r w:rsidRPr="002D03DD">
        <w:rPr>
          <w:rFonts w:ascii="Times New Roman" w:hAnsi="Times New Roman"/>
          <w:i/>
          <w:iCs/>
          <w:noProof/>
          <w:sz w:val="24"/>
        </w:rPr>
        <w:t>BMJ open diabetes Res care</w:t>
      </w:r>
      <w:r w:rsidRPr="002D03DD">
        <w:rPr>
          <w:rFonts w:ascii="Times New Roman" w:hAnsi="Times New Roman"/>
          <w:noProof/>
          <w:sz w:val="24"/>
        </w:rPr>
        <w:t xml:space="preserve"> England; 2016;</w:t>
      </w:r>
      <w:r w:rsidRPr="002D03DD">
        <w:rPr>
          <w:rFonts w:ascii="Times New Roman" w:hAnsi="Times New Roman"/>
          <w:b/>
          <w:bCs/>
          <w:noProof/>
          <w:sz w:val="24"/>
        </w:rPr>
        <w:t>4</w:t>
      </w:r>
      <w:r w:rsidRPr="002D03DD">
        <w:rPr>
          <w:rFonts w:ascii="Times New Roman" w:hAnsi="Times New Roman"/>
          <w:noProof/>
          <w:sz w:val="24"/>
        </w:rPr>
        <w:t xml:space="preserve">:e000243. </w:t>
      </w:r>
    </w:p>
    <w:p w14:paraId="5B8EDF7E"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6. </w:t>
      </w:r>
      <w:r w:rsidRPr="002D03DD">
        <w:rPr>
          <w:rFonts w:ascii="Times New Roman" w:hAnsi="Times New Roman"/>
          <w:noProof/>
          <w:sz w:val="24"/>
        </w:rPr>
        <w:tab/>
        <w:t xml:space="preserve">Nagin DS, Odgers CL. Group-based trajectory modeling in clinical research. </w:t>
      </w:r>
      <w:r w:rsidRPr="002D03DD">
        <w:rPr>
          <w:rFonts w:ascii="Times New Roman" w:hAnsi="Times New Roman"/>
          <w:i/>
          <w:iCs/>
          <w:noProof/>
          <w:sz w:val="24"/>
        </w:rPr>
        <w:t>Annu Rev Clin Psychol</w:t>
      </w:r>
      <w:r w:rsidRPr="002D03DD">
        <w:rPr>
          <w:rFonts w:ascii="Times New Roman" w:hAnsi="Times New Roman"/>
          <w:noProof/>
          <w:sz w:val="24"/>
        </w:rPr>
        <w:t xml:space="preserve"> United States; 2010;</w:t>
      </w:r>
      <w:r w:rsidRPr="002D03DD">
        <w:rPr>
          <w:rFonts w:ascii="Times New Roman" w:hAnsi="Times New Roman"/>
          <w:b/>
          <w:bCs/>
          <w:noProof/>
          <w:sz w:val="24"/>
        </w:rPr>
        <w:t>6</w:t>
      </w:r>
      <w:r w:rsidRPr="002D03DD">
        <w:rPr>
          <w:rFonts w:ascii="Times New Roman" w:hAnsi="Times New Roman"/>
          <w:noProof/>
          <w:sz w:val="24"/>
        </w:rPr>
        <w:t xml:space="preserve">:109–138. </w:t>
      </w:r>
    </w:p>
    <w:p w14:paraId="1320DACA"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7. </w:t>
      </w:r>
      <w:r w:rsidRPr="002D03DD">
        <w:rPr>
          <w:rFonts w:ascii="Times New Roman" w:hAnsi="Times New Roman"/>
          <w:noProof/>
          <w:sz w:val="24"/>
        </w:rPr>
        <w:tab/>
        <w:t xml:space="preserve">Portegies MLP, Mirza SS, Verlinden VJA, Hofman A, Koudstaal PJ, Swanson SA, Ikram MA. Mid- to Late-Life Trajectories of Blood Pressure and the Risk of Stroke: The Rotterdam Study. </w:t>
      </w:r>
      <w:r w:rsidRPr="002D03DD">
        <w:rPr>
          <w:rFonts w:ascii="Times New Roman" w:hAnsi="Times New Roman"/>
          <w:i/>
          <w:iCs/>
          <w:noProof/>
          <w:sz w:val="24"/>
        </w:rPr>
        <w:t>Hypertens (Dallas, Tex  1979)</w:t>
      </w:r>
      <w:r w:rsidRPr="002D03DD">
        <w:rPr>
          <w:rFonts w:ascii="Times New Roman" w:hAnsi="Times New Roman"/>
          <w:noProof/>
          <w:sz w:val="24"/>
        </w:rPr>
        <w:t xml:space="preserve"> United States; 2016;</w:t>
      </w:r>
      <w:r w:rsidRPr="002D03DD">
        <w:rPr>
          <w:rFonts w:ascii="Times New Roman" w:hAnsi="Times New Roman"/>
          <w:b/>
          <w:bCs/>
          <w:noProof/>
          <w:sz w:val="24"/>
        </w:rPr>
        <w:t>67</w:t>
      </w:r>
      <w:r w:rsidRPr="002D03DD">
        <w:rPr>
          <w:rFonts w:ascii="Times New Roman" w:hAnsi="Times New Roman"/>
          <w:noProof/>
          <w:sz w:val="24"/>
        </w:rPr>
        <w:t xml:space="preserve">:1126–1132. </w:t>
      </w:r>
    </w:p>
    <w:p w14:paraId="6E762E14"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8. </w:t>
      </w:r>
      <w:r w:rsidRPr="002D03DD">
        <w:rPr>
          <w:rFonts w:ascii="Times New Roman" w:hAnsi="Times New Roman"/>
          <w:noProof/>
          <w:sz w:val="24"/>
        </w:rPr>
        <w:tab/>
        <w:t xml:space="preserve">Zheng W, Mu J, Chu C, Hu J, Yan Y, Ma Q, Lv Y, Xu X, Wang K, Wang Y, Deng Y, Yan B, Yang R, Yang J, Ren Y, Yuan Z. Association of Blood Pressure Trajectories in Early Life with Subclinical Renal Damage in Middle Age. </w:t>
      </w:r>
      <w:r w:rsidRPr="002D03DD">
        <w:rPr>
          <w:rFonts w:ascii="Times New Roman" w:hAnsi="Times New Roman"/>
          <w:i/>
          <w:iCs/>
          <w:noProof/>
          <w:sz w:val="24"/>
        </w:rPr>
        <w:t>J Am Soc Nephrol</w:t>
      </w:r>
      <w:r w:rsidRPr="002D03DD">
        <w:rPr>
          <w:rFonts w:ascii="Times New Roman" w:hAnsi="Times New Roman"/>
          <w:noProof/>
          <w:sz w:val="24"/>
        </w:rPr>
        <w:t xml:space="preserve"> United States; 2018;</w:t>
      </w:r>
      <w:r w:rsidRPr="002D03DD">
        <w:rPr>
          <w:rFonts w:ascii="Times New Roman" w:hAnsi="Times New Roman"/>
          <w:b/>
          <w:bCs/>
          <w:noProof/>
          <w:sz w:val="24"/>
        </w:rPr>
        <w:t>29</w:t>
      </w:r>
      <w:r w:rsidRPr="002D03DD">
        <w:rPr>
          <w:rFonts w:ascii="Times New Roman" w:hAnsi="Times New Roman"/>
          <w:noProof/>
          <w:sz w:val="24"/>
        </w:rPr>
        <w:t xml:space="preserve">:2835–2846. </w:t>
      </w:r>
    </w:p>
    <w:p w14:paraId="46D2A608"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9. </w:t>
      </w:r>
      <w:r w:rsidRPr="002D03DD">
        <w:rPr>
          <w:rFonts w:ascii="Times New Roman" w:hAnsi="Times New Roman"/>
          <w:noProof/>
          <w:sz w:val="24"/>
        </w:rPr>
        <w:tab/>
        <w:t xml:space="preserve">Smitson CC, Scherzer R, Shlipak MG, Psaty BM, Newman AB, Sarnak MJ, Odden MC, Peralta CA. Association of Blood Pressure Trajectory With Mortality, Incident Cardiovascular Disease, and Heart Failure in the Cardiovascular Health Study. </w:t>
      </w:r>
      <w:r w:rsidRPr="002D03DD">
        <w:rPr>
          <w:rFonts w:ascii="Times New Roman" w:hAnsi="Times New Roman"/>
          <w:i/>
          <w:iCs/>
          <w:noProof/>
          <w:sz w:val="24"/>
        </w:rPr>
        <w:t>Am J Hypertens</w:t>
      </w:r>
      <w:r w:rsidRPr="002D03DD">
        <w:rPr>
          <w:rFonts w:ascii="Times New Roman" w:hAnsi="Times New Roman"/>
          <w:noProof/>
          <w:sz w:val="24"/>
        </w:rPr>
        <w:t xml:space="preserve"> United States; 2017;</w:t>
      </w:r>
      <w:r w:rsidRPr="002D03DD">
        <w:rPr>
          <w:rFonts w:ascii="Times New Roman" w:hAnsi="Times New Roman"/>
          <w:b/>
          <w:bCs/>
          <w:noProof/>
          <w:sz w:val="24"/>
        </w:rPr>
        <w:t>30</w:t>
      </w:r>
      <w:r w:rsidRPr="002D03DD">
        <w:rPr>
          <w:rFonts w:ascii="Times New Roman" w:hAnsi="Times New Roman"/>
          <w:noProof/>
          <w:sz w:val="24"/>
        </w:rPr>
        <w:t xml:space="preserve">:587–593. </w:t>
      </w:r>
    </w:p>
    <w:p w14:paraId="1A3868FC"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10. </w:t>
      </w:r>
      <w:r w:rsidRPr="002D03DD">
        <w:rPr>
          <w:rFonts w:ascii="Times New Roman" w:hAnsi="Times New Roman"/>
          <w:noProof/>
          <w:sz w:val="24"/>
        </w:rPr>
        <w:tab/>
        <w:t xml:space="preserve">Lee C-L, Wang J-S. Systolic blood pressure trajectory and cardiovascular outcomes: An analysis using data in the Systolic Blood Pressure Intervention Trial. </w:t>
      </w:r>
      <w:r w:rsidRPr="002D03DD">
        <w:rPr>
          <w:rFonts w:ascii="Times New Roman" w:hAnsi="Times New Roman"/>
          <w:i/>
          <w:iCs/>
          <w:noProof/>
          <w:sz w:val="24"/>
        </w:rPr>
        <w:t>Int J Clin Pract</w:t>
      </w:r>
      <w:r w:rsidRPr="002D03DD">
        <w:rPr>
          <w:rFonts w:ascii="Times New Roman" w:hAnsi="Times New Roman"/>
          <w:noProof/>
          <w:sz w:val="24"/>
        </w:rPr>
        <w:t xml:space="preserve"> England; 2020;</w:t>
      </w:r>
      <w:r w:rsidRPr="002D03DD">
        <w:rPr>
          <w:rFonts w:ascii="Times New Roman" w:hAnsi="Times New Roman"/>
          <w:b/>
          <w:bCs/>
          <w:noProof/>
          <w:sz w:val="24"/>
        </w:rPr>
        <w:t>74</w:t>
      </w:r>
      <w:r w:rsidRPr="002D03DD">
        <w:rPr>
          <w:rFonts w:ascii="Times New Roman" w:hAnsi="Times New Roman"/>
          <w:noProof/>
          <w:sz w:val="24"/>
        </w:rPr>
        <w:t xml:space="preserve">:e13450. </w:t>
      </w:r>
    </w:p>
    <w:p w14:paraId="01204A7E"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11. </w:t>
      </w:r>
      <w:r w:rsidRPr="002D03DD">
        <w:rPr>
          <w:rFonts w:ascii="Times New Roman" w:hAnsi="Times New Roman"/>
          <w:noProof/>
          <w:sz w:val="24"/>
        </w:rPr>
        <w:tab/>
        <w:t xml:space="preserve">Sharashova E, Wilsgaard T, Ball J, Morseth B, Gerdts E, Hopstock LA, Mathiesen EB, Schirmer H, Løchen M-L. Long-term blood pressure trajectories and incident atrial </w:t>
      </w:r>
      <w:r w:rsidRPr="002D03DD">
        <w:rPr>
          <w:rFonts w:ascii="Times New Roman" w:hAnsi="Times New Roman"/>
          <w:noProof/>
          <w:sz w:val="24"/>
        </w:rPr>
        <w:lastRenderedPageBreak/>
        <w:t xml:space="preserve">fibrillation in women and  men: the Tromsø Study. </w:t>
      </w:r>
      <w:r w:rsidRPr="002D03DD">
        <w:rPr>
          <w:rFonts w:ascii="Times New Roman" w:hAnsi="Times New Roman"/>
          <w:i/>
          <w:iCs/>
          <w:noProof/>
          <w:sz w:val="24"/>
        </w:rPr>
        <w:t>Eur Heart J</w:t>
      </w:r>
      <w:r w:rsidRPr="002D03DD">
        <w:rPr>
          <w:rFonts w:ascii="Times New Roman" w:hAnsi="Times New Roman"/>
          <w:noProof/>
          <w:sz w:val="24"/>
        </w:rPr>
        <w:t xml:space="preserve"> 2020;</w:t>
      </w:r>
      <w:r w:rsidRPr="002D03DD">
        <w:rPr>
          <w:rFonts w:ascii="Times New Roman" w:hAnsi="Times New Roman"/>
          <w:b/>
          <w:bCs/>
          <w:noProof/>
          <w:sz w:val="24"/>
        </w:rPr>
        <w:t>41</w:t>
      </w:r>
      <w:r w:rsidRPr="002D03DD">
        <w:rPr>
          <w:rFonts w:ascii="Times New Roman" w:hAnsi="Times New Roman"/>
          <w:noProof/>
          <w:sz w:val="24"/>
        </w:rPr>
        <w:t xml:space="preserve">:1554–1562. </w:t>
      </w:r>
    </w:p>
    <w:p w14:paraId="4ED66710"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12. </w:t>
      </w:r>
      <w:r w:rsidRPr="002D03DD">
        <w:rPr>
          <w:rFonts w:ascii="Times New Roman" w:hAnsi="Times New Roman"/>
          <w:noProof/>
          <w:sz w:val="24"/>
        </w:rPr>
        <w:tab/>
        <w:t xml:space="preserve">Tielemans SMAJ, Geleijnse JM, Laughlin GA, Boshuizen HC, Barrett-Connor E, Kromhout D. Blood pressure trajectories in relation to cardiovascular mortality: The Rancho Bernardo Study. </w:t>
      </w:r>
      <w:r w:rsidRPr="002D03DD">
        <w:rPr>
          <w:rFonts w:ascii="Times New Roman" w:hAnsi="Times New Roman"/>
          <w:i/>
          <w:iCs/>
          <w:noProof/>
          <w:sz w:val="24"/>
        </w:rPr>
        <w:t>J Hum Hypertens</w:t>
      </w:r>
      <w:r w:rsidRPr="002D03DD">
        <w:rPr>
          <w:rFonts w:ascii="Times New Roman" w:hAnsi="Times New Roman"/>
          <w:noProof/>
          <w:sz w:val="24"/>
        </w:rPr>
        <w:t xml:space="preserve"> England; 2017;</w:t>
      </w:r>
      <w:r w:rsidRPr="002D03DD">
        <w:rPr>
          <w:rFonts w:ascii="Times New Roman" w:hAnsi="Times New Roman"/>
          <w:b/>
          <w:bCs/>
          <w:noProof/>
          <w:sz w:val="24"/>
        </w:rPr>
        <w:t>31</w:t>
      </w:r>
      <w:r w:rsidRPr="002D03DD">
        <w:rPr>
          <w:rFonts w:ascii="Times New Roman" w:hAnsi="Times New Roman"/>
          <w:noProof/>
          <w:sz w:val="24"/>
        </w:rPr>
        <w:t xml:space="preserve">:515–519. </w:t>
      </w:r>
    </w:p>
    <w:p w14:paraId="123CBFDC"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13. </w:t>
      </w:r>
      <w:r w:rsidRPr="002D03DD">
        <w:rPr>
          <w:rFonts w:ascii="Times New Roman" w:hAnsi="Times New Roman"/>
          <w:noProof/>
          <w:sz w:val="24"/>
        </w:rPr>
        <w:tab/>
        <w:t xml:space="preserve">Zhang Y, Vittinghoff E, Pletcher MJ, Allen NB, Zeki Al Hazzouri A, Yaffe K, Balte PP, Alonso A, Newman AB, Ives DG, Rana JS, Lloyd-Jones D, Vasan RS, Bibbins-Domingo K, Gooding HC, Ferranti SD de, Oelsner EC, Moran AE. Associations of Blood Pressure and Cholesterol Levels During Young Adulthood With Later Cardiovascular Events. </w:t>
      </w:r>
      <w:r w:rsidRPr="002D03DD">
        <w:rPr>
          <w:rFonts w:ascii="Times New Roman" w:hAnsi="Times New Roman"/>
          <w:i/>
          <w:iCs/>
          <w:noProof/>
          <w:sz w:val="24"/>
        </w:rPr>
        <w:t>J Am Coll Cardiol</w:t>
      </w:r>
      <w:r w:rsidRPr="002D03DD">
        <w:rPr>
          <w:rFonts w:ascii="Times New Roman" w:hAnsi="Times New Roman"/>
          <w:noProof/>
          <w:sz w:val="24"/>
        </w:rPr>
        <w:t xml:space="preserve"> United States; 2019;</w:t>
      </w:r>
      <w:r w:rsidRPr="002D03DD">
        <w:rPr>
          <w:rFonts w:ascii="Times New Roman" w:hAnsi="Times New Roman"/>
          <w:b/>
          <w:bCs/>
          <w:noProof/>
          <w:sz w:val="24"/>
        </w:rPr>
        <w:t>74</w:t>
      </w:r>
      <w:r w:rsidRPr="002D03DD">
        <w:rPr>
          <w:rFonts w:ascii="Times New Roman" w:hAnsi="Times New Roman"/>
          <w:noProof/>
          <w:sz w:val="24"/>
        </w:rPr>
        <w:t xml:space="preserve">:330–341. </w:t>
      </w:r>
    </w:p>
    <w:p w14:paraId="3F992134"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14. </w:t>
      </w:r>
      <w:r w:rsidRPr="002D03DD">
        <w:rPr>
          <w:rFonts w:ascii="Times New Roman" w:hAnsi="Times New Roman"/>
          <w:noProof/>
          <w:sz w:val="24"/>
        </w:rPr>
        <w:tab/>
        <w:t xml:space="preserve">Ravindrarajah R, Hazra NC, Hamada S, Charlton J, Jackson SHD, Dregan A, Gulliford MC. Systolic Blood Pressure Trajectory, Frailty, and All-Cause Mortality &gt;80 Years of Age: Cohort Study Using Electronic Health Records. </w:t>
      </w:r>
      <w:r w:rsidRPr="002D03DD">
        <w:rPr>
          <w:rFonts w:ascii="Times New Roman" w:hAnsi="Times New Roman"/>
          <w:i/>
          <w:iCs/>
          <w:noProof/>
          <w:sz w:val="24"/>
        </w:rPr>
        <w:t>Circulation</w:t>
      </w:r>
      <w:r w:rsidRPr="002D03DD">
        <w:rPr>
          <w:rFonts w:ascii="Times New Roman" w:hAnsi="Times New Roman"/>
          <w:noProof/>
          <w:sz w:val="24"/>
        </w:rPr>
        <w:t xml:space="preserve"> United States; 2017;</w:t>
      </w:r>
      <w:r w:rsidRPr="002D03DD">
        <w:rPr>
          <w:rFonts w:ascii="Times New Roman" w:hAnsi="Times New Roman"/>
          <w:b/>
          <w:bCs/>
          <w:noProof/>
          <w:sz w:val="24"/>
        </w:rPr>
        <w:t>135</w:t>
      </w:r>
      <w:r w:rsidRPr="002D03DD">
        <w:rPr>
          <w:rFonts w:ascii="Times New Roman" w:hAnsi="Times New Roman"/>
          <w:noProof/>
          <w:sz w:val="24"/>
        </w:rPr>
        <w:t xml:space="preserve">:2357–2368. </w:t>
      </w:r>
    </w:p>
    <w:p w14:paraId="709BB043"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15. </w:t>
      </w:r>
      <w:r w:rsidRPr="002D03DD">
        <w:rPr>
          <w:rFonts w:ascii="Times New Roman" w:hAnsi="Times New Roman"/>
          <w:noProof/>
          <w:sz w:val="24"/>
        </w:rPr>
        <w:tab/>
        <w:t xml:space="preserve">Ji H, Kim A, Ebinger JE, Niiranen TJ, Claggett BL, Bairey Merz CN, Cheng S. Sex Differences in Blood Pressure Trajectories Over the Life Course. </w:t>
      </w:r>
      <w:r w:rsidRPr="002D03DD">
        <w:rPr>
          <w:rFonts w:ascii="Times New Roman" w:hAnsi="Times New Roman"/>
          <w:i/>
          <w:iCs/>
          <w:noProof/>
          <w:sz w:val="24"/>
        </w:rPr>
        <w:t>JAMA Cardiol</w:t>
      </w:r>
      <w:r w:rsidRPr="002D03DD">
        <w:rPr>
          <w:rFonts w:ascii="Times New Roman" w:hAnsi="Times New Roman"/>
          <w:noProof/>
          <w:sz w:val="24"/>
        </w:rPr>
        <w:t xml:space="preserve"> United States; 2020;</w:t>
      </w:r>
      <w:r w:rsidRPr="002D03DD">
        <w:rPr>
          <w:rFonts w:ascii="Times New Roman" w:hAnsi="Times New Roman"/>
          <w:b/>
          <w:bCs/>
          <w:noProof/>
          <w:sz w:val="24"/>
        </w:rPr>
        <w:t>5</w:t>
      </w:r>
      <w:r w:rsidRPr="002D03DD">
        <w:rPr>
          <w:rFonts w:ascii="Times New Roman" w:hAnsi="Times New Roman"/>
          <w:noProof/>
          <w:sz w:val="24"/>
        </w:rPr>
        <w:t xml:space="preserve">:19–26. </w:t>
      </w:r>
    </w:p>
    <w:p w14:paraId="1FC5FB85"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16. </w:t>
      </w:r>
      <w:r w:rsidRPr="002D03DD">
        <w:rPr>
          <w:rFonts w:ascii="Times New Roman" w:hAnsi="Times New Roman"/>
          <w:noProof/>
          <w:sz w:val="24"/>
        </w:rPr>
        <w:tab/>
        <w:t xml:space="preserve">Day N, Oakes S, Luben R, Khaw KT, Bingham S, Welch A, Wareham N. EPIC-Norfolk: study design and characteristics of the cohort. European Prospective Investigation of Cancer. </w:t>
      </w:r>
      <w:r w:rsidRPr="002D03DD">
        <w:rPr>
          <w:rFonts w:ascii="Times New Roman" w:hAnsi="Times New Roman"/>
          <w:i/>
          <w:iCs/>
          <w:noProof/>
          <w:sz w:val="24"/>
        </w:rPr>
        <w:t>Br J Cancer</w:t>
      </w:r>
      <w:r w:rsidRPr="002D03DD">
        <w:rPr>
          <w:rFonts w:ascii="Times New Roman" w:hAnsi="Times New Roman"/>
          <w:noProof/>
          <w:sz w:val="24"/>
        </w:rPr>
        <w:t xml:space="preserve"> England; 1999;</w:t>
      </w:r>
      <w:r w:rsidRPr="002D03DD">
        <w:rPr>
          <w:rFonts w:ascii="Times New Roman" w:hAnsi="Times New Roman"/>
          <w:b/>
          <w:bCs/>
          <w:noProof/>
          <w:sz w:val="24"/>
        </w:rPr>
        <w:t>80 Suppl 1</w:t>
      </w:r>
      <w:r w:rsidRPr="002D03DD">
        <w:rPr>
          <w:rFonts w:ascii="Times New Roman" w:hAnsi="Times New Roman"/>
          <w:noProof/>
          <w:sz w:val="24"/>
        </w:rPr>
        <w:t xml:space="preserve">:95–103. </w:t>
      </w:r>
    </w:p>
    <w:p w14:paraId="094ED67E"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17. </w:t>
      </w:r>
      <w:r w:rsidRPr="002D03DD">
        <w:rPr>
          <w:rFonts w:ascii="Times New Roman" w:hAnsi="Times New Roman"/>
          <w:noProof/>
          <w:sz w:val="24"/>
        </w:rPr>
        <w:tab/>
        <w:t>EPIC-Norfolk. About EPIC-Norfolk: Follow Up. https://www.epic-norfolk.org.uk/about/followup.shtml (22 September 2020)</w:t>
      </w:r>
    </w:p>
    <w:p w14:paraId="30874397"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18. </w:t>
      </w:r>
      <w:r w:rsidRPr="002D03DD">
        <w:rPr>
          <w:rFonts w:ascii="Times New Roman" w:hAnsi="Times New Roman"/>
          <w:noProof/>
          <w:sz w:val="24"/>
        </w:rPr>
        <w:tab/>
        <w:t xml:space="preserve">Sinha S, Myint PK, Luben RN, Khaw K-T. Accuracy of death certification and hospital record linkage for identification of incident stroke. </w:t>
      </w:r>
      <w:r w:rsidRPr="002D03DD">
        <w:rPr>
          <w:rFonts w:ascii="Times New Roman" w:hAnsi="Times New Roman"/>
          <w:i/>
          <w:iCs/>
          <w:noProof/>
          <w:sz w:val="24"/>
        </w:rPr>
        <w:t>BMC Med Res Methodol</w:t>
      </w:r>
      <w:r w:rsidRPr="002D03DD">
        <w:rPr>
          <w:rFonts w:ascii="Times New Roman" w:hAnsi="Times New Roman"/>
          <w:noProof/>
          <w:sz w:val="24"/>
        </w:rPr>
        <w:t xml:space="preserve"> England; 2008;</w:t>
      </w:r>
      <w:r w:rsidRPr="002D03DD">
        <w:rPr>
          <w:rFonts w:ascii="Times New Roman" w:hAnsi="Times New Roman"/>
          <w:b/>
          <w:bCs/>
          <w:noProof/>
          <w:sz w:val="24"/>
        </w:rPr>
        <w:t>8</w:t>
      </w:r>
      <w:r w:rsidRPr="002D03DD">
        <w:rPr>
          <w:rFonts w:ascii="Times New Roman" w:hAnsi="Times New Roman"/>
          <w:noProof/>
          <w:sz w:val="24"/>
        </w:rPr>
        <w:t xml:space="preserve">:74. </w:t>
      </w:r>
    </w:p>
    <w:p w14:paraId="5038CAF3"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19. </w:t>
      </w:r>
      <w:r w:rsidRPr="002D03DD">
        <w:rPr>
          <w:rFonts w:ascii="Times New Roman" w:hAnsi="Times New Roman"/>
          <w:noProof/>
          <w:sz w:val="24"/>
        </w:rPr>
        <w:tab/>
        <w:t xml:space="preserve">Pfister R, Michels G, Wilfred J, Luben R, Wareham NJ, Khaw K-T. Does ICD-10 hospital discharge code I50 identify people with heart failure? A  validation study within the EPIC-Norfolk study. Int. J. Cardiol. Netherlands; 2013. p. 4413–4414. </w:t>
      </w:r>
    </w:p>
    <w:p w14:paraId="2DCEB6FA"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20. </w:t>
      </w:r>
      <w:r w:rsidRPr="002D03DD">
        <w:rPr>
          <w:rFonts w:ascii="Times New Roman" w:hAnsi="Times New Roman"/>
          <w:noProof/>
          <w:sz w:val="24"/>
        </w:rPr>
        <w:tab/>
        <w:t xml:space="preserve">Bain LKM, Myint PK, Jennings A, Lentjes MAH, Luben RN, Khaw K-T, Wareham NJ, Welch AA. The relationship between dietary magnesium intake, stroke and its major risk factors, blood pressure and cholesterol, in the EPIC-Norfolk cohort. </w:t>
      </w:r>
      <w:r w:rsidRPr="002D03DD">
        <w:rPr>
          <w:rFonts w:ascii="Times New Roman" w:hAnsi="Times New Roman"/>
          <w:i/>
          <w:iCs/>
          <w:noProof/>
          <w:sz w:val="24"/>
        </w:rPr>
        <w:t>Int J Cardiol</w:t>
      </w:r>
      <w:r w:rsidRPr="002D03DD">
        <w:rPr>
          <w:rFonts w:ascii="Times New Roman" w:hAnsi="Times New Roman"/>
          <w:noProof/>
          <w:sz w:val="24"/>
        </w:rPr>
        <w:t xml:space="preserve"> Netherlands; 2015;</w:t>
      </w:r>
      <w:r w:rsidRPr="002D03DD">
        <w:rPr>
          <w:rFonts w:ascii="Times New Roman" w:hAnsi="Times New Roman"/>
          <w:b/>
          <w:bCs/>
          <w:noProof/>
          <w:sz w:val="24"/>
        </w:rPr>
        <w:t>196</w:t>
      </w:r>
      <w:r w:rsidRPr="002D03DD">
        <w:rPr>
          <w:rFonts w:ascii="Times New Roman" w:hAnsi="Times New Roman"/>
          <w:noProof/>
          <w:sz w:val="24"/>
        </w:rPr>
        <w:t xml:space="preserve">:108–114. </w:t>
      </w:r>
    </w:p>
    <w:p w14:paraId="6E4E6178"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21. </w:t>
      </w:r>
      <w:r w:rsidRPr="002D03DD">
        <w:rPr>
          <w:rFonts w:ascii="Times New Roman" w:hAnsi="Times New Roman"/>
          <w:noProof/>
          <w:sz w:val="24"/>
        </w:rPr>
        <w:tab/>
        <w:t xml:space="preserve">Jones BL, Nagin DS. A Note on a Stata Plugin for Estimating Group-based Trajectory Models. </w:t>
      </w:r>
      <w:r w:rsidRPr="002D03DD">
        <w:rPr>
          <w:rFonts w:ascii="Times New Roman" w:hAnsi="Times New Roman"/>
          <w:i/>
          <w:iCs/>
          <w:noProof/>
          <w:sz w:val="24"/>
        </w:rPr>
        <w:t>Sociol Methods Res</w:t>
      </w:r>
      <w:r w:rsidRPr="002D03DD">
        <w:rPr>
          <w:rFonts w:ascii="Times New Roman" w:hAnsi="Times New Roman"/>
          <w:noProof/>
          <w:sz w:val="24"/>
        </w:rPr>
        <w:t xml:space="preserve"> SAGE PublicationsSage CA: Los Angeles, CA; 2013;</w:t>
      </w:r>
      <w:r w:rsidRPr="002D03DD">
        <w:rPr>
          <w:rFonts w:ascii="Times New Roman" w:hAnsi="Times New Roman"/>
          <w:b/>
          <w:bCs/>
          <w:noProof/>
          <w:sz w:val="24"/>
        </w:rPr>
        <w:t>42</w:t>
      </w:r>
      <w:r w:rsidRPr="002D03DD">
        <w:rPr>
          <w:rFonts w:ascii="Times New Roman" w:hAnsi="Times New Roman"/>
          <w:noProof/>
          <w:sz w:val="24"/>
        </w:rPr>
        <w:t xml:space="preserve">:608–613. </w:t>
      </w:r>
    </w:p>
    <w:p w14:paraId="4FFE31D4"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22. </w:t>
      </w:r>
      <w:r w:rsidRPr="002D03DD">
        <w:rPr>
          <w:rFonts w:ascii="Times New Roman" w:hAnsi="Times New Roman"/>
          <w:noProof/>
          <w:sz w:val="24"/>
        </w:rPr>
        <w:tab/>
        <w:t xml:space="preserve">Allen NB, Siddique J, Wilkins JT, Shay C, Lewis CE, Goff DC, Jacobs DRJ, Liu K, Lloyd-Jones D. Blood pressure trajectories in early adulthood and subclinical atherosclerosis in middle age. </w:t>
      </w:r>
      <w:r w:rsidRPr="002D03DD">
        <w:rPr>
          <w:rFonts w:ascii="Times New Roman" w:hAnsi="Times New Roman"/>
          <w:i/>
          <w:iCs/>
          <w:noProof/>
          <w:sz w:val="24"/>
        </w:rPr>
        <w:t>JAMA</w:t>
      </w:r>
      <w:r w:rsidRPr="002D03DD">
        <w:rPr>
          <w:rFonts w:ascii="Times New Roman" w:hAnsi="Times New Roman"/>
          <w:noProof/>
          <w:sz w:val="24"/>
        </w:rPr>
        <w:t xml:space="preserve"> United States; 2014;</w:t>
      </w:r>
      <w:r w:rsidRPr="002D03DD">
        <w:rPr>
          <w:rFonts w:ascii="Times New Roman" w:hAnsi="Times New Roman"/>
          <w:b/>
          <w:bCs/>
          <w:noProof/>
          <w:sz w:val="24"/>
        </w:rPr>
        <w:t>311</w:t>
      </w:r>
      <w:r w:rsidRPr="002D03DD">
        <w:rPr>
          <w:rFonts w:ascii="Times New Roman" w:hAnsi="Times New Roman"/>
          <w:noProof/>
          <w:sz w:val="24"/>
        </w:rPr>
        <w:t xml:space="preserve">:490–497. </w:t>
      </w:r>
    </w:p>
    <w:p w14:paraId="65CA67F5"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23. </w:t>
      </w:r>
      <w:r w:rsidRPr="002D03DD">
        <w:rPr>
          <w:rFonts w:ascii="Times New Roman" w:hAnsi="Times New Roman"/>
          <w:noProof/>
          <w:sz w:val="24"/>
        </w:rPr>
        <w:tab/>
        <w:t xml:space="preserve">Tielemans SMAJ, Geleijnse JM, Menotti A, Boshuizen HC, Soedamah-Muthu SS, Jacobs DRJ, Blackburn H, Kromhout D. Ten-year blood pressure trajectories, cardiovascular mortality, and life years lost in 2 extinction cohorts: the Minnesota Business and Professional Men Study and the Zutphen Study. </w:t>
      </w:r>
      <w:r w:rsidRPr="002D03DD">
        <w:rPr>
          <w:rFonts w:ascii="Times New Roman" w:hAnsi="Times New Roman"/>
          <w:i/>
          <w:iCs/>
          <w:noProof/>
          <w:sz w:val="24"/>
        </w:rPr>
        <w:t>J Am Heart Assoc</w:t>
      </w:r>
      <w:r w:rsidRPr="002D03DD">
        <w:rPr>
          <w:rFonts w:ascii="Times New Roman" w:hAnsi="Times New Roman"/>
          <w:noProof/>
          <w:sz w:val="24"/>
        </w:rPr>
        <w:t xml:space="preserve"> </w:t>
      </w:r>
      <w:r w:rsidRPr="002D03DD">
        <w:rPr>
          <w:rFonts w:ascii="Times New Roman" w:hAnsi="Times New Roman"/>
          <w:noProof/>
          <w:sz w:val="24"/>
        </w:rPr>
        <w:lastRenderedPageBreak/>
        <w:t>England; 2015;</w:t>
      </w:r>
      <w:r w:rsidRPr="002D03DD">
        <w:rPr>
          <w:rFonts w:ascii="Times New Roman" w:hAnsi="Times New Roman"/>
          <w:b/>
          <w:bCs/>
          <w:noProof/>
          <w:sz w:val="24"/>
        </w:rPr>
        <w:t>4</w:t>
      </w:r>
      <w:r w:rsidRPr="002D03DD">
        <w:rPr>
          <w:rFonts w:ascii="Times New Roman" w:hAnsi="Times New Roman"/>
          <w:noProof/>
          <w:sz w:val="24"/>
        </w:rPr>
        <w:t xml:space="preserve">:e001378. </w:t>
      </w:r>
    </w:p>
    <w:p w14:paraId="210308F5"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24. </w:t>
      </w:r>
      <w:r w:rsidRPr="002D03DD">
        <w:rPr>
          <w:rFonts w:ascii="Times New Roman" w:hAnsi="Times New Roman"/>
          <w:noProof/>
          <w:sz w:val="24"/>
        </w:rPr>
        <w:tab/>
        <w:t xml:space="preserve">Wang A, Zhang Y, Li J, Zhao Q, Cao Y, Li J, Zhang R, Chen S, Gao J, Wu S. High SBP trajectories are associated with risk of all-cause death in general Chinese population. </w:t>
      </w:r>
      <w:r w:rsidRPr="002D03DD">
        <w:rPr>
          <w:rFonts w:ascii="Times New Roman" w:hAnsi="Times New Roman"/>
          <w:i/>
          <w:iCs/>
          <w:noProof/>
          <w:sz w:val="24"/>
        </w:rPr>
        <w:t>J Hypertens</w:t>
      </w:r>
      <w:r w:rsidRPr="002D03DD">
        <w:rPr>
          <w:rFonts w:ascii="Times New Roman" w:hAnsi="Times New Roman"/>
          <w:noProof/>
          <w:sz w:val="24"/>
        </w:rPr>
        <w:t xml:space="preserve"> England; 2018;</w:t>
      </w:r>
      <w:r w:rsidRPr="002D03DD">
        <w:rPr>
          <w:rFonts w:ascii="Times New Roman" w:hAnsi="Times New Roman"/>
          <w:b/>
          <w:bCs/>
          <w:noProof/>
          <w:sz w:val="24"/>
        </w:rPr>
        <w:t>36</w:t>
      </w:r>
      <w:r w:rsidRPr="002D03DD">
        <w:rPr>
          <w:rFonts w:ascii="Times New Roman" w:hAnsi="Times New Roman"/>
          <w:noProof/>
          <w:sz w:val="24"/>
        </w:rPr>
        <w:t xml:space="preserve">:1299–1305. </w:t>
      </w:r>
    </w:p>
    <w:p w14:paraId="0C7B6883"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25. </w:t>
      </w:r>
      <w:r w:rsidRPr="002D03DD">
        <w:rPr>
          <w:rFonts w:ascii="Times New Roman" w:hAnsi="Times New Roman"/>
          <w:noProof/>
          <w:sz w:val="24"/>
        </w:rPr>
        <w:tab/>
        <w:t xml:space="preserve">Levey AS, Bosch JP, Lewis JB, Greene T, Rogers N, Roth D. A more accurate method to estimate glomerular filtration rate from serum creatinine: a new prediction equation. Modification of Diet in Renal Disease Study Group. </w:t>
      </w:r>
      <w:r w:rsidRPr="002D03DD">
        <w:rPr>
          <w:rFonts w:ascii="Times New Roman" w:hAnsi="Times New Roman"/>
          <w:i/>
          <w:iCs/>
          <w:noProof/>
          <w:sz w:val="24"/>
        </w:rPr>
        <w:t>Ann Intern Med</w:t>
      </w:r>
      <w:r w:rsidRPr="002D03DD">
        <w:rPr>
          <w:rFonts w:ascii="Times New Roman" w:hAnsi="Times New Roman"/>
          <w:noProof/>
          <w:sz w:val="24"/>
        </w:rPr>
        <w:t xml:space="preserve"> United States; 1999;</w:t>
      </w:r>
      <w:r w:rsidRPr="002D03DD">
        <w:rPr>
          <w:rFonts w:ascii="Times New Roman" w:hAnsi="Times New Roman"/>
          <w:b/>
          <w:bCs/>
          <w:noProof/>
          <w:sz w:val="24"/>
        </w:rPr>
        <w:t>130</w:t>
      </w:r>
      <w:r w:rsidRPr="002D03DD">
        <w:rPr>
          <w:rFonts w:ascii="Times New Roman" w:hAnsi="Times New Roman"/>
          <w:noProof/>
          <w:sz w:val="24"/>
        </w:rPr>
        <w:t xml:space="preserve">:461–470. </w:t>
      </w:r>
    </w:p>
    <w:p w14:paraId="75652455"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26. </w:t>
      </w:r>
      <w:r w:rsidRPr="002D03DD">
        <w:rPr>
          <w:rFonts w:ascii="Times New Roman" w:hAnsi="Times New Roman"/>
          <w:noProof/>
          <w:sz w:val="24"/>
        </w:rPr>
        <w:tab/>
        <w:t xml:space="preserve">White IR, Royston P, Wood AM. Multiple imputation using chained equations: Issues and guidance for practice. </w:t>
      </w:r>
      <w:r w:rsidRPr="002D03DD">
        <w:rPr>
          <w:rFonts w:ascii="Times New Roman" w:hAnsi="Times New Roman"/>
          <w:i/>
          <w:iCs/>
          <w:noProof/>
          <w:sz w:val="24"/>
        </w:rPr>
        <w:t>Stat Med</w:t>
      </w:r>
      <w:r w:rsidRPr="002D03DD">
        <w:rPr>
          <w:rFonts w:ascii="Times New Roman" w:hAnsi="Times New Roman"/>
          <w:noProof/>
          <w:sz w:val="24"/>
        </w:rPr>
        <w:t xml:space="preserve"> England; 2011;</w:t>
      </w:r>
      <w:r w:rsidRPr="002D03DD">
        <w:rPr>
          <w:rFonts w:ascii="Times New Roman" w:hAnsi="Times New Roman"/>
          <w:b/>
          <w:bCs/>
          <w:noProof/>
          <w:sz w:val="24"/>
        </w:rPr>
        <w:t>30</w:t>
      </w:r>
      <w:r w:rsidRPr="002D03DD">
        <w:rPr>
          <w:rFonts w:ascii="Times New Roman" w:hAnsi="Times New Roman"/>
          <w:noProof/>
          <w:sz w:val="24"/>
        </w:rPr>
        <w:t xml:space="preserve">:377–399. </w:t>
      </w:r>
    </w:p>
    <w:p w14:paraId="442FBA4E"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27. </w:t>
      </w:r>
      <w:r w:rsidRPr="002D03DD">
        <w:rPr>
          <w:rFonts w:ascii="Times New Roman" w:hAnsi="Times New Roman"/>
          <w:noProof/>
          <w:sz w:val="24"/>
        </w:rPr>
        <w:tab/>
        <w:t xml:space="preserve">Noordzij M, Leffondre K, Stralen KJ van, Zoccali C, Dekker FW, Jager KJ. When do we need competing risks methods for survival analysis in nephrology? </w:t>
      </w:r>
      <w:r w:rsidRPr="002D03DD">
        <w:rPr>
          <w:rFonts w:ascii="Times New Roman" w:hAnsi="Times New Roman"/>
          <w:i/>
          <w:iCs/>
          <w:noProof/>
          <w:sz w:val="24"/>
        </w:rPr>
        <w:t>Nephrol Dial Transplant</w:t>
      </w:r>
      <w:r w:rsidRPr="002D03DD">
        <w:rPr>
          <w:rFonts w:ascii="Times New Roman" w:hAnsi="Times New Roman"/>
          <w:noProof/>
          <w:sz w:val="24"/>
        </w:rPr>
        <w:t xml:space="preserve"> England; 2013;</w:t>
      </w:r>
      <w:r w:rsidRPr="002D03DD">
        <w:rPr>
          <w:rFonts w:ascii="Times New Roman" w:hAnsi="Times New Roman"/>
          <w:b/>
          <w:bCs/>
          <w:noProof/>
          <w:sz w:val="24"/>
        </w:rPr>
        <w:t>28</w:t>
      </w:r>
      <w:r w:rsidRPr="002D03DD">
        <w:rPr>
          <w:rFonts w:ascii="Times New Roman" w:hAnsi="Times New Roman"/>
          <w:noProof/>
          <w:sz w:val="24"/>
        </w:rPr>
        <w:t xml:space="preserve">:2670–2677. </w:t>
      </w:r>
    </w:p>
    <w:p w14:paraId="760B0BB0"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28. </w:t>
      </w:r>
      <w:r w:rsidRPr="002D03DD">
        <w:rPr>
          <w:rFonts w:ascii="Times New Roman" w:hAnsi="Times New Roman"/>
          <w:noProof/>
          <w:sz w:val="24"/>
        </w:rPr>
        <w:tab/>
        <w:t xml:space="preserve">Allen N, Berry JD, Ning H, Horn L Van, Dyer A, Lloyd-Jones DM. Impact of blood pressure and blood pressure change during middle age on the remaining lifetime risk for cardiovascular disease: the cardiovascular lifetime risk pooling project. </w:t>
      </w:r>
      <w:r w:rsidRPr="002D03DD">
        <w:rPr>
          <w:rFonts w:ascii="Times New Roman" w:hAnsi="Times New Roman"/>
          <w:i/>
          <w:iCs/>
          <w:noProof/>
          <w:sz w:val="24"/>
        </w:rPr>
        <w:t>Circulation</w:t>
      </w:r>
      <w:r w:rsidRPr="002D03DD">
        <w:rPr>
          <w:rFonts w:ascii="Times New Roman" w:hAnsi="Times New Roman"/>
          <w:noProof/>
          <w:sz w:val="24"/>
        </w:rPr>
        <w:t xml:space="preserve"> United States; 2012;</w:t>
      </w:r>
      <w:r w:rsidRPr="002D03DD">
        <w:rPr>
          <w:rFonts w:ascii="Times New Roman" w:hAnsi="Times New Roman"/>
          <w:b/>
          <w:bCs/>
          <w:noProof/>
          <w:sz w:val="24"/>
        </w:rPr>
        <w:t>125</w:t>
      </w:r>
      <w:r w:rsidRPr="002D03DD">
        <w:rPr>
          <w:rFonts w:ascii="Times New Roman" w:hAnsi="Times New Roman"/>
          <w:noProof/>
          <w:sz w:val="24"/>
        </w:rPr>
        <w:t xml:space="preserve">:37–44. </w:t>
      </w:r>
    </w:p>
    <w:p w14:paraId="20CC5879"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29. </w:t>
      </w:r>
      <w:r w:rsidRPr="002D03DD">
        <w:rPr>
          <w:rFonts w:ascii="Times New Roman" w:hAnsi="Times New Roman"/>
          <w:noProof/>
          <w:sz w:val="24"/>
        </w:rPr>
        <w:tab/>
        <w:t xml:space="preserve">Pool LR, Ning H, Wilkins J, Lloyd-Jones DM, Allen NB. Use of Long-term Cumulative Blood Pressure in Cardiovascular Risk Prediction Models. </w:t>
      </w:r>
      <w:r w:rsidRPr="002D03DD">
        <w:rPr>
          <w:rFonts w:ascii="Times New Roman" w:hAnsi="Times New Roman"/>
          <w:i/>
          <w:iCs/>
          <w:noProof/>
          <w:sz w:val="24"/>
        </w:rPr>
        <w:t>JAMA Cardiol</w:t>
      </w:r>
      <w:r w:rsidRPr="002D03DD">
        <w:rPr>
          <w:rFonts w:ascii="Times New Roman" w:hAnsi="Times New Roman"/>
          <w:noProof/>
          <w:sz w:val="24"/>
        </w:rPr>
        <w:t xml:space="preserve"> United States; 2018;</w:t>
      </w:r>
      <w:r w:rsidRPr="002D03DD">
        <w:rPr>
          <w:rFonts w:ascii="Times New Roman" w:hAnsi="Times New Roman"/>
          <w:b/>
          <w:bCs/>
          <w:noProof/>
          <w:sz w:val="24"/>
        </w:rPr>
        <w:t>3</w:t>
      </w:r>
      <w:r w:rsidRPr="002D03DD">
        <w:rPr>
          <w:rFonts w:ascii="Times New Roman" w:hAnsi="Times New Roman"/>
          <w:noProof/>
          <w:sz w:val="24"/>
        </w:rPr>
        <w:t xml:space="preserve">:1096–1100. </w:t>
      </w:r>
    </w:p>
    <w:p w14:paraId="5A6AE569"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30. </w:t>
      </w:r>
      <w:r w:rsidRPr="002D03DD">
        <w:rPr>
          <w:rFonts w:ascii="Times New Roman" w:hAnsi="Times New Roman"/>
          <w:noProof/>
          <w:sz w:val="24"/>
        </w:rPr>
        <w:tab/>
        <w:t xml:space="preserve">Satoh M, Ohkubo T, Asayama K, Murakami Y, Sugiyama D, Yamada M, Saitoh S, Sakata K, Irie F, Sairenchi T, Ishikawa S, Kiyama M, Ohnishi H, Miura K, Imai Y, Ueshima H, Okamura T. Lifetime Risk of Stroke and Coronary Heart Disease Deaths According to Blood Pressure Level: EPOCH-JAPAN (Evidence for Cardiovascular Prevention From Observational Cohorts in Japan). </w:t>
      </w:r>
      <w:r w:rsidRPr="002D03DD">
        <w:rPr>
          <w:rFonts w:ascii="Times New Roman" w:hAnsi="Times New Roman"/>
          <w:i/>
          <w:iCs/>
          <w:noProof/>
          <w:sz w:val="24"/>
        </w:rPr>
        <w:t>Hypertens (Dallas, Tex  1979)</w:t>
      </w:r>
      <w:r w:rsidRPr="002D03DD">
        <w:rPr>
          <w:rFonts w:ascii="Times New Roman" w:hAnsi="Times New Roman"/>
          <w:noProof/>
          <w:sz w:val="24"/>
        </w:rPr>
        <w:t xml:space="preserve"> United States; 2019;</w:t>
      </w:r>
      <w:r w:rsidRPr="002D03DD">
        <w:rPr>
          <w:rFonts w:ascii="Times New Roman" w:hAnsi="Times New Roman"/>
          <w:b/>
          <w:bCs/>
          <w:noProof/>
          <w:sz w:val="24"/>
        </w:rPr>
        <w:t>73</w:t>
      </w:r>
      <w:r w:rsidRPr="002D03DD">
        <w:rPr>
          <w:rFonts w:ascii="Times New Roman" w:hAnsi="Times New Roman"/>
          <w:noProof/>
          <w:sz w:val="24"/>
        </w:rPr>
        <w:t xml:space="preserve">:52–59. </w:t>
      </w:r>
    </w:p>
    <w:p w14:paraId="51EFC39C"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31. </w:t>
      </w:r>
      <w:r w:rsidRPr="002D03DD">
        <w:rPr>
          <w:rFonts w:ascii="Times New Roman" w:hAnsi="Times New Roman"/>
          <w:noProof/>
          <w:sz w:val="24"/>
        </w:rPr>
        <w:tab/>
        <w:t xml:space="preserve">Teramoto K, Nadruz Junior W, Matsushita K, Claggett B, John JE, Skali H, Solomon S, Cheng S, Shah AM. Mid- to Late-Life Time-Averaged Cumulative Blood Pressure and Late-Life Cardiac Structure, Function, and Heart Failure. </w:t>
      </w:r>
      <w:r w:rsidRPr="002D03DD">
        <w:rPr>
          <w:rFonts w:ascii="Times New Roman" w:hAnsi="Times New Roman"/>
          <w:i/>
          <w:iCs/>
          <w:noProof/>
          <w:sz w:val="24"/>
        </w:rPr>
        <w:t>Hypertens (Dallas, Tex  1979)</w:t>
      </w:r>
      <w:r w:rsidRPr="002D03DD">
        <w:rPr>
          <w:rFonts w:ascii="Times New Roman" w:hAnsi="Times New Roman"/>
          <w:noProof/>
          <w:sz w:val="24"/>
        </w:rPr>
        <w:t xml:space="preserve"> United States; 2020;</w:t>
      </w:r>
      <w:r w:rsidRPr="002D03DD">
        <w:rPr>
          <w:rFonts w:ascii="Times New Roman" w:hAnsi="Times New Roman"/>
          <w:b/>
          <w:bCs/>
          <w:noProof/>
          <w:sz w:val="24"/>
        </w:rPr>
        <w:t>76</w:t>
      </w:r>
      <w:r w:rsidRPr="002D03DD">
        <w:rPr>
          <w:rFonts w:ascii="Times New Roman" w:hAnsi="Times New Roman"/>
          <w:noProof/>
          <w:sz w:val="24"/>
        </w:rPr>
        <w:t xml:space="preserve">:808–818. </w:t>
      </w:r>
    </w:p>
    <w:p w14:paraId="76302909"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32. </w:t>
      </w:r>
      <w:r w:rsidRPr="002D03DD">
        <w:rPr>
          <w:rFonts w:ascii="Times New Roman" w:hAnsi="Times New Roman"/>
          <w:noProof/>
          <w:sz w:val="24"/>
        </w:rPr>
        <w:tab/>
        <w:t xml:space="preserve">Boggia J, Thijs L, Hansen TW, Li Y, Kikuya M, Björklund-Bodegård K, Richart T, Ohkubo T, Jeppesen J, Torp-Pedersen C, Dolan E, Kuznetsova T, Olszanecka A, Tikhonoff V, Malyutina S, Casiglia E, Nikitin Y, Lind L, Maestre G, Sandoya E, Kawecka-Jaszcz K, Imai Y, Wang J, Ibsen H, O’Brien E, Staessen JA. Ambulatory blood pressure monitoring in 9357 subjects from 11 populations highlights  missed opportunities for cardiovascular prevention in women. </w:t>
      </w:r>
      <w:r w:rsidRPr="002D03DD">
        <w:rPr>
          <w:rFonts w:ascii="Times New Roman" w:hAnsi="Times New Roman"/>
          <w:i/>
          <w:iCs/>
          <w:noProof/>
          <w:sz w:val="24"/>
        </w:rPr>
        <w:t>Hypertens (Dallas, Tex  1979)</w:t>
      </w:r>
      <w:r w:rsidRPr="002D03DD">
        <w:rPr>
          <w:rFonts w:ascii="Times New Roman" w:hAnsi="Times New Roman"/>
          <w:noProof/>
          <w:sz w:val="24"/>
        </w:rPr>
        <w:t xml:space="preserve"> United States; 2011;</w:t>
      </w:r>
      <w:r w:rsidRPr="002D03DD">
        <w:rPr>
          <w:rFonts w:ascii="Times New Roman" w:hAnsi="Times New Roman"/>
          <w:b/>
          <w:bCs/>
          <w:noProof/>
          <w:sz w:val="24"/>
        </w:rPr>
        <w:t>57</w:t>
      </w:r>
      <w:r w:rsidRPr="002D03DD">
        <w:rPr>
          <w:rFonts w:ascii="Times New Roman" w:hAnsi="Times New Roman"/>
          <w:noProof/>
          <w:sz w:val="24"/>
        </w:rPr>
        <w:t xml:space="preserve">:397–405. </w:t>
      </w:r>
    </w:p>
    <w:p w14:paraId="30A337A8"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t xml:space="preserve">33. </w:t>
      </w:r>
      <w:r w:rsidRPr="002D03DD">
        <w:rPr>
          <w:rFonts w:ascii="Times New Roman" w:hAnsi="Times New Roman"/>
          <w:noProof/>
          <w:sz w:val="24"/>
        </w:rPr>
        <w:tab/>
        <w:t xml:space="preserve">Vidal-Petiot E, Ford I, Greenlaw N, Ferrari R, Fox KM, Tardif J-C, Tendera M, Tavazzi L, Bhatt DL, Steg PG. Cardiovascular event rates and mortality according to achieved systolic and  diastolic blood pressure in patients with stable coronary artery disease: an international cohort study. </w:t>
      </w:r>
      <w:r w:rsidRPr="002D03DD">
        <w:rPr>
          <w:rFonts w:ascii="Times New Roman" w:hAnsi="Times New Roman"/>
          <w:i/>
          <w:iCs/>
          <w:noProof/>
          <w:sz w:val="24"/>
        </w:rPr>
        <w:t>Lancet (London, England)</w:t>
      </w:r>
      <w:r w:rsidRPr="002D03DD">
        <w:rPr>
          <w:rFonts w:ascii="Times New Roman" w:hAnsi="Times New Roman"/>
          <w:noProof/>
          <w:sz w:val="24"/>
        </w:rPr>
        <w:t xml:space="preserve"> England; 2016;</w:t>
      </w:r>
      <w:r w:rsidRPr="002D03DD">
        <w:rPr>
          <w:rFonts w:ascii="Times New Roman" w:hAnsi="Times New Roman"/>
          <w:b/>
          <w:bCs/>
          <w:noProof/>
          <w:sz w:val="24"/>
        </w:rPr>
        <w:t>388</w:t>
      </w:r>
      <w:r w:rsidRPr="002D03DD">
        <w:rPr>
          <w:rFonts w:ascii="Times New Roman" w:hAnsi="Times New Roman"/>
          <w:noProof/>
          <w:sz w:val="24"/>
        </w:rPr>
        <w:t xml:space="preserve">:2142–2152. </w:t>
      </w:r>
    </w:p>
    <w:p w14:paraId="009AE567" w14:textId="77777777" w:rsidR="002D03DD" w:rsidRPr="002D03DD" w:rsidRDefault="002D03DD" w:rsidP="002D03DD">
      <w:pPr>
        <w:widowControl w:val="0"/>
        <w:autoSpaceDE w:val="0"/>
        <w:autoSpaceDN w:val="0"/>
        <w:adjustRightInd w:val="0"/>
        <w:spacing w:line="240" w:lineRule="auto"/>
        <w:ind w:left="640" w:hanging="640"/>
        <w:rPr>
          <w:rFonts w:ascii="Times New Roman" w:hAnsi="Times New Roman"/>
          <w:noProof/>
          <w:sz w:val="24"/>
        </w:rPr>
      </w:pPr>
      <w:r w:rsidRPr="002D03DD">
        <w:rPr>
          <w:rFonts w:ascii="Times New Roman" w:hAnsi="Times New Roman"/>
          <w:noProof/>
          <w:sz w:val="24"/>
        </w:rPr>
        <w:lastRenderedPageBreak/>
        <w:t xml:space="preserve">34. </w:t>
      </w:r>
      <w:r w:rsidRPr="002D03DD">
        <w:rPr>
          <w:rFonts w:ascii="Times New Roman" w:hAnsi="Times New Roman"/>
          <w:noProof/>
          <w:sz w:val="24"/>
        </w:rPr>
        <w:tab/>
        <w:t xml:space="preserve">Böhm M, Schumacher H, Teo KK, Lonn EM, Mahfoud F, Mann JFE, Mancia G, Redon J, Schmieder RE, Sliwa K, Weber MA, Williams B, Yusuf S. Achieved blood pressure and cardiovascular outcomes in high-risk patients: results  from ONTARGET and TRANSCEND trials. </w:t>
      </w:r>
      <w:r w:rsidRPr="002D03DD">
        <w:rPr>
          <w:rFonts w:ascii="Times New Roman" w:hAnsi="Times New Roman"/>
          <w:i/>
          <w:iCs/>
          <w:noProof/>
          <w:sz w:val="24"/>
        </w:rPr>
        <w:t>Lancet (London, England)</w:t>
      </w:r>
      <w:r w:rsidRPr="002D03DD">
        <w:rPr>
          <w:rFonts w:ascii="Times New Roman" w:hAnsi="Times New Roman"/>
          <w:noProof/>
          <w:sz w:val="24"/>
        </w:rPr>
        <w:t xml:space="preserve"> England; 2017;</w:t>
      </w:r>
      <w:r w:rsidRPr="002D03DD">
        <w:rPr>
          <w:rFonts w:ascii="Times New Roman" w:hAnsi="Times New Roman"/>
          <w:b/>
          <w:bCs/>
          <w:noProof/>
          <w:sz w:val="24"/>
        </w:rPr>
        <w:t>389</w:t>
      </w:r>
      <w:r w:rsidRPr="002D03DD">
        <w:rPr>
          <w:rFonts w:ascii="Times New Roman" w:hAnsi="Times New Roman"/>
          <w:noProof/>
          <w:sz w:val="24"/>
        </w:rPr>
        <w:t xml:space="preserve">:2226–2237. </w:t>
      </w:r>
    </w:p>
    <w:p w14:paraId="28FCCD44" w14:textId="515F4AD4" w:rsidR="00E8179F" w:rsidRPr="00372862" w:rsidRDefault="00D01335" w:rsidP="002D03DD">
      <w:pPr>
        <w:widowControl w:val="0"/>
        <w:autoSpaceDE w:val="0"/>
        <w:autoSpaceDN w:val="0"/>
        <w:adjustRightInd w:val="0"/>
        <w:spacing w:line="240" w:lineRule="auto"/>
        <w:ind w:left="640" w:hanging="640"/>
        <w:rPr>
          <w:rFonts w:ascii="Times New Roman" w:hAnsi="Times New Roman"/>
          <w:color w:val="000000" w:themeColor="text1"/>
        </w:rPr>
        <w:sectPr w:rsidR="00E8179F" w:rsidRPr="00372862" w:rsidSect="00CC54B9">
          <w:headerReference w:type="even" r:id="rId10"/>
          <w:headerReference w:type="default" r:id="rId11"/>
          <w:footerReference w:type="even" r:id="rId12"/>
          <w:footerReference w:type="default" r:id="rId13"/>
          <w:pgSz w:w="11906" w:h="16838"/>
          <w:pgMar w:top="1440" w:right="1440" w:bottom="1440" w:left="1440" w:header="709" w:footer="709" w:gutter="0"/>
          <w:lnNumType w:countBy="1"/>
          <w:cols w:space="708"/>
          <w:docGrid w:linePitch="360"/>
        </w:sectPr>
      </w:pPr>
      <w:r w:rsidRPr="00D01335">
        <w:rPr>
          <w:rFonts w:ascii="Times New Roman" w:hAnsi="Times New Roman"/>
          <w:sz w:val="24"/>
          <w:szCs w:val="24"/>
        </w:rPr>
        <w:fldChar w:fldCharType="end"/>
      </w:r>
    </w:p>
    <w:p w14:paraId="5EDFB8C0" w14:textId="4E1B8D0A" w:rsidR="009B7D45" w:rsidRPr="00372862" w:rsidRDefault="009B7D45" w:rsidP="00A4582A">
      <w:pPr>
        <w:spacing w:after="0" w:line="240" w:lineRule="auto"/>
        <w:rPr>
          <w:rFonts w:ascii="Times New Roman" w:hAnsi="Times New Roman"/>
          <w:b/>
          <w:bCs/>
          <w:color w:val="000000" w:themeColor="text1"/>
          <w:sz w:val="24"/>
          <w:szCs w:val="24"/>
        </w:rPr>
      </w:pPr>
      <w:r w:rsidRPr="00372862">
        <w:rPr>
          <w:rFonts w:ascii="Times New Roman" w:hAnsi="Times New Roman"/>
          <w:b/>
          <w:bCs/>
          <w:color w:val="000000" w:themeColor="text1"/>
          <w:sz w:val="24"/>
          <w:szCs w:val="24"/>
        </w:rPr>
        <w:lastRenderedPageBreak/>
        <w:t>TABLES</w:t>
      </w:r>
    </w:p>
    <w:p w14:paraId="11FE849D" w14:textId="77777777" w:rsidR="00A4582A" w:rsidRPr="00372862" w:rsidRDefault="00A4582A" w:rsidP="00A4582A">
      <w:pPr>
        <w:spacing w:after="0" w:line="240" w:lineRule="auto"/>
        <w:rPr>
          <w:rFonts w:ascii="Times New Roman" w:hAnsi="Times New Roman"/>
          <w:b/>
          <w:bCs/>
          <w:color w:val="000000" w:themeColor="text1"/>
          <w:sz w:val="24"/>
          <w:szCs w:val="24"/>
        </w:rPr>
      </w:pPr>
    </w:p>
    <w:p w14:paraId="448E7AF1" w14:textId="77777777" w:rsidR="00A4582A" w:rsidRPr="00372862" w:rsidRDefault="00A4582A" w:rsidP="00A4582A">
      <w:pPr>
        <w:spacing w:after="0" w:line="240" w:lineRule="auto"/>
        <w:rPr>
          <w:rFonts w:ascii="Times New Roman" w:hAnsi="Times New Roman"/>
        </w:rPr>
      </w:pPr>
      <w:r w:rsidRPr="00372862">
        <w:rPr>
          <w:rFonts w:ascii="Times New Roman" w:hAnsi="Times New Roman"/>
          <w:b/>
          <w:bCs/>
        </w:rPr>
        <w:t>Table 1</w:t>
      </w:r>
      <w:r w:rsidRPr="00372862">
        <w:rPr>
          <w:rFonts w:ascii="Times New Roman" w:hAnsi="Times New Roman"/>
        </w:rPr>
        <w:t>. Third health check characteristics and incident outcomes of included participants from the European Prospective Investigation in Cancer (EPIC)-Norfolk (unless otherwise stated), stratified by sex.</w:t>
      </w:r>
    </w:p>
    <w:p w14:paraId="290F589B"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 xml:space="preserve"> </w:t>
      </w:r>
    </w:p>
    <w:tbl>
      <w:tblPr>
        <w:tblStyle w:val="TableGrid"/>
        <w:tblW w:w="0" w:type="auto"/>
        <w:tblLook w:val="04A0" w:firstRow="1" w:lastRow="0" w:firstColumn="1" w:lastColumn="0" w:noHBand="0" w:noVBand="1"/>
      </w:tblPr>
      <w:tblGrid>
        <w:gridCol w:w="3823"/>
        <w:gridCol w:w="2126"/>
        <w:gridCol w:w="1984"/>
        <w:gridCol w:w="1083"/>
      </w:tblGrid>
      <w:tr w:rsidR="00A4582A" w:rsidRPr="00372862" w14:paraId="3C59AADF" w14:textId="77777777" w:rsidTr="00372862">
        <w:trPr>
          <w:trHeight w:val="300"/>
        </w:trPr>
        <w:tc>
          <w:tcPr>
            <w:tcW w:w="3823" w:type="dxa"/>
            <w:tcBorders>
              <w:bottom w:val="nil"/>
            </w:tcBorders>
            <w:noWrap/>
            <w:hideMark/>
          </w:tcPr>
          <w:p w14:paraId="4CC6EFC0" w14:textId="77777777" w:rsidR="00A4582A" w:rsidRPr="00372862" w:rsidRDefault="00A4582A" w:rsidP="00A4582A">
            <w:pPr>
              <w:spacing w:after="0" w:line="240" w:lineRule="auto"/>
              <w:rPr>
                <w:rFonts w:ascii="Times New Roman" w:hAnsi="Times New Roman"/>
              </w:rPr>
            </w:pPr>
          </w:p>
        </w:tc>
        <w:tc>
          <w:tcPr>
            <w:tcW w:w="2126" w:type="dxa"/>
            <w:noWrap/>
            <w:vAlign w:val="center"/>
            <w:hideMark/>
          </w:tcPr>
          <w:p w14:paraId="06E8707F" w14:textId="398D1CDE" w:rsidR="00A4582A" w:rsidRPr="00372862" w:rsidRDefault="009445D1" w:rsidP="00A4582A">
            <w:pPr>
              <w:spacing w:after="0" w:line="240" w:lineRule="auto"/>
              <w:jc w:val="center"/>
              <w:rPr>
                <w:rFonts w:ascii="Times New Roman" w:hAnsi="Times New Roman"/>
                <w:b/>
                <w:bCs/>
              </w:rPr>
            </w:pPr>
            <w:r>
              <w:rPr>
                <w:rFonts w:ascii="Times New Roman" w:hAnsi="Times New Roman"/>
                <w:b/>
                <w:bCs/>
              </w:rPr>
              <w:t>Men</w:t>
            </w:r>
          </w:p>
        </w:tc>
        <w:tc>
          <w:tcPr>
            <w:tcW w:w="1984" w:type="dxa"/>
            <w:noWrap/>
            <w:vAlign w:val="center"/>
            <w:hideMark/>
          </w:tcPr>
          <w:p w14:paraId="1E306027" w14:textId="15FC2160" w:rsidR="00A4582A" w:rsidRPr="00372862" w:rsidRDefault="009445D1" w:rsidP="00A4582A">
            <w:pPr>
              <w:spacing w:after="0" w:line="240" w:lineRule="auto"/>
              <w:jc w:val="center"/>
              <w:rPr>
                <w:rFonts w:ascii="Times New Roman" w:hAnsi="Times New Roman"/>
                <w:b/>
                <w:bCs/>
              </w:rPr>
            </w:pPr>
            <w:r>
              <w:rPr>
                <w:rFonts w:ascii="Times New Roman" w:hAnsi="Times New Roman"/>
                <w:b/>
                <w:bCs/>
              </w:rPr>
              <w:t>Women</w:t>
            </w:r>
          </w:p>
        </w:tc>
        <w:tc>
          <w:tcPr>
            <w:tcW w:w="1083" w:type="dxa"/>
            <w:noWrap/>
            <w:vAlign w:val="center"/>
            <w:hideMark/>
          </w:tcPr>
          <w:p w14:paraId="40E56B7E" w14:textId="77777777" w:rsidR="00A4582A" w:rsidRPr="00372862" w:rsidRDefault="00A4582A" w:rsidP="00A4582A">
            <w:pPr>
              <w:spacing w:after="0" w:line="240" w:lineRule="auto"/>
              <w:jc w:val="center"/>
              <w:rPr>
                <w:rFonts w:ascii="Times New Roman" w:hAnsi="Times New Roman"/>
                <w:b/>
                <w:bCs/>
              </w:rPr>
            </w:pPr>
            <w:r w:rsidRPr="00372862">
              <w:rPr>
                <w:rFonts w:ascii="Times New Roman" w:hAnsi="Times New Roman"/>
                <w:b/>
                <w:bCs/>
              </w:rPr>
              <w:t>P value</w:t>
            </w:r>
          </w:p>
        </w:tc>
      </w:tr>
      <w:tr w:rsidR="00A4582A" w:rsidRPr="00372862" w14:paraId="5C401B0C" w14:textId="77777777" w:rsidTr="00372862">
        <w:trPr>
          <w:trHeight w:val="300"/>
        </w:trPr>
        <w:tc>
          <w:tcPr>
            <w:tcW w:w="3823" w:type="dxa"/>
            <w:tcBorders>
              <w:top w:val="nil"/>
              <w:bottom w:val="single" w:sz="4" w:space="0" w:color="auto"/>
            </w:tcBorders>
            <w:noWrap/>
            <w:hideMark/>
          </w:tcPr>
          <w:p w14:paraId="56FD0EA4" w14:textId="77777777" w:rsidR="00A4582A" w:rsidRPr="00372862" w:rsidRDefault="00A4582A" w:rsidP="00A4582A">
            <w:pPr>
              <w:spacing w:after="0" w:line="240" w:lineRule="auto"/>
              <w:rPr>
                <w:rFonts w:ascii="Times New Roman" w:hAnsi="Times New Roman"/>
              </w:rPr>
            </w:pPr>
          </w:p>
        </w:tc>
        <w:tc>
          <w:tcPr>
            <w:tcW w:w="2126" w:type="dxa"/>
            <w:tcBorders>
              <w:bottom w:val="single" w:sz="4" w:space="0" w:color="auto"/>
            </w:tcBorders>
            <w:noWrap/>
            <w:vAlign w:val="center"/>
            <w:hideMark/>
          </w:tcPr>
          <w:p w14:paraId="45279D6B" w14:textId="77777777" w:rsidR="00A4582A" w:rsidRPr="00372862" w:rsidRDefault="00A4582A" w:rsidP="00A4582A">
            <w:pPr>
              <w:spacing w:after="0" w:line="240" w:lineRule="auto"/>
              <w:jc w:val="center"/>
              <w:rPr>
                <w:rFonts w:ascii="Times New Roman" w:hAnsi="Times New Roman"/>
              </w:rPr>
            </w:pPr>
            <w:r w:rsidRPr="00372862">
              <w:rPr>
                <w:rFonts w:ascii="Times New Roman" w:hAnsi="Times New Roman"/>
              </w:rPr>
              <w:t>2897</w:t>
            </w:r>
          </w:p>
        </w:tc>
        <w:tc>
          <w:tcPr>
            <w:tcW w:w="1984" w:type="dxa"/>
            <w:tcBorders>
              <w:bottom w:val="single" w:sz="4" w:space="0" w:color="auto"/>
            </w:tcBorders>
            <w:noWrap/>
            <w:vAlign w:val="center"/>
            <w:hideMark/>
          </w:tcPr>
          <w:p w14:paraId="1BCEE4AB" w14:textId="77777777" w:rsidR="00A4582A" w:rsidRPr="00372862" w:rsidRDefault="00A4582A" w:rsidP="00A4582A">
            <w:pPr>
              <w:spacing w:after="0" w:line="240" w:lineRule="auto"/>
              <w:jc w:val="center"/>
              <w:rPr>
                <w:rFonts w:ascii="Times New Roman" w:hAnsi="Times New Roman"/>
              </w:rPr>
            </w:pPr>
            <w:r w:rsidRPr="00372862">
              <w:rPr>
                <w:rFonts w:ascii="Times New Roman" w:hAnsi="Times New Roman"/>
              </w:rPr>
              <w:t>3819</w:t>
            </w:r>
          </w:p>
        </w:tc>
        <w:tc>
          <w:tcPr>
            <w:tcW w:w="1083" w:type="dxa"/>
            <w:tcBorders>
              <w:bottom w:val="single" w:sz="4" w:space="0" w:color="auto"/>
            </w:tcBorders>
            <w:noWrap/>
            <w:vAlign w:val="center"/>
            <w:hideMark/>
          </w:tcPr>
          <w:p w14:paraId="6B2742F1" w14:textId="77777777" w:rsidR="00A4582A" w:rsidRPr="00372862" w:rsidRDefault="00A4582A" w:rsidP="00A4582A">
            <w:pPr>
              <w:spacing w:after="0" w:line="240" w:lineRule="auto"/>
              <w:jc w:val="center"/>
              <w:rPr>
                <w:rFonts w:ascii="Times New Roman" w:hAnsi="Times New Roman"/>
              </w:rPr>
            </w:pPr>
          </w:p>
        </w:tc>
      </w:tr>
      <w:tr w:rsidR="00A4582A" w:rsidRPr="00372862" w14:paraId="748605EE" w14:textId="77777777" w:rsidTr="00372862">
        <w:trPr>
          <w:trHeight w:val="300"/>
        </w:trPr>
        <w:tc>
          <w:tcPr>
            <w:tcW w:w="3823" w:type="dxa"/>
            <w:tcBorders>
              <w:bottom w:val="nil"/>
            </w:tcBorders>
            <w:noWrap/>
            <w:hideMark/>
          </w:tcPr>
          <w:p w14:paraId="225A932C"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Age, mean (SD)</w:t>
            </w:r>
          </w:p>
        </w:tc>
        <w:tc>
          <w:tcPr>
            <w:tcW w:w="2126" w:type="dxa"/>
            <w:tcBorders>
              <w:bottom w:val="nil"/>
            </w:tcBorders>
            <w:noWrap/>
          </w:tcPr>
          <w:p w14:paraId="07CCC379" w14:textId="77777777" w:rsidR="00A4582A" w:rsidRPr="00372862" w:rsidRDefault="00A4582A" w:rsidP="00A4582A">
            <w:pPr>
              <w:spacing w:after="0" w:line="240" w:lineRule="auto"/>
              <w:rPr>
                <w:rFonts w:ascii="Times New Roman" w:hAnsi="Times New Roman"/>
              </w:rPr>
            </w:pPr>
          </w:p>
        </w:tc>
        <w:tc>
          <w:tcPr>
            <w:tcW w:w="1984" w:type="dxa"/>
            <w:tcBorders>
              <w:bottom w:val="nil"/>
            </w:tcBorders>
            <w:noWrap/>
          </w:tcPr>
          <w:p w14:paraId="5573AD2E" w14:textId="77777777" w:rsidR="00A4582A" w:rsidRPr="00372862" w:rsidRDefault="00A4582A" w:rsidP="00A4582A">
            <w:pPr>
              <w:spacing w:after="0" w:line="240" w:lineRule="auto"/>
              <w:rPr>
                <w:rFonts w:ascii="Times New Roman" w:hAnsi="Times New Roman"/>
              </w:rPr>
            </w:pPr>
          </w:p>
        </w:tc>
        <w:tc>
          <w:tcPr>
            <w:tcW w:w="1083" w:type="dxa"/>
            <w:tcBorders>
              <w:bottom w:val="nil"/>
            </w:tcBorders>
            <w:noWrap/>
            <w:vAlign w:val="center"/>
          </w:tcPr>
          <w:p w14:paraId="51C7AEB4" w14:textId="77777777" w:rsidR="00A4582A" w:rsidRPr="00372862" w:rsidRDefault="00A4582A" w:rsidP="00A4582A">
            <w:pPr>
              <w:spacing w:after="0" w:line="240" w:lineRule="auto"/>
              <w:jc w:val="center"/>
              <w:rPr>
                <w:rFonts w:ascii="Times New Roman" w:hAnsi="Times New Roman"/>
                <w:b/>
                <w:bCs/>
              </w:rPr>
            </w:pPr>
          </w:p>
        </w:tc>
      </w:tr>
      <w:tr w:rsidR="00A4582A" w:rsidRPr="00372862" w14:paraId="29C186F3" w14:textId="77777777" w:rsidTr="00372862">
        <w:trPr>
          <w:trHeight w:val="300"/>
        </w:trPr>
        <w:tc>
          <w:tcPr>
            <w:tcW w:w="3823" w:type="dxa"/>
            <w:tcBorders>
              <w:top w:val="nil"/>
              <w:bottom w:val="nil"/>
            </w:tcBorders>
            <w:noWrap/>
            <w:tcMar>
              <w:left w:w="227" w:type="dxa"/>
            </w:tcMar>
          </w:tcPr>
          <w:p w14:paraId="549E73CB"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1</w:t>
            </w:r>
            <w:r w:rsidRPr="00372862">
              <w:rPr>
                <w:rFonts w:ascii="Times New Roman" w:hAnsi="Times New Roman"/>
                <w:vertAlign w:val="superscript"/>
              </w:rPr>
              <w:t>st</w:t>
            </w:r>
            <w:r w:rsidRPr="00372862">
              <w:rPr>
                <w:rFonts w:ascii="Times New Roman" w:hAnsi="Times New Roman"/>
              </w:rPr>
              <w:t xml:space="preserve"> Health Check </w:t>
            </w:r>
          </w:p>
          <w:p w14:paraId="5DCD2828" w14:textId="77777777" w:rsidR="00A4582A" w:rsidRPr="00372862" w:rsidRDefault="00A4582A" w:rsidP="00A4582A">
            <w:pPr>
              <w:spacing w:after="0" w:line="240" w:lineRule="auto"/>
              <w:rPr>
                <w:rFonts w:ascii="Times New Roman" w:hAnsi="Times New Roman"/>
              </w:rPr>
            </w:pPr>
            <w:r w:rsidRPr="00372862">
              <w:rPr>
                <w:rFonts w:ascii="Times New Roman" w:hAnsi="Times New Roman"/>
                <w:i/>
                <w:iCs/>
                <w:sz w:val="21"/>
                <w:szCs w:val="21"/>
              </w:rPr>
              <w:t>(1993-1998)</w:t>
            </w:r>
          </w:p>
        </w:tc>
        <w:tc>
          <w:tcPr>
            <w:tcW w:w="2126" w:type="dxa"/>
            <w:tcBorders>
              <w:top w:val="nil"/>
              <w:bottom w:val="nil"/>
            </w:tcBorders>
            <w:noWrap/>
            <w:vAlign w:val="bottom"/>
          </w:tcPr>
          <w:p w14:paraId="228A7893"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57.13 (8.02)</w:t>
            </w:r>
          </w:p>
        </w:tc>
        <w:tc>
          <w:tcPr>
            <w:tcW w:w="1984" w:type="dxa"/>
            <w:tcBorders>
              <w:top w:val="nil"/>
              <w:bottom w:val="nil"/>
            </w:tcBorders>
            <w:noWrap/>
            <w:vAlign w:val="bottom"/>
          </w:tcPr>
          <w:p w14:paraId="3540646A"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55.54 (7.81)</w:t>
            </w:r>
          </w:p>
        </w:tc>
        <w:tc>
          <w:tcPr>
            <w:tcW w:w="1083" w:type="dxa"/>
            <w:tcBorders>
              <w:top w:val="nil"/>
              <w:bottom w:val="nil"/>
            </w:tcBorders>
            <w:noWrap/>
            <w:vAlign w:val="bottom"/>
          </w:tcPr>
          <w:p w14:paraId="0258F527" w14:textId="77777777" w:rsidR="00A4582A" w:rsidRPr="00372862" w:rsidRDefault="00A4582A" w:rsidP="00A4582A">
            <w:pPr>
              <w:spacing w:after="0" w:line="240" w:lineRule="auto"/>
              <w:jc w:val="center"/>
              <w:rPr>
                <w:rFonts w:ascii="Times New Roman" w:hAnsi="Times New Roman"/>
                <w:b/>
                <w:bCs/>
              </w:rPr>
            </w:pPr>
            <w:r w:rsidRPr="00372862">
              <w:rPr>
                <w:rFonts w:ascii="Times New Roman" w:hAnsi="Times New Roman"/>
                <w:b/>
                <w:bCs/>
              </w:rPr>
              <w:t>&lt;0.001</w:t>
            </w:r>
          </w:p>
        </w:tc>
      </w:tr>
      <w:tr w:rsidR="00A4582A" w:rsidRPr="00372862" w14:paraId="1B87E3CD" w14:textId="77777777" w:rsidTr="00372862">
        <w:trPr>
          <w:trHeight w:val="300"/>
        </w:trPr>
        <w:tc>
          <w:tcPr>
            <w:tcW w:w="3823" w:type="dxa"/>
            <w:tcBorders>
              <w:top w:val="nil"/>
              <w:bottom w:val="nil"/>
            </w:tcBorders>
            <w:noWrap/>
            <w:tcMar>
              <w:left w:w="227" w:type="dxa"/>
            </w:tcMar>
          </w:tcPr>
          <w:p w14:paraId="0062F173"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2</w:t>
            </w:r>
            <w:r w:rsidRPr="00372862">
              <w:rPr>
                <w:rFonts w:ascii="Times New Roman" w:hAnsi="Times New Roman"/>
                <w:vertAlign w:val="superscript"/>
              </w:rPr>
              <w:t>nd</w:t>
            </w:r>
            <w:r w:rsidRPr="00372862">
              <w:rPr>
                <w:rFonts w:ascii="Times New Roman" w:hAnsi="Times New Roman"/>
              </w:rPr>
              <w:t xml:space="preserve"> Health Check </w:t>
            </w:r>
          </w:p>
          <w:p w14:paraId="6ED572BC" w14:textId="77777777" w:rsidR="00A4582A" w:rsidRPr="00372862" w:rsidRDefault="00A4582A" w:rsidP="00A4582A">
            <w:pPr>
              <w:spacing w:after="0" w:line="240" w:lineRule="auto"/>
              <w:rPr>
                <w:rFonts w:ascii="Times New Roman" w:hAnsi="Times New Roman"/>
              </w:rPr>
            </w:pPr>
            <w:r w:rsidRPr="00372862">
              <w:rPr>
                <w:rFonts w:ascii="Times New Roman" w:hAnsi="Times New Roman"/>
                <w:i/>
                <w:iCs/>
                <w:sz w:val="21"/>
                <w:szCs w:val="21"/>
              </w:rPr>
              <w:t>(1998-2000)</w:t>
            </w:r>
          </w:p>
        </w:tc>
        <w:tc>
          <w:tcPr>
            <w:tcW w:w="2126" w:type="dxa"/>
            <w:tcBorders>
              <w:top w:val="nil"/>
              <w:bottom w:val="nil"/>
            </w:tcBorders>
            <w:noWrap/>
            <w:vAlign w:val="bottom"/>
          </w:tcPr>
          <w:p w14:paraId="0D9F8BB7"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60.75 (8.07)</w:t>
            </w:r>
          </w:p>
        </w:tc>
        <w:tc>
          <w:tcPr>
            <w:tcW w:w="1984" w:type="dxa"/>
            <w:tcBorders>
              <w:top w:val="nil"/>
              <w:bottom w:val="nil"/>
            </w:tcBorders>
            <w:noWrap/>
            <w:vAlign w:val="bottom"/>
          </w:tcPr>
          <w:p w14:paraId="3CBF9F42"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59.15 (7.87)</w:t>
            </w:r>
          </w:p>
        </w:tc>
        <w:tc>
          <w:tcPr>
            <w:tcW w:w="1083" w:type="dxa"/>
            <w:tcBorders>
              <w:top w:val="nil"/>
              <w:bottom w:val="nil"/>
            </w:tcBorders>
            <w:noWrap/>
            <w:vAlign w:val="bottom"/>
          </w:tcPr>
          <w:p w14:paraId="1E4D6E29" w14:textId="77777777" w:rsidR="00A4582A" w:rsidRPr="00372862" w:rsidRDefault="00A4582A" w:rsidP="00A4582A">
            <w:pPr>
              <w:spacing w:after="0" w:line="240" w:lineRule="auto"/>
              <w:jc w:val="center"/>
              <w:rPr>
                <w:rFonts w:ascii="Times New Roman" w:hAnsi="Times New Roman"/>
                <w:b/>
                <w:bCs/>
              </w:rPr>
            </w:pPr>
            <w:r w:rsidRPr="00372862">
              <w:rPr>
                <w:rFonts w:ascii="Times New Roman" w:hAnsi="Times New Roman"/>
                <w:b/>
                <w:bCs/>
              </w:rPr>
              <w:t>&lt;0.001</w:t>
            </w:r>
          </w:p>
        </w:tc>
      </w:tr>
      <w:tr w:rsidR="00A4582A" w:rsidRPr="00372862" w14:paraId="204D0BB3" w14:textId="77777777" w:rsidTr="00372862">
        <w:trPr>
          <w:trHeight w:val="300"/>
        </w:trPr>
        <w:tc>
          <w:tcPr>
            <w:tcW w:w="3823" w:type="dxa"/>
            <w:tcBorders>
              <w:top w:val="nil"/>
              <w:bottom w:val="single" w:sz="4" w:space="0" w:color="auto"/>
            </w:tcBorders>
            <w:noWrap/>
            <w:tcMar>
              <w:left w:w="227" w:type="dxa"/>
            </w:tcMar>
          </w:tcPr>
          <w:p w14:paraId="473AFF32"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3</w:t>
            </w:r>
            <w:r w:rsidRPr="00372862">
              <w:rPr>
                <w:rFonts w:ascii="Times New Roman" w:hAnsi="Times New Roman"/>
                <w:vertAlign w:val="superscript"/>
              </w:rPr>
              <w:t>rd</w:t>
            </w:r>
            <w:r w:rsidRPr="00372862">
              <w:rPr>
                <w:rFonts w:ascii="Times New Roman" w:hAnsi="Times New Roman"/>
              </w:rPr>
              <w:t xml:space="preserve"> Health Check </w:t>
            </w:r>
          </w:p>
          <w:p w14:paraId="3D5D0532" w14:textId="77777777" w:rsidR="00A4582A" w:rsidRPr="00372862" w:rsidRDefault="00A4582A" w:rsidP="00A4582A">
            <w:pPr>
              <w:spacing w:after="0" w:line="240" w:lineRule="auto"/>
              <w:rPr>
                <w:rFonts w:ascii="Times New Roman" w:hAnsi="Times New Roman"/>
              </w:rPr>
            </w:pPr>
            <w:r w:rsidRPr="00372862">
              <w:rPr>
                <w:rFonts w:ascii="Times New Roman" w:hAnsi="Times New Roman"/>
                <w:i/>
                <w:iCs/>
                <w:sz w:val="21"/>
                <w:szCs w:val="21"/>
              </w:rPr>
              <w:t>(2004-2012)</w:t>
            </w:r>
          </w:p>
        </w:tc>
        <w:tc>
          <w:tcPr>
            <w:tcW w:w="2126" w:type="dxa"/>
            <w:tcBorders>
              <w:top w:val="nil"/>
              <w:bottom w:val="single" w:sz="4" w:space="0" w:color="auto"/>
            </w:tcBorders>
            <w:noWrap/>
            <w:vAlign w:val="center"/>
          </w:tcPr>
          <w:p w14:paraId="349D1573"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70.07 (8.25)</w:t>
            </w:r>
          </w:p>
        </w:tc>
        <w:tc>
          <w:tcPr>
            <w:tcW w:w="1984" w:type="dxa"/>
            <w:tcBorders>
              <w:top w:val="nil"/>
              <w:bottom w:val="single" w:sz="4" w:space="0" w:color="auto"/>
            </w:tcBorders>
            <w:noWrap/>
            <w:vAlign w:val="center"/>
          </w:tcPr>
          <w:p w14:paraId="094C9ECB"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68.47 (8.05)</w:t>
            </w:r>
          </w:p>
        </w:tc>
        <w:tc>
          <w:tcPr>
            <w:tcW w:w="1083" w:type="dxa"/>
            <w:tcBorders>
              <w:top w:val="nil"/>
              <w:bottom w:val="single" w:sz="4" w:space="0" w:color="auto"/>
            </w:tcBorders>
            <w:noWrap/>
            <w:vAlign w:val="center"/>
          </w:tcPr>
          <w:p w14:paraId="5B748632" w14:textId="77777777" w:rsidR="00A4582A" w:rsidRPr="00372862" w:rsidRDefault="00A4582A" w:rsidP="00A4582A">
            <w:pPr>
              <w:spacing w:after="0" w:line="240" w:lineRule="auto"/>
              <w:jc w:val="center"/>
              <w:rPr>
                <w:rFonts w:ascii="Times New Roman" w:hAnsi="Times New Roman"/>
                <w:b/>
                <w:bCs/>
              </w:rPr>
            </w:pPr>
            <w:r w:rsidRPr="00372862">
              <w:rPr>
                <w:rFonts w:ascii="Times New Roman" w:hAnsi="Times New Roman"/>
                <w:b/>
                <w:bCs/>
              </w:rPr>
              <w:t>&lt;0.001</w:t>
            </w:r>
          </w:p>
        </w:tc>
      </w:tr>
      <w:tr w:rsidR="00A4582A" w:rsidRPr="00372862" w14:paraId="291D1CD2" w14:textId="77777777" w:rsidTr="00372862">
        <w:trPr>
          <w:trHeight w:val="300"/>
        </w:trPr>
        <w:tc>
          <w:tcPr>
            <w:tcW w:w="3823" w:type="dxa"/>
            <w:tcBorders>
              <w:bottom w:val="nil"/>
            </w:tcBorders>
            <w:noWrap/>
          </w:tcPr>
          <w:p w14:paraId="46C69C35"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Ethnicity, N (%)</w:t>
            </w:r>
          </w:p>
        </w:tc>
        <w:tc>
          <w:tcPr>
            <w:tcW w:w="2126" w:type="dxa"/>
            <w:tcBorders>
              <w:bottom w:val="nil"/>
            </w:tcBorders>
            <w:noWrap/>
          </w:tcPr>
          <w:p w14:paraId="4C637059" w14:textId="77777777" w:rsidR="00A4582A" w:rsidRPr="00372862" w:rsidRDefault="00A4582A" w:rsidP="00A4582A">
            <w:pPr>
              <w:spacing w:after="0" w:line="240" w:lineRule="auto"/>
              <w:rPr>
                <w:rFonts w:ascii="Times New Roman" w:hAnsi="Times New Roman"/>
              </w:rPr>
            </w:pPr>
          </w:p>
        </w:tc>
        <w:tc>
          <w:tcPr>
            <w:tcW w:w="1984" w:type="dxa"/>
            <w:tcBorders>
              <w:bottom w:val="nil"/>
            </w:tcBorders>
            <w:noWrap/>
          </w:tcPr>
          <w:p w14:paraId="1DD9F108" w14:textId="77777777" w:rsidR="00A4582A" w:rsidRPr="00372862" w:rsidRDefault="00A4582A" w:rsidP="00A4582A">
            <w:pPr>
              <w:spacing w:after="0" w:line="240" w:lineRule="auto"/>
              <w:rPr>
                <w:rFonts w:ascii="Times New Roman" w:hAnsi="Times New Roman"/>
              </w:rPr>
            </w:pPr>
          </w:p>
        </w:tc>
        <w:tc>
          <w:tcPr>
            <w:tcW w:w="1083" w:type="dxa"/>
            <w:tcBorders>
              <w:bottom w:val="nil"/>
            </w:tcBorders>
            <w:noWrap/>
            <w:vAlign w:val="center"/>
          </w:tcPr>
          <w:p w14:paraId="4D008C8F" w14:textId="6B37B1AD" w:rsidR="00A4582A" w:rsidRPr="00372862" w:rsidRDefault="00A4582A" w:rsidP="00A4582A">
            <w:pPr>
              <w:spacing w:after="0" w:line="240" w:lineRule="auto"/>
              <w:jc w:val="center"/>
              <w:rPr>
                <w:rFonts w:ascii="Times New Roman" w:hAnsi="Times New Roman"/>
              </w:rPr>
            </w:pPr>
            <w:r w:rsidRPr="00372862">
              <w:rPr>
                <w:rFonts w:ascii="Times New Roman" w:hAnsi="Times New Roman"/>
              </w:rPr>
              <w:t>0.</w:t>
            </w:r>
            <w:r w:rsidR="00D92DDA">
              <w:rPr>
                <w:rFonts w:ascii="Times New Roman" w:hAnsi="Times New Roman"/>
              </w:rPr>
              <w:t>359</w:t>
            </w:r>
          </w:p>
        </w:tc>
      </w:tr>
      <w:tr w:rsidR="00A4582A" w:rsidRPr="00372862" w14:paraId="23C420B7" w14:textId="77777777" w:rsidTr="00372862">
        <w:trPr>
          <w:trHeight w:val="300"/>
        </w:trPr>
        <w:tc>
          <w:tcPr>
            <w:tcW w:w="3823" w:type="dxa"/>
            <w:tcBorders>
              <w:top w:val="nil"/>
              <w:bottom w:val="nil"/>
            </w:tcBorders>
            <w:noWrap/>
            <w:tcMar>
              <w:left w:w="227" w:type="dxa"/>
            </w:tcMar>
          </w:tcPr>
          <w:p w14:paraId="5CE77A15"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White</w:t>
            </w:r>
          </w:p>
        </w:tc>
        <w:tc>
          <w:tcPr>
            <w:tcW w:w="2126" w:type="dxa"/>
            <w:tcBorders>
              <w:top w:val="nil"/>
              <w:bottom w:val="nil"/>
            </w:tcBorders>
            <w:noWrap/>
          </w:tcPr>
          <w:p w14:paraId="374350A5"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2883 (99.52)</w:t>
            </w:r>
          </w:p>
        </w:tc>
        <w:tc>
          <w:tcPr>
            <w:tcW w:w="1984" w:type="dxa"/>
            <w:tcBorders>
              <w:top w:val="nil"/>
              <w:bottom w:val="nil"/>
            </w:tcBorders>
            <w:noWrap/>
          </w:tcPr>
          <w:p w14:paraId="2C799BB1"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3810 (99.764)</w:t>
            </w:r>
          </w:p>
        </w:tc>
        <w:tc>
          <w:tcPr>
            <w:tcW w:w="1083" w:type="dxa"/>
            <w:tcBorders>
              <w:top w:val="nil"/>
              <w:bottom w:val="nil"/>
            </w:tcBorders>
            <w:noWrap/>
            <w:vAlign w:val="center"/>
          </w:tcPr>
          <w:p w14:paraId="50568F4B" w14:textId="77777777" w:rsidR="00A4582A" w:rsidRPr="00372862" w:rsidRDefault="00A4582A" w:rsidP="00A4582A">
            <w:pPr>
              <w:spacing w:after="0" w:line="240" w:lineRule="auto"/>
              <w:jc w:val="center"/>
              <w:rPr>
                <w:rFonts w:ascii="Times New Roman" w:hAnsi="Times New Roman"/>
              </w:rPr>
            </w:pPr>
          </w:p>
        </w:tc>
      </w:tr>
      <w:tr w:rsidR="00A4582A" w:rsidRPr="00372862" w14:paraId="4AD86131" w14:textId="77777777" w:rsidTr="00372862">
        <w:trPr>
          <w:trHeight w:val="300"/>
        </w:trPr>
        <w:tc>
          <w:tcPr>
            <w:tcW w:w="3823" w:type="dxa"/>
            <w:tcBorders>
              <w:top w:val="nil"/>
              <w:bottom w:val="nil"/>
            </w:tcBorders>
            <w:noWrap/>
            <w:tcMar>
              <w:left w:w="227" w:type="dxa"/>
            </w:tcMar>
          </w:tcPr>
          <w:p w14:paraId="3627D89C" w14:textId="78BFACE7" w:rsidR="00A4582A" w:rsidRPr="00372862" w:rsidRDefault="00A4582A" w:rsidP="00A4582A">
            <w:pPr>
              <w:spacing w:after="0" w:line="240" w:lineRule="auto"/>
              <w:rPr>
                <w:rFonts w:ascii="Times New Roman" w:hAnsi="Times New Roman"/>
              </w:rPr>
            </w:pPr>
            <w:r w:rsidRPr="00372862">
              <w:rPr>
                <w:rFonts w:ascii="Times New Roman" w:hAnsi="Times New Roman"/>
              </w:rPr>
              <w:t>Black</w:t>
            </w:r>
          </w:p>
        </w:tc>
        <w:tc>
          <w:tcPr>
            <w:tcW w:w="2126" w:type="dxa"/>
            <w:tcBorders>
              <w:top w:val="nil"/>
              <w:bottom w:val="nil"/>
            </w:tcBorders>
            <w:noWrap/>
          </w:tcPr>
          <w:p w14:paraId="31ADA121" w14:textId="2FD5EE3D" w:rsidR="00A4582A" w:rsidRPr="00372862" w:rsidRDefault="00186E7E" w:rsidP="00A4582A">
            <w:pPr>
              <w:spacing w:after="0" w:line="240" w:lineRule="auto"/>
              <w:rPr>
                <w:rFonts w:ascii="Times New Roman" w:hAnsi="Times New Roman"/>
              </w:rPr>
            </w:pPr>
            <w:r>
              <w:rPr>
                <w:rFonts w:ascii="Times New Roman" w:hAnsi="Times New Roman"/>
              </w:rPr>
              <w:t>2 (0.07)</w:t>
            </w:r>
          </w:p>
        </w:tc>
        <w:tc>
          <w:tcPr>
            <w:tcW w:w="1984" w:type="dxa"/>
            <w:tcBorders>
              <w:top w:val="nil"/>
              <w:bottom w:val="nil"/>
            </w:tcBorders>
            <w:noWrap/>
          </w:tcPr>
          <w:p w14:paraId="6D0B3B43"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2 (0.05)</w:t>
            </w:r>
          </w:p>
        </w:tc>
        <w:tc>
          <w:tcPr>
            <w:tcW w:w="1083" w:type="dxa"/>
            <w:tcBorders>
              <w:top w:val="nil"/>
              <w:bottom w:val="nil"/>
            </w:tcBorders>
            <w:noWrap/>
            <w:vAlign w:val="center"/>
          </w:tcPr>
          <w:p w14:paraId="62ED7618" w14:textId="77777777" w:rsidR="00A4582A" w:rsidRPr="00372862" w:rsidRDefault="00A4582A" w:rsidP="00A4582A">
            <w:pPr>
              <w:spacing w:after="0" w:line="240" w:lineRule="auto"/>
              <w:jc w:val="center"/>
              <w:rPr>
                <w:rFonts w:ascii="Times New Roman" w:hAnsi="Times New Roman"/>
              </w:rPr>
            </w:pPr>
          </w:p>
        </w:tc>
      </w:tr>
      <w:tr w:rsidR="00186E7E" w:rsidRPr="00372862" w14:paraId="5BA7929F" w14:textId="77777777" w:rsidTr="00372862">
        <w:trPr>
          <w:trHeight w:val="300"/>
        </w:trPr>
        <w:tc>
          <w:tcPr>
            <w:tcW w:w="3823" w:type="dxa"/>
            <w:tcBorders>
              <w:top w:val="nil"/>
              <w:bottom w:val="nil"/>
            </w:tcBorders>
            <w:noWrap/>
            <w:tcMar>
              <w:left w:w="227" w:type="dxa"/>
            </w:tcMar>
          </w:tcPr>
          <w:p w14:paraId="6A1572E9" w14:textId="583F678D" w:rsidR="00186E7E" w:rsidRPr="00372862" w:rsidRDefault="00186E7E" w:rsidP="00186E7E">
            <w:pPr>
              <w:spacing w:after="0" w:line="240" w:lineRule="auto"/>
              <w:rPr>
                <w:rFonts w:ascii="Times New Roman" w:hAnsi="Times New Roman"/>
              </w:rPr>
            </w:pPr>
            <w:r>
              <w:rPr>
                <w:rFonts w:ascii="Times New Roman" w:hAnsi="Times New Roman"/>
              </w:rPr>
              <w:t>South Asian</w:t>
            </w:r>
          </w:p>
        </w:tc>
        <w:tc>
          <w:tcPr>
            <w:tcW w:w="2126" w:type="dxa"/>
            <w:tcBorders>
              <w:top w:val="nil"/>
              <w:bottom w:val="nil"/>
            </w:tcBorders>
            <w:noWrap/>
          </w:tcPr>
          <w:p w14:paraId="53E633E1" w14:textId="338A61A9" w:rsidR="00186E7E" w:rsidRPr="00372862" w:rsidRDefault="00186E7E" w:rsidP="00186E7E">
            <w:pPr>
              <w:spacing w:after="0" w:line="240" w:lineRule="auto"/>
              <w:rPr>
                <w:rFonts w:ascii="Times New Roman" w:hAnsi="Times New Roman"/>
              </w:rPr>
            </w:pPr>
            <w:r>
              <w:rPr>
                <w:rFonts w:ascii="Times New Roman" w:hAnsi="Times New Roman"/>
              </w:rPr>
              <w:t>3 (0.10)</w:t>
            </w:r>
          </w:p>
        </w:tc>
        <w:tc>
          <w:tcPr>
            <w:tcW w:w="1984" w:type="dxa"/>
            <w:tcBorders>
              <w:top w:val="nil"/>
              <w:bottom w:val="nil"/>
            </w:tcBorders>
            <w:noWrap/>
          </w:tcPr>
          <w:p w14:paraId="41611368" w14:textId="79AEFE0E" w:rsidR="00186E7E" w:rsidRPr="00372862" w:rsidRDefault="00186E7E" w:rsidP="00186E7E">
            <w:pPr>
              <w:spacing w:after="0" w:line="240" w:lineRule="auto"/>
              <w:rPr>
                <w:rFonts w:ascii="Times New Roman" w:hAnsi="Times New Roman"/>
              </w:rPr>
            </w:pPr>
            <w:r w:rsidRPr="00372862">
              <w:rPr>
                <w:rFonts w:ascii="Times New Roman" w:hAnsi="Times New Roman"/>
              </w:rPr>
              <w:t>2 (0.05)</w:t>
            </w:r>
          </w:p>
        </w:tc>
        <w:tc>
          <w:tcPr>
            <w:tcW w:w="1083" w:type="dxa"/>
            <w:tcBorders>
              <w:top w:val="nil"/>
              <w:bottom w:val="nil"/>
            </w:tcBorders>
            <w:noWrap/>
            <w:vAlign w:val="center"/>
          </w:tcPr>
          <w:p w14:paraId="4432605C" w14:textId="77777777" w:rsidR="00186E7E" w:rsidRPr="00372862" w:rsidRDefault="00186E7E" w:rsidP="00186E7E">
            <w:pPr>
              <w:spacing w:after="0" w:line="240" w:lineRule="auto"/>
              <w:jc w:val="center"/>
              <w:rPr>
                <w:rFonts w:ascii="Times New Roman" w:hAnsi="Times New Roman"/>
              </w:rPr>
            </w:pPr>
          </w:p>
        </w:tc>
      </w:tr>
      <w:tr w:rsidR="00186E7E" w:rsidRPr="00372862" w14:paraId="704341DA" w14:textId="77777777" w:rsidTr="00372862">
        <w:trPr>
          <w:trHeight w:val="300"/>
        </w:trPr>
        <w:tc>
          <w:tcPr>
            <w:tcW w:w="3823" w:type="dxa"/>
            <w:tcBorders>
              <w:top w:val="nil"/>
              <w:bottom w:val="nil"/>
            </w:tcBorders>
            <w:noWrap/>
            <w:tcMar>
              <w:left w:w="227" w:type="dxa"/>
            </w:tcMar>
          </w:tcPr>
          <w:p w14:paraId="46B0B880" w14:textId="73433A0F" w:rsidR="00186E7E" w:rsidRPr="00372862" w:rsidRDefault="00186E7E" w:rsidP="00186E7E">
            <w:pPr>
              <w:spacing w:after="0" w:line="240" w:lineRule="auto"/>
              <w:rPr>
                <w:rFonts w:ascii="Times New Roman" w:hAnsi="Times New Roman"/>
              </w:rPr>
            </w:pPr>
            <w:r>
              <w:rPr>
                <w:rFonts w:ascii="Times New Roman" w:hAnsi="Times New Roman"/>
              </w:rPr>
              <w:t>Other</w:t>
            </w:r>
          </w:p>
        </w:tc>
        <w:tc>
          <w:tcPr>
            <w:tcW w:w="2126" w:type="dxa"/>
            <w:tcBorders>
              <w:top w:val="nil"/>
              <w:bottom w:val="nil"/>
            </w:tcBorders>
            <w:noWrap/>
          </w:tcPr>
          <w:p w14:paraId="04A2DF12" w14:textId="341FFE97" w:rsidR="00186E7E" w:rsidRPr="00372862" w:rsidRDefault="00186E7E" w:rsidP="00186E7E">
            <w:pPr>
              <w:spacing w:after="0" w:line="240" w:lineRule="auto"/>
              <w:rPr>
                <w:rFonts w:ascii="Times New Roman" w:hAnsi="Times New Roman"/>
              </w:rPr>
            </w:pPr>
            <w:r>
              <w:rPr>
                <w:rFonts w:ascii="Times New Roman" w:hAnsi="Times New Roman"/>
              </w:rPr>
              <w:t>9 (0.31)</w:t>
            </w:r>
          </w:p>
        </w:tc>
        <w:tc>
          <w:tcPr>
            <w:tcW w:w="1984" w:type="dxa"/>
            <w:tcBorders>
              <w:top w:val="nil"/>
              <w:bottom w:val="nil"/>
            </w:tcBorders>
            <w:noWrap/>
          </w:tcPr>
          <w:p w14:paraId="77545D79" w14:textId="74BB2806" w:rsidR="00186E7E" w:rsidRPr="00372862" w:rsidRDefault="00186E7E" w:rsidP="00186E7E">
            <w:pPr>
              <w:spacing w:after="0" w:line="240" w:lineRule="auto"/>
              <w:rPr>
                <w:rFonts w:ascii="Times New Roman" w:hAnsi="Times New Roman"/>
              </w:rPr>
            </w:pPr>
            <w:r>
              <w:rPr>
                <w:rFonts w:ascii="Times New Roman" w:hAnsi="Times New Roman"/>
              </w:rPr>
              <w:t>5</w:t>
            </w:r>
            <w:r w:rsidRPr="00372862">
              <w:rPr>
                <w:rFonts w:ascii="Times New Roman" w:hAnsi="Times New Roman"/>
              </w:rPr>
              <w:t xml:space="preserve"> (0.</w:t>
            </w:r>
            <w:r>
              <w:rPr>
                <w:rFonts w:ascii="Times New Roman" w:hAnsi="Times New Roman"/>
              </w:rPr>
              <w:t>1</w:t>
            </w:r>
            <w:r w:rsidRPr="00372862">
              <w:rPr>
                <w:rFonts w:ascii="Times New Roman" w:hAnsi="Times New Roman"/>
              </w:rPr>
              <w:t>3)</w:t>
            </w:r>
          </w:p>
        </w:tc>
        <w:tc>
          <w:tcPr>
            <w:tcW w:w="1083" w:type="dxa"/>
            <w:tcBorders>
              <w:top w:val="nil"/>
              <w:bottom w:val="nil"/>
            </w:tcBorders>
            <w:noWrap/>
            <w:vAlign w:val="center"/>
          </w:tcPr>
          <w:p w14:paraId="7A92E40A" w14:textId="77777777" w:rsidR="00186E7E" w:rsidRPr="00372862" w:rsidRDefault="00186E7E" w:rsidP="00186E7E">
            <w:pPr>
              <w:spacing w:after="0" w:line="240" w:lineRule="auto"/>
              <w:jc w:val="center"/>
              <w:rPr>
                <w:rFonts w:ascii="Times New Roman" w:hAnsi="Times New Roman"/>
              </w:rPr>
            </w:pPr>
          </w:p>
        </w:tc>
      </w:tr>
      <w:tr w:rsidR="00186E7E" w:rsidRPr="00372862" w14:paraId="5CCD1992" w14:textId="77777777" w:rsidTr="00372862">
        <w:trPr>
          <w:trHeight w:val="300"/>
        </w:trPr>
        <w:tc>
          <w:tcPr>
            <w:tcW w:w="3823" w:type="dxa"/>
            <w:tcBorders>
              <w:bottom w:val="nil"/>
            </w:tcBorders>
            <w:noWrap/>
            <w:hideMark/>
          </w:tcPr>
          <w:p w14:paraId="5EACB65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Weight (kg), mean (SD)</w:t>
            </w:r>
          </w:p>
        </w:tc>
        <w:tc>
          <w:tcPr>
            <w:tcW w:w="2126" w:type="dxa"/>
            <w:tcBorders>
              <w:bottom w:val="nil"/>
            </w:tcBorders>
            <w:noWrap/>
            <w:hideMark/>
          </w:tcPr>
          <w:p w14:paraId="22DB5290"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81.19 (12.04)</w:t>
            </w:r>
          </w:p>
        </w:tc>
        <w:tc>
          <w:tcPr>
            <w:tcW w:w="1984" w:type="dxa"/>
            <w:tcBorders>
              <w:bottom w:val="nil"/>
            </w:tcBorders>
            <w:noWrap/>
            <w:hideMark/>
          </w:tcPr>
          <w:p w14:paraId="52FB31EF"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68.08 (12.44)</w:t>
            </w:r>
          </w:p>
        </w:tc>
        <w:tc>
          <w:tcPr>
            <w:tcW w:w="1083" w:type="dxa"/>
            <w:tcBorders>
              <w:bottom w:val="nil"/>
            </w:tcBorders>
            <w:noWrap/>
            <w:vAlign w:val="center"/>
            <w:hideMark/>
          </w:tcPr>
          <w:p w14:paraId="09B76C94"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2B4AC0FD" w14:textId="77777777" w:rsidTr="00372862">
        <w:trPr>
          <w:trHeight w:val="300"/>
        </w:trPr>
        <w:tc>
          <w:tcPr>
            <w:tcW w:w="3823" w:type="dxa"/>
            <w:tcBorders>
              <w:top w:val="nil"/>
              <w:bottom w:val="nil"/>
            </w:tcBorders>
            <w:noWrap/>
            <w:hideMark/>
          </w:tcPr>
          <w:p w14:paraId="435ACB88"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Height (cm), mean (SD)</w:t>
            </w:r>
          </w:p>
        </w:tc>
        <w:tc>
          <w:tcPr>
            <w:tcW w:w="2126" w:type="dxa"/>
            <w:tcBorders>
              <w:top w:val="nil"/>
              <w:bottom w:val="nil"/>
            </w:tcBorders>
            <w:noWrap/>
            <w:hideMark/>
          </w:tcPr>
          <w:p w14:paraId="0D3F03EA"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173.50 (6.58)</w:t>
            </w:r>
          </w:p>
        </w:tc>
        <w:tc>
          <w:tcPr>
            <w:tcW w:w="1984" w:type="dxa"/>
            <w:tcBorders>
              <w:top w:val="nil"/>
              <w:bottom w:val="nil"/>
            </w:tcBorders>
            <w:noWrap/>
            <w:hideMark/>
          </w:tcPr>
          <w:p w14:paraId="4585E3E0"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160.54 (6.18)</w:t>
            </w:r>
          </w:p>
        </w:tc>
        <w:tc>
          <w:tcPr>
            <w:tcW w:w="1083" w:type="dxa"/>
            <w:tcBorders>
              <w:top w:val="nil"/>
              <w:bottom w:val="nil"/>
            </w:tcBorders>
            <w:noWrap/>
            <w:vAlign w:val="center"/>
            <w:hideMark/>
          </w:tcPr>
          <w:p w14:paraId="3C83E73C"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04BDB0DD" w14:textId="77777777" w:rsidTr="00372862">
        <w:trPr>
          <w:trHeight w:val="300"/>
        </w:trPr>
        <w:tc>
          <w:tcPr>
            <w:tcW w:w="3823" w:type="dxa"/>
            <w:tcBorders>
              <w:top w:val="nil"/>
              <w:bottom w:val="single" w:sz="4" w:space="0" w:color="auto"/>
            </w:tcBorders>
            <w:noWrap/>
            <w:hideMark/>
          </w:tcPr>
          <w:p w14:paraId="6DDA7BBB"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Body Mass Index (kg/m</w:t>
            </w:r>
            <w:r w:rsidRPr="00372862">
              <w:rPr>
                <w:rFonts w:ascii="Times New Roman" w:hAnsi="Times New Roman"/>
                <w:vertAlign w:val="superscript"/>
              </w:rPr>
              <w:t>2</w:t>
            </w:r>
            <w:r w:rsidRPr="00372862">
              <w:rPr>
                <w:rFonts w:ascii="Times New Roman" w:hAnsi="Times New Roman"/>
              </w:rPr>
              <w:t xml:space="preserve">), </w:t>
            </w:r>
          </w:p>
          <w:p w14:paraId="71C99C4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mean (SD)</w:t>
            </w:r>
          </w:p>
        </w:tc>
        <w:tc>
          <w:tcPr>
            <w:tcW w:w="2126" w:type="dxa"/>
            <w:tcBorders>
              <w:top w:val="nil"/>
              <w:bottom w:val="single" w:sz="4" w:space="0" w:color="auto"/>
            </w:tcBorders>
            <w:noWrap/>
            <w:hideMark/>
          </w:tcPr>
          <w:p w14:paraId="5E7C7C65"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26.95 (3.58)</w:t>
            </w:r>
          </w:p>
        </w:tc>
        <w:tc>
          <w:tcPr>
            <w:tcW w:w="1984" w:type="dxa"/>
            <w:tcBorders>
              <w:top w:val="nil"/>
              <w:bottom w:val="single" w:sz="4" w:space="0" w:color="auto"/>
            </w:tcBorders>
            <w:noWrap/>
            <w:hideMark/>
          </w:tcPr>
          <w:p w14:paraId="68BD2899"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26.41 (4.56)</w:t>
            </w:r>
          </w:p>
        </w:tc>
        <w:tc>
          <w:tcPr>
            <w:tcW w:w="1083" w:type="dxa"/>
            <w:tcBorders>
              <w:top w:val="nil"/>
              <w:bottom w:val="single" w:sz="4" w:space="0" w:color="auto"/>
            </w:tcBorders>
            <w:noWrap/>
            <w:vAlign w:val="center"/>
            <w:hideMark/>
          </w:tcPr>
          <w:p w14:paraId="3BCB63BA"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7A0463A0" w14:textId="77777777" w:rsidTr="00372862">
        <w:trPr>
          <w:trHeight w:val="300"/>
        </w:trPr>
        <w:tc>
          <w:tcPr>
            <w:tcW w:w="3823" w:type="dxa"/>
            <w:tcBorders>
              <w:bottom w:val="nil"/>
            </w:tcBorders>
            <w:noWrap/>
          </w:tcPr>
          <w:p w14:paraId="7C36BD09"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 xml:space="preserve">Systolic Blood Pressure </w:t>
            </w:r>
          </w:p>
          <w:p w14:paraId="5AFF0FA8"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(mmHg), mean (SD)</w:t>
            </w:r>
          </w:p>
        </w:tc>
        <w:tc>
          <w:tcPr>
            <w:tcW w:w="2126" w:type="dxa"/>
            <w:tcBorders>
              <w:bottom w:val="nil"/>
            </w:tcBorders>
            <w:noWrap/>
          </w:tcPr>
          <w:p w14:paraId="060896F2" w14:textId="77777777" w:rsidR="00186E7E" w:rsidRPr="00372862" w:rsidRDefault="00186E7E" w:rsidP="00186E7E">
            <w:pPr>
              <w:spacing w:after="0" w:line="240" w:lineRule="auto"/>
              <w:rPr>
                <w:rFonts w:ascii="Times New Roman" w:hAnsi="Times New Roman"/>
              </w:rPr>
            </w:pPr>
          </w:p>
        </w:tc>
        <w:tc>
          <w:tcPr>
            <w:tcW w:w="1984" w:type="dxa"/>
            <w:tcBorders>
              <w:bottom w:val="nil"/>
            </w:tcBorders>
            <w:noWrap/>
          </w:tcPr>
          <w:p w14:paraId="12937F82" w14:textId="77777777" w:rsidR="00186E7E" w:rsidRPr="00372862" w:rsidRDefault="00186E7E" w:rsidP="00186E7E">
            <w:pPr>
              <w:spacing w:after="0" w:line="240" w:lineRule="auto"/>
              <w:rPr>
                <w:rFonts w:ascii="Times New Roman" w:hAnsi="Times New Roman"/>
              </w:rPr>
            </w:pPr>
          </w:p>
        </w:tc>
        <w:tc>
          <w:tcPr>
            <w:tcW w:w="1083" w:type="dxa"/>
            <w:tcBorders>
              <w:bottom w:val="nil"/>
            </w:tcBorders>
            <w:noWrap/>
            <w:vAlign w:val="center"/>
          </w:tcPr>
          <w:p w14:paraId="3F8F5D8B" w14:textId="77777777" w:rsidR="00186E7E" w:rsidRPr="00372862" w:rsidRDefault="00186E7E" w:rsidP="00186E7E">
            <w:pPr>
              <w:spacing w:after="0" w:line="240" w:lineRule="auto"/>
              <w:jc w:val="center"/>
              <w:rPr>
                <w:rFonts w:ascii="Times New Roman" w:hAnsi="Times New Roman"/>
              </w:rPr>
            </w:pPr>
          </w:p>
        </w:tc>
      </w:tr>
      <w:tr w:rsidR="00186E7E" w:rsidRPr="00372862" w14:paraId="5335FE64" w14:textId="77777777" w:rsidTr="00372862">
        <w:trPr>
          <w:trHeight w:val="300"/>
        </w:trPr>
        <w:tc>
          <w:tcPr>
            <w:tcW w:w="3823" w:type="dxa"/>
            <w:tcBorders>
              <w:top w:val="nil"/>
              <w:bottom w:val="nil"/>
            </w:tcBorders>
            <w:noWrap/>
            <w:tcMar>
              <w:left w:w="227" w:type="dxa"/>
            </w:tcMar>
            <w:hideMark/>
          </w:tcPr>
          <w:p w14:paraId="5C43F43A" w14:textId="04A288D5" w:rsidR="00186E7E" w:rsidRPr="00A82368" w:rsidRDefault="00186E7E" w:rsidP="00186E7E">
            <w:pPr>
              <w:spacing w:after="0" w:line="240" w:lineRule="auto"/>
              <w:rPr>
                <w:rFonts w:ascii="Times New Roman" w:hAnsi="Times New Roman"/>
              </w:rPr>
            </w:pPr>
            <w:r w:rsidRPr="00372862">
              <w:rPr>
                <w:rFonts w:ascii="Times New Roman" w:hAnsi="Times New Roman"/>
              </w:rPr>
              <w:t>1</w:t>
            </w:r>
            <w:r w:rsidRPr="00372862">
              <w:rPr>
                <w:rFonts w:ascii="Times New Roman" w:hAnsi="Times New Roman"/>
                <w:vertAlign w:val="superscript"/>
              </w:rPr>
              <w:t>st</w:t>
            </w:r>
            <w:r w:rsidRPr="00372862">
              <w:rPr>
                <w:rFonts w:ascii="Times New Roman" w:hAnsi="Times New Roman"/>
              </w:rPr>
              <w:t xml:space="preserve"> Health Check </w:t>
            </w:r>
          </w:p>
        </w:tc>
        <w:tc>
          <w:tcPr>
            <w:tcW w:w="2126" w:type="dxa"/>
            <w:tcBorders>
              <w:top w:val="nil"/>
              <w:bottom w:val="nil"/>
            </w:tcBorders>
            <w:noWrap/>
            <w:hideMark/>
          </w:tcPr>
          <w:p w14:paraId="35FD3AD3"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134.70 (16.28)</w:t>
            </w:r>
          </w:p>
        </w:tc>
        <w:tc>
          <w:tcPr>
            <w:tcW w:w="1984" w:type="dxa"/>
            <w:tcBorders>
              <w:top w:val="nil"/>
              <w:bottom w:val="nil"/>
            </w:tcBorders>
            <w:noWrap/>
            <w:hideMark/>
          </w:tcPr>
          <w:p w14:paraId="4EC67DC1"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129.42 (16.98)</w:t>
            </w:r>
          </w:p>
        </w:tc>
        <w:tc>
          <w:tcPr>
            <w:tcW w:w="1083" w:type="dxa"/>
            <w:tcBorders>
              <w:top w:val="nil"/>
              <w:bottom w:val="nil"/>
            </w:tcBorders>
            <w:noWrap/>
            <w:vAlign w:val="center"/>
            <w:hideMark/>
          </w:tcPr>
          <w:p w14:paraId="2FD32B6F"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37DF9409" w14:textId="77777777" w:rsidTr="00372862">
        <w:trPr>
          <w:trHeight w:val="300"/>
        </w:trPr>
        <w:tc>
          <w:tcPr>
            <w:tcW w:w="3823" w:type="dxa"/>
            <w:tcBorders>
              <w:top w:val="nil"/>
              <w:bottom w:val="nil"/>
            </w:tcBorders>
            <w:noWrap/>
            <w:tcMar>
              <w:left w:w="227" w:type="dxa"/>
            </w:tcMar>
            <w:hideMark/>
          </w:tcPr>
          <w:p w14:paraId="4A150CD6" w14:textId="345A4B8B" w:rsidR="00186E7E" w:rsidRPr="00A82368" w:rsidRDefault="00186E7E" w:rsidP="00186E7E">
            <w:pPr>
              <w:spacing w:after="0" w:line="240" w:lineRule="auto"/>
              <w:rPr>
                <w:rFonts w:ascii="Times New Roman" w:hAnsi="Times New Roman"/>
              </w:rPr>
            </w:pPr>
            <w:r w:rsidRPr="00372862">
              <w:rPr>
                <w:rFonts w:ascii="Times New Roman" w:hAnsi="Times New Roman"/>
              </w:rPr>
              <w:t>2</w:t>
            </w:r>
            <w:r w:rsidRPr="00372862">
              <w:rPr>
                <w:rFonts w:ascii="Times New Roman" w:hAnsi="Times New Roman"/>
                <w:vertAlign w:val="superscript"/>
              </w:rPr>
              <w:t>nd</w:t>
            </w:r>
            <w:r w:rsidRPr="00372862">
              <w:rPr>
                <w:rFonts w:ascii="Times New Roman" w:hAnsi="Times New Roman"/>
              </w:rPr>
              <w:t xml:space="preserve"> Health Check </w:t>
            </w:r>
          </w:p>
        </w:tc>
        <w:tc>
          <w:tcPr>
            <w:tcW w:w="2126" w:type="dxa"/>
            <w:tcBorders>
              <w:top w:val="nil"/>
              <w:bottom w:val="nil"/>
            </w:tcBorders>
            <w:noWrap/>
            <w:hideMark/>
          </w:tcPr>
          <w:p w14:paraId="249A458F"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134.66 (16.57)</w:t>
            </w:r>
          </w:p>
        </w:tc>
        <w:tc>
          <w:tcPr>
            <w:tcW w:w="1984" w:type="dxa"/>
            <w:tcBorders>
              <w:top w:val="nil"/>
              <w:bottom w:val="nil"/>
            </w:tcBorders>
            <w:noWrap/>
            <w:hideMark/>
          </w:tcPr>
          <w:p w14:paraId="4D6B544B"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129.66 (17.35)</w:t>
            </w:r>
          </w:p>
        </w:tc>
        <w:tc>
          <w:tcPr>
            <w:tcW w:w="1083" w:type="dxa"/>
            <w:tcBorders>
              <w:top w:val="nil"/>
              <w:bottom w:val="nil"/>
            </w:tcBorders>
            <w:noWrap/>
            <w:vAlign w:val="center"/>
            <w:hideMark/>
          </w:tcPr>
          <w:p w14:paraId="298D96D1"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4FEC2F98" w14:textId="77777777" w:rsidTr="00372862">
        <w:trPr>
          <w:trHeight w:val="300"/>
        </w:trPr>
        <w:tc>
          <w:tcPr>
            <w:tcW w:w="3823" w:type="dxa"/>
            <w:tcBorders>
              <w:top w:val="nil"/>
              <w:bottom w:val="single" w:sz="4" w:space="0" w:color="auto"/>
            </w:tcBorders>
            <w:noWrap/>
            <w:tcMar>
              <w:left w:w="227" w:type="dxa"/>
            </w:tcMar>
            <w:hideMark/>
          </w:tcPr>
          <w:p w14:paraId="663E9778" w14:textId="2B2F3ECD" w:rsidR="00186E7E" w:rsidRPr="00A82368" w:rsidRDefault="00186E7E" w:rsidP="00186E7E">
            <w:pPr>
              <w:spacing w:after="0" w:line="240" w:lineRule="auto"/>
              <w:rPr>
                <w:rFonts w:ascii="Times New Roman" w:hAnsi="Times New Roman"/>
              </w:rPr>
            </w:pPr>
            <w:r w:rsidRPr="00372862">
              <w:rPr>
                <w:rFonts w:ascii="Times New Roman" w:hAnsi="Times New Roman"/>
              </w:rPr>
              <w:t>3</w:t>
            </w:r>
            <w:r w:rsidRPr="00372862">
              <w:rPr>
                <w:rFonts w:ascii="Times New Roman" w:hAnsi="Times New Roman"/>
                <w:vertAlign w:val="superscript"/>
              </w:rPr>
              <w:t>rd</w:t>
            </w:r>
            <w:r w:rsidRPr="00372862">
              <w:rPr>
                <w:rFonts w:ascii="Times New Roman" w:hAnsi="Times New Roman"/>
              </w:rPr>
              <w:t xml:space="preserve"> Health Check </w:t>
            </w:r>
          </w:p>
        </w:tc>
        <w:tc>
          <w:tcPr>
            <w:tcW w:w="2126" w:type="dxa"/>
            <w:tcBorders>
              <w:top w:val="nil"/>
              <w:bottom w:val="single" w:sz="4" w:space="0" w:color="auto"/>
            </w:tcBorders>
            <w:noWrap/>
            <w:hideMark/>
          </w:tcPr>
          <w:p w14:paraId="0A45D1A1"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136.62 (15.39)</w:t>
            </w:r>
          </w:p>
        </w:tc>
        <w:tc>
          <w:tcPr>
            <w:tcW w:w="1984" w:type="dxa"/>
            <w:tcBorders>
              <w:top w:val="nil"/>
              <w:bottom w:val="single" w:sz="4" w:space="0" w:color="auto"/>
            </w:tcBorders>
            <w:noWrap/>
            <w:hideMark/>
          </w:tcPr>
          <w:p w14:paraId="3387CAB5"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135.94 (17.15)</w:t>
            </w:r>
          </w:p>
        </w:tc>
        <w:tc>
          <w:tcPr>
            <w:tcW w:w="1083" w:type="dxa"/>
            <w:tcBorders>
              <w:top w:val="nil"/>
              <w:bottom w:val="single" w:sz="4" w:space="0" w:color="auto"/>
            </w:tcBorders>
            <w:noWrap/>
            <w:vAlign w:val="center"/>
            <w:hideMark/>
          </w:tcPr>
          <w:p w14:paraId="7B784496" w14:textId="77777777" w:rsidR="00186E7E" w:rsidRPr="00372862" w:rsidRDefault="00186E7E" w:rsidP="00186E7E">
            <w:pPr>
              <w:spacing w:after="0" w:line="240" w:lineRule="auto"/>
              <w:jc w:val="center"/>
              <w:rPr>
                <w:rFonts w:ascii="Times New Roman" w:hAnsi="Times New Roman"/>
              </w:rPr>
            </w:pPr>
            <w:r w:rsidRPr="00372862">
              <w:rPr>
                <w:rFonts w:ascii="Times New Roman" w:hAnsi="Times New Roman"/>
              </w:rPr>
              <w:t>0.096</w:t>
            </w:r>
          </w:p>
        </w:tc>
      </w:tr>
      <w:tr w:rsidR="00186E7E" w:rsidRPr="00372862" w14:paraId="75F3E647" w14:textId="77777777" w:rsidTr="00372862">
        <w:trPr>
          <w:trHeight w:val="300"/>
        </w:trPr>
        <w:tc>
          <w:tcPr>
            <w:tcW w:w="3823" w:type="dxa"/>
            <w:tcBorders>
              <w:bottom w:val="nil"/>
            </w:tcBorders>
            <w:noWrap/>
          </w:tcPr>
          <w:p w14:paraId="32EAB2DC"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 xml:space="preserve">Diastolic Blood Pressure </w:t>
            </w:r>
          </w:p>
          <w:p w14:paraId="70DC7730"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(mmHg), mean (SD)</w:t>
            </w:r>
          </w:p>
        </w:tc>
        <w:tc>
          <w:tcPr>
            <w:tcW w:w="2126" w:type="dxa"/>
            <w:tcBorders>
              <w:bottom w:val="nil"/>
            </w:tcBorders>
            <w:noWrap/>
          </w:tcPr>
          <w:p w14:paraId="54D56166" w14:textId="77777777" w:rsidR="00186E7E" w:rsidRPr="00372862" w:rsidRDefault="00186E7E" w:rsidP="00186E7E">
            <w:pPr>
              <w:spacing w:after="0" w:line="240" w:lineRule="auto"/>
              <w:rPr>
                <w:rFonts w:ascii="Times New Roman" w:hAnsi="Times New Roman"/>
              </w:rPr>
            </w:pPr>
          </w:p>
        </w:tc>
        <w:tc>
          <w:tcPr>
            <w:tcW w:w="1984" w:type="dxa"/>
            <w:tcBorders>
              <w:bottom w:val="nil"/>
            </w:tcBorders>
            <w:noWrap/>
          </w:tcPr>
          <w:p w14:paraId="190674BA" w14:textId="77777777" w:rsidR="00186E7E" w:rsidRPr="00372862" w:rsidRDefault="00186E7E" w:rsidP="00186E7E">
            <w:pPr>
              <w:spacing w:after="0" w:line="240" w:lineRule="auto"/>
              <w:rPr>
                <w:rFonts w:ascii="Times New Roman" w:hAnsi="Times New Roman"/>
              </w:rPr>
            </w:pPr>
          </w:p>
        </w:tc>
        <w:tc>
          <w:tcPr>
            <w:tcW w:w="1083" w:type="dxa"/>
            <w:tcBorders>
              <w:bottom w:val="nil"/>
            </w:tcBorders>
            <w:noWrap/>
            <w:vAlign w:val="center"/>
          </w:tcPr>
          <w:p w14:paraId="27B8C1EA" w14:textId="77777777" w:rsidR="00186E7E" w:rsidRPr="00372862" w:rsidRDefault="00186E7E" w:rsidP="00186E7E">
            <w:pPr>
              <w:spacing w:after="0" w:line="240" w:lineRule="auto"/>
              <w:jc w:val="center"/>
              <w:rPr>
                <w:rFonts w:ascii="Times New Roman" w:hAnsi="Times New Roman"/>
              </w:rPr>
            </w:pPr>
          </w:p>
        </w:tc>
      </w:tr>
      <w:tr w:rsidR="00186E7E" w:rsidRPr="00372862" w14:paraId="082C1F39" w14:textId="77777777" w:rsidTr="00372862">
        <w:trPr>
          <w:trHeight w:val="300"/>
        </w:trPr>
        <w:tc>
          <w:tcPr>
            <w:tcW w:w="3823" w:type="dxa"/>
            <w:tcBorders>
              <w:top w:val="nil"/>
              <w:bottom w:val="nil"/>
            </w:tcBorders>
            <w:noWrap/>
            <w:tcMar>
              <w:left w:w="227" w:type="dxa"/>
            </w:tcMar>
            <w:hideMark/>
          </w:tcPr>
          <w:p w14:paraId="28D61B7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w:t>
            </w:r>
            <w:r w:rsidRPr="00372862">
              <w:rPr>
                <w:rFonts w:ascii="Times New Roman" w:hAnsi="Times New Roman"/>
                <w:vertAlign w:val="superscript"/>
              </w:rPr>
              <w:t>st</w:t>
            </w:r>
            <w:r w:rsidRPr="00372862">
              <w:rPr>
                <w:rFonts w:ascii="Times New Roman" w:hAnsi="Times New Roman"/>
              </w:rPr>
              <w:t xml:space="preserve"> Health Check</w:t>
            </w:r>
          </w:p>
        </w:tc>
        <w:tc>
          <w:tcPr>
            <w:tcW w:w="2126" w:type="dxa"/>
            <w:tcBorders>
              <w:top w:val="nil"/>
              <w:bottom w:val="nil"/>
            </w:tcBorders>
            <w:noWrap/>
            <w:hideMark/>
          </w:tcPr>
          <w:p w14:paraId="38E79C63"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83.44 (10.57)</w:t>
            </w:r>
          </w:p>
        </w:tc>
        <w:tc>
          <w:tcPr>
            <w:tcW w:w="1984" w:type="dxa"/>
            <w:tcBorders>
              <w:top w:val="nil"/>
              <w:bottom w:val="nil"/>
            </w:tcBorders>
            <w:noWrap/>
            <w:hideMark/>
          </w:tcPr>
          <w:p w14:paraId="28674FBE"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79.12 (10.38)</w:t>
            </w:r>
          </w:p>
        </w:tc>
        <w:tc>
          <w:tcPr>
            <w:tcW w:w="1083" w:type="dxa"/>
            <w:tcBorders>
              <w:top w:val="nil"/>
              <w:bottom w:val="nil"/>
            </w:tcBorders>
            <w:noWrap/>
            <w:vAlign w:val="center"/>
            <w:hideMark/>
          </w:tcPr>
          <w:p w14:paraId="1E6AF455"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3FE386AF" w14:textId="77777777" w:rsidTr="00372862">
        <w:trPr>
          <w:trHeight w:val="300"/>
        </w:trPr>
        <w:tc>
          <w:tcPr>
            <w:tcW w:w="3823" w:type="dxa"/>
            <w:tcBorders>
              <w:top w:val="nil"/>
              <w:bottom w:val="nil"/>
            </w:tcBorders>
            <w:noWrap/>
            <w:tcMar>
              <w:left w:w="227" w:type="dxa"/>
            </w:tcMar>
            <w:hideMark/>
          </w:tcPr>
          <w:p w14:paraId="1FB685FB"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2</w:t>
            </w:r>
            <w:r w:rsidRPr="00372862">
              <w:rPr>
                <w:rFonts w:ascii="Times New Roman" w:hAnsi="Times New Roman"/>
                <w:vertAlign w:val="superscript"/>
              </w:rPr>
              <w:t>nd</w:t>
            </w:r>
            <w:r w:rsidRPr="00372862">
              <w:rPr>
                <w:rFonts w:ascii="Times New Roman" w:hAnsi="Times New Roman"/>
              </w:rPr>
              <w:t xml:space="preserve"> Health Check</w:t>
            </w:r>
          </w:p>
        </w:tc>
        <w:tc>
          <w:tcPr>
            <w:tcW w:w="2126" w:type="dxa"/>
            <w:tcBorders>
              <w:top w:val="nil"/>
              <w:bottom w:val="nil"/>
            </w:tcBorders>
            <w:noWrap/>
            <w:hideMark/>
          </w:tcPr>
          <w:p w14:paraId="383EB178"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83.35 (10.70)</w:t>
            </w:r>
          </w:p>
        </w:tc>
        <w:tc>
          <w:tcPr>
            <w:tcW w:w="1984" w:type="dxa"/>
            <w:tcBorders>
              <w:top w:val="nil"/>
              <w:bottom w:val="nil"/>
            </w:tcBorders>
            <w:noWrap/>
            <w:hideMark/>
          </w:tcPr>
          <w:p w14:paraId="582B26C7"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78.92 (10.55)</w:t>
            </w:r>
          </w:p>
        </w:tc>
        <w:tc>
          <w:tcPr>
            <w:tcW w:w="1083" w:type="dxa"/>
            <w:tcBorders>
              <w:top w:val="nil"/>
              <w:bottom w:val="nil"/>
            </w:tcBorders>
            <w:noWrap/>
            <w:vAlign w:val="center"/>
            <w:hideMark/>
          </w:tcPr>
          <w:p w14:paraId="0A7B8680"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65276F0D" w14:textId="77777777" w:rsidTr="00372862">
        <w:trPr>
          <w:trHeight w:val="300"/>
        </w:trPr>
        <w:tc>
          <w:tcPr>
            <w:tcW w:w="3823" w:type="dxa"/>
            <w:tcBorders>
              <w:top w:val="nil"/>
              <w:bottom w:val="single" w:sz="4" w:space="0" w:color="auto"/>
            </w:tcBorders>
            <w:noWrap/>
            <w:tcMar>
              <w:left w:w="227" w:type="dxa"/>
            </w:tcMar>
            <w:hideMark/>
          </w:tcPr>
          <w:p w14:paraId="16B2CB88"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3</w:t>
            </w:r>
            <w:r w:rsidRPr="00372862">
              <w:rPr>
                <w:rFonts w:ascii="Times New Roman" w:hAnsi="Times New Roman"/>
                <w:vertAlign w:val="superscript"/>
              </w:rPr>
              <w:t>rd</w:t>
            </w:r>
            <w:r w:rsidRPr="00372862">
              <w:rPr>
                <w:rFonts w:ascii="Times New Roman" w:hAnsi="Times New Roman"/>
              </w:rPr>
              <w:t xml:space="preserve"> Health Check</w:t>
            </w:r>
          </w:p>
        </w:tc>
        <w:tc>
          <w:tcPr>
            <w:tcW w:w="2126" w:type="dxa"/>
            <w:tcBorders>
              <w:top w:val="nil"/>
              <w:bottom w:val="single" w:sz="4" w:space="0" w:color="auto"/>
            </w:tcBorders>
            <w:noWrap/>
            <w:hideMark/>
          </w:tcPr>
          <w:p w14:paraId="6436DFB8"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79.40 (9.59)</w:t>
            </w:r>
          </w:p>
        </w:tc>
        <w:tc>
          <w:tcPr>
            <w:tcW w:w="1984" w:type="dxa"/>
            <w:tcBorders>
              <w:top w:val="nil"/>
              <w:bottom w:val="single" w:sz="4" w:space="0" w:color="auto"/>
            </w:tcBorders>
            <w:noWrap/>
            <w:hideMark/>
          </w:tcPr>
          <w:p w14:paraId="28318257"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77.16 (8.98)</w:t>
            </w:r>
          </w:p>
        </w:tc>
        <w:tc>
          <w:tcPr>
            <w:tcW w:w="1083" w:type="dxa"/>
            <w:tcBorders>
              <w:top w:val="nil"/>
              <w:bottom w:val="single" w:sz="4" w:space="0" w:color="auto"/>
            </w:tcBorders>
            <w:noWrap/>
            <w:vAlign w:val="center"/>
            <w:hideMark/>
          </w:tcPr>
          <w:p w14:paraId="0E621E0C"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4837697C" w14:textId="77777777" w:rsidTr="00372862">
        <w:trPr>
          <w:trHeight w:val="300"/>
        </w:trPr>
        <w:tc>
          <w:tcPr>
            <w:tcW w:w="3823" w:type="dxa"/>
            <w:tcBorders>
              <w:bottom w:val="nil"/>
            </w:tcBorders>
            <w:noWrap/>
          </w:tcPr>
          <w:p w14:paraId="34DC248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Estimated Glomerular Filtration Rate* (mL/min/1.73 m</w:t>
            </w:r>
            <w:r w:rsidRPr="00372862">
              <w:rPr>
                <w:rFonts w:ascii="Times New Roman" w:hAnsi="Times New Roman"/>
                <w:vertAlign w:val="superscript"/>
              </w:rPr>
              <w:t>2</w:t>
            </w:r>
            <w:r w:rsidRPr="00372862">
              <w:rPr>
                <w:rFonts w:ascii="Times New Roman" w:hAnsi="Times New Roman"/>
              </w:rPr>
              <w:t>), mean (SD)</w:t>
            </w:r>
          </w:p>
        </w:tc>
        <w:tc>
          <w:tcPr>
            <w:tcW w:w="2126" w:type="dxa"/>
            <w:tcBorders>
              <w:bottom w:val="nil"/>
            </w:tcBorders>
            <w:noWrap/>
          </w:tcPr>
          <w:p w14:paraId="7C71607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73.17 (17.40)</w:t>
            </w:r>
          </w:p>
        </w:tc>
        <w:tc>
          <w:tcPr>
            <w:tcW w:w="1984" w:type="dxa"/>
            <w:tcBorders>
              <w:bottom w:val="nil"/>
            </w:tcBorders>
            <w:noWrap/>
          </w:tcPr>
          <w:p w14:paraId="248DF1B9"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72.44 (20.93)</w:t>
            </w:r>
          </w:p>
        </w:tc>
        <w:tc>
          <w:tcPr>
            <w:tcW w:w="1083" w:type="dxa"/>
            <w:tcBorders>
              <w:bottom w:val="nil"/>
            </w:tcBorders>
            <w:noWrap/>
            <w:vAlign w:val="center"/>
          </w:tcPr>
          <w:p w14:paraId="747F06DE" w14:textId="77777777" w:rsidR="00186E7E" w:rsidRPr="00372862" w:rsidRDefault="00186E7E" w:rsidP="00186E7E">
            <w:pPr>
              <w:spacing w:after="0" w:line="240" w:lineRule="auto"/>
              <w:jc w:val="center"/>
              <w:rPr>
                <w:rFonts w:ascii="Times New Roman" w:hAnsi="Times New Roman"/>
              </w:rPr>
            </w:pPr>
            <w:r w:rsidRPr="00372862">
              <w:rPr>
                <w:rFonts w:ascii="Times New Roman" w:hAnsi="Times New Roman"/>
              </w:rPr>
              <w:t>0.206</w:t>
            </w:r>
          </w:p>
        </w:tc>
      </w:tr>
      <w:tr w:rsidR="00186E7E" w:rsidRPr="00372862" w14:paraId="0E886443" w14:textId="77777777" w:rsidTr="00372862">
        <w:trPr>
          <w:trHeight w:val="300"/>
        </w:trPr>
        <w:tc>
          <w:tcPr>
            <w:tcW w:w="3823" w:type="dxa"/>
            <w:tcBorders>
              <w:top w:val="nil"/>
              <w:bottom w:val="nil"/>
            </w:tcBorders>
            <w:noWrap/>
          </w:tcPr>
          <w:p w14:paraId="10D69730"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Creatinine (mmol/L), mean (SD)</w:t>
            </w:r>
          </w:p>
        </w:tc>
        <w:tc>
          <w:tcPr>
            <w:tcW w:w="2126" w:type="dxa"/>
            <w:tcBorders>
              <w:top w:val="nil"/>
              <w:bottom w:val="nil"/>
            </w:tcBorders>
            <w:noWrap/>
            <w:vAlign w:val="bottom"/>
          </w:tcPr>
          <w:p w14:paraId="1372B773"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93.24 (20.86)</w:t>
            </w:r>
          </w:p>
        </w:tc>
        <w:tc>
          <w:tcPr>
            <w:tcW w:w="1984" w:type="dxa"/>
            <w:tcBorders>
              <w:top w:val="nil"/>
              <w:bottom w:val="nil"/>
            </w:tcBorders>
            <w:noWrap/>
            <w:vAlign w:val="bottom"/>
          </w:tcPr>
          <w:p w14:paraId="32F4744B"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73.29 (16.56)</w:t>
            </w:r>
          </w:p>
        </w:tc>
        <w:tc>
          <w:tcPr>
            <w:tcW w:w="1083" w:type="dxa"/>
            <w:tcBorders>
              <w:top w:val="nil"/>
              <w:bottom w:val="nil"/>
            </w:tcBorders>
            <w:noWrap/>
            <w:vAlign w:val="bottom"/>
          </w:tcPr>
          <w:p w14:paraId="671E3FF4"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487B776F" w14:textId="77777777" w:rsidTr="00372862">
        <w:trPr>
          <w:trHeight w:val="300"/>
        </w:trPr>
        <w:tc>
          <w:tcPr>
            <w:tcW w:w="3823" w:type="dxa"/>
            <w:tcBorders>
              <w:top w:val="nil"/>
              <w:bottom w:val="single" w:sz="4" w:space="0" w:color="auto"/>
            </w:tcBorders>
            <w:noWrap/>
            <w:tcMar>
              <w:left w:w="227" w:type="dxa"/>
            </w:tcMar>
          </w:tcPr>
          <w:p w14:paraId="217B120B" w14:textId="77777777" w:rsidR="00186E7E" w:rsidRPr="00372862" w:rsidRDefault="00186E7E" w:rsidP="00186E7E">
            <w:pPr>
              <w:spacing w:after="0" w:line="240" w:lineRule="auto"/>
              <w:rPr>
                <w:rFonts w:ascii="Times New Roman" w:hAnsi="Times New Roman"/>
              </w:rPr>
            </w:pPr>
            <w:r w:rsidRPr="00372862">
              <w:rPr>
                <w:rFonts w:ascii="Times New Roman" w:hAnsi="Times New Roman"/>
                <w:i/>
                <w:iCs/>
              </w:rPr>
              <w:t>Missing</w:t>
            </w:r>
            <w:r w:rsidRPr="00372862">
              <w:rPr>
                <w:rFonts w:ascii="Times New Roman" w:hAnsi="Times New Roman"/>
              </w:rPr>
              <w:t>, N (%)</w:t>
            </w:r>
          </w:p>
        </w:tc>
        <w:tc>
          <w:tcPr>
            <w:tcW w:w="2126" w:type="dxa"/>
            <w:tcBorders>
              <w:top w:val="nil"/>
              <w:bottom w:val="single" w:sz="4" w:space="0" w:color="auto"/>
            </w:tcBorders>
            <w:noWrap/>
            <w:vAlign w:val="bottom"/>
          </w:tcPr>
          <w:p w14:paraId="096FF037"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872 (30.10)</w:t>
            </w:r>
          </w:p>
        </w:tc>
        <w:tc>
          <w:tcPr>
            <w:tcW w:w="1984" w:type="dxa"/>
            <w:tcBorders>
              <w:top w:val="nil"/>
              <w:bottom w:val="single" w:sz="4" w:space="0" w:color="auto"/>
            </w:tcBorders>
            <w:noWrap/>
            <w:vAlign w:val="bottom"/>
          </w:tcPr>
          <w:p w14:paraId="265F14A5"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1184 (31.00)</w:t>
            </w:r>
          </w:p>
        </w:tc>
        <w:tc>
          <w:tcPr>
            <w:tcW w:w="1083" w:type="dxa"/>
            <w:tcBorders>
              <w:top w:val="nil"/>
              <w:bottom w:val="single" w:sz="4" w:space="0" w:color="auto"/>
            </w:tcBorders>
            <w:noWrap/>
            <w:vAlign w:val="center"/>
          </w:tcPr>
          <w:p w14:paraId="28A7CD4B" w14:textId="77777777" w:rsidR="00186E7E" w:rsidRPr="00372862" w:rsidRDefault="00186E7E" w:rsidP="00186E7E">
            <w:pPr>
              <w:spacing w:after="0" w:line="240" w:lineRule="auto"/>
              <w:jc w:val="center"/>
              <w:rPr>
                <w:rFonts w:ascii="Times New Roman" w:hAnsi="Times New Roman"/>
              </w:rPr>
            </w:pPr>
            <w:r w:rsidRPr="00372862">
              <w:rPr>
                <w:rFonts w:ascii="Times New Roman" w:hAnsi="Times New Roman"/>
              </w:rPr>
              <w:t>0.427</w:t>
            </w:r>
          </w:p>
        </w:tc>
      </w:tr>
      <w:tr w:rsidR="00186E7E" w:rsidRPr="00372862" w14:paraId="2F188527" w14:textId="77777777" w:rsidTr="00372862">
        <w:trPr>
          <w:trHeight w:val="300"/>
        </w:trPr>
        <w:tc>
          <w:tcPr>
            <w:tcW w:w="3823" w:type="dxa"/>
            <w:tcBorders>
              <w:bottom w:val="nil"/>
            </w:tcBorders>
            <w:noWrap/>
          </w:tcPr>
          <w:p w14:paraId="43A1B836"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HbA</w:t>
            </w:r>
            <w:r w:rsidRPr="00372862">
              <w:rPr>
                <w:rFonts w:ascii="Times New Roman" w:hAnsi="Times New Roman"/>
                <w:vertAlign w:val="subscript"/>
              </w:rPr>
              <w:t xml:space="preserve">1c </w:t>
            </w:r>
            <w:r w:rsidRPr="00372862">
              <w:rPr>
                <w:rFonts w:ascii="Times New Roman" w:hAnsi="Times New Roman"/>
              </w:rPr>
              <w:t>(%), mean (SD)</w:t>
            </w:r>
          </w:p>
        </w:tc>
        <w:tc>
          <w:tcPr>
            <w:tcW w:w="2126" w:type="dxa"/>
            <w:tcBorders>
              <w:bottom w:val="nil"/>
            </w:tcBorders>
            <w:noWrap/>
            <w:vAlign w:val="bottom"/>
          </w:tcPr>
          <w:p w14:paraId="2E24D61F"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5.84 (0.67)</w:t>
            </w:r>
          </w:p>
        </w:tc>
        <w:tc>
          <w:tcPr>
            <w:tcW w:w="1984" w:type="dxa"/>
            <w:tcBorders>
              <w:bottom w:val="nil"/>
            </w:tcBorders>
            <w:noWrap/>
            <w:vAlign w:val="bottom"/>
          </w:tcPr>
          <w:p w14:paraId="5637295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5.80 (0.56)</w:t>
            </w:r>
          </w:p>
        </w:tc>
        <w:tc>
          <w:tcPr>
            <w:tcW w:w="1083" w:type="dxa"/>
            <w:tcBorders>
              <w:bottom w:val="nil"/>
            </w:tcBorders>
            <w:noWrap/>
            <w:vAlign w:val="bottom"/>
          </w:tcPr>
          <w:p w14:paraId="1D390243"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0.010</w:t>
            </w:r>
          </w:p>
        </w:tc>
      </w:tr>
      <w:tr w:rsidR="00186E7E" w:rsidRPr="00372862" w14:paraId="4728E2D7" w14:textId="77777777" w:rsidTr="00372862">
        <w:trPr>
          <w:trHeight w:val="300"/>
        </w:trPr>
        <w:tc>
          <w:tcPr>
            <w:tcW w:w="3823" w:type="dxa"/>
            <w:tcBorders>
              <w:top w:val="nil"/>
              <w:bottom w:val="single" w:sz="4" w:space="0" w:color="auto"/>
            </w:tcBorders>
            <w:noWrap/>
            <w:tcMar>
              <w:left w:w="227" w:type="dxa"/>
            </w:tcMar>
          </w:tcPr>
          <w:p w14:paraId="5AB90794" w14:textId="77777777" w:rsidR="00186E7E" w:rsidRPr="00372862" w:rsidRDefault="00186E7E" w:rsidP="00186E7E">
            <w:pPr>
              <w:spacing w:after="0" w:line="240" w:lineRule="auto"/>
              <w:rPr>
                <w:rFonts w:ascii="Times New Roman" w:hAnsi="Times New Roman"/>
              </w:rPr>
            </w:pPr>
            <w:r w:rsidRPr="00372862">
              <w:rPr>
                <w:rFonts w:ascii="Times New Roman" w:hAnsi="Times New Roman"/>
                <w:i/>
                <w:iCs/>
              </w:rPr>
              <w:t>Missing</w:t>
            </w:r>
            <w:r w:rsidRPr="00372862">
              <w:rPr>
                <w:rFonts w:ascii="Times New Roman" w:hAnsi="Times New Roman"/>
              </w:rPr>
              <w:t>, N (%)</w:t>
            </w:r>
          </w:p>
        </w:tc>
        <w:tc>
          <w:tcPr>
            <w:tcW w:w="2126" w:type="dxa"/>
            <w:tcBorders>
              <w:top w:val="nil"/>
              <w:bottom w:val="single" w:sz="4" w:space="0" w:color="auto"/>
            </w:tcBorders>
            <w:noWrap/>
            <w:vAlign w:val="bottom"/>
          </w:tcPr>
          <w:p w14:paraId="07648D83"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206 (7.11)</w:t>
            </w:r>
          </w:p>
        </w:tc>
        <w:tc>
          <w:tcPr>
            <w:tcW w:w="1984" w:type="dxa"/>
            <w:tcBorders>
              <w:top w:val="nil"/>
              <w:bottom w:val="single" w:sz="4" w:space="0" w:color="auto"/>
            </w:tcBorders>
            <w:noWrap/>
            <w:vAlign w:val="bottom"/>
          </w:tcPr>
          <w:p w14:paraId="37959EC7"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331 (8.67)</w:t>
            </w:r>
          </w:p>
        </w:tc>
        <w:tc>
          <w:tcPr>
            <w:tcW w:w="1083" w:type="dxa"/>
            <w:tcBorders>
              <w:top w:val="nil"/>
              <w:bottom w:val="single" w:sz="4" w:space="0" w:color="auto"/>
            </w:tcBorders>
            <w:noWrap/>
            <w:vAlign w:val="bottom"/>
          </w:tcPr>
          <w:p w14:paraId="01F8F703"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0.020</w:t>
            </w:r>
          </w:p>
        </w:tc>
      </w:tr>
      <w:tr w:rsidR="00186E7E" w:rsidRPr="00372862" w14:paraId="31AEE877" w14:textId="77777777" w:rsidTr="00372862">
        <w:trPr>
          <w:trHeight w:val="300"/>
        </w:trPr>
        <w:tc>
          <w:tcPr>
            <w:tcW w:w="3823" w:type="dxa"/>
            <w:tcBorders>
              <w:top w:val="single" w:sz="4" w:space="0" w:color="auto"/>
              <w:bottom w:val="nil"/>
            </w:tcBorders>
            <w:noWrap/>
            <w:hideMark/>
          </w:tcPr>
          <w:p w14:paraId="06932728"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 xml:space="preserve">LDL cholesterol (mmol/L), </w:t>
            </w:r>
          </w:p>
          <w:p w14:paraId="5651D3DD"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mean (SD)</w:t>
            </w:r>
          </w:p>
        </w:tc>
        <w:tc>
          <w:tcPr>
            <w:tcW w:w="2126" w:type="dxa"/>
            <w:tcBorders>
              <w:top w:val="single" w:sz="4" w:space="0" w:color="auto"/>
              <w:bottom w:val="nil"/>
            </w:tcBorders>
            <w:noWrap/>
            <w:hideMark/>
          </w:tcPr>
          <w:p w14:paraId="1C39B72E"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2.91 (0.97)</w:t>
            </w:r>
          </w:p>
        </w:tc>
        <w:tc>
          <w:tcPr>
            <w:tcW w:w="1984" w:type="dxa"/>
            <w:tcBorders>
              <w:top w:val="single" w:sz="4" w:space="0" w:color="auto"/>
              <w:bottom w:val="nil"/>
            </w:tcBorders>
            <w:noWrap/>
            <w:hideMark/>
          </w:tcPr>
          <w:p w14:paraId="6D3516C8"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3.36 (0.97)</w:t>
            </w:r>
          </w:p>
        </w:tc>
        <w:tc>
          <w:tcPr>
            <w:tcW w:w="1083" w:type="dxa"/>
            <w:tcBorders>
              <w:top w:val="single" w:sz="4" w:space="0" w:color="auto"/>
              <w:bottom w:val="nil"/>
            </w:tcBorders>
            <w:noWrap/>
            <w:vAlign w:val="center"/>
            <w:hideMark/>
          </w:tcPr>
          <w:p w14:paraId="28B7E3E7"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1BF38278" w14:textId="77777777" w:rsidTr="00372862">
        <w:trPr>
          <w:trHeight w:val="300"/>
        </w:trPr>
        <w:tc>
          <w:tcPr>
            <w:tcW w:w="3823" w:type="dxa"/>
            <w:tcBorders>
              <w:top w:val="nil"/>
              <w:bottom w:val="single" w:sz="4" w:space="0" w:color="auto"/>
            </w:tcBorders>
            <w:noWrap/>
            <w:tcMar>
              <w:left w:w="227" w:type="dxa"/>
            </w:tcMar>
          </w:tcPr>
          <w:p w14:paraId="1E18E504" w14:textId="77777777" w:rsidR="00186E7E" w:rsidRPr="00372862" w:rsidRDefault="00186E7E" w:rsidP="00186E7E">
            <w:pPr>
              <w:spacing w:after="0" w:line="240" w:lineRule="auto"/>
              <w:rPr>
                <w:rFonts w:ascii="Times New Roman" w:hAnsi="Times New Roman"/>
              </w:rPr>
            </w:pPr>
            <w:r w:rsidRPr="00372862">
              <w:rPr>
                <w:rFonts w:ascii="Times New Roman" w:hAnsi="Times New Roman"/>
                <w:i/>
                <w:iCs/>
              </w:rPr>
              <w:t>Missing</w:t>
            </w:r>
            <w:r w:rsidRPr="00372862">
              <w:rPr>
                <w:rFonts w:ascii="Times New Roman" w:hAnsi="Times New Roman"/>
              </w:rPr>
              <w:t>, N (%)</w:t>
            </w:r>
          </w:p>
        </w:tc>
        <w:tc>
          <w:tcPr>
            <w:tcW w:w="2126" w:type="dxa"/>
            <w:tcBorders>
              <w:top w:val="nil"/>
              <w:bottom w:val="single" w:sz="4" w:space="0" w:color="auto"/>
            </w:tcBorders>
            <w:noWrap/>
            <w:vAlign w:val="bottom"/>
          </w:tcPr>
          <w:p w14:paraId="3C167E61"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217 (7.49)</w:t>
            </w:r>
          </w:p>
        </w:tc>
        <w:tc>
          <w:tcPr>
            <w:tcW w:w="1984" w:type="dxa"/>
            <w:tcBorders>
              <w:top w:val="nil"/>
              <w:bottom w:val="single" w:sz="4" w:space="0" w:color="auto"/>
            </w:tcBorders>
            <w:noWrap/>
            <w:vAlign w:val="bottom"/>
          </w:tcPr>
          <w:p w14:paraId="45FB245B"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335 (8.77)</w:t>
            </w:r>
          </w:p>
        </w:tc>
        <w:tc>
          <w:tcPr>
            <w:tcW w:w="1083" w:type="dxa"/>
            <w:tcBorders>
              <w:top w:val="nil"/>
              <w:bottom w:val="single" w:sz="4" w:space="0" w:color="auto"/>
            </w:tcBorders>
            <w:noWrap/>
            <w:vAlign w:val="center"/>
          </w:tcPr>
          <w:p w14:paraId="4EAE9E16" w14:textId="77777777" w:rsidR="00186E7E" w:rsidRPr="00372862" w:rsidRDefault="00186E7E" w:rsidP="00186E7E">
            <w:pPr>
              <w:spacing w:after="0" w:line="240" w:lineRule="auto"/>
              <w:jc w:val="center"/>
              <w:rPr>
                <w:rFonts w:ascii="Times New Roman" w:hAnsi="Times New Roman"/>
              </w:rPr>
            </w:pPr>
            <w:r w:rsidRPr="00372862">
              <w:rPr>
                <w:rFonts w:ascii="Times New Roman" w:hAnsi="Times New Roman"/>
              </w:rPr>
              <w:t>0.058</w:t>
            </w:r>
          </w:p>
        </w:tc>
      </w:tr>
      <w:tr w:rsidR="00186E7E" w:rsidRPr="00372862" w14:paraId="10BFECBE" w14:textId="77777777" w:rsidTr="00372862">
        <w:trPr>
          <w:trHeight w:val="300"/>
        </w:trPr>
        <w:tc>
          <w:tcPr>
            <w:tcW w:w="3823" w:type="dxa"/>
            <w:tcBorders>
              <w:bottom w:val="nil"/>
            </w:tcBorders>
            <w:noWrap/>
            <w:hideMark/>
          </w:tcPr>
          <w:p w14:paraId="67E0EC37"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 xml:space="preserve">Units of alcohol drunk, </w:t>
            </w:r>
          </w:p>
          <w:p w14:paraId="3AD2E3C8"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median (IQR)</w:t>
            </w:r>
          </w:p>
        </w:tc>
        <w:tc>
          <w:tcPr>
            <w:tcW w:w="2126" w:type="dxa"/>
            <w:tcBorders>
              <w:bottom w:val="nil"/>
            </w:tcBorders>
            <w:noWrap/>
            <w:hideMark/>
          </w:tcPr>
          <w:p w14:paraId="4779356A"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6.00 (1.00-12.00)</w:t>
            </w:r>
          </w:p>
        </w:tc>
        <w:tc>
          <w:tcPr>
            <w:tcW w:w="1984" w:type="dxa"/>
            <w:tcBorders>
              <w:bottom w:val="nil"/>
            </w:tcBorders>
            <w:noWrap/>
            <w:hideMark/>
          </w:tcPr>
          <w:p w14:paraId="10030179"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2.00 (0.00-6.00)</w:t>
            </w:r>
          </w:p>
        </w:tc>
        <w:tc>
          <w:tcPr>
            <w:tcW w:w="1083" w:type="dxa"/>
            <w:tcBorders>
              <w:bottom w:val="nil"/>
            </w:tcBorders>
            <w:noWrap/>
            <w:vAlign w:val="center"/>
            <w:hideMark/>
          </w:tcPr>
          <w:p w14:paraId="5E5C29E4"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243BAA7B" w14:textId="77777777" w:rsidTr="00372862">
        <w:trPr>
          <w:trHeight w:val="300"/>
        </w:trPr>
        <w:tc>
          <w:tcPr>
            <w:tcW w:w="3823" w:type="dxa"/>
            <w:tcBorders>
              <w:top w:val="nil"/>
              <w:bottom w:val="single" w:sz="4" w:space="0" w:color="auto"/>
            </w:tcBorders>
            <w:noWrap/>
            <w:tcMar>
              <w:left w:w="227" w:type="dxa"/>
            </w:tcMar>
          </w:tcPr>
          <w:p w14:paraId="2DE9F17E" w14:textId="77777777" w:rsidR="00186E7E" w:rsidRPr="00372862" w:rsidRDefault="00186E7E" w:rsidP="00186E7E">
            <w:pPr>
              <w:spacing w:after="0" w:line="240" w:lineRule="auto"/>
              <w:rPr>
                <w:rFonts w:ascii="Times New Roman" w:hAnsi="Times New Roman"/>
              </w:rPr>
            </w:pPr>
            <w:r w:rsidRPr="00372862">
              <w:rPr>
                <w:rFonts w:ascii="Times New Roman" w:hAnsi="Times New Roman"/>
                <w:i/>
                <w:iCs/>
              </w:rPr>
              <w:t>Missing</w:t>
            </w:r>
            <w:r w:rsidRPr="00372862">
              <w:rPr>
                <w:rFonts w:ascii="Times New Roman" w:hAnsi="Times New Roman"/>
              </w:rPr>
              <w:t>, N (%)</w:t>
            </w:r>
          </w:p>
        </w:tc>
        <w:tc>
          <w:tcPr>
            <w:tcW w:w="2126" w:type="dxa"/>
            <w:tcBorders>
              <w:top w:val="nil"/>
              <w:bottom w:val="single" w:sz="4" w:space="0" w:color="auto"/>
            </w:tcBorders>
            <w:noWrap/>
            <w:vAlign w:val="bottom"/>
          </w:tcPr>
          <w:p w14:paraId="02E238A8"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97 (3.35)</w:t>
            </w:r>
          </w:p>
        </w:tc>
        <w:tc>
          <w:tcPr>
            <w:tcW w:w="1984" w:type="dxa"/>
            <w:tcBorders>
              <w:top w:val="nil"/>
              <w:bottom w:val="single" w:sz="4" w:space="0" w:color="auto"/>
            </w:tcBorders>
            <w:noWrap/>
            <w:vAlign w:val="bottom"/>
          </w:tcPr>
          <w:p w14:paraId="3BA43C41"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153 (4.01)</w:t>
            </w:r>
          </w:p>
        </w:tc>
        <w:tc>
          <w:tcPr>
            <w:tcW w:w="1083" w:type="dxa"/>
            <w:tcBorders>
              <w:top w:val="nil"/>
              <w:bottom w:val="single" w:sz="4" w:space="0" w:color="auto"/>
            </w:tcBorders>
            <w:noWrap/>
            <w:vAlign w:val="center"/>
          </w:tcPr>
          <w:p w14:paraId="26A85E70" w14:textId="77777777" w:rsidR="00186E7E" w:rsidRPr="00372862" w:rsidRDefault="00186E7E" w:rsidP="00186E7E">
            <w:pPr>
              <w:spacing w:after="0" w:line="240" w:lineRule="auto"/>
              <w:jc w:val="center"/>
              <w:rPr>
                <w:rFonts w:ascii="Times New Roman" w:hAnsi="Times New Roman"/>
              </w:rPr>
            </w:pPr>
            <w:r w:rsidRPr="00372862">
              <w:rPr>
                <w:rFonts w:ascii="Times New Roman" w:hAnsi="Times New Roman"/>
              </w:rPr>
              <w:t>0.158</w:t>
            </w:r>
          </w:p>
        </w:tc>
      </w:tr>
      <w:tr w:rsidR="00186E7E" w:rsidRPr="00372862" w14:paraId="7A8DD05F" w14:textId="77777777" w:rsidTr="00372862">
        <w:trPr>
          <w:trHeight w:val="300"/>
        </w:trPr>
        <w:tc>
          <w:tcPr>
            <w:tcW w:w="3823" w:type="dxa"/>
            <w:tcBorders>
              <w:bottom w:val="nil"/>
            </w:tcBorders>
            <w:noWrap/>
          </w:tcPr>
          <w:p w14:paraId="20080894"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Educational Level, N (%)</w:t>
            </w:r>
          </w:p>
        </w:tc>
        <w:tc>
          <w:tcPr>
            <w:tcW w:w="2126" w:type="dxa"/>
            <w:tcBorders>
              <w:bottom w:val="nil"/>
            </w:tcBorders>
            <w:noWrap/>
          </w:tcPr>
          <w:p w14:paraId="6F3DCBB6" w14:textId="77777777" w:rsidR="00186E7E" w:rsidRPr="00372862" w:rsidRDefault="00186E7E" w:rsidP="00186E7E">
            <w:pPr>
              <w:spacing w:after="0" w:line="240" w:lineRule="auto"/>
              <w:rPr>
                <w:rFonts w:ascii="Times New Roman" w:hAnsi="Times New Roman"/>
              </w:rPr>
            </w:pPr>
          </w:p>
        </w:tc>
        <w:tc>
          <w:tcPr>
            <w:tcW w:w="1984" w:type="dxa"/>
            <w:tcBorders>
              <w:bottom w:val="nil"/>
            </w:tcBorders>
            <w:noWrap/>
          </w:tcPr>
          <w:p w14:paraId="30BCFCEE" w14:textId="77777777" w:rsidR="00186E7E" w:rsidRPr="00372862" w:rsidRDefault="00186E7E" w:rsidP="00186E7E">
            <w:pPr>
              <w:spacing w:after="0" w:line="240" w:lineRule="auto"/>
              <w:rPr>
                <w:rFonts w:ascii="Times New Roman" w:hAnsi="Times New Roman"/>
              </w:rPr>
            </w:pPr>
          </w:p>
        </w:tc>
        <w:tc>
          <w:tcPr>
            <w:tcW w:w="1083" w:type="dxa"/>
            <w:tcBorders>
              <w:bottom w:val="nil"/>
            </w:tcBorders>
            <w:noWrap/>
            <w:vAlign w:val="center"/>
          </w:tcPr>
          <w:p w14:paraId="5D3FFB05"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209B541B" w14:textId="77777777" w:rsidTr="00372862">
        <w:trPr>
          <w:trHeight w:val="300"/>
        </w:trPr>
        <w:tc>
          <w:tcPr>
            <w:tcW w:w="3823" w:type="dxa"/>
            <w:tcBorders>
              <w:top w:val="nil"/>
              <w:bottom w:val="nil"/>
            </w:tcBorders>
            <w:noWrap/>
            <w:tcMar>
              <w:left w:w="227" w:type="dxa"/>
            </w:tcMar>
            <w:hideMark/>
          </w:tcPr>
          <w:p w14:paraId="2D7FB96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None</w:t>
            </w:r>
          </w:p>
        </w:tc>
        <w:tc>
          <w:tcPr>
            <w:tcW w:w="2126" w:type="dxa"/>
            <w:tcBorders>
              <w:top w:val="nil"/>
              <w:bottom w:val="nil"/>
            </w:tcBorders>
            <w:noWrap/>
            <w:hideMark/>
          </w:tcPr>
          <w:p w14:paraId="17F7BB99"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635 (21.92)</w:t>
            </w:r>
          </w:p>
        </w:tc>
        <w:tc>
          <w:tcPr>
            <w:tcW w:w="1984" w:type="dxa"/>
            <w:tcBorders>
              <w:top w:val="nil"/>
              <w:bottom w:val="nil"/>
            </w:tcBorders>
            <w:noWrap/>
            <w:hideMark/>
          </w:tcPr>
          <w:p w14:paraId="15E48BA4"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1115 (29.20)</w:t>
            </w:r>
          </w:p>
        </w:tc>
        <w:tc>
          <w:tcPr>
            <w:tcW w:w="1083" w:type="dxa"/>
            <w:tcBorders>
              <w:top w:val="nil"/>
              <w:bottom w:val="nil"/>
            </w:tcBorders>
            <w:noWrap/>
            <w:vAlign w:val="center"/>
          </w:tcPr>
          <w:p w14:paraId="7BCDC8BF" w14:textId="77777777" w:rsidR="00186E7E" w:rsidRPr="00372862" w:rsidRDefault="00186E7E" w:rsidP="00186E7E">
            <w:pPr>
              <w:spacing w:after="0" w:line="240" w:lineRule="auto"/>
              <w:jc w:val="center"/>
              <w:rPr>
                <w:rFonts w:ascii="Times New Roman" w:hAnsi="Times New Roman"/>
              </w:rPr>
            </w:pPr>
          </w:p>
        </w:tc>
      </w:tr>
      <w:tr w:rsidR="00186E7E" w:rsidRPr="00372862" w14:paraId="60BBEC35" w14:textId="77777777" w:rsidTr="00372862">
        <w:trPr>
          <w:trHeight w:val="300"/>
        </w:trPr>
        <w:tc>
          <w:tcPr>
            <w:tcW w:w="3823" w:type="dxa"/>
            <w:tcBorders>
              <w:top w:val="nil"/>
              <w:bottom w:val="nil"/>
            </w:tcBorders>
            <w:noWrap/>
            <w:tcMar>
              <w:left w:w="227" w:type="dxa"/>
            </w:tcMar>
            <w:hideMark/>
          </w:tcPr>
          <w:p w14:paraId="01F64815"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O-level</w:t>
            </w:r>
          </w:p>
        </w:tc>
        <w:tc>
          <w:tcPr>
            <w:tcW w:w="2126" w:type="dxa"/>
            <w:tcBorders>
              <w:top w:val="nil"/>
              <w:bottom w:val="nil"/>
            </w:tcBorders>
            <w:noWrap/>
            <w:hideMark/>
          </w:tcPr>
          <w:p w14:paraId="603810EA"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279 (9.63)</w:t>
            </w:r>
          </w:p>
        </w:tc>
        <w:tc>
          <w:tcPr>
            <w:tcW w:w="1984" w:type="dxa"/>
            <w:tcBorders>
              <w:top w:val="nil"/>
              <w:bottom w:val="nil"/>
            </w:tcBorders>
            <w:noWrap/>
            <w:hideMark/>
          </w:tcPr>
          <w:p w14:paraId="61EDBF31"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522 (13.67)</w:t>
            </w:r>
          </w:p>
        </w:tc>
        <w:tc>
          <w:tcPr>
            <w:tcW w:w="1083" w:type="dxa"/>
            <w:tcBorders>
              <w:top w:val="nil"/>
              <w:bottom w:val="nil"/>
            </w:tcBorders>
            <w:noWrap/>
            <w:vAlign w:val="center"/>
          </w:tcPr>
          <w:p w14:paraId="78CCB801" w14:textId="77777777" w:rsidR="00186E7E" w:rsidRPr="00372862" w:rsidRDefault="00186E7E" w:rsidP="00186E7E">
            <w:pPr>
              <w:spacing w:after="0" w:line="240" w:lineRule="auto"/>
              <w:jc w:val="center"/>
              <w:rPr>
                <w:rFonts w:ascii="Times New Roman" w:hAnsi="Times New Roman"/>
              </w:rPr>
            </w:pPr>
          </w:p>
        </w:tc>
      </w:tr>
      <w:tr w:rsidR="00186E7E" w:rsidRPr="00372862" w14:paraId="154AC3E8" w14:textId="77777777" w:rsidTr="00372862">
        <w:trPr>
          <w:trHeight w:val="300"/>
        </w:trPr>
        <w:tc>
          <w:tcPr>
            <w:tcW w:w="3823" w:type="dxa"/>
            <w:tcBorders>
              <w:top w:val="nil"/>
              <w:bottom w:val="nil"/>
            </w:tcBorders>
            <w:noWrap/>
            <w:tcMar>
              <w:left w:w="227" w:type="dxa"/>
            </w:tcMar>
            <w:hideMark/>
          </w:tcPr>
          <w:p w14:paraId="2461922F"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lastRenderedPageBreak/>
              <w:t>A-level</w:t>
            </w:r>
          </w:p>
        </w:tc>
        <w:tc>
          <w:tcPr>
            <w:tcW w:w="2126" w:type="dxa"/>
            <w:tcBorders>
              <w:top w:val="nil"/>
              <w:bottom w:val="nil"/>
            </w:tcBorders>
            <w:noWrap/>
            <w:hideMark/>
          </w:tcPr>
          <w:p w14:paraId="4E31E240"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1384 (47.77)</w:t>
            </w:r>
          </w:p>
        </w:tc>
        <w:tc>
          <w:tcPr>
            <w:tcW w:w="1984" w:type="dxa"/>
            <w:tcBorders>
              <w:top w:val="nil"/>
              <w:bottom w:val="nil"/>
            </w:tcBorders>
            <w:noWrap/>
            <w:hideMark/>
          </w:tcPr>
          <w:p w14:paraId="6AC18E89"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1581 (41.40)</w:t>
            </w:r>
          </w:p>
        </w:tc>
        <w:tc>
          <w:tcPr>
            <w:tcW w:w="1083" w:type="dxa"/>
            <w:tcBorders>
              <w:top w:val="nil"/>
              <w:bottom w:val="nil"/>
            </w:tcBorders>
            <w:noWrap/>
            <w:vAlign w:val="center"/>
          </w:tcPr>
          <w:p w14:paraId="1E85FD15" w14:textId="77777777" w:rsidR="00186E7E" w:rsidRPr="00372862" w:rsidRDefault="00186E7E" w:rsidP="00186E7E">
            <w:pPr>
              <w:spacing w:after="0" w:line="240" w:lineRule="auto"/>
              <w:jc w:val="center"/>
              <w:rPr>
                <w:rFonts w:ascii="Times New Roman" w:hAnsi="Times New Roman"/>
              </w:rPr>
            </w:pPr>
          </w:p>
        </w:tc>
      </w:tr>
      <w:tr w:rsidR="00186E7E" w:rsidRPr="00372862" w14:paraId="7B570B83" w14:textId="77777777" w:rsidTr="00372862">
        <w:trPr>
          <w:trHeight w:val="300"/>
        </w:trPr>
        <w:tc>
          <w:tcPr>
            <w:tcW w:w="3823" w:type="dxa"/>
            <w:tcBorders>
              <w:top w:val="nil"/>
              <w:bottom w:val="nil"/>
            </w:tcBorders>
            <w:noWrap/>
            <w:tcMar>
              <w:left w:w="227" w:type="dxa"/>
            </w:tcMar>
            <w:hideMark/>
          </w:tcPr>
          <w:p w14:paraId="704A5460"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University Degree</w:t>
            </w:r>
          </w:p>
        </w:tc>
        <w:tc>
          <w:tcPr>
            <w:tcW w:w="2126" w:type="dxa"/>
            <w:tcBorders>
              <w:top w:val="nil"/>
              <w:bottom w:val="nil"/>
            </w:tcBorders>
            <w:noWrap/>
            <w:hideMark/>
          </w:tcPr>
          <w:p w14:paraId="6E93D07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599 (20.68)</w:t>
            </w:r>
          </w:p>
        </w:tc>
        <w:tc>
          <w:tcPr>
            <w:tcW w:w="1984" w:type="dxa"/>
            <w:tcBorders>
              <w:top w:val="nil"/>
              <w:bottom w:val="nil"/>
            </w:tcBorders>
            <w:noWrap/>
            <w:hideMark/>
          </w:tcPr>
          <w:p w14:paraId="37B0A31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601 (15.734)</w:t>
            </w:r>
          </w:p>
        </w:tc>
        <w:tc>
          <w:tcPr>
            <w:tcW w:w="1083" w:type="dxa"/>
            <w:tcBorders>
              <w:top w:val="nil"/>
              <w:bottom w:val="nil"/>
            </w:tcBorders>
            <w:noWrap/>
            <w:vAlign w:val="center"/>
          </w:tcPr>
          <w:p w14:paraId="0E6CB48C" w14:textId="77777777" w:rsidR="00186E7E" w:rsidRPr="00372862" w:rsidRDefault="00186E7E" w:rsidP="00186E7E">
            <w:pPr>
              <w:spacing w:after="0" w:line="240" w:lineRule="auto"/>
              <w:jc w:val="center"/>
              <w:rPr>
                <w:rFonts w:ascii="Times New Roman" w:hAnsi="Times New Roman"/>
              </w:rPr>
            </w:pPr>
          </w:p>
        </w:tc>
      </w:tr>
      <w:tr w:rsidR="00186E7E" w:rsidRPr="00372862" w14:paraId="1FEDB45A" w14:textId="77777777" w:rsidTr="00372862">
        <w:trPr>
          <w:trHeight w:val="300"/>
        </w:trPr>
        <w:tc>
          <w:tcPr>
            <w:tcW w:w="3823" w:type="dxa"/>
            <w:tcBorders>
              <w:bottom w:val="nil"/>
            </w:tcBorders>
            <w:noWrap/>
          </w:tcPr>
          <w:p w14:paraId="4B283BF5"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Physical activity level, N (%)</w:t>
            </w:r>
          </w:p>
        </w:tc>
        <w:tc>
          <w:tcPr>
            <w:tcW w:w="2126" w:type="dxa"/>
            <w:tcBorders>
              <w:bottom w:val="nil"/>
            </w:tcBorders>
            <w:noWrap/>
          </w:tcPr>
          <w:p w14:paraId="6191035D" w14:textId="77777777" w:rsidR="00186E7E" w:rsidRPr="00372862" w:rsidRDefault="00186E7E" w:rsidP="00186E7E">
            <w:pPr>
              <w:spacing w:after="0" w:line="240" w:lineRule="auto"/>
              <w:rPr>
                <w:rFonts w:ascii="Times New Roman" w:hAnsi="Times New Roman"/>
              </w:rPr>
            </w:pPr>
          </w:p>
        </w:tc>
        <w:tc>
          <w:tcPr>
            <w:tcW w:w="1984" w:type="dxa"/>
            <w:tcBorders>
              <w:bottom w:val="nil"/>
            </w:tcBorders>
            <w:noWrap/>
          </w:tcPr>
          <w:p w14:paraId="133AED11" w14:textId="77777777" w:rsidR="00186E7E" w:rsidRPr="00372862" w:rsidRDefault="00186E7E" w:rsidP="00186E7E">
            <w:pPr>
              <w:spacing w:after="0" w:line="240" w:lineRule="auto"/>
              <w:rPr>
                <w:rFonts w:ascii="Times New Roman" w:hAnsi="Times New Roman"/>
              </w:rPr>
            </w:pPr>
          </w:p>
        </w:tc>
        <w:tc>
          <w:tcPr>
            <w:tcW w:w="1083" w:type="dxa"/>
            <w:tcBorders>
              <w:bottom w:val="nil"/>
            </w:tcBorders>
            <w:noWrap/>
            <w:vAlign w:val="center"/>
          </w:tcPr>
          <w:p w14:paraId="56A55654"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238685A9" w14:textId="77777777" w:rsidTr="00372862">
        <w:trPr>
          <w:trHeight w:val="300"/>
        </w:trPr>
        <w:tc>
          <w:tcPr>
            <w:tcW w:w="3823" w:type="dxa"/>
            <w:tcBorders>
              <w:top w:val="nil"/>
              <w:bottom w:val="nil"/>
            </w:tcBorders>
            <w:noWrap/>
            <w:tcMar>
              <w:left w:w="227" w:type="dxa"/>
            </w:tcMar>
            <w:hideMark/>
          </w:tcPr>
          <w:p w14:paraId="7D2CA06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Inactive</w:t>
            </w:r>
          </w:p>
        </w:tc>
        <w:tc>
          <w:tcPr>
            <w:tcW w:w="2126" w:type="dxa"/>
            <w:tcBorders>
              <w:top w:val="nil"/>
              <w:bottom w:val="nil"/>
            </w:tcBorders>
            <w:noWrap/>
            <w:hideMark/>
          </w:tcPr>
          <w:p w14:paraId="3411B894"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1086 (37.49)</w:t>
            </w:r>
          </w:p>
        </w:tc>
        <w:tc>
          <w:tcPr>
            <w:tcW w:w="1984" w:type="dxa"/>
            <w:tcBorders>
              <w:top w:val="nil"/>
              <w:bottom w:val="nil"/>
            </w:tcBorders>
            <w:noWrap/>
            <w:hideMark/>
          </w:tcPr>
          <w:p w14:paraId="26E2CBAD"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1381 (36.16)</w:t>
            </w:r>
          </w:p>
        </w:tc>
        <w:tc>
          <w:tcPr>
            <w:tcW w:w="1083" w:type="dxa"/>
            <w:tcBorders>
              <w:top w:val="nil"/>
              <w:bottom w:val="nil"/>
            </w:tcBorders>
            <w:noWrap/>
            <w:vAlign w:val="center"/>
          </w:tcPr>
          <w:p w14:paraId="65AC7161" w14:textId="77777777" w:rsidR="00186E7E" w:rsidRPr="00372862" w:rsidRDefault="00186E7E" w:rsidP="00186E7E">
            <w:pPr>
              <w:spacing w:after="0" w:line="240" w:lineRule="auto"/>
              <w:jc w:val="center"/>
              <w:rPr>
                <w:rFonts w:ascii="Times New Roman" w:hAnsi="Times New Roman"/>
              </w:rPr>
            </w:pPr>
          </w:p>
        </w:tc>
      </w:tr>
      <w:tr w:rsidR="00186E7E" w:rsidRPr="00372862" w14:paraId="1E0A1678" w14:textId="77777777" w:rsidTr="00372862">
        <w:trPr>
          <w:trHeight w:val="300"/>
        </w:trPr>
        <w:tc>
          <w:tcPr>
            <w:tcW w:w="3823" w:type="dxa"/>
            <w:tcBorders>
              <w:top w:val="nil"/>
              <w:bottom w:val="nil"/>
            </w:tcBorders>
            <w:noWrap/>
            <w:tcMar>
              <w:left w:w="227" w:type="dxa"/>
            </w:tcMar>
            <w:hideMark/>
          </w:tcPr>
          <w:p w14:paraId="7AC25BB0"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Moderately inactive</w:t>
            </w:r>
          </w:p>
        </w:tc>
        <w:tc>
          <w:tcPr>
            <w:tcW w:w="2126" w:type="dxa"/>
            <w:tcBorders>
              <w:top w:val="nil"/>
              <w:bottom w:val="nil"/>
            </w:tcBorders>
            <w:noWrap/>
            <w:hideMark/>
          </w:tcPr>
          <w:p w14:paraId="0D447117"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731 (25.23)</w:t>
            </w:r>
          </w:p>
        </w:tc>
        <w:tc>
          <w:tcPr>
            <w:tcW w:w="1984" w:type="dxa"/>
            <w:tcBorders>
              <w:top w:val="nil"/>
              <w:bottom w:val="nil"/>
            </w:tcBorders>
            <w:noWrap/>
            <w:hideMark/>
          </w:tcPr>
          <w:p w14:paraId="15B34677"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1232 (32.26)</w:t>
            </w:r>
          </w:p>
        </w:tc>
        <w:tc>
          <w:tcPr>
            <w:tcW w:w="1083" w:type="dxa"/>
            <w:tcBorders>
              <w:top w:val="nil"/>
              <w:bottom w:val="nil"/>
            </w:tcBorders>
            <w:noWrap/>
            <w:vAlign w:val="center"/>
          </w:tcPr>
          <w:p w14:paraId="19A3052C" w14:textId="77777777" w:rsidR="00186E7E" w:rsidRPr="00372862" w:rsidRDefault="00186E7E" w:rsidP="00186E7E">
            <w:pPr>
              <w:spacing w:after="0" w:line="240" w:lineRule="auto"/>
              <w:jc w:val="center"/>
              <w:rPr>
                <w:rFonts w:ascii="Times New Roman" w:hAnsi="Times New Roman"/>
              </w:rPr>
            </w:pPr>
          </w:p>
        </w:tc>
      </w:tr>
      <w:tr w:rsidR="00186E7E" w:rsidRPr="00372862" w14:paraId="47DE0DBB" w14:textId="77777777" w:rsidTr="00372862">
        <w:trPr>
          <w:trHeight w:val="300"/>
        </w:trPr>
        <w:tc>
          <w:tcPr>
            <w:tcW w:w="3823" w:type="dxa"/>
            <w:tcBorders>
              <w:top w:val="nil"/>
              <w:bottom w:val="nil"/>
            </w:tcBorders>
            <w:noWrap/>
            <w:tcMar>
              <w:left w:w="227" w:type="dxa"/>
            </w:tcMar>
            <w:hideMark/>
          </w:tcPr>
          <w:p w14:paraId="040CB6E4"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Moderately active</w:t>
            </w:r>
          </w:p>
        </w:tc>
        <w:tc>
          <w:tcPr>
            <w:tcW w:w="2126" w:type="dxa"/>
            <w:tcBorders>
              <w:top w:val="nil"/>
              <w:bottom w:val="nil"/>
            </w:tcBorders>
            <w:noWrap/>
            <w:hideMark/>
          </w:tcPr>
          <w:p w14:paraId="76D0EC44"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519 (17.92)</w:t>
            </w:r>
          </w:p>
        </w:tc>
        <w:tc>
          <w:tcPr>
            <w:tcW w:w="1984" w:type="dxa"/>
            <w:tcBorders>
              <w:top w:val="nil"/>
              <w:bottom w:val="nil"/>
            </w:tcBorders>
            <w:noWrap/>
            <w:hideMark/>
          </w:tcPr>
          <w:p w14:paraId="4804E9AF"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644 (16.87)</w:t>
            </w:r>
          </w:p>
        </w:tc>
        <w:tc>
          <w:tcPr>
            <w:tcW w:w="1083" w:type="dxa"/>
            <w:tcBorders>
              <w:top w:val="nil"/>
              <w:bottom w:val="nil"/>
            </w:tcBorders>
            <w:noWrap/>
            <w:vAlign w:val="center"/>
          </w:tcPr>
          <w:p w14:paraId="7F85B783" w14:textId="77777777" w:rsidR="00186E7E" w:rsidRPr="00372862" w:rsidRDefault="00186E7E" w:rsidP="00186E7E">
            <w:pPr>
              <w:spacing w:after="0" w:line="240" w:lineRule="auto"/>
              <w:jc w:val="center"/>
              <w:rPr>
                <w:rFonts w:ascii="Times New Roman" w:hAnsi="Times New Roman"/>
              </w:rPr>
            </w:pPr>
          </w:p>
        </w:tc>
      </w:tr>
      <w:tr w:rsidR="00186E7E" w:rsidRPr="00372862" w14:paraId="5512D77B" w14:textId="77777777" w:rsidTr="00372862">
        <w:trPr>
          <w:trHeight w:val="300"/>
        </w:trPr>
        <w:tc>
          <w:tcPr>
            <w:tcW w:w="3823" w:type="dxa"/>
            <w:tcBorders>
              <w:top w:val="nil"/>
              <w:bottom w:val="nil"/>
            </w:tcBorders>
            <w:noWrap/>
            <w:tcMar>
              <w:left w:w="227" w:type="dxa"/>
            </w:tcMar>
            <w:hideMark/>
          </w:tcPr>
          <w:p w14:paraId="2CC1A390"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Active</w:t>
            </w:r>
          </w:p>
        </w:tc>
        <w:tc>
          <w:tcPr>
            <w:tcW w:w="2126" w:type="dxa"/>
            <w:tcBorders>
              <w:top w:val="nil"/>
              <w:bottom w:val="nil"/>
            </w:tcBorders>
            <w:noWrap/>
            <w:hideMark/>
          </w:tcPr>
          <w:p w14:paraId="1BACA2FB"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520 (17.95)</w:t>
            </w:r>
          </w:p>
        </w:tc>
        <w:tc>
          <w:tcPr>
            <w:tcW w:w="1984" w:type="dxa"/>
            <w:tcBorders>
              <w:top w:val="nil"/>
              <w:bottom w:val="nil"/>
            </w:tcBorders>
            <w:noWrap/>
            <w:hideMark/>
          </w:tcPr>
          <w:p w14:paraId="48F53E97"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511 (13.38)</w:t>
            </w:r>
          </w:p>
        </w:tc>
        <w:tc>
          <w:tcPr>
            <w:tcW w:w="1083" w:type="dxa"/>
            <w:tcBorders>
              <w:top w:val="nil"/>
              <w:bottom w:val="nil"/>
            </w:tcBorders>
            <w:noWrap/>
            <w:vAlign w:val="center"/>
          </w:tcPr>
          <w:p w14:paraId="036F04AB" w14:textId="77777777" w:rsidR="00186E7E" w:rsidRPr="00372862" w:rsidRDefault="00186E7E" w:rsidP="00186E7E">
            <w:pPr>
              <w:spacing w:after="0" w:line="240" w:lineRule="auto"/>
              <w:jc w:val="center"/>
              <w:rPr>
                <w:rFonts w:ascii="Times New Roman" w:hAnsi="Times New Roman"/>
              </w:rPr>
            </w:pPr>
          </w:p>
        </w:tc>
      </w:tr>
      <w:tr w:rsidR="00186E7E" w:rsidRPr="00372862" w14:paraId="620081D0" w14:textId="77777777" w:rsidTr="00372862">
        <w:trPr>
          <w:trHeight w:val="300"/>
        </w:trPr>
        <w:tc>
          <w:tcPr>
            <w:tcW w:w="3823" w:type="dxa"/>
            <w:tcBorders>
              <w:top w:val="nil"/>
              <w:bottom w:val="single" w:sz="4" w:space="0" w:color="auto"/>
            </w:tcBorders>
            <w:noWrap/>
            <w:tcMar>
              <w:left w:w="227" w:type="dxa"/>
            </w:tcMar>
            <w:hideMark/>
          </w:tcPr>
          <w:p w14:paraId="4EE16ED6" w14:textId="77777777" w:rsidR="00186E7E" w:rsidRPr="00372862" w:rsidRDefault="00186E7E" w:rsidP="00186E7E">
            <w:pPr>
              <w:spacing w:after="0" w:line="240" w:lineRule="auto"/>
              <w:rPr>
                <w:rFonts w:ascii="Times New Roman" w:hAnsi="Times New Roman"/>
                <w:i/>
                <w:iCs/>
              </w:rPr>
            </w:pPr>
            <w:r w:rsidRPr="00372862">
              <w:rPr>
                <w:rFonts w:ascii="Times New Roman" w:hAnsi="Times New Roman"/>
                <w:i/>
                <w:iCs/>
              </w:rPr>
              <w:t>Missing</w:t>
            </w:r>
          </w:p>
        </w:tc>
        <w:tc>
          <w:tcPr>
            <w:tcW w:w="2126" w:type="dxa"/>
            <w:tcBorders>
              <w:top w:val="nil"/>
              <w:bottom w:val="single" w:sz="4" w:space="0" w:color="auto"/>
            </w:tcBorders>
            <w:noWrap/>
            <w:hideMark/>
          </w:tcPr>
          <w:p w14:paraId="3965E9D3"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41 (1.42)</w:t>
            </w:r>
          </w:p>
        </w:tc>
        <w:tc>
          <w:tcPr>
            <w:tcW w:w="1984" w:type="dxa"/>
            <w:tcBorders>
              <w:top w:val="nil"/>
              <w:bottom w:val="single" w:sz="4" w:space="0" w:color="auto"/>
            </w:tcBorders>
            <w:noWrap/>
            <w:hideMark/>
          </w:tcPr>
          <w:p w14:paraId="15C81494"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51 (1.34)</w:t>
            </w:r>
          </w:p>
        </w:tc>
        <w:tc>
          <w:tcPr>
            <w:tcW w:w="1083" w:type="dxa"/>
            <w:tcBorders>
              <w:top w:val="nil"/>
              <w:bottom w:val="single" w:sz="4" w:space="0" w:color="auto"/>
            </w:tcBorders>
            <w:noWrap/>
            <w:vAlign w:val="center"/>
          </w:tcPr>
          <w:p w14:paraId="37CA2BD6" w14:textId="77777777" w:rsidR="00186E7E" w:rsidRPr="00372862" w:rsidRDefault="00186E7E" w:rsidP="00186E7E">
            <w:pPr>
              <w:spacing w:after="0" w:line="240" w:lineRule="auto"/>
              <w:jc w:val="center"/>
              <w:rPr>
                <w:rFonts w:ascii="Times New Roman" w:hAnsi="Times New Roman"/>
              </w:rPr>
            </w:pPr>
          </w:p>
        </w:tc>
      </w:tr>
      <w:tr w:rsidR="00186E7E" w:rsidRPr="00372862" w14:paraId="6D2B18E4" w14:textId="77777777" w:rsidTr="00372862">
        <w:trPr>
          <w:trHeight w:val="300"/>
        </w:trPr>
        <w:tc>
          <w:tcPr>
            <w:tcW w:w="3823" w:type="dxa"/>
            <w:tcBorders>
              <w:bottom w:val="nil"/>
            </w:tcBorders>
            <w:noWrap/>
          </w:tcPr>
          <w:p w14:paraId="4880F6EF"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Smoking status, N(%)</w:t>
            </w:r>
          </w:p>
        </w:tc>
        <w:tc>
          <w:tcPr>
            <w:tcW w:w="2126" w:type="dxa"/>
            <w:tcBorders>
              <w:bottom w:val="nil"/>
            </w:tcBorders>
            <w:noWrap/>
          </w:tcPr>
          <w:p w14:paraId="168DF7A8" w14:textId="77777777" w:rsidR="00186E7E" w:rsidRPr="00372862" w:rsidRDefault="00186E7E" w:rsidP="00186E7E">
            <w:pPr>
              <w:spacing w:after="0" w:line="240" w:lineRule="auto"/>
              <w:rPr>
                <w:rFonts w:ascii="Times New Roman" w:hAnsi="Times New Roman"/>
              </w:rPr>
            </w:pPr>
          </w:p>
        </w:tc>
        <w:tc>
          <w:tcPr>
            <w:tcW w:w="1984" w:type="dxa"/>
            <w:tcBorders>
              <w:bottom w:val="nil"/>
            </w:tcBorders>
            <w:noWrap/>
          </w:tcPr>
          <w:p w14:paraId="5F62B0C9" w14:textId="77777777" w:rsidR="00186E7E" w:rsidRPr="00372862" w:rsidRDefault="00186E7E" w:rsidP="00186E7E">
            <w:pPr>
              <w:spacing w:after="0" w:line="240" w:lineRule="auto"/>
              <w:rPr>
                <w:rFonts w:ascii="Times New Roman" w:hAnsi="Times New Roman"/>
              </w:rPr>
            </w:pPr>
          </w:p>
        </w:tc>
        <w:tc>
          <w:tcPr>
            <w:tcW w:w="1083" w:type="dxa"/>
            <w:tcBorders>
              <w:bottom w:val="nil"/>
            </w:tcBorders>
            <w:noWrap/>
            <w:vAlign w:val="center"/>
          </w:tcPr>
          <w:p w14:paraId="6824F72B"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0.024</w:t>
            </w:r>
          </w:p>
        </w:tc>
      </w:tr>
      <w:tr w:rsidR="00186E7E" w:rsidRPr="00372862" w14:paraId="7367E33A" w14:textId="77777777" w:rsidTr="00372862">
        <w:trPr>
          <w:trHeight w:val="300"/>
        </w:trPr>
        <w:tc>
          <w:tcPr>
            <w:tcW w:w="3823" w:type="dxa"/>
            <w:tcBorders>
              <w:top w:val="nil"/>
              <w:bottom w:val="nil"/>
            </w:tcBorders>
            <w:noWrap/>
            <w:tcMar>
              <w:left w:w="227" w:type="dxa"/>
            </w:tcMar>
            <w:hideMark/>
          </w:tcPr>
          <w:p w14:paraId="2966CEBA"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Yes</w:t>
            </w:r>
          </w:p>
        </w:tc>
        <w:tc>
          <w:tcPr>
            <w:tcW w:w="2126" w:type="dxa"/>
            <w:tcBorders>
              <w:top w:val="nil"/>
              <w:bottom w:val="nil"/>
            </w:tcBorders>
            <w:noWrap/>
            <w:hideMark/>
          </w:tcPr>
          <w:p w14:paraId="68157EA0"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90 (3.11)</w:t>
            </w:r>
          </w:p>
        </w:tc>
        <w:tc>
          <w:tcPr>
            <w:tcW w:w="1984" w:type="dxa"/>
            <w:tcBorders>
              <w:top w:val="nil"/>
              <w:bottom w:val="nil"/>
            </w:tcBorders>
            <w:noWrap/>
            <w:hideMark/>
          </w:tcPr>
          <w:p w14:paraId="1BA79DCA"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159 (4.16)</w:t>
            </w:r>
          </w:p>
        </w:tc>
        <w:tc>
          <w:tcPr>
            <w:tcW w:w="1083" w:type="dxa"/>
            <w:tcBorders>
              <w:top w:val="nil"/>
              <w:bottom w:val="nil"/>
            </w:tcBorders>
            <w:noWrap/>
            <w:vAlign w:val="center"/>
          </w:tcPr>
          <w:p w14:paraId="085D03CF" w14:textId="77777777" w:rsidR="00186E7E" w:rsidRPr="00372862" w:rsidRDefault="00186E7E" w:rsidP="00186E7E">
            <w:pPr>
              <w:spacing w:after="0" w:line="240" w:lineRule="auto"/>
              <w:jc w:val="center"/>
              <w:rPr>
                <w:rFonts w:ascii="Times New Roman" w:hAnsi="Times New Roman"/>
              </w:rPr>
            </w:pPr>
          </w:p>
        </w:tc>
      </w:tr>
      <w:tr w:rsidR="00186E7E" w:rsidRPr="00372862" w14:paraId="476534D7" w14:textId="77777777" w:rsidTr="00372862">
        <w:trPr>
          <w:trHeight w:val="300"/>
        </w:trPr>
        <w:tc>
          <w:tcPr>
            <w:tcW w:w="3823" w:type="dxa"/>
            <w:tcBorders>
              <w:top w:val="nil"/>
              <w:bottom w:val="nil"/>
            </w:tcBorders>
            <w:noWrap/>
            <w:tcMar>
              <w:left w:w="227" w:type="dxa"/>
            </w:tcMar>
            <w:hideMark/>
          </w:tcPr>
          <w:p w14:paraId="73852FC3"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No</w:t>
            </w:r>
          </w:p>
        </w:tc>
        <w:tc>
          <w:tcPr>
            <w:tcW w:w="2126" w:type="dxa"/>
            <w:tcBorders>
              <w:top w:val="nil"/>
              <w:bottom w:val="nil"/>
            </w:tcBorders>
            <w:noWrap/>
            <w:hideMark/>
          </w:tcPr>
          <w:p w14:paraId="57864A3E"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2762 (95.34)</w:t>
            </w:r>
          </w:p>
        </w:tc>
        <w:tc>
          <w:tcPr>
            <w:tcW w:w="1984" w:type="dxa"/>
            <w:tcBorders>
              <w:top w:val="nil"/>
              <w:bottom w:val="nil"/>
            </w:tcBorders>
            <w:noWrap/>
            <w:hideMark/>
          </w:tcPr>
          <w:p w14:paraId="55DB16D8"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3604 (94.37)</w:t>
            </w:r>
          </w:p>
        </w:tc>
        <w:tc>
          <w:tcPr>
            <w:tcW w:w="1083" w:type="dxa"/>
            <w:tcBorders>
              <w:top w:val="nil"/>
              <w:bottom w:val="nil"/>
            </w:tcBorders>
            <w:noWrap/>
            <w:vAlign w:val="center"/>
          </w:tcPr>
          <w:p w14:paraId="51085301" w14:textId="77777777" w:rsidR="00186E7E" w:rsidRPr="00372862" w:rsidRDefault="00186E7E" w:rsidP="00186E7E">
            <w:pPr>
              <w:spacing w:after="0" w:line="240" w:lineRule="auto"/>
              <w:jc w:val="center"/>
              <w:rPr>
                <w:rFonts w:ascii="Times New Roman" w:hAnsi="Times New Roman"/>
              </w:rPr>
            </w:pPr>
          </w:p>
        </w:tc>
      </w:tr>
      <w:tr w:rsidR="00186E7E" w:rsidRPr="00372862" w14:paraId="10D7011F" w14:textId="77777777" w:rsidTr="00372862">
        <w:trPr>
          <w:trHeight w:val="300"/>
        </w:trPr>
        <w:tc>
          <w:tcPr>
            <w:tcW w:w="3823" w:type="dxa"/>
            <w:tcBorders>
              <w:top w:val="nil"/>
              <w:bottom w:val="single" w:sz="4" w:space="0" w:color="auto"/>
            </w:tcBorders>
            <w:noWrap/>
            <w:tcMar>
              <w:left w:w="227" w:type="dxa"/>
            </w:tcMar>
            <w:hideMark/>
          </w:tcPr>
          <w:p w14:paraId="10A8F007" w14:textId="77777777" w:rsidR="00186E7E" w:rsidRPr="00372862" w:rsidRDefault="00186E7E" w:rsidP="00186E7E">
            <w:pPr>
              <w:spacing w:after="0" w:line="240" w:lineRule="auto"/>
              <w:rPr>
                <w:rFonts w:ascii="Times New Roman" w:hAnsi="Times New Roman"/>
                <w:i/>
                <w:iCs/>
              </w:rPr>
            </w:pPr>
            <w:r w:rsidRPr="00372862">
              <w:rPr>
                <w:rFonts w:ascii="Times New Roman" w:hAnsi="Times New Roman"/>
                <w:i/>
                <w:iCs/>
              </w:rPr>
              <w:t>Missing</w:t>
            </w:r>
          </w:p>
        </w:tc>
        <w:tc>
          <w:tcPr>
            <w:tcW w:w="2126" w:type="dxa"/>
            <w:tcBorders>
              <w:top w:val="nil"/>
              <w:bottom w:val="single" w:sz="4" w:space="0" w:color="auto"/>
            </w:tcBorders>
            <w:noWrap/>
            <w:hideMark/>
          </w:tcPr>
          <w:p w14:paraId="3C0D00CE"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45 (1.55)</w:t>
            </w:r>
          </w:p>
        </w:tc>
        <w:tc>
          <w:tcPr>
            <w:tcW w:w="1984" w:type="dxa"/>
            <w:tcBorders>
              <w:top w:val="nil"/>
              <w:bottom w:val="single" w:sz="4" w:space="0" w:color="auto"/>
            </w:tcBorders>
            <w:noWrap/>
            <w:hideMark/>
          </w:tcPr>
          <w:p w14:paraId="59E4A485"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56 (1.47)</w:t>
            </w:r>
          </w:p>
        </w:tc>
        <w:tc>
          <w:tcPr>
            <w:tcW w:w="1083" w:type="dxa"/>
            <w:tcBorders>
              <w:top w:val="nil"/>
              <w:bottom w:val="single" w:sz="4" w:space="0" w:color="auto"/>
            </w:tcBorders>
            <w:noWrap/>
            <w:vAlign w:val="center"/>
          </w:tcPr>
          <w:p w14:paraId="3388594F" w14:textId="77777777" w:rsidR="00186E7E" w:rsidRPr="00372862" w:rsidRDefault="00186E7E" w:rsidP="00186E7E">
            <w:pPr>
              <w:spacing w:after="0" w:line="240" w:lineRule="auto"/>
              <w:jc w:val="center"/>
              <w:rPr>
                <w:rFonts w:ascii="Times New Roman" w:hAnsi="Times New Roman"/>
              </w:rPr>
            </w:pPr>
          </w:p>
        </w:tc>
      </w:tr>
      <w:tr w:rsidR="00186E7E" w:rsidRPr="00372862" w14:paraId="7AB80247" w14:textId="77777777" w:rsidTr="0057168C">
        <w:trPr>
          <w:trHeight w:val="281"/>
        </w:trPr>
        <w:tc>
          <w:tcPr>
            <w:tcW w:w="3823" w:type="dxa"/>
            <w:tcBorders>
              <w:bottom w:val="nil"/>
            </w:tcBorders>
            <w:noWrap/>
          </w:tcPr>
          <w:p w14:paraId="2352B870" w14:textId="77777777" w:rsidR="00186E7E" w:rsidRPr="00372862" w:rsidRDefault="00186E7E" w:rsidP="00186E7E">
            <w:pPr>
              <w:spacing w:after="0" w:line="240" w:lineRule="auto"/>
              <w:rPr>
                <w:rFonts w:ascii="Times New Roman" w:hAnsi="Times New Roman"/>
                <w:b/>
                <w:bCs/>
              </w:rPr>
            </w:pPr>
            <w:r w:rsidRPr="00372862">
              <w:rPr>
                <w:rFonts w:ascii="Times New Roman" w:hAnsi="Times New Roman"/>
                <w:b/>
                <w:bCs/>
              </w:rPr>
              <w:t>Pre-existing co-morbidities</w:t>
            </w:r>
          </w:p>
        </w:tc>
        <w:tc>
          <w:tcPr>
            <w:tcW w:w="2126" w:type="dxa"/>
            <w:tcBorders>
              <w:bottom w:val="nil"/>
            </w:tcBorders>
            <w:noWrap/>
          </w:tcPr>
          <w:p w14:paraId="377A60AD" w14:textId="77777777" w:rsidR="00186E7E" w:rsidRPr="00372862" w:rsidRDefault="00186E7E" w:rsidP="00186E7E">
            <w:pPr>
              <w:spacing w:after="0" w:line="240" w:lineRule="auto"/>
              <w:rPr>
                <w:rFonts w:ascii="Times New Roman" w:hAnsi="Times New Roman"/>
              </w:rPr>
            </w:pPr>
          </w:p>
        </w:tc>
        <w:tc>
          <w:tcPr>
            <w:tcW w:w="1984" w:type="dxa"/>
            <w:tcBorders>
              <w:bottom w:val="nil"/>
            </w:tcBorders>
            <w:noWrap/>
          </w:tcPr>
          <w:p w14:paraId="6CDBAB54" w14:textId="77777777" w:rsidR="00186E7E" w:rsidRPr="00372862" w:rsidRDefault="00186E7E" w:rsidP="00186E7E">
            <w:pPr>
              <w:spacing w:after="0" w:line="240" w:lineRule="auto"/>
              <w:rPr>
                <w:rFonts w:ascii="Times New Roman" w:hAnsi="Times New Roman"/>
              </w:rPr>
            </w:pPr>
          </w:p>
        </w:tc>
        <w:tc>
          <w:tcPr>
            <w:tcW w:w="1083" w:type="dxa"/>
            <w:tcBorders>
              <w:bottom w:val="nil"/>
            </w:tcBorders>
            <w:noWrap/>
            <w:vAlign w:val="center"/>
          </w:tcPr>
          <w:p w14:paraId="4248B797" w14:textId="77777777" w:rsidR="00186E7E" w:rsidRPr="00372862" w:rsidRDefault="00186E7E" w:rsidP="00186E7E">
            <w:pPr>
              <w:spacing w:after="0" w:line="240" w:lineRule="auto"/>
              <w:jc w:val="center"/>
              <w:rPr>
                <w:rFonts w:ascii="Times New Roman" w:hAnsi="Times New Roman"/>
              </w:rPr>
            </w:pPr>
          </w:p>
        </w:tc>
      </w:tr>
      <w:tr w:rsidR="00186E7E" w:rsidRPr="00372862" w14:paraId="4EF192BA" w14:textId="77777777" w:rsidTr="00372862">
        <w:trPr>
          <w:trHeight w:val="300"/>
        </w:trPr>
        <w:tc>
          <w:tcPr>
            <w:tcW w:w="3823" w:type="dxa"/>
            <w:tcBorders>
              <w:top w:val="nil"/>
              <w:bottom w:val="nil"/>
            </w:tcBorders>
            <w:noWrap/>
            <w:tcMar>
              <w:left w:w="227" w:type="dxa"/>
            </w:tcMar>
            <w:hideMark/>
          </w:tcPr>
          <w:p w14:paraId="003C699D"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Cardiovascular disease, N (%)</w:t>
            </w:r>
          </w:p>
        </w:tc>
        <w:tc>
          <w:tcPr>
            <w:tcW w:w="2126" w:type="dxa"/>
            <w:tcBorders>
              <w:top w:val="nil"/>
              <w:bottom w:val="nil"/>
            </w:tcBorders>
            <w:noWrap/>
            <w:hideMark/>
          </w:tcPr>
          <w:p w14:paraId="28AC5D6A"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881 (30.41)</w:t>
            </w:r>
          </w:p>
        </w:tc>
        <w:tc>
          <w:tcPr>
            <w:tcW w:w="1984" w:type="dxa"/>
            <w:tcBorders>
              <w:top w:val="nil"/>
              <w:bottom w:val="nil"/>
            </w:tcBorders>
            <w:noWrap/>
            <w:hideMark/>
          </w:tcPr>
          <w:p w14:paraId="778879E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817 (21.39)</w:t>
            </w:r>
          </w:p>
        </w:tc>
        <w:tc>
          <w:tcPr>
            <w:tcW w:w="1083" w:type="dxa"/>
            <w:tcBorders>
              <w:top w:val="nil"/>
              <w:bottom w:val="nil"/>
            </w:tcBorders>
            <w:noWrap/>
            <w:vAlign w:val="center"/>
            <w:hideMark/>
          </w:tcPr>
          <w:p w14:paraId="49B8BB2D"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72619C08" w14:textId="77777777" w:rsidTr="00372862">
        <w:trPr>
          <w:trHeight w:val="300"/>
        </w:trPr>
        <w:tc>
          <w:tcPr>
            <w:tcW w:w="3823" w:type="dxa"/>
            <w:tcBorders>
              <w:top w:val="nil"/>
              <w:bottom w:val="nil"/>
            </w:tcBorders>
            <w:noWrap/>
            <w:tcMar>
              <w:left w:w="227" w:type="dxa"/>
            </w:tcMar>
            <w:hideMark/>
          </w:tcPr>
          <w:p w14:paraId="2496BA3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Diabetes mellitus, N (%)</w:t>
            </w:r>
          </w:p>
        </w:tc>
        <w:tc>
          <w:tcPr>
            <w:tcW w:w="2126" w:type="dxa"/>
            <w:tcBorders>
              <w:top w:val="nil"/>
              <w:bottom w:val="nil"/>
            </w:tcBorders>
            <w:noWrap/>
            <w:hideMark/>
          </w:tcPr>
          <w:p w14:paraId="4571D4B9"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315 (10.87)</w:t>
            </w:r>
          </w:p>
        </w:tc>
        <w:tc>
          <w:tcPr>
            <w:tcW w:w="1984" w:type="dxa"/>
            <w:tcBorders>
              <w:top w:val="nil"/>
              <w:bottom w:val="nil"/>
            </w:tcBorders>
            <w:noWrap/>
            <w:hideMark/>
          </w:tcPr>
          <w:p w14:paraId="3AFA9EC4"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265 (6.94)</w:t>
            </w:r>
          </w:p>
        </w:tc>
        <w:tc>
          <w:tcPr>
            <w:tcW w:w="1083" w:type="dxa"/>
            <w:tcBorders>
              <w:top w:val="nil"/>
              <w:bottom w:val="nil"/>
            </w:tcBorders>
            <w:noWrap/>
            <w:vAlign w:val="center"/>
            <w:hideMark/>
          </w:tcPr>
          <w:p w14:paraId="3BA98BB6"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2DB628AD" w14:textId="77777777" w:rsidTr="00372862">
        <w:trPr>
          <w:trHeight w:val="300"/>
        </w:trPr>
        <w:tc>
          <w:tcPr>
            <w:tcW w:w="3823" w:type="dxa"/>
            <w:tcBorders>
              <w:top w:val="nil"/>
              <w:bottom w:val="nil"/>
            </w:tcBorders>
            <w:noWrap/>
            <w:tcMar>
              <w:left w:w="227" w:type="dxa"/>
            </w:tcMar>
            <w:hideMark/>
          </w:tcPr>
          <w:p w14:paraId="25ABD3B9"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Cancer, N (%)</w:t>
            </w:r>
          </w:p>
        </w:tc>
        <w:tc>
          <w:tcPr>
            <w:tcW w:w="2126" w:type="dxa"/>
            <w:tcBorders>
              <w:top w:val="nil"/>
              <w:bottom w:val="nil"/>
            </w:tcBorders>
            <w:noWrap/>
            <w:hideMark/>
          </w:tcPr>
          <w:p w14:paraId="4BE61A93"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178 (6.14)</w:t>
            </w:r>
          </w:p>
        </w:tc>
        <w:tc>
          <w:tcPr>
            <w:tcW w:w="1984" w:type="dxa"/>
            <w:tcBorders>
              <w:top w:val="nil"/>
              <w:bottom w:val="nil"/>
            </w:tcBorders>
            <w:noWrap/>
            <w:hideMark/>
          </w:tcPr>
          <w:p w14:paraId="55966659"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369 (9.66)</w:t>
            </w:r>
          </w:p>
        </w:tc>
        <w:tc>
          <w:tcPr>
            <w:tcW w:w="1083" w:type="dxa"/>
            <w:tcBorders>
              <w:top w:val="nil"/>
              <w:bottom w:val="nil"/>
            </w:tcBorders>
            <w:noWrap/>
            <w:vAlign w:val="center"/>
            <w:hideMark/>
          </w:tcPr>
          <w:p w14:paraId="05E14239"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149542D5" w14:textId="77777777" w:rsidTr="00372862">
        <w:trPr>
          <w:trHeight w:val="300"/>
        </w:trPr>
        <w:tc>
          <w:tcPr>
            <w:tcW w:w="3823" w:type="dxa"/>
            <w:tcBorders>
              <w:top w:val="nil"/>
              <w:bottom w:val="nil"/>
            </w:tcBorders>
            <w:noWrap/>
            <w:tcMar>
              <w:left w:w="227" w:type="dxa"/>
            </w:tcMar>
            <w:hideMark/>
          </w:tcPr>
          <w:p w14:paraId="40432F84"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Asthma, N (%)</w:t>
            </w:r>
          </w:p>
        </w:tc>
        <w:tc>
          <w:tcPr>
            <w:tcW w:w="2126" w:type="dxa"/>
            <w:tcBorders>
              <w:top w:val="nil"/>
              <w:bottom w:val="nil"/>
            </w:tcBorders>
            <w:noWrap/>
            <w:hideMark/>
          </w:tcPr>
          <w:p w14:paraId="6C82BD68"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247 (8.53)</w:t>
            </w:r>
          </w:p>
        </w:tc>
        <w:tc>
          <w:tcPr>
            <w:tcW w:w="1984" w:type="dxa"/>
            <w:tcBorders>
              <w:top w:val="nil"/>
              <w:bottom w:val="nil"/>
            </w:tcBorders>
            <w:noWrap/>
            <w:hideMark/>
          </w:tcPr>
          <w:p w14:paraId="6EA9328B"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390 (10.21)</w:t>
            </w:r>
          </w:p>
        </w:tc>
        <w:tc>
          <w:tcPr>
            <w:tcW w:w="1083" w:type="dxa"/>
            <w:tcBorders>
              <w:top w:val="nil"/>
              <w:bottom w:val="nil"/>
            </w:tcBorders>
            <w:noWrap/>
            <w:vAlign w:val="center"/>
            <w:hideMark/>
          </w:tcPr>
          <w:p w14:paraId="6C04F0C2"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0.020</w:t>
            </w:r>
          </w:p>
        </w:tc>
      </w:tr>
      <w:tr w:rsidR="00186E7E" w:rsidRPr="00372862" w14:paraId="2033D56D" w14:textId="77777777" w:rsidTr="00372862">
        <w:trPr>
          <w:trHeight w:val="300"/>
        </w:trPr>
        <w:tc>
          <w:tcPr>
            <w:tcW w:w="3823" w:type="dxa"/>
            <w:tcBorders>
              <w:top w:val="nil"/>
              <w:bottom w:val="single" w:sz="4" w:space="0" w:color="auto"/>
            </w:tcBorders>
            <w:noWrap/>
            <w:tcMar>
              <w:left w:w="227" w:type="dxa"/>
            </w:tcMar>
            <w:hideMark/>
          </w:tcPr>
          <w:p w14:paraId="3D319EB3"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Chronic Obstructive Pulmonary Disease, N (%)</w:t>
            </w:r>
          </w:p>
        </w:tc>
        <w:tc>
          <w:tcPr>
            <w:tcW w:w="2126" w:type="dxa"/>
            <w:tcBorders>
              <w:top w:val="nil"/>
              <w:bottom w:val="single" w:sz="4" w:space="0" w:color="auto"/>
            </w:tcBorders>
            <w:noWrap/>
            <w:hideMark/>
          </w:tcPr>
          <w:p w14:paraId="33A21125"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215 (7.42)</w:t>
            </w:r>
          </w:p>
        </w:tc>
        <w:tc>
          <w:tcPr>
            <w:tcW w:w="1984" w:type="dxa"/>
            <w:tcBorders>
              <w:top w:val="nil"/>
              <w:bottom w:val="single" w:sz="4" w:space="0" w:color="auto"/>
            </w:tcBorders>
            <w:noWrap/>
            <w:hideMark/>
          </w:tcPr>
          <w:p w14:paraId="6B78834B"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363 (9.51)</w:t>
            </w:r>
          </w:p>
        </w:tc>
        <w:tc>
          <w:tcPr>
            <w:tcW w:w="1083" w:type="dxa"/>
            <w:tcBorders>
              <w:top w:val="nil"/>
              <w:bottom w:val="single" w:sz="4" w:space="0" w:color="auto"/>
            </w:tcBorders>
            <w:noWrap/>
            <w:vAlign w:val="center"/>
            <w:hideMark/>
          </w:tcPr>
          <w:p w14:paraId="0951BFB2"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0.003</w:t>
            </w:r>
          </w:p>
        </w:tc>
      </w:tr>
      <w:tr w:rsidR="00186E7E" w:rsidRPr="00372862" w14:paraId="66CC3C65" w14:textId="77777777" w:rsidTr="00372862">
        <w:trPr>
          <w:trHeight w:val="300"/>
        </w:trPr>
        <w:tc>
          <w:tcPr>
            <w:tcW w:w="3823" w:type="dxa"/>
            <w:tcBorders>
              <w:bottom w:val="nil"/>
            </w:tcBorders>
            <w:noWrap/>
          </w:tcPr>
          <w:p w14:paraId="7F8F6E31" w14:textId="77777777" w:rsidR="00186E7E" w:rsidRPr="00372862" w:rsidRDefault="00186E7E" w:rsidP="00186E7E">
            <w:pPr>
              <w:spacing w:after="0" w:line="240" w:lineRule="auto"/>
              <w:rPr>
                <w:rFonts w:ascii="Times New Roman" w:hAnsi="Times New Roman"/>
                <w:b/>
                <w:bCs/>
              </w:rPr>
            </w:pPr>
            <w:r w:rsidRPr="00372862">
              <w:rPr>
                <w:rFonts w:ascii="Times New Roman" w:hAnsi="Times New Roman"/>
                <w:b/>
                <w:bCs/>
              </w:rPr>
              <w:t>Drug Therapy</w:t>
            </w:r>
          </w:p>
        </w:tc>
        <w:tc>
          <w:tcPr>
            <w:tcW w:w="2126" w:type="dxa"/>
            <w:tcBorders>
              <w:bottom w:val="nil"/>
            </w:tcBorders>
            <w:noWrap/>
          </w:tcPr>
          <w:p w14:paraId="3C834576" w14:textId="77777777" w:rsidR="00186E7E" w:rsidRPr="00372862" w:rsidRDefault="00186E7E" w:rsidP="00186E7E">
            <w:pPr>
              <w:spacing w:after="0" w:line="240" w:lineRule="auto"/>
              <w:rPr>
                <w:rFonts w:ascii="Times New Roman" w:hAnsi="Times New Roman"/>
              </w:rPr>
            </w:pPr>
          </w:p>
        </w:tc>
        <w:tc>
          <w:tcPr>
            <w:tcW w:w="1984" w:type="dxa"/>
            <w:tcBorders>
              <w:bottom w:val="nil"/>
            </w:tcBorders>
            <w:noWrap/>
          </w:tcPr>
          <w:p w14:paraId="130C9CDB" w14:textId="77777777" w:rsidR="00186E7E" w:rsidRPr="00372862" w:rsidRDefault="00186E7E" w:rsidP="00186E7E">
            <w:pPr>
              <w:spacing w:after="0" w:line="240" w:lineRule="auto"/>
              <w:rPr>
                <w:rFonts w:ascii="Times New Roman" w:hAnsi="Times New Roman"/>
              </w:rPr>
            </w:pPr>
          </w:p>
        </w:tc>
        <w:tc>
          <w:tcPr>
            <w:tcW w:w="1083" w:type="dxa"/>
            <w:tcBorders>
              <w:bottom w:val="nil"/>
            </w:tcBorders>
            <w:noWrap/>
            <w:vAlign w:val="center"/>
          </w:tcPr>
          <w:p w14:paraId="65EA40FE" w14:textId="77777777" w:rsidR="00186E7E" w:rsidRPr="00372862" w:rsidRDefault="00186E7E" w:rsidP="00186E7E">
            <w:pPr>
              <w:spacing w:after="0" w:line="240" w:lineRule="auto"/>
              <w:jc w:val="center"/>
              <w:rPr>
                <w:rFonts w:ascii="Times New Roman" w:hAnsi="Times New Roman"/>
                <w:b/>
                <w:bCs/>
              </w:rPr>
            </w:pPr>
          </w:p>
        </w:tc>
      </w:tr>
      <w:tr w:rsidR="00186E7E" w:rsidRPr="00372862" w14:paraId="757A0305" w14:textId="77777777" w:rsidTr="00A86D36">
        <w:trPr>
          <w:trHeight w:val="169"/>
        </w:trPr>
        <w:tc>
          <w:tcPr>
            <w:tcW w:w="3823" w:type="dxa"/>
            <w:tcBorders>
              <w:top w:val="nil"/>
              <w:bottom w:val="nil"/>
            </w:tcBorders>
            <w:noWrap/>
            <w:tcMar>
              <w:left w:w="227" w:type="dxa"/>
            </w:tcMar>
            <w:hideMark/>
          </w:tcPr>
          <w:p w14:paraId="4435CCA7"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Aspirin, N (%)</w:t>
            </w:r>
          </w:p>
        </w:tc>
        <w:tc>
          <w:tcPr>
            <w:tcW w:w="2126" w:type="dxa"/>
            <w:tcBorders>
              <w:top w:val="nil"/>
              <w:bottom w:val="nil"/>
            </w:tcBorders>
            <w:noWrap/>
            <w:hideMark/>
          </w:tcPr>
          <w:p w14:paraId="5EF8F3F7"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758 (26.16)</w:t>
            </w:r>
          </w:p>
        </w:tc>
        <w:tc>
          <w:tcPr>
            <w:tcW w:w="1984" w:type="dxa"/>
            <w:tcBorders>
              <w:top w:val="nil"/>
              <w:bottom w:val="nil"/>
            </w:tcBorders>
            <w:noWrap/>
            <w:hideMark/>
          </w:tcPr>
          <w:p w14:paraId="0FB427A5"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500 (13.09)</w:t>
            </w:r>
          </w:p>
        </w:tc>
        <w:tc>
          <w:tcPr>
            <w:tcW w:w="1083" w:type="dxa"/>
            <w:tcBorders>
              <w:top w:val="nil"/>
              <w:bottom w:val="nil"/>
            </w:tcBorders>
            <w:noWrap/>
            <w:vAlign w:val="center"/>
            <w:hideMark/>
          </w:tcPr>
          <w:p w14:paraId="0D61A169"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6ECF3D6E" w14:textId="77777777" w:rsidTr="00372862">
        <w:trPr>
          <w:trHeight w:val="300"/>
        </w:trPr>
        <w:tc>
          <w:tcPr>
            <w:tcW w:w="3823" w:type="dxa"/>
            <w:tcBorders>
              <w:top w:val="nil"/>
              <w:bottom w:val="nil"/>
            </w:tcBorders>
            <w:noWrap/>
            <w:tcMar>
              <w:left w:w="227" w:type="dxa"/>
            </w:tcMar>
          </w:tcPr>
          <w:p w14:paraId="64D2DAC3"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Lipid-lowering agents, N (%)</w:t>
            </w:r>
          </w:p>
        </w:tc>
        <w:tc>
          <w:tcPr>
            <w:tcW w:w="2126" w:type="dxa"/>
            <w:tcBorders>
              <w:top w:val="nil"/>
              <w:bottom w:val="nil"/>
            </w:tcBorders>
            <w:noWrap/>
          </w:tcPr>
          <w:p w14:paraId="081F661A"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814 (28.1)</w:t>
            </w:r>
          </w:p>
        </w:tc>
        <w:tc>
          <w:tcPr>
            <w:tcW w:w="1984" w:type="dxa"/>
            <w:tcBorders>
              <w:top w:val="nil"/>
              <w:bottom w:val="nil"/>
            </w:tcBorders>
            <w:noWrap/>
          </w:tcPr>
          <w:p w14:paraId="379C9F34"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730 (19.11)</w:t>
            </w:r>
          </w:p>
        </w:tc>
        <w:tc>
          <w:tcPr>
            <w:tcW w:w="1083" w:type="dxa"/>
            <w:tcBorders>
              <w:top w:val="nil"/>
              <w:bottom w:val="nil"/>
            </w:tcBorders>
            <w:noWrap/>
            <w:vAlign w:val="center"/>
          </w:tcPr>
          <w:p w14:paraId="0E946ABB"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534A6FE3" w14:textId="77777777" w:rsidTr="00372862">
        <w:trPr>
          <w:trHeight w:val="300"/>
        </w:trPr>
        <w:tc>
          <w:tcPr>
            <w:tcW w:w="3823" w:type="dxa"/>
            <w:tcBorders>
              <w:top w:val="nil"/>
              <w:bottom w:val="nil"/>
            </w:tcBorders>
            <w:noWrap/>
            <w:tcMar>
              <w:left w:w="227" w:type="dxa"/>
            </w:tcMar>
          </w:tcPr>
          <w:p w14:paraId="1F749954"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Non-steroidal anti-inflammatory drugs, N (%)</w:t>
            </w:r>
          </w:p>
        </w:tc>
        <w:tc>
          <w:tcPr>
            <w:tcW w:w="2126" w:type="dxa"/>
            <w:tcBorders>
              <w:top w:val="nil"/>
              <w:bottom w:val="nil"/>
            </w:tcBorders>
            <w:noWrap/>
          </w:tcPr>
          <w:p w14:paraId="572AE270"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908 (31.34)</w:t>
            </w:r>
          </w:p>
        </w:tc>
        <w:tc>
          <w:tcPr>
            <w:tcW w:w="1984" w:type="dxa"/>
            <w:tcBorders>
              <w:top w:val="nil"/>
              <w:bottom w:val="nil"/>
            </w:tcBorders>
            <w:noWrap/>
          </w:tcPr>
          <w:p w14:paraId="233DC200"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794 (20.79)</w:t>
            </w:r>
          </w:p>
        </w:tc>
        <w:tc>
          <w:tcPr>
            <w:tcW w:w="1083" w:type="dxa"/>
            <w:tcBorders>
              <w:top w:val="nil"/>
              <w:bottom w:val="nil"/>
            </w:tcBorders>
            <w:noWrap/>
            <w:vAlign w:val="center"/>
          </w:tcPr>
          <w:p w14:paraId="13482F47"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15269CDF" w14:textId="77777777" w:rsidTr="00372862">
        <w:trPr>
          <w:trHeight w:val="300"/>
        </w:trPr>
        <w:tc>
          <w:tcPr>
            <w:tcW w:w="3823" w:type="dxa"/>
            <w:tcBorders>
              <w:top w:val="nil"/>
              <w:bottom w:val="nil"/>
            </w:tcBorders>
            <w:noWrap/>
            <w:tcMar>
              <w:left w:w="227" w:type="dxa"/>
            </w:tcMar>
          </w:tcPr>
          <w:p w14:paraId="69B34109"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Anti-diabetic drugs, N (%)</w:t>
            </w:r>
          </w:p>
        </w:tc>
        <w:tc>
          <w:tcPr>
            <w:tcW w:w="2126" w:type="dxa"/>
            <w:tcBorders>
              <w:top w:val="nil"/>
              <w:bottom w:val="nil"/>
            </w:tcBorders>
            <w:noWrap/>
          </w:tcPr>
          <w:p w14:paraId="1CD2F3DA"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168 (5.80)</w:t>
            </w:r>
          </w:p>
        </w:tc>
        <w:tc>
          <w:tcPr>
            <w:tcW w:w="1984" w:type="dxa"/>
            <w:tcBorders>
              <w:top w:val="nil"/>
              <w:bottom w:val="nil"/>
            </w:tcBorders>
            <w:noWrap/>
          </w:tcPr>
          <w:p w14:paraId="63E1B627"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103 (2.70)</w:t>
            </w:r>
          </w:p>
        </w:tc>
        <w:tc>
          <w:tcPr>
            <w:tcW w:w="1083" w:type="dxa"/>
            <w:tcBorders>
              <w:top w:val="nil"/>
              <w:bottom w:val="nil"/>
            </w:tcBorders>
            <w:noWrap/>
            <w:vAlign w:val="center"/>
          </w:tcPr>
          <w:p w14:paraId="6515ECB4"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110B739A" w14:textId="77777777" w:rsidTr="00372862">
        <w:trPr>
          <w:trHeight w:val="300"/>
        </w:trPr>
        <w:tc>
          <w:tcPr>
            <w:tcW w:w="3823" w:type="dxa"/>
            <w:tcBorders>
              <w:top w:val="nil"/>
              <w:bottom w:val="nil"/>
            </w:tcBorders>
            <w:noWrap/>
            <w:tcMar>
              <w:left w:w="227" w:type="dxa"/>
            </w:tcMar>
            <w:hideMark/>
          </w:tcPr>
          <w:p w14:paraId="055CC49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Antihypertensive agents, N (%)</w:t>
            </w:r>
          </w:p>
        </w:tc>
        <w:tc>
          <w:tcPr>
            <w:tcW w:w="2126" w:type="dxa"/>
            <w:tcBorders>
              <w:top w:val="nil"/>
              <w:bottom w:val="nil"/>
            </w:tcBorders>
            <w:noWrap/>
            <w:hideMark/>
          </w:tcPr>
          <w:p w14:paraId="52EDD94C"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1218 (42.04)</w:t>
            </w:r>
          </w:p>
        </w:tc>
        <w:tc>
          <w:tcPr>
            <w:tcW w:w="1984" w:type="dxa"/>
            <w:tcBorders>
              <w:top w:val="nil"/>
              <w:bottom w:val="nil"/>
            </w:tcBorders>
            <w:noWrap/>
            <w:hideMark/>
          </w:tcPr>
          <w:p w14:paraId="09B624A9"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1375 (36.00)</w:t>
            </w:r>
          </w:p>
        </w:tc>
        <w:tc>
          <w:tcPr>
            <w:tcW w:w="1083" w:type="dxa"/>
            <w:tcBorders>
              <w:top w:val="nil"/>
              <w:bottom w:val="nil"/>
            </w:tcBorders>
            <w:noWrap/>
            <w:vAlign w:val="center"/>
            <w:hideMark/>
          </w:tcPr>
          <w:p w14:paraId="2BA91806"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167F25F0" w14:textId="77777777" w:rsidTr="00372862">
        <w:trPr>
          <w:trHeight w:val="300"/>
        </w:trPr>
        <w:tc>
          <w:tcPr>
            <w:tcW w:w="3823" w:type="dxa"/>
            <w:tcBorders>
              <w:top w:val="nil"/>
              <w:bottom w:val="nil"/>
            </w:tcBorders>
            <w:noWrap/>
            <w:tcMar>
              <w:left w:w="454" w:type="dxa"/>
            </w:tcMar>
            <w:hideMark/>
          </w:tcPr>
          <w:p w14:paraId="7F5E911D"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ACE Inhibitors, N (%)</w:t>
            </w:r>
          </w:p>
        </w:tc>
        <w:tc>
          <w:tcPr>
            <w:tcW w:w="2126" w:type="dxa"/>
            <w:tcBorders>
              <w:top w:val="nil"/>
              <w:bottom w:val="nil"/>
            </w:tcBorders>
            <w:noWrap/>
            <w:hideMark/>
          </w:tcPr>
          <w:p w14:paraId="69F21240"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616 (21.26)</w:t>
            </w:r>
          </w:p>
        </w:tc>
        <w:tc>
          <w:tcPr>
            <w:tcW w:w="1984" w:type="dxa"/>
            <w:tcBorders>
              <w:top w:val="nil"/>
              <w:bottom w:val="nil"/>
            </w:tcBorders>
            <w:noWrap/>
            <w:hideMark/>
          </w:tcPr>
          <w:p w14:paraId="06B2FFE3"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486 (12.73)</w:t>
            </w:r>
          </w:p>
        </w:tc>
        <w:tc>
          <w:tcPr>
            <w:tcW w:w="1083" w:type="dxa"/>
            <w:tcBorders>
              <w:top w:val="nil"/>
              <w:bottom w:val="nil"/>
            </w:tcBorders>
            <w:noWrap/>
            <w:vAlign w:val="center"/>
            <w:hideMark/>
          </w:tcPr>
          <w:p w14:paraId="1C0F6AC1"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20861A60" w14:textId="77777777" w:rsidTr="00372862">
        <w:trPr>
          <w:trHeight w:val="300"/>
        </w:trPr>
        <w:tc>
          <w:tcPr>
            <w:tcW w:w="3823" w:type="dxa"/>
            <w:tcBorders>
              <w:top w:val="nil"/>
              <w:bottom w:val="nil"/>
            </w:tcBorders>
            <w:noWrap/>
            <w:tcMar>
              <w:left w:w="454" w:type="dxa"/>
            </w:tcMar>
            <w:hideMark/>
          </w:tcPr>
          <w:p w14:paraId="26DF2807"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Beta-Blockers, N (%)</w:t>
            </w:r>
          </w:p>
        </w:tc>
        <w:tc>
          <w:tcPr>
            <w:tcW w:w="2126" w:type="dxa"/>
            <w:tcBorders>
              <w:top w:val="nil"/>
              <w:bottom w:val="nil"/>
            </w:tcBorders>
            <w:noWrap/>
            <w:hideMark/>
          </w:tcPr>
          <w:p w14:paraId="5A0F6517"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433 (14.95)</w:t>
            </w:r>
          </w:p>
        </w:tc>
        <w:tc>
          <w:tcPr>
            <w:tcW w:w="1984" w:type="dxa"/>
            <w:tcBorders>
              <w:top w:val="nil"/>
              <w:bottom w:val="nil"/>
            </w:tcBorders>
            <w:noWrap/>
            <w:hideMark/>
          </w:tcPr>
          <w:p w14:paraId="1BA60750"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415 (10.87)</w:t>
            </w:r>
          </w:p>
        </w:tc>
        <w:tc>
          <w:tcPr>
            <w:tcW w:w="1083" w:type="dxa"/>
            <w:tcBorders>
              <w:top w:val="nil"/>
              <w:bottom w:val="nil"/>
            </w:tcBorders>
            <w:noWrap/>
            <w:vAlign w:val="center"/>
            <w:hideMark/>
          </w:tcPr>
          <w:p w14:paraId="4B734760"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07F49121" w14:textId="77777777" w:rsidTr="00372862">
        <w:trPr>
          <w:trHeight w:val="300"/>
        </w:trPr>
        <w:tc>
          <w:tcPr>
            <w:tcW w:w="3823" w:type="dxa"/>
            <w:tcBorders>
              <w:top w:val="nil"/>
              <w:bottom w:val="nil"/>
            </w:tcBorders>
            <w:noWrap/>
            <w:tcMar>
              <w:left w:w="454" w:type="dxa"/>
            </w:tcMar>
            <w:hideMark/>
          </w:tcPr>
          <w:p w14:paraId="53AE88F3"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Loop Diuretics, N (%)</w:t>
            </w:r>
          </w:p>
        </w:tc>
        <w:tc>
          <w:tcPr>
            <w:tcW w:w="2126" w:type="dxa"/>
            <w:tcBorders>
              <w:top w:val="nil"/>
              <w:bottom w:val="nil"/>
            </w:tcBorders>
            <w:noWrap/>
            <w:hideMark/>
          </w:tcPr>
          <w:p w14:paraId="69C8B555"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119 (4.11)</w:t>
            </w:r>
          </w:p>
        </w:tc>
        <w:tc>
          <w:tcPr>
            <w:tcW w:w="1984" w:type="dxa"/>
            <w:tcBorders>
              <w:top w:val="nil"/>
              <w:bottom w:val="nil"/>
            </w:tcBorders>
            <w:noWrap/>
            <w:hideMark/>
          </w:tcPr>
          <w:p w14:paraId="53E15CAA"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170 (4.45)</w:t>
            </w:r>
          </w:p>
        </w:tc>
        <w:tc>
          <w:tcPr>
            <w:tcW w:w="1083" w:type="dxa"/>
            <w:tcBorders>
              <w:top w:val="nil"/>
              <w:bottom w:val="nil"/>
            </w:tcBorders>
            <w:noWrap/>
            <w:vAlign w:val="center"/>
            <w:hideMark/>
          </w:tcPr>
          <w:p w14:paraId="07ACB6FC" w14:textId="77777777" w:rsidR="00186E7E" w:rsidRPr="00372862" w:rsidRDefault="00186E7E" w:rsidP="00186E7E">
            <w:pPr>
              <w:spacing w:after="0" w:line="240" w:lineRule="auto"/>
              <w:jc w:val="center"/>
              <w:rPr>
                <w:rFonts w:ascii="Times New Roman" w:hAnsi="Times New Roman"/>
              </w:rPr>
            </w:pPr>
            <w:r w:rsidRPr="00372862">
              <w:rPr>
                <w:rFonts w:ascii="Times New Roman" w:hAnsi="Times New Roman"/>
              </w:rPr>
              <w:t>0.492</w:t>
            </w:r>
          </w:p>
        </w:tc>
      </w:tr>
      <w:tr w:rsidR="00186E7E" w:rsidRPr="00372862" w14:paraId="7388BC6D" w14:textId="77777777" w:rsidTr="00372862">
        <w:trPr>
          <w:trHeight w:val="300"/>
        </w:trPr>
        <w:tc>
          <w:tcPr>
            <w:tcW w:w="3823" w:type="dxa"/>
            <w:tcBorders>
              <w:top w:val="nil"/>
              <w:bottom w:val="nil"/>
            </w:tcBorders>
            <w:noWrap/>
            <w:tcMar>
              <w:left w:w="454" w:type="dxa"/>
            </w:tcMar>
            <w:hideMark/>
          </w:tcPr>
          <w:p w14:paraId="4C705F93"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Other Diuretics, N (%)</w:t>
            </w:r>
          </w:p>
        </w:tc>
        <w:tc>
          <w:tcPr>
            <w:tcW w:w="2126" w:type="dxa"/>
            <w:tcBorders>
              <w:top w:val="nil"/>
              <w:bottom w:val="nil"/>
            </w:tcBorders>
            <w:noWrap/>
            <w:vAlign w:val="bottom"/>
            <w:hideMark/>
          </w:tcPr>
          <w:p w14:paraId="0E0F7A46"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326 (11.25)</w:t>
            </w:r>
          </w:p>
        </w:tc>
        <w:tc>
          <w:tcPr>
            <w:tcW w:w="1984" w:type="dxa"/>
            <w:tcBorders>
              <w:top w:val="nil"/>
              <w:bottom w:val="nil"/>
            </w:tcBorders>
            <w:noWrap/>
            <w:vAlign w:val="bottom"/>
            <w:hideMark/>
          </w:tcPr>
          <w:p w14:paraId="02D28A2D"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563 (14.74)</w:t>
            </w:r>
          </w:p>
        </w:tc>
        <w:tc>
          <w:tcPr>
            <w:tcW w:w="1083" w:type="dxa"/>
            <w:tcBorders>
              <w:top w:val="nil"/>
              <w:bottom w:val="nil"/>
            </w:tcBorders>
            <w:noWrap/>
            <w:vAlign w:val="center"/>
            <w:hideMark/>
          </w:tcPr>
          <w:p w14:paraId="620BA368"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0B6D4E43" w14:textId="77777777" w:rsidTr="00372862">
        <w:trPr>
          <w:trHeight w:val="300"/>
        </w:trPr>
        <w:tc>
          <w:tcPr>
            <w:tcW w:w="3823" w:type="dxa"/>
            <w:tcBorders>
              <w:top w:val="nil"/>
              <w:bottom w:val="nil"/>
            </w:tcBorders>
            <w:noWrap/>
            <w:tcMar>
              <w:left w:w="454" w:type="dxa"/>
            </w:tcMar>
            <w:hideMark/>
          </w:tcPr>
          <w:p w14:paraId="5FB184CD"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Angiotensin Receptor Blockers, N (%)</w:t>
            </w:r>
          </w:p>
        </w:tc>
        <w:tc>
          <w:tcPr>
            <w:tcW w:w="2126" w:type="dxa"/>
            <w:tcBorders>
              <w:top w:val="nil"/>
              <w:bottom w:val="nil"/>
            </w:tcBorders>
            <w:noWrap/>
            <w:hideMark/>
          </w:tcPr>
          <w:p w14:paraId="3840993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174 (6.01)</w:t>
            </w:r>
          </w:p>
        </w:tc>
        <w:tc>
          <w:tcPr>
            <w:tcW w:w="1984" w:type="dxa"/>
            <w:tcBorders>
              <w:top w:val="nil"/>
              <w:bottom w:val="nil"/>
            </w:tcBorders>
            <w:noWrap/>
            <w:hideMark/>
          </w:tcPr>
          <w:p w14:paraId="2141DC25"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264 (6.91)</w:t>
            </w:r>
          </w:p>
        </w:tc>
        <w:tc>
          <w:tcPr>
            <w:tcW w:w="1083" w:type="dxa"/>
            <w:tcBorders>
              <w:top w:val="nil"/>
              <w:bottom w:val="nil"/>
            </w:tcBorders>
            <w:noWrap/>
            <w:vAlign w:val="center"/>
            <w:hideMark/>
          </w:tcPr>
          <w:p w14:paraId="76A74E21" w14:textId="77777777" w:rsidR="00186E7E" w:rsidRPr="00372862" w:rsidRDefault="00186E7E" w:rsidP="00186E7E">
            <w:pPr>
              <w:spacing w:after="0" w:line="240" w:lineRule="auto"/>
              <w:jc w:val="center"/>
              <w:rPr>
                <w:rFonts w:ascii="Times New Roman" w:hAnsi="Times New Roman"/>
              </w:rPr>
            </w:pPr>
            <w:r w:rsidRPr="00372862">
              <w:rPr>
                <w:rFonts w:ascii="Times New Roman" w:hAnsi="Times New Roman"/>
              </w:rPr>
              <w:t>0.136</w:t>
            </w:r>
          </w:p>
        </w:tc>
      </w:tr>
      <w:tr w:rsidR="00186E7E" w:rsidRPr="00372862" w14:paraId="79C1C591" w14:textId="77777777" w:rsidTr="00372862">
        <w:trPr>
          <w:trHeight w:val="300"/>
        </w:trPr>
        <w:tc>
          <w:tcPr>
            <w:tcW w:w="3823" w:type="dxa"/>
            <w:tcBorders>
              <w:top w:val="nil"/>
              <w:bottom w:val="single" w:sz="4" w:space="0" w:color="auto"/>
            </w:tcBorders>
            <w:noWrap/>
            <w:tcMar>
              <w:left w:w="454" w:type="dxa"/>
            </w:tcMar>
            <w:hideMark/>
          </w:tcPr>
          <w:p w14:paraId="7B6026FE"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Calcium Channel Blockers, N (%)</w:t>
            </w:r>
          </w:p>
        </w:tc>
        <w:tc>
          <w:tcPr>
            <w:tcW w:w="2126" w:type="dxa"/>
            <w:tcBorders>
              <w:top w:val="nil"/>
              <w:bottom w:val="single" w:sz="4" w:space="0" w:color="auto"/>
            </w:tcBorders>
            <w:noWrap/>
            <w:hideMark/>
          </w:tcPr>
          <w:p w14:paraId="32C4E97E"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407 (14.05)</w:t>
            </w:r>
          </w:p>
        </w:tc>
        <w:tc>
          <w:tcPr>
            <w:tcW w:w="1984" w:type="dxa"/>
            <w:tcBorders>
              <w:top w:val="nil"/>
              <w:bottom w:val="single" w:sz="4" w:space="0" w:color="auto"/>
            </w:tcBorders>
            <w:noWrap/>
            <w:hideMark/>
          </w:tcPr>
          <w:p w14:paraId="473E4D22"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428 (11.21)</w:t>
            </w:r>
          </w:p>
        </w:tc>
        <w:tc>
          <w:tcPr>
            <w:tcW w:w="1083" w:type="dxa"/>
            <w:tcBorders>
              <w:top w:val="nil"/>
              <w:bottom w:val="single" w:sz="4" w:space="0" w:color="auto"/>
            </w:tcBorders>
            <w:noWrap/>
            <w:vAlign w:val="center"/>
            <w:hideMark/>
          </w:tcPr>
          <w:p w14:paraId="3C21DA55"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41E59DEF" w14:textId="77777777" w:rsidTr="00372862">
        <w:trPr>
          <w:trHeight w:val="300"/>
        </w:trPr>
        <w:tc>
          <w:tcPr>
            <w:tcW w:w="9016" w:type="dxa"/>
            <w:gridSpan w:val="4"/>
            <w:tcBorders>
              <w:top w:val="single" w:sz="4" w:space="0" w:color="auto"/>
              <w:bottom w:val="single" w:sz="4" w:space="0" w:color="auto"/>
            </w:tcBorders>
            <w:noWrap/>
            <w:tcMar>
              <w:left w:w="108" w:type="dxa"/>
            </w:tcMar>
          </w:tcPr>
          <w:p w14:paraId="19C551F3"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Incident Outcomes†</w:t>
            </w:r>
          </w:p>
        </w:tc>
      </w:tr>
      <w:tr w:rsidR="00186E7E" w:rsidRPr="00372862" w14:paraId="27340DBB" w14:textId="77777777" w:rsidTr="00372862">
        <w:trPr>
          <w:trHeight w:val="300"/>
        </w:trPr>
        <w:tc>
          <w:tcPr>
            <w:tcW w:w="3823" w:type="dxa"/>
            <w:tcBorders>
              <w:top w:val="single" w:sz="4" w:space="0" w:color="auto"/>
              <w:bottom w:val="nil"/>
            </w:tcBorders>
            <w:noWrap/>
            <w:tcMar>
              <w:left w:w="108" w:type="dxa"/>
            </w:tcMar>
          </w:tcPr>
          <w:p w14:paraId="20E8BEAE"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Mortality, N (%)</w:t>
            </w:r>
          </w:p>
        </w:tc>
        <w:tc>
          <w:tcPr>
            <w:tcW w:w="2126" w:type="dxa"/>
            <w:tcBorders>
              <w:top w:val="single" w:sz="4" w:space="0" w:color="auto"/>
              <w:bottom w:val="nil"/>
            </w:tcBorders>
            <w:noWrap/>
          </w:tcPr>
          <w:p w14:paraId="1BE7DF6C" w14:textId="77777777" w:rsidR="00186E7E" w:rsidRPr="00372862" w:rsidRDefault="00186E7E" w:rsidP="00186E7E">
            <w:pPr>
              <w:spacing w:after="0" w:line="240" w:lineRule="auto"/>
              <w:rPr>
                <w:rFonts w:ascii="Times New Roman" w:hAnsi="Times New Roman"/>
              </w:rPr>
            </w:pPr>
          </w:p>
        </w:tc>
        <w:tc>
          <w:tcPr>
            <w:tcW w:w="1984" w:type="dxa"/>
            <w:tcBorders>
              <w:top w:val="single" w:sz="4" w:space="0" w:color="auto"/>
              <w:bottom w:val="nil"/>
            </w:tcBorders>
            <w:noWrap/>
          </w:tcPr>
          <w:p w14:paraId="2972ED48" w14:textId="77777777" w:rsidR="00186E7E" w:rsidRPr="00372862" w:rsidRDefault="00186E7E" w:rsidP="00186E7E">
            <w:pPr>
              <w:spacing w:after="0" w:line="240" w:lineRule="auto"/>
              <w:rPr>
                <w:rFonts w:ascii="Times New Roman" w:hAnsi="Times New Roman"/>
              </w:rPr>
            </w:pPr>
          </w:p>
        </w:tc>
        <w:tc>
          <w:tcPr>
            <w:tcW w:w="1083" w:type="dxa"/>
            <w:tcBorders>
              <w:top w:val="single" w:sz="4" w:space="0" w:color="auto"/>
              <w:bottom w:val="nil"/>
            </w:tcBorders>
            <w:noWrap/>
            <w:vAlign w:val="center"/>
          </w:tcPr>
          <w:p w14:paraId="39059BBA" w14:textId="77777777" w:rsidR="00186E7E" w:rsidRPr="00372862" w:rsidRDefault="00186E7E" w:rsidP="00186E7E">
            <w:pPr>
              <w:spacing w:after="0" w:line="240" w:lineRule="auto"/>
              <w:jc w:val="center"/>
              <w:rPr>
                <w:rFonts w:ascii="Times New Roman" w:hAnsi="Times New Roman"/>
                <w:b/>
                <w:bCs/>
              </w:rPr>
            </w:pPr>
          </w:p>
        </w:tc>
      </w:tr>
      <w:tr w:rsidR="00186E7E" w:rsidRPr="00372862" w14:paraId="53724870" w14:textId="77777777" w:rsidTr="00372862">
        <w:trPr>
          <w:trHeight w:val="300"/>
        </w:trPr>
        <w:tc>
          <w:tcPr>
            <w:tcW w:w="3823" w:type="dxa"/>
            <w:tcBorders>
              <w:top w:val="nil"/>
              <w:bottom w:val="nil"/>
            </w:tcBorders>
            <w:noWrap/>
            <w:tcMar>
              <w:left w:w="227" w:type="dxa"/>
            </w:tcMar>
          </w:tcPr>
          <w:p w14:paraId="12FF8CA3"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All-cause</w:t>
            </w:r>
          </w:p>
        </w:tc>
        <w:tc>
          <w:tcPr>
            <w:tcW w:w="2126" w:type="dxa"/>
            <w:tcBorders>
              <w:top w:val="nil"/>
              <w:bottom w:val="nil"/>
            </w:tcBorders>
            <w:noWrap/>
            <w:vAlign w:val="bottom"/>
          </w:tcPr>
          <w:p w14:paraId="70C30A8D"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595 (20.54)</w:t>
            </w:r>
          </w:p>
        </w:tc>
        <w:tc>
          <w:tcPr>
            <w:tcW w:w="1984" w:type="dxa"/>
            <w:tcBorders>
              <w:top w:val="nil"/>
              <w:bottom w:val="nil"/>
            </w:tcBorders>
            <w:noWrap/>
            <w:vAlign w:val="bottom"/>
          </w:tcPr>
          <w:p w14:paraId="0578AC0D"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453 (11.86)</w:t>
            </w:r>
          </w:p>
        </w:tc>
        <w:tc>
          <w:tcPr>
            <w:tcW w:w="1083" w:type="dxa"/>
            <w:tcBorders>
              <w:top w:val="nil"/>
              <w:bottom w:val="nil"/>
            </w:tcBorders>
            <w:noWrap/>
            <w:vAlign w:val="bottom"/>
          </w:tcPr>
          <w:p w14:paraId="016D26B3"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353CC785" w14:textId="77777777" w:rsidTr="00372862">
        <w:trPr>
          <w:trHeight w:val="300"/>
        </w:trPr>
        <w:tc>
          <w:tcPr>
            <w:tcW w:w="3823" w:type="dxa"/>
            <w:tcBorders>
              <w:top w:val="nil"/>
              <w:bottom w:val="nil"/>
            </w:tcBorders>
            <w:noWrap/>
            <w:tcMar>
              <w:left w:w="227" w:type="dxa"/>
            </w:tcMar>
          </w:tcPr>
          <w:p w14:paraId="6251DF5B"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Cardiovascular</w:t>
            </w:r>
          </w:p>
        </w:tc>
        <w:tc>
          <w:tcPr>
            <w:tcW w:w="2126" w:type="dxa"/>
            <w:tcBorders>
              <w:top w:val="nil"/>
              <w:bottom w:val="nil"/>
            </w:tcBorders>
            <w:noWrap/>
            <w:vAlign w:val="bottom"/>
          </w:tcPr>
          <w:p w14:paraId="79F29639"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160 (5.52)</w:t>
            </w:r>
          </w:p>
        </w:tc>
        <w:tc>
          <w:tcPr>
            <w:tcW w:w="1984" w:type="dxa"/>
            <w:tcBorders>
              <w:top w:val="nil"/>
              <w:bottom w:val="nil"/>
            </w:tcBorders>
            <w:noWrap/>
            <w:vAlign w:val="bottom"/>
          </w:tcPr>
          <w:p w14:paraId="6A7A05AF"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133 (3.48)</w:t>
            </w:r>
          </w:p>
        </w:tc>
        <w:tc>
          <w:tcPr>
            <w:tcW w:w="1083" w:type="dxa"/>
            <w:tcBorders>
              <w:top w:val="nil"/>
              <w:bottom w:val="nil"/>
            </w:tcBorders>
            <w:noWrap/>
            <w:vAlign w:val="bottom"/>
          </w:tcPr>
          <w:p w14:paraId="663909E0"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6893A3B2" w14:textId="77777777" w:rsidTr="00372862">
        <w:trPr>
          <w:trHeight w:val="300"/>
        </w:trPr>
        <w:tc>
          <w:tcPr>
            <w:tcW w:w="3823" w:type="dxa"/>
            <w:tcBorders>
              <w:top w:val="nil"/>
              <w:bottom w:val="single" w:sz="4" w:space="0" w:color="auto"/>
            </w:tcBorders>
            <w:noWrap/>
            <w:tcMar>
              <w:left w:w="227" w:type="dxa"/>
            </w:tcMar>
          </w:tcPr>
          <w:p w14:paraId="77BEF76E"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Non-cardiovascular</w:t>
            </w:r>
          </w:p>
        </w:tc>
        <w:tc>
          <w:tcPr>
            <w:tcW w:w="2126" w:type="dxa"/>
            <w:tcBorders>
              <w:top w:val="nil"/>
              <w:bottom w:val="single" w:sz="4" w:space="0" w:color="auto"/>
            </w:tcBorders>
            <w:noWrap/>
            <w:vAlign w:val="bottom"/>
          </w:tcPr>
          <w:p w14:paraId="7427270D"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435 (15.02)</w:t>
            </w:r>
          </w:p>
        </w:tc>
        <w:tc>
          <w:tcPr>
            <w:tcW w:w="1984" w:type="dxa"/>
            <w:tcBorders>
              <w:top w:val="nil"/>
              <w:bottom w:val="single" w:sz="4" w:space="0" w:color="auto"/>
            </w:tcBorders>
            <w:noWrap/>
            <w:vAlign w:val="bottom"/>
          </w:tcPr>
          <w:p w14:paraId="1D1213BD" w14:textId="77777777" w:rsidR="00186E7E" w:rsidRPr="00372862" w:rsidRDefault="00186E7E" w:rsidP="00186E7E">
            <w:pPr>
              <w:spacing w:after="0" w:line="240" w:lineRule="auto"/>
              <w:rPr>
                <w:rFonts w:ascii="Times New Roman" w:hAnsi="Times New Roman"/>
              </w:rPr>
            </w:pPr>
            <w:r w:rsidRPr="00372862">
              <w:rPr>
                <w:rFonts w:ascii="Times New Roman" w:hAnsi="Times New Roman"/>
              </w:rPr>
              <w:t>320 (8.38)</w:t>
            </w:r>
          </w:p>
        </w:tc>
        <w:tc>
          <w:tcPr>
            <w:tcW w:w="1083" w:type="dxa"/>
            <w:tcBorders>
              <w:top w:val="nil"/>
              <w:bottom w:val="single" w:sz="4" w:space="0" w:color="auto"/>
            </w:tcBorders>
            <w:noWrap/>
            <w:vAlign w:val="bottom"/>
          </w:tcPr>
          <w:p w14:paraId="598BF06E" w14:textId="77777777" w:rsidR="00186E7E" w:rsidRPr="00372862" w:rsidRDefault="00186E7E" w:rsidP="00186E7E">
            <w:pPr>
              <w:spacing w:after="0" w:line="240" w:lineRule="auto"/>
              <w:jc w:val="center"/>
              <w:rPr>
                <w:rFonts w:ascii="Times New Roman" w:hAnsi="Times New Roman"/>
                <w:b/>
                <w:bCs/>
              </w:rPr>
            </w:pPr>
            <w:r w:rsidRPr="00372862">
              <w:rPr>
                <w:rFonts w:ascii="Times New Roman" w:hAnsi="Times New Roman"/>
                <w:b/>
                <w:bCs/>
              </w:rPr>
              <w:t>&lt;0.001</w:t>
            </w:r>
          </w:p>
        </w:tc>
      </w:tr>
      <w:tr w:rsidR="00186E7E" w:rsidRPr="00372862" w14:paraId="5D5C1FC1" w14:textId="77777777" w:rsidTr="00372862">
        <w:trPr>
          <w:trHeight w:val="300"/>
        </w:trPr>
        <w:tc>
          <w:tcPr>
            <w:tcW w:w="3823" w:type="dxa"/>
            <w:tcBorders>
              <w:top w:val="single" w:sz="4" w:space="0" w:color="auto"/>
              <w:bottom w:val="single" w:sz="4" w:space="0" w:color="auto"/>
            </w:tcBorders>
            <w:noWrap/>
            <w:tcMar>
              <w:left w:w="108" w:type="dxa"/>
            </w:tcMar>
          </w:tcPr>
          <w:p w14:paraId="02FBC78C" w14:textId="77777777" w:rsidR="00186E7E" w:rsidRPr="0040496E" w:rsidRDefault="00186E7E" w:rsidP="00186E7E">
            <w:pPr>
              <w:spacing w:after="0" w:line="240" w:lineRule="auto"/>
              <w:rPr>
                <w:rFonts w:ascii="Times New Roman" w:hAnsi="Times New Roman"/>
              </w:rPr>
            </w:pPr>
            <w:r w:rsidRPr="0040496E">
              <w:rPr>
                <w:rFonts w:ascii="Times New Roman" w:hAnsi="Times New Roman"/>
              </w:rPr>
              <w:t>Incident cardiovascular disease‡, N(%)</w:t>
            </w:r>
          </w:p>
        </w:tc>
        <w:tc>
          <w:tcPr>
            <w:tcW w:w="2126" w:type="dxa"/>
            <w:tcBorders>
              <w:top w:val="single" w:sz="4" w:space="0" w:color="auto"/>
              <w:bottom w:val="single" w:sz="4" w:space="0" w:color="auto"/>
            </w:tcBorders>
            <w:noWrap/>
          </w:tcPr>
          <w:p w14:paraId="1022FE35" w14:textId="7E9674B3" w:rsidR="00186E7E" w:rsidRPr="0040496E" w:rsidRDefault="0040496E" w:rsidP="00186E7E">
            <w:pPr>
              <w:spacing w:after="0" w:line="240" w:lineRule="auto"/>
              <w:rPr>
                <w:rFonts w:ascii="Times New Roman" w:hAnsi="Times New Roman"/>
              </w:rPr>
            </w:pPr>
            <w:r>
              <w:rPr>
                <w:rFonts w:ascii="Times New Roman" w:hAnsi="Times New Roman"/>
              </w:rPr>
              <w:t>653</w:t>
            </w:r>
            <w:r w:rsidRPr="0040496E">
              <w:rPr>
                <w:rFonts w:ascii="Times New Roman" w:hAnsi="Times New Roman"/>
              </w:rPr>
              <w:t xml:space="preserve"> </w:t>
            </w:r>
            <w:r w:rsidR="00186E7E" w:rsidRPr="0040496E">
              <w:rPr>
                <w:rFonts w:ascii="Times New Roman" w:hAnsi="Times New Roman"/>
              </w:rPr>
              <w:t>(</w:t>
            </w:r>
            <w:r>
              <w:rPr>
                <w:rFonts w:ascii="Times New Roman" w:hAnsi="Times New Roman"/>
              </w:rPr>
              <w:t>29.59</w:t>
            </w:r>
            <w:r w:rsidR="00186E7E" w:rsidRPr="0040496E">
              <w:rPr>
                <w:rFonts w:ascii="Times New Roman" w:hAnsi="Times New Roman"/>
              </w:rPr>
              <w:t>)</w:t>
            </w:r>
          </w:p>
        </w:tc>
        <w:tc>
          <w:tcPr>
            <w:tcW w:w="1984" w:type="dxa"/>
            <w:tcBorders>
              <w:top w:val="single" w:sz="4" w:space="0" w:color="auto"/>
              <w:bottom w:val="single" w:sz="4" w:space="0" w:color="auto"/>
            </w:tcBorders>
            <w:noWrap/>
          </w:tcPr>
          <w:p w14:paraId="297F0183" w14:textId="674DD10A" w:rsidR="00186E7E" w:rsidRPr="0040496E" w:rsidRDefault="0040496E" w:rsidP="00186E7E">
            <w:pPr>
              <w:spacing w:after="0" w:line="240" w:lineRule="auto"/>
              <w:rPr>
                <w:rFonts w:ascii="Times New Roman" w:hAnsi="Times New Roman"/>
              </w:rPr>
            </w:pPr>
            <w:r>
              <w:rPr>
                <w:rFonts w:ascii="Times New Roman" w:hAnsi="Times New Roman"/>
              </w:rPr>
              <w:t>656</w:t>
            </w:r>
            <w:r w:rsidRPr="0040496E">
              <w:rPr>
                <w:rFonts w:ascii="Times New Roman" w:hAnsi="Times New Roman"/>
              </w:rPr>
              <w:t xml:space="preserve"> </w:t>
            </w:r>
            <w:r w:rsidR="00186E7E" w:rsidRPr="0040496E">
              <w:rPr>
                <w:rFonts w:ascii="Times New Roman" w:hAnsi="Times New Roman"/>
              </w:rPr>
              <w:t>(</w:t>
            </w:r>
            <w:r>
              <w:rPr>
                <w:rFonts w:ascii="Times New Roman" w:hAnsi="Times New Roman"/>
              </w:rPr>
              <w:t>19.79</w:t>
            </w:r>
            <w:r w:rsidR="00186E7E" w:rsidRPr="0040496E">
              <w:rPr>
                <w:rFonts w:ascii="Times New Roman" w:hAnsi="Times New Roman"/>
              </w:rPr>
              <w:t>)</w:t>
            </w:r>
          </w:p>
        </w:tc>
        <w:tc>
          <w:tcPr>
            <w:tcW w:w="1083" w:type="dxa"/>
            <w:tcBorders>
              <w:top w:val="single" w:sz="4" w:space="0" w:color="auto"/>
              <w:bottom w:val="single" w:sz="4" w:space="0" w:color="auto"/>
            </w:tcBorders>
            <w:noWrap/>
          </w:tcPr>
          <w:p w14:paraId="0869C94C" w14:textId="77777777" w:rsidR="00186E7E" w:rsidRPr="0040496E" w:rsidRDefault="00186E7E" w:rsidP="00186E7E">
            <w:pPr>
              <w:spacing w:after="0" w:line="240" w:lineRule="auto"/>
              <w:jc w:val="center"/>
              <w:rPr>
                <w:rFonts w:ascii="Times New Roman" w:hAnsi="Times New Roman"/>
                <w:b/>
                <w:bCs/>
              </w:rPr>
            </w:pPr>
            <w:r w:rsidRPr="0040496E">
              <w:rPr>
                <w:rFonts w:ascii="Times New Roman" w:hAnsi="Times New Roman"/>
                <w:b/>
                <w:bCs/>
              </w:rPr>
              <w:t>&lt;0.001</w:t>
            </w:r>
          </w:p>
        </w:tc>
      </w:tr>
    </w:tbl>
    <w:p w14:paraId="323B2354" w14:textId="77777777" w:rsidR="00A4582A" w:rsidRPr="00372862" w:rsidRDefault="00A4582A" w:rsidP="00A4582A">
      <w:pPr>
        <w:spacing w:after="0" w:line="240" w:lineRule="auto"/>
        <w:rPr>
          <w:rFonts w:ascii="Times New Roman" w:hAnsi="Times New Roman"/>
        </w:rPr>
      </w:pPr>
    </w:p>
    <w:p w14:paraId="21C71CCB" w14:textId="77777777" w:rsidR="00A4582A" w:rsidRPr="00372862" w:rsidRDefault="00A4582A" w:rsidP="00A4582A">
      <w:pPr>
        <w:spacing w:after="0" w:line="240" w:lineRule="auto"/>
        <w:rPr>
          <w:rFonts w:ascii="Times New Roman" w:hAnsi="Times New Roman"/>
        </w:rPr>
      </w:pPr>
      <w:r w:rsidRPr="00372862">
        <w:rPr>
          <w:rFonts w:ascii="Times New Roman" w:hAnsi="Times New Roman"/>
        </w:rPr>
        <w:t>SD – standard deviation, IQR – interquartile range, HbA</w:t>
      </w:r>
      <w:r w:rsidRPr="00372862">
        <w:rPr>
          <w:rFonts w:ascii="Times New Roman" w:hAnsi="Times New Roman"/>
          <w:vertAlign w:val="subscript"/>
        </w:rPr>
        <w:t>1c</w:t>
      </w:r>
      <w:r w:rsidRPr="00372862">
        <w:rPr>
          <w:rFonts w:ascii="Times New Roman" w:hAnsi="Times New Roman"/>
        </w:rPr>
        <w:t xml:space="preserve"> – Glycated Haemoglobin; LDL – low-density lipoprotein, ACE - Angiotensin-converting enzyme;</w:t>
      </w:r>
    </w:p>
    <w:p w14:paraId="6EA851F6" w14:textId="77777777" w:rsidR="00A4582A" w:rsidRPr="00372862" w:rsidRDefault="00A4582A" w:rsidP="00A4582A">
      <w:pPr>
        <w:spacing w:after="0" w:line="240" w:lineRule="auto"/>
        <w:rPr>
          <w:rFonts w:ascii="Times New Roman" w:hAnsi="Times New Roman"/>
        </w:rPr>
      </w:pPr>
    </w:p>
    <w:p w14:paraId="4A5D4FBD" w14:textId="04F5F47B" w:rsidR="00A4582A" w:rsidRPr="00372862" w:rsidRDefault="00A4582A" w:rsidP="00A4582A">
      <w:pPr>
        <w:spacing w:after="0" w:line="240" w:lineRule="auto"/>
        <w:rPr>
          <w:rFonts w:ascii="Times New Roman" w:hAnsi="Times New Roman"/>
        </w:rPr>
      </w:pPr>
      <w:r w:rsidRPr="00372862">
        <w:rPr>
          <w:rFonts w:ascii="Times New Roman" w:hAnsi="Times New Roman"/>
        </w:rPr>
        <w:t xml:space="preserve">*Estimated Glomerular Filtration Rate was calculated using the </w:t>
      </w:r>
      <w:r w:rsidRPr="00372862">
        <w:rPr>
          <w:rFonts w:ascii="Times New Roman" w:hAnsi="Times New Roman"/>
          <w:i/>
          <w:iCs/>
        </w:rPr>
        <w:t xml:space="preserve">Modification of Diet in Renal Disease </w:t>
      </w:r>
      <w:r w:rsidRPr="00372862">
        <w:rPr>
          <w:rFonts w:ascii="Times New Roman" w:hAnsi="Times New Roman"/>
        </w:rPr>
        <w:t>formula</w:t>
      </w:r>
      <w:r w:rsidR="00C704A4">
        <w:rPr>
          <w:rFonts w:ascii="Times New Roman" w:hAnsi="Times New Roman"/>
        </w:rPr>
        <w:fldChar w:fldCharType="begin" w:fldLock="1"/>
      </w:r>
      <w:r w:rsidR="00190631">
        <w:rPr>
          <w:rFonts w:ascii="Times New Roman" w:hAnsi="Times New Roman"/>
        </w:rPr>
        <w:instrText>ADDIN CSL_CITATION {"citationItems":[{"id":"ITEM-1","itemData":{"DOI":"10.7326/0003-4819-130-6-199903160-00002","ISSN":"0003-4819 (Print)","PMID":"10075613","abstract":"BACKGROUND: Serum creatinine concentration is widely used as an index of renal function, but this concentration is affected by factors other than glomerular filtration rate (GFR). OBJECTIVE: To develop an equation to predict GFR from serum creatinine concentration and other factors. DESIGN: Cross-sectional study of GFR, creatinine clearance, serum creatinine concentration, and demographic and clinical characteristics in patients with chronic renal disease. PATIENTS: 1628 patients enrolled in the baseline period of the Modification of Diet in Renal Disease (MDRD) Study, of whom 1070 were randomly selected as the training sample; the remaining 558 patients constituted the validation sample. METHODS: The prediction equation was developed by stepwise regression applied to the training sample. The equation was then tested and compared with other prediction equations in the validation sample. RESULTS: To simplify prediction of GFR, the equation included only demographic and serum variables. Independent factors associated with a lower GFR included a higher serum creatinine concentration, older age, female sex, nonblack ethnicity, higher serum urea nitrogen levels, and lower serum albumin levels (P &lt; 0.001 for all factors). The multiple regression model explained 90.3% of the variance in the logarithm of GFR in the validation sample. Measured creatinine clearance overestimated GFR by 19%, and creatinine clearance predicted by the Cockcroft-Gault formula overestimated GFR by 16%. After adjustment for this overestimation, the percentage of variance of the logarithm of GFR predicted by measured creatinine clearance or the Cockcroft-Gault formula was 86.6% and 84.2%, respectively. CONCLUSION: The equation developed from the MDRD Study provided a more accurate estimate of GFR in our study group than measured creatinine clearance or other commonly used equations.","author":[{"dropping-particle":"","family":"Levey","given":"A S","non-dropping-particle":"","parse-names":false,"suffix":""},{"dropping-particle":"","family":"Bosch","given":"J P","non-dropping-particle":"","parse-names":false,"suffix":""},{"dropping-particle":"","family":"Lewis","given":"J B","non-dropping-particle":"","parse-names":false,"suffix":""},{"dropping-particle":"","family":"Greene","given":"T","non-dropping-particle":"","parse-names":false,"suffix":""},{"dropping-particle":"","family":"Rogers","given":"N","non-dropping-particle":"","parse-names":false,"suffix":""},{"dropping-particle":"","family":"Roth","given":"D","non-dropping-particle":"","parse-names":false,"suffix":""}],"container-title":"Annals of internal medicine","id":"ITEM-1","issue":"6","issued":{"date-parts":[["1999","3"]]},"language":"eng","page":"461-470","publisher-place":"United States","title":"A more accurate method to estimate glomerular filtration rate from serum creatinine: a new prediction equation. Modification of Diet in Renal Disease Study Group.","type":"article-journal","volume":"130"},"uris":["http://www.mendeley.com/documents/?uuid=eaf82157-3457-4ccb-944a-37f51f6db880"]}],"mendeley":{"formattedCitation":"&lt;sup&gt;25&lt;/sup&gt;","plainTextFormattedCitation":"25","previouslyFormattedCitation":"&lt;sup&gt;25&lt;/sup&gt;"},"properties":{"noteIndex":0},"schema":"https://github.com/citation-style-language/schema/raw/master/csl-citation.json"}</w:instrText>
      </w:r>
      <w:r w:rsidR="00C704A4">
        <w:rPr>
          <w:rFonts w:ascii="Times New Roman" w:hAnsi="Times New Roman"/>
        </w:rPr>
        <w:fldChar w:fldCharType="separate"/>
      </w:r>
      <w:r w:rsidR="00AC05A9" w:rsidRPr="00AC05A9">
        <w:rPr>
          <w:rFonts w:ascii="Times New Roman" w:hAnsi="Times New Roman"/>
          <w:noProof/>
          <w:vertAlign w:val="superscript"/>
        </w:rPr>
        <w:t>25</w:t>
      </w:r>
      <w:r w:rsidR="00C704A4">
        <w:rPr>
          <w:rFonts w:ascii="Times New Roman" w:hAnsi="Times New Roman"/>
        </w:rPr>
        <w:fldChar w:fldCharType="end"/>
      </w:r>
      <w:r w:rsidR="00A82368">
        <w:rPr>
          <w:rFonts w:ascii="Times New Roman" w:hAnsi="Times New Roman"/>
        </w:rPr>
        <w:t>.</w:t>
      </w:r>
    </w:p>
    <w:p w14:paraId="78C8EBC9" w14:textId="77777777" w:rsidR="00A4582A" w:rsidRPr="00372862" w:rsidRDefault="00A4582A" w:rsidP="00A4582A">
      <w:pPr>
        <w:spacing w:after="0" w:line="240" w:lineRule="auto"/>
        <w:rPr>
          <w:rFonts w:ascii="Times New Roman" w:hAnsi="Times New Roman"/>
        </w:rPr>
      </w:pPr>
    </w:p>
    <w:p w14:paraId="4F0A6DF6" w14:textId="77777777" w:rsidR="00A4582A" w:rsidRPr="00372862" w:rsidRDefault="00A4582A" w:rsidP="00A4582A">
      <w:pPr>
        <w:spacing w:after="0" w:line="240" w:lineRule="auto"/>
        <w:rPr>
          <w:rFonts w:ascii="Times New Roman" w:hAnsi="Times New Roman"/>
        </w:rPr>
      </w:pPr>
      <w:r w:rsidRPr="00372862">
        <w:rPr>
          <w:rFonts w:ascii="Times New Roman" w:hAnsi="Times New Roman"/>
          <w:b/>
          <w:bCs/>
        </w:rPr>
        <w:t>†</w:t>
      </w:r>
      <w:r w:rsidRPr="00372862">
        <w:rPr>
          <w:rFonts w:ascii="Times New Roman" w:hAnsi="Times New Roman"/>
        </w:rPr>
        <w:t xml:space="preserve">Incident outcomes measured during the follow-up period from the third health check (2004-2012) until the end of March 2018, resulting in a median follow-up of 9.44 years. </w:t>
      </w:r>
    </w:p>
    <w:p w14:paraId="5E295E97" w14:textId="1083CF87" w:rsidR="00A4582A" w:rsidRPr="00372862" w:rsidRDefault="00A4582A" w:rsidP="00A4582A">
      <w:pPr>
        <w:spacing w:after="0" w:line="240" w:lineRule="auto"/>
        <w:rPr>
          <w:rFonts w:ascii="Times New Roman" w:hAnsi="Times New Roman"/>
        </w:rPr>
      </w:pPr>
      <w:r w:rsidRPr="00372862">
        <w:rPr>
          <w:rFonts w:ascii="Times New Roman" w:hAnsi="Times New Roman"/>
        </w:rPr>
        <w:lastRenderedPageBreak/>
        <w:t xml:space="preserve">‡Incident cardiovascular disorders reported only amongst patients without pre-existing cardiovascular disease at the third health check (N = </w:t>
      </w:r>
      <w:r w:rsidR="00DD05C9">
        <w:rPr>
          <w:rFonts w:ascii="Times New Roman" w:hAnsi="Times New Roman"/>
        </w:rPr>
        <w:t>2207</w:t>
      </w:r>
      <w:r w:rsidR="00DD05C9" w:rsidRPr="00372862">
        <w:rPr>
          <w:rFonts w:ascii="Times New Roman" w:hAnsi="Times New Roman"/>
        </w:rPr>
        <w:t xml:space="preserve"> </w:t>
      </w:r>
      <w:r w:rsidR="009445D1">
        <w:rPr>
          <w:rFonts w:ascii="Times New Roman" w:hAnsi="Times New Roman"/>
        </w:rPr>
        <w:t>men</w:t>
      </w:r>
      <w:r w:rsidRPr="00372862">
        <w:rPr>
          <w:rFonts w:ascii="Times New Roman" w:hAnsi="Times New Roman"/>
        </w:rPr>
        <w:t xml:space="preserve">; </w:t>
      </w:r>
      <w:r w:rsidR="00DD05C9">
        <w:rPr>
          <w:rFonts w:ascii="Times New Roman" w:hAnsi="Times New Roman"/>
        </w:rPr>
        <w:t>3315</w:t>
      </w:r>
      <w:r w:rsidR="00DD05C9" w:rsidRPr="00372862">
        <w:rPr>
          <w:rFonts w:ascii="Times New Roman" w:hAnsi="Times New Roman"/>
        </w:rPr>
        <w:t xml:space="preserve"> </w:t>
      </w:r>
      <w:r w:rsidR="009445D1">
        <w:rPr>
          <w:rFonts w:ascii="Times New Roman" w:hAnsi="Times New Roman"/>
        </w:rPr>
        <w:t>women</w:t>
      </w:r>
      <w:r w:rsidRPr="00372862">
        <w:rPr>
          <w:rFonts w:ascii="Times New Roman" w:hAnsi="Times New Roman"/>
        </w:rPr>
        <w:t>).</w:t>
      </w:r>
    </w:p>
    <w:p w14:paraId="741EBA18" w14:textId="77777777" w:rsidR="00A4582A" w:rsidRPr="00372862" w:rsidRDefault="00A4582A" w:rsidP="00A4582A">
      <w:pPr>
        <w:spacing w:after="0" w:line="240" w:lineRule="auto"/>
        <w:rPr>
          <w:rFonts w:ascii="Times New Roman" w:hAnsi="Times New Roman"/>
        </w:rPr>
      </w:pPr>
    </w:p>
    <w:p w14:paraId="311883B0" w14:textId="2E596BB3" w:rsidR="00A4582A" w:rsidRPr="00372862" w:rsidRDefault="00A4582A" w:rsidP="00A4582A">
      <w:pPr>
        <w:spacing w:after="0" w:line="240" w:lineRule="auto"/>
        <w:rPr>
          <w:rFonts w:ascii="Times New Roman" w:hAnsi="Times New Roman"/>
        </w:rPr>
        <w:sectPr w:rsidR="00A4582A" w:rsidRPr="00372862">
          <w:pgSz w:w="11906" w:h="16838"/>
          <w:pgMar w:top="1440" w:right="1440" w:bottom="1440" w:left="1440" w:header="708" w:footer="708" w:gutter="0"/>
          <w:cols w:space="708"/>
          <w:docGrid w:linePitch="360"/>
        </w:sectPr>
      </w:pPr>
      <w:r w:rsidRPr="00372862">
        <w:rPr>
          <w:rFonts w:ascii="Times New Roman" w:hAnsi="Times New Roman"/>
        </w:rPr>
        <w:t>Statistically significant results (</w:t>
      </w:r>
      <w:r w:rsidRPr="00372862">
        <w:rPr>
          <w:rFonts w:ascii="Times New Roman" w:hAnsi="Times New Roman"/>
          <w:i/>
          <w:iCs/>
        </w:rPr>
        <w:t>P</w:t>
      </w:r>
      <w:r w:rsidRPr="00372862">
        <w:rPr>
          <w:rFonts w:ascii="Times New Roman" w:hAnsi="Times New Roman"/>
        </w:rPr>
        <w:t xml:space="preserve"> &lt; 0.05) are highlighted in </w:t>
      </w:r>
      <w:r w:rsidRPr="00372862">
        <w:rPr>
          <w:rFonts w:ascii="Times New Roman" w:hAnsi="Times New Roman"/>
          <w:b/>
          <w:bCs/>
        </w:rPr>
        <w:t>bold</w:t>
      </w:r>
      <w:r w:rsidRPr="00372862">
        <w:rPr>
          <w:rFonts w:ascii="Times New Roman" w:hAnsi="Times New Roman"/>
        </w:rPr>
        <w:t xml:space="preserve">. </w:t>
      </w:r>
    </w:p>
    <w:p w14:paraId="02926139" w14:textId="178A039D" w:rsidR="00A0767B" w:rsidRPr="00B221E5" w:rsidRDefault="009B7D45" w:rsidP="00A0767B">
      <w:pPr>
        <w:spacing w:after="0" w:line="240" w:lineRule="auto"/>
        <w:rPr>
          <w:rFonts w:ascii="Times New Roman" w:hAnsi="Times New Roman"/>
          <w:b/>
          <w:bCs/>
          <w:color w:val="000000" w:themeColor="text1"/>
          <w:sz w:val="24"/>
          <w:szCs w:val="24"/>
          <w:lang w:val="fr-FR"/>
        </w:rPr>
      </w:pPr>
      <w:r w:rsidRPr="00B221E5">
        <w:rPr>
          <w:rFonts w:ascii="Times New Roman" w:hAnsi="Times New Roman"/>
          <w:b/>
          <w:bCs/>
          <w:color w:val="000000" w:themeColor="text1"/>
          <w:sz w:val="24"/>
          <w:szCs w:val="24"/>
          <w:lang w:val="fr-FR"/>
        </w:rPr>
        <w:lastRenderedPageBreak/>
        <w:t>FIGURES</w:t>
      </w:r>
    </w:p>
    <w:p w14:paraId="492E90FE" w14:textId="77777777" w:rsidR="00E0453B" w:rsidRDefault="00E0453B" w:rsidP="00E0453B">
      <w:pPr>
        <w:rPr>
          <w:rFonts w:ascii="Times New Roman" w:hAnsi="Times New Roman"/>
          <w:b/>
          <w:bCs/>
          <w:lang w:val="fr-FR"/>
        </w:rPr>
      </w:pPr>
    </w:p>
    <w:p w14:paraId="5289EC6E" w14:textId="094F2667" w:rsidR="00E0453B" w:rsidRDefault="00E0453B" w:rsidP="00E0453B">
      <w:pPr>
        <w:rPr>
          <w:rFonts w:ascii="Times New Roman" w:hAnsi="Times New Roman"/>
          <w:b/>
          <w:bCs/>
          <w:lang w:val="fr-FR"/>
        </w:rPr>
      </w:pPr>
      <w:r w:rsidRPr="00372862">
        <w:rPr>
          <w:rFonts w:ascii="Times New Roman" w:hAnsi="Times New Roman"/>
          <w:b/>
          <w:bCs/>
          <w:noProof/>
        </w:rPr>
        <w:drawing>
          <wp:anchor distT="0" distB="0" distL="114300" distR="114300" simplePos="0" relativeHeight="251658242" behindDoc="1" locked="0" layoutInCell="1" allowOverlap="1" wp14:anchorId="2E34CFBF" wp14:editId="5A0136C6">
            <wp:simplePos x="0" y="0"/>
            <wp:positionH relativeFrom="margin">
              <wp:posOffset>-793750</wp:posOffset>
            </wp:positionH>
            <wp:positionV relativeFrom="paragraph">
              <wp:posOffset>172085</wp:posOffset>
            </wp:positionV>
            <wp:extent cx="7367270" cy="58007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67270" cy="5800725"/>
                    </a:xfrm>
                    <a:prstGeom prst="rect">
                      <a:avLst/>
                    </a:prstGeom>
                  </pic:spPr>
                </pic:pic>
              </a:graphicData>
            </a:graphic>
            <wp14:sizeRelH relativeFrom="page">
              <wp14:pctWidth>0</wp14:pctWidth>
            </wp14:sizeRelH>
            <wp14:sizeRelV relativeFrom="page">
              <wp14:pctHeight>0</wp14:pctHeight>
            </wp14:sizeRelV>
          </wp:anchor>
        </w:drawing>
      </w:r>
    </w:p>
    <w:p w14:paraId="66C8BDC7" w14:textId="1A92B5A4" w:rsidR="00E0453B" w:rsidRPr="00E0453B" w:rsidRDefault="00A0767B" w:rsidP="00E0453B">
      <w:pPr>
        <w:rPr>
          <w:rFonts w:ascii="Times New Roman" w:hAnsi="Times New Roman"/>
          <w:lang w:val="fr-FR"/>
        </w:rPr>
        <w:sectPr w:rsidR="00E0453B" w:rsidRPr="00E0453B" w:rsidSect="00E0453B">
          <w:pgSz w:w="11900" w:h="16820"/>
          <w:pgMar w:top="1440" w:right="1440" w:bottom="1440" w:left="1440" w:header="709" w:footer="709" w:gutter="0"/>
          <w:cols w:space="708"/>
          <w:docGrid w:linePitch="360"/>
        </w:sectPr>
      </w:pPr>
      <w:r w:rsidRPr="00B221E5">
        <w:rPr>
          <w:rFonts w:ascii="Times New Roman" w:hAnsi="Times New Roman"/>
          <w:b/>
          <w:bCs/>
          <w:lang w:val="fr-FR"/>
        </w:rPr>
        <w:t>Figure 1</w:t>
      </w:r>
      <w:r w:rsidRPr="00B221E5">
        <w:rPr>
          <w:rFonts w:ascii="Times New Roman" w:hAnsi="Times New Roman"/>
          <w:lang w:val="fr-FR"/>
        </w:rPr>
        <w:t xml:space="preserve">. Participant Population </w:t>
      </w:r>
      <w:proofErr w:type="spellStart"/>
      <w:r w:rsidRPr="00B221E5">
        <w:rPr>
          <w:rFonts w:ascii="Times New Roman" w:hAnsi="Times New Roman"/>
          <w:lang w:val="fr-FR"/>
        </w:rPr>
        <w:t>Flowchart</w:t>
      </w:r>
      <w:proofErr w:type="spellEnd"/>
      <w:r w:rsidR="00E0453B">
        <w:rPr>
          <w:rFonts w:ascii="Times New Roman" w:hAnsi="Times New Roman"/>
          <w:lang w:val="fr-FR"/>
        </w:rPr>
        <w:t>.</w:t>
      </w:r>
    </w:p>
    <w:p w14:paraId="4AC3874C" w14:textId="5B36F7AE" w:rsidR="00A0767B" w:rsidRPr="00B221E5" w:rsidRDefault="00A0767B" w:rsidP="00A0767B">
      <w:pPr>
        <w:spacing w:after="0" w:line="240" w:lineRule="auto"/>
        <w:rPr>
          <w:rFonts w:ascii="Times New Roman" w:hAnsi="Times New Roman"/>
          <w:b/>
          <w:bCs/>
          <w:lang w:val="fr-FR"/>
        </w:rPr>
      </w:pPr>
      <w:r w:rsidRPr="00372862">
        <w:rPr>
          <w:rFonts w:ascii="Times New Roman" w:hAnsi="Times New Roman"/>
          <w:b/>
          <w:bCs/>
          <w:noProof/>
        </w:rPr>
        <w:lastRenderedPageBreak/>
        <w:drawing>
          <wp:anchor distT="0" distB="0" distL="114300" distR="114300" simplePos="0" relativeHeight="251658240" behindDoc="0" locked="0" layoutInCell="1" allowOverlap="1" wp14:anchorId="7482FE05" wp14:editId="455ED60D">
            <wp:simplePos x="0" y="0"/>
            <wp:positionH relativeFrom="margin">
              <wp:align>center</wp:align>
            </wp:positionH>
            <wp:positionV relativeFrom="paragraph">
              <wp:posOffset>0</wp:posOffset>
            </wp:positionV>
            <wp:extent cx="6577965" cy="5895340"/>
            <wp:effectExtent l="0" t="0" r="63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bwMode="auto">
                    <a:xfrm>
                      <a:off x="0" y="0"/>
                      <a:ext cx="6577965" cy="589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072FB" w14:textId="77777777" w:rsidR="00AA2D2C" w:rsidRDefault="00A0767B" w:rsidP="00A0767B">
      <w:pPr>
        <w:spacing w:after="0" w:line="240" w:lineRule="auto"/>
        <w:rPr>
          <w:rFonts w:ascii="Times New Roman" w:hAnsi="Times New Roman"/>
        </w:rPr>
      </w:pPr>
      <w:r w:rsidRPr="000A458F">
        <w:rPr>
          <w:rFonts w:ascii="Times New Roman" w:hAnsi="Times New Roman"/>
          <w:b/>
          <w:bCs/>
        </w:rPr>
        <w:t>Figure 2.</w:t>
      </w:r>
      <w:r w:rsidRPr="000A458F">
        <w:rPr>
          <w:rFonts w:ascii="Times New Roman" w:hAnsi="Times New Roman"/>
        </w:rPr>
        <w:t xml:space="preserve"> </w:t>
      </w:r>
      <w:r w:rsidRPr="00372862">
        <w:rPr>
          <w:rFonts w:ascii="Times New Roman" w:hAnsi="Times New Roman"/>
        </w:rPr>
        <w:t xml:space="preserve">Blood pressure trajectories amongst </w:t>
      </w:r>
      <w:r w:rsidR="00491E32">
        <w:rPr>
          <w:rFonts w:ascii="Times New Roman" w:hAnsi="Times New Roman"/>
        </w:rPr>
        <w:t>men</w:t>
      </w:r>
      <w:r w:rsidRPr="00372862">
        <w:rPr>
          <w:rFonts w:ascii="Times New Roman" w:hAnsi="Times New Roman"/>
        </w:rPr>
        <w:t xml:space="preserve"> (n = 2897) and </w:t>
      </w:r>
      <w:r w:rsidR="00491E32">
        <w:rPr>
          <w:rFonts w:ascii="Times New Roman" w:hAnsi="Times New Roman"/>
        </w:rPr>
        <w:t>women</w:t>
      </w:r>
      <w:r w:rsidRPr="00372862">
        <w:rPr>
          <w:rFonts w:ascii="Times New Roman" w:hAnsi="Times New Roman"/>
        </w:rPr>
        <w:t xml:space="preserve"> (n = 3819) participants included in the mortality analyses. </w:t>
      </w:r>
    </w:p>
    <w:p w14:paraId="2FFE0B49" w14:textId="4EF7A39D" w:rsidR="00AA2D2C" w:rsidRDefault="00AA2D2C" w:rsidP="00A0767B">
      <w:pPr>
        <w:spacing w:after="0" w:line="240" w:lineRule="auto"/>
        <w:rPr>
          <w:rFonts w:ascii="Times New Roman" w:hAnsi="Times New Roman"/>
        </w:rPr>
      </w:pPr>
    </w:p>
    <w:p w14:paraId="0D4CAECE" w14:textId="09590F53" w:rsidR="00AA2D2C" w:rsidRDefault="00AA2D2C" w:rsidP="005257DC">
      <w:pPr>
        <w:spacing w:after="0" w:line="240" w:lineRule="auto"/>
        <w:jc w:val="both"/>
        <w:rPr>
          <w:rFonts w:ascii="Times New Roman" w:hAnsi="Times New Roman"/>
        </w:rPr>
      </w:pPr>
      <w:r>
        <w:rPr>
          <w:rFonts w:ascii="Times New Roman" w:hAnsi="Times New Roman"/>
        </w:rPr>
        <w:t xml:space="preserve">SBP trajectories in men: Trajectory 1 – stable optimal SBP, Trajectory 2 – stable normal/high normal SBP, Trajectory 3 – stable grade 1 hypertension, Trajectory 4 – well-controlled grade 1 hypertension, Trajectory 5 – grade 1 </w:t>
      </w:r>
      <w:r w:rsidRPr="00AA2D2C">
        <w:rPr>
          <w:rFonts w:ascii="Times New Roman" w:hAnsi="Times New Roman"/>
        </w:rPr>
        <w:sym w:font="Wingdings" w:char="F0E0"/>
      </w:r>
      <w:r>
        <w:rPr>
          <w:rFonts w:ascii="Times New Roman" w:hAnsi="Times New Roman"/>
        </w:rPr>
        <w:t xml:space="preserve"> grade 2 hypertension, Trajectory 6 – grade 2 </w:t>
      </w:r>
      <w:r w:rsidRPr="00AA2D2C">
        <w:rPr>
          <w:rFonts w:ascii="Times New Roman" w:hAnsi="Times New Roman"/>
        </w:rPr>
        <w:sym w:font="Wingdings" w:char="F0E0"/>
      </w:r>
      <w:r>
        <w:rPr>
          <w:rFonts w:ascii="Times New Roman" w:hAnsi="Times New Roman"/>
        </w:rPr>
        <w:t xml:space="preserve"> grade 1 hypertension.</w:t>
      </w:r>
    </w:p>
    <w:p w14:paraId="6DCFF609" w14:textId="77777777" w:rsidR="005257DC" w:rsidRDefault="005257DC" w:rsidP="005257DC">
      <w:pPr>
        <w:spacing w:after="0" w:line="240" w:lineRule="auto"/>
        <w:jc w:val="both"/>
        <w:rPr>
          <w:rFonts w:ascii="Times New Roman" w:hAnsi="Times New Roman"/>
        </w:rPr>
      </w:pPr>
    </w:p>
    <w:p w14:paraId="38AD8C10" w14:textId="5E1EA7BC" w:rsidR="00AA2D2C" w:rsidRDefault="00AA2D2C" w:rsidP="005257DC">
      <w:pPr>
        <w:spacing w:after="0" w:line="240" w:lineRule="auto"/>
        <w:jc w:val="both"/>
        <w:rPr>
          <w:rFonts w:ascii="Times New Roman" w:hAnsi="Times New Roman"/>
        </w:rPr>
      </w:pPr>
      <w:r>
        <w:rPr>
          <w:rFonts w:ascii="Times New Roman" w:hAnsi="Times New Roman"/>
        </w:rPr>
        <w:t xml:space="preserve">SBP trajectories in women: Trajectory 1 </w:t>
      </w:r>
      <w:r w:rsidR="005257DC">
        <w:rPr>
          <w:rFonts w:ascii="Times New Roman" w:hAnsi="Times New Roman"/>
        </w:rPr>
        <w:t>–</w:t>
      </w:r>
      <w:r>
        <w:rPr>
          <w:rFonts w:ascii="Times New Roman" w:hAnsi="Times New Roman"/>
        </w:rPr>
        <w:t xml:space="preserve"> </w:t>
      </w:r>
      <w:r w:rsidR="005257DC">
        <w:rPr>
          <w:rFonts w:ascii="Times New Roman" w:hAnsi="Times New Roman"/>
        </w:rPr>
        <w:t xml:space="preserve">stable optimal SBP, Trajectory 2 – rising normal/high normal SBP, Trajectory 3 – stable grade 1 hypertension, Trajectory 4 – grade 2 </w:t>
      </w:r>
      <w:r w:rsidR="005257DC" w:rsidRPr="005257DC">
        <w:rPr>
          <w:rFonts w:ascii="Times New Roman" w:hAnsi="Times New Roman"/>
        </w:rPr>
        <w:sym w:font="Wingdings" w:char="F0E0"/>
      </w:r>
      <w:r w:rsidR="005257DC">
        <w:rPr>
          <w:rFonts w:ascii="Times New Roman" w:hAnsi="Times New Roman"/>
        </w:rPr>
        <w:t xml:space="preserve"> grade 1 hypertension, Trajectory 5 – grade 1 </w:t>
      </w:r>
      <w:r w:rsidR="005257DC" w:rsidRPr="005257DC">
        <w:rPr>
          <w:rFonts w:ascii="Times New Roman" w:hAnsi="Times New Roman"/>
        </w:rPr>
        <w:sym w:font="Wingdings" w:char="F0E0"/>
      </w:r>
      <w:r w:rsidR="005257DC">
        <w:rPr>
          <w:rFonts w:ascii="Times New Roman" w:hAnsi="Times New Roman"/>
        </w:rPr>
        <w:t xml:space="preserve"> grade 2 hypertension</w:t>
      </w:r>
    </w:p>
    <w:p w14:paraId="5915C9DC" w14:textId="33EDF2B6" w:rsidR="005257DC" w:rsidRDefault="005257DC" w:rsidP="005257DC">
      <w:pPr>
        <w:spacing w:after="0" w:line="240" w:lineRule="auto"/>
        <w:jc w:val="both"/>
        <w:rPr>
          <w:rFonts w:ascii="Times New Roman" w:hAnsi="Times New Roman"/>
        </w:rPr>
      </w:pPr>
    </w:p>
    <w:p w14:paraId="4A84F846" w14:textId="1BEA493D" w:rsidR="005257DC" w:rsidRDefault="005257DC" w:rsidP="005257DC">
      <w:pPr>
        <w:spacing w:after="0" w:line="240" w:lineRule="auto"/>
        <w:jc w:val="both"/>
        <w:rPr>
          <w:rFonts w:ascii="Times New Roman" w:hAnsi="Times New Roman"/>
        </w:rPr>
      </w:pPr>
      <w:r>
        <w:rPr>
          <w:rFonts w:ascii="Times New Roman" w:hAnsi="Times New Roman"/>
        </w:rPr>
        <w:t xml:space="preserve">DBP trajectories: Trajectory 1 - low optimal DBP, Trajectory 2 – high optimal DBP, Trajectory 3 – normal/high-normal DBP, Trajectory 4 – grade 1 hypertension </w:t>
      </w:r>
      <w:r w:rsidRPr="005257DC">
        <w:rPr>
          <w:rFonts w:ascii="Times New Roman" w:hAnsi="Times New Roman"/>
        </w:rPr>
        <w:sym w:font="Wingdings" w:char="F0E0"/>
      </w:r>
      <w:r>
        <w:rPr>
          <w:rFonts w:ascii="Times New Roman" w:hAnsi="Times New Roman"/>
        </w:rPr>
        <w:t xml:space="preserve"> normal DBP, Trajectory 5 – stable grade 1/grade 2 hypertension</w:t>
      </w:r>
    </w:p>
    <w:p w14:paraId="69E69BE6" w14:textId="77777777" w:rsidR="00AA2D2C" w:rsidRDefault="00AA2D2C" w:rsidP="00A0767B">
      <w:pPr>
        <w:spacing w:after="0" w:line="240" w:lineRule="auto"/>
        <w:rPr>
          <w:rFonts w:ascii="Times New Roman" w:hAnsi="Times New Roman"/>
        </w:rPr>
      </w:pPr>
    </w:p>
    <w:p w14:paraId="20C71EF1" w14:textId="4003B940" w:rsidR="00A0767B" w:rsidRPr="00372862" w:rsidRDefault="00A0767B" w:rsidP="00A0767B">
      <w:pPr>
        <w:spacing w:after="0" w:line="240" w:lineRule="auto"/>
        <w:rPr>
          <w:rFonts w:ascii="Times New Roman" w:hAnsi="Times New Roman"/>
        </w:rPr>
      </w:pPr>
      <w:r w:rsidRPr="00372862">
        <w:rPr>
          <w:rFonts w:ascii="Times New Roman" w:hAnsi="Times New Roman"/>
        </w:rPr>
        <w:t>95% confidence intervals are represented as dashed grey lines.</w:t>
      </w:r>
      <w:r w:rsidRPr="00372862">
        <w:rPr>
          <w:rFonts w:ascii="Times New Roman" w:hAnsi="Times New Roman"/>
        </w:rPr>
        <w:br w:type="page"/>
      </w:r>
    </w:p>
    <w:p w14:paraId="459BC6E4" w14:textId="1171005B" w:rsidR="005257DC" w:rsidRDefault="00A0767B" w:rsidP="003819B4">
      <w:pPr>
        <w:spacing w:after="0" w:line="240" w:lineRule="auto"/>
        <w:rPr>
          <w:rFonts w:ascii="Times New Roman" w:hAnsi="Times New Roman"/>
        </w:rPr>
      </w:pPr>
      <w:r w:rsidRPr="00372862">
        <w:rPr>
          <w:rFonts w:ascii="Times New Roman" w:hAnsi="Times New Roman"/>
          <w:noProof/>
        </w:rPr>
        <w:lastRenderedPageBreak/>
        <w:drawing>
          <wp:anchor distT="0" distB="0" distL="114300" distR="114300" simplePos="0" relativeHeight="251658241" behindDoc="0" locked="0" layoutInCell="1" allowOverlap="1" wp14:anchorId="2D1991E9" wp14:editId="74CE9402">
            <wp:simplePos x="0" y="0"/>
            <wp:positionH relativeFrom="margin">
              <wp:align>center</wp:align>
            </wp:positionH>
            <wp:positionV relativeFrom="paragraph">
              <wp:posOffset>196</wp:posOffset>
            </wp:positionV>
            <wp:extent cx="6539230" cy="5859145"/>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39270" cy="58593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2862">
        <w:rPr>
          <w:rFonts w:ascii="Times New Roman" w:hAnsi="Times New Roman"/>
          <w:b/>
          <w:bCs/>
        </w:rPr>
        <w:t>Figure 3.</w:t>
      </w:r>
      <w:r w:rsidRPr="00372862">
        <w:rPr>
          <w:rFonts w:ascii="Times New Roman" w:hAnsi="Times New Roman"/>
        </w:rPr>
        <w:t xml:space="preserve"> Long-term blood pressure patterns amongst </w:t>
      </w:r>
      <w:r w:rsidR="00491E32">
        <w:rPr>
          <w:rFonts w:ascii="Times New Roman" w:hAnsi="Times New Roman"/>
        </w:rPr>
        <w:t>men</w:t>
      </w:r>
      <w:r w:rsidRPr="00372862">
        <w:rPr>
          <w:rFonts w:ascii="Times New Roman" w:hAnsi="Times New Roman"/>
        </w:rPr>
        <w:t xml:space="preserve"> (n = </w:t>
      </w:r>
      <w:r w:rsidR="00FE6D58">
        <w:rPr>
          <w:rFonts w:ascii="Times New Roman" w:hAnsi="Times New Roman"/>
        </w:rPr>
        <w:t>2207</w:t>
      </w:r>
      <w:r w:rsidRPr="00372862">
        <w:rPr>
          <w:rFonts w:ascii="Times New Roman" w:hAnsi="Times New Roman"/>
        </w:rPr>
        <w:t xml:space="preserve">) and </w:t>
      </w:r>
      <w:r w:rsidR="00491E32">
        <w:rPr>
          <w:rFonts w:ascii="Times New Roman" w:hAnsi="Times New Roman"/>
        </w:rPr>
        <w:t>women</w:t>
      </w:r>
      <w:r w:rsidRPr="00372862">
        <w:rPr>
          <w:rFonts w:ascii="Times New Roman" w:hAnsi="Times New Roman"/>
        </w:rPr>
        <w:t xml:space="preserve"> (n = </w:t>
      </w:r>
      <w:r w:rsidR="00FE6D58">
        <w:rPr>
          <w:rFonts w:ascii="Times New Roman" w:hAnsi="Times New Roman"/>
        </w:rPr>
        <w:t>3315</w:t>
      </w:r>
      <w:r w:rsidRPr="00372862">
        <w:rPr>
          <w:rFonts w:ascii="Times New Roman" w:hAnsi="Times New Roman"/>
        </w:rPr>
        <w:t xml:space="preserve">) participants included in the incident cardiovascular disease analyses. </w:t>
      </w:r>
    </w:p>
    <w:p w14:paraId="55E55799" w14:textId="090158F9" w:rsidR="005257DC" w:rsidRDefault="005257DC" w:rsidP="003819B4">
      <w:pPr>
        <w:spacing w:after="0" w:line="240" w:lineRule="auto"/>
        <w:rPr>
          <w:rFonts w:ascii="Times New Roman" w:hAnsi="Times New Roman"/>
        </w:rPr>
      </w:pPr>
    </w:p>
    <w:p w14:paraId="218049BD" w14:textId="5EC03138" w:rsidR="005257DC" w:rsidRDefault="005257DC" w:rsidP="005257DC">
      <w:pPr>
        <w:spacing w:after="0" w:line="240" w:lineRule="auto"/>
        <w:jc w:val="both"/>
        <w:rPr>
          <w:rFonts w:ascii="Times New Roman" w:hAnsi="Times New Roman"/>
        </w:rPr>
      </w:pPr>
      <w:r>
        <w:rPr>
          <w:rFonts w:ascii="Times New Roman" w:hAnsi="Times New Roman"/>
        </w:rPr>
        <w:t xml:space="preserve">SBP trajectories in men: Trajectory 1 – borderline stable optimal SBP, Trajectory 2 – rising normal/high normal SBP, Trajectory 3 – rising grade 1 hypertension, Trajectory 4 – grade 1 hypertension </w:t>
      </w:r>
      <w:r w:rsidRPr="005257DC">
        <w:rPr>
          <w:rFonts w:ascii="Times New Roman" w:hAnsi="Times New Roman"/>
        </w:rPr>
        <w:sym w:font="Wingdings" w:char="F0E0"/>
      </w:r>
      <w:r>
        <w:rPr>
          <w:rFonts w:ascii="Times New Roman" w:hAnsi="Times New Roman"/>
        </w:rPr>
        <w:t xml:space="preserve"> high-normal SBP, Trajectory 5 – grade 2 </w:t>
      </w:r>
      <w:r w:rsidRPr="00AA2D2C">
        <w:rPr>
          <w:rFonts w:ascii="Times New Roman" w:hAnsi="Times New Roman"/>
        </w:rPr>
        <w:sym w:font="Wingdings" w:char="F0E0"/>
      </w:r>
      <w:r>
        <w:rPr>
          <w:rFonts w:ascii="Times New Roman" w:hAnsi="Times New Roman"/>
        </w:rPr>
        <w:t xml:space="preserve"> grade 1 hypertension.</w:t>
      </w:r>
    </w:p>
    <w:p w14:paraId="51999FF7" w14:textId="77777777" w:rsidR="005257DC" w:rsidRDefault="005257DC" w:rsidP="005257DC">
      <w:pPr>
        <w:spacing w:after="0" w:line="240" w:lineRule="auto"/>
        <w:jc w:val="both"/>
        <w:rPr>
          <w:rFonts w:ascii="Times New Roman" w:hAnsi="Times New Roman"/>
        </w:rPr>
      </w:pPr>
    </w:p>
    <w:p w14:paraId="0D9AAB70" w14:textId="492C4625" w:rsidR="005257DC" w:rsidRDefault="005257DC" w:rsidP="005257DC">
      <w:pPr>
        <w:spacing w:after="0" w:line="240" w:lineRule="auto"/>
        <w:jc w:val="both"/>
        <w:rPr>
          <w:rFonts w:ascii="Times New Roman" w:hAnsi="Times New Roman"/>
        </w:rPr>
      </w:pPr>
      <w:r>
        <w:rPr>
          <w:rFonts w:ascii="Times New Roman" w:hAnsi="Times New Roman"/>
        </w:rPr>
        <w:t xml:space="preserve">SBP trajectories in women: Trajectory 1 – stable optimal SBP, Trajectory 2 – rising normal/high normal SBP, Trajectory 3 – high-normal SBP </w:t>
      </w:r>
      <w:r w:rsidRPr="005257DC">
        <w:rPr>
          <w:rFonts w:ascii="Times New Roman" w:hAnsi="Times New Roman"/>
        </w:rPr>
        <w:sym w:font="Wingdings" w:char="F0E0"/>
      </w:r>
      <w:r>
        <w:rPr>
          <w:rFonts w:ascii="Times New Roman" w:hAnsi="Times New Roman"/>
        </w:rPr>
        <w:t xml:space="preserve"> grade 1 hypertension, Trajectory 4 – decreasing grade 1 hypertension, Trajectory 5 – grade 1 </w:t>
      </w:r>
      <w:r w:rsidRPr="005257DC">
        <w:rPr>
          <w:rFonts w:ascii="Times New Roman" w:hAnsi="Times New Roman"/>
        </w:rPr>
        <w:sym w:font="Wingdings" w:char="F0E0"/>
      </w:r>
      <w:r>
        <w:rPr>
          <w:rFonts w:ascii="Times New Roman" w:hAnsi="Times New Roman"/>
        </w:rPr>
        <w:t xml:space="preserve"> grade 2 hypertension.</w:t>
      </w:r>
    </w:p>
    <w:p w14:paraId="01AF9FF6" w14:textId="77777777" w:rsidR="005257DC" w:rsidRDefault="005257DC" w:rsidP="005257DC">
      <w:pPr>
        <w:spacing w:after="0" w:line="240" w:lineRule="auto"/>
        <w:jc w:val="both"/>
        <w:rPr>
          <w:rFonts w:ascii="Times New Roman" w:hAnsi="Times New Roman"/>
        </w:rPr>
      </w:pPr>
    </w:p>
    <w:p w14:paraId="499863A7" w14:textId="0E2D25C9" w:rsidR="005257DC" w:rsidRDefault="005257DC" w:rsidP="005257DC">
      <w:pPr>
        <w:spacing w:after="0" w:line="240" w:lineRule="auto"/>
        <w:jc w:val="both"/>
        <w:rPr>
          <w:rFonts w:ascii="Times New Roman" w:hAnsi="Times New Roman"/>
        </w:rPr>
      </w:pPr>
      <w:r>
        <w:rPr>
          <w:rFonts w:ascii="Times New Roman" w:hAnsi="Times New Roman"/>
        </w:rPr>
        <w:t xml:space="preserve">DBP trajectories: Trajectory 1 - low optimal DBP, Trajectory 2 – high optimal DBP, Trajectory 3 – normal/high-normal DBP, Trajectory 4 – grade 1 hypertension </w:t>
      </w:r>
      <w:r w:rsidRPr="005257DC">
        <w:rPr>
          <w:rFonts w:ascii="Times New Roman" w:hAnsi="Times New Roman"/>
        </w:rPr>
        <w:sym w:font="Wingdings" w:char="F0E0"/>
      </w:r>
      <w:r>
        <w:rPr>
          <w:rFonts w:ascii="Times New Roman" w:hAnsi="Times New Roman"/>
        </w:rPr>
        <w:t xml:space="preserve"> normal DBP, Trajectory 5 – stable grade 1/grade 2 hypertension.</w:t>
      </w:r>
    </w:p>
    <w:p w14:paraId="13BF006E" w14:textId="77777777" w:rsidR="005257DC" w:rsidRDefault="005257DC" w:rsidP="003819B4">
      <w:pPr>
        <w:spacing w:after="0" w:line="240" w:lineRule="auto"/>
        <w:rPr>
          <w:rFonts w:ascii="Times New Roman" w:hAnsi="Times New Roman"/>
        </w:rPr>
      </w:pPr>
    </w:p>
    <w:p w14:paraId="726E3558" w14:textId="77777777" w:rsidR="005257DC" w:rsidRDefault="005257DC" w:rsidP="003819B4">
      <w:pPr>
        <w:spacing w:after="0" w:line="240" w:lineRule="auto"/>
        <w:rPr>
          <w:rFonts w:ascii="Times New Roman" w:hAnsi="Times New Roman"/>
        </w:rPr>
      </w:pPr>
    </w:p>
    <w:p w14:paraId="250F9ABE" w14:textId="5A5E65A4" w:rsidR="003819B4" w:rsidRPr="00A00CE9" w:rsidRDefault="00A0767B" w:rsidP="003819B4">
      <w:pPr>
        <w:spacing w:after="0" w:line="240" w:lineRule="auto"/>
        <w:rPr>
          <w:rFonts w:ascii="Times New Roman" w:hAnsi="Times New Roman"/>
        </w:rPr>
      </w:pPr>
      <w:r w:rsidRPr="00372862">
        <w:rPr>
          <w:rFonts w:ascii="Times New Roman" w:hAnsi="Times New Roman"/>
        </w:rPr>
        <w:t>95% confidence intervals are represented as dashed grey lines.</w:t>
      </w:r>
      <w:r w:rsidRPr="00372862">
        <w:rPr>
          <w:rFonts w:ascii="Times New Roman" w:hAnsi="Times New Roman"/>
        </w:rPr>
        <w:br w:type="page"/>
      </w:r>
    </w:p>
    <w:p w14:paraId="07552D2C" w14:textId="77777777" w:rsidR="00D856DA" w:rsidRDefault="00D856DA" w:rsidP="003819B4">
      <w:pPr>
        <w:spacing w:after="0" w:line="240" w:lineRule="auto"/>
        <w:rPr>
          <w:rFonts w:ascii="Times New Roman" w:hAnsi="Times New Roman"/>
          <w:b/>
          <w:bCs/>
        </w:rPr>
        <w:sectPr w:rsidR="00D856DA" w:rsidSect="00123D68">
          <w:pgSz w:w="11900" w:h="16820"/>
          <w:pgMar w:top="1440" w:right="1440" w:bottom="1440" w:left="1440" w:header="709" w:footer="709" w:gutter="0"/>
          <w:cols w:space="708"/>
          <w:docGrid w:linePitch="360"/>
        </w:sectPr>
      </w:pPr>
    </w:p>
    <w:p w14:paraId="6D92ABB4" w14:textId="6C8C5A16" w:rsidR="00D856DA" w:rsidRDefault="00D856DA" w:rsidP="003819B4">
      <w:pPr>
        <w:spacing w:after="0" w:line="240" w:lineRule="auto"/>
        <w:rPr>
          <w:rFonts w:ascii="Times New Roman" w:hAnsi="Times New Roman"/>
          <w:b/>
          <w:bCs/>
        </w:rPr>
      </w:pPr>
      <w:r>
        <w:rPr>
          <w:rFonts w:ascii="Times New Roman" w:hAnsi="Times New Roman"/>
          <w:b/>
          <w:bCs/>
          <w:noProof/>
        </w:rPr>
        <w:lastRenderedPageBreak/>
        <w:drawing>
          <wp:anchor distT="0" distB="0" distL="114300" distR="114300" simplePos="0" relativeHeight="251658243" behindDoc="0" locked="0" layoutInCell="1" allowOverlap="1" wp14:anchorId="5F68FC18" wp14:editId="17A47F21">
            <wp:simplePos x="0" y="0"/>
            <wp:positionH relativeFrom="column">
              <wp:posOffset>-574675</wp:posOffset>
            </wp:positionH>
            <wp:positionV relativeFrom="paragraph">
              <wp:posOffset>0</wp:posOffset>
            </wp:positionV>
            <wp:extent cx="10217785" cy="5379720"/>
            <wp:effectExtent l="0" t="0" r="5715"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17785" cy="5379720"/>
                    </a:xfrm>
                    <a:prstGeom prst="rect">
                      <a:avLst/>
                    </a:prstGeom>
                  </pic:spPr>
                </pic:pic>
              </a:graphicData>
            </a:graphic>
            <wp14:sizeRelH relativeFrom="page">
              <wp14:pctWidth>0</wp14:pctWidth>
            </wp14:sizeRelH>
            <wp14:sizeRelV relativeFrom="page">
              <wp14:pctHeight>0</wp14:pctHeight>
            </wp14:sizeRelV>
          </wp:anchor>
        </w:drawing>
      </w:r>
    </w:p>
    <w:p w14:paraId="4AECC913" w14:textId="77777777" w:rsidR="00D856DA" w:rsidRDefault="00D856DA" w:rsidP="003819B4">
      <w:pPr>
        <w:spacing w:after="0" w:line="240" w:lineRule="auto"/>
        <w:rPr>
          <w:rFonts w:ascii="Times New Roman" w:hAnsi="Times New Roman"/>
          <w:b/>
          <w:bCs/>
        </w:rPr>
      </w:pPr>
    </w:p>
    <w:p w14:paraId="3BD26A47" w14:textId="0287BA18" w:rsidR="003819B4" w:rsidRPr="00372862" w:rsidRDefault="00A0767B" w:rsidP="003819B4">
      <w:pPr>
        <w:spacing w:after="0" w:line="240" w:lineRule="auto"/>
        <w:rPr>
          <w:rFonts w:ascii="Times New Roman" w:hAnsi="Times New Roman"/>
        </w:rPr>
      </w:pPr>
      <w:r w:rsidRPr="00372862">
        <w:rPr>
          <w:rFonts w:ascii="Times New Roman" w:hAnsi="Times New Roman"/>
          <w:b/>
          <w:bCs/>
        </w:rPr>
        <w:lastRenderedPageBreak/>
        <w:t xml:space="preserve">Figure 4. </w:t>
      </w:r>
      <w:r w:rsidR="003819B4" w:rsidRPr="00372862">
        <w:rPr>
          <w:rFonts w:ascii="Times New Roman" w:hAnsi="Times New Roman"/>
        </w:rPr>
        <w:t>Results of Cox regression</w:t>
      </w:r>
      <w:r w:rsidR="003819B4">
        <w:rPr>
          <w:rFonts w:ascii="Times New Roman" w:hAnsi="Times New Roman"/>
        </w:rPr>
        <w:t xml:space="preserve">s </w:t>
      </w:r>
      <w:r w:rsidR="003819B4" w:rsidRPr="00372862">
        <w:rPr>
          <w:rFonts w:ascii="Times New Roman" w:hAnsi="Times New Roman"/>
        </w:rPr>
        <w:t xml:space="preserve">assessing the association between blood pressure phenotypes and </w:t>
      </w:r>
      <w:r w:rsidR="0057571C">
        <w:rPr>
          <w:rFonts w:ascii="Times New Roman" w:hAnsi="Times New Roman"/>
        </w:rPr>
        <w:t xml:space="preserve">all-cause </w:t>
      </w:r>
      <w:r w:rsidR="003819B4" w:rsidRPr="00372862">
        <w:rPr>
          <w:rFonts w:ascii="Times New Roman" w:hAnsi="Times New Roman"/>
        </w:rPr>
        <w:t>mortality</w:t>
      </w:r>
      <w:r w:rsidR="0057571C">
        <w:rPr>
          <w:rFonts w:ascii="Times New Roman" w:hAnsi="Times New Roman"/>
        </w:rPr>
        <w:t>.</w:t>
      </w:r>
      <w:r w:rsidR="003819B4" w:rsidRPr="00372862">
        <w:rPr>
          <w:rFonts w:ascii="Times New Roman" w:hAnsi="Times New Roman"/>
        </w:rPr>
        <w:t xml:space="preserve"> </w:t>
      </w:r>
    </w:p>
    <w:p w14:paraId="1243FD8A" w14:textId="1EE8BC8C" w:rsidR="003819B4" w:rsidRDefault="003819B4" w:rsidP="003819B4">
      <w:pPr>
        <w:spacing w:after="0" w:line="240" w:lineRule="auto"/>
        <w:rPr>
          <w:rFonts w:ascii="Times New Roman" w:hAnsi="Times New Roman"/>
        </w:rPr>
      </w:pPr>
    </w:p>
    <w:p w14:paraId="52FE4837" w14:textId="77777777" w:rsidR="0057571C" w:rsidRPr="0057571C" w:rsidRDefault="0057571C" w:rsidP="0057571C">
      <w:pPr>
        <w:spacing w:after="0" w:line="240" w:lineRule="auto"/>
        <w:rPr>
          <w:rFonts w:ascii="Times New Roman" w:hAnsi="Times New Roman"/>
        </w:rPr>
      </w:pPr>
      <w:r w:rsidRPr="0057571C">
        <w:rPr>
          <w:rFonts w:ascii="Times New Roman" w:hAnsi="Times New Roman"/>
        </w:rPr>
        <w:t>Model A – Univariable</w:t>
      </w:r>
    </w:p>
    <w:p w14:paraId="002536E8" w14:textId="77777777" w:rsidR="0057571C" w:rsidRPr="0057571C" w:rsidRDefault="0057571C" w:rsidP="0057571C">
      <w:pPr>
        <w:spacing w:after="0" w:line="240" w:lineRule="auto"/>
        <w:rPr>
          <w:rFonts w:ascii="Times New Roman" w:hAnsi="Times New Roman"/>
        </w:rPr>
      </w:pPr>
      <w:r w:rsidRPr="0057571C">
        <w:rPr>
          <w:rFonts w:ascii="Times New Roman" w:hAnsi="Times New Roman"/>
        </w:rPr>
        <w:t>Model B – Multivariable adjustment for age and ethnicity</w:t>
      </w:r>
    </w:p>
    <w:p w14:paraId="2EB81C5A" w14:textId="77777777" w:rsidR="0057571C" w:rsidRPr="0057571C" w:rsidRDefault="0057571C" w:rsidP="0057571C">
      <w:pPr>
        <w:spacing w:after="0" w:line="240" w:lineRule="auto"/>
        <w:rPr>
          <w:rFonts w:ascii="Times New Roman" w:hAnsi="Times New Roman"/>
        </w:rPr>
      </w:pPr>
      <w:r w:rsidRPr="0057571C">
        <w:rPr>
          <w:rFonts w:ascii="Times New Roman" w:hAnsi="Times New Roman"/>
        </w:rPr>
        <w:t>Model C – Model B + body mass index, physical activity level, smoking and alcohol consumption</w:t>
      </w:r>
    </w:p>
    <w:p w14:paraId="7DC3A2C8" w14:textId="5548BC74" w:rsidR="0045291F" w:rsidRDefault="0057571C" w:rsidP="0057571C">
      <w:pPr>
        <w:spacing w:after="0" w:line="240" w:lineRule="auto"/>
        <w:rPr>
          <w:rFonts w:ascii="Times New Roman" w:hAnsi="Times New Roman"/>
        </w:rPr>
      </w:pPr>
      <w:r w:rsidRPr="0057571C">
        <w:rPr>
          <w:rFonts w:ascii="Times New Roman" w:hAnsi="Times New Roman"/>
        </w:rPr>
        <w:t>Model D – Model C + pre-existing co-morbidities (cardiovascular disease, diabetes mellitus, cancer, asthma, chronic obstructive pulmonary disease) and serum low-density lipoprotein cholesterol</w:t>
      </w:r>
    </w:p>
    <w:p w14:paraId="489982AE" w14:textId="62729A43" w:rsidR="00E92B1D" w:rsidRDefault="00E92B1D" w:rsidP="0057571C">
      <w:pPr>
        <w:spacing w:after="0" w:line="240" w:lineRule="auto"/>
        <w:rPr>
          <w:rFonts w:ascii="Times New Roman" w:hAnsi="Times New Roman"/>
        </w:rPr>
      </w:pPr>
      <w:r w:rsidRPr="00E92B1D">
        <w:rPr>
          <w:rFonts w:ascii="Times New Roman" w:hAnsi="Times New Roman"/>
        </w:rPr>
        <w:t>Model E – Model D + antihypertensive treatment</w:t>
      </w:r>
    </w:p>
    <w:p w14:paraId="6194DA4C" w14:textId="26878D46" w:rsidR="0045291F" w:rsidRDefault="0045291F" w:rsidP="0057571C">
      <w:pPr>
        <w:spacing w:after="0" w:line="240" w:lineRule="auto"/>
        <w:rPr>
          <w:rFonts w:ascii="Times New Roman" w:hAnsi="Times New Roman"/>
        </w:rPr>
      </w:pPr>
    </w:p>
    <w:p w14:paraId="6AB895A6" w14:textId="77777777" w:rsidR="0045291F" w:rsidRDefault="0045291F" w:rsidP="0045291F">
      <w:pPr>
        <w:spacing w:after="0" w:line="240" w:lineRule="auto"/>
        <w:jc w:val="both"/>
        <w:rPr>
          <w:rFonts w:ascii="Times New Roman" w:hAnsi="Times New Roman"/>
        </w:rPr>
      </w:pPr>
      <w:r>
        <w:rPr>
          <w:rFonts w:ascii="Times New Roman" w:hAnsi="Times New Roman"/>
        </w:rPr>
        <w:t xml:space="preserve">SBP trajectories in men: Trajectory 1 – borderline stable optimal SBP, Trajectory 2 – rising normal/high normal SBP, Trajectory 3 – rising grade 1 hypertension, Trajectory 4 – grade 1 hypertension </w:t>
      </w:r>
      <w:r w:rsidRPr="005257DC">
        <w:rPr>
          <w:rFonts w:ascii="Times New Roman" w:hAnsi="Times New Roman"/>
        </w:rPr>
        <w:sym w:font="Wingdings" w:char="F0E0"/>
      </w:r>
      <w:r>
        <w:rPr>
          <w:rFonts w:ascii="Times New Roman" w:hAnsi="Times New Roman"/>
        </w:rPr>
        <w:t xml:space="preserve"> high-normal SBP, Trajectory 5 – grade 2 </w:t>
      </w:r>
      <w:r w:rsidRPr="00AA2D2C">
        <w:rPr>
          <w:rFonts w:ascii="Times New Roman" w:hAnsi="Times New Roman"/>
        </w:rPr>
        <w:sym w:font="Wingdings" w:char="F0E0"/>
      </w:r>
      <w:r>
        <w:rPr>
          <w:rFonts w:ascii="Times New Roman" w:hAnsi="Times New Roman"/>
        </w:rPr>
        <w:t xml:space="preserve"> grade 1 hypertension.</w:t>
      </w:r>
    </w:p>
    <w:p w14:paraId="4651F18C" w14:textId="77777777" w:rsidR="0045291F" w:rsidRDefault="0045291F" w:rsidP="0045291F">
      <w:pPr>
        <w:spacing w:after="0" w:line="240" w:lineRule="auto"/>
        <w:jc w:val="both"/>
        <w:rPr>
          <w:rFonts w:ascii="Times New Roman" w:hAnsi="Times New Roman"/>
        </w:rPr>
      </w:pPr>
    </w:p>
    <w:p w14:paraId="50AC6572" w14:textId="77777777" w:rsidR="0045291F" w:rsidRDefault="0045291F" w:rsidP="0045291F">
      <w:pPr>
        <w:spacing w:after="0" w:line="240" w:lineRule="auto"/>
        <w:jc w:val="both"/>
        <w:rPr>
          <w:rFonts w:ascii="Times New Roman" w:hAnsi="Times New Roman"/>
        </w:rPr>
      </w:pPr>
      <w:r>
        <w:rPr>
          <w:rFonts w:ascii="Times New Roman" w:hAnsi="Times New Roman"/>
        </w:rPr>
        <w:t xml:space="preserve">SBP trajectories in women: Trajectory 1 – stable optimal SBP, Trajectory 2 – rising normal/high normal SBP, Trajectory 3 – high-normal SBP </w:t>
      </w:r>
      <w:r w:rsidRPr="005257DC">
        <w:rPr>
          <w:rFonts w:ascii="Times New Roman" w:hAnsi="Times New Roman"/>
        </w:rPr>
        <w:sym w:font="Wingdings" w:char="F0E0"/>
      </w:r>
      <w:r>
        <w:rPr>
          <w:rFonts w:ascii="Times New Roman" w:hAnsi="Times New Roman"/>
        </w:rPr>
        <w:t xml:space="preserve"> grade 1 hypertension, Trajectory 4 – decreasing grade 1 hypertension, Trajectory 5 – grade 1 </w:t>
      </w:r>
      <w:r w:rsidRPr="005257DC">
        <w:rPr>
          <w:rFonts w:ascii="Times New Roman" w:hAnsi="Times New Roman"/>
        </w:rPr>
        <w:sym w:font="Wingdings" w:char="F0E0"/>
      </w:r>
      <w:r>
        <w:rPr>
          <w:rFonts w:ascii="Times New Roman" w:hAnsi="Times New Roman"/>
        </w:rPr>
        <w:t xml:space="preserve"> grade 2 hypertension.</w:t>
      </w:r>
    </w:p>
    <w:p w14:paraId="00BC9B3D" w14:textId="77777777" w:rsidR="0045291F" w:rsidRDefault="0045291F" w:rsidP="0045291F">
      <w:pPr>
        <w:spacing w:after="0" w:line="240" w:lineRule="auto"/>
        <w:jc w:val="both"/>
        <w:rPr>
          <w:rFonts w:ascii="Times New Roman" w:hAnsi="Times New Roman"/>
        </w:rPr>
      </w:pPr>
    </w:p>
    <w:p w14:paraId="39436CFA" w14:textId="254FA63D" w:rsidR="0045291F" w:rsidRPr="00372862" w:rsidRDefault="0045291F" w:rsidP="00DD4F48">
      <w:pPr>
        <w:spacing w:after="0" w:line="240" w:lineRule="auto"/>
        <w:jc w:val="both"/>
        <w:rPr>
          <w:rFonts w:ascii="Times New Roman" w:hAnsi="Times New Roman"/>
        </w:rPr>
      </w:pPr>
      <w:r>
        <w:rPr>
          <w:rFonts w:ascii="Times New Roman" w:hAnsi="Times New Roman"/>
        </w:rPr>
        <w:t xml:space="preserve">DBP trajectories: Trajectory 1 - low optimal DBP, Trajectory 2 – high optimal DBP, Trajectory 3 – normal/high-normal DBP, Trajectory 4 – grade 1 hypertension </w:t>
      </w:r>
      <w:r w:rsidRPr="005257DC">
        <w:rPr>
          <w:rFonts w:ascii="Times New Roman" w:hAnsi="Times New Roman"/>
        </w:rPr>
        <w:sym w:font="Wingdings" w:char="F0E0"/>
      </w:r>
      <w:r>
        <w:rPr>
          <w:rFonts w:ascii="Times New Roman" w:hAnsi="Times New Roman"/>
        </w:rPr>
        <w:t xml:space="preserve"> normal DBP, Trajectory 5 – stable grade 1/grade 2 hypertension.</w:t>
      </w:r>
    </w:p>
    <w:p w14:paraId="1934F005" w14:textId="77777777" w:rsidR="0057571C" w:rsidRDefault="0057571C" w:rsidP="00D856DA">
      <w:pPr>
        <w:spacing w:after="0" w:line="240" w:lineRule="auto"/>
        <w:rPr>
          <w:rFonts w:ascii="Times New Roman" w:hAnsi="Times New Roman"/>
        </w:rPr>
      </w:pPr>
    </w:p>
    <w:p w14:paraId="76E080F1" w14:textId="2F20D26A" w:rsidR="00D856DA" w:rsidRDefault="003819B4" w:rsidP="00D856DA">
      <w:pPr>
        <w:spacing w:after="0" w:line="240" w:lineRule="auto"/>
        <w:rPr>
          <w:rFonts w:ascii="Times New Roman" w:hAnsi="Times New Roman"/>
        </w:rPr>
      </w:pPr>
      <w:r w:rsidRPr="00372862">
        <w:rPr>
          <w:rFonts w:ascii="Times New Roman" w:hAnsi="Times New Roman"/>
        </w:rPr>
        <w:t xml:space="preserve">Median (interquartile range) follow-up was 9.4 (8.0-10.9) years amongst both </w:t>
      </w:r>
      <w:r>
        <w:rPr>
          <w:rFonts w:ascii="Times New Roman" w:hAnsi="Times New Roman"/>
        </w:rPr>
        <w:t>men and women</w:t>
      </w:r>
      <w:r w:rsidR="009C2050">
        <w:rPr>
          <w:rFonts w:ascii="Times New Roman" w:hAnsi="Times New Roman"/>
        </w:rPr>
        <w:t>, respectively.</w:t>
      </w:r>
    </w:p>
    <w:p w14:paraId="07645D23" w14:textId="505F0A88" w:rsidR="009C2050" w:rsidRDefault="009C2050" w:rsidP="00D856DA">
      <w:pPr>
        <w:spacing w:after="0" w:line="240" w:lineRule="auto"/>
        <w:rPr>
          <w:rFonts w:ascii="Times New Roman" w:hAnsi="Times New Roman"/>
        </w:rPr>
        <w:sectPr w:rsidR="009C2050" w:rsidSect="00D856DA">
          <w:pgSz w:w="16820" w:h="11900" w:orient="landscape"/>
          <w:pgMar w:top="1440" w:right="1440" w:bottom="1440" w:left="1440" w:header="709" w:footer="709" w:gutter="0"/>
          <w:cols w:space="708"/>
          <w:docGrid w:linePitch="360"/>
        </w:sectPr>
      </w:pPr>
      <w:r>
        <w:rPr>
          <w:rFonts w:ascii="Times New Roman" w:hAnsi="Times New Roman"/>
        </w:rPr>
        <w:t>SBP – systolic blood pressure; DBP – diastolic blood pressu</w:t>
      </w:r>
      <w:r w:rsidR="009702F0">
        <w:rPr>
          <w:rFonts w:ascii="Times New Roman" w:hAnsi="Times New Roman"/>
        </w:rPr>
        <w:t>re</w:t>
      </w:r>
    </w:p>
    <w:p w14:paraId="743D0046" w14:textId="77777777" w:rsidR="008B542F" w:rsidRDefault="008B542F" w:rsidP="00231EA0">
      <w:pPr>
        <w:tabs>
          <w:tab w:val="left" w:pos="921"/>
        </w:tabs>
        <w:spacing w:after="0" w:line="240" w:lineRule="auto"/>
        <w:rPr>
          <w:rFonts w:ascii="Times New Roman" w:hAnsi="Times New Roman"/>
          <w:b/>
          <w:bCs/>
        </w:rPr>
        <w:sectPr w:rsidR="008B542F" w:rsidSect="00123D68">
          <w:pgSz w:w="11900" w:h="16820"/>
          <w:pgMar w:top="1440" w:right="1440" w:bottom="1440" w:left="1440" w:header="709" w:footer="709" w:gutter="0"/>
          <w:cols w:space="708"/>
          <w:docGrid w:linePitch="360"/>
        </w:sectPr>
      </w:pPr>
    </w:p>
    <w:p w14:paraId="6FA82890" w14:textId="754F9C30" w:rsidR="00D856DA" w:rsidRDefault="008B542F" w:rsidP="003819B4">
      <w:pPr>
        <w:spacing w:after="0" w:line="240" w:lineRule="auto"/>
        <w:rPr>
          <w:rFonts w:ascii="Times New Roman" w:hAnsi="Times New Roman"/>
          <w:b/>
          <w:bCs/>
        </w:rPr>
      </w:pPr>
      <w:r>
        <w:rPr>
          <w:rFonts w:ascii="Times New Roman" w:hAnsi="Times New Roman"/>
          <w:b/>
          <w:bCs/>
          <w:noProof/>
        </w:rPr>
        <w:lastRenderedPageBreak/>
        <w:drawing>
          <wp:anchor distT="0" distB="0" distL="114300" distR="114300" simplePos="0" relativeHeight="251658244" behindDoc="0" locked="0" layoutInCell="1" allowOverlap="1" wp14:anchorId="0A27C883" wp14:editId="19BE22ED">
            <wp:simplePos x="0" y="0"/>
            <wp:positionH relativeFrom="column">
              <wp:posOffset>-585086</wp:posOffset>
            </wp:positionH>
            <wp:positionV relativeFrom="paragraph">
              <wp:posOffset>0</wp:posOffset>
            </wp:positionV>
            <wp:extent cx="10157164" cy="5348177"/>
            <wp:effectExtent l="0" t="0" r="3175" b="0"/>
            <wp:wrapTopAndBottom/>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57164" cy="5348177"/>
                    </a:xfrm>
                    <a:prstGeom prst="rect">
                      <a:avLst/>
                    </a:prstGeom>
                  </pic:spPr>
                </pic:pic>
              </a:graphicData>
            </a:graphic>
            <wp14:sizeRelH relativeFrom="page">
              <wp14:pctWidth>0</wp14:pctWidth>
            </wp14:sizeRelH>
            <wp14:sizeRelV relativeFrom="page">
              <wp14:pctHeight>0</wp14:pctHeight>
            </wp14:sizeRelV>
          </wp:anchor>
        </w:drawing>
      </w:r>
    </w:p>
    <w:p w14:paraId="0C1BC37C" w14:textId="3FF944DC" w:rsidR="008B542F" w:rsidRPr="00372862" w:rsidRDefault="003819B4" w:rsidP="008B542F">
      <w:pPr>
        <w:rPr>
          <w:rFonts w:ascii="Times New Roman" w:hAnsi="Times New Roman"/>
        </w:rPr>
      </w:pPr>
      <w:r w:rsidRPr="00372862">
        <w:rPr>
          <w:rFonts w:ascii="Times New Roman" w:hAnsi="Times New Roman"/>
          <w:b/>
          <w:bCs/>
        </w:rPr>
        <w:lastRenderedPageBreak/>
        <w:t xml:space="preserve">Figure </w:t>
      </w:r>
      <w:r>
        <w:rPr>
          <w:rFonts w:ascii="Times New Roman" w:hAnsi="Times New Roman"/>
          <w:b/>
          <w:bCs/>
        </w:rPr>
        <w:t>5</w:t>
      </w:r>
      <w:r w:rsidRPr="00372862">
        <w:rPr>
          <w:rFonts w:ascii="Times New Roman" w:hAnsi="Times New Roman"/>
          <w:b/>
          <w:bCs/>
        </w:rPr>
        <w:t xml:space="preserve">. </w:t>
      </w:r>
      <w:r w:rsidRPr="00372862">
        <w:rPr>
          <w:rFonts w:ascii="Times New Roman" w:hAnsi="Times New Roman"/>
        </w:rPr>
        <w:t>Results of Cox regression</w:t>
      </w:r>
      <w:r>
        <w:rPr>
          <w:rFonts w:ascii="Times New Roman" w:hAnsi="Times New Roman"/>
        </w:rPr>
        <w:t xml:space="preserve">s </w:t>
      </w:r>
      <w:r w:rsidRPr="00372862">
        <w:rPr>
          <w:rFonts w:ascii="Times New Roman" w:hAnsi="Times New Roman"/>
        </w:rPr>
        <w:t>assessing the association between blood pressure phenotypes and</w:t>
      </w:r>
      <w:r>
        <w:rPr>
          <w:rFonts w:ascii="Times New Roman" w:hAnsi="Times New Roman"/>
        </w:rPr>
        <w:t xml:space="preserve"> incident cardiovascular disease</w:t>
      </w:r>
      <w:r w:rsidR="008B542F">
        <w:rPr>
          <w:rFonts w:ascii="Times New Roman" w:hAnsi="Times New Roman"/>
        </w:rPr>
        <w:t xml:space="preserve"> amongst participants without prevalent cardiovascular disease at the third health check of the EPIC-Norfolk study</w:t>
      </w:r>
      <w:r w:rsidR="008B542F" w:rsidRPr="00FD2D19">
        <w:rPr>
          <w:rFonts w:ascii="Times New Roman" w:hAnsi="Times New Roman"/>
        </w:rPr>
        <w:t>.</w:t>
      </w:r>
    </w:p>
    <w:p w14:paraId="000961F2" w14:textId="77777777" w:rsidR="008B542F" w:rsidRPr="008B542F" w:rsidRDefault="008B542F" w:rsidP="008B542F">
      <w:pPr>
        <w:spacing w:after="0" w:line="240" w:lineRule="auto"/>
        <w:rPr>
          <w:rFonts w:ascii="Times New Roman" w:hAnsi="Times New Roman"/>
        </w:rPr>
      </w:pPr>
      <w:r w:rsidRPr="008B542F">
        <w:rPr>
          <w:rFonts w:ascii="Times New Roman" w:hAnsi="Times New Roman"/>
        </w:rPr>
        <w:t>Model A – Univariable</w:t>
      </w:r>
    </w:p>
    <w:p w14:paraId="02FF421B" w14:textId="77777777" w:rsidR="008B542F" w:rsidRPr="008B542F" w:rsidRDefault="008B542F" w:rsidP="008B542F">
      <w:pPr>
        <w:spacing w:after="0" w:line="240" w:lineRule="auto"/>
        <w:rPr>
          <w:rFonts w:ascii="Times New Roman" w:hAnsi="Times New Roman"/>
        </w:rPr>
      </w:pPr>
      <w:r w:rsidRPr="008B542F">
        <w:rPr>
          <w:rFonts w:ascii="Times New Roman" w:hAnsi="Times New Roman"/>
        </w:rPr>
        <w:t>Model B – Multivariable adjustment for age and ethnicity</w:t>
      </w:r>
    </w:p>
    <w:p w14:paraId="1597BA56" w14:textId="77777777" w:rsidR="008B542F" w:rsidRPr="008B542F" w:rsidRDefault="008B542F" w:rsidP="008B542F">
      <w:pPr>
        <w:spacing w:after="0" w:line="240" w:lineRule="auto"/>
        <w:rPr>
          <w:rFonts w:ascii="Times New Roman" w:hAnsi="Times New Roman"/>
        </w:rPr>
      </w:pPr>
      <w:r w:rsidRPr="008B542F">
        <w:rPr>
          <w:rFonts w:ascii="Times New Roman" w:hAnsi="Times New Roman"/>
        </w:rPr>
        <w:t>Model C – Model B + body mass index, physical activity level, smoking and alcohol consumption</w:t>
      </w:r>
    </w:p>
    <w:p w14:paraId="5FD65F85" w14:textId="58D3932C" w:rsidR="00214A42" w:rsidRDefault="008B542F" w:rsidP="008B542F">
      <w:pPr>
        <w:spacing w:after="0" w:line="240" w:lineRule="auto"/>
        <w:rPr>
          <w:rFonts w:ascii="Times New Roman" w:hAnsi="Times New Roman"/>
        </w:rPr>
      </w:pPr>
      <w:r w:rsidRPr="008B542F">
        <w:rPr>
          <w:rFonts w:ascii="Times New Roman" w:hAnsi="Times New Roman"/>
        </w:rPr>
        <w:t>Model D – Model C + pre-existing co-morbidities (cardiovascular disease, diabetes mellitus, cancer, asthma, chronic obstructive pulmonary disease) and serum low-density lipoprotein cholesterol</w:t>
      </w:r>
    </w:p>
    <w:p w14:paraId="0C72627C" w14:textId="7BA932BF" w:rsidR="00E92B1D" w:rsidRDefault="00E92B1D" w:rsidP="008B542F">
      <w:pPr>
        <w:spacing w:after="0" w:line="240" w:lineRule="auto"/>
        <w:rPr>
          <w:rFonts w:ascii="Times New Roman" w:hAnsi="Times New Roman"/>
        </w:rPr>
      </w:pPr>
      <w:r w:rsidRPr="00E92B1D">
        <w:rPr>
          <w:rFonts w:ascii="Times New Roman" w:hAnsi="Times New Roman"/>
        </w:rPr>
        <w:t>Model E – Model D + antihypertensive treatment</w:t>
      </w:r>
    </w:p>
    <w:p w14:paraId="250CB942" w14:textId="742BD3CB" w:rsidR="0045291F" w:rsidRDefault="0045291F" w:rsidP="008B542F">
      <w:pPr>
        <w:spacing w:after="0" w:line="240" w:lineRule="auto"/>
        <w:rPr>
          <w:rFonts w:ascii="Times New Roman" w:hAnsi="Times New Roman"/>
        </w:rPr>
      </w:pPr>
    </w:p>
    <w:p w14:paraId="67AA413C" w14:textId="77777777" w:rsidR="0045291F" w:rsidRDefault="0045291F" w:rsidP="0023742B">
      <w:pPr>
        <w:spacing w:after="0" w:line="240" w:lineRule="auto"/>
        <w:jc w:val="both"/>
        <w:rPr>
          <w:rFonts w:ascii="Times New Roman" w:hAnsi="Times New Roman"/>
        </w:rPr>
      </w:pPr>
      <w:r>
        <w:rPr>
          <w:rFonts w:ascii="Times New Roman" w:hAnsi="Times New Roman"/>
        </w:rPr>
        <w:t xml:space="preserve">SBP trajectories in men: Trajectory 1 – borderline stable optimal SBP, Trajectory 2 – rising normal/high normal SBP, Trajectory 3 – rising grade 1 hypertension, Trajectory 4 – grade 1 hypertension </w:t>
      </w:r>
      <w:r w:rsidRPr="005257DC">
        <w:rPr>
          <w:rFonts w:ascii="Times New Roman" w:hAnsi="Times New Roman"/>
        </w:rPr>
        <w:sym w:font="Wingdings" w:char="F0E0"/>
      </w:r>
      <w:r>
        <w:rPr>
          <w:rFonts w:ascii="Times New Roman" w:hAnsi="Times New Roman"/>
        </w:rPr>
        <w:t xml:space="preserve"> high-normal SBP, Trajectory 5 – grade 2 </w:t>
      </w:r>
      <w:r w:rsidRPr="00AA2D2C">
        <w:rPr>
          <w:rFonts w:ascii="Times New Roman" w:hAnsi="Times New Roman"/>
        </w:rPr>
        <w:sym w:font="Wingdings" w:char="F0E0"/>
      </w:r>
      <w:r>
        <w:rPr>
          <w:rFonts w:ascii="Times New Roman" w:hAnsi="Times New Roman"/>
        </w:rPr>
        <w:t xml:space="preserve"> grade 1 hypertension.</w:t>
      </w:r>
    </w:p>
    <w:p w14:paraId="09958DBE" w14:textId="77777777" w:rsidR="0045291F" w:rsidRDefault="0045291F" w:rsidP="009237BF">
      <w:pPr>
        <w:spacing w:after="0" w:line="240" w:lineRule="auto"/>
        <w:jc w:val="both"/>
        <w:rPr>
          <w:rFonts w:ascii="Times New Roman" w:hAnsi="Times New Roman"/>
        </w:rPr>
      </w:pPr>
    </w:p>
    <w:p w14:paraId="496B5790" w14:textId="77777777" w:rsidR="0045291F" w:rsidRDefault="0045291F" w:rsidP="00BB627C">
      <w:pPr>
        <w:spacing w:after="0" w:line="240" w:lineRule="auto"/>
        <w:jc w:val="both"/>
        <w:rPr>
          <w:rFonts w:ascii="Times New Roman" w:hAnsi="Times New Roman"/>
        </w:rPr>
      </w:pPr>
      <w:r>
        <w:rPr>
          <w:rFonts w:ascii="Times New Roman" w:hAnsi="Times New Roman"/>
        </w:rPr>
        <w:t xml:space="preserve">SBP trajectories in women: Trajectory 1 – stable optimal SBP, Trajectory 2 – rising normal/high normal SBP, Trajectory 3 – high-normal SBP </w:t>
      </w:r>
      <w:r w:rsidRPr="005257DC">
        <w:rPr>
          <w:rFonts w:ascii="Times New Roman" w:hAnsi="Times New Roman"/>
        </w:rPr>
        <w:sym w:font="Wingdings" w:char="F0E0"/>
      </w:r>
      <w:r>
        <w:rPr>
          <w:rFonts w:ascii="Times New Roman" w:hAnsi="Times New Roman"/>
        </w:rPr>
        <w:t xml:space="preserve"> grade 1 hypertension, Trajectory 4 – decreasing grade 1 hypertension, Trajectory 5 – grade 1 </w:t>
      </w:r>
      <w:r w:rsidRPr="005257DC">
        <w:rPr>
          <w:rFonts w:ascii="Times New Roman" w:hAnsi="Times New Roman"/>
        </w:rPr>
        <w:sym w:font="Wingdings" w:char="F0E0"/>
      </w:r>
      <w:r>
        <w:rPr>
          <w:rFonts w:ascii="Times New Roman" w:hAnsi="Times New Roman"/>
        </w:rPr>
        <w:t xml:space="preserve"> grade 2 hypertension.</w:t>
      </w:r>
    </w:p>
    <w:p w14:paraId="360B093A" w14:textId="77777777" w:rsidR="0045291F" w:rsidRDefault="0045291F" w:rsidP="00BB627C">
      <w:pPr>
        <w:spacing w:after="0" w:line="240" w:lineRule="auto"/>
        <w:jc w:val="both"/>
        <w:rPr>
          <w:rFonts w:ascii="Times New Roman" w:hAnsi="Times New Roman"/>
        </w:rPr>
      </w:pPr>
    </w:p>
    <w:p w14:paraId="606DCEB5" w14:textId="77777777" w:rsidR="0045291F" w:rsidRDefault="0045291F" w:rsidP="003E308C">
      <w:pPr>
        <w:spacing w:after="0" w:line="240" w:lineRule="auto"/>
        <w:jc w:val="both"/>
        <w:rPr>
          <w:rFonts w:ascii="Times New Roman" w:hAnsi="Times New Roman"/>
        </w:rPr>
      </w:pPr>
      <w:r>
        <w:rPr>
          <w:rFonts w:ascii="Times New Roman" w:hAnsi="Times New Roman"/>
        </w:rPr>
        <w:t xml:space="preserve">DBP trajectories: Trajectory 1 - low optimal DBP, Trajectory 2 – high optimal DBP, Trajectory 3 – normal/high-normal DBP, Trajectory 4 – grade 1 hypertension </w:t>
      </w:r>
      <w:r w:rsidRPr="005257DC">
        <w:rPr>
          <w:rFonts w:ascii="Times New Roman" w:hAnsi="Times New Roman"/>
        </w:rPr>
        <w:sym w:font="Wingdings" w:char="F0E0"/>
      </w:r>
      <w:r>
        <w:rPr>
          <w:rFonts w:ascii="Times New Roman" w:hAnsi="Times New Roman"/>
        </w:rPr>
        <w:t xml:space="preserve"> normal DBP, Trajectory 5 – stable grade 1/grade 2 hypertension.</w:t>
      </w:r>
    </w:p>
    <w:p w14:paraId="70536234" w14:textId="77777777" w:rsidR="003819B4" w:rsidRPr="00372862" w:rsidRDefault="003819B4" w:rsidP="003819B4">
      <w:pPr>
        <w:spacing w:after="0" w:line="240" w:lineRule="auto"/>
        <w:rPr>
          <w:rFonts w:ascii="Times New Roman" w:hAnsi="Times New Roman"/>
        </w:rPr>
      </w:pPr>
    </w:p>
    <w:p w14:paraId="0A7D6240" w14:textId="4435342D" w:rsidR="009C2050" w:rsidRDefault="003819B4" w:rsidP="003819B4">
      <w:pPr>
        <w:spacing w:after="0" w:line="240" w:lineRule="auto"/>
        <w:rPr>
          <w:rFonts w:ascii="Times New Roman" w:hAnsi="Times New Roman"/>
        </w:rPr>
      </w:pPr>
      <w:r w:rsidRPr="00372862">
        <w:rPr>
          <w:rFonts w:ascii="Times New Roman" w:hAnsi="Times New Roman"/>
        </w:rPr>
        <w:t>Median (interquartile range) follow-</w:t>
      </w:r>
      <w:r w:rsidRPr="008B542F">
        <w:rPr>
          <w:rFonts w:ascii="Times New Roman" w:hAnsi="Times New Roman"/>
        </w:rPr>
        <w:t xml:space="preserve">up </w:t>
      </w:r>
      <w:r w:rsidRPr="00DD05C9">
        <w:rPr>
          <w:rFonts w:ascii="Times New Roman" w:hAnsi="Times New Roman"/>
        </w:rPr>
        <w:t>was 9.4 (8.0-10.9) and 9.4 (7.8-11.0)</w:t>
      </w:r>
      <w:r w:rsidRPr="00372862">
        <w:rPr>
          <w:rFonts w:ascii="Times New Roman" w:hAnsi="Times New Roman"/>
        </w:rPr>
        <w:t xml:space="preserve"> years amongst </w:t>
      </w:r>
      <w:r>
        <w:rPr>
          <w:rFonts w:ascii="Times New Roman" w:hAnsi="Times New Roman"/>
        </w:rPr>
        <w:t>men and women</w:t>
      </w:r>
      <w:r w:rsidRPr="00372862">
        <w:rPr>
          <w:rFonts w:ascii="Times New Roman" w:hAnsi="Times New Roman"/>
        </w:rPr>
        <w:t xml:space="preserve">, respectively. </w:t>
      </w:r>
    </w:p>
    <w:p w14:paraId="2C8B0AEF" w14:textId="0E1B07B6" w:rsidR="009C2050" w:rsidRPr="00372862" w:rsidRDefault="009C2050" w:rsidP="003819B4">
      <w:pPr>
        <w:spacing w:after="0" w:line="240" w:lineRule="auto"/>
        <w:rPr>
          <w:rFonts w:ascii="Times New Roman" w:hAnsi="Times New Roman"/>
        </w:rPr>
      </w:pPr>
      <w:r>
        <w:rPr>
          <w:rFonts w:ascii="Times New Roman" w:hAnsi="Times New Roman"/>
        </w:rPr>
        <w:t>SBP – systolic blood pressure; DBP – diastolic blood pressure</w:t>
      </w:r>
    </w:p>
    <w:sectPr w:rsidR="009C2050" w:rsidRPr="00372862" w:rsidSect="00231EA0">
      <w:pgSz w:w="1682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1EBF9A" w14:textId="77777777" w:rsidR="00754B2D" w:rsidRDefault="00754B2D" w:rsidP="00EE00F1">
      <w:pPr>
        <w:spacing w:after="0" w:line="240" w:lineRule="auto"/>
      </w:pPr>
      <w:r>
        <w:separator/>
      </w:r>
    </w:p>
  </w:endnote>
  <w:endnote w:type="continuationSeparator" w:id="0">
    <w:p w14:paraId="46F5AC9B" w14:textId="77777777" w:rsidR="00754B2D" w:rsidRDefault="00754B2D" w:rsidP="00EE00F1">
      <w:pPr>
        <w:spacing w:after="0" w:line="240" w:lineRule="auto"/>
      </w:pPr>
      <w:r>
        <w:continuationSeparator/>
      </w:r>
    </w:p>
  </w:endnote>
  <w:endnote w:type="continuationNotice" w:id="1">
    <w:p w14:paraId="3D4AD060" w14:textId="77777777" w:rsidR="00754B2D" w:rsidRDefault="00754B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2874310"/>
      <w:docPartObj>
        <w:docPartGallery w:val="Page Numbers (Bottom of Page)"/>
        <w:docPartUnique/>
      </w:docPartObj>
    </w:sdtPr>
    <w:sdtEndPr>
      <w:rPr>
        <w:rStyle w:val="PageNumber"/>
      </w:rPr>
    </w:sdtEndPr>
    <w:sdtContent>
      <w:p w14:paraId="04ECBA0B" w14:textId="78DDFC95" w:rsidR="007A326F" w:rsidRDefault="007A326F" w:rsidP="00A876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DEB5AF" w14:textId="77777777" w:rsidR="007A326F" w:rsidRDefault="007A326F" w:rsidP="009C5E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49150966"/>
      <w:docPartObj>
        <w:docPartGallery w:val="Page Numbers (Bottom of Page)"/>
        <w:docPartUnique/>
      </w:docPartObj>
    </w:sdtPr>
    <w:sdtEndPr>
      <w:rPr>
        <w:rStyle w:val="PageNumber"/>
      </w:rPr>
    </w:sdtEndPr>
    <w:sdtContent>
      <w:p w14:paraId="4AF9FEA5" w14:textId="1CBCAFFD" w:rsidR="007A326F" w:rsidRDefault="007A326F" w:rsidP="00A876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3F2C70DD" w14:textId="04FF4392" w:rsidR="007A326F" w:rsidRDefault="007A326F" w:rsidP="009C5E81">
    <w:pPr>
      <w:pStyle w:val="Footer"/>
      <w:ind w:right="360"/>
      <w:jc w:val="right"/>
    </w:pPr>
  </w:p>
  <w:p w14:paraId="26F292D9" w14:textId="77777777" w:rsidR="007A326F" w:rsidRDefault="007A3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CECC52" w14:textId="77777777" w:rsidR="00754B2D" w:rsidRDefault="00754B2D" w:rsidP="00EE00F1">
      <w:pPr>
        <w:spacing w:after="0" w:line="240" w:lineRule="auto"/>
      </w:pPr>
      <w:r>
        <w:separator/>
      </w:r>
    </w:p>
  </w:footnote>
  <w:footnote w:type="continuationSeparator" w:id="0">
    <w:p w14:paraId="38621878" w14:textId="77777777" w:rsidR="00754B2D" w:rsidRDefault="00754B2D" w:rsidP="00EE00F1">
      <w:pPr>
        <w:spacing w:after="0" w:line="240" w:lineRule="auto"/>
      </w:pPr>
      <w:r>
        <w:continuationSeparator/>
      </w:r>
    </w:p>
  </w:footnote>
  <w:footnote w:type="continuationNotice" w:id="1">
    <w:p w14:paraId="1DBABA64" w14:textId="77777777" w:rsidR="00754B2D" w:rsidRDefault="00754B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84533648"/>
      <w:docPartObj>
        <w:docPartGallery w:val="Page Numbers (Top of Page)"/>
        <w:docPartUnique/>
      </w:docPartObj>
    </w:sdtPr>
    <w:sdtEndPr>
      <w:rPr>
        <w:rStyle w:val="PageNumber"/>
      </w:rPr>
    </w:sdtEndPr>
    <w:sdtContent>
      <w:p w14:paraId="43856930" w14:textId="467F0BDC" w:rsidR="007A326F" w:rsidRDefault="007A326F" w:rsidP="005158A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A5F3C3" w14:textId="77777777" w:rsidR="007A326F" w:rsidRDefault="007A326F" w:rsidP="005158A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2B5ED" w14:textId="684D0D38" w:rsidR="007A326F" w:rsidRDefault="007A326F" w:rsidP="005158A7">
    <w:pPr>
      <w:pStyle w:val="Header"/>
      <w:framePr w:wrap="none" w:vAnchor="text" w:hAnchor="margin" w:xAlign="right" w:y="1"/>
      <w:rPr>
        <w:rStyle w:val="PageNumber"/>
      </w:rPr>
    </w:pPr>
  </w:p>
  <w:p w14:paraId="6A511796" w14:textId="77777777" w:rsidR="007A326F" w:rsidRDefault="007A326F" w:rsidP="005158A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113CC"/>
    <w:multiLevelType w:val="hybridMultilevel"/>
    <w:tmpl w:val="56AC74AE"/>
    <w:lvl w:ilvl="0" w:tplc="5D9A44F8">
      <w:start w:val="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3765B7"/>
    <w:multiLevelType w:val="hybridMultilevel"/>
    <w:tmpl w:val="929C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710571A"/>
    <w:multiLevelType w:val="hybridMultilevel"/>
    <w:tmpl w:val="89D8C61E"/>
    <w:lvl w:ilvl="0" w:tplc="56F2E270">
      <w:start w:val="6"/>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7726E96"/>
    <w:multiLevelType w:val="hybridMultilevel"/>
    <w:tmpl w:val="17B60D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E643FE"/>
    <w:multiLevelType w:val="hybridMultilevel"/>
    <w:tmpl w:val="4A7CD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1B30F2"/>
    <w:multiLevelType w:val="hybridMultilevel"/>
    <w:tmpl w:val="E45E7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9B25AB"/>
    <w:multiLevelType w:val="hybridMultilevel"/>
    <w:tmpl w:val="77F6AB92"/>
    <w:lvl w:ilvl="0" w:tplc="8AF67A04">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165DFB"/>
    <w:multiLevelType w:val="hybridMultilevel"/>
    <w:tmpl w:val="46CA3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C95B35"/>
    <w:multiLevelType w:val="multilevel"/>
    <w:tmpl w:val="B7E2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3A074B"/>
    <w:multiLevelType w:val="hybridMultilevel"/>
    <w:tmpl w:val="8FE6EA62"/>
    <w:lvl w:ilvl="0" w:tplc="9E70B2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D06640"/>
    <w:multiLevelType w:val="hybridMultilevel"/>
    <w:tmpl w:val="028CFC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5D68C9"/>
    <w:multiLevelType w:val="hybridMultilevel"/>
    <w:tmpl w:val="454A97D0"/>
    <w:lvl w:ilvl="0" w:tplc="34365642">
      <w:start w:val="1"/>
      <w:numFmt w:val="bullet"/>
      <w:lvlText w:val=""/>
      <w:lvlJc w:val="left"/>
      <w:pPr>
        <w:ind w:left="45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CF403A"/>
    <w:multiLevelType w:val="hybridMultilevel"/>
    <w:tmpl w:val="69542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06146A"/>
    <w:multiLevelType w:val="hybridMultilevel"/>
    <w:tmpl w:val="D9F41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124533"/>
    <w:multiLevelType w:val="hybridMultilevel"/>
    <w:tmpl w:val="F238E1E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783F531A"/>
    <w:multiLevelType w:val="hybridMultilevel"/>
    <w:tmpl w:val="8DB00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B47D6F"/>
    <w:multiLevelType w:val="hybridMultilevel"/>
    <w:tmpl w:val="0C9C2B7E"/>
    <w:lvl w:ilvl="0" w:tplc="61CAD7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6"/>
  </w:num>
  <w:num w:numId="3">
    <w:abstractNumId w:val="2"/>
  </w:num>
  <w:num w:numId="4">
    <w:abstractNumId w:val="0"/>
  </w:num>
  <w:num w:numId="5">
    <w:abstractNumId w:val="11"/>
  </w:num>
  <w:num w:numId="6">
    <w:abstractNumId w:val="1"/>
  </w:num>
  <w:num w:numId="7">
    <w:abstractNumId w:val="10"/>
  </w:num>
  <w:num w:numId="8">
    <w:abstractNumId w:val="4"/>
  </w:num>
  <w:num w:numId="9">
    <w:abstractNumId w:val="8"/>
  </w:num>
  <w:num w:numId="10">
    <w:abstractNumId w:val="13"/>
  </w:num>
  <w:num w:numId="11">
    <w:abstractNumId w:val="7"/>
  </w:num>
  <w:num w:numId="12">
    <w:abstractNumId w:val="15"/>
  </w:num>
  <w:num w:numId="13">
    <w:abstractNumId w:val="5"/>
  </w:num>
  <w:num w:numId="14">
    <w:abstractNumId w:val="6"/>
  </w:num>
  <w:num w:numId="15">
    <w:abstractNumId w:val="3"/>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pl-PL" w:vendorID="64" w:dllVersion="4096" w:nlCheck="1" w:checkStyle="0"/>
  <w:activeWritingStyle w:appName="MSWord" w:lang="en-GB" w:vendorID="64" w:dllVersion="0" w:nlCheck="1" w:checkStyle="0"/>
  <w:activeWritingStyle w:appName="MSWord" w:lang="fr-FR" w:vendorID="64" w:dllVersion="0" w:nlCheck="1" w:checkStyle="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777"/>
    <w:rsid w:val="00001CBC"/>
    <w:rsid w:val="00002048"/>
    <w:rsid w:val="0000251E"/>
    <w:rsid w:val="00003295"/>
    <w:rsid w:val="00004A85"/>
    <w:rsid w:val="0000518B"/>
    <w:rsid w:val="000054BC"/>
    <w:rsid w:val="00006CE2"/>
    <w:rsid w:val="00007917"/>
    <w:rsid w:val="0001374E"/>
    <w:rsid w:val="00017EC3"/>
    <w:rsid w:val="00020459"/>
    <w:rsid w:val="00022667"/>
    <w:rsid w:val="00023722"/>
    <w:rsid w:val="00023857"/>
    <w:rsid w:val="00024093"/>
    <w:rsid w:val="000242E9"/>
    <w:rsid w:val="00024699"/>
    <w:rsid w:val="00026ECE"/>
    <w:rsid w:val="00026F04"/>
    <w:rsid w:val="000302B5"/>
    <w:rsid w:val="00032098"/>
    <w:rsid w:val="0003210C"/>
    <w:rsid w:val="00033C6C"/>
    <w:rsid w:val="00035109"/>
    <w:rsid w:val="00035489"/>
    <w:rsid w:val="00035DFB"/>
    <w:rsid w:val="000375CB"/>
    <w:rsid w:val="0003772F"/>
    <w:rsid w:val="00042341"/>
    <w:rsid w:val="00042358"/>
    <w:rsid w:val="000425B4"/>
    <w:rsid w:val="00043924"/>
    <w:rsid w:val="00044191"/>
    <w:rsid w:val="000441AD"/>
    <w:rsid w:val="000452AF"/>
    <w:rsid w:val="000453C2"/>
    <w:rsid w:val="000455DD"/>
    <w:rsid w:val="000458E5"/>
    <w:rsid w:val="000461C9"/>
    <w:rsid w:val="00047109"/>
    <w:rsid w:val="000472AD"/>
    <w:rsid w:val="00047836"/>
    <w:rsid w:val="00047A69"/>
    <w:rsid w:val="00047B2B"/>
    <w:rsid w:val="00047DE7"/>
    <w:rsid w:val="00051ACF"/>
    <w:rsid w:val="00052276"/>
    <w:rsid w:val="00052A7E"/>
    <w:rsid w:val="00055A8F"/>
    <w:rsid w:val="00055B99"/>
    <w:rsid w:val="000568B5"/>
    <w:rsid w:val="0005693C"/>
    <w:rsid w:val="00064061"/>
    <w:rsid w:val="000645FA"/>
    <w:rsid w:val="000651D6"/>
    <w:rsid w:val="000652D6"/>
    <w:rsid w:val="00065D93"/>
    <w:rsid w:val="000660BE"/>
    <w:rsid w:val="000664C8"/>
    <w:rsid w:val="000673A4"/>
    <w:rsid w:val="00067ACE"/>
    <w:rsid w:val="0007115D"/>
    <w:rsid w:val="0007138D"/>
    <w:rsid w:val="000718F4"/>
    <w:rsid w:val="00071BE4"/>
    <w:rsid w:val="000724B8"/>
    <w:rsid w:val="00073786"/>
    <w:rsid w:val="00073B6A"/>
    <w:rsid w:val="00076024"/>
    <w:rsid w:val="00080538"/>
    <w:rsid w:val="00080C6F"/>
    <w:rsid w:val="00081C19"/>
    <w:rsid w:val="00082257"/>
    <w:rsid w:val="00082603"/>
    <w:rsid w:val="000832FA"/>
    <w:rsid w:val="00083640"/>
    <w:rsid w:val="000849BD"/>
    <w:rsid w:val="00085F81"/>
    <w:rsid w:val="00086267"/>
    <w:rsid w:val="00086CAE"/>
    <w:rsid w:val="00094691"/>
    <w:rsid w:val="000958AE"/>
    <w:rsid w:val="000A181C"/>
    <w:rsid w:val="000A2C9F"/>
    <w:rsid w:val="000A3126"/>
    <w:rsid w:val="000A377D"/>
    <w:rsid w:val="000A3CF2"/>
    <w:rsid w:val="000A458F"/>
    <w:rsid w:val="000A4CED"/>
    <w:rsid w:val="000A57B8"/>
    <w:rsid w:val="000B0823"/>
    <w:rsid w:val="000B0D04"/>
    <w:rsid w:val="000B27F1"/>
    <w:rsid w:val="000B3638"/>
    <w:rsid w:val="000B4710"/>
    <w:rsid w:val="000B4C54"/>
    <w:rsid w:val="000B62E1"/>
    <w:rsid w:val="000B6A1E"/>
    <w:rsid w:val="000B7138"/>
    <w:rsid w:val="000C11DC"/>
    <w:rsid w:val="000C2A4D"/>
    <w:rsid w:val="000C51B9"/>
    <w:rsid w:val="000C7157"/>
    <w:rsid w:val="000C7820"/>
    <w:rsid w:val="000D0B78"/>
    <w:rsid w:val="000D3D34"/>
    <w:rsid w:val="000D48AD"/>
    <w:rsid w:val="000D50E7"/>
    <w:rsid w:val="000D77E2"/>
    <w:rsid w:val="000D7C55"/>
    <w:rsid w:val="000E0178"/>
    <w:rsid w:val="000E2726"/>
    <w:rsid w:val="000E3146"/>
    <w:rsid w:val="000E350F"/>
    <w:rsid w:val="000E3BD6"/>
    <w:rsid w:val="000E639F"/>
    <w:rsid w:val="000F1259"/>
    <w:rsid w:val="000F195E"/>
    <w:rsid w:val="000F4AFA"/>
    <w:rsid w:val="000F7FA2"/>
    <w:rsid w:val="001007DA"/>
    <w:rsid w:val="0010162B"/>
    <w:rsid w:val="001021CD"/>
    <w:rsid w:val="00104529"/>
    <w:rsid w:val="00104A92"/>
    <w:rsid w:val="00105526"/>
    <w:rsid w:val="00106B02"/>
    <w:rsid w:val="0010786F"/>
    <w:rsid w:val="0011054A"/>
    <w:rsid w:val="001106A2"/>
    <w:rsid w:val="001110E8"/>
    <w:rsid w:val="00112A06"/>
    <w:rsid w:val="00114446"/>
    <w:rsid w:val="00114760"/>
    <w:rsid w:val="00114777"/>
    <w:rsid w:val="00114818"/>
    <w:rsid w:val="00116AEA"/>
    <w:rsid w:val="0011703F"/>
    <w:rsid w:val="0012030B"/>
    <w:rsid w:val="00120A95"/>
    <w:rsid w:val="001211E6"/>
    <w:rsid w:val="00122A44"/>
    <w:rsid w:val="00122B32"/>
    <w:rsid w:val="00122B61"/>
    <w:rsid w:val="00123538"/>
    <w:rsid w:val="00123D68"/>
    <w:rsid w:val="00125204"/>
    <w:rsid w:val="00125E68"/>
    <w:rsid w:val="00125FBD"/>
    <w:rsid w:val="00126A38"/>
    <w:rsid w:val="0013209A"/>
    <w:rsid w:val="00132435"/>
    <w:rsid w:val="001327EC"/>
    <w:rsid w:val="00132904"/>
    <w:rsid w:val="00132B51"/>
    <w:rsid w:val="00133618"/>
    <w:rsid w:val="00134EA3"/>
    <w:rsid w:val="00137640"/>
    <w:rsid w:val="00137B31"/>
    <w:rsid w:val="00140259"/>
    <w:rsid w:val="00140640"/>
    <w:rsid w:val="00140C5F"/>
    <w:rsid w:val="00142E5A"/>
    <w:rsid w:val="00143FCE"/>
    <w:rsid w:val="00145E51"/>
    <w:rsid w:val="0014668D"/>
    <w:rsid w:val="00147911"/>
    <w:rsid w:val="00150C76"/>
    <w:rsid w:val="00150FA2"/>
    <w:rsid w:val="00151122"/>
    <w:rsid w:val="00152E6B"/>
    <w:rsid w:val="0015442F"/>
    <w:rsid w:val="00154E55"/>
    <w:rsid w:val="001553A4"/>
    <w:rsid w:val="001569C6"/>
    <w:rsid w:val="0015791B"/>
    <w:rsid w:val="001611BE"/>
    <w:rsid w:val="00163C49"/>
    <w:rsid w:val="00165015"/>
    <w:rsid w:val="00165F3E"/>
    <w:rsid w:val="001660AC"/>
    <w:rsid w:val="001722C1"/>
    <w:rsid w:val="001727CC"/>
    <w:rsid w:val="00172CA3"/>
    <w:rsid w:val="00173975"/>
    <w:rsid w:val="00174BFD"/>
    <w:rsid w:val="0017718A"/>
    <w:rsid w:val="0018056C"/>
    <w:rsid w:val="0018082B"/>
    <w:rsid w:val="00180ED7"/>
    <w:rsid w:val="00182601"/>
    <w:rsid w:val="001837FD"/>
    <w:rsid w:val="00183BDE"/>
    <w:rsid w:val="00184C96"/>
    <w:rsid w:val="001853D4"/>
    <w:rsid w:val="00186E7E"/>
    <w:rsid w:val="00190631"/>
    <w:rsid w:val="001909B1"/>
    <w:rsid w:val="00190E88"/>
    <w:rsid w:val="001922FE"/>
    <w:rsid w:val="0019340B"/>
    <w:rsid w:val="00195AD8"/>
    <w:rsid w:val="00196013"/>
    <w:rsid w:val="001967E5"/>
    <w:rsid w:val="001967FC"/>
    <w:rsid w:val="0019757F"/>
    <w:rsid w:val="001A0A2D"/>
    <w:rsid w:val="001A2042"/>
    <w:rsid w:val="001A28CE"/>
    <w:rsid w:val="001A293A"/>
    <w:rsid w:val="001A33B8"/>
    <w:rsid w:val="001A34DB"/>
    <w:rsid w:val="001A3540"/>
    <w:rsid w:val="001A356E"/>
    <w:rsid w:val="001A4CD9"/>
    <w:rsid w:val="001A4DF8"/>
    <w:rsid w:val="001A6FEC"/>
    <w:rsid w:val="001A7861"/>
    <w:rsid w:val="001A7B8C"/>
    <w:rsid w:val="001A7EEB"/>
    <w:rsid w:val="001B2390"/>
    <w:rsid w:val="001B32E8"/>
    <w:rsid w:val="001B442F"/>
    <w:rsid w:val="001B4AB3"/>
    <w:rsid w:val="001B73BF"/>
    <w:rsid w:val="001B7458"/>
    <w:rsid w:val="001C084C"/>
    <w:rsid w:val="001C1BC0"/>
    <w:rsid w:val="001C1DF1"/>
    <w:rsid w:val="001C1F4D"/>
    <w:rsid w:val="001C49B9"/>
    <w:rsid w:val="001C538A"/>
    <w:rsid w:val="001C5D87"/>
    <w:rsid w:val="001C6FC7"/>
    <w:rsid w:val="001D0C7F"/>
    <w:rsid w:val="001D0D2F"/>
    <w:rsid w:val="001D2D6A"/>
    <w:rsid w:val="001D33CF"/>
    <w:rsid w:val="001D3EE1"/>
    <w:rsid w:val="001D6659"/>
    <w:rsid w:val="001D75CE"/>
    <w:rsid w:val="001D7E43"/>
    <w:rsid w:val="001E010F"/>
    <w:rsid w:val="001E08B1"/>
    <w:rsid w:val="001E12AF"/>
    <w:rsid w:val="001E295A"/>
    <w:rsid w:val="001E2E54"/>
    <w:rsid w:val="001E4257"/>
    <w:rsid w:val="001E4D37"/>
    <w:rsid w:val="001E51C7"/>
    <w:rsid w:val="001E5E52"/>
    <w:rsid w:val="001E62EA"/>
    <w:rsid w:val="001E68CE"/>
    <w:rsid w:val="001E691F"/>
    <w:rsid w:val="001E75AC"/>
    <w:rsid w:val="001F0423"/>
    <w:rsid w:val="001F0707"/>
    <w:rsid w:val="001F1924"/>
    <w:rsid w:val="001F68E7"/>
    <w:rsid w:val="001F6B1C"/>
    <w:rsid w:val="001F750B"/>
    <w:rsid w:val="001F7B35"/>
    <w:rsid w:val="00200E14"/>
    <w:rsid w:val="0020112D"/>
    <w:rsid w:val="002018AD"/>
    <w:rsid w:val="00201A6F"/>
    <w:rsid w:val="00202D7B"/>
    <w:rsid w:val="00203529"/>
    <w:rsid w:val="00204A62"/>
    <w:rsid w:val="00205C14"/>
    <w:rsid w:val="00211590"/>
    <w:rsid w:val="0021194D"/>
    <w:rsid w:val="002129D2"/>
    <w:rsid w:val="0021404B"/>
    <w:rsid w:val="00214A42"/>
    <w:rsid w:val="00214F6D"/>
    <w:rsid w:val="00215B4D"/>
    <w:rsid w:val="002170BB"/>
    <w:rsid w:val="002171A7"/>
    <w:rsid w:val="00217354"/>
    <w:rsid w:val="00217657"/>
    <w:rsid w:val="00220688"/>
    <w:rsid w:val="00220E00"/>
    <w:rsid w:val="00221B48"/>
    <w:rsid w:val="0022243D"/>
    <w:rsid w:val="00222C26"/>
    <w:rsid w:val="00222ECD"/>
    <w:rsid w:val="00223BB6"/>
    <w:rsid w:val="00223E58"/>
    <w:rsid w:val="002257AC"/>
    <w:rsid w:val="00226302"/>
    <w:rsid w:val="0022631C"/>
    <w:rsid w:val="002319CA"/>
    <w:rsid w:val="00231EA0"/>
    <w:rsid w:val="002321B4"/>
    <w:rsid w:val="002325A6"/>
    <w:rsid w:val="00232CE0"/>
    <w:rsid w:val="00233808"/>
    <w:rsid w:val="00235E49"/>
    <w:rsid w:val="00236B98"/>
    <w:rsid w:val="0023742B"/>
    <w:rsid w:val="002402EB"/>
    <w:rsid w:val="0024114B"/>
    <w:rsid w:val="00241B4E"/>
    <w:rsid w:val="00241CDF"/>
    <w:rsid w:val="0024367A"/>
    <w:rsid w:val="00243AFD"/>
    <w:rsid w:val="0025061C"/>
    <w:rsid w:val="00250C72"/>
    <w:rsid w:val="002518AA"/>
    <w:rsid w:val="00251962"/>
    <w:rsid w:val="00260144"/>
    <w:rsid w:val="002612E9"/>
    <w:rsid w:val="00264C77"/>
    <w:rsid w:val="00267B2A"/>
    <w:rsid w:val="002701C0"/>
    <w:rsid w:val="00270D17"/>
    <w:rsid w:val="00270D4F"/>
    <w:rsid w:val="002728A6"/>
    <w:rsid w:val="002757A3"/>
    <w:rsid w:val="002767E9"/>
    <w:rsid w:val="002804B6"/>
    <w:rsid w:val="00281168"/>
    <w:rsid w:val="002844E4"/>
    <w:rsid w:val="0028509A"/>
    <w:rsid w:val="0028544D"/>
    <w:rsid w:val="00286272"/>
    <w:rsid w:val="00287743"/>
    <w:rsid w:val="00287D72"/>
    <w:rsid w:val="00290679"/>
    <w:rsid w:val="00290935"/>
    <w:rsid w:val="002918A6"/>
    <w:rsid w:val="002920E6"/>
    <w:rsid w:val="002920EF"/>
    <w:rsid w:val="00292D9F"/>
    <w:rsid w:val="00293C33"/>
    <w:rsid w:val="0029703A"/>
    <w:rsid w:val="0029747E"/>
    <w:rsid w:val="00297C4B"/>
    <w:rsid w:val="00297D11"/>
    <w:rsid w:val="00297D90"/>
    <w:rsid w:val="002A0A82"/>
    <w:rsid w:val="002A2239"/>
    <w:rsid w:val="002A24AC"/>
    <w:rsid w:val="002A3BF7"/>
    <w:rsid w:val="002A3CCC"/>
    <w:rsid w:val="002A4266"/>
    <w:rsid w:val="002A6E6C"/>
    <w:rsid w:val="002A7799"/>
    <w:rsid w:val="002B1F61"/>
    <w:rsid w:val="002B1FC6"/>
    <w:rsid w:val="002B5965"/>
    <w:rsid w:val="002B78A4"/>
    <w:rsid w:val="002C09AF"/>
    <w:rsid w:val="002C0A15"/>
    <w:rsid w:val="002C11EC"/>
    <w:rsid w:val="002C3C0E"/>
    <w:rsid w:val="002C5200"/>
    <w:rsid w:val="002C63F4"/>
    <w:rsid w:val="002C76FE"/>
    <w:rsid w:val="002D03DD"/>
    <w:rsid w:val="002D13FB"/>
    <w:rsid w:val="002D177C"/>
    <w:rsid w:val="002D3431"/>
    <w:rsid w:val="002D367F"/>
    <w:rsid w:val="002D3C74"/>
    <w:rsid w:val="002D4757"/>
    <w:rsid w:val="002D4826"/>
    <w:rsid w:val="002E0218"/>
    <w:rsid w:val="002E23EA"/>
    <w:rsid w:val="002E2C68"/>
    <w:rsid w:val="002E3380"/>
    <w:rsid w:val="002E3494"/>
    <w:rsid w:val="002E408F"/>
    <w:rsid w:val="002E4649"/>
    <w:rsid w:val="002E49FB"/>
    <w:rsid w:val="002E4E9B"/>
    <w:rsid w:val="002E577C"/>
    <w:rsid w:val="002E609B"/>
    <w:rsid w:val="002E6A0A"/>
    <w:rsid w:val="002E7BD7"/>
    <w:rsid w:val="002F09C3"/>
    <w:rsid w:val="002F117A"/>
    <w:rsid w:val="002F1B4D"/>
    <w:rsid w:val="002F2513"/>
    <w:rsid w:val="002F2EF5"/>
    <w:rsid w:val="002F3843"/>
    <w:rsid w:val="002F4667"/>
    <w:rsid w:val="002F552D"/>
    <w:rsid w:val="002F5E05"/>
    <w:rsid w:val="002F6E65"/>
    <w:rsid w:val="00304E5E"/>
    <w:rsid w:val="003060F0"/>
    <w:rsid w:val="00306B20"/>
    <w:rsid w:val="003102BB"/>
    <w:rsid w:val="00310CD0"/>
    <w:rsid w:val="003131E8"/>
    <w:rsid w:val="00314372"/>
    <w:rsid w:val="00314A37"/>
    <w:rsid w:val="003155C8"/>
    <w:rsid w:val="00317FFD"/>
    <w:rsid w:val="003202C1"/>
    <w:rsid w:val="00321AF2"/>
    <w:rsid w:val="00322E15"/>
    <w:rsid w:val="00322EA9"/>
    <w:rsid w:val="003247F3"/>
    <w:rsid w:val="00324CAF"/>
    <w:rsid w:val="00325436"/>
    <w:rsid w:val="00325482"/>
    <w:rsid w:val="00325845"/>
    <w:rsid w:val="00326A73"/>
    <w:rsid w:val="00326C46"/>
    <w:rsid w:val="00327E91"/>
    <w:rsid w:val="00330E68"/>
    <w:rsid w:val="003315C4"/>
    <w:rsid w:val="00333502"/>
    <w:rsid w:val="00336F72"/>
    <w:rsid w:val="00341249"/>
    <w:rsid w:val="003423F2"/>
    <w:rsid w:val="00343CA1"/>
    <w:rsid w:val="003448D3"/>
    <w:rsid w:val="00344A8E"/>
    <w:rsid w:val="00344CAF"/>
    <w:rsid w:val="00344DEA"/>
    <w:rsid w:val="00345722"/>
    <w:rsid w:val="00347B8D"/>
    <w:rsid w:val="00347B94"/>
    <w:rsid w:val="00352603"/>
    <w:rsid w:val="00353F58"/>
    <w:rsid w:val="0035581C"/>
    <w:rsid w:val="00356657"/>
    <w:rsid w:val="00356F09"/>
    <w:rsid w:val="003572AF"/>
    <w:rsid w:val="003576D4"/>
    <w:rsid w:val="003613D5"/>
    <w:rsid w:val="003638BD"/>
    <w:rsid w:val="00363C5F"/>
    <w:rsid w:val="00363ED6"/>
    <w:rsid w:val="00364261"/>
    <w:rsid w:val="00364881"/>
    <w:rsid w:val="003652FD"/>
    <w:rsid w:val="003670AA"/>
    <w:rsid w:val="0036738A"/>
    <w:rsid w:val="003707B4"/>
    <w:rsid w:val="0037098E"/>
    <w:rsid w:val="00370D4C"/>
    <w:rsid w:val="00371DD7"/>
    <w:rsid w:val="003725C6"/>
    <w:rsid w:val="00372862"/>
    <w:rsid w:val="00373F15"/>
    <w:rsid w:val="00375115"/>
    <w:rsid w:val="003762E2"/>
    <w:rsid w:val="003801B7"/>
    <w:rsid w:val="0038111D"/>
    <w:rsid w:val="003819B4"/>
    <w:rsid w:val="00383EB2"/>
    <w:rsid w:val="00383EF0"/>
    <w:rsid w:val="0038554E"/>
    <w:rsid w:val="00386591"/>
    <w:rsid w:val="003873A6"/>
    <w:rsid w:val="00390CE0"/>
    <w:rsid w:val="00391304"/>
    <w:rsid w:val="00393618"/>
    <w:rsid w:val="003944BF"/>
    <w:rsid w:val="00394660"/>
    <w:rsid w:val="00396CC1"/>
    <w:rsid w:val="00396EE5"/>
    <w:rsid w:val="003970A8"/>
    <w:rsid w:val="003A0C44"/>
    <w:rsid w:val="003A1C96"/>
    <w:rsid w:val="003A25C7"/>
    <w:rsid w:val="003A35B0"/>
    <w:rsid w:val="003A3714"/>
    <w:rsid w:val="003A37B1"/>
    <w:rsid w:val="003A3FC7"/>
    <w:rsid w:val="003A4D4C"/>
    <w:rsid w:val="003A6907"/>
    <w:rsid w:val="003B234C"/>
    <w:rsid w:val="003B3228"/>
    <w:rsid w:val="003B5349"/>
    <w:rsid w:val="003B605B"/>
    <w:rsid w:val="003B73C2"/>
    <w:rsid w:val="003C03EF"/>
    <w:rsid w:val="003C3C60"/>
    <w:rsid w:val="003C4F2C"/>
    <w:rsid w:val="003C6680"/>
    <w:rsid w:val="003D190B"/>
    <w:rsid w:val="003D2901"/>
    <w:rsid w:val="003D2F28"/>
    <w:rsid w:val="003D2FD7"/>
    <w:rsid w:val="003D3350"/>
    <w:rsid w:val="003D4E6F"/>
    <w:rsid w:val="003D5586"/>
    <w:rsid w:val="003D57ED"/>
    <w:rsid w:val="003D6259"/>
    <w:rsid w:val="003D6662"/>
    <w:rsid w:val="003D7843"/>
    <w:rsid w:val="003E1B8A"/>
    <w:rsid w:val="003E26B1"/>
    <w:rsid w:val="003E308C"/>
    <w:rsid w:val="003E33EC"/>
    <w:rsid w:val="003E67C5"/>
    <w:rsid w:val="003E732F"/>
    <w:rsid w:val="003E7AF0"/>
    <w:rsid w:val="003F02EB"/>
    <w:rsid w:val="003F0948"/>
    <w:rsid w:val="003F0CDF"/>
    <w:rsid w:val="003F2004"/>
    <w:rsid w:val="003F3A1F"/>
    <w:rsid w:val="00400329"/>
    <w:rsid w:val="00400CAD"/>
    <w:rsid w:val="00400D1D"/>
    <w:rsid w:val="00401BEF"/>
    <w:rsid w:val="0040299C"/>
    <w:rsid w:val="00402E0C"/>
    <w:rsid w:val="00402F90"/>
    <w:rsid w:val="00403302"/>
    <w:rsid w:val="0040496E"/>
    <w:rsid w:val="00407318"/>
    <w:rsid w:val="00407331"/>
    <w:rsid w:val="004107DA"/>
    <w:rsid w:val="00411115"/>
    <w:rsid w:val="0041171B"/>
    <w:rsid w:val="004122E2"/>
    <w:rsid w:val="00412C17"/>
    <w:rsid w:val="00412CEF"/>
    <w:rsid w:val="004130CF"/>
    <w:rsid w:val="00413A3B"/>
    <w:rsid w:val="00413BE3"/>
    <w:rsid w:val="00415891"/>
    <w:rsid w:val="00416D07"/>
    <w:rsid w:val="00417207"/>
    <w:rsid w:val="0042095B"/>
    <w:rsid w:val="00420C66"/>
    <w:rsid w:val="00420E36"/>
    <w:rsid w:val="00420E67"/>
    <w:rsid w:val="0042136F"/>
    <w:rsid w:val="00422010"/>
    <w:rsid w:val="004238AE"/>
    <w:rsid w:val="00423B39"/>
    <w:rsid w:val="00425DC3"/>
    <w:rsid w:val="00430D83"/>
    <w:rsid w:val="00431AF1"/>
    <w:rsid w:val="00433F67"/>
    <w:rsid w:val="0043492D"/>
    <w:rsid w:val="00436F6B"/>
    <w:rsid w:val="004377FB"/>
    <w:rsid w:val="00437F98"/>
    <w:rsid w:val="0044067E"/>
    <w:rsid w:val="0044188C"/>
    <w:rsid w:val="00441AE8"/>
    <w:rsid w:val="00442385"/>
    <w:rsid w:val="0044287A"/>
    <w:rsid w:val="0044314F"/>
    <w:rsid w:val="00445998"/>
    <w:rsid w:val="00446118"/>
    <w:rsid w:val="004462E6"/>
    <w:rsid w:val="00446C1C"/>
    <w:rsid w:val="00446CED"/>
    <w:rsid w:val="004477E8"/>
    <w:rsid w:val="00447C99"/>
    <w:rsid w:val="00447CE8"/>
    <w:rsid w:val="0045050B"/>
    <w:rsid w:val="00450E37"/>
    <w:rsid w:val="00451C50"/>
    <w:rsid w:val="004528EB"/>
    <w:rsid w:val="0045291F"/>
    <w:rsid w:val="00454244"/>
    <w:rsid w:val="00454892"/>
    <w:rsid w:val="00454947"/>
    <w:rsid w:val="00455686"/>
    <w:rsid w:val="00457412"/>
    <w:rsid w:val="00457554"/>
    <w:rsid w:val="00460CC3"/>
    <w:rsid w:val="00460D47"/>
    <w:rsid w:val="00461141"/>
    <w:rsid w:val="0046145F"/>
    <w:rsid w:val="0046203F"/>
    <w:rsid w:val="004628FF"/>
    <w:rsid w:val="00463A15"/>
    <w:rsid w:val="00466A88"/>
    <w:rsid w:val="0046730E"/>
    <w:rsid w:val="00467463"/>
    <w:rsid w:val="00474A8F"/>
    <w:rsid w:val="00475737"/>
    <w:rsid w:val="00476519"/>
    <w:rsid w:val="0047709F"/>
    <w:rsid w:val="004775AB"/>
    <w:rsid w:val="00481425"/>
    <w:rsid w:val="00482BEA"/>
    <w:rsid w:val="00482DFE"/>
    <w:rsid w:val="00483CDA"/>
    <w:rsid w:val="00484EE8"/>
    <w:rsid w:val="00486FDF"/>
    <w:rsid w:val="004902A9"/>
    <w:rsid w:val="00491E32"/>
    <w:rsid w:val="00493B7D"/>
    <w:rsid w:val="004946FE"/>
    <w:rsid w:val="004963D7"/>
    <w:rsid w:val="004A0F95"/>
    <w:rsid w:val="004A13A5"/>
    <w:rsid w:val="004A28D3"/>
    <w:rsid w:val="004A6E28"/>
    <w:rsid w:val="004A7325"/>
    <w:rsid w:val="004A7DBC"/>
    <w:rsid w:val="004A7DFB"/>
    <w:rsid w:val="004B11AF"/>
    <w:rsid w:val="004B3E4F"/>
    <w:rsid w:val="004B3F42"/>
    <w:rsid w:val="004B5644"/>
    <w:rsid w:val="004C0FE0"/>
    <w:rsid w:val="004C1BAF"/>
    <w:rsid w:val="004C2FB2"/>
    <w:rsid w:val="004C3137"/>
    <w:rsid w:val="004C4147"/>
    <w:rsid w:val="004C5991"/>
    <w:rsid w:val="004C62D5"/>
    <w:rsid w:val="004C7832"/>
    <w:rsid w:val="004D011F"/>
    <w:rsid w:val="004D24ED"/>
    <w:rsid w:val="004D2C59"/>
    <w:rsid w:val="004D6111"/>
    <w:rsid w:val="004D66C4"/>
    <w:rsid w:val="004D6DA4"/>
    <w:rsid w:val="004D72CC"/>
    <w:rsid w:val="004E0FDA"/>
    <w:rsid w:val="004E16E3"/>
    <w:rsid w:val="004E20FE"/>
    <w:rsid w:val="004E233A"/>
    <w:rsid w:val="004E33F3"/>
    <w:rsid w:val="004E4600"/>
    <w:rsid w:val="004E4EE3"/>
    <w:rsid w:val="004F05EA"/>
    <w:rsid w:val="004F0AF1"/>
    <w:rsid w:val="004F2CD8"/>
    <w:rsid w:val="004F2DE2"/>
    <w:rsid w:val="004F5AFD"/>
    <w:rsid w:val="004F6E22"/>
    <w:rsid w:val="004F7465"/>
    <w:rsid w:val="005017E2"/>
    <w:rsid w:val="00502F33"/>
    <w:rsid w:val="005030E3"/>
    <w:rsid w:val="0050345F"/>
    <w:rsid w:val="00507749"/>
    <w:rsid w:val="00510216"/>
    <w:rsid w:val="005119DF"/>
    <w:rsid w:val="00514B10"/>
    <w:rsid w:val="005158A7"/>
    <w:rsid w:val="00520805"/>
    <w:rsid w:val="00520BD9"/>
    <w:rsid w:val="00520E7A"/>
    <w:rsid w:val="005226FD"/>
    <w:rsid w:val="00522C26"/>
    <w:rsid w:val="005257DC"/>
    <w:rsid w:val="00525DA5"/>
    <w:rsid w:val="005300DE"/>
    <w:rsid w:val="00531857"/>
    <w:rsid w:val="005322B2"/>
    <w:rsid w:val="005340B5"/>
    <w:rsid w:val="0053611D"/>
    <w:rsid w:val="005375D0"/>
    <w:rsid w:val="00537639"/>
    <w:rsid w:val="005413E7"/>
    <w:rsid w:val="00541D09"/>
    <w:rsid w:val="005433AC"/>
    <w:rsid w:val="00543706"/>
    <w:rsid w:val="00543A5A"/>
    <w:rsid w:val="00543DDC"/>
    <w:rsid w:val="00543E38"/>
    <w:rsid w:val="0054480C"/>
    <w:rsid w:val="00544B9D"/>
    <w:rsid w:val="00544CA9"/>
    <w:rsid w:val="00544EEF"/>
    <w:rsid w:val="00546765"/>
    <w:rsid w:val="00547170"/>
    <w:rsid w:val="005473DB"/>
    <w:rsid w:val="00547483"/>
    <w:rsid w:val="00551B71"/>
    <w:rsid w:val="0055288A"/>
    <w:rsid w:val="00553BB7"/>
    <w:rsid w:val="00553C73"/>
    <w:rsid w:val="005545CD"/>
    <w:rsid w:val="00556B24"/>
    <w:rsid w:val="0055727D"/>
    <w:rsid w:val="005602A9"/>
    <w:rsid w:val="005610C1"/>
    <w:rsid w:val="00561476"/>
    <w:rsid w:val="00562CC3"/>
    <w:rsid w:val="00563EEA"/>
    <w:rsid w:val="0056645F"/>
    <w:rsid w:val="005672EF"/>
    <w:rsid w:val="00567C19"/>
    <w:rsid w:val="00567C4E"/>
    <w:rsid w:val="0057168C"/>
    <w:rsid w:val="005716BC"/>
    <w:rsid w:val="00572741"/>
    <w:rsid w:val="00572AA3"/>
    <w:rsid w:val="00572B1A"/>
    <w:rsid w:val="0057571C"/>
    <w:rsid w:val="00576749"/>
    <w:rsid w:val="005772AC"/>
    <w:rsid w:val="005775E1"/>
    <w:rsid w:val="00577B67"/>
    <w:rsid w:val="0058010C"/>
    <w:rsid w:val="00581AC2"/>
    <w:rsid w:val="00582E35"/>
    <w:rsid w:val="00582FE1"/>
    <w:rsid w:val="005832F2"/>
    <w:rsid w:val="00584DB4"/>
    <w:rsid w:val="005878D3"/>
    <w:rsid w:val="00591242"/>
    <w:rsid w:val="005923E6"/>
    <w:rsid w:val="005929A3"/>
    <w:rsid w:val="00592C51"/>
    <w:rsid w:val="005934CC"/>
    <w:rsid w:val="00595CDF"/>
    <w:rsid w:val="00596824"/>
    <w:rsid w:val="00596C79"/>
    <w:rsid w:val="005A203C"/>
    <w:rsid w:val="005A50BD"/>
    <w:rsid w:val="005A6854"/>
    <w:rsid w:val="005B05EB"/>
    <w:rsid w:val="005B3ED9"/>
    <w:rsid w:val="005B63CB"/>
    <w:rsid w:val="005C048E"/>
    <w:rsid w:val="005C1FF6"/>
    <w:rsid w:val="005C24E6"/>
    <w:rsid w:val="005C26FD"/>
    <w:rsid w:val="005C3A05"/>
    <w:rsid w:val="005C5C06"/>
    <w:rsid w:val="005C6BA4"/>
    <w:rsid w:val="005C7894"/>
    <w:rsid w:val="005D0DCA"/>
    <w:rsid w:val="005D190C"/>
    <w:rsid w:val="005D1B0E"/>
    <w:rsid w:val="005D2063"/>
    <w:rsid w:val="005D2A7C"/>
    <w:rsid w:val="005D347D"/>
    <w:rsid w:val="005D4036"/>
    <w:rsid w:val="005D4C5C"/>
    <w:rsid w:val="005D57BF"/>
    <w:rsid w:val="005D740F"/>
    <w:rsid w:val="005D7DA2"/>
    <w:rsid w:val="005E1361"/>
    <w:rsid w:val="005E25B0"/>
    <w:rsid w:val="005E3D9A"/>
    <w:rsid w:val="005E49D5"/>
    <w:rsid w:val="005E4E1C"/>
    <w:rsid w:val="005E6295"/>
    <w:rsid w:val="005F004F"/>
    <w:rsid w:val="005F0120"/>
    <w:rsid w:val="005F1060"/>
    <w:rsid w:val="005F2601"/>
    <w:rsid w:val="005F46FF"/>
    <w:rsid w:val="005F5376"/>
    <w:rsid w:val="005F5791"/>
    <w:rsid w:val="005F5C20"/>
    <w:rsid w:val="005F5D57"/>
    <w:rsid w:val="005F7A78"/>
    <w:rsid w:val="006014DE"/>
    <w:rsid w:val="00601B0F"/>
    <w:rsid w:val="00603808"/>
    <w:rsid w:val="00605EFE"/>
    <w:rsid w:val="0060662A"/>
    <w:rsid w:val="0061124B"/>
    <w:rsid w:val="00611D03"/>
    <w:rsid w:val="00614551"/>
    <w:rsid w:val="00615DC7"/>
    <w:rsid w:val="0062088D"/>
    <w:rsid w:val="00620907"/>
    <w:rsid w:val="0062095C"/>
    <w:rsid w:val="00621017"/>
    <w:rsid w:val="00621154"/>
    <w:rsid w:val="0062147E"/>
    <w:rsid w:val="00621937"/>
    <w:rsid w:val="006240CD"/>
    <w:rsid w:val="00627205"/>
    <w:rsid w:val="00627452"/>
    <w:rsid w:val="006306A5"/>
    <w:rsid w:val="00631C7F"/>
    <w:rsid w:val="0063339C"/>
    <w:rsid w:val="006334EB"/>
    <w:rsid w:val="006337A9"/>
    <w:rsid w:val="00634F1D"/>
    <w:rsid w:val="006418AD"/>
    <w:rsid w:val="0064488C"/>
    <w:rsid w:val="0064501A"/>
    <w:rsid w:val="0064515D"/>
    <w:rsid w:val="00645404"/>
    <w:rsid w:val="006455DD"/>
    <w:rsid w:val="00645724"/>
    <w:rsid w:val="0064667C"/>
    <w:rsid w:val="00647E0D"/>
    <w:rsid w:val="00651D0E"/>
    <w:rsid w:val="00651D4F"/>
    <w:rsid w:val="006523AB"/>
    <w:rsid w:val="00653C94"/>
    <w:rsid w:val="00655087"/>
    <w:rsid w:val="00660292"/>
    <w:rsid w:val="0066115C"/>
    <w:rsid w:val="00661231"/>
    <w:rsid w:val="006614B8"/>
    <w:rsid w:val="00662BE1"/>
    <w:rsid w:val="006646C8"/>
    <w:rsid w:val="00665A9B"/>
    <w:rsid w:val="00666BEE"/>
    <w:rsid w:val="00667934"/>
    <w:rsid w:val="00667A5A"/>
    <w:rsid w:val="006716CC"/>
    <w:rsid w:val="006722F7"/>
    <w:rsid w:val="006726AE"/>
    <w:rsid w:val="00673C1F"/>
    <w:rsid w:val="00674859"/>
    <w:rsid w:val="006751F0"/>
    <w:rsid w:val="006779AF"/>
    <w:rsid w:val="00677CD0"/>
    <w:rsid w:val="00677D92"/>
    <w:rsid w:val="00680008"/>
    <w:rsid w:val="0068129E"/>
    <w:rsid w:val="006816E5"/>
    <w:rsid w:val="00681A21"/>
    <w:rsid w:val="00682034"/>
    <w:rsid w:val="0068435A"/>
    <w:rsid w:val="006854EA"/>
    <w:rsid w:val="00685C47"/>
    <w:rsid w:val="006860FF"/>
    <w:rsid w:val="00687812"/>
    <w:rsid w:val="00687D1F"/>
    <w:rsid w:val="006903F0"/>
    <w:rsid w:val="006906BE"/>
    <w:rsid w:val="00690A9F"/>
    <w:rsid w:val="00692FAE"/>
    <w:rsid w:val="00693EA2"/>
    <w:rsid w:val="006940B5"/>
    <w:rsid w:val="00694ED3"/>
    <w:rsid w:val="0069548E"/>
    <w:rsid w:val="00695CF6"/>
    <w:rsid w:val="00695F1E"/>
    <w:rsid w:val="00697FCC"/>
    <w:rsid w:val="006A02DE"/>
    <w:rsid w:val="006A07BD"/>
    <w:rsid w:val="006A2DD6"/>
    <w:rsid w:val="006A4364"/>
    <w:rsid w:val="006A70DC"/>
    <w:rsid w:val="006B0D52"/>
    <w:rsid w:val="006B123C"/>
    <w:rsid w:val="006B2176"/>
    <w:rsid w:val="006B2FA6"/>
    <w:rsid w:val="006B481C"/>
    <w:rsid w:val="006B4C88"/>
    <w:rsid w:val="006B4EB0"/>
    <w:rsid w:val="006B7098"/>
    <w:rsid w:val="006C0934"/>
    <w:rsid w:val="006C1B44"/>
    <w:rsid w:val="006C1FEE"/>
    <w:rsid w:val="006C66A3"/>
    <w:rsid w:val="006D0181"/>
    <w:rsid w:val="006D023D"/>
    <w:rsid w:val="006D0783"/>
    <w:rsid w:val="006D0997"/>
    <w:rsid w:val="006D0A5F"/>
    <w:rsid w:val="006D0B24"/>
    <w:rsid w:val="006D0D8B"/>
    <w:rsid w:val="006D2453"/>
    <w:rsid w:val="006D5B7F"/>
    <w:rsid w:val="006D6486"/>
    <w:rsid w:val="006D660A"/>
    <w:rsid w:val="006D6CA4"/>
    <w:rsid w:val="006D70A9"/>
    <w:rsid w:val="006D7B4C"/>
    <w:rsid w:val="006D7CAE"/>
    <w:rsid w:val="006D7D5C"/>
    <w:rsid w:val="006D7F15"/>
    <w:rsid w:val="006E0B4E"/>
    <w:rsid w:val="006E112B"/>
    <w:rsid w:val="006E2937"/>
    <w:rsid w:val="006E314D"/>
    <w:rsid w:val="006E4AE8"/>
    <w:rsid w:val="006E51E4"/>
    <w:rsid w:val="006E5441"/>
    <w:rsid w:val="006E6AEB"/>
    <w:rsid w:val="006E760F"/>
    <w:rsid w:val="006E76C1"/>
    <w:rsid w:val="006E7FEA"/>
    <w:rsid w:val="006F0236"/>
    <w:rsid w:val="006F079C"/>
    <w:rsid w:val="006F134C"/>
    <w:rsid w:val="006F156E"/>
    <w:rsid w:val="006F327B"/>
    <w:rsid w:val="006F40B2"/>
    <w:rsid w:val="006F52A8"/>
    <w:rsid w:val="006F52D4"/>
    <w:rsid w:val="006F55C0"/>
    <w:rsid w:val="006F5934"/>
    <w:rsid w:val="00701584"/>
    <w:rsid w:val="00701BB6"/>
    <w:rsid w:val="007047EB"/>
    <w:rsid w:val="007051DF"/>
    <w:rsid w:val="007054B7"/>
    <w:rsid w:val="00706800"/>
    <w:rsid w:val="00707232"/>
    <w:rsid w:val="00713F80"/>
    <w:rsid w:val="00714075"/>
    <w:rsid w:val="00714184"/>
    <w:rsid w:val="00717875"/>
    <w:rsid w:val="00720415"/>
    <w:rsid w:val="0072253A"/>
    <w:rsid w:val="00723CBB"/>
    <w:rsid w:val="007247C6"/>
    <w:rsid w:val="00724A23"/>
    <w:rsid w:val="00724F7E"/>
    <w:rsid w:val="00725C51"/>
    <w:rsid w:val="0072739F"/>
    <w:rsid w:val="007275B8"/>
    <w:rsid w:val="00727E93"/>
    <w:rsid w:val="007308B8"/>
    <w:rsid w:val="00730DCC"/>
    <w:rsid w:val="00731E80"/>
    <w:rsid w:val="00731EDE"/>
    <w:rsid w:val="007330F3"/>
    <w:rsid w:val="00735B51"/>
    <w:rsid w:val="0073618C"/>
    <w:rsid w:val="007364BB"/>
    <w:rsid w:val="00740DAD"/>
    <w:rsid w:val="00742E35"/>
    <w:rsid w:val="0074372D"/>
    <w:rsid w:val="0074456D"/>
    <w:rsid w:val="00744A4B"/>
    <w:rsid w:val="00747D86"/>
    <w:rsid w:val="007513B5"/>
    <w:rsid w:val="00752BF2"/>
    <w:rsid w:val="00754000"/>
    <w:rsid w:val="00754695"/>
    <w:rsid w:val="00754B2D"/>
    <w:rsid w:val="0075570B"/>
    <w:rsid w:val="007560A7"/>
    <w:rsid w:val="0075641F"/>
    <w:rsid w:val="00757EEE"/>
    <w:rsid w:val="007605D4"/>
    <w:rsid w:val="007649D5"/>
    <w:rsid w:val="0076630D"/>
    <w:rsid w:val="00766626"/>
    <w:rsid w:val="0076681B"/>
    <w:rsid w:val="00766F9F"/>
    <w:rsid w:val="00773A5D"/>
    <w:rsid w:val="00773D98"/>
    <w:rsid w:val="00773DCF"/>
    <w:rsid w:val="00773FC4"/>
    <w:rsid w:val="0077490E"/>
    <w:rsid w:val="00775217"/>
    <w:rsid w:val="007805C6"/>
    <w:rsid w:val="00781587"/>
    <w:rsid w:val="00782A5A"/>
    <w:rsid w:val="0078338B"/>
    <w:rsid w:val="00787120"/>
    <w:rsid w:val="007876E5"/>
    <w:rsid w:val="0079054A"/>
    <w:rsid w:val="00791D54"/>
    <w:rsid w:val="00791E2B"/>
    <w:rsid w:val="00792A82"/>
    <w:rsid w:val="0079346A"/>
    <w:rsid w:val="00795849"/>
    <w:rsid w:val="00795DAE"/>
    <w:rsid w:val="00796491"/>
    <w:rsid w:val="007970E8"/>
    <w:rsid w:val="00797F8E"/>
    <w:rsid w:val="007A1592"/>
    <w:rsid w:val="007A2069"/>
    <w:rsid w:val="007A326F"/>
    <w:rsid w:val="007A32AC"/>
    <w:rsid w:val="007A36C6"/>
    <w:rsid w:val="007A4A9E"/>
    <w:rsid w:val="007A5661"/>
    <w:rsid w:val="007A57E3"/>
    <w:rsid w:val="007A5B69"/>
    <w:rsid w:val="007A5DE0"/>
    <w:rsid w:val="007A6F37"/>
    <w:rsid w:val="007B54C9"/>
    <w:rsid w:val="007B6494"/>
    <w:rsid w:val="007B7806"/>
    <w:rsid w:val="007C268C"/>
    <w:rsid w:val="007C3543"/>
    <w:rsid w:val="007C3C2B"/>
    <w:rsid w:val="007C51CC"/>
    <w:rsid w:val="007C6A71"/>
    <w:rsid w:val="007C6AF4"/>
    <w:rsid w:val="007C7E87"/>
    <w:rsid w:val="007D04D7"/>
    <w:rsid w:val="007D0905"/>
    <w:rsid w:val="007D19ED"/>
    <w:rsid w:val="007D2119"/>
    <w:rsid w:val="007D308E"/>
    <w:rsid w:val="007D35C4"/>
    <w:rsid w:val="007D4FAB"/>
    <w:rsid w:val="007D67FF"/>
    <w:rsid w:val="007D7ADD"/>
    <w:rsid w:val="007D7E33"/>
    <w:rsid w:val="007E1269"/>
    <w:rsid w:val="007E127F"/>
    <w:rsid w:val="007E1FB5"/>
    <w:rsid w:val="007E3C9A"/>
    <w:rsid w:val="007E3D2C"/>
    <w:rsid w:val="007E41CF"/>
    <w:rsid w:val="007E5461"/>
    <w:rsid w:val="007E6189"/>
    <w:rsid w:val="007E78BC"/>
    <w:rsid w:val="007E7E65"/>
    <w:rsid w:val="007F1809"/>
    <w:rsid w:val="007F1A94"/>
    <w:rsid w:val="007F373C"/>
    <w:rsid w:val="007F40CB"/>
    <w:rsid w:val="007F4CA0"/>
    <w:rsid w:val="007F61E3"/>
    <w:rsid w:val="007F69BB"/>
    <w:rsid w:val="00801299"/>
    <w:rsid w:val="00802873"/>
    <w:rsid w:val="00803030"/>
    <w:rsid w:val="00803751"/>
    <w:rsid w:val="008049F9"/>
    <w:rsid w:val="00805316"/>
    <w:rsid w:val="0080562E"/>
    <w:rsid w:val="00805810"/>
    <w:rsid w:val="00806BD6"/>
    <w:rsid w:val="0080752B"/>
    <w:rsid w:val="00807B67"/>
    <w:rsid w:val="00810557"/>
    <w:rsid w:val="00811145"/>
    <w:rsid w:val="00811640"/>
    <w:rsid w:val="00812462"/>
    <w:rsid w:val="0081378D"/>
    <w:rsid w:val="00814AEF"/>
    <w:rsid w:val="00814B38"/>
    <w:rsid w:val="008168AE"/>
    <w:rsid w:val="00817621"/>
    <w:rsid w:val="00817BD2"/>
    <w:rsid w:val="00822423"/>
    <w:rsid w:val="00823A06"/>
    <w:rsid w:val="00823F8C"/>
    <w:rsid w:val="00824CFD"/>
    <w:rsid w:val="00827434"/>
    <w:rsid w:val="0083090D"/>
    <w:rsid w:val="008321D7"/>
    <w:rsid w:val="00832A51"/>
    <w:rsid w:val="00834B05"/>
    <w:rsid w:val="00835123"/>
    <w:rsid w:val="008355A5"/>
    <w:rsid w:val="00840AB6"/>
    <w:rsid w:val="00840E39"/>
    <w:rsid w:val="008417E9"/>
    <w:rsid w:val="00843673"/>
    <w:rsid w:val="00843E24"/>
    <w:rsid w:val="0084459C"/>
    <w:rsid w:val="0084483A"/>
    <w:rsid w:val="0084597E"/>
    <w:rsid w:val="00846AB8"/>
    <w:rsid w:val="00847126"/>
    <w:rsid w:val="0084717E"/>
    <w:rsid w:val="00847422"/>
    <w:rsid w:val="00847B24"/>
    <w:rsid w:val="00847F0F"/>
    <w:rsid w:val="00852445"/>
    <w:rsid w:val="0085319C"/>
    <w:rsid w:val="00854311"/>
    <w:rsid w:val="0085509E"/>
    <w:rsid w:val="008552E7"/>
    <w:rsid w:val="0085590F"/>
    <w:rsid w:val="0085741B"/>
    <w:rsid w:val="00857BA3"/>
    <w:rsid w:val="008600D6"/>
    <w:rsid w:val="0086045C"/>
    <w:rsid w:val="008604A3"/>
    <w:rsid w:val="008613FB"/>
    <w:rsid w:val="00865BA4"/>
    <w:rsid w:val="00866C5B"/>
    <w:rsid w:val="00867D57"/>
    <w:rsid w:val="00870424"/>
    <w:rsid w:val="00870B39"/>
    <w:rsid w:val="00870D98"/>
    <w:rsid w:val="00871AFD"/>
    <w:rsid w:val="00871F6B"/>
    <w:rsid w:val="00873C89"/>
    <w:rsid w:val="00874C2D"/>
    <w:rsid w:val="00876F44"/>
    <w:rsid w:val="0087738D"/>
    <w:rsid w:val="008777CF"/>
    <w:rsid w:val="008823FF"/>
    <w:rsid w:val="00882690"/>
    <w:rsid w:val="00882824"/>
    <w:rsid w:val="00884F5B"/>
    <w:rsid w:val="008854B9"/>
    <w:rsid w:val="00886735"/>
    <w:rsid w:val="00886B3E"/>
    <w:rsid w:val="00891034"/>
    <w:rsid w:val="00893D98"/>
    <w:rsid w:val="0089412A"/>
    <w:rsid w:val="0089499C"/>
    <w:rsid w:val="00895B94"/>
    <w:rsid w:val="00896651"/>
    <w:rsid w:val="008970C7"/>
    <w:rsid w:val="008A0722"/>
    <w:rsid w:val="008A2BB5"/>
    <w:rsid w:val="008A343D"/>
    <w:rsid w:val="008A437C"/>
    <w:rsid w:val="008A44E8"/>
    <w:rsid w:val="008A5C41"/>
    <w:rsid w:val="008A68DD"/>
    <w:rsid w:val="008A6AE6"/>
    <w:rsid w:val="008A7CFB"/>
    <w:rsid w:val="008B1782"/>
    <w:rsid w:val="008B210C"/>
    <w:rsid w:val="008B29A0"/>
    <w:rsid w:val="008B4121"/>
    <w:rsid w:val="008B4815"/>
    <w:rsid w:val="008B531D"/>
    <w:rsid w:val="008B542F"/>
    <w:rsid w:val="008B622B"/>
    <w:rsid w:val="008B6A7F"/>
    <w:rsid w:val="008B6B68"/>
    <w:rsid w:val="008B6F1C"/>
    <w:rsid w:val="008B7F16"/>
    <w:rsid w:val="008C0610"/>
    <w:rsid w:val="008C15F9"/>
    <w:rsid w:val="008C44E5"/>
    <w:rsid w:val="008C47DB"/>
    <w:rsid w:val="008C4EA8"/>
    <w:rsid w:val="008C63B8"/>
    <w:rsid w:val="008C6CBF"/>
    <w:rsid w:val="008C7554"/>
    <w:rsid w:val="008C7F83"/>
    <w:rsid w:val="008D0173"/>
    <w:rsid w:val="008D0348"/>
    <w:rsid w:val="008D07FF"/>
    <w:rsid w:val="008D210A"/>
    <w:rsid w:val="008D2403"/>
    <w:rsid w:val="008D2A25"/>
    <w:rsid w:val="008D2BD8"/>
    <w:rsid w:val="008D314F"/>
    <w:rsid w:val="008D4A16"/>
    <w:rsid w:val="008E04DA"/>
    <w:rsid w:val="008E114D"/>
    <w:rsid w:val="008E11DF"/>
    <w:rsid w:val="008E13BF"/>
    <w:rsid w:val="008E14E9"/>
    <w:rsid w:val="008E348F"/>
    <w:rsid w:val="008E37A0"/>
    <w:rsid w:val="008E4229"/>
    <w:rsid w:val="008E5805"/>
    <w:rsid w:val="008E697C"/>
    <w:rsid w:val="008F0F4A"/>
    <w:rsid w:val="008F11C1"/>
    <w:rsid w:val="008F2DAF"/>
    <w:rsid w:val="008F2FE3"/>
    <w:rsid w:val="008F30B8"/>
    <w:rsid w:val="008F437C"/>
    <w:rsid w:val="008F565F"/>
    <w:rsid w:val="008F5F0E"/>
    <w:rsid w:val="008F6965"/>
    <w:rsid w:val="008F7297"/>
    <w:rsid w:val="0090271B"/>
    <w:rsid w:val="0090277F"/>
    <w:rsid w:val="009029FB"/>
    <w:rsid w:val="00902D20"/>
    <w:rsid w:val="009045E9"/>
    <w:rsid w:val="00905532"/>
    <w:rsid w:val="00906145"/>
    <w:rsid w:val="00906EF3"/>
    <w:rsid w:val="00907A5C"/>
    <w:rsid w:val="009124FC"/>
    <w:rsid w:val="00912756"/>
    <w:rsid w:val="0091379D"/>
    <w:rsid w:val="00914530"/>
    <w:rsid w:val="00916806"/>
    <w:rsid w:val="00917B8B"/>
    <w:rsid w:val="009209EC"/>
    <w:rsid w:val="00922BE2"/>
    <w:rsid w:val="00923396"/>
    <w:rsid w:val="009236C6"/>
    <w:rsid w:val="009237BF"/>
    <w:rsid w:val="009240A5"/>
    <w:rsid w:val="0092448D"/>
    <w:rsid w:val="0092461E"/>
    <w:rsid w:val="00924D28"/>
    <w:rsid w:val="009253E1"/>
    <w:rsid w:val="00927662"/>
    <w:rsid w:val="00930BD2"/>
    <w:rsid w:val="009313EE"/>
    <w:rsid w:val="00931673"/>
    <w:rsid w:val="009316D6"/>
    <w:rsid w:val="00931F2A"/>
    <w:rsid w:val="0093298F"/>
    <w:rsid w:val="00932E2A"/>
    <w:rsid w:val="00934725"/>
    <w:rsid w:val="00940405"/>
    <w:rsid w:val="00941601"/>
    <w:rsid w:val="009419DD"/>
    <w:rsid w:val="00941DFF"/>
    <w:rsid w:val="00943B95"/>
    <w:rsid w:val="009445D1"/>
    <w:rsid w:val="00944710"/>
    <w:rsid w:val="0094524E"/>
    <w:rsid w:val="00946257"/>
    <w:rsid w:val="00946789"/>
    <w:rsid w:val="009471AD"/>
    <w:rsid w:val="009508E8"/>
    <w:rsid w:val="00950AAA"/>
    <w:rsid w:val="009523EA"/>
    <w:rsid w:val="009543A2"/>
    <w:rsid w:val="00954B42"/>
    <w:rsid w:val="00955922"/>
    <w:rsid w:val="00955DA2"/>
    <w:rsid w:val="00956C41"/>
    <w:rsid w:val="00957242"/>
    <w:rsid w:val="009579E4"/>
    <w:rsid w:val="00957C81"/>
    <w:rsid w:val="00960532"/>
    <w:rsid w:val="00962503"/>
    <w:rsid w:val="009632C9"/>
    <w:rsid w:val="0096554E"/>
    <w:rsid w:val="0096789B"/>
    <w:rsid w:val="009702F0"/>
    <w:rsid w:val="009705D4"/>
    <w:rsid w:val="0097134A"/>
    <w:rsid w:val="00971523"/>
    <w:rsid w:val="00971D12"/>
    <w:rsid w:val="00972834"/>
    <w:rsid w:val="00973397"/>
    <w:rsid w:val="00973840"/>
    <w:rsid w:val="00973A4C"/>
    <w:rsid w:val="0097692B"/>
    <w:rsid w:val="00976BAD"/>
    <w:rsid w:val="0097750D"/>
    <w:rsid w:val="00977935"/>
    <w:rsid w:val="00977C8E"/>
    <w:rsid w:val="00980594"/>
    <w:rsid w:val="00982FD3"/>
    <w:rsid w:val="00983F91"/>
    <w:rsid w:val="009857EB"/>
    <w:rsid w:val="0098634F"/>
    <w:rsid w:val="00986658"/>
    <w:rsid w:val="009875F5"/>
    <w:rsid w:val="009900BB"/>
    <w:rsid w:val="009904F8"/>
    <w:rsid w:val="00993133"/>
    <w:rsid w:val="00994924"/>
    <w:rsid w:val="00995DD0"/>
    <w:rsid w:val="00995F9F"/>
    <w:rsid w:val="0099769A"/>
    <w:rsid w:val="009977FF"/>
    <w:rsid w:val="009A0A02"/>
    <w:rsid w:val="009A351A"/>
    <w:rsid w:val="009A4739"/>
    <w:rsid w:val="009A501A"/>
    <w:rsid w:val="009A57C3"/>
    <w:rsid w:val="009A61E3"/>
    <w:rsid w:val="009A67D5"/>
    <w:rsid w:val="009B0543"/>
    <w:rsid w:val="009B09BA"/>
    <w:rsid w:val="009B09FA"/>
    <w:rsid w:val="009B1539"/>
    <w:rsid w:val="009B245F"/>
    <w:rsid w:val="009B2583"/>
    <w:rsid w:val="009B3D33"/>
    <w:rsid w:val="009B4186"/>
    <w:rsid w:val="009B6426"/>
    <w:rsid w:val="009B79C2"/>
    <w:rsid w:val="009B7D45"/>
    <w:rsid w:val="009C2050"/>
    <w:rsid w:val="009C288F"/>
    <w:rsid w:val="009C2E4B"/>
    <w:rsid w:val="009C3F2D"/>
    <w:rsid w:val="009C4384"/>
    <w:rsid w:val="009C5E81"/>
    <w:rsid w:val="009C62D3"/>
    <w:rsid w:val="009C69E2"/>
    <w:rsid w:val="009C6E2D"/>
    <w:rsid w:val="009D0C2C"/>
    <w:rsid w:val="009D1FFE"/>
    <w:rsid w:val="009D26D6"/>
    <w:rsid w:val="009D58E1"/>
    <w:rsid w:val="009D671E"/>
    <w:rsid w:val="009D6C47"/>
    <w:rsid w:val="009E021C"/>
    <w:rsid w:val="009E1871"/>
    <w:rsid w:val="009E301E"/>
    <w:rsid w:val="009E3A4A"/>
    <w:rsid w:val="009F068E"/>
    <w:rsid w:val="009F33C6"/>
    <w:rsid w:val="009F34C6"/>
    <w:rsid w:val="009F38CD"/>
    <w:rsid w:val="009F509F"/>
    <w:rsid w:val="009F567E"/>
    <w:rsid w:val="009F5C42"/>
    <w:rsid w:val="009F6170"/>
    <w:rsid w:val="009F6310"/>
    <w:rsid w:val="009F6DB6"/>
    <w:rsid w:val="009F6FD2"/>
    <w:rsid w:val="009F7053"/>
    <w:rsid w:val="009F7FD6"/>
    <w:rsid w:val="00A00CE9"/>
    <w:rsid w:val="00A01224"/>
    <w:rsid w:val="00A0163E"/>
    <w:rsid w:val="00A04A22"/>
    <w:rsid w:val="00A06EEE"/>
    <w:rsid w:val="00A0767B"/>
    <w:rsid w:val="00A11517"/>
    <w:rsid w:val="00A12635"/>
    <w:rsid w:val="00A1312F"/>
    <w:rsid w:val="00A14CEF"/>
    <w:rsid w:val="00A16355"/>
    <w:rsid w:val="00A16731"/>
    <w:rsid w:val="00A172F3"/>
    <w:rsid w:val="00A17318"/>
    <w:rsid w:val="00A201F2"/>
    <w:rsid w:val="00A20542"/>
    <w:rsid w:val="00A22D25"/>
    <w:rsid w:val="00A2300F"/>
    <w:rsid w:val="00A23D87"/>
    <w:rsid w:val="00A279BC"/>
    <w:rsid w:val="00A27B69"/>
    <w:rsid w:val="00A27CCF"/>
    <w:rsid w:val="00A306C7"/>
    <w:rsid w:val="00A32841"/>
    <w:rsid w:val="00A33793"/>
    <w:rsid w:val="00A3479C"/>
    <w:rsid w:val="00A35A61"/>
    <w:rsid w:val="00A40875"/>
    <w:rsid w:val="00A411C4"/>
    <w:rsid w:val="00A432E1"/>
    <w:rsid w:val="00A43A1C"/>
    <w:rsid w:val="00A43E5E"/>
    <w:rsid w:val="00A43F8C"/>
    <w:rsid w:val="00A4418B"/>
    <w:rsid w:val="00A4582A"/>
    <w:rsid w:val="00A4619F"/>
    <w:rsid w:val="00A46C80"/>
    <w:rsid w:val="00A46DD9"/>
    <w:rsid w:val="00A4702C"/>
    <w:rsid w:val="00A51BEA"/>
    <w:rsid w:val="00A532D1"/>
    <w:rsid w:val="00A53322"/>
    <w:rsid w:val="00A6104F"/>
    <w:rsid w:val="00A61FD9"/>
    <w:rsid w:val="00A668AC"/>
    <w:rsid w:val="00A70A52"/>
    <w:rsid w:val="00A72512"/>
    <w:rsid w:val="00A7295B"/>
    <w:rsid w:val="00A72D4D"/>
    <w:rsid w:val="00A72D81"/>
    <w:rsid w:val="00A72DF2"/>
    <w:rsid w:val="00A72FAA"/>
    <w:rsid w:val="00A757F6"/>
    <w:rsid w:val="00A75BFD"/>
    <w:rsid w:val="00A77376"/>
    <w:rsid w:val="00A804A3"/>
    <w:rsid w:val="00A80787"/>
    <w:rsid w:val="00A81CE2"/>
    <w:rsid w:val="00A81FC2"/>
    <w:rsid w:val="00A82368"/>
    <w:rsid w:val="00A83EB4"/>
    <w:rsid w:val="00A85632"/>
    <w:rsid w:val="00A86827"/>
    <w:rsid w:val="00A86D36"/>
    <w:rsid w:val="00A8766F"/>
    <w:rsid w:val="00A91CBC"/>
    <w:rsid w:val="00A938FA"/>
    <w:rsid w:val="00A94059"/>
    <w:rsid w:val="00A942B4"/>
    <w:rsid w:val="00A94497"/>
    <w:rsid w:val="00A94689"/>
    <w:rsid w:val="00A94CA0"/>
    <w:rsid w:val="00A94F1C"/>
    <w:rsid w:val="00A955BE"/>
    <w:rsid w:val="00A957B0"/>
    <w:rsid w:val="00A95F89"/>
    <w:rsid w:val="00A97D29"/>
    <w:rsid w:val="00AA29C9"/>
    <w:rsid w:val="00AA2D2C"/>
    <w:rsid w:val="00AA3405"/>
    <w:rsid w:val="00AA47A1"/>
    <w:rsid w:val="00AA5021"/>
    <w:rsid w:val="00AA6B92"/>
    <w:rsid w:val="00AA760C"/>
    <w:rsid w:val="00AA76A6"/>
    <w:rsid w:val="00AB0CE2"/>
    <w:rsid w:val="00AB1D0A"/>
    <w:rsid w:val="00AB27D6"/>
    <w:rsid w:val="00AB3212"/>
    <w:rsid w:val="00AB3B72"/>
    <w:rsid w:val="00AB3E51"/>
    <w:rsid w:val="00AB54FD"/>
    <w:rsid w:val="00AB5FCA"/>
    <w:rsid w:val="00AB65DA"/>
    <w:rsid w:val="00AB7DEF"/>
    <w:rsid w:val="00AC00E4"/>
    <w:rsid w:val="00AC040D"/>
    <w:rsid w:val="00AC05A9"/>
    <w:rsid w:val="00AC11E4"/>
    <w:rsid w:val="00AC352D"/>
    <w:rsid w:val="00AC60F4"/>
    <w:rsid w:val="00AC6CAA"/>
    <w:rsid w:val="00AC6DBA"/>
    <w:rsid w:val="00AC6F51"/>
    <w:rsid w:val="00AD25DF"/>
    <w:rsid w:val="00AD2730"/>
    <w:rsid w:val="00AD3825"/>
    <w:rsid w:val="00AD4464"/>
    <w:rsid w:val="00AD5BA7"/>
    <w:rsid w:val="00AD65B5"/>
    <w:rsid w:val="00AD69A8"/>
    <w:rsid w:val="00AD72FA"/>
    <w:rsid w:val="00AE1672"/>
    <w:rsid w:val="00AE16CA"/>
    <w:rsid w:val="00AE1D02"/>
    <w:rsid w:val="00AE1D96"/>
    <w:rsid w:val="00AE2324"/>
    <w:rsid w:val="00AE2B4C"/>
    <w:rsid w:val="00AE2F66"/>
    <w:rsid w:val="00AE4B29"/>
    <w:rsid w:val="00AE53DC"/>
    <w:rsid w:val="00AE57E8"/>
    <w:rsid w:val="00AE628C"/>
    <w:rsid w:val="00AE6900"/>
    <w:rsid w:val="00AE6E64"/>
    <w:rsid w:val="00AE6F58"/>
    <w:rsid w:val="00AE6F68"/>
    <w:rsid w:val="00AE7F25"/>
    <w:rsid w:val="00AF17B3"/>
    <w:rsid w:val="00AF1EFE"/>
    <w:rsid w:val="00AF3898"/>
    <w:rsid w:val="00AF4B65"/>
    <w:rsid w:val="00AF511C"/>
    <w:rsid w:val="00AF54FF"/>
    <w:rsid w:val="00AF554F"/>
    <w:rsid w:val="00AF6C7D"/>
    <w:rsid w:val="00B0062B"/>
    <w:rsid w:val="00B013DE"/>
    <w:rsid w:val="00B04DCC"/>
    <w:rsid w:val="00B0753E"/>
    <w:rsid w:val="00B07B98"/>
    <w:rsid w:val="00B10651"/>
    <w:rsid w:val="00B107FB"/>
    <w:rsid w:val="00B118BF"/>
    <w:rsid w:val="00B122C4"/>
    <w:rsid w:val="00B1300B"/>
    <w:rsid w:val="00B14599"/>
    <w:rsid w:val="00B145CA"/>
    <w:rsid w:val="00B149E4"/>
    <w:rsid w:val="00B15581"/>
    <w:rsid w:val="00B157F1"/>
    <w:rsid w:val="00B16059"/>
    <w:rsid w:val="00B17E83"/>
    <w:rsid w:val="00B214CE"/>
    <w:rsid w:val="00B21670"/>
    <w:rsid w:val="00B221E5"/>
    <w:rsid w:val="00B25665"/>
    <w:rsid w:val="00B2740F"/>
    <w:rsid w:val="00B315E9"/>
    <w:rsid w:val="00B31792"/>
    <w:rsid w:val="00B31DF6"/>
    <w:rsid w:val="00B3269B"/>
    <w:rsid w:val="00B32A75"/>
    <w:rsid w:val="00B336C4"/>
    <w:rsid w:val="00B35206"/>
    <w:rsid w:val="00B401A5"/>
    <w:rsid w:val="00B406B4"/>
    <w:rsid w:val="00B42D15"/>
    <w:rsid w:val="00B42DE0"/>
    <w:rsid w:val="00B438B3"/>
    <w:rsid w:val="00B43D63"/>
    <w:rsid w:val="00B44086"/>
    <w:rsid w:val="00B44324"/>
    <w:rsid w:val="00B45144"/>
    <w:rsid w:val="00B45328"/>
    <w:rsid w:val="00B465C3"/>
    <w:rsid w:val="00B47C6F"/>
    <w:rsid w:val="00B47C80"/>
    <w:rsid w:val="00B50CE8"/>
    <w:rsid w:val="00B5122A"/>
    <w:rsid w:val="00B55872"/>
    <w:rsid w:val="00B55BB2"/>
    <w:rsid w:val="00B60967"/>
    <w:rsid w:val="00B60D74"/>
    <w:rsid w:val="00B61ACC"/>
    <w:rsid w:val="00B61E0E"/>
    <w:rsid w:val="00B63290"/>
    <w:rsid w:val="00B634C9"/>
    <w:rsid w:val="00B637B7"/>
    <w:rsid w:val="00B63C3A"/>
    <w:rsid w:val="00B6545E"/>
    <w:rsid w:val="00B662A4"/>
    <w:rsid w:val="00B67AE2"/>
    <w:rsid w:val="00B704FA"/>
    <w:rsid w:val="00B7107D"/>
    <w:rsid w:val="00B71F7A"/>
    <w:rsid w:val="00B72FCD"/>
    <w:rsid w:val="00B73AAD"/>
    <w:rsid w:val="00B73DD4"/>
    <w:rsid w:val="00B741C4"/>
    <w:rsid w:val="00B7429F"/>
    <w:rsid w:val="00B747B8"/>
    <w:rsid w:val="00B74887"/>
    <w:rsid w:val="00B76106"/>
    <w:rsid w:val="00B76B1E"/>
    <w:rsid w:val="00B7728B"/>
    <w:rsid w:val="00B77AA0"/>
    <w:rsid w:val="00B836CD"/>
    <w:rsid w:val="00B838AD"/>
    <w:rsid w:val="00B83B7F"/>
    <w:rsid w:val="00B8761D"/>
    <w:rsid w:val="00B87E92"/>
    <w:rsid w:val="00B9050E"/>
    <w:rsid w:val="00B9290B"/>
    <w:rsid w:val="00B92F50"/>
    <w:rsid w:val="00B93EC5"/>
    <w:rsid w:val="00B95676"/>
    <w:rsid w:val="00B956D6"/>
    <w:rsid w:val="00B958F8"/>
    <w:rsid w:val="00B95C5E"/>
    <w:rsid w:val="00B95D27"/>
    <w:rsid w:val="00B96093"/>
    <w:rsid w:val="00BA2474"/>
    <w:rsid w:val="00BA35D9"/>
    <w:rsid w:val="00BA5882"/>
    <w:rsid w:val="00BA7E0C"/>
    <w:rsid w:val="00BB2A87"/>
    <w:rsid w:val="00BB4FF7"/>
    <w:rsid w:val="00BB627C"/>
    <w:rsid w:val="00BB63C2"/>
    <w:rsid w:val="00BB662A"/>
    <w:rsid w:val="00BC14B5"/>
    <w:rsid w:val="00BC1E3C"/>
    <w:rsid w:val="00BC3FA0"/>
    <w:rsid w:val="00BC44E8"/>
    <w:rsid w:val="00BC48E9"/>
    <w:rsid w:val="00BC6B87"/>
    <w:rsid w:val="00BC7376"/>
    <w:rsid w:val="00BC7EAE"/>
    <w:rsid w:val="00BD0465"/>
    <w:rsid w:val="00BD445C"/>
    <w:rsid w:val="00BD460C"/>
    <w:rsid w:val="00BD4EFC"/>
    <w:rsid w:val="00BD5776"/>
    <w:rsid w:val="00BD6259"/>
    <w:rsid w:val="00BD6419"/>
    <w:rsid w:val="00BE08D1"/>
    <w:rsid w:val="00BE0A01"/>
    <w:rsid w:val="00BE2B4C"/>
    <w:rsid w:val="00BE2E55"/>
    <w:rsid w:val="00BE4269"/>
    <w:rsid w:val="00BE4D04"/>
    <w:rsid w:val="00BE77B1"/>
    <w:rsid w:val="00BE79EF"/>
    <w:rsid w:val="00BE7C37"/>
    <w:rsid w:val="00BF039F"/>
    <w:rsid w:val="00BF10C9"/>
    <w:rsid w:val="00BF1939"/>
    <w:rsid w:val="00BF5D07"/>
    <w:rsid w:val="00BF626B"/>
    <w:rsid w:val="00BF7CBC"/>
    <w:rsid w:val="00C00FB8"/>
    <w:rsid w:val="00C02583"/>
    <w:rsid w:val="00C02A5A"/>
    <w:rsid w:val="00C02B75"/>
    <w:rsid w:val="00C02FD2"/>
    <w:rsid w:val="00C048CE"/>
    <w:rsid w:val="00C07711"/>
    <w:rsid w:val="00C108EF"/>
    <w:rsid w:val="00C10F22"/>
    <w:rsid w:val="00C124A2"/>
    <w:rsid w:val="00C12BDA"/>
    <w:rsid w:val="00C13339"/>
    <w:rsid w:val="00C136C4"/>
    <w:rsid w:val="00C16289"/>
    <w:rsid w:val="00C16D5E"/>
    <w:rsid w:val="00C16EA3"/>
    <w:rsid w:val="00C21173"/>
    <w:rsid w:val="00C239CA"/>
    <w:rsid w:val="00C2402A"/>
    <w:rsid w:val="00C25EB7"/>
    <w:rsid w:val="00C30643"/>
    <w:rsid w:val="00C312D1"/>
    <w:rsid w:val="00C31503"/>
    <w:rsid w:val="00C32371"/>
    <w:rsid w:val="00C33906"/>
    <w:rsid w:val="00C34164"/>
    <w:rsid w:val="00C35286"/>
    <w:rsid w:val="00C374E2"/>
    <w:rsid w:val="00C406D2"/>
    <w:rsid w:val="00C41AFA"/>
    <w:rsid w:val="00C44114"/>
    <w:rsid w:val="00C445FE"/>
    <w:rsid w:val="00C459FF"/>
    <w:rsid w:val="00C45FBD"/>
    <w:rsid w:val="00C467A3"/>
    <w:rsid w:val="00C47523"/>
    <w:rsid w:val="00C5194F"/>
    <w:rsid w:val="00C51C7E"/>
    <w:rsid w:val="00C51DA9"/>
    <w:rsid w:val="00C5298F"/>
    <w:rsid w:val="00C52B1E"/>
    <w:rsid w:val="00C53509"/>
    <w:rsid w:val="00C551D2"/>
    <w:rsid w:val="00C604F2"/>
    <w:rsid w:val="00C609E9"/>
    <w:rsid w:val="00C6139F"/>
    <w:rsid w:val="00C621CB"/>
    <w:rsid w:val="00C64CBD"/>
    <w:rsid w:val="00C670FF"/>
    <w:rsid w:val="00C704A4"/>
    <w:rsid w:val="00C71EC7"/>
    <w:rsid w:val="00C72F8B"/>
    <w:rsid w:val="00C74750"/>
    <w:rsid w:val="00C75036"/>
    <w:rsid w:val="00C7613E"/>
    <w:rsid w:val="00C76EDA"/>
    <w:rsid w:val="00C76EFD"/>
    <w:rsid w:val="00C83546"/>
    <w:rsid w:val="00C84C73"/>
    <w:rsid w:val="00C85B13"/>
    <w:rsid w:val="00C8659B"/>
    <w:rsid w:val="00C9679B"/>
    <w:rsid w:val="00CA03C0"/>
    <w:rsid w:val="00CA0F7E"/>
    <w:rsid w:val="00CA2838"/>
    <w:rsid w:val="00CA302E"/>
    <w:rsid w:val="00CB0DD6"/>
    <w:rsid w:val="00CB0EE2"/>
    <w:rsid w:val="00CB2A82"/>
    <w:rsid w:val="00CB31B1"/>
    <w:rsid w:val="00CB4511"/>
    <w:rsid w:val="00CB4F10"/>
    <w:rsid w:val="00CB68EA"/>
    <w:rsid w:val="00CB737B"/>
    <w:rsid w:val="00CC102D"/>
    <w:rsid w:val="00CC285C"/>
    <w:rsid w:val="00CC2C9B"/>
    <w:rsid w:val="00CC2F61"/>
    <w:rsid w:val="00CC46E0"/>
    <w:rsid w:val="00CC54B9"/>
    <w:rsid w:val="00CC7F41"/>
    <w:rsid w:val="00CD0698"/>
    <w:rsid w:val="00CD20AC"/>
    <w:rsid w:val="00CD3CF6"/>
    <w:rsid w:val="00CD3D8F"/>
    <w:rsid w:val="00CD4206"/>
    <w:rsid w:val="00CD493E"/>
    <w:rsid w:val="00CD7A75"/>
    <w:rsid w:val="00CD7DC2"/>
    <w:rsid w:val="00CE024F"/>
    <w:rsid w:val="00CE03C2"/>
    <w:rsid w:val="00CE1BB3"/>
    <w:rsid w:val="00CE1E68"/>
    <w:rsid w:val="00CE2640"/>
    <w:rsid w:val="00CE2CBE"/>
    <w:rsid w:val="00CE2E88"/>
    <w:rsid w:val="00CE464F"/>
    <w:rsid w:val="00CE6508"/>
    <w:rsid w:val="00CE7420"/>
    <w:rsid w:val="00CE773B"/>
    <w:rsid w:val="00CE7CDC"/>
    <w:rsid w:val="00CE7ECE"/>
    <w:rsid w:val="00CF0ACF"/>
    <w:rsid w:val="00CF0B43"/>
    <w:rsid w:val="00CF0CE5"/>
    <w:rsid w:val="00CF1F20"/>
    <w:rsid w:val="00CF2687"/>
    <w:rsid w:val="00CF2992"/>
    <w:rsid w:val="00CF2E24"/>
    <w:rsid w:val="00CF3453"/>
    <w:rsid w:val="00CF3C3B"/>
    <w:rsid w:val="00CF43A6"/>
    <w:rsid w:val="00CF5156"/>
    <w:rsid w:val="00CF5405"/>
    <w:rsid w:val="00CF56B1"/>
    <w:rsid w:val="00CF57C9"/>
    <w:rsid w:val="00CF5BCA"/>
    <w:rsid w:val="00CF6CB4"/>
    <w:rsid w:val="00CF6F2F"/>
    <w:rsid w:val="00CF755B"/>
    <w:rsid w:val="00D01249"/>
    <w:rsid w:val="00D01335"/>
    <w:rsid w:val="00D01B56"/>
    <w:rsid w:val="00D0297D"/>
    <w:rsid w:val="00D02C72"/>
    <w:rsid w:val="00D03327"/>
    <w:rsid w:val="00D043CD"/>
    <w:rsid w:val="00D07969"/>
    <w:rsid w:val="00D101D2"/>
    <w:rsid w:val="00D13BB7"/>
    <w:rsid w:val="00D13E9A"/>
    <w:rsid w:val="00D14D94"/>
    <w:rsid w:val="00D14FC2"/>
    <w:rsid w:val="00D15410"/>
    <w:rsid w:val="00D15442"/>
    <w:rsid w:val="00D15CD2"/>
    <w:rsid w:val="00D16FD7"/>
    <w:rsid w:val="00D21273"/>
    <w:rsid w:val="00D2129F"/>
    <w:rsid w:val="00D2417D"/>
    <w:rsid w:val="00D24545"/>
    <w:rsid w:val="00D24FA2"/>
    <w:rsid w:val="00D254DD"/>
    <w:rsid w:val="00D262D9"/>
    <w:rsid w:val="00D27097"/>
    <w:rsid w:val="00D2726F"/>
    <w:rsid w:val="00D2768D"/>
    <w:rsid w:val="00D307AD"/>
    <w:rsid w:val="00D312D1"/>
    <w:rsid w:val="00D31ABE"/>
    <w:rsid w:val="00D31B1D"/>
    <w:rsid w:val="00D34011"/>
    <w:rsid w:val="00D36712"/>
    <w:rsid w:val="00D37A5E"/>
    <w:rsid w:val="00D421C9"/>
    <w:rsid w:val="00D435DF"/>
    <w:rsid w:val="00D43672"/>
    <w:rsid w:val="00D4442D"/>
    <w:rsid w:val="00D46112"/>
    <w:rsid w:val="00D46767"/>
    <w:rsid w:val="00D479BD"/>
    <w:rsid w:val="00D50F61"/>
    <w:rsid w:val="00D51D83"/>
    <w:rsid w:val="00D51E2C"/>
    <w:rsid w:val="00D51F80"/>
    <w:rsid w:val="00D52072"/>
    <w:rsid w:val="00D52DB8"/>
    <w:rsid w:val="00D5307A"/>
    <w:rsid w:val="00D53D26"/>
    <w:rsid w:val="00D57955"/>
    <w:rsid w:val="00D60B6C"/>
    <w:rsid w:val="00D6129A"/>
    <w:rsid w:val="00D665D3"/>
    <w:rsid w:val="00D67355"/>
    <w:rsid w:val="00D6779D"/>
    <w:rsid w:val="00D70848"/>
    <w:rsid w:val="00D708CF"/>
    <w:rsid w:val="00D70B87"/>
    <w:rsid w:val="00D71B2F"/>
    <w:rsid w:val="00D72A7A"/>
    <w:rsid w:val="00D73157"/>
    <w:rsid w:val="00D74317"/>
    <w:rsid w:val="00D74608"/>
    <w:rsid w:val="00D752FC"/>
    <w:rsid w:val="00D753ED"/>
    <w:rsid w:val="00D77424"/>
    <w:rsid w:val="00D80F94"/>
    <w:rsid w:val="00D811D5"/>
    <w:rsid w:val="00D815DD"/>
    <w:rsid w:val="00D839CE"/>
    <w:rsid w:val="00D84AD5"/>
    <w:rsid w:val="00D856DA"/>
    <w:rsid w:val="00D87372"/>
    <w:rsid w:val="00D90CCD"/>
    <w:rsid w:val="00D9155F"/>
    <w:rsid w:val="00D915CE"/>
    <w:rsid w:val="00D92DDA"/>
    <w:rsid w:val="00D94F68"/>
    <w:rsid w:val="00DA0ED4"/>
    <w:rsid w:val="00DA25DF"/>
    <w:rsid w:val="00DA61C4"/>
    <w:rsid w:val="00DA631A"/>
    <w:rsid w:val="00DB15AA"/>
    <w:rsid w:val="00DB1668"/>
    <w:rsid w:val="00DB265F"/>
    <w:rsid w:val="00DB35C9"/>
    <w:rsid w:val="00DB373C"/>
    <w:rsid w:val="00DB423E"/>
    <w:rsid w:val="00DB541C"/>
    <w:rsid w:val="00DB5445"/>
    <w:rsid w:val="00DB5E4B"/>
    <w:rsid w:val="00DB6CD5"/>
    <w:rsid w:val="00DC02C6"/>
    <w:rsid w:val="00DC0798"/>
    <w:rsid w:val="00DC30C6"/>
    <w:rsid w:val="00DC6CB8"/>
    <w:rsid w:val="00DC70E7"/>
    <w:rsid w:val="00DC74D7"/>
    <w:rsid w:val="00DD05C9"/>
    <w:rsid w:val="00DD1233"/>
    <w:rsid w:val="00DD2555"/>
    <w:rsid w:val="00DD3755"/>
    <w:rsid w:val="00DD39CE"/>
    <w:rsid w:val="00DD4F48"/>
    <w:rsid w:val="00DD68A2"/>
    <w:rsid w:val="00DD7A2C"/>
    <w:rsid w:val="00DD7D58"/>
    <w:rsid w:val="00DE4388"/>
    <w:rsid w:val="00DE44A4"/>
    <w:rsid w:val="00DF01D8"/>
    <w:rsid w:val="00DF03D1"/>
    <w:rsid w:val="00DF1756"/>
    <w:rsid w:val="00DF1FD4"/>
    <w:rsid w:val="00DF3215"/>
    <w:rsid w:val="00DF3B4A"/>
    <w:rsid w:val="00DF3DD0"/>
    <w:rsid w:val="00DF432D"/>
    <w:rsid w:val="00DF4C3D"/>
    <w:rsid w:val="00E018A7"/>
    <w:rsid w:val="00E01EE9"/>
    <w:rsid w:val="00E0298D"/>
    <w:rsid w:val="00E029D5"/>
    <w:rsid w:val="00E039EA"/>
    <w:rsid w:val="00E03A57"/>
    <w:rsid w:val="00E04162"/>
    <w:rsid w:val="00E0453B"/>
    <w:rsid w:val="00E04D92"/>
    <w:rsid w:val="00E05589"/>
    <w:rsid w:val="00E06495"/>
    <w:rsid w:val="00E066FC"/>
    <w:rsid w:val="00E06D6B"/>
    <w:rsid w:val="00E06D93"/>
    <w:rsid w:val="00E072A6"/>
    <w:rsid w:val="00E101D4"/>
    <w:rsid w:val="00E11580"/>
    <w:rsid w:val="00E11CB5"/>
    <w:rsid w:val="00E1257E"/>
    <w:rsid w:val="00E129E1"/>
    <w:rsid w:val="00E13FDE"/>
    <w:rsid w:val="00E165C4"/>
    <w:rsid w:val="00E20424"/>
    <w:rsid w:val="00E20A20"/>
    <w:rsid w:val="00E21AB0"/>
    <w:rsid w:val="00E237E8"/>
    <w:rsid w:val="00E23A5C"/>
    <w:rsid w:val="00E2632C"/>
    <w:rsid w:val="00E264E4"/>
    <w:rsid w:val="00E26828"/>
    <w:rsid w:val="00E30A62"/>
    <w:rsid w:val="00E30AB4"/>
    <w:rsid w:val="00E310CA"/>
    <w:rsid w:val="00E31D7D"/>
    <w:rsid w:val="00E31E62"/>
    <w:rsid w:val="00E34A47"/>
    <w:rsid w:val="00E3512D"/>
    <w:rsid w:val="00E35500"/>
    <w:rsid w:val="00E35520"/>
    <w:rsid w:val="00E36857"/>
    <w:rsid w:val="00E3690E"/>
    <w:rsid w:val="00E36B6F"/>
    <w:rsid w:val="00E37052"/>
    <w:rsid w:val="00E40BA5"/>
    <w:rsid w:val="00E40DE8"/>
    <w:rsid w:val="00E410F0"/>
    <w:rsid w:val="00E41413"/>
    <w:rsid w:val="00E42C7E"/>
    <w:rsid w:val="00E435FE"/>
    <w:rsid w:val="00E43CC0"/>
    <w:rsid w:val="00E43D3D"/>
    <w:rsid w:val="00E446DC"/>
    <w:rsid w:val="00E4546F"/>
    <w:rsid w:val="00E457FC"/>
    <w:rsid w:val="00E45CD5"/>
    <w:rsid w:val="00E46F61"/>
    <w:rsid w:val="00E47142"/>
    <w:rsid w:val="00E52456"/>
    <w:rsid w:val="00E5256C"/>
    <w:rsid w:val="00E528A0"/>
    <w:rsid w:val="00E52ACD"/>
    <w:rsid w:val="00E53461"/>
    <w:rsid w:val="00E53E58"/>
    <w:rsid w:val="00E54DDF"/>
    <w:rsid w:val="00E55BB1"/>
    <w:rsid w:val="00E60BA2"/>
    <w:rsid w:val="00E6100B"/>
    <w:rsid w:val="00E6258D"/>
    <w:rsid w:val="00E62E19"/>
    <w:rsid w:val="00E63E25"/>
    <w:rsid w:val="00E63F31"/>
    <w:rsid w:val="00E6487F"/>
    <w:rsid w:val="00E64948"/>
    <w:rsid w:val="00E6587A"/>
    <w:rsid w:val="00E65F01"/>
    <w:rsid w:val="00E660F9"/>
    <w:rsid w:val="00E66897"/>
    <w:rsid w:val="00E66ABA"/>
    <w:rsid w:val="00E66C0D"/>
    <w:rsid w:val="00E66C19"/>
    <w:rsid w:val="00E71208"/>
    <w:rsid w:val="00E71353"/>
    <w:rsid w:val="00E725A0"/>
    <w:rsid w:val="00E73399"/>
    <w:rsid w:val="00E745EA"/>
    <w:rsid w:val="00E749AA"/>
    <w:rsid w:val="00E75AEA"/>
    <w:rsid w:val="00E76FAB"/>
    <w:rsid w:val="00E77058"/>
    <w:rsid w:val="00E77B32"/>
    <w:rsid w:val="00E80CAE"/>
    <w:rsid w:val="00E812F8"/>
    <w:rsid w:val="00E8179F"/>
    <w:rsid w:val="00E825A5"/>
    <w:rsid w:val="00E82873"/>
    <w:rsid w:val="00E83451"/>
    <w:rsid w:val="00E8444B"/>
    <w:rsid w:val="00E849B2"/>
    <w:rsid w:val="00E84B43"/>
    <w:rsid w:val="00E85F88"/>
    <w:rsid w:val="00E8750E"/>
    <w:rsid w:val="00E91870"/>
    <w:rsid w:val="00E92B1D"/>
    <w:rsid w:val="00E92B2E"/>
    <w:rsid w:val="00E97ED2"/>
    <w:rsid w:val="00EA0505"/>
    <w:rsid w:val="00EA1E86"/>
    <w:rsid w:val="00EA392F"/>
    <w:rsid w:val="00EA3F2A"/>
    <w:rsid w:val="00EA4618"/>
    <w:rsid w:val="00EA51B0"/>
    <w:rsid w:val="00EA58E0"/>
    <w:rsid w:val="00EA5C4E"/>
    <w:rsid w:val="00EA5E14"/>
    <w:rsid w:val="00EA6B47"/>
    <w:rsid w:val="00EA7B55"/>
    <w:rsid w:val="00EB09CD"/>
    <w:rsid w:val="00EB14EB"/>
    <w:rsid w:val="00EB1793"/>
    <w:rsid w:val="00EB2197"/>
    <w:rsid w:val="00EB3691"/>
    <w:rsid w:val="00EB4668"/>
    <w:rsid w:val="00EB48C0"/>
    <w:rsid w:val="00EB53CA"/>
    <w:rsid w:val="00EB5EC0"/>
    <w:rsid w:val="00EB7565"/>
    <w:rsid w:val="00EC1253"/>
    <w:rsid w:val="00EC16F8"/>
    <w:rsid w:val="00EC3C92"/>
    <w:rsid w:val="00EC4609"/>
    <w:rsid w:val="00EC4905"/>
    <w:rsid w:val="00EC5170"/>
    <w:rsid w:val="00EC6418"/>
    <w:rsid w:val="00EC77F1"/>
    <w:rsid w:val="00ED0D4F"/>
    <w:rsid w:val="00ED1DE7"/>
    <w:rsid w:val="00ED5122"/>
    <w:rsid w:val="00ED5F6D"/>
    <w:rsid w:val="00ED70C0"/>
    <w:rsid w:val="00EE0027"/>
    <w:rsid w:val="00EE00F1"/>
    <w:rsid w:val="00EE02CF"/>
    <w:rsid w:val="00EE09E4"/>
    <w:rsid w:val="00EE2051"/>
    <w:rsid w:val="00EE256D"/>
    <w:rsid w:val="00EE2763"/>
    <w:rsid w:val="00EE3203"/>
    <w:rsid w:val="00EE3A15"/>
    <w:rsid w:val="00EE446C"/>
    <w:rsid w:val="00EE65A1"/>
    <w:rsid w:val="00EE6D09"/>
    <w:rsid w:val="00EE6F1A"/>
    <w:rsid w:val="00EE77B4"/>
    <w:rsid w:val="00EF1D8C"/>
    <w:rsid w:val="00EF1E29"/>
    <w:rsid w:val="00EF2CA6"/>
    <w:rsid w:val="00EF5678"/>
    <w:rsid w:val="00EF5A47"/>
    <w:rsid w:val="00EF71FA"/>
    <w:rsid w:val="00EF7D19"/>
    <w:rsid w:val="00F007BB"/>
    <w:rsid w:val="00F0092A"/>
    <w:rsid w:val="00F03D02"/>
    <w:rsid w:val="00F04059"/>
    <w:rsid w:val="00F049B6"/>
    <w:rsid w:val="00F04CA6"/>
    <w:rsid w:val="00F04DA9"/>
    <w:rsid w:val="00F05383"/>
    <w:rsid w:val="00F05397"/>
    <w:rsid w:val="00F071D7"/>
    <w:rsid w:val="00F0795C"/>
    <w:rsid w:val="00F10485"/>
    <w:rsid w:val="00F11450"/>
    <w:rsid w:val="00F1193E"/>
    <w:rsid w:val="00F12D3D"/>
    <w:rsid w:val="00F140D0"/>
    <w:rsid w:val="00F15609"/>
    <w:rsid w:val="00F17BAC"/>
    <w:rsid w:val="00F20B60"/>
    <w:rsid w:val="00F20F66"/>
    <w:rsid w:val="00F224AB"/>
    <w:rsid w:val="00F233AC"/>
    <w:rsid w:val="00F243A8"/>
    <w:rsid w:val="00F249C5"/>
    <w:rsid w:val="00F255F3"/>
    <w:rsid w:val="00F25734"/>
    <w:rsid w:val="00F257F9"/>
    <w:rsid w:val="00F319BD"/>
    <w:rsid w:val="00F324FF"/>
    <w:rsid w:val="00F32568"/>
    <w:rsid w:val="00F330E7"/>
    <w:rsid w:val="00F33493"/>
    <w:rsid w:val="00F36BBB"/>
    <w:rsid w:val="00F42509"/>
    <w:rsid w:val="00F461DF"/>
    <w:rsid w:val="00F46B9C"/>
    <w:rsid w:val="00F4725A"/>
    <w:rsid w:val="00F52DEE"/>
    <w:rsid w:val="00F52E0A"/>
    <w:rsid w:val="00F54378"/>
    <w:rsid w:val="00F54F19"/>
    <w:rsid w:val="00F5618A"/>
    <w:rsid w:val="00F5791B"/>
    <w:rsid w:val="00F57E16"/>
    <w:rsid w:val="00F61F0D"/>
    <w:rsid w:val="00F63186"/>
    <w:rsid w:val="00F63524"/>
    <w:rsid w:val="00F6482E"/>
    <w:rsid w:val="00F653C5"/>
    <w:rsid w:val="00F65A62"/>
    <w:rsid w:val="00F66CBB"/>
    <w:rsid w:val="00F67F5F"/>
    <w:rsid w:val="00F71835"/>
    <w:rsid w:val="00F71D7D"/>
    <w:rsid w:val="00F732A5"/>
    <w:rsid w:val="00F733C3"/>
    <w:rsid w:val="00F740A9"/>
    <w:rsid w:val="00F765A1"/>
    <w:rsid w:val="00F778CD"/>
    <w:rsid w:val="00F81F88"/>
    <w:rsid w:val="00F84879"/>
    <w:rsid w:val="00F84B70"/>
    <w:rsid w:val="00F908B2"/>
    <w:rsid w:val="00F91DC0"/>
    <w:rsid w:val="00F9252F"/>
    <w:rsid w:val="00F947CE"/>
    <w:rsid w:val="00F94C17"/>
    <w:rsid w:val="00F962FE"/>
    <w:rsid w:val="00F96FE7"/>
    <w:rsid w:val="00FA0187"/>
    <w:rsid w:val="00FA2A1B"/>
    <w:rsid w:val="00FA2FD4"/>
    <w:rsid w:val="00FA31A5"/>
    <w:rsid w:val="00FA3705"/>
    <w:rsid w:val="00FA5F44"/>
    <w:rsid w:val="00FA7E2B"/>
    <w:rsid w:val="00FB175E"/>
    <w:rsid w:val="00FB1B90"/>
    <w:rsid w:val="00FB2A31"/>
    <w:rsid w:val="00FB4FFA"/>
    <w:rsid w:val="00FB6145"/>
    <w:rsid w:val="00FB6146"/>
    <w:rsid w:val="00FB6682"/>
    <w:rsid w:val="00FB6B3B"/>
    <w:rsid w:val="00FC045F"/>
    <w:rsid w:val="00FC121D"/>
    <w:rsid w:val="00FC3874"/>
    <w:rsid w:val="00FC3BAC"/>
    <w:rsid w:val="00FC4730"/>
    <w:rsid w:val="00FC4977"/>
    <w:rsid w:val="00FC60CE"/>
    <w:rsid w:val="00FC6246"/>
    <w:rsid w:val="00FC63AC"/>
    <w:rsid w:val="00FC6DA6"/>
    <w:rsid w:val="00FC722D"/>
    <w:rsid w:val="00FC7275"/>
    <w:rsid w:val="00FC732A"/>
    <w:rsid w:val="00FC784D"/>
    <w:rsid w:val="00FD12B8"/>
    <w:rsid w:val="00FD172A"/>
    <w:rsid w:val="00FD38B5"/>
    <w:rsid w:val="00FD4958"/>
    <w:rsid w:val="00FD56A4"/>
    <w:rsid w:val="00FD6B63"/>
    <w:rsid w:val="00FD6BF9"/>
    <w:rsid w:val="00FD701E"/>
    <w:rsid w:val="00FE106C"/>
    <w:rsid w:val="00FE347A"/>
    <w:rsid w:val="00FE6D58"/>
    <w:rsid w:val="00FE7DE5"/>
    <w:rsid w:val="00FE7F9E"/>
    <w:rsid w:val="00FF270B"/>
    <w:rsid w:val="00FF3202"/>
    <w:rsid w:val="00FF3E0C"/>
    <w:rsid w:val="00FF40F0"/>
    <w:rsid w:val="00FF5A32"/>
    <w:rsid w:val="00FF5D02"/>
    <w:rsid w:val="00FF71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6E310F"/>
  <w15:docId w15:val="{55305370-236D-3044-AF16-865A54A81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777"/>
    <w:pPr>
      <w:spacing w:after="200" w:line="276" w:lineRule="auto"/>
    </w:pPr>
    <w:rPr>
      <w:rFonts w:ascii="Calibri" w:eastAsia="Times New Roman" w:hAnsi="Calibri" w:cs="Times New Roman"/>
      <w:lang w:eastAsia="en-GB"/>
    </w:rPr>
  </w:style>
  <w:style w:type="paragraph" w:styleId="Heading1">
    <w:name w:val="heading 1"/>
    <w:basedOn w:val="Normal"/>
    <w:link w:val="Heading1Char"/>
    <w:uiPriority w:val="9"/>
    <w:qFormat/>
    <w:rsid w:val="00514B10"/>
    <w:pPr>
      <w:spacing w:before="100" w:beforeAutospacing="1" w:after="100" w:afterAutospacing="1" w:line="240" w:lineRule="auto"/>
      <w:outlineLvl w:val="0"/>
    </w:pPr>
    <w:rPr>
      <w:rFonts w:ascii="Times New Roman" w:hAnsi="Times New Roman"/>
      <w:b/>
      <w:bCs/>
      <w:kern w:val="36"/>
      <w:sz w:val="48"/>
      <w:szCs w:val="48"/>
      <w:lang w:eastAsia="zh-CN"/>
    </w:rPr>
  </w:style>
  <w:style w:type="paragraph" w:styleId="Heading2">
    <w:name w:val="heading 2"/>
    <w:basedOn w:val="Normal"/>
    <w:next w:val="Normal"/>
    <w:link w:val="Heading2Char"/>
    <w:uiPriority w:val="9"/>
    <w:semiHidden/>
    <w:unhideWhenUsed/>
    <w:qFormat/>
    <w:rsid w:val="00CE65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E00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00F1"/>
    <w:rPr>
      <w:rFonts w:ascii="Calibri" w:eastAsia="Times New Roman" w:hAnsi="Calibri" w:cs="Times New Roman"/>
      <w:sz w:val="20"/>
      <w:szCs w:val="20"/>
      <w:lang w:eastAsia="en-GB"/>
    </w:rPr>
  </w:style>
  <w:style w:type="character" w:styleId="FootnoteReference">
    <w:name w:val="footnote reference"/>
    <w:basedOn w:val="DefaultParagraphFont"/>
    <w:uiPriority w:val="99"/>
    <w:semiHidden/>
    <w:unhideWhenUsed/>
    <w:rsid w:val="00EE00F1"/>
    <w:rPr>
      <w:vertAlign w:val="superscript"/>
    </w:rPr>
  </w:style>
  <w:style w:type="character" w:styleId="Hyperlink">
    <w:name w:val="Hyperlink"/>
    <w:basedOn w:val="DefaultParagraphFont"/>
    <w:uiPriority w:val="99"/>
    <w:unhideWhenUsed/>
    <w:rsid w:val="004D6DA4"/>
    <w:rPr>
      <w:color w:val="0563C1" w:themeColor="hyperlink"/>
      <w:u w:val="single"/>
    </w:rPr>
  </w:style>
  <w:style w:type="character" w:styleId="FollowedHyperlink">
    <w:name w:val="FollowedHyperlink"/>
    <w:basedOn w:val="DefaultParagraphFont"/>
    <w:uiPriority w:val="99"/>
    <w:semiHidden/>
    <w:unhideWhenUsed/>
    <w:rsid w:val="00C71EC7"/>
    <w:rPr>
      <w:color w:val="954F72" w:themeColor="followedHyperlink"/>
      <w:u w:val="single"/>
    </w:rPr>
  </w:style>
  <w:style w:type="paragraph" w:styleId="ListParagraph">
    <w:name w:val="List Paragraph"/>
    <w:basedOn w:val="Normal"/>
    <w:uiPriority w:val="34"/>
    <w:qFormat/>
    <w:rsid w:val="00C71EC7"/>
    <w:pPr>
      <w:ind w:left="720"/>
      <w:contextualSpacing/>
    </w:pPr>
  </w:style>
  <w:style w:type="paragraph" w:styleId="NormalWeb">
    <w:name w:val="Normal (Web)"/>
    <w:basedOn w:val="Normal"/>
    <w:uiPriority w:val="99"/>
    <w:unhideWhenUsed/>
    <w:rsid w:val="008604A3"/>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uiPriority w:val="99"/>
    <w:semiHidden/>
    <w:unhideWhenUsed/>
    <w:rsid w:val="006D7D5C"/>
    <w:rPr>
      <w:sz w:val="16"/>
      <w:szCs w:val="16"/>
    </w:rPr>
  </w:style>
  <w:style w:type="paragraph" w:styleId="CommentText">
    <w:name w:val="annotation text"/>
    <w:basedOn w:val="Normal"/>
    <w:link w:val="CommentTextChar"/>
    <w:uiPriority w:val="99"/>
    <w:unhideWhenUsed/>
    <w:rsid w:val="006D7D5C"/>
    <w:pPr>
      <w:spacing w:line="240" w:lineRule="auto"/>
    </w:pPr>
    <w:rPr>
      <w:sz w:val="20"/>
      <w:szCs w:val="20"/>
    </w:rPr>
  </w:style>
  <w:style w:type="character" w:customStyle="1" w:styleId="CommentTextChar">
    <w:name w:val="Comment Text Char"/>
    <w:basedOn w:val="DefaultParagraphFont"/>
    <w:link w:val="CommentText"/>
    <w:uiPriority w:val="99"/>
    <w:rsid w:val="006D7D5C"/>
    <w:rPr>
      <w:rFonts w:ascii="Calibri" w:eastAsia="Times New Roman" w:hAnsi="Calibri" w:cs="Times New Roman"/>
      <w:sz w:val="20"/>
      <w:szCs w:val="20"/>
      <w:lang w:eastAsia="en-GB"/>
    </w:rPr>
  </w:style>
  <w:style w:type="paragraph" w:styleId="BalloonText">
    <w:name w:val="Balloon Text"/>
    <w:basedOn w:val="Normal"/>
    <w:link w:val="BalloonTextChar"/>
    <w:uiPriority w:val="99"/>
    <w:semiHidden/>
    <w:unhideWhenUsed/>
    <w:rsid w:val="006D7D5C"/>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D7D5C"/>
    <w:rPr>
      <w:rFonts w:ascii="Times New Roman" w:eastAsia="Times New Roman" w:hAnsi="Times New Roman" w:cs="Times New Roman"/>
      <w:sz w:val="18"/>
      <w:szCs w:val="18"/>
      <w:lang w:eastAsia="en-GB"/>
    </w:rPr>
  </w:style>
  <w:style w:type="paragraph" w:styleId="CommentSubject">
    <w:name w:val="annotation subject"/>
    <w:basedOn w:val="CommentText"/>
    <w:next w:val="CommentText"/>
    <w:link w:val="CommentSubjectChar"/>
    <w:uiPriority w:val="99"/>
    <w:semiHidden/>
    <w:unhideWhenUsed/>
    <w:rsid w:val="006D7D5C"/>
    <w:rPr>
      <w:b/>
      <w:bCs/>
    </w:rPr>
  </w:style>
  <w:style w:type="character" w:customStyle="1" w:styleId="CommentSubjectChar">
    <w:name w:val="Comment Subject Char"/>
    <w:basedOn w:val="CommentTextChar"/>
    <w:link w:val="CommentSubject"/>
    <w:uiPriority w:val="99"/>
    <w:semiHidden/>
    <w:rsid w:val="006D7D5C"/>
    <w:rPr>
      <w:rFonts w:ascii="Calibri" w:eastAsia="Times New Roman" w:hAnsi="Calibri" w:cs="Times New Roman"/>
      <w:b/>
      <w:bCs/>
      <w:sz w:val="20"/>
      <w:szCs w:val="20"/>
      <w:lang w:eastAsia="en-GB"/>
    </w:rPr>
  </w:style>
  <w:style w:type="paragraph" w:styleId="EndnoteText">
    <w:name w:val="endnote text"/>
    <w:basedOn w:val="Normal"/>
    <w:link w:val="EndnoteTextChar"/>
    <w:uiPriority w:val="99"/>
    <w:unhideWhenUsed/>
    <w:rsid w:val="00B44086"/>
    <w:pPr>
      <w:spacing w:after="0" w:line="240" w:lineRule="auto"/>
    </w:pPr>
    <w:rPr>
      <w:sz w:val="20"/>
      <w:szCs w:val="20"/>
    </w:rPr>
  </w:style>
  <w:style w:type="character" w:customStyle="1" w:styleId="EndnoteTextChar">
    <w:name w:val="Endnote Text Char"/>
    <w:basedOn w:val="DefaultParagraphFont"/>
    <w:link w:val="EndnoteText"/>
    <w:uiPriority w:val="99"/>
    <w:rsid w:val="00B44086"/>
    <w:rPr>
      <w:rFonts w:ascii="Calibri" w:eastAsia="Times New Roman" w:hAnsi="Calibri" w:cs="Times New Roman"/>
      <w:sz w:val="20"/>
      <w:szCs w:val="20"/>
      <w:lang w:eastAsia="en-GB"/>
    </w:rPr>
  </w:style>
  <w:style w:type="character" w:styleId="EndnoteReference">
    <w:name w:val="endnote reference"/>
    <w:basedOn w:val="DefaultParagraphFont"/>
    <w:uiPriority w:val="99"/>
    <w:semiHidden/>
    <w:unhideWhenUsed/>
    <w:rsid w:val="00B44086"/>
    <w:rPr>
      <w:vertAlign w:val="superscript"/>
    </w:rPr>
  </w:style>
  <w:style w:type="table" w:styleId="TableGrid">
    <w:name w:val="Table Grid"/>
    <w:basedOn w:val="TableNormal"/>
    <w:uiPriority w:val="39"/>
    <w:rsid w:val="00944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0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0E7"/>
    <w:rPr>
      <w:rFonts w:ascii="Calibri" w:eastAsia="Times New Roman" w:hAnsi="Calibri" w:cs="Times New Roman"/>
      <w:lang w:eastAsia="en-GB"/>
    </w:rPr>
  </w:style>
  <w:style w:type="paragraph" w:styleId="Footer">
    <w:name w:val="footer"/>
    <w:basedOn w:val="Normal"/>
    <w:link w:val="FooterChar"/>
    <w:uiPriority w:val="99"/>
    <w:unhideWhenUsed/>
    <w:rsid w:val="000D50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0E7"/>
    <w:rPr>
      <w:rFonts w:ascii="Calibri" w:eastAsia="Times New Roman" w:hAnsi="Calibri" w:cs="Times New Roman"/>
      <w:lang w:eastAsia="en-GB"/>
    </w:rPr>
  </w:style>
  <w:style w:type="character" w:customStyle="1" w:styleId="highlight">
    <w:name w:val="highlight"/>
    <w:basedOn w:val="DefaultParagraphFont"/>
    <w:rsid w:val="00BC7EAE"/>
  </w:style>
  <w:style w:type="paragraph" w:styleId="Revision">
    <w:name w:val="Revision"/>
    <w:hidden/>
    <w:uiPriority w:val="99"/>
    <w:semiHidden/>
    <w:rsid w:val="00E8179F"/>
    <w:pPr>
      <w:spacing w:after="0" w:line="240" w:lineRule="auto"/>
    </w:pPr>
    <w:rPr>
      <w:rFonts w:ascii="Calibri" w:eastAsia="Times New Roman" w:hAnsi="Calibri" w:cs="Times New Roman"/>
      <w:lang w:eastAsia="en-GB"/>
    </w:rPr>
  </w:style>
  <w:style w:type="character" w:styleId="LineNumber">
    <w:name w:val="line number"/>
    <w:basedOn w:val="DefaultParagraphFont"/>
    <w:uiPriority w:val="99"/>
    <w:semiHidden/>
    <w:unhideWhenUsed/>
    <w:rsid w:val="00B704FA"/>
  </w:style>
  <w:style w:type="character" w:styleId="PageNumber">
    <w:name w:val="page number"/>
    <w:basedOn w:val="DefaultParagraphFont"/>
    <w:uiPriority w:val="99"/>
    <w:semiHidden/>
    <w:unhideWhenUsed/>
    <w:rsid w:val="005158A7"/>
  </w:style>
  <w:style w:type="character" w:styleId="UnresolvedMention">
    <w:name w:val="Unresolved Mention"/>
    <w:basedOn w:val="DefaultParagraphFont"/>
    <w:uiPriority w:val="99"/>
    <w:semiHidden/>
    <w:unhideWhenUsed/>
    <w:rsid w:val="003423F2"/>
    <w:rPr>
      <w:color w:val="605E5C"/>
      <w:shd w:val="clear" w:color="auto" w:fill="E1DFDD"/>
    </w:rPr>
  </w:style>
  <w:style w:type="character" w:customStyle="1" w:styleId="Heading1Char">
    <w:name w:val="Heading 1 Char"/>
    <w:basedOn w:val="DefaultParagraphFont"/>
    <w:link w:val="Heading1"/>
    <w:uiPriority w:val="9"/>
    <w:rsid w:val="00514B10"/>
    <w:rPr>
      <w:rFonts w:ascii="Times New Roman" w:eastAsia="Times New Roman" w:hAnsi="Times New Roman" w:cs="Times New Roman"/>
      <w:b/>
      <w:bCs/>
      <w:kern w:val="36"/>
      <w:sz w:val="48"/>
      <w:szCs w:val="48"/>
      <w:lang w:eastAsia="zh-CN"/>
    </w:rPr>
  </w:style>
  <w:style w:type="character" w:customStyle="1" w:styleId="Heading2Char">
    <w:name w:val="Heading 2 Char"/>
    <w:basedOn w:val="DefaultParagraphFont"/>
    <w:link w:val="Heading2"/>
    <w:uiPriority w:val="9"/>
    <w:semiHidden/>
    <w:rsid w:val="00CE6508"/>
    <w:rPr>
      <w:rFonts w:asciiTheme="majorHAnsi" w:eastAsiaTheme="majorEastAsia" w:hAnsiTheme="majorHAnsi" w:cstheme="majorBidi"/>
      <w:color w:val="2E74B5"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26157">
      <w:bodyDiv w:val="1"/>
      <w:marLeft w:val="0"/>
      <w:marRight w:val="0"/>
      <w:marTop w:val="0"/>
      <w:marBottom w:val="0"/>
      <w:divBdr>
        <w:top w:val="none" w:sz="0" w:space="0" w:color="auto"/>
        <w:left w:val="none" w:sz="0" w:space="0" w:color="auto"/>
        <w:bottom w:val="none" w:sz="0" w:space="0" w:color="auto"/>
        <w:right w:val="none" w:sz="0" w:space="0" w:color="auto"/>
      </w:divBdr>
    </w:div>
    <w:div w:id="105121025">
      <w:bodyDiv w:val="1"/>
      <w:marLeft w:val="0"/>
      <w:marRight w:val="0"/>
      <w:marTop w:val="0"/>
      <w:marBottom w:val="0"/>
      <w:divBdr>
        <w:top w:val="none" w:sz="0" w:space="0" w:color="auto"/>
        <w:left w:val="none" w:sz="0" w:space="0" w:color="auto"/>
        <w:bottom w:val="none" w:sz="0" w:space="0" w:color="auto"/>
        <w:right w:val="none" w:sz="0" w:space="0" w:color="auto"/>
      </w:divBdr>
    </w:div>
    <w:div w:id="147942185">
      <w:bodyDiv w:val="1"/>
      <w:marLeft w:val="0"/>
      <w:marRight w:val="0"/>
      <w:marTop w:val="0"/>
      <w:marBottom w:val="0"/>
      <w:divBdr>
        <w:top w:val="none" w:sz="0" w:space="0" w:color="auto"/>
        <w:left w:val="none" w:sz="0" w:space="0" w:color="auto"/>
        <w:bottom w:val="none" w:sz="0" w:space="0" w:color="auto"/>
        <w:right w:val="none" w:sz="0" w:space="0" w:color="auto"/>
      </w:divBdr>
    </w:div>
    <w:div w:id="302126671">
      <w:bodyDiv w:val="1"/>
      <w:marLeft w:val="0"/>
      <w:marRight w:val="0"/>
      <w:marTop w:val="0"/>
      <w:marBottom w:val="0"/>
      <w:divBdr>
        <w:top w:val="none" w:sz="0" w:space="0" w:color="auto"/>
        <w:left w:val="none" w:sz="0" w:space="0" w:color="auto"/>
        <w:bottom w:val="none" w:sz="0" w:space="0" w:color="auto"/>
        <w:right w:val="none" w:sz="0" w:space="0" w:color="auto"/>
      </w:divBdr>
    </w:div>
    <w:div w:id="353850038">
      <w:bodyDiv w:val="1"/>
      <w:marLeft w:val="0"/>
      <w:marRight w:val="0"/>
      <w:marTop w:val="0"/>
      <w:marBottom w:val="0"/>
      <w:divBdr>
        <w:top w:val="none" w:sz="0" w:space="0" w:color="auto"/>
        <w:left w:val="none" w:sz="0" w:space="0" w:color="auto"/>
        <w:bottom w:val="none" w:sz="0" w:space="0" w:color="auto"/>
        <w:right w:val="none" w:sz="0" w:space="0" w:color="auto"/>
      </w:divBdr>
    </w:div>
    <w:div w:id="367414075">
      <w:bodyDiv w:val="1"/>
      <w:marLeft w:val="0"/>
      <w:marRight w:val="0"/>
      <w:marTop w:val="0"/>
      <w:marBottom w:val="0"/>
      <w:divBdr>
        <w:top w:val="none" w:sz="0" w:space="0" w:color="auto"/>
        <w:left w:val="none" w:sz="0" w:space="0" w:color="auto"/>
        <w:bottom w:val="none" w:sz="0" w:space="0" w:color="auto"/>
        <w:right w:val="none" w:sz="0" w:space="0" w:color="auto"/>
      </w:divBdr>
    </w:div>
    <w:div w:id="451556146">
      <w:bodyDiv w:val="1"/>
      <w:marLeft w:val="0"/>
      <w:marRight w:val="0"/>
      <w:marTop w:val="0"/>
      <w:marBottom w:val="0"/>
      <w:divBdr>
        <w:top w:val="none" w:sz="0" w:space="0" w:color="auto"/>
        <w:left w:val="none" w:sz="0" w:space="0" w:color="auto"/>
        <w:bottom w:val="none" w:sz="0" w:space="0" w:color="auto"/>
        <w:right w:val="none" w:sz="0" w:space="0" w:color="auto"/>
      </w:divBdr>
    </w:div>
    <w:div w:id="456146204">
      <w:bodyDiv w:val="1"/>
      <w:marLeft w:val="0"/>
      <w:marRight w:val="0"/>
      <w:marTop w:val="0"/>
      <w:marBottom w:val="0"/>
      <w:divBdr>
        <w:top w:val="none" w:sz="0" w:space="0" w:color="auto"/>
        <w:left w:val="none" w:sz="0" w:space="0" w:color="auto"/>
        <w:bottom w:val="none" w:sz="0" w:space="0" w:color="auto"/>
        <w:right w:val="none" w:sz="0" w:space="0" w:color="auto"/>
      </w:divBdr>
    </w:div>
    <w:div w:id="520625506">
      <w:bodyDiv w:val="1"/>
      <w:marLeft w:val="0"/>
      <w:marRight w:val="0"/>
      <w:marTop w:val="0"/>
      <w:marBottom w:val="0"/>
      <w:divBdr>
        <w:top w:val="none" w:sz="0" w:space="0" w:color="auto"/>
        <w:left w:val="none" w:sz="0" w:space="0" w:color="auto"/>
        <w:bottom w:val="none" w:sz="0" w:space="0" w:color="auto"/>
        <w:right w:val="none" w:sz="0" w:space="0" w:color="auto"/>
      </w:divBdr>
    </w:div>
    <w:div w:id="543714753">
      <w:bodyDiv w:val="1"/>
      <w:marLeft w:val="0"/>
      <w:marRight w:val="0"/>
      <w:marTop w:val="0"/>
      <w:marBottom w:val="0"/>
      <w:divBdr>
        <w:top w:val="none" w:sz="0" w:space="0" w:color="auto"/>
        <w:left w:val="none" w:sz="0" w:space="0" w:color="auto"/>
        <w:bottom w:val="none" w:sz="0" w:space="0" w:color="auto"/>
        <w:right w:val="none" w:sz="0" w:space="0" w:color="auto"/>
      </w:divBdr>
    </w:div>
    <w:div w:id="563683551">
      <w:bodyDiv w:val="1"/>
      <w:marLeft w:val="0"/>
      <w:marRight w:val="0"/>
      <w:marTop w:val="0"/>
      <w:marBottom w:val="0"/>
      <w:divBdr>
        <w:top w:val="none" w:sz="0" w:space="0" w:color="auto"/>
        <w:left w:val="none" w:sz="0" w:space="0" w:color="auto"/>
        <w:bottom w:val="none" w:sz="0" w:space="0" w:color="auto"/>
        <w:right w:val="none" w:sz="0" w:space="0" w:color="auto"/>
      </w:divBdr>
    </w:div>
    <w:div w:id="568615155">
      <w:bodyDiv w:val="1"/>
      <w:marLeft w:val="0"/>
      <w:marRight w:val="0"/>
      <w:marTop w:val="0"/>
      <w:marBottom w:val="0"/>
      <w:divBdr>
        <w:top w:val="none" w:sz="0" w:space="0" w:color="auto"/>
        <w:left w:val="none" w:sz="0" w:space="0" w:color="auto"/>
        <w:bottom w:val="none" w:sz="0" w:space="0" w:color="auto"/>
        <w:right w:val="none" w:sz="0" w:space="0" w:color="auto"/>
      </w:divBdr>
    </w:div>
    <w:div w:id="615527878">
      <w:bodyDiv w:val="1"/>
      <w:marLeft w:val="0"/>
      <w:marRight w:val="0"/>
      <w:marTop w:val="0"/>
      <w:marBottom w:val="0"/>
      <w:divBdr>
        <w:top w:val="none" w:sz="0" w:space="0" w:color="auto"/>
        <w:left w:val="none" w:sz="0" w:space="0" w:color="auto"/>
        <w:bottom w:val="none" w:sz="0" w:space="0" w:color="auto"/>
        <w:right w:val="none" w:sz="0" w:space="0" w:color="auto"/>
      </w:divBdr>
    </w:div>
    <w:div w:id="624237507">
      <w:bodyDiv w:val="1"/>
      <w:marLeft w:val="0"/>
      <w:marRight w:val="0"/>
      <w:marTop w:val="0"/>
      <w:marBottom w:val="0"/>
      <w:divBdr>
        <w:top w:val="none" w:sz="0" w:space="0" w:color="auto"/>
        <w:left w:val="none" w:sz="0" w:space="0" w:color="auto"/>
        <w:bottom w:val="none" w:sz="0" w:space="0" w:color="auto"/>
        <w:right w:val="none" w:sz="0" w:space="0" w:color="auto"/>
      </w:divBdr>
    </w:div>
    <w:div w:id="644971823">
      <w:bodyDiv w:val="1"/>
      <w:marLeft w:val="0"/>
      <w:marRight w:val="0"/>
      <w:marTop w:val="0"/>
      <w:marBottom w:val="0"/>
      <w:divBdr>
        <w:top w:val="none" w:sz="0" w:space="0" w:color="auto"/>
        <w:left w:val="none" w:sz="0" w:space="0" w:color="auto"/>
        <w:bottom w:val="none" w:sz="0" w:space="0" w:color="auto"/>
        <w:right w:val="none" w:sz="0" w:space="0" w:color="auto"/>
      </w:divBdr>
    </w:div>
    <w:div w:id="758672351">
      <w:bodyDiv w:val="1"/>
      <w:marLeft w:val="0"/>
      <w:marRight w:val="0"/>
      <w:marTop w:val="0"/>
      <w:marBottom w:val="0"/>
      <w:divBdr>
        <w:top w:val="none" w:sz="0" w:space="0" w:color="auto"/>
        <w:left w:val="none" w:sz="0" w:space="0" w:color="auto"/>
        <w:bottom w:val="none" w:sz="0" w:space="0" w:color="auto"/>
        <w:right w:val="none" w:sz="0" w:space="0" w:color="auto"/>
      </w:divBdr>
    </w:div>
    <w:div w:id="826357720">
      <w:bodyDiv w:val="1"/>
      <w:marLeft w:val="0"/>
      <w:marRight w:val="0"/>
      <w:marTop w:val="0"/>
      <w:marBottom w:val="0"/>
      <w:divBdr>
        <w:top w:val="none" w:sz="0" w:space="0" w:color="auto"/>
        <w:left w:val="none" w:sz="0" w:space="0" w:color="auto"/>
        <w:bottom w:val="none" w:sz="0" w:space="0" w:color="auto"/>
        <w:right w:val="none" w:sz="0" w:space="0" w:color="auto"/>
      </w:divBdr>
    </w:div>
    <w:div w:id="1155686039">
      <w:bodyDiv w:val="1"/>
      <w:marLeft w:val="0"/>
      <w:marRight w:val="0"/>
      <w:marTop w:val="0"/>
      <w:marBottom w:val="0"/>
      <w:divBdr>
        <w:top w:val="none" w:sz="0" w:space="0" w:color="auto"/>
        <w:left w:val="none" w:sz="0" w:space="0" w:color="auto"/>
        <w:bottom w:val="none" w:sz="0" w:space="0" w:color="auto"/>
        <w:right w:val="none" w:sz="0" w:space="0" w:color="auto"/>
      </w:divBdr>
    </w:div>
    <w:div w:id="1195079277">
      <w:bodyDiv w:val="1"/>
      <w:marLeft w:val="0"/>
      <w:marRight w:val="0"/>
      <w:marTop w:val="0"/>
      <w:marBottom w:val="0"/>
      <w:divBdr>
        <w:top w:val="none" w:sz="0" w:space="0" w:color="auto"/>
        <w:left w:val="none" w:sz="0" w:space="0" w:color="auto"/>
        <w:bottom w:val="none" w:sz="0" w:space="0" w:color="auto"/>
        <w:right w:val="none" w:sz="0" w:space="0" w:color="auto"/>
      </w:divBdr>
    </w:div>
    <w:div w:id="1203203028">
      <w:bodyDiv w:val="1"/>
      <w:marLeft w:val="0"/>
      <w:marRight w:val="0"/>
      <w:marTop w:val="0"/>
      <w:marBottom w:val="0"/>
      <w:divBdr>
        <w:top w:val="none" w:sz="0" w:space="0" w:color="auto"/>
        <w:left w:val="none" w:sz="0" w:space="0" w:color="auto"/>
        <w:bottom w:val="none" w:sz="0" w:space="0" w:color="auto"/>
        <w:right w:val="none" w:sz="0" w:space="0" w:color="auto"/>
      </w:divBdr>
    </w:div>
    <w:div w:id="1289361116">
      <w:bodyDiv w:val="1"/>
      <w:marLeft w:val="0"/>
      <w:marRight w:val="0"/>
      <w:marTop w:val="0"/>
      <w:marBottom w:val="0"/>
      <w:divBdr>
        <w:top w:val="none" w:sz="0" w:space="0" w:color="auto"/>
        <w:left w:val="none" w:sz="0" w:space="0" w:color="auto"/>
        <w:bottom w:val="none" w:sz="0" w:space="0" w:color="auto"/>
        <w:right w:val="none" w:sz="0" w:space="0" w:color="auto"/>
      </w:divBdr>
    </w:div>
    <w:div w:id="1311516187">
      <w:bodyDiv w:val="1"/>
      <w:marLeft w:val="0"/>
      <w:marRight w:val="0"/>
      <w:marTop w:val="0"/>
      <w:marBottom w:val="0"/>
      <w:divBdr>
        <w:top w:val="none" w:sz="0" w:space="0" w:color="auto"/>
        <w:left w:val="none" w:sz="0" w:space="0" w:color="auto"/>
        <w:bottom w:val="none" w:sz="0" w:space="0" w:color="auto"/>
        <w:right w:val="none" w:sz="0" w:space="0" w:color="auto"/>
      </w:divBdr>
    </w:div>
    <w:div w:id="1390499230">
      <w:bodyDiv w:val="1"/>
      <w:marLeft w:val="0"/>
      <w:marRight w:val="0"/>
      <w:marTop w:val="0"/>
      <w:marBottom w:val="0"/>
      <w:divBdr>
        <w:top w:val="none" w:sz="0" w:space="0" w:color="auto"/>
        <w:left w:val="none" w:sz="0" w:space="0" w:color="auto"/>
        <w:bottom w:val="none" w:sz="0" w:space="0" w:color="auto"/>
        <w:right w:val="none" w:sz="0" w:space="0" w:color="auto"/>
      </w:divBdr>
    </w:div>
    <w:div w:id="1399018307">
      <w:bodyDiv w:val="1"/>
      <w:marLeft w:val="0"/>
      <w:marRight w:val="0"/>
      <w:marTop w:val="0"/>
      <w:marBottom w:val="0"/>
      <w:divBdr>
        <w:top w:val="none" w:sz="0" w:space="0" w:color="auto"/>
        <w:left w:val="none" w:sz="0" w:space="0" w:color="auto"/>
        <w:bottom w:val="none" w:sz="0" w:space="0" w:color="auto"/>
        <w:right w:val="none" w:sz="0" w:space="0" w:color="auto"/>
      </w:divBdr>
    </w:div>
    <w:div w:id="1401366953">
      <w:bodyDiv w:val="1"/>
      <w:marLeft w:val="0"/>
      <w:marRight w:val="0"/>
      <w:marTop w:val="0"/>
      <w:marBottom w:val="0"/>
      <w:divBdr>
        <w:top w:val="none" w:sz="0" w:space="0" w:color="auto"/>
        <w:left w:val="none" w:sz="0" w:space="0" w:color="auto"/>
        <w:bottom w:val="none" w:sz="0" w:space="0" w:color="auto"/>
        <w:right w:val="none" w:sz="0" w:space="0" w:color="auto"/>
      </w:divBdr>
    </w:div>
    <w:div w:id="1414744326">
      <w:bodyDiv w:val="1"/>
      <w:marLeft w:val="0"/>
      <w:marRight w:val="0"/>
      <w:marTop w:val="0"/>
      <w:marBottom w:val="0"/>
      <w:divBdr>
        <w:top w:val="none" w:sz="0" w:space="0" w:color="auto"/>
        <w:left w:val="none" w:sz="0" w:space="0" w:color="auto"/>
        <w:bottom w:val="none" w:sz="0" w:space="0" w:color="auto"/>
        <w:right w:val="none" w:sz="0" w:space="0" w:color="auto"/>
      </w:divBdr>
    </w:div>
    <w:div w:id="1416509383">
      <w:bodyDiv w:val="1"/>
      <w:marLeft w:val="0"/>
      <w:marRight w:val="0"/>
      <w:marTop w:val="0"/>
      <w:marBottom w:val="0"/>
      <w:divBdr>
        <w:top w:val="none" w:sz="0" w:space="0" w:color="auto"/>
        <w:left w:val="none" w:sz="0" w:space="0" w:color="auto"/>
        <w:bottom w:val="none" w:sz="0" w:space="0" w:color="auto"/>
        <w:right w:val="none" w:sz="0" w:space="0" w:color="auto"/>
      </w:divBdr>
    </w:div>
    <w:div w:id="1473402292">
      <w:bodyDiv w:val="1"/>
      <w:marLeft w:val="0"/>
      <w:marRight w:val="0"/>
      <w:marTop w:val="0"/>
      <w:marBottom w:val="0"/>
      <w:divBdr>
        <w:top w:val="none" w:sz="0" w:space="0" w:color="auto"/>
        <w:left w:val="none" w:sz="0" w:space="0" w:color="auto"/>
        <w:bottom w:val="none" w:sz="0" w:space="0" w:color="auto"/>
        <w:right w:val="none" w:sz="0" w:space="0" w:color="auto"/>
      </w:divBdr>
    </w:div>
    <w:div w:id="1567569181">
      <w:bodyDiv w:val="1"/>
      <w:marLeft w:val="0"/>
      <w:marRight w:val="0"/>
      <w:marTop w:val="0"/>
      <w:marBottom w:val="0"/>
      <w:divBdr>
        <w:top w:val="none" w:sz="0" w:space="0" w:color="auto"/>
        <w:left w:val="none" w:sz="0" w:space="0" w:color="auto"/>
        <w:bottom w:val="none" w:sz="0" w:space="0" w:color="auto"/>
        <w:right w:val="none" w:sz="0" w:space="0" w:color="auto"/>
      </w:divBdr>
      <w:divsChild>
        <w:div w:id="754322182">
          <w:marLeft w:val="0"/>
          <w:marRight w:val="0"/>
          <w:marTop w:val="0"/>
          <w:marBottom w:val="0"/>
          <w:divBdr>
            <w:top w:val="none" w:sz="0" w:space="0" w:color="auto"/>
            <w:left w:val="none" w:sz="0" w:space="0" w:color="auto"/>
            <w:bottom w:val="none" w:sz="0" w:space="0" w:color="auto"/>
            <w:right w:val="none" w:sz="0" w:space="0" w:color="auto"/>
          </w:divBdr>
        </w:div>
      </w:divsChild>
    </w:div>
    <w:div w:id="1712850384">
      <w:bodyDiv w:val="1"/>
      <w:marLeft w:val="0"/>
      <w:marRight w:val="0"/>
      <w:marTop w:val="0"/>
      <w:marBottom w:val="0"/>
      <w:divBdr>
        <w:top w:val="none" w:sz="0" w:space="0" w:color="auto"/>
        <w:left w:val="none" w:sz="0" w:space="0" w:color="auto"/>
        <w:bottom w:val="none" w:sz="0" w:space="0" w:color="auto"/>
        <w:right w:val="none" w:sz="0" w:space="0" w:color="auto"/>
      </w:divBdr>
    </w:div>
    <w:div w:id="1752922794">
      <w:bodyDiv w:val="1"/>
      <w:marLeft w:val="0"/>
      <w:marRight w:val="0"/>
      <w:marTop w:val="0"/>
      <w:marBottom w:val="0"/>
      <w:divBdr>
        <w:top w:val="none" w:sz="0" w:space="0" w:color="auto"/>
        <w:left w:val="none" w:sz="0" w:space="0" w:color="auto"/>
        <w:bottom w:val="none" w:sz="0" w:space="0" w:color="auto"/>
        <w:right w:val="none" w:sz="0" w:space="0" w:color="auto"/>
      </w:divBdr>
    </w:div>
    <w:div w:id="1835686313">
      <w:bodyDiv w:val="1"/>
      <w:marLeft w:val="0"/>
      <w:marRight w:val="0"/>
      <w:marTop w:val="0"/>
      <w:marBottom w:val="0"/>
      <w:divBdr>
        <w:top w:val="none" w:sz="0" w:space="0" w:color="auto"/>
        <w:left w:val="none" w:sz="0" w:space="0" w:color="auto"/>
        <w:bottom w:val="none" w:sz="0" w:space="0" w:color="auto"/>
        <w:right w:val="none" w:sz="0" w:space="0" w:color="auto"/>
      </w:divBdr>
    </w:div>
    <w:div w:id="1853909877">
      <w:bodyDiv w:val="1"/>
      <w:marLeft w:val="0"/>
      <w:marRight w:val="0"/>
      <w:marTop w:val="0"/>
      <w:marBottom w:val="0"/>
      <w:divBdr>
        <w:top w:val="none" w:sz="0" w:space="0" w:color="auto"/>
        <w:left w:val="none" w:sz="0" w:space="0" w:color="auto"/>
        <w:bottom w:val="none" w:sz="0" w:space="0" w:color="auto"/>
        <w:right w:val="none" w:sz="0" w:space="0" w:color="auto"/>
      </w:divBdr>
    </w:div>
    <w:div w:id="1881279983">
      <w:bodyDiv w:val="1"/>
      <w:marLeft w:val="0"/>
      <w:marRight w:val="0"/>
      <w:marTop w:val="0"/>
      <w:marBottom w:val="0"/>
      <w:divBdr>
        <w:top w:val="none" w:sz="0" w:space="0" w:color="auto"/>
        <w:left w:val="none" w:sz="0" w:space="0" w:color="auto"/>
        <w:bottom w:val="none" w:sz="0" w:space="0" w:color="auto"/>
        <w:right w:val="none" w:sz="0" w:space="0" w:color="auto"/>
      </w:divBdr>
    </w:div>
    <w:div w:id="1889798325">
      <w:bodyDiv w:val="1"/>
      <w:marLeft w:val="0"/>
      <w:marRight w:val="0"/>
      <w:marTop w:val="0"/>
      <w:marBottom w:val="0"/>
      <w:divBdr>
        <w:top w:val="none" w:sz="0" w:space="0" w:color="auto"/>
        <w:left w:val="none" w:sz="0" w:space="0" w:color="auto"/>
        <w:bottom w:val="none" w:sz="0" w:space="0" w:color="auto"/>
        <w:right w:val="none" w:sz="0" w:space="0" w:color="auto"/>
      </w:divBdr>
    </w:div>
    <w:div w:id="1939288781">
      <w:bodyDiv w:val="1"/>
      <w:marLeft w:val="0"/>
      <w:marRight w:val="0"/>
      <w:marTop w:val="0"/>
      <w:marBottom w:val="0"/>
      <w:divBdr>
        <w:top w:val="none" w:sz="0" w:space="0" w:color="auto"/>
        <w:left w:val="none" w:sz="0" w:space="0" w:color="auto"/>
        <w:bottom w:val="none" w:sz="0" w:space="0" w:color="auto"/>
        <w:right w:val="none" w:sz="0" w:space="0" w:color="auto"/>
      </w:divBdr>
    </w:div>
    <w:div w:id="2004890373">
      <w:bodyDiv w:val="1"/>
      <w:marLeft w:val="0"/>
      <w:marRight w:val="0"/>
      <w:marTop w:val="0"/>
      <w:marBottom w:val="0"/>
      <w:divBdr>
        <w:top w:val="none" w:sz="0" w:space="0" w:color="auto"/>
        <w:left w:val="none" w:sz="0" w:space="0" w:color="auto"/>
        <w:bottom w:val="none" w:sz="0" w:space="0" w:color="auto"/>
        <w:right w:val="none" w:sz="0" w:space="0" w:color="auto"/>
      </w:divBdr>
    </w:div>
    <w:div w:id="2117677011">
      <w:bodyDiv w:val="1"/>
      <w:marLeft w:val="0"/>
      <w:marRight w:val="0"/>
      <w:marTop w:val="0"/>
      <w:marBottom w:val="0"/>
      <w:divBdr>
        <w:top w:val="none" w:sz="0" w:space="0" w:color="auto"/>
        <w:left w:val="none" w:sz="0" w:space="0" w:color="auto"/>
        <w:bottom w:val="none" w:sz="0" w:space="0" w:color="auto"/>
        <w:right w:val="none" w:sz="0" w:space="0" w:color="auto"/>
      </w:divBdr>
      <w:divsChild>
        <w:div w:id="1082096602">
          <w:marLeft w:val="0"/>
          <w:marRight w:val="0"/>
          <w:marTop w:val="0"/>
          <w:marBottom w:val="0"/>
          <w:divBdr>
            <w:top w:val="none" w:sz="0" w:space="0" w:color="auto"/>
            <w:left w:val="none" w:sz="0" w:space="0" w:color="auto"/>
            <w:bottom w:val="none" w:sz="0" w:space="0" w:color="auto"/>
            <w:right w:val="none" w:sz="0" w:space="0" w:color="auto"/>
          </w:divBdr>
          <w:divsChild>
            <w:div w:id="494490228">
              <w:marLeft w:val="0"/>
              <w:marRight w:val="0"/>
              <w:marTop w:val="0"/>
              <w:marBottom w:val="0"/>
              <w:divBdr>
                <w:top w:val="none" w:sz="0" w:space="0" w:color="auto"/>
                <w:left w:val="none" w:sz="0" w:space="0" w:color="auto"/>
                <w:bottom w:val="none" w:sz="0" w:space="0" w:color="auto"/>
                <w:right w:val="none" w:sz="0" w:space="0" w:color="auto"/>
              </w:divBdr>
              <w:divsChild>
                <w:div w:id="7415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yo.myint@abdn.ac.uk" TargetMode="External"/><Relationship Id="rId13" Type="http://schemas.openxmlformats.org/officeDocument/2006/relationships/footer" Target="footer2.xml"/><Relationship Id="rId18"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DFA6251-BD73-4494-892C-B72F551B4D64}">
  <we:reference id="f78a3046-9e99-4300-aa2b-5814002b01a2" version="1.20.0.0" store="EXCatalog" storeType="EXCatalog"/>
  <we:alternateReferences>
    <we:reference id="WA104382081" version="1.20.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D82BA-D694-49B3-9879-31DA2F3F3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30</Pages>
  <Words>36808</Words>
  <Characters>209812</Characters>
  <Application>Microsoft Office Word</Application>
  <DocSecurity>0</DocSecurity>
  <Lines>1748</Lines>
  <Paragraphs>492</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246128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 Samuel Ronald</dc:creator>
  <cp:keywords/>
  <cp:lastModifiedBy>PANA, TIBERIU ALEXANDRU (UG)</cp:lastModifiedBy>
  <cp:revision>10</cp:revision>
  <dcterms:created xsi:type="dcterms:W3CDTF">2021-05-18T13:59:00Z</dcterms:created>
  <dcterms:modified xsi:type="dcterms:W3CDTF">2021-06-07T15:43:00Z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user:5988287be4b034266700d36e</vt:lpwstr>
  </property>
  <property fmtid="{D5CDD505-2E9C-101B-9397-08002B2CF9AE}" pid="3" name="WnCSubscriberId">
    <vt:lpwstr>0</vt:lpwstr>
  </property>
  <property fmtid="{D5CDD505-2E9C-101B-9397-08002B2CF9AE}" pid="4" name="WnCOutputStyleId">
    <vt:lpwstr>1004</vt:lpwstr>
  </property>
  <property fmtid="{D5CDD505-2E9C-101B-9397-08002B2CF9AE}" pid="5" name="RWProductId">
    <vt:lpwstr>Flow</vt:lpwstr>
  </property>
  <property fmtid="{D5CDD505-2E9C-101B-9397-08002B2CF9AE}" pid="6" name="WnC4Folder">
    <vt:lpwstr>Documents///Pana Dehghani et al 200420</vt:lpwstr>
  </property>
  <property fmtid="{D5CDD505-2E9C-101B-9397-08002B2CF9AE}" pid="7" name="Mendeley Document_1">
    <vt:lpwstr>True</vt:lpwstr>
  </property>
  <property fmtid="{D5CDD505-2E9C-101B-9397-08002B2CF9AE}" pid="8" name="Mendeley Unique User Id_1">
    <vt:lpwstr>b2999b65-a6fd-3c22-847e-4c85d3d2edc5</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vt:lpwstr>
  </property>
  <property fmtid="{D5CDD505-2E9C-101B-9397-08002B2CF9AE}" pid="11" name="Mendeley Recent Style Id 1_1">
    <vt:lpwstr>http://www.zotero.org/styles/bmj-open</vt:lpwstr>
  </property>
  <property fmtid="{D5CDD505-2E9C-101B-9397-08002B2CF9AE}" pid="12" name="Mendeley Recent Style Name 1_1">
    <vt:lpwstr>BMJ Open</vt:lpwstr>
  </property>
  <property fmtid="{D5CDD505-2E9C-101B-9397-08002B2CF9AE}" pid="13" name="Mendeley Recent Style Id 2_1">
    <vt:lpwstr>http://www.zotero.org/styles/harvard-cite-them-right</vt:lpwstr>
  </property>
  <property fmtid="{D5CDD505-2E9C-101B-9397-08002B2CF9AE}" pid="14" name="Mendeley Recent Style Name 2_1">
    <vt:lpwstr>Cite Them Right 10th edition - Harvard</vt:lpwstr>
  </property>
  <property fmtid="{D5CDD505-2E9C-101B-9397-08002B2CF9AE}" pid="15" name="Mendeley Recent Style Id 3_1">
    <vt:lpwstr>http://www.zotero.org/styles/european-heart-journal</vt:lpwstr>
  </property>
  <property fmtid="{D5CDD505-2E9C-101B-9397-08002B2CF9AE}" pid="16" name="Mendeley Recent Style Name 3_1">
    <vt:lpwstr>European Heart Journal</vt:lpwstr>
  </property>
  <property fmtid="{D5CDD505-2E9C-101B-9397-08002B2CF9AE}" pid="17" name="Mendeley Recent Style Id 4_1">
    <vt:lpwstr>http://www.zotero.org/styles/ieee</vt:lpwstr>
  </property>
  <property fmtid="{D5CDD505-2E9C-101B-9397-08002B2CF9AE}" pid="18" name="Mendeley Recent Style Name 4_1">
    <vt:lpwstr>IEEE</vt:lpwstr>
  </property>
  <property fmtid="{D5CDD505-2E9C-101B-9397-08002B2CF9AE}" pid="19" name="Mendeley Recent Style Id 5_1">
    <vt:lpwstr>http://www.zotero.org/styles/international-journal-of-cardiology</vt:lpwstr>
  </property>
  <property fmtid="{D5CDD505-2E9C-101B-9397-08002B2CF9AE}" pid="20" name="Mendeley Recent Style Name 5_1">
    <vt:lpwstr>International Journal of Cardiology</vt:lpwstr>
  </property>
  <property fmtid="{D5CDD505-2E9C-101B-9397-08002B2CF9AE}" pid="21" name="Mendeley Recent Style Id 6_1">
    <vt:lpwstr>http://www.zotero.org/styles/journal-of-the-american-college-of-cardiology</vt:lpwstr>
  </property>
  <property fmtid="{D5CDD505-2E9C-101B-9397-08002B2CF9AE}" pid="22" name="Mendeley Recent Style Name 6_1">
    <vt:lpwstr>Journal of the American College of Cardiology</vt:lpwstr>
  </property>
  <property fmtid="{D5CDD505-2E9C-101B-9397-08002B2CF9AE}" pid="23" name="Mendeley Recent Style Id 7_1">
    <vt:lpwstr>http://csl.mendeley.com/styles/497170811/journal-of-the-american-heart-association</vt:lpwstr>
  </property>
  <property fmtid="{D5CDD505-2E9C-101B-9397-08002B2CF9AE}" pid="24" name="Mendeley Recent Style Name 7_1">
    <vt:lpwstr>Journal of the American Heart Association - Tiberiu A Pana</vt:lpwstr>
  </property>
  <property fmtid="{D5CDD505-2E9C-101B-9397-08002B2CF9AE}" pid="25" name="Mendeley Recent Style Id 8_1">
    <vt:lpwstr>http://www.zotero.org/styles/springer-vancouver-brackets</vt:lpwstr>
  </property>
  <property fmtid="{D5CDD505-2E9C-101B-9397-08002B2CF9AE}" pid="26" name="Mendeley Recent Style Name 8_1">
    <vt:lpwstr>Springer - Vancouver (brackets)</vt:lpwstr>
  </property>
  <property fmtid="{D5CDD505-2E9C-101B-9397-08002B2CF9AE}" pid="27" name="Mendeley Recent Style Id 9_1">
    <vt:lpwstr>http://www.zotero.org/styles/the-american-journal-of-cardiology</vt:lpwstr>
  </property>
  <property fmtid="{D5CDD505-2E9C-101B-9397-08002B2CF9AE}" pid="28" name="Mendeley Recent Style Name 9_1">
    <vt:lpwstr>The American Journal of Cardiology</vt:lpwstr>
  </property>
  <property fmtid="{D5CDD505-2E9C-101B-9397-08002B2CF9AE}" pid="29" name="Mendeley Citation Style_1">
    <vt:lpwstr>http://www.zotero.org/styles/european-heart-journal</vt:lpwstr>
  </property>
</Properties>
</file>